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E1A6D">
      <w:pPr>
        <w:jc w:val="center"/>
        <w:rPr>
          <w:rFonts w:hint="eastAsia" w:ascii="宋体" w:hAnsi="宋体" w:eastAsia="宋体"/>
          <w:b/>
          <w:bCs/>
          <w:sz w:val="44"/>
          <w:szCs w:val="44"/>
        </w:rPr>
      </w:pPr>
    </w:p>
    <w:p w14:paraId="70889047">
      <w:pPr>
        <w:jc w:val="center"/>
        <w:rPr>
          <w:rFonts w:hint="eastAsia" w:ascii="宋体" w:hAnsi="宋体" w:eastAsia="宋体"/>
          <w:b/>
          <w:bCs/>
          <w:sz w:val="44"/>
          <w:szCs w:val="44"/>
        </w:rPr>
      </w:pPr>
    </w:p>
    <w:p w14:paraId="4213D4FA">
      <w:pPr>
        <w:jc w:val="center"/>
        <w:rPr>
          <w:rFonts w:hint="eastAsia" w:ascii="宋体" w:hAnsi="宋体" w:eastAsia="宋体"/>
          <w:b/>
          <w:bCs/>
          <w:sz w:val="44"/>
          <w:szCs w:val="44"/>
        </w:rPr>
      </w:pPr>
    </w:p>
    <w:p w14:paraId="0DDE44EE">
      <w:pPr>
        <w:jc w:val="center"/>
        <w:rPr>
          <w:rFonts w:hint="eastAsia" w:ascii="宋体" w:hAnsi="宋体" w:eastAsia="宋体"/>
          <w:b/>
          <w:bCs/>
          <w:sz w:val="44"/>
          <w:szCs w:val="44"/>
        </w:rPr>
      </w:pPr>
      <w:r>
        <w:rPr>
          <w:rFonts w:hint="eastAsia" w:ascii="宋体" w:hAnsi="宋体" w:eastAsia="宋体"/>
          <w:b/>
          <w:bCs/>
          <w:sz w:val="44"/>
          <w:szCs w:val="44"/>
        </w:rPr>
        <w:t>《金条》国家标准(修订)</w:t>
      </w:r>
    </w:p>
    <w:p w14:paraId="2307043A">
      <w:pPr>
        <w:jc w:val="center"/>
        <w:rPr>
          <w:rFonts w:hint="eastAsia" w:ascii="宋体" w:hAnsi="宋体" w:eastAsia="宋体"/>
          <w:b/>
          <w:bCs/>
          <w:sz w:val="44"/>
          <w:szCs w:val="44"/>
        </w:rPr>
      </w:pPr>
    </w:p>
    <w:p w14:paraId="5F39ED86">
      <w:pPr>
        <w:jc w:val="center"/>
        <w:rPr>
          <w:rFonts w:hint="eastAsia" w:ascii="宋体" w:hAnsi="宋体" w:eastAsia="宋体"/>
          <w:b/>
          <w:bCs/>
          <w:sz w:val="44"/>
          <w:szCs w:val="44"/>
        </w:rPr>
      </w:pPr>
      <w:r>
        <w:rPr>
          <w:rFonts w:hint="eastAsia" w:ascii="宋体" w:hAnsi="宋体" w:eastAsia="宋体"/>
          <w:b/>
          <w:bCs/>
          <w:sz w:val="44"/>
          <w:szCs w:val="44"/>
        </w:rPr>
        <w:t>编制说明</w:t>
      </w:r>
    </w:p>
    <w:p w14:paraId="4C5A2052">
      <w:pPr>
        <w:jc w:val="center"/>
        <w:rPr>
          <w:rFonts w:hint="eastAsia" w:ascii="宋体" w:hAnsi="宋体" w:eastAsia="宋体"/>
          <w:b/>
          <w:bCs/>
          <w:sz w:val="44"/>
          <w:szCs w:val="44"/>
        </w:rPr>
      </w:pPr>
    </w:p>
    <w:p w14:paraId="3896C02F">
      <w:pPr>
        <w:jc w:val="center"/>
        <w:rPr>
          <w:rFonts w:hint="eastAsia" w:ascii="宋体" w:hAnsi="宋体" w:eastAsia="宋体"/>
          <w:b/>
          <w:bCs/>
          <w:sz w:val="44"/>
          <w:szCs w:val="44"/>
        </w:rPr>
      </w:pPr>
      <w:r>
        <w:rPr>
          <w:rFonts w:hint="eastAsia" w:ascii="宋体" w:hAnsi="宋体" w:eastAsia="宋体"/>
          <w:b/>
          <w:bCs/>
          <w:sz w:val="44"/>
          <w:szCs w:val="44"/>
        </w:rPr>
        <w:t>（送审稿）</w:t>
      </w:r>
    </w:p>
    <w:p w14:paraId="0A578F1D">
      <w:pPr>
        <w:jc w:val="center"/>
        <w:rPr>
          <w:rFonts w:hint="eastAsia" w:ascii="宋体" w:hAnsi="宋体" w:eastAsia="宋体"/>
          <w:b/>
          <w:bCs/>
          <w:sz w:val="44"/>
          <w:szCs w:val="44"/>
        </w:rPr>
      </w:pPr>
    </w:p>
    <w:p w14:paraId="5C19FC50">
      <w:pPr>
        <w:jc w:val="center"/>
        <w:rPr>
          <w:rFonts w:hint="eastAsia" w:ascii="宋体" w:hAnsi="宋体" w:eastAsia="宋体"/>
          <w:b/>
          <w:bCs/>
          <w:sz w:val="44"/>
          <w:szCs w:val="44"/>
        </w:rPr>
      </w:pPr>
    </w:p>
    <w:p w14:paraId="6BF16C6A">
      <w:pPr>
        <w:jc w:val="center"/>
        <w:rPr>
          <w:rFonts w:hint="eastAsia" w:ascii="宋体" w:hAnsi="宋体" w:eastAsia="宋体"/>
          <w:b/>
          <w:bCs/>
          <w:sz w:val="44"/>
          <w:szCs w:val="44"/>
        </w:rPr>
      </w:pPr>
    </w:p>
    <w:p w14:paraId="27D9192B">
      <w:pPr>
        <w:jc w:val="center"/>
        <w:rPr>
          <w:rFonts w:hint="eastAsia" w:ascii="宋体" w:hAnsi="宋体" w:eastAsia="宋体"/>
          <w:b/>
          <w:bCs/>
          <w:sz w:val="44"/>
          <w:szCs w:val="44"/>
        </w:rPr>
      </w:pPr>
    </w:p>
    <w:p w14:paraId="4EA7476F">
      <w:pPr>
        <w:jc w:val="center"/>
        <w:rPr>
          <w:rFonts w:hint="eastAsia" w:ascii="宋体" w:hAnsi="宋体" w:eastAsia="宋体"/>
          <w:b/>
          <w:bCs/>
          <w:sz w:val="44"/>
          <w:szCs w:val="44"/>
        </w:rPr>
      </w:pPr>
    </w:p>
    <w:p w14:paraId="026C4BBD">
      <w:pPr>
        <w:jc w:val="center"/>
        <w:rPr>
          <w:rFonts w:hint="eastAsia" w:ascii="宋体" w:hAnsi="宋体" w:eastAsia="宋体"/>
          <w:b/>
          <w:bCs/>
          <w:sz w:val="44"/>
          <w:szCs w:val="44"/>
        </w:rPr>
      </w:pPr>
    </w:p>
    <w:p w14:paraId="0FA2400B">
      <w:pPr>
        <w:jc w:val="center"/>
        <w:rPr>
          <w:rFonts w:hint="eastAsia" w:ascii="宋体" w:hAnsi="宋体" w:eastAsia="宋体"/>
          <w:b/>
          <w:bCs/>
          <w:sz w:val="44"/>
          <w:szCs w:val="44"/>
        </w:rPr>
      </w:pPr>
    </w:p>
    <w:p w14:paraId="5E7FAA2F">
      <w:pPr>
        <w:jc w:val="center"/>
        <w:rPr>
          <w:rFonts w:hint="eastAsia" w:ascii="宋体" w:hAnsi="宋体" w:eastAsia="宋体"/>
          <w:b/>
          <w:bCs/>
          <w:sz w:val="44"/>
          <w:szCs w:val="44"/>
        </w:rPr>
      </w:pPr>
    </w:p>
    <w:p w14:paraId="62B0A2CA">
      <w:pPr>
        <w:jc w:val="center"/>
        <w:rPr>
          <w:rFonts w:hint="eastAsia" w:ascii="宋体" w:hAnsi="宋体" w:eastAsia="宋体"/>
          <w:b/>
          <w:bCs/>
          <w:sz w:val="44"/>
          <w:szCs w:val="44"/>
        </w:rPr>
      </w:pPr>
      <w:r>
        <w:rPr>
          <w:rFonts w:hint="eastAsia" w:ascii="宋体" w:hAnsi="宋体" w:eastAsia="宋体"/>
          <w:b/>
          <w:bCs/>
          <w:sz w:val="44"/>
          <w:szCs w:val="44"/>
        </w:rPr>
        <w:t>紫金矿业集团股份有限公司</w:t>
      </w:r>
    </w:p>
    <w:p w14:paraId="2D6217CB">
      <w:pPr>
        <w:jc w:val="center"/>
        <w:rPr>
          <w:rFonts w:hint="eastAsia" w:ascii="宋体" w:hAnsi="宋体" w:eastAsia="宋体"/>
          <w:b/>
          <w:bCs/>
          <w:sz w:val="44"/>
          <w:szCs w:val="44"/>
        </w:rPr>
      </w:pPr>
      <w:r>
        <w:rPr>
          <w:rFonts w:hint="eastAsia" w:ascii="宋体" w:hAnsi="宋体" w:eastAsia="宋体"/>
          <w:b/>
          <w:bCs/>
          <w:sz w:val="44"/>
          <w:szCs w:val="44"/>
        </w:rPr>
        <w:t>2026.07</w:t>
      </w:r>
    </w:p>
    <w:p w14:paraId="27379C9E">
      <w:pPr>
        <w:rPr>
          <w:rFonts w:hint="eastAsia" w:ascii="宋体" w:hAnsi="宋体" w:eastAsia="宋体"/>
          <w:b/>
          <w:bCs/>
          <w:sz w:val="30"/>
          <w:szCs w:val="30"/>
        </w:rPr>
      </w:pPr>
      <w:r>
        <w:rPr>
          <w:rFonts w:ascii="宋体" w:hAnsi="宋体" w:eastAsia="宋体"/>
          <w:b/>
          <w:bCs/>
          <w:sz w:val="30"/>
          <w:szCs w:val="30"/>
        </w:rPr>
        <w:t>一、工作简况</w:t>
      </w:r>
    </w:p>
    <w:p w14:paraId="1B801305">
      <w:pPr>
        <w:spacing w:after="0" w:line="360" w:lineRule="auto"/>
        <w:rPr>
          <w:rFonts w:hint="eastAsia" w:ascii="宋体" w:hAnsi="宋体" w:eastAsia="宋体"/>
          <w:b/>
          <w:bCs/>
          <w:sz w:val="24"/>
        </w:rPr>
      </w:pPr>
      <w:r>
        <w:rPr>
          <w:rFonts w:hint="eastAsia" w:ascii="宋体" w:hAnsi="宋体" w:eastAsia="宋体"/>
          <w:b/>
          <w:bCs/>
          <w:sz w:val="24"/>
        </w:rPr>
        <w:t>1.1</w:t>
      </w:r>
      <w:r>
        <w:rPr>
          <w:rFonts w:ascii="宋体" w:hAnsi="宋体" w:eastAsia="宋体"/>
          <w:b/>
          <w:bCs/>
          <w:sz w:val="24"/>
        </w:rPr>
        <w:t>任务来源</w:t>
      </w:r>
    </w:p>
    <w:p w14:paraId="1B667472">
      <w:pPr>
        <w:spacing w:after="0" w:line="360" w:lineRule="auto"/>
        <w:ind w:firstLine="480" w:firstLineChars="200"/>
        <w:jc w:val="both"/>
        <w:rPr>
          <w:rFonts w:hint="eastAsia" w:ascii="宋体" w:hAnsi="宋体" w:eastAsia="宋体"/>
          <w:sz w:val="24"/>
        </w:rPr>
      </w:pPr>
      <w:r>
        <w:rPr>
          <w:rFonts w:hint="eastAsia" w:ascii="宋体" w:hAnsi="宋体" w:eastAsia="宋体"/>
          <w:sz w:val="24"/>
        </w:rPr>
        <w:t>根据有色标委[2024]121号《关于开展有色金属国家标准复审工作的函》、有色标秘[2025]77号《关于印发</w:t>
      </w:r>
      <w:r>
        <w:rPr>
          <w:rFonts w:hint="eastAsia" w:ascii="黑体" w:hAnsi="黑体" w:eastAsia="黑体"/>
          <w:sz w:val="24"/>
        </w:rPr>
        <w:t>&lt;</w:t>
      </w:r>
      <w:r>
        <w:rPr>
          <w:rFonts w:hint="eastAsia" w:ascii="宋体" w:hAnsi="宋体" w:eastAsia="宋体"/>
          <w:sz w:val="24"/>
        </w:rPr>
        <w:t>金条&gt;标准任务落实会会议纪要的通知》以及全国有色金属标准化技术委员会的标准制修订工作安排，由紫金矿业集团股份有限公司负责《金条》（计划号：20253779-T-610）国家推荐性标准修订工作。</w:t>
      </w:r>
      <w:r>
        <w:rPr>
          <w:rFonts w:ascii="宋体" w:hAnsi="宋体" w:eastAsia="宋体"/>
          <w:sz w:val="24"/>
        </w:rPr>
        <w:t>本</w:t>
      </w:r>
      <w:r>
        <w:rPr>
          <w:rFonts w:hint="eastAsia" w:ascii="宋体" w:hAnsi="宋体" w:eastAsia="宋体"/>
          <w:sz w:val="24"/>
        </w:rPr>
        <w:t>标准</w:t>
      </w:r>
      <w:r>
        <w:rPr>
          <w:rFonts w:ascii="宋体" w:hAnsi="宋体" w:eastAsia="宋体"/>
          <w:sz w:val="24"/>
        </w:rPr>
        <w:t>由全国有色金属标准化技术委员会（SAC/TC 243）归口</w:t>
      </w:r>
      <w:r>
        <w:rPr>
          <w:rFonts w:hint="eastAsia" w:ascii="宋体" w:hAnsi="宋体" w:eastAsia="宋体"/>
          <w:sz w:val="24"/>
        </w:rPr>
        <w:t>，完成时间为2026年12月</w:t>
      </w:r>
      <w:r>
        <w:rPr>
          <w:rFonts w:ascii="宋体" w:hAnsi="宋体" w:eastAsia="宋体"/>
          <w:sz w:val="24"/>
        </w:rPr>
        <w:t>。</w:t>
      </w:r>
    </w:p>
    <w:p w14:paraId="448DF3C9">
      <w:pPr>
        <w:spacing w:after="0" w:line="360" w:lineRule="auto"/>
        <w:ind w:firstLine="480" w:firstLineChars="200"/>
        <w:jc w:val="both"/>
        <w:rPr>
          <w:rFonts w:hint="eastAsia" w:ascii="宋体" w:hAnsi="宋体" w:eastAsia="宋体"/>
          <w:sz w:val="24"/>
        </w:rPr>
      </w:pPr>
      <w:r>
        <w:rPr>
          <w:rFonts w:ascii="宋体" w:hAnsi="宋体" w:eastAsia="宋体"/>
          <w:sz w:val="24"/>
        </w:rPr>
        <w:t>本标准</w:t>
      </w:r>
      <w:r>
        <w:rPr>
          <w:rFonts w:hint="eastAsia" w:ascii="宋体" w:hAnsi="宋体" w:eastAsia="宋体"/>
          <w:sz w:val="24"/>
        </w:rPr>
        <w:t>参加</w:t>
      </w:r>
      <w:r>
        <w:rPr>
          <w:rFonts w:ascii="宋体" w:hAnsi="宋体" w:eastAsia="宋体"/>
          <w:sz w:val="24"/>
        </w:rPr>
        <w:t>起草单位</w:t>
      </w:r>
      <w:r>
        <w:rPr>
          <w:rFonts w:hint="eastAsia" w:ascii="宋体" w:hAnsi="宋体" w:eastAsia="宋体"/>
          <w:sz w:val="24"/>
        </w:rPr>
        <w:t>：紫金矿业集团股份有限公司、有色金属技术经济研究院有限责任公司</w:t>
      </w:r>
      <w:bookmarkStart w:id="0" w:name="OLE_LINK2"/>
      <w:r>
        <w:rPr>
          <w:rFonts w:hint="eastAsia" w:ascii="宋体" w:hAnsi="宋体" w:eastAsia="宋体"/>
          <w:sz w:val="24"/>
        </w:rPr>
        <w:t>、山东招金金银精炼有限公司</w:t>
      </w:r>
      <w:bookmarkEnd w:id="0"/>
      <w:r>
        <w:rPr>
          <w:rFonts w:hint="eastAsia" w:ascii="宋体" w:hAnsi="宋体" w:eastAsia="宋体"/>
          <w:sz w:val="24"/>
        </w:rPr>
        <w:t>、</w:t>
      </w:r>
      <w:bookmarkStart w:id="1" w:name="OLE_LINK3"/>
      <w:r>
        <w:rPr>
          <w:rFonts w:hint="eastAsia" w:ascii="宋体" w:hAnsi="宋体" w:eastAsia="宋体"/>
          <w:sz w:val="24"/>
        </w:rPr>
        <w:t>金川集团股份有限公司、山东梦金园珠宝首饰有限公司、长春黄金研究院有限公司、深圳市中金岭南有色金属股份有限公司韶关冶炼厂、北京国首珠宝首饰检测有限公司、山东恒邦冶炼股份有限公司、西北有色金属研究院、四川省天泽贵金属有限责任公司、贵研资源（易门）有限公司、</w:t>
      </w:r>
      <w:bookmarkEnd w:id="1"/>
      <w:r>
        <w:rPr>
          <w:rFonts w:ascii="宋体" w:hAnsi="宋体" w:eastAsia="宋体"/>
          <w:sz w:val="24"/>
        </w:rPr>
        <w:t>南京市产品质量监督检验院（南京市质量发展与先进技术应用研究院）</w:t>
      </w:r>
      <w:r>
        <w:rPr>
          <w:rFonts w:hint="eastAsia" w:ascii="宋体" w:hAnsi="宋体" w:eastAsia="宋体"/>
          <w:sz w:val="24"/>
        </w:rPr>
        <w:t>、山东省计量科学研究院、中宝正信金银珠宝首饰检测有限公司、山东中金岭南铜业有限责任公司。</w:t>
      </w:r>
    </w:p>
    <w:p w14:paraId="14CE2C9B">
      <w:pPr>
        <w:spacing w:after="0" w:line="360" w:lineRule="auto"/>
        <w:rPr>
          <w:rFonts w:hint="eastAsia" w:ascii="宋体" w:hAnsi="宋体" w:eastAsia="宋体"/>
          <w:b/>
          <w:bCs/>
          <w:sz w:val="24"/>
        </w:rPr>
      </w:pPr>
      <w:r>
        <w:rPr>
          <w:rFonts w:hint="eastAsia" w:ascii="宋体" w:hAnsi="宋体" w:eastAsia="宋体"/>
          <w:b/>
          <w:bCs/>
          <w:sz w:val="24"/>
        </w:rPr>
        <w:t>1.2立项目的和意义</w:t>
      </w:r>
    </w:p>
    <w:p w14:paraId="4491EDD5">
      <w:pPr>
        <w:spacing w:after="0" w:line="360" w:lineRule="auto"/>
        <w:ind w:firstLine="480" w:firstLineChars="200"/>
        <w:jc w:val="both"/>
        <w:rPr>
          <w:rFonts w:hint="eastAsia" w:ascii="宋体" w:hAnsi="宋体" w:eastAsia="宋体"/>
          <w:sz w:val="24"/>
        </w:rPr>
      </w:pPr>
      <w:bookmarkStart w:id="2" w:name="OLE_LINK1"/>
      <w:r>
        <w:rPr>
          <w:rFonts w:hint="eastAsia" w:ascii="宋体" w:hAnsi="宋体" w:eastAsia="宋体"/>
          <w:sz w:val="24"/>
        </w:rPr>
        <w:t>近年来，全球经济不确定性加剧、地缘政治摩擦增多，市场对黄金避险资产需求持续攀升，我国金条投资消费呈现强劲增长。据中国黄金协会统计：2024年我国黄金消费量985.31吨，其中金条及金币373.13吨（比增24.54%）；而2025年我国黄金消费量950.096吨，其中黄金首饰363.836吨，金条及金币504.238吨（比增35.14%）首次超越黄金首饰消费量，标志着我国黄金市场从“首饰消费主导”转向“投资消费主导”，消费结构迎来阶段性转变。</w:t>
      </w:r>
    </w:p>
    <w:p w14:paraId="2D5DCEB6">
      <w:pPr>
        <w:spacing w:after="0" w:line="360" w:lineRule="auto"/>
        <w:ind w:firstLine="480" w:firstLineChars="200"/>
        <w:jc w:val="both"/>
        <w:rPr>
          <w:rFonts w:hint="eastAsia" w:ascii="宋体" w:hAnsi="宋体" w:eastAsia="宋体"/>
          <w:sz w:val="24"/>
        </w:rPr>
      </w:pPr>
      <w:r>
        <w:rPr>
          <w:rFonts w:hint="eastAsia" w:ascii="宋体" w:hAnsi="宋体" w:eastAsia="宋体"/>
          <w:sz w:val="24"/>
        </w:rPr>
        <w:t>从行业供给端看，我国金条产能与产量同步扩张，行业集中度持续提升，前十大冶炼企业合计产能及产量均占全国总产能及总产量的60%以上。适用于本标准的金条生产以上海黄金交易所（SGE）及伦敦金银市场协会（LBMA）双认证精炼企业为核心主体。国内金条产量较大的企业主要包括：中国黄金集团、紫金矿业集团、山东黄金集团、山东招金集团、中钞长城贵金属有限公司等；而在银行和零售渠道方面，投资及工艺金条主力还包括：中国工商银行、中国农业银行、中国建设银行、周大福、老凤祥、菜百股份等。</w:t>
      </w:r>
    </w:p>
    <w:p w14:paraId="02CFD6CA">
      <w:pPr>
        <w:spacing w:after="0" w:line="360" w:lineRule="auto"/>
        <w:ind w:firstLine="480" w:firstLineChars="200"/>
        <w:jc w:val="both"/>
        <w:rPr>
          <w:rFonts w:hint="eastAsia" w:ascii="宋体" w:hAnsi="宋体" w:eastAsia="宋体"/>
          <w:sz w:val="24"/>
        </w:rPr>
      </w:pPr>
      <w:r>
        <w:rPr>
          <w:rFonts w:hint="eastAsia" w:ascii="宋体" w:hAnsi="宋体" w:eastAsia="宋体"/>
          <w:sz w:val="24"/>
        </w:rPr>
        <w:t>随着黄金市场持续放开，个人与机构投资收藏活跃，国内黄金精炼、生产与流通规模不断扩大，从政策与市场层面，国家“质量强国”战略对贵金属标准提出更高要求，要求对标国际先进标准，推进内外贸产品同线同标同质。原标准在部分技术参数、表述规范上与市场实际需求存在差异，导致其实际实施应用范围和效果甚微，影响我国黄金产品的高质量发展与国际竞争力。鉴于此，确有必要对该标准进行修订，确保标准适应行业变化和市场需求。本次修订金条标准，是顺应我国黄金消费从首饰主导转向投资主导的市场结构性变化，落实质量强国战略、统一产品规格与技术指标、规范生产流通秩序的需要；同时推动国内标准与国际接轨，提升我国黄金产品国际竞争力，保障市场主体合法权益，支撑黄金行业高质量发展。</w:t>
      </w:r>
    </w:p>
    <w:bookmarkEnd w:id="2"/>
    <w:p w14:paraId="7A6FBF79">
      <w:pPr>
        <w:spacing w:after="0" w:line="360" w:lineRule="auto"/>
        <w:rPr>
          <w:rFonts w:hint="eastAsia" w:ascii="宋体" w:hAnsi="宋体" w:eastAsia="宋体"/>
          <w:b/>
          <w:bCs/>
          <w:sz w:val="24"/>
        </w:rPr>
      </w:pPr>
      <w:r>
        <w:rPr>
          <w:rFonts w:hint="eastAsia" w:ascii="宋体" w:hAnsi="宋体" w:eastAsia="宋体"/>
          <w:b/>
          <w:bCs/>
          <w:sz w:val="24"/>
        </w:rPr>
        <w:t>1.3主要参加单位和工作组成员分工</w:t>
      </w:r>
    </w:p>
    <w:p w14:paraId="14937172">
      <w:pPr>
        <w:spacing w:after="0" w:line="360" w:lineRule="auto"/>
        <w:ind w:firstLine="480" w:firstLineChars="200"/>
        <w:jc w:val="both"/>
        <w:rPr>
          <w:rFonts w:hint="eastAsia" w:ascii="宋体" w:hAnsi="宋体" w:eastAsia="宋体"/>
          <w:sz w:val="24"/>
        </w:rPr>
      </w:pPr>
      <w:r>
        <w:rPr>
          <w:rFonts w:hint="eastAsia" w:ascii="宋体" w:hAnsi="宋体" w:eastAsia="宋体"/>
          <w:sz w:val="24"/>
        </w:rPr>
        <w:t>紫金矿业集团股份有限公司作为原标准起草单位，同时也是国内最大的矿产金生产企业之一，主要从事矿产资源勘查、金、铜矿采选及冶炼、珠宝首饰销售、矿产品分析测试、科研和技术服务等业务，统筹本次修订全流程工作。主要参编单位作用如下：有色金属技术经济研究院有限责任公司作为标准归口管理单位，统筹标准全流程编制、产业论证、体系协调及国际对标工作；山东招金金银精炼有限公司、金川集团股份有限公司为国内黄金精炼、冶炼领域骨干企业，为标准修订提供生产实践依据和实操性建议；</w:t>
      </w:r>
      <w:bookmarkStart w:id="13" w:name="_GoBack"/>
      <w:r>
        <w:rPr>
          <w:rFonts w:hint="eastAsia" w:ascii="宋体" w:hAnsi="宋体" w:eastAsia="宋体"/>
          <w:sz w:val="24"/>
        </w:rPr>
        <w:t>山东梦金园珠宝首饰有限公司作为黄金珠宝首饰加工企业，为标准修订提供金条应用端依据</w:t>
      </w:r>
      <w:bookmarkEnd w:id="13"/>
      <w:r>
        <w:rPr>
          <w:rFonts w:hint="eastAsia" w:ascii="宋体" w:hAnsi="宋体" w:eastAsia="宋体"/>
          <w:sz w:val="24"/>
        </w:rPr>
        <w:t>；长春黄金研究院有限公司从黄金行业科研技术研究方面为标准修订提供技术理论支撑和科研成果转化；深圳市中金岭南有色金属股份有限公司韶关冶炼厂参与杂质元素限量及化学分析方法制定；北京国首珠宝首饰检测有限公司作为第三方检测机构，为标准中的取样、仲裁分析方法、判定规则等提供科学性的实施规范；山东恒邦冶炼股份有限公司为黄金冶炼企业，参与取样、制样方法、杂质检测流程、判定规则的制定；西北有色金属研究院为标准修订提供技术理论及研究成果支撑；</w:t>
      </w:r>
      <w:r>
        <w:rPr>
          <w:rFonts w:ascii="宋体" w:hAnsi="宋体" w:eastAsia="宋体"/>
          <w:sz w:val="24"/>
        </w:rPr>
        <w:t>四川省天泽贵金属有限责任公司、贵研资源（易门）有限公司、南京市产品质量监督检验院（南京市质量发展与先进技术应用研究院）、山东省计量科学研究院、中宝正信金银珠宝首饰检测有限公司、山东中金岭南铜业有限责任公司为标准的技术指标及在实际应用中的</w:t>
      </w:r>
      <w:r>
        <w:rPr>
          <w:rFonts w:hint="eastAsia" w:ascii="宋体" w:hAnsi="宋体" w:eastAsia="宋体"/>
          <w:sz w:val="24"/>
        </w:rPr>
        <w:t>可操作性、准确性提供了</w:t>
      </w:r>
      <w:r>
        <w:rPr>
          <w:rFonts w:ascii="宋体" w:hAnsi="宋体" w:eastAsia="宋体"/>
          <w:sz w:val="24"/>
        </w:rPr>
        <w:t>充分的验证，</w:t>
      </w:r>
      <w:r>
        <w:rPr>
          <w:rFonts w:hint="eastAsia" w:ascii="宋体" w:hAnsi="宋体" w:eastAsia="宋体"/>
          <w:sz w:val="24"/>
        </w:rPr>
        <w:t>完善标准对应用领域及场景的覆盖。</w:t>
      </w:r>
    </w:p>
    <w:p w14:paraId="3551340A">
      <w:pPr>
        <w:spacing w:after="0" w:line="360" w:lineRule="auto"/>
        <w:ind w:firstLine="480" w:firstLineChars="200"/>
        <w:jc w:val="both"/>
        <w:rPr>
          <w:rFonts w:hint="eastAsia" w:ascii="宋体" w:hAnsi="宋体" w:eastAsia="宋体"/>
          <w:sz w:val="24"/>
        </w:rPr>
      </w:pPr>
      <w:r>
        <w:rPr>
          <w:rFonts w:ascii="宋体" w:hAnsi="宋体" w:eastAsia="宋体"/>
          <w:sz w:val="24"/>
        </w:rPr>
        <w:t>各参与单位紧密配合、各施所长，确保本次标准修订既立足我国金条产业生产、应用、检测的实际情况，又契合国际发展趋势和国家“质量强国”战略要求，保障标准的科学性、实用性、前瞻性和可操作性。</w:t>
      </w:r>
      <w:r>
        <w:rPr>
          <w:rFonts w:hint="eastAsia" w:ascii="宋体" w:hAnsi="宋体" w:eastAsia="宋体"/>
          <w:sz w:val="24"/>
        </w:rPr>
        <w:t>具体分工见下表：</w:t>
      </w:r>
    </w:p>
    <w:tbl>
      <w:tblPr>
        <w:tblStyle w:val="17"/>
        <w:tblW w:w="9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0"/>
        <w:gridCol w:w="3896"/>
        <w:gridCol w:w="3623"/>
      </w:tblGrid>
      <w:tr w14:paraId="72CF3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07462D84">
            <w:pPr>
              <w:spacing w:after="0" w:line="240" w:lineRule="auto"/>
              <w:jc w:val="center"/>
              <w:rPr>
                <w:rFonts w:hint="eastAsia" w:ascii="宋体" w:hAnsi="宋体" w:eastAsia="宋体"/>
                <w:sz w:val="21"/>
                <w:szCs w:val="21"/>
              </w:rPr>
            </w:pPr>
            <w:r>
              <w:rPr>
                <w:rFonts w:hint="eastAsia" w:ascii="宋体" w:hAnsi="宋体" w:eastAsia="宋体"/>
                <w:sz w:val="21"/>
                <w:szCs w:val="21"/>
              </w:rPr>
              <w:t>起草人</w:t>
            </w:r>
          </w:p>
        </w:tc>
        <w:tc>
          <w:tcPr>
            <w:tcW w:w="3896" w:type="dxa"/>
            <w:vAlign w:val="center"/>
          </w:tcPr>
          <w:p w14:paraId="2A4CD82D">
            <w:pPr>
              <w:spacing w:after="0" w:line="240" w:lineRule="auto"/>
              <w:jc w:val="center"/>
              <w:rPr>
                <w:rFonts w:hint="eastAsia" w:ascii="宋体" w:hAnsi="宋体" w:eastAsia="宋体"/>
                <w:sz w:val="21"/>
                <w:szCs w:val="21"/>
              </w:rPr>
            </w:pPr>
            <w:r>
              <w:rPr>
                <w:rFonts w:hint="eastAsia" w:ascii="宋体" w:hAnsi="宋体" w:eastAsia="宋体"/>
                <w:sz w:val="21"/>
                <w:szCs w:val="21"/>
              </w:rPr>
              <w:t>单位名称</w:t>
            </w:r>
          </w:p>
        </w:tc>
        <w:tc>
          <w:tcPr>
            <w:tcW w:w="3623" w:type="dxa"/>
            <w:vAlign w:val="center"/>
          </w:tcPr>
          <w:p w14:paraId="610E0B2A">
            <w:pPr>
              <w:spacing w:after="0" w:line="240" w:lineRule="auto"/>
              <w:jc w:val="center"/>
              <w:rPr>
                <w:rFonts w:hint="eastAsia" w:ascii="宋体" w:hAnsi="宋体" w:eastAsia="宋体"/>
                <w:sz w:val="21"/>
                <w:szCs w:val="21"/>
              </w:rPr>
            </w:pPr>
            <w:r>
              <w:rPr>
                <w:rFonts w:hint="eastAsia" w:ascii="宋体" w:hAnsi="宋体" w:eastAsia="宋体"/>
                <w:sz w:val="21"/>
                <w:szCs w:val="21"/>
              </w:rPr>
              <w:t>工作职责</w:t>
            </w:r>
          </w:p>
        </w:tc>
      </w:tr>
      <w:tr w14:paraId="25AD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0" w:type="dxa"/>
            <w:vAlign w:val="center"/>
          </w:tcPr>
          <w:p w14:paraId="1334FBE4">
            <w:pPr>
              <w:spacing w:after="0" w:line="240" w:lineRule="auto"/>
              <w:jc w:val="center"/>
              <w:rPr>
                <w:rFonts w:hint="eastAsia" w:ascii="宋体" w:hAnsi="宋体" w:eastAsia="宋体"/>
                <w:sz w:val="21"/>
                <w:szCs w:val="21"/>
              </w:rPr>
            </w:pPr>
            <w:r>
              <w:rPr>
                <w:rFonts w:hint="eastAsia" w:ascii="宋体" w:hAnsi="宋体" w:eastAsia="宋体"/>
                <w:sz w:val="21"/>
                <w:szCs w:val="21"/>
              </w:rPr>
              <w:t>邹来昌、吴健辉、陈祝海、罗荣根、夏秀娟、蔡创开</w:t>
            </w:r>
          </w:p>
        </w:tc>
        <w:tc>
          <w:tcPr>
            <w:tcW w:w="3896" w:type="dxa"/>
            <w:vAlign w:val="center"/>
          </w:tcPr>
          <w:p w14:paraId="72B00F19">
            <w:pPr>
              <w:spacing w:after="0" w:line="240" w:lineRule="auto"/>
              <w:jc w:val="center"/>
              <w:rPr>
                <w:rFonts w:hint="eastAsia" w:ascii="宋体" w:hAnsi="宋体" w:eastAsia="宋体"/>
                <w:sz w:val="21"/>
                <w:szCs w:val="21"/>
              </w:rPr>
            </w:pPr>
            <w:r>
              <w:rPr>
                <w:rFonts w:hint="eastAsia" w:ascii="宋体" w:hAnsi="宋体" w:eastAsia="宋体"/>
                <w:sz w:val="21"/>
                <w:szCs w:val="21"/>
              </w:rPr>
              <w:t>紫金矿业集团股份有限公司</w:t>
            </w:r>
          </w:p>
        </w:tc>
        <w:tc>
          <w:tcPr>
            <w:tcW w:w="3623" w:type="dxa"/>
            <w:vAlign w:val="center"/>
          </w:tcPr>
          <w:p w14:paraId="674037E7">
            <w:pPr>
              <w:spacing w:after="0" w:line="240" w:lineRule="auto"/>
              <w:jc w:val="center"/>
              <w:rPr>
                <w:rFonts w:hint="eastAsia" w:ascii="宋体" w:hAnsi="宋体" w:eastAsia="宋体"/>
                <w:sz w:val="21"/>
                <w:szCs w:val="21"/>
              </w:rPr>
            </w:pPr>
            <w:r>
              <w:rPr>
                <w:rFonts w:hint="eastAsia" w:ascii="宋体" w:hAnsi="宋体" w:eastAsia="宋体"/>
                <w:sz w:val="21"/>
                <w:szCs w:val="21"/>
              </w:rPr>
              <w:t>负责标准方案的制定，调研、汇总统计数据，对产品进行技术指标验证</w:t>
            </w:r>
          </w:p>
        </w:tc>
      </w:tr>
      <w:tr w14:paraId="128D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0C79B2BC">
            <w:pPr>
              <w:spacing w:after="0" w:line="240" w:lineRule="auto"/>
              <w:jc w:val="center"/>
              <w:rPr>
                <w:rFonts w:hint="eastAsia" w:ascii="宋体" w:hAnsi="宋体" w:eastAsia="宋体"/>
                <w:sz w:val="21"/>
                <w:szCs w:val="21"/>
              </w:rPr>
            </w:pPr>
            <w:r>
              <w:rPr>
                <w:rFonts w:hint="eastAsia" w:ascii="宋体" w:hAnsi="宋体" w:eastAsia="宋体"/>
                <w:sz w:val="21"/>
                <w:szCs w:val="21"/>
              </w:rPr>
              <w:t>向磊、冯彤彤</w:t>
            </w:r>
          </w:p>
        </w:tc>
        <w:tc>
          <w:tcPr>
            <w:tcW w:w="3896" w:type="dxa"/>
            <w:vAlign w:val="center"/>
          </w:tcPr>
          <w:p w14:paraId="33CA9204">
            <w:pPr>
              <w:spacing w:after="0" w:line="240" w:lineRule="auto"/>
              <w:jc w:val="center"/>
              <w:rPr>
                <w:rFonts w:hint="eastAsia" w:ascii="宋体" w:hAnsi="宋体" w:eastAsia="宋体"/>
                <w:sz w:val="21"/>
                <w:szCs w:val="21"/>
              </w:rPr>
            </w:pPr>
            <w:bookmarkStart w:id="3" w:name="OLE_LINK16"/>
            <w:r>
              <w:rPr>
                <w:rFonts w:hint="eastAsia" w:ascii="宋体" w:hAnsi="宋体" w:eastAsia="宋体"/>
                <w:sz w:val="21"/>
                <w:szCs w:val="21"/>
              </w:rPr>
              <w:t>有色金属技术经济研究院有限责任公司</w:t>
            </w:r>
            <w:bookmarkEnd w:id="3"/>
          </w:p>
        </w:tc>
        <w:tc>
          <w:tcPr>
            <w:tcW w:w="3623" w:type="dxa"/>
            <w:vAlign w:val="center"/>
          </w:tcPr>
          <w:p w14:paraId="7D50745F">
            <w:pPr>
              <w:spacing w:after="0" w:line="240" w:lineRule="auto"/>
              <w:jc w:val="center"/>
              <w:rPr>
                <w:rFonts w:hint="eastAsia" w:ascii="宋体" w:hAnsi="宋体" w:eastAsia="宋体"/>
                <w:sz w:val="21"/>
                <w:szCs w:val="21"/>
              </w:rPr>
            </w:pPr>
            <w:r>
              <w:rPr>
                <w:rFonts w:hint="eastAsia" w:ascii="宋体" w:hAnsi="宋体" w:eastAsia="宋体"/>
                <w:sz w:val="21"/>
                <w:szCs w:val="21"/>
              </w:rPr>
              <w:t>负责标准文本规范性、归口协调、调研等</w:t>
            </w:r>
          </w:p>
        </w:tc>
      </w:tr>
      <w:tr w14:paraId="0D7A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7A71996E">
            <w:pPr>
              <w:spacing w:after="0" w:line="240" w:lineRule="auto"/>
              <w:jc w:val="center"/>
              <w:rPr>
                <w:rFonts w:hint="eastAsia" w:ascii="宋体" w:hAnsi="宋体" w:eastAsia="宋体"/>
                <w:sz w:val="21"/>
                <w:szCs w:val="21"/>
              </w:rPr>
            </w:pPr>
            <w:r>
              <w:rPr>
                <w:rFonts w:hint="eastAsia" w:ascii="宋体" w:hAnsi="宋体" w:eastAsia="宋体"/>
                <w:sz w:val="21"/>
                <w:szCs w:val="21"/>
              </w:rPr>
              <w:t>钱虎、李尚远</w:t>
            </w:r>
          </w:p>
        </w:tc>
        <w:tc>
          <w:tcPr>
            <w:tcW w:w="3896" w:type="dxa"/>
            <w:vAlign w:val="center"/>
          </w:tcPr>
          <w:p w14:paraId="7317FB7F">
            <w:pPr>
              <w:spacing w:after="0" w:line="240" w:lineRule="auto"/>
              <w:jc w:val="center"/>
              <w:rPr>
                <w:rFonts w:hint="eastAsia" w:ascii="宋体" w:hAnsi="宋体" w:eastAsia="宋体"/>
                <w:sz w:val="21"/>
                <w:szCs w:val="21"/>
              </w:rPr>
            </w:pPr>
            <w:r>
              <w:rPr>
                <w:rFonts w:hint="eastAsia" w:ascii="宋体" w:hAnsi="宋体" w:eastAsia="宋体"/>
                <w:sz w:val="21"/>
                <w:szCs w:val="21"/>
              </w:rPr>
              <w:t>山东招金金银精炼有限公司</w:t>
            </w:r>
          </w:p>
        </w:tc>
        <w:tc>
          <w:tcPr>
            <w:tcW w:w="3623" w:type="dxa"/>
            <w:vAlign w:val="center"/>
          </w:tcPr>
          <w:p w14:paraId="7A183371">
            <w:pPr>
              <w:spacing w:after="0" w:line="240" w:lineRule="auto"/>
              <w:jc w:val="center"/>
              <w:rPr>
                <w:rFonts w:hint="eastAsia" w:ascii="宋体" w:hAnsi="宋体" w:eastAsia="宋体"/>
                <w:sz w:val="21"/>
                <w:szCs w:val="21"/>
              </w:rPr>
            </w:pPr>
            <w:bookmarkStart w:id="4" w:name="OLE_LINK4"/>
            <w:r>
              <w:rPr>
                <w:rFonts w:hint="eastAsia" w:ascii="宋体" w:hAnsi="宋体" w:eastAsia="宋体"/>
                <w:sz w:val="21"/>
                <w:szCs w:val="21"/>
              </w:rPr>
              <w:t>负责对产品进行技术指标的验证</w:t>
            </w:r>
            <w:bookmarkEnd w:id="4"/>
          </w:p>
        </w:tc>
      </w:tr>
      <w:tr w14:paraId="37B4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2A5198D1">
            <w:pPr>
              <w:spacing w:after="0" w:line="240" w:lineRule="auto"/>
              <w:jc w:val="center"/>
              <w:rPr>
                <w:rFonts w:hint="eastAsia" w:ascii="宋体" w:hAnsi="宋体" w:eastAsia="宋体"/>
                <w:sz w:val="21"/>
                <w:szCs w:val="21"/>
              </w:rPr>
            </w:pPr>
            <w:r>
              <w:rPr>
                <w:rFonts w:hint="eastAsia" w:ascii="宋体" w:hAnsi="宋体" w:eastAsia="宋体"/>
                <w:sz w:val="21"/>
                <w:szCs w:val="21"/>
              </w:rPr>
              <w:t>周文茜、杨万虎</w:t>
            </w:r>
          </w:p>
        </w:tc>
        <w:tc>
          <w:tcPr>
            <w:tcW w:w="3896" w:type="dxa"/>
            <w:vAlign w:val="center"/>
          </w:tcPr>
          <w:p w14:paraId="17604785">
            <w:pPr>
              <w:spacing w:after="0" w:line="240" w:lineRule="auto"/>
              <w:jc w:val="center"/>
              <w:rPr>
                <w:rFonts w:hint="eastAsia" w:ascii="宋体" w:hAnsi="宋体" w:eastAsia="宋体"/>
                <w:sz w:val="21"/>
                <w:szCs w:val="21"/>
              </w:rPr>
            </w:pPr>
            <w:r>
              <w:rPr>
                <w:rFonts w:hint="eastAsia" w:ascii="宋体" w:hAnsi="宋体" w:eastAsia="宋体"/>
                <w:sz w:val="21"/>
                <w:szCs w:val="21"/>
              </w:rPr>
              <w:t>金川集团股份有限公司</w:t>
            </w:r>
          </w:p>
        </w:tc>
        <w:tc>
          <w:tcPr>
            <w:tcW w:w="3623" w:type="dxa"/>
            <w:vAlign w:val="center"/>
          </w:tcPr>
          <w:p w14:paraId="63A478A1">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负责对产品进行技术指标的验证</w:t>
            </w:r>
          </w:p>
        </w:tc>
      </w:tr>
      <w:tr w14:paraId="0891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282A31FD">
            <w:pPr>
              <w:spacing w:after="0" w:line="240" w:lineRule="auto"/>
              <w:jc w:val="center"/>
              <w:rPr>
                <w:rFonts w:hint="eastAsia" w:ascii="宋体" w:hAnsi="宋体" w:eastAsia="宋体" w:cs="宋体"/>
                <w:kern w:val="0"/>
                <w:sz w:val="24"/>
                <w14:ligatures w14:val="none"/>
              </w:rPr>
            </w:pPr>
            <w:r>
              <w:rPr>
                <w:rFonts w:hint="eastAsia" w:ascii="宋体" w:hAnsi="宋体" w:eastAsia="宋体"/>
                <w:sz w:val="21"/>
                <w:szCs w:val="21"/>
              </w:rPr>
              <w:t>王国鑫、秦学敏</w:t>
            </w:r>
          </w:p>
        </w:tc>
        <w:tc>
          <w:tcPr>
            <w:tcW w:w="3896" w:type="dxa"/>
            <w:vAlign w:val="center"/>
          </w:tcPr>
          <w:p w14:paraId="75CC7399">
            <w:pPr>
              <w:spacing w:after="0" w:line="240" w:lineRule="auto"/>
              <w:jc w:val="center"/>
              <w:rPr>
                <w:rFonts w:hint="eastAsia" w:ascii="宋体" w:hAnsi="宋体" w:eastAsia="宋体"/>
                <w:sz w:val="21"/>
                <w:szCs w:val="21"/>
              </w:rPr>
            </w:pPr>
            <w:r>
              <w:rPr>
                <w:rFonts w:hint="eastAsia" w:ascii="宋体" w:hAnsi="宋体" w:eastAsia="宋体"/>
                <w:sz w:val="21"/>
                <w:szCs w:val="21"/>
              </w:rPr>
              <w:t>山东梦金园珠宝首饰有限公司</w:t>
            </w:r>
          </w:p>
        </w:tc>
        <w:tc>
          <w:tcPr>
            <w:tcW w:w="3623" w:type="dxa"/>
            <w:vAlign w:val="center"/>
          </w:tcPr>
          <w:p w14:paraId="3F7BB9BB">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533B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0AD6796C">
            <w:pPr>
              <w:spacing w:after="0" w:line="240" w:lineRule="auto"/>
              <w:jc w:val="center"/>
              <w:rPr>
                <w:rFonts w:hint="eastAsia" w:ascii="宋体" w:hAnsi="宋体" w:eastAsia="宋体"/>
                <w:sz w:val="21"/>
                <w:szCs w:val="21"/>
              </w:rPr>
            </w:pPr>
            <w:r>
              <w:rPr>
                <w:rFonts w:hint="eastAsia" w:ascii="宋体" w:hAnsi="宋体" w:eastAsia="宋体"/>
                <w:sz w:val="21"/>
                <w:szCs w:val="21"/>
              </w:rPr>
              <w:t>李延吉、葛仲义</w:t>
            </w:r>
          </w:p>
        </w:tc>
        <w:tc>
          <w:tcPr>
            <w:tcW w:w="3896" w:type="dxa"/>
            <w:vAlign w:val="center"/>
          </w:tcPr>
          <w:p w14:paraId="60FCE9EA">
            <w:pPr>
              <w:spacing w:after="0" w:line="240" w:lineRule="auto"/>
              <w:jc w:val="center"/>
              <w:rPr>
                <w:rFonts w:hint="eastAsia" w:ascii="宋体" w:hAnsi="宋体" w:eastAsia="宋体"/>
                <w:sz w:val="21"/>
                <w:szCs w:val="21"/>
              </w:rPr>
            </w:pPr>
            <w:r>
              <w:rPr>
                <w:rFonts w:hint="eastAsia" w:ascii="宋体" w:hAnsi="宋体" w:eastAsia="宋体"/>
                <w:sz w:val="21"/>
                <w:szCs w:val="21"/>
              </w:rPr>
              <w:t>长春黄金研究院有限公司</w:t>
            </w:r>
          </w:p>
        </w:tc>
        <w:tc>
          <w:tcPr>
            <w:tcW w:w="3623" w:type="dxa"/>
            <w:vAlign w:val="center"/>
          </w:tcPr>
          <w:p w14:paraId="61A6B35C">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负责对产品进行技术指标的验证、规范标准文本</w:t>
            </w:r>
          </w:p>
        </w:tc>
      </w:tr>
      <w:tr w14:paraId="1642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3F8F1058">
            <w:pPr>
              <w:spacing w:after="0" w:line="240" w:lineRule="auto"/>
              <w:jc w:val="center"/>
              <w:rPr>
                <w:rFonts w:hint="eastAsia" w:ascii="宋体" w:hAnsi="宋体" w:eastAsia="宋体"/>
                <w:sz w:val="21"/>
                <w:szCs w:val="21"/>
              </w:rPr>
            </w:pPr>
            <w:r>
              <w:rPr>
                <w:rFonts w:hint="eastAsia" w:ascii="宋体" w:hAnsi="宋体" w:eastAsia="宋体"/>
                <w:sz w:val="21"/>
                <w:szCs w:val="21"/>
              </w:rPr>
              <w:t>赖景明</w:t>
            </w:r>
          </w:p>
        </w:tc>
        <w:tc>
          <w:tcPr>
            <w:tcW w:w="3896" w:type="dxa"/>
            <w:vAlign w:val="center"/>
          </w:tcPr>
          <w:p w14:paraId="6E72E2CC">
            <w:pPr>
              <w:spacing w:after="0" w:line="240" w:lineRule="auto"/>
              <w:jc w:val="center"/>
              <w:rPr>
                <w:rFonts w:hint="eastAsia" w:ascii="宋体" w:hAnsi="宋体" w:eastAsia="宋体"/>
                <w:sz w:val="21"/>
                <w:szCs w:val="21"/>
              </w:rPr>
            </w:pPr>
            <w:r>
              <w:rPr>
                <w:rFonts w:hint="eastAsia" w:ascii="宋体" w:hAnsi="宋体" w:eastAsia="宋体"/>
                <w:sz w:val="21"/>
                <w:szCs w:val="21"/>
              </w:rPr>
              <w:t>深圳市中金岭南有色金属股份有限公司韶关冶炼厂</w:t>
            </w:r>
          </w:p>
        </w:tc>
        <w:tc>
          <w:tcPr>
            <w:tcW w:w="3623" w:type="dxa"/>
            <w:vAlign w:val="center"/>
          </w:tcPr>
          <w:p w14:paraId="48739C5A">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218C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7DFD8CB7">
            <w:pPr>
              <w:spacing w:after="0" w:line="240" w:lineRule="auto"/>
              <w:jc w:val="center"/>
              <w:rPr>
                <w:rFonts w:hint="eastAsia" w:ascii="宋体" w:hAnsi="宋体" w:eastAsia="宋体"/>
                <w:sz w:val="21"/>
                <w:szCs w:val="21"/>
              </w:rPr>
            </w:pPr>
            <w:r>
              <w:rPr>
                <w:rFonts w:hint="eastAsia" w:ascii="宋体" w:hAnsi="宋体" w:eastAsia="宋体"/>
                <w:sz w:val="21"/>
                <w:szCs w:val="21"/>
              </w:rPr>
              <w:t>李素青</w:t>
            </w:r>
          </w:p>
        </w:tc>
        <w:tc>
          <w:tcPr>
            <w:tcW w:w="3896" w:type="dxa"/>
            <w:vAlign w:val="center"/>
          </w:tcPr>
          <w:p w14:paraId="030C31C2">
            <w:pPr>
              <w:spacing w:after="0" w:line="240" w:lineRule="auto"/>
              <w:jc w:val="center"/>
              <w:rPr>
                <w:rFonts w:hint="eastAsia" w:ascii="宋体" w:hAnsi="宋体" w:eastAsia="宋体"/>
                <w:sz w:val="21"/>
                <w:szCs w:val="21"/>
              </w:rPr>
            </w:pPr>
            <w:r>
              <w:rPr>
                <w:rFonts w:hint="eastAsia" w:ascii="宋体" w:hAnsi="宋体" w:eastAsia="宋体"/>
                <w:sz w:val="21"/>
                <w:szCs w:val="21"/>
              </w:rPr>
              <w:t>北京国首珠宝首饰检测有限公司</w:t>
            </w:r>
          </w:p>
        </w:tc>
        <w:tc>
          <w:tcPr>
            <w:tcW w:w="3623" w:type="dxa"/>
            <w:vAlign w:val="center"/>
          </w:tcPr>
          <w:p w14:paraId="05DD9AE6">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057B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177F01DC">
            <w:pPr>
              <w:spacing w:after="0" w:line="240" w:lineRule="auto"/>
              <w:jc w:val="center"/>
              <w:rPr>
                <w:rFonts w:hint="eastAsia" w:ascii="宋体" w:hAnsi="宋体" w:eastAsia="宋体"/>
                <w:sz w:val="21"/>
                <w:szCs w:val="21"/>
              </w:rPr>
            </w:pPr>
            <w:r>
              <w:rPr>
                <w:rFonts w:hint="eastAsia" w:ascii="宋体" w:hAnsi="宋体" w:eastAsia="宋体"/>
                <w:sz w:val="21"/>
                <w:szCs w:val="21"/>
              </w:rPr>
              <w:t>王守乾</w:t>
            </w:r>
          </w:p>
        </w:tc>
        <w:tc>
          <w:tcPr>
            <w:tcW w:w="3896" w:type="dxa"/>
            <w:vAlign w:val="center"/>
          </w:tcPr>
          <w:p w14:paraId="7E770C2E">
            <w:pPr>
              <w:spacing w:after="0" w:line="240" w:lineRule="auto"/>
              <w:jc w:val="center"/>
              <w:rPr>
                <w:rFonts w:hint="eastAsia" w:ascii="宋体" w:hAnsi="宋体" w:eastAsia="宋体"/>
                <w:sz w:val="21"/>
                <w:szCs w:val="21"/>
              </w:rPr>
            </w:pPr>
            <w:r>
              <w:rPr>
                <w:rFonts w:hint="eastAsia" w:ascii="宋体" w:hAnsi="宋体" w:eastAsia="宋体"/>
                <w:sz w:val="21"/>
                <w:szCs w:val="21"/>
              </w:rPr>
              <w:t>山东恒邦冶炼股份有限公司</w:t>
            </w:r>
          </w:p>
        </w:tc>
        <w:tc>
          <w:tcPr>
            <w:tcW w:w="3623" w:type="dxa"/>
            <w:vAlign w:val="center"/>
          </w:tcPr>
          <w:p w14:paraId="381B2C32">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32CC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7B437A3">
            <w:pPr>
              <w:spacing w:after="0" w:line="240" w:lineRule="auto"/>
              <w:jc w:val="center"/>
              <w:rPr>
                <w:rFonts w:hint="eastAsia" w:ascii="宋体" w:hAnsi="宋体" w:eastAsia="宋体"/>
                <w:sz w:val="21"/>
                <w:szCs w:val="21"/>
              </w:rPr>
            </w:pPr>
            <w:r>
              <w:rPr>
                <w:rFonts w:hint="eastAsia" w:ascii="宋体" w:hAnsi="宋体" w:eastAsia="宋体"/>
                <w:sz w:val="21"/>
                <w:szCs w:val="21"/>
              </w:rPr>
              <w:t>张卜升</w:t>
            </w:r>
          </w:p>
        </w:tc>
        <w:tc>
          <w:tcPr>
            <w:tcW w:w="3896" w:type="dxa"/>
            <w:vAlign w:val="center"/>
          </w:tcPr>
          <w:p w14:paraId="07C74EF2">
            <w:pPr>
              <w:spacing w:after="0" w:line="240" w:lineRule="auto"/>
              <w:jc w:val="center"/>
              <w:rPr>
                <w:rFonts w:hint="eastAsia" w:ascii="宋体" w:hAnsi="宋体" w:eastAsia="宋体"/>
                <w:sz w:val="21"/>
                <w:szCs w:val="21"/>
              </w:rPr>
            </w:pPr>
            <w:r>
              <w:rPr>
                <w:rFonts w:hint="eastAsia" w:ascii="宋体" w:hAnsi="宋体" w:eastAsia="宋体"/>
                <w:sz w:val="21"/>
                <w:szCs w:val="21"/>
              </w:rPr>
              <w:t>西北有色金属研究院</w:t>
            </w:r>
          </w:p>
        </w:tc>
        <w:tc>
          <w:tcPr>
            <w:tcW w:w="3623" w:type="dxa"/>
            <w:vAlign w:val="center"/>
          </w:tcPr>
          <w:p w14:paraId="042C4E85">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7F2D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0" w:type="dxa"/>
            <w:vAlign w:val="center"/>
          </w:tcPr>
          <w:p w14:paraId="797C58BF">
            <w:pPr>
              <w:spacing w:after="0" w:line="240" w:lineRule="auto"/>
              <w:jc w:val="center"/>
              <w:rPr>
                <w:rFonts w:hint="eastAsia" w:ascii="宋体" w:hAnsi="宋体" w:eastAsia="宋体"/>
                <w:sz w:val="21"/>
                <w:szCs w:val="21"/>
              </w:rPr>
            </w:pPr>
            <w:r>
              <w:rPr>
                <w:rFonts w:hint="eastAsia" w:ascii="宋体" w:hAnsi="宋体" w:eastAsia="宋体"/>
                <w:sz w:val="21"/>
                <w:szCs w:val="21"/>
              </w:rPr>
              <w:t>钟新海</w:t>
            </w:r>
          </w:p>
        </w:tc>
        <w:tc>
          <w:tcPr>
            <w:tcW w:w="3896" w:type="dxa"/>
            <w:vAlign w:val="center"/>
          </w:tcPr>
          <w:p w14:paraId="32659199">
            <w:pPr>
              <w:spacing w:after="0" w:line="240" w:lineRule="auto"/>
              <w:jc w:val="center"/>
              <w:rPr>
                <w:rFonts w:hint="eastAsia" w:ascii="宋体" w:hAnsi="宋体" w:eastAsia="宋体"/>
                <w:sz w:val="21"/>
                <w:szCs w:val="21"/>
              </w:rPr>
            </w:pPr>
            <w:r>
              <w:rPr>
                <w:rFonts w:hint="eastAsia" w:ascii="宋体" w:hAnsi="宋体" w:eastAsia="宋体"/>
                <w:sz w:val="21"/>
                <w:szCs w:val="21"/>
              </w:rPr>
              <w:t>四川省天泽贵金属有限责任公司</w:t>
            </w:r>
          </w:p>
        </w:tc>
        <w:tc>
          <w:tcPr>
            <w:tcW w:w="3623" w:type="dxa"/>
            <w:vAlign w:val="center"/>
          </w:tcPr>
          <w:p w14:paraId="7D8F57F2">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7F25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1C79835F">
            <w:pPr>
              <w:spacing w:after="0" w:line="240" w:lineRule="auto"/>
              <w:jc w:val="center"/>
              <w:rPr>
                <w:rFonts w:hint="eastAsia" w:ascii="宋体" w:hAnsi="宋体" w:eastAsia="宋体"/>
                <w:sz w:val="21"/>
                <w:szCs w:val="21"/>
              </w:rPr>
            </w:pPr>
            <w:r>
              <w:rPr>
                <w:rFonts w:hint="eastAsia" w:ascii="宋体" w:hAnsi="宋体" w:eastAsia="宋体"/>
                <w:sz w:val="21"/>
                <w:szCs w:val="21"/>
              </w:rPr>
              <w:t>韩继标</w:t>
            </w:r>
          </w:p>
        </w:tc>
        <w:tc>
          <w:tcPr>
            <w:tcW w:w="3896" w:type="dxa"/>
            <w:vAlign w:val="center"/>
          </w:tcPr>
          <w:p w14:paraId="7CB19479">
            <w:pPr>
              <w:spacing w:after="0" w:line="240" w:lineRule="auto"/>
              <w:jc w:val="center"/>
              <w:rPr>
                <w:rFonts w:hint="eastAsia" w:ascii="宋体" w:hAnsi="宋体" w:eastAsia="宋体"/>
                <w:sz w:val="21"/>
                <w:szCs w:val="21"/>
              </w:rPr>
            </w:pPr>
            <w:r>
              <w:rPr>
                <w:rFonts w:hint="eastAsia" w:ascii="宋体" w:hAnsi="宋体" w:eastAsia="宋体"/>
                <w:sz w:val="21"/>
                <w:szCs w:val="21"/>
              </w:rPr>
              <w:t>贵研资源（易门）有限公司</w:t>
            </w:r>
          </w:p>
        </w:tc>
        <w:tc>
          <w:tcPr>
            <w:tcW w:w="3623" w:type="dxa"/>
            <w:vAlign w:val="center"/>
          </w:tcPr>
          <w:p w14:paraId="4399D24E">
            <w:pPr>
              <w:spacing w:after="0" w:line="240" w:lineRule="auto"/>
              <w:jc w:val="center"/>
              <w:rPr>
                <w:rFonts w:hint="eastAsia" w:ascii="宋体" w:hAnsi="宋体" w:eastAsia="宋体"/>
                <w:sz w:val="21"/>
                <w:szCs w:val="21"/>
              </w:rPr>
            </w:pPr>
            <w:bookmarkStart w:id="5" w:name="OLE_LINK5"/>
            <w:r>
              <w:rPr>
                <w:rFonts w:hint="eastAsia" w:ascii="宋体" w:hAnsi="宋体" w:eastAsia="宋体"/>
                <w:sz w:val="21"/>
                <w:szCs w:val="21"/>
              </w:rPr>
              <w:t>负责对产品的技术指标和产品的使用情况提出建议</w:t>
            </w:r>
            <w:bookmarkEnd w:id="5"/>
          </w:p>
        </w:tc>
      </w:tr>
      <w:tr w14:paraId="48AD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674FAAC7">
            <w:pPr>
              <w:spacing w:after="0" w:line="240" w:lineRule="auto"/>
              <w:jc w:val="center"/>
              <w:rPr>
                <w:rFonts w:hint="eastAsia" w:ascii="宋体" w:hAnsi="宋体" w:eastAsia="宋体"/>
                <w:sz w:val="21"/>
                <w:szCs w:val="21"/>
              </w:rPr>
            </w:pPr>
            <w:r>
              <w:rPr>
                <w:rFonts w:hint="eastAsia" w:ascii="宋体" w:hAnsi="宋体" w:eastAsia="宋体"/>
                <w:sz w:val="21"/>
                <w:szCs w:val="21"/>
              </w:rPr>
              <w:t>高瑞峰</w:t>
            </w:r>
          </w:p>
        </w:tc>
        <w:tc>
          <w:tcPr>
            <w:tcW w:w="3896" w:type="dxa"/>
            <w:vAlign w:val="center"/>
          </w:tcPr>
          <w:p w14:paraId="76579099">
            <w:pPr>
              <w:spacing w:after="0" w:line="240" w:lineRule="auto"/>
              <w:jc w:val="center"/>
              <w:rPr>
                <w:rFonts w:hint="eastAsia" w:ascii="宋体" w:hAnsi="宋体" w:eastAsia="宋体"/>
                <w:sz w:val="21"/>
                <w:szCs w:val="21"/>
              </w:rPr>
            </w:pPr>
            <w:r>
              <w:rPr>
                <w:rFonts w:hint="eastAsia" w:ascii="宋体" w:hAnsi="宋体" w:eastAsia="宋体"/>
                <w:sz w:val="21"/>
                <w:szCs w:val="21"/>
              </w:rPr>
              <w:t>南京市产品质量监督检验院（南京市质量发展与先进技术应用研究院）</w:t>
            </w:r>
          </w:p>
        </w:tc>
        <w:tc>
          <w:tcPr>
            <w:tcW w:w="3623" w:type="dxa"/>
            <w:vAlign w:val="center"/>
          </w:tcPr>
          <w:p w14:paraId="18532489">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4A0D5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3F18CF47">
            <w:pPr>
              <w:spacing w:after="0" w:line="240" w:lineRule="auto"/>
              <w:jc w:val="center"/>
              <w:rPr>
                <w:rFonts w:hint="eastAsia" w:ascii="宋体" w:hAnsi="宋体" w:eastAsia="宋体"/>
                <w:sz w:val="21"/>
                <w:szCs w:val="21"/>
              </w:rPr>
            </w:pPr>
            <w:r>
              <w:rPr>
                <w:rFonts w:hint="eastAsia" w:ascii="宋体" w:hAnsi="宋体" w:eastAsia="宋体"/>
                <w:sz w:val="21"/>
                <w:szCs w:val="21"/>
              </w:rPr>
              <w:t>刘海彬</w:t>
            </w:r>
          </w:p>
        </w:tc>
        <w:tc>
          <w:tcPr>
            <w:tcW w:w="3896" w:type="dxa"/>
            <w:vAlign w:val="center"/>
          </w:tcPr>
          <w:p w14:paraId="35D4B7FA">
            <w:pPr>
              <w:spacing w:after="0" w:line="240" w:lineRule="auto"/>
              <w:jc w:val="center"/>
              <w:rPr>
                <w:rFonts w:hint="eastAsia" w:ascii="宋体" w:hAnsi="宋体" w:eastAsia="宋体"/>
                <w:sz w:val="21"/>
                <w:szCs w:val="21"/>
              </w:rPr>
            </w:pPr>
            <w:r>
              <w:rPr>
                <w:rFonts w:hint="eastAsia" w:ascii="宋体" w:hAnsi="宋体" w:eastAsia="宋体"/>
                <w:sz w:val="21"/>
                <w:szCs w:val="21"/>
              </w:rPr>
              <w:t>山东省计量科学研究院</w:t>
            </w:r>
          </w:p>
        </w:tc>
        <w:tc>
          <w:tcPr>
            <w:tcW w:w="3623" w:type="dxa"/>
            <w:vAlign w:val="center"/>
          </w:tcPr>
          <w:p w14:paraId="3CA2BBDA">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373A5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0" w:type="dxa"/>
            <w:vAlign w:val="center"/>
          </w:tcPr>
          <w:p w14:paraId="7E0FF2A2">
            <w:pPr>
              <w:spacing w:after="0" w:line="240" w:lineRule="auto"/>
              <w:jc w:val="center"/>
              <w:rPr>
                <w:rFonts w:hint="eastAsia" w:ascii="宋体" w:hAnsi="宋体" w:eastAsia="宋体"/>
                <w:sz w:val="21"/>
                <w:szCs w:val="21"/>
              </w:rPr>
            </w:pPr>
            <w:r>
              <w:rPr>
                <w:rFonts w:hint="eastAsia" w:ascii="宋体" w:hAnsi="宋体" w:eastAsia="宋体"/>
                <w:sz w:val="21"/>
                <w:szCs w:val="21"/>
              </w:rPr>
              <w:t>孙芳</w:t>
            </w:r>
          </w:p>
        </w:tc>
        <w:tc>
          <w:tcPr>
            <w:tcW w:w="3896" w:type="dxa"/>
            <w:vAlign w:val="center"/>
          </w:tcPr>
          <w:p w14:paraId="44DC231E">
            <w:pPr>
              <w:spacing w:after="0" w:line="240" w:lineRule="auto"/>
              <w:jc w:val="center"/>
              <w:rPr>
                <w:rFonts w:hint="eastAsia" w:ascii="宋体" w:hAnsi="宋体" w:eastAsia="宋体"/>
                <w:sz w:val="21"/>
                <w:szCs w:val="21"/>
              </w:rPr>
            </w:pPr>
            <w:bookmarkStart w:id="6" w:name="OLE_LINK7"/>
            <w:r>
              <w:rPr>
                <w:rFonts w:hint="eastAsia" w:ascii="宋体" w:hAnsi="宋体" w:eastAsia="宋体"/>
                <w:sz w:val="21"/>
                <w:szCs w:val="21"/>
              </w:rPr>
              <w:t>中宝正信金银珠宝首饰检测有限公司</w:t>
            </w:r>
            <w:bookmarkEnd w:id="6"/>
          </w:p>
        </w:tc>
        <w:tc>
          <w:tcPr>
            <w:tcW w:w="3623" w:type="dxa"/>
            <w:vAlign w:val="center"/>
          </w:tcPr>
          <w:p w14:paraId="4C3C0FE3">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r w14:paraId="4CC7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950" w:type="dxa"/>
            <w:vAlign w:val="center"/>
          </w:tcPr>
          <w:p w14:paraId="542B450C">
            <w:pPr>
              <w:spacing w:after="0" w:line="240" w:lineRule="auto"/>
              <w:jc w:val="center"/>
              <w:rPr>
                <w:rFonts w:hint="eastAsia" w:ascii="宋体" w:hAnsi="宋体" w:eastAsia="宋体"/>
                <w:sz w:val="21"/>
                <w:szCs w:val="21"/>
              </w:rPr>
            </w:pPr>
            <w:r>
              <w:rPr>
                <w:rFonts w:hint="eastAsia" w:ascii="宋体" w:hAnsi="宋体" w:eastAsia="宋体"/>
                <w:sz w:val="21"/>
                <w:szCs w:val="21"/>
              </w:rPr>
              <w:t>王华英</w:t>
            </w:r>
          </w:p>
        </w:tc>
        <w:tc>
          <w:tcPr>
            <w:tcW w:w="3896" w:type="dxa"/>
            <w:vAlign w:val="center"/>
          </w:tcPr>
          <w:p w14:paraId="1B04D2B3">
            <w:pPr>
              <w:spacing w:after="0" w:line="240" w:lineRule="auto"/>
              <w:jc w:val="center"/>
              <w:rPr>
                <w:rFonts w:hint="eastAsia" w:ascii="宋体" w:hAnsi="宋体" w:eastAsia="宋体"/>
                <w:sz w:val="21"/>
                <w:szCs w:val="21"/>
              </w:rPr>
            </w:pPr>
            <w:r>
              <w:rPr>
                <w:rFonts w:hint="eastAsia" w:ascii="宋体" w:hAnsi="宋体" w:eastAsia="宋体"/>
                <w:sz w:val="21"/>
                <w:szCs w:val="21"/>
              </w:rPr>
              <w:t>山东中金岭南铜业有限责任公司</w:t>
            </w:r>
          </w:p>
        </w:tc>
        <w:tc>
          <w:tcPr>
            <w:tcW w:w="3623" w:type="dxa"/>
            <w:vAlign w:val="center"/>
          </w:tcPr>
          <w:p w14:paraId="2313E1BD">
            <w:pPr>
              <w:spacing w:after="0" w:line="240" w:lineRule="auto"/>
              <w:jc w:val="center"/>
              <w:rPr>
                <w:rFonts w:hint="eastAsia" w:ascii="宋体" w:hAnsi="宋体" w:eastAsia="宋体"/>
                <w:sz w:val="21"/>
                <w:szCs w:val="21"/>
              </w:rPr>
            </w:pPr>
            <w:r>
              <w:rPr>
                <w:rFonts w:hint="eastAsia" w:ascii="宋体" w:hAnsi="宋体" w:eastAsia="宋体"/>
                <w:sz w:val="21"/>
                <w:szCs w:val="21"/>
              </w:rPr>
              <w:t>负责对产品的技术指标和产品的使用情况提出建议</w:t>
            </w:r>
          </w:p>
        </w:tc>
      </w:tr>
    </w:tbl>
    <w:p w14:paraId="29D4A203">
      <w:pPr>
        <w:spacing w:after="0" w:line="360" w:lineRule="auto"/>
        <w:rPr>
          <w:rFonts w:hint="eastAsia" w:ascii="宋体" w:hAnsi="宋体" w:eastAsia="宋体"/>
          <w:b/>
          <w:bCs/>
          <w:sz w:val="24"/>
        </w:rPr>
      </w:pPr>
      <w:r>
        <w:rPr>
          <w:rFonts w:hint="eastAsia" w:ascii="宋体" w:hAnsi="宋体" w:eastAsia="宋体"/>
          <w:b/>
          <w:bCs/>
          <w:sz w:val="24"/>
        </w:rPr>
        <w:t>1.4主要工作过程</w:t>
      </w:r>
    </w:p>
    <w:p w14:paraId="5D5824C1">
      <w:pPr>
        <w:spacing w:after="0" w:line="360" w:lineRule="auto"/>
        <w:rPr>
          <w:rFonts w:hint="eastAsia" w:ascii="宋体" w:hAnsi="宋体" w:eastAsia="宋体"/>
          <w:b/>
          <w:bCs/>
          <w:sz w:val="21"/>
          <w:szCs w:val="21"/>
        </w:rPr>
      </w:pPr>
      <w:r>
        <w:rPr>
          <w:rFonts w:hint="eastAsia" w:ascii="宋体" w:hAnsi="宋体" w:eastAsia="宋体"/>
          <w:b/>
          <w:bCs/>
          <w:sz w:val="24"/>
        </w:rPr>
        <w:t>1.4.1 标准复审</w:t>
      </w:r>
    </w:p>
    <w:p w14:paraId="1986EDE3">
      <w:pPr>
        <w:spacing w:after="0" w:line="360" w:lineRule="auto"/>
        <w:ind w:firstLine="480" w:firstLineChars="200"/>
        <w:jc w:val="both"/>
        <w:rPr>
          <w:rFonts w:hint="eastAsia" w:ascii="宋体" w:hAnsi="宋体" w:eastAsia="宋体"/>
          <w:sz w:val="24"/>
        </w:rPr>
      </w:pPr>
      <w:r>
        <w:rPr>
          <w:rFonts w:hint="eastAsia" w:ascii="宋体" w:hAnsi="宋体" w:eastAsia="宋体"/>
          <w:sz w:val="24"/>
        </w:rPr>
        <w:t>接到复审通知后，</w:t>
      </w:r>
      <w:r>
        <w:rPr>
          <w:rFonts w:ascii="宋体" w:hAnsi="宋体" w:eastAsia="宋体"/>
          <w:sz w:val="24"/>
        </w:rPr>
        <w:t>紫金矿业集团股份有限公司广泛调研国内金条生产企业、金融投资机构、检测机构及下游应用领域，梳理现行标准实施中存在的问题，收集行业对金条牌号、规格、检测、包装等方面的新需求；同时研究国际黄金产品通行标准，分析我国标准与国际标准的差异，为标准拟修订内容奠定实践和理论基础。</w:t>
      </w:r>
    </w:p>
    <w:p w14:paraId="6860D4E9">
      <w:pPr>
        <w:spacing w:after="0" w:line="360" w:lineRule="auto"/>
        <w:rPr>
          <w:rFonts w:hint="eastAsia" w:ascii="宋体" w:hAnsi="宋体" w:eastAsia="宋体"/>
          <w:b/>
          <w:bCs/>
          <w:sz w:val="21"/>
          <w:szCs w:val="21"/>
        </w:rPr>
      </w:pPr>
      <w:r>
        <w:rPr>
          <w:rFonts w:hint="eastAsia" w:ascii="宋体" w:hAnsi="宋体" w:eastAsia="宋体"/>
          <w:b/>
          <w:bCs/>
          <w:sz w:val="24"/>
        </w:rPr>
        <w:t>1.4.2 标准立项</w:t>
      </w:r>
    </w:p>
    <w:p w14:paraId="65D4D85E">
      <w:pPr>
        <w:spacing w:after="0" w:line="360" w:lineRule="auto"/>
        <w:ind w:firstLine="480" w:firstLineChars="200"/>
        <w:rPr>
          <w:rFonts w:hint="eastAsia" w:ascii="宋体" w:hAnsi="宋体" w:eastAsia="宋体"/>
          <w:sz w:val="24"/>
        </w:rPr>
      </w:pPr>
      <w:r>
        <w:rPr>
          <w:rFonts w:hint="eastAsia" w:ascii="宋体" w:hAnsi="宋体" w:eastAsia="宋体"/>
          <w:sz w:val="24"/>
        </w:rPr>
        <w:t>2025年8月国标委批准标准修订计划，完成周期为16个月。</w:t>
      </w:r>
    </w:p>
    <w:p w14:paraId="317D734E">
      <w:pPr>
        <w:spacing w:after="0" w:line="360" w:lineRule="auto"/>
        <w:rPr>
          <w:rFonts w:hint="eastAsia" w:ascii="宋体" w:hAnsi="宋体" w:eastAsia="宋体"/>
          <w:b/>
          <w:bCs/>
          <w:sz w:val="21"/>
          <w:szCs w:val="21"/>
        </w:rPr>
      </w:pPr>
      <w:r>
        <w:rPr>
          <w:rFonts w:hint="eastAsia" w:ascii="宋体" w:hAnsi="宋体" w:eastAsia="宋体"/>
          <w:b/>
          <w:bCs/>
          <w:sz w:val="24"/>
        </w:rPr>
        <w:t>1.4.3 标准任务落实</w:t>
      </w:r>
    </w:p>
    <w:p w14:paraId="34BD330E">
      <w:pPr>
        <w:spacing w:after="0" w:line="360" w:lineRule="auto"/>
        <w:ind w:firstLine="480" w:firstLineChars="200"/>
        <w:jc w:val="both"/>
        <w:rPr>
          <w:rFonts w:hint="eastAsia" w:ascii="宋体" w:hAnsi="宋体" w:eastAsia="宋体"/>
          <w:sz w:val="24"/>
        </w:rPr>
      </w:pPr>
      <w:r>
        <w:rPr>
          <w:rFonts w:hint="eastAsia" w:ascii="宋体" w:hAnsi="宋体" w:eastAsia="宋体"/>
          <w:sz w:val="24"/>
        </w:rPr>
        <w:t>2025</w:t>
      </w:r>
      <w:r>
        <w:rPr>
          <w:rFonts w:ascii="宋体" w:hAnsi="宋体" w:eastAsia="宋体"/>
          <w:sz w:val="24"/>
        </w:rPr>
        <w:t>年</w:t>
      </w:r>
      <w:r>
        <w:rPr>
          <w:rFonts w:hint="eastAsia" w:ascii="宋体" w:hAnsi="宋体" w:eastAsia="宋体"/>
          <w:sz w:val="24"/>
        </w:rPr>
        <w:t>9</w:t>
      </w:r>
      <w:r>
        <w:rPr>
          <w:rFonts w:ascii="宋体" w:hAnsi="宋体" w:eastAsia="宋体"/>
          <w:sz w:val="24"/>
        </w:rPr>
        <w:t>月</w:t>
      </w:r>
      <w:r>
        <w:rPr>
          <w:rFonts w:hint="eastAsia" w:ascii="宋体" w:hAnsi="宋体" w:eastAsia="宋体"/>
          <w:sz w:val="24"/>
        </w:rPr>
        <w:t>24</w:t>
      </w:r>
      <w:r>
        <w:rPr>
          <w:rFonts w:hint="eastAsia" w:ascii="黑体" w:hAnsi="黑体" w:eastAsia="黑体"/>
          <w:sz w:val="24"/>
        </w:rPr>
        <w:t>～</w:t>
      </w:r>
      <w:r>
        <w:rPr>
          <w:rFonts w:hint="eastAsia" w:ascii="宋体" w:hAnsi="宋体" w:eastAsia="宋体"/>
          <w:sz w:val="24"/>
        </w:rPr>
        <w:t>27</w:t>
      </w:r>
      <w:r>
        <w:rPr>
          <w:rFonts w:ascii="宋体" w:hAnsi="宋体" w:eastAsia="宋体"/>
          <w:sz w:val="24"/>
        </w:rPr>
        <w:t>日，</w:t>
      </w:r>
      <w:r>
        <w:rPr>
          <w:rFonts w:hint="eastAsia" w:ascii="宋体" w:hAnsi="宋体" w:eastAsia="宋体"/>
          <w:sz w:val="24"/>
        </w:rPr>
        <w:t>全国有色金属标准化技术委员会在陕西省西安市召开了《船用铝合金挤压管、棒、型材》等86项有色金属标准工作会议，会议现场对《金条》标准修订参加单位进行了任务落实，对拟修订内容进行了初步讨论、对后续工作计划进行了安排。</w:t>
      </w:r>
    </w:p>
    <w:p w14:paraId="595C7102">
      <w:pPr>
        <w:spacing w:after="0" w:line="360" w:lineRule="auto"/>
        <w:rPr>
          <w:rFonts w:hint="eastAsia" w:ascii="宋体" w:hAnsi="宋体" w:eastAsia="宋体"/>
          <w:b/>
          <w:bCs/>
          <w:sz w:val="21"/>
          <w:szCs w:val="21"/>
        </w:rPr>
      </w:pPr>
      <w:r>
        <w:rPr>
          <w:rFonts w:hint="eastAsia" w:ascii="宋体" w:hAnsi="宋体" w:eastAsia="宋体"/>
          <w:b/>
          <w:bCs/>
          <w:sz w:val="24"/>
        </w:rPr>
        <w:t>1.4.4 标准草案编制</w:t>
      </w:r>
    </w:p>
    <w:p w14:paraId="4A683A29">
      <w:pPr>
        <w:spacing w:after="0" w:line="360" w:lineRule="auto"/>
        <w:ind w:firstLine="480" w:firstLineChars="200"/>
        <w:jc w:val="both"/>
        <w:rPr>
          <w:rFonts w:hint="eastAsia" w:ascii="宋体" w:hAnsi="宋体" w:eastAsia="宋体"/>
          <w:sz w:val="24"/>
        </w:rPr>
      </w:pPr>
      <w:r>
        <w:rPr>
          <w:rFonts w:hint="eastAsia" w:ascii="宋体" w:hAnsi="宋体" w:eastAsia="宋体"/>
          <w:sz w:val="24"/>
        </w:rPr>
        <w:t>2025</w:t>
      </w:r>
      <w:r>
        <w:rPr>
          <w:rFonts w:ascii="宋体" w:hAnsi="宋体" w:eastAsia="宋体"/>
          <w:sz w:val="24"/>
        </w:rPr>
        <w:t>年</w:t>
      </w:r>
      <w:r>
        <w:rPr>
          <w:rFonts w:hint="eastAsia" w:ascii="宋体" w:hAnsi="宋体" w:eastAsia="宋体"/>
          <w:sz w:val="24"/>
        </w:rPr>
        <w:t>10</w:t>
      </w:r>
      <w:r>
        <w:rPr>
          <w:rFonts w:ascii="宋体" w:hAnsi="宋体" w:eastAsia="宋体"/>
          <w:sz w:val="24"/>
        </w:rPr>
        <w:t>月</w:t>
      </w:r>
      <w:bookmarkStart w:id="7" w:name="OLE_LINK8"/>
      <w:r>
        <w:rPr>
          <w:rFonts w:ascii="宋体" w:hAnsi="宋体" w:eastAsia="宋体"/>
          <w:sz w:val="24"/>
        </w:rPr>
        <w:t>紫金矿业集团股份有限公司</w:t>
      </w:r>
      <w:bookmarkEnd w:id="7"/>
      <w:r>
        <w:rPr>
          <w:rFonts w:ascii="宋体" w:hAnsi="宋体" w:eastAsia="宋体"/>
          <w:sz w:val="24"/>
        </w:rPr>
        <w:t>成立了编制小组</w:t>
      </w:r>
      <w:r>
        <w:rPr>
          <w:rFonts w:hint="eastAsia" w:ascii="宋体" w:hAnsi="宋体" w:eastAsia="宋体"/>
          <w:sz w:val="24"/>
        </w:rPr>
        <w:t>，并根据复审阶段调研及任务落实会议讨论情况，编制了标准修订草案。</w:t>
      </w:r>
    </w:p>
    <w:p w14:paraId="1B8C07F8">
      <w:pPr>
        <w:spacing w:after="0" w:line="360" w:lineRule="auto"/>
        <w:rPr>
          <w:rFonts w:hint="eastAsia" w:ascii="宋体" w:hAnsi="宋体" w:eastAsia="宋体"/>
          <w:b/>
          <w:bCs/>
          <w:sz w:val="21"/>
          <w:szCs w:val="21"/>
        </w:rPr>
      </w:pPr>
      <w:r>
        <w:rPr>
          <w:rFonts w:hint="eastAsia" w:ascii="宋体" w:hAnsi="宋体" w:eastAsia="宋体"/>
          <w:b/>
          <w:bCs/>
          <w:sz w:val="24"/>
        </w:rPr>
        <w:t>1.4.5 意见征求</w:t>
      </w:r>
    </w:p>
    <w:p w14:paraId="661A7D19">
      <w:pPr>
        <w:spacing w:after="0" w:line="360" w:lineRule="auto"/>
        <w:ind w:firstLine="480" w:firstLineChars="200"/>
        <w:jc w:val="both"/>
        <w:rPr>
          <w:rFonts w:hint="eastAsia" w:ascii="宋体" w:hAnsi="宋体" w:eastAsia="宋体"/>
          <w:sz w:val="24"/>
        </w:rPr>
      </w:pPr>
      <w:r>
        <w:rPr>
          <w:rFonts w:hint="eastAsia" w:ascii="宋体" w:hAnsi="宋体" w:eastAsia="宋体"/>
          <w:sz w:val="24"/>
        </w:rPr>
        <w:t>2025</w:t>
      </w:r>
      <w:r>
        <w:rPr>
          <w:rFonts w:ascii="宋体" w:hAnsi="宋体" w:eastAsia="宋体"/>
          <w:sz w:val="24"/>
        </w:rPr>
        <w:t>年</w:t>
      </w:r>
      <w:r>
        <w:rPr>
          <w:rFonts w:hint="eastAsia" w:ascii="宋体" w:hAnsi="宋体" w:eastAsia="宋体"/>
          <w:sz w:val="24"/>
        </w:rPr>
        <w:t>12</w:t>
      </w:r>
      <w:r>
        <w:rPr>
          <w:rFonts w:ascii="宋体" w:hAnsi="宋体" w:eastAsia="宋体"/>
          <w:sz w:val="24"/>
        </w:rPr>
        <w:t>月</w:t>
      </w:r>
      <w:r>
        <w:rPr>
          <w:rFonts w:hint="eastAsia" w:ascii="黑体" w:hAnsi="黑体" w:eastAsia="黑体"/>
          <w:sz w:val="24"/>
        </w:rPr>
        <w:t>～</w:t>
      </w:r>
      <w:r>
        <w:rPr>
          <w:rFonts w:hint="eastAsia" w:ascii="宋体" w:hAnsi="宋体" w:eastAsia="宋体"/>
          <w:sz w:val="24"/>
        </w:rPr>
        <w:t>2026年1</w:t>
      </w:r>
      <w:r>
        <w:rPr>
          <w:rFonts w:ascii="宋体" w:hAnsi="宋体" w:eastAsia="宋体"/>
          <w:sz w:val="24"/>
        </w:rPr>
        <w:t>月就标准修订草案向编制组内各单位征求意见，对征集的意见进行了汇总整理，并根据征求意见对</w:t>
      </w:r>
      <w:r>
        <w:rPr>
          <w:rFonts w:hint="eastAsia" w:ascii="宋体" w:hAnsi="宋体" w:eastAsia="宋体"/>
          <w:sz w:val="24"/>
        </w:rPr>
        <w:t>草案</w:t>
      </w:r>
      <w:r>
        <w:rPr>
          <w:rFonts w:ascii="宋体" w:hAnsi="宋体" w:eastAsia="宋体"/>
          <w:sz w:val="24"/>
        </w:rPr>
        <w:t>进行修改完善，形成征求意见稿草案，为后续公开征求意见做好准备。</w:t>
      </w:r>
    </w:p>
    <w:p w14:paraId="213E1747">
      <w:pPr>
        <w:spacing w:after="0" w:line="360" w:lineRule="auto"/>
        <w:rPr>
          <w:rFonts w:hint="eastAsia" w:ascii="宋体" w:hAnsi="宋体" w:eastAsia="宋体"/>
          <w:b/>
          <w:bCs/>
          <w:sz w:val="24"/>
        </w:rPr>
      </w:pPr>
      <w:bookmarkStart w:id="8" w:name="OLE_LINK6"/>
      <w:r>
        <w:rPr>
          <w:rFonts w:hint="eastAsia" w:ascii="宋体" w:hAnsi="宋体" w:eastAsia="宋体"/>
          <w:b/>
          <w:bCs/>
          <w:sz w:val="24"/>
        </w:rPr>
        <w:t>1.4.6 讨论阶段</w:t>
      </w:r>
    </w:p>
    <w:bookmarkEnd w:id="8"/>
    <w:p w14:paraId="660FC78C">
      <w:pPr>
        <w:spacing w:after="0" w:line="360" w:lineRule="auto"/>
        <w:ind w:firstLine="480" w:firstLineChars="200"/>
        <w:jc w:val="both"/>
        <w:rPr>
          <w:rFonts w:hint="eastAsia" w:ascii="宋体" w:hAnsi="宋体" w:eastAsia="宋体"/>
          <w:sz w:val="24"/>
        </w:rPr>
      </w:pPr>
      <w:bookmarkStart w:id="9" w:name="OLE_LINK10"/>
      <w:r>
        <w:rPr>
          <w:rFonts w:ascii="宋体" w:hAnsi="宋体" w:eastAsia="宋体"/>
          <w:sz w:val="24"/>
        </w:rPr>
        <w:t>2026年4月21日～24日在重庆市召开有色金属标准项目论证会暨标准制修订工作会议</w:t>
      </w:r>
      <w:r>
        <w:rPr>
          <w:rFonts w:hint="eastAsia" w:ascii="宋体" w:hAnsi="宋体" w:eastAsia="宋体"/>
          <w:sz w:val="24"/>
        </w:rPr>
        <w:t>，会议对《金条》项目进行了讨论，会议形成了一致意见，主要如下：</w:t>
      </w:r>
    </w:p>
    <w:bookmarkEnd w:id="9"/>
    <w:p w14:paraId="06672E03">
      <w:pPr>
        <w:spacing w:after="0" w:line="360" w:lineRule="auto"/>
        <w:ind w:firstLine="480" w:firstLineChars="200"/>
        <w:jc w:val="both"/>
        <w:rPr>
          <w:rFonts w:hint="eastAsia" w:ascii="宋体" w:hAnsi="宋体" w:eastAsia="宋体"/>
          <w:sz w:val="24"/>
        </w:rPr>
      </w:pPr>
      <w:bookmarkStart w:id="10" w:name="OLE_LINK11"/>
      <w:r>
        <w:rPr>
          <w:rFonts w:hint="eastAsia" w:ascii="宋体" w:hAnsi="宋体" w:eastAsia="宋体"/>
          <w:sz w:val="24"/>
        </w:rPr>
        <w:t>（1）第1条范围中的“适用于金融、珠宝、工业应用等领域”修改为“适用于金融、首饰、工业应用等领域”；</w:t>
      </w:r>
      <w:bookmarkEnd w:id="10"/>
    </w:p>
    <w:p w14:paraId="77DF5705">
      <w:pPr>
        <w:spacing w:after="0" w:line="360" w:lineRule="auto"/>
        <w:ind w:firstLine="480" w:firstLineChars="200"/>
        <w:jc w:val="both"/>
        <w:rPr>
          <w:rFonts w:hint="eastAsia" w:ascii="宋体" w:hAnsi="宋体" w:eastAsia="宋体"/>
          <w:sz w:val="24"/>
        </w:rPr>
      </w:pPr>
      <w:r>
        <w:rPr>
          <w:rFonts w:hint="eastAsia" w:ascii="宋体" w:hAnsi="宋体" w:eastAsia="宋体"/>
          <w:sz w:val="24"/>
        </w:rPr>
        <w:t>（2）对金条的定义进一步优化表述，考虑形状和均质化等的性状特征；</w:t>
      </w:r>
    </w:p>
    <w:p w14:paraId="3779F42A">
      <w:pPr>
        <w:spacing w:after="0" w:line="360" w:lineRule="auto"/>
        <w:ind w:firstLine="480" w:firstLineChars="200"/>
        <w:jc w:val="both"/>
        <w:rPr>
          <w:rFonts w:hint="eastAsia" w:ascii="宋体" w:hAnsi="宋体" w:eastAsia="宋体"/>
          <w:sz w:val="24"/>
        </w:rPr>
      </w:pPr>
      <w:r>
        <w:rPr>
          <w:rFonts w:hint="eastAsia" w:ascii="宋体" w:hAnsi="宋体" w:eastAsia="宋体"/>
          <w:sz w:val="24"/>
        </w:rPr>
        <w:t>（3）对4.1.2的化学成分要求中增加金条化学成分中的限定元素锗（Ge）；调整表1的格式和表达方式，加注角标增加相应的说明，以明确各元素成分的要求和关系；</w:t>
      </w:r>
    </w:p>
    <w:p w14:paraId="2D6B3BC5">
      <w:pPr>
        <w:spacing w:after="0" w:line="360" w:lineRule="auto"/>
        <w:ind w:firstLine="480" w:firstLineChars="200"/>
        <w:jc w:val="both"/>
        <w:rPr>
          <w:rFonts w:hint="eastAsia" w:ascii="宋体" w:hAnsi="宋体" w:eastAsia="宋体"/>
          <w:sz w:val="24"/>
        </w:rPr>
      </w:pPr>
      <w:r>
        <w:rPr>
          <w:rFonts w:hint="eastAsia" w:ascii="宋体" w:hAnsi="宋体" w:eastAsia="宋体"/>
          <w:sz w:val="24"/>
        </w:rPr>
        <w:t>（4）对4.1.3中b）的表述进行优化，避免歧义；</w:t>
      </w:r>
    </w:p>
    <w:p w14:paraId="6AC20CFC">
      <w:pPr>
        <w:spacing w:after="0" w:line="360" w:lineRule="auto"/>
        <w:ind w:firstLine="480" w:firstLineChars="200"/>
        <w:jc w:val="both"/>
        <w:rPr>
          <w:rFonts w:hint="eastAsia" w:ascii="宋体" w:hAnsi="宋体" w:eastAsia="宋体"/>
          <w:sz w:val="24"/>
        </w:rPr>
      </w:pPr>
      <w:r>
        <w:rPr>
          <w:rFonts w:hint="eastAsia" w:ascii="宋体" w:hAnsi="宋体" w:eastAsia="宋体"/>
          <w:sz w:val="24"/>
        </w:rPr>
        <w:t>（5）将“不允许有负偏差”的表述融入表2中，以便更加直观明了；</w:t>
      </w:r>
    </w:p>
    <w:p w14:paraId="0A030D5F">
      <w:pPr>
        <w:spacing w:after="0" w:line="360" w:lineRule="auto"/>
        <w:ind w:firstLine="480" w:firstLineChars="200"/>
        <w:jc w:val="both"/>
        <w:rPr>
          <w:rFonts w:hint="eastAsia" w:ascii="宋体" w:hAnsi="宋体" w:eastAsia="宋体"/>
          <w:sz w:val="24"/>
        </w:rPr>
      </w:pPr>
      <w:r>
        <w:rPr>
          <w:rFonts w:hint="eastAsia" w:ascii="宋体" w:hAnsi="宋体" w:eastAsia="宋体"/>
          <w:sz w:val="24"/>
        </w:rPr>
        <w:t>（6）优化5.3化学成分仲裁分析方法的具体表述方式；</w:t>
      </w:r>
    </w:p>
    <w:p w14:paraId="3C4FB72C">
      <w:pPr>
        <w:spacing w:after="0" w:line="360" w:lineRule="auto"/>
        <w:ind w:firstLine="480" w:firstLineChars="200"/>
        <w:jc w:val="both"/>
        <w:rPr>
          <w:rFonts w:hint="eastAsia" w:ascii="宋体" w:hAnsi="宋体" w:eastAsia="宋体"/>
          <w:sz w:val="24"/>
        </w:rPr>
      </w:pPr>
      <w:r>
        <w:rPr>
          <w:rFonts w:hint="eastAsia" w:ascii="宋体" w:hAnsi="宋体" w:eastAsia="宋体"/>
          <w:sz w:val="24"/>
        </w:rPr>
        <w:t>（7）制样方法增加常规取制样方式；</w:t>
      </w:r>
    </w:p>
    <w:p w14:paraId="3B7B1673">
      <w:pPr>
        <w:spacing w:after="0" w:line="360" w:lineRule="auto"/>
        <w:ind w:firstLine="480" w:firstLineChars="200"/>
        <w:jc w:val="both"/>
        <w:rPr>
          <w:rFonts w:hint="eastAsia" w:ascii="宋体" w:hAnsi="宋体" w:eastAsia="宋体"/>
          <w:sz w:val="24"/>
        </w:rPr>
      </w:pPr>
      <w:r>
        <w:rPr>
          <w:rFonts w:hint="eastAsia" w:ascii="宋体" w:hAnsi="宋体" w:eastAsia="宋体"/>
          <w:sz w:val="24"/>
        </w:rPr>
        <w:t>（8）对质量证明书中的“条号”再斟酌表述。</w:t>
      </w:r>
    </w:p>
    <w:p w14:paraId="1231C07B">
      <w:pPr>
        <w:spacing w:after="0" w:line="360" w:lineRule="auto"/>
        <w:rPr>
          <w:rFonts w:hint="eastAsia" w:ascii="宋体" w:hAnsi="宋体" w:eastAsia="宋体"/>
          <w:b/>
          <w:bCs/>
          <w:sz w:val="24"/>
        </w:rPr>
      </w:pPr>
      <w:r>
        <w:rPr>
          <w:rFonts w:hint="eastAsia" w:ascii="宋体" w:hAnsi="宋体" w:eastAsia="宋体"/>
          <w:b/>
          <w:bCs/>
          <w:sz w:val="24"/>
        </w:rPr>
        <w:t>1.4.7 挂网征求意见阶段</w:t>
      </w:r>
    </w:p>
    <w:p w14:paraId="7338498D">
      <w:pPr>
        <w:spacing w:after="0" w:line="360" w:lineRule="auto"/>
        <w:ind w:firstLine="480" w:firstLineChars="200"/>
        <w:jc w:val="both"/>
        <w:rPr>
          <w:rFonts w:hint="eastAsia" w:ascii="宋体" w:hAnsi="宋体" w:eastAsia="宋体"/>
          <w:b/>
          <w:bCs/>
          <w:sz w:val="24"/>
        </w:rPr>
      </w:pPr>
      <w:r>
        <w:rPr>
          <w:rFonts w:ascii="宋体" w:hAnsi="宋体" w:eastAsia="宋体"/>
          <w:sz w:val="24"/>
        </w:rPr>
        <w:t>2026年7月</w:t>
      </w:r>
      <w:r>
        <w:rPr>
          <w:rFonts w:hint="eastAsia" w:ascii="宋体" w:hAnsi="宋体" w:eastAsia="宋体"/>
          <w:sz w:val="24"/>
        </w:rPr>
        <w:t>，根据各生产企业、相关行业的专家意见、讨论会意见等相关资料进行了相应的修改，确认了标准的主要技术要求如牌号、物理规格、外观质量、试验方法、检验规则等具体内容，形成了《金条》征求意见稿，并进行了广泛的征求意见工作。在征求意见过程中，共发放征求意见总共XX家，收到的意见数量有XX条，均对相关意见做了处理。</w:t>
      </w:r>
    </w:p>
    <w:p w14:paraId="3F5CEF00">
      <w:pPr>
        <w:spacing w:after="0" w:line="360" w:lineRule="auto"/>
        <w:rPr>
          <w:rFonts w:hint="eastAsia" w:ascii="宋体" w:hAnsi="宋体" w:eastAsia="宋体"/>
          <w:b/>
          <w:bCs/>
          <w:sz w:val="24"/>
        </w:rPr>
      </w:pPr>
      <w:r>
        <w:rPr>
          <w:rFonts w:hint="eastAsia" w:ascii="宋体" w:hAnsi="宋体" w:eastAsia="宋体"/>
          <w:b/>
          <w:bCs/>
          <w:sz w:val="24"/>
        </w:rPr>
        <w:t>1.4.8 送审阶段</w:t>
      </w:r>
    </w:p>
    <w:p w14:paraId="6B499888">
      <w:pPr>
        <w:spacing w:after="0" w:line="360" w:lineRule="auto"/>
        <w:ind w:firstLine="480" w:firstLineChars="200"/>
        <w:jc w:val="both"/>
        <w:rPr>
          <w:rFonts w:hint="eastAsia" w:ascii="宋体" w:hAnsi="宋体" w:eastAsia="宋体"/>
          <w:sz w:val="24"/>
        </w:rPr>
      </w:pPr>
      <w:r>
        <w:rPr>
          <w:rFonts w:ascii="宋体" w:hAnsi="宋体" w:eastAsia="宋体"/>
          <w:sz w:val="24"/>
        </w:rPr>
        <w:t>2026年</w:t>
      </w:r>
      <w:r>
        <w:rPr>
          <w:rFonts w:hint="eastAsia" w:ascii="宋体" w:hAnsi="宋体" w:eastAsia="宋体"/>
          <w:sz w:val="24"/>
        </w:rPr>
        <w:t>7</w:t>
      </w:r>
      <w:r>
        <w:rPr>
          <w:rFonts w:ascii="宋体" w:hAnsi="宋体" w:eastAsia="宋体"/>
          <w:sz w:val="24"/>
        </w:rPr>
        <w:t>月</w:t>
      </w:r>
      <w:r>
        <w:rPr>
          <w:rFonts w:hint="eastAsia" w:ascii="宋体" w:hAnsi="宋体" w:eastAsia="宋体"/>
          <w:sz w:val="24"/>
        </w:rPr>
        <w:t>23</w:t>
      </w:r>
      <w:r>
        <w:rPr>
          <w:rFonts w:ascii="宋体" w:hAnsi="宋体" w:eastAsia="宋体"/>
          <w:sz w:val="24"/>
        </w:rPr>
        <w:t>日～</w:t>
      </w:r>
      <w:r>
        <w:rPr>
          <w:rFonts w:hint="eastAsia" w:ascii="宋体" w:hAnsi="宋体" w:eastAsia="宋体"/>
          <w:sz w:val="24"/>
        </w:rPr>
        <w:t>24</w:t>
      </w:r>
      <w:r>
        <w:rPr>
          <w:rFonts w:ascii="宋体" w:hAnsi="宋体" w:eastAsia="宋体"/>
          <w:sz w:val="24"/>
        </w:rPr>
        <w:t>日在张家口市召开有色金属标准项目论证会暨标准制修订工作会议</w:t>
      </w:r>
      <w:r>
        <w:rPr>
          <w:rFonts w:hint="eastAsia" w:ascii="宋体" w:hAnsi="宋体" w:eastAsia="宋体"/>
          <w:sz w:val="24"/>
        </w:rPr>
        <w:t>，会议对《金条》项目进行了审定，主要内容如下：</w:t>
      </w:r>
    </w:p>
    <w:p w14:paraId="016D88D4">
      <w:pPr>
        <w:spacing w:after="0" w:line="360" w:lineRule="auto"/>
        <w:ind w:firstLine="480" w:firstLineChars="200"/>
        <w:rPr>
          <w:rFonts w:hint="eastAsia" w:ascii="宋体" w:hAnsi="宋体" w:eastAsia="宋体"/>
          <w:b/>
          <w:bCs/>
          <w:sz w:val="24"/>
        </w:rPr>
      </w:pPr>
      <w:r>
        <w:rPr>
          <w:rFonts w:ascii="宋体" w:hAnsi="宋体" w:eastAsia="宋体"/>
          <w:sz w:val="24"/>
        </w:rPr>
        <w:t>……………………………………………………………………</w:t>
      </w:r>
    </w:p>
    <w:p w14:paraId="6226E463">
      <w:pPr>
        <w:rPr>
          <w:rFonts w:hint="eastAsia" w:ascii="宋体" w:hAnsi="宋体" w:eastAsia="宋体"/>
          <w:b/>
          <w:bCs/>
          <w:sz w:val="30"/>
          <w:szCs w:val="30"/>
        </w:rPr>
      </w:pPr>
      <w:r>
        <w:rPr>
          <w:rFonts w:ascii="宋体" w:hAnsi="宋体" w:eastAsia="宋体"/>
          <w:b/>
          <w:bCs/>
          <w:sz w:val="30"/>
          <w:szCs w:val="30"/>
        </w:rPr>
        <w:t>二、编制的主要原则、主要内容</w:t>
      </w:r>
    </w:p>
    <w:p w14:paraId="09148CBA">
      <w:pPr>
        <w:spacing w:after="0" w:line="360" w:lineRule="auto"/>
        <w:rPr>
          <w:rFonts w:hint="eastAsia" w:ascii="宋体" w:hAnsi="宋体" w:eastAsia="宋体"/>
          <w:b/>
          <w:bCs/>
          <w:sz w:val="24"/>
        </w:rPr>
      </w:pPr>
      <w:r>
        <w:rPr>
          <w:rFonts w:hint="eastAsia" w:ascii="宋体" w:hAnsi="宋体" w:eastAsia="宋体"/>
          <w:b/>
          <w:bCs/>
          <w:sz w:val="24"/>
        </w:rPr>
        <w:t>2.1</w:t>
      </w:r>
      <w:r>
        <w:rPr>
          <w:rFonts w:ascii="宋体" w:hAnsi="宋体" w:eastAsia="宋体"/>
          <w:b/>
          <w:bCs/>
          <w:sz w:val="24"/>
        </w:rPr>
        <w:t>编制原则</w:t>
      </w:r>
    </w:p>
    <w:p w14:paraId="74676394">
      <w:pPr>
        <w:spacing w:after="0" w:line="360" w:lineRule="auto"/>
        <w:ind w:firstLine="482" w:firstLineChars="200"/>
        <w:jc w:val="both"/>
        <w:rPr>
          <w:rFonts w:hint="eastAsia" w:ascii="宋体" w:hAnsi="宋体" w:eastAsia="宋体"/>
          <w:sz w:val="24"/>
        </w:rPr>
      </w:pPr>
      <w:bookmarkStart w:id="11" w:name="OLE_LINK9"/>
      <w:r>
        <w:rPr>
          <w:rFonts w:hint="eastAsia" w:ascii="宋体" w:hAnsi="宋体" w:eastAsia="宋体"/>
          <w:b/>
          <w:bCs/>
          <w:sz w:val="24"/>
        </w:rPr>
        <w:t>符合性</w:t>
      </w:r>
      <w:r>
        <w:rPr>
          <w:rFonts w:hint="eastAsia" w:ascii="宋体" w:hAnsi="宋体" w:eastAsia="宋体"/>
          <w:sz w:val="24"/>
        </w:rPr>
        <w:t>：本标准修订贯彻国家的有关方针、政策、法律、法规，标准条款及内容与现行相关法律法规、应用标准准则规定保持一致，符合GB/T 20001.10-2014</w:t>
      </w:r>
      <w:r>
        <w:rPr>
          <w:rFonts w:ascii="宋体" w:hAnsi="宋体" w:eastAsia="宋体"/>
          <w:sz w:val="24"/>
        </w:rPr>
        <w:t>《标准编写规则</w:t>
      </w:r>
      <w:r>
        <w:rPr>
          <w:rFonts w:hint="eastAsia" w:ascii="宋体" w:hAnsi="宋体" w:eastAsia="宋体"/>
          <w:sz w:val="24"/>
        </w:rPr>
        <w:t xml:space="preserve"> </w:t>
      </w:r>
      <w:r>
        <w:rPr>
          <w:rFonts w:ascii="宋体" w:hAnsi="宋体" w:eastAsia="宋体"/>
          <w:sz w:val="24"/>
        </w:rPr>
        <w:t>第</w:t>
      </w:r>
      <w:r>
        <w:rPr>
          <w:rFonts w:hint="eastAsia" w:ascii="宋体" w:hAnsi="宋体" w:eastAsia="宋体"/>
          <w:sz w:val="24"/>
        </w:rPr>
        <w:t>10</w:t>
      </w:r>
      <w:r>
        <w:rPr>
          <w:rFonts w:ascii="宋体" w:hAnsi="宋体" w:eastAsia="宋体"/>
          <w:sz w:val="24"/>
        </w:rPr>
        <w:t>部分：产品标准》的相关规定；</w:t>
      </w:r>
      <w:r>
        <w:rPr>
          <w:rFonts w:hint="eastAsia" w:ascii="宋体" w:hAnsi="宋体" w:eastAsia="宋体"/>
          <w:sz w:val="24"/>
        </w:rPr>
        <w:t>标准格式和语言形式等符合GB/T 1.1-2020《标准化工作导则 第1部分：标准化文件的结构和起草规则》的</w:t>
      </w:r>
      <w:bookmarkEnd w:id="11"/>
      <w:r>
        <w:rPr>
          <w:rFonts w:hint="eastAsia" w:ascii="宋体" w:hAnsi="宋体" w:eastAsia="宋体"/>
          <w:sz w:val="24"/>
        </w:rPr>
        <w:t>规定。</w:t>
      </w:r>
    </w:p>
    <w:p w14:paraId="3D6424D2">
      <w:pPr>
        <w:spacing w:after="0" w:line="360" w:lineRule="auto"/>
        <w:ind w:firstLine="482" w:firstLineChars="200"/>
        <w:jc w:val="both"/>
        <w:rPr>
          <w:rFonts w:hint="eastAsia" w:ascii="宋体" w:hAnsi="宋体" w:eastAsia="宋体"/>
          <w:sz w:val="24"/>
        </w:rPr>
      </w:pPr>
      <w:r>
        <w:rPr>
          <w:rFonts w:hint="eastAsia" w:ascii="宋体" w:hAnsi="宋体" w:eastAsia="宋体"/>
          <w:b/>
          <w:bCs/>
          <w:sz w:val="24"/>
        </w:rPr>
        <w:t>适用性和先进性：</w:t>
      </w:r>
      <w:r>
        <w:rPr>
          <w:rFonts w:hint="eastAsia" w:ascii="宋体" w:hAnsi="宋体" w:eastAsia="宋体"/>
          <w:sz w:val="24"/>
        </w:rPr>
        <w:t>立足我国金条生产、流通、应用现状，兼顾金融投资、珠宝加工、工业应用等多元需求，通过充分调研，优化标准技术内容，提升标准的适用性。针对行业发展新趋势、新要求，补充新增牌号、规格、溯源管理等内容，紧扣我国金条产业</w:t>
      </w:r>
      <w:bookmarkStart w:id="12" w:name="OLE_LINK13"/>
      <w:r>
        <w:rPr>
          <w:rFonts w:hint="eastAsia" w:ascii="宋体" w:hAnsi="宋体" w:eastAsia="宋体"/>
          <w:sz w:val="24"/>
        </w:rPr>
        <w:t>发展实际，既发挥对市场的规范引导作用，又助力我国金条产品接轨国际市场，确保修订后的标</w:t>
      </w:r>
      <w:bookmarkEnd w:id="12"/>
      <w:r>
        <w:rPr>
          <w:rFonts w:hint="eastAsia" w:ascii="宋体" w:hAnsi="宋体" w:eastAsia="宋体"/>
          <w:sz w:val="24"/>
        </w:rPr>
        <w:t>准务实可行、兼具强操作性。</w:t>
      </w:r>
    </w:p>
    <w:p w14:paraId="45E55019">
      <w:pPr>
        <w:spacing w:after="0" w:line="360" w:lineRule="auto"/>
        <w:ind w:firstLine="482" w:firstLineChars="200"/>
        <w:jc w:val="both"/>
        <w:rPr>
          <w:rFonts w:hint="eastAsia" w:ascii="宋体" w:hAnsi="宋体" w:eastAsia="宋体"/>
          <w:sz w:val="24"/>
        </w:rPr>
      </w:pPr>
      <w:r>
        <w:rPr>
          <w:rFonts w:hint="eastAsia" w:ascii="宋体" w:hAnsi="宋体" w:eastAsia="宋体"/>
          <w:b/>
          <w:bCs/>
          <w:sz w:val="24"/>
        </w:rPr>
        <w:t>科学性：</w:t>
      </w:r>
      <w:r>
        <w:rPr>
          <w:rFonts w:hint="eastAsia" w:ascii="宋体" w:hAnsi="宋体" w:eastAsia="宋体"/>
          <w:sz w:val="24"/>
        </w:rPr>
        <w:t>细化技术参数、检测方法、检验规则等内容，明确各项要求的判定依据和实施方法，确保标准在生产、检验、交易等环节可落地、可执行。</w:t>
      </w:r>
    </w:p>
    <w:p w14:paraId="093EB7B0">
      <w:pPr>
        <w:spacing w:after="0" w:line="360" w:lineRule="auto"/>
        <w:rPr>
          <w:rFonts w:hint="eastAsia" w:ascii="宋体" w:hAnsi="宋体" w:eastAsia="宋体"/>
          <w:b/>
          <w:bCs/>
          <w:sz w:val="24"/>
        </w:rPr>
      </w:pPr>
      <w:r>
        <w:rPr>
          <w:rFonts w:hint="eastAsia" w:ascii="宋体" w:hAnsi="宋体" w:eastAsia="宋体"/>
          <w:b/>
          <w:bCs/>
          <w:sz w:val="24"/>
        </w:rPr>
        <w:t>2.2主要内容</w:t>
      </w:r>
    </w:p>
    <w:p w14:paraId="46197DEE">
      <w:pPr>
        <w:spacing w:after="0" w:line="360" w:lineRule="auto"/>
        <w:ind w:firstLine="480" w:firstLineChars="200"/>
        <w:jc w:val="both"/>
        <w:rPr>
          <w:rFonts w:hint="eastAsia" w:ascii="宋体" w:hAnsi="宋体" w:eastAsia="宋体"/>
          <w:sz w:val="24"/>
        </w:rPr>
      </w:pPr>
      <w:r>
        <w:rPr>
          <w:rFonts w:hint="eastAsia" w:ascii="宋体" w:hAnsi="宋体" w:eastAsia="宋体"/>
          <w:sz w:val="24"/>
        </w:rPr>
        <w:t>本文件规定了金条的要求和检验规则，描述了相应的试验方法、标志、包装、运输、贮存、质量证明书等。</w:t>
      </w:r>
    </w:p>
    <w:p w14:paraId="5B00E6A1">
      <w:pPr>
        <w:rPr>
          <w:rFonts w:hint="eastAsia" w:ascii="宋体" w:hAnsi="宋体" w:eastAsia="宋体"/>
          <w:b/>
          <w:bCs/>
          <w:sz w:val="30"/>
          <w:szCs w:val="30"/>
        </w:rPr>
      </w:pPr>
      <w:r>
        <w:rPr>
          <w:rFonts w:ascii="宋体" w:hAnsi="宋体" w:eastAsia="宋体"/>
          <w:b/>
          <w:bCs/>
          <w:sz w:val="30"/>
          <w:szCs w:val="30"/>
        </w:rPr>
        <w:t>三、</w:t>
      </w:r>
      <w:r>
        <w:rPr>
          <w:rFonts w:hint="eastAsia" w:ascii="宋体" w:hAnsi="宋体" w:eastAsia="宋体"/>
          <w:b/>
          <w:bCs/>
          <w:sz w:val="30"/>
          <w:szCs w:val="30"/>
        </w:rPr>
        <w:t>主要</w:t>
      </w:r>
      <w:r>
        <w:rPr>
          <w:rFonts w:ascii="宋体" w:hAnsi="宋体" w:eastAsia="宋体"/>
          <w:b/>
          <w:bCs/>
          <w:sz w:val="30"/>
          <w:szCs w:val="30"/>
        </w:rPr>
        <w:t>试验</w:t>
      </w:r>
      <w:r>
        <w:rPr>
          <w:rFonts w:hint="eastAsia" w:ascii="宋体" w:hAnsi="宋体" w:eastAsia="宋体"/>
          <w:b/>
          <w:bCs/>
          <w:sz w:val="30"/>
          <w:szCs w:val="30"/>
        </w:rPr>
        <w:t>（或</w:t>
      </w:r>
      <w:r>
        <w:rPr>
          <w:rFonts w:ascii="宋体" w:hAnsi="宋体" w:eastAsia="宋体"/>
          <w:b/>
          <w:bCs/>
          <w:sz w:val="30"/>
          <w:szCs w:val="30"/>
        </w:rPr>
        <w:t>验证</w:t>
      </w:r>
      <w:r>
        <w:rPr>
          <w:rFonts w:hint="eastAsia" w:ascii="宋体" w:hAnsi="宋体" w:eastAsia="宋体"/>
          <w:b/>
          <w:bCs/>
          <w:sz w:val="30"/>
          <w:szCs w:val="30"/>
        </w:rPr>
        <w:t>）情况</w:t>
      </w:r>
      <w:r>
        <w:rPr>
          <w:rFonts w:ascii="宋体" w:hAnsi="宋体" w:eastAsia="宋体"/>
          <w:b/>
          <w:bCs/>
          <w:sz w:val="30"/>
          <w:szCs w:val="30"/>
        </w:rPr>
        <w:t>分析、综述报告</w:t>
      </w:r>
      <w:r>
        <w:rPr>
          <w:rFonts w:hint="eastAsia" w:ascii="宋体" w:hAnsi="宋体" w:eastAsia="宋体"/>
          <w:b/>
          <w:bCs/>
          <w:sz w:val="30"/>
          <w:szCs w:val="30"/>
        </w:rPr>
        <w:t>，</w:t>
      </w:r>
      <w:r>
        <w:rPr>
          <w:rFonts w:ascii="宋体" w:hAnsi="宋体" w:eastAsia="宋体"/>
          <w:b/>
          <w:bCs/>
          <w:sz w:val="30"/>
          <w:szCs w:val="30"/>
        </w:rPr>
        <w:t>技术经济论证，</w:t>
      </w:r>
      <w:r>
        <w:rPr>
          <w:rFonts w:hint="eastAsia" w:ascii="宋体" w:hAnsi="宋体" w:eastAsia="宋体"/>
          <w:b/>
          <w:bCs/>
          <w:sz w:val="30"/>
          <w:szCs w:val="30"/>
        </w:rPr>
        <w:t>预期的经济效益、社会效益和生态效益</w:t>
      </w:r>
    </w:p>
    <w:p w14:paraId="4C9CA027">
      <w:pPr>
        <w:spacing w:after="0" w:line="360" w:lineRule="auto"/>
        <w:jc w:val="both"/>
        <w:rPr>
          <w:rFonts w:hint="eastAsia" w:ascii="宋体" w:hAnsi="宋体" w:eastAsia="宋体"/>
          <w:b/>
          <w:bCs/>
          <w:sz w:val="24"/>
        </w:rPr>
      </w:pPr>
      <w:r>
        <w:rPr>
          <w:rFonts w:hint="eastAsia" w:ascii="宋体" w:hAnsi="宋体" w:eastAsia="宋体"/>
          <w:b/>
          <w:bCs/>
          <w:sz w:val="24"/>
        </w:rPr>
        <w:t>3.1标准修订前后主要技术内容的对比</w:t>
      </w:r>
    </w:p>
    <w:p w14:paraId="2FB8E710">
      <w:pPr>
        <w:spacing w:after="0" w:line="360" w:lineRule="auto"/>
        <w:ind w:firstLine="480" w:firstLineChars="200"/>
        <w:jc w:val="both"/>
        <w:rPr>
          <w:rFonts w:hint="eastAsia" w:ascii="宋体" w:hAnsi="宋体" w:eastAsia="宋体"/>
          <w:sz w:val="24"/>
        </w:rPr>
      </w:pPr>
      <w:r>
        <w:rPr>
          <w:rFonts w:hint="eastAsia" w:ascii="宋体" w:hAnsi="宋体" w:eastAsia="宋体"/>
          <w:sz w:val="24"/>
        </w:rPr>
        <w:t>本文件代替GB/T 26021-2010《金条》，与GB/T 26021-2010相比，除结构调整和编辑性改动外，主要技术变化如下：</w:t>
      </w:r>
    </w:p>
    <w:p w14:paraId="6385240E">
      <w:pPr>
        <w:spacing w:after="0" w:line="360" w:lineRule="auto"/>
        <w:ind w:firstLine="480" w:firstLineChars="200"/>
        <w:jc w:val="both"/>
        <w:rPr>
          <w:rFonts w:hint="eastAsia" w:ascii="宋体" w:hAnsi="宋体" w:eastAsia="宋体"/>
          <w:sz w:val="24"/>
        </w:rPr>
      </w:pPr>
      <w:r>
        <w:rPr>
          <w:rFonts w:hint="eastAsia" w:ascii="宋体" w:hAnsi="宋体" w:eastAsia="宋体"/>
          <w:sz w:val="24"/>
        </w:rPr>
        <w:t>a）更改牌号表述形式，由“IC-Au”“PI-Au”调整为“Au”；（见4.1，2010年版的3.1）；</w:t>
      </w:r>
    </w:p>
    <w:p w14:paraId="05C525B9">
      <w:pPr>
        <w:spacing w:after="0" w:line="360" w:lineRule="auto"/>
        <w:ind w:firstLine="480" w:firstLineChars="200"/>
        <w:jc w:val="both"/>
        <w:rPr>
          <w:rFonts w:hint="eastAsia" w:ascii="宋体" w:hAnsi="宋体" w:eastAsia="宋体"/>
          <w:sz w:val="24"/>
        </w:rPr>
      </w:pPr>
      <w:r>
        <w:rPr>
          <w:rFonts w:hint="eastAsia" w:ascii="宋体" w:hAnsi="宋体" w:eastAsia="宋体"/>
          <w:sz w:val="24"/>
        </w:rPr>
        <w:t>b）增加了Au99.999、Au99.995、Au99.90牌号及其相应的化学成分要求（见4.1，2010年版的3.1、3.4.1）；</w:t>
      </w:r>
    </w:p>
    <w:p w14:paraId="7744EE9D">
      <w:pPr>
        <w:spacing w:after="0" w:line="360" w:lineRule="auto"/>
        <w:ind w:firstLine="480" w:firstLineChars="200"/>
        <w:jc w:val="both"/>
        <w:rPr>
          <w:rFonts w:hint="eastAsia" w:ascii="宋体" w:hAnsi="宋体" w:eastAsia="宋体"/>
          <w:sz w:val="24"/>
        </w:rPr>
      </w:pPr>
      <w:r>
        <w:rPr>
          <w:rFonts w:hint="eastAsia" w:ascii="宋体" w:hAnsi="宋体" w:eastAsia="宋体"/>
          <w:sz w:val="24"/>
        </w:rPr>
        <w:t>c）增加了物理规格中金条标称质量、测量精度及相应的允许偏差（见4.2.1、4.2.2、4.2.4，2010年版的3.2.1、3.2.3）；</w:t>
      </w:r>
    </w:p>
    <w:p w14:paraId="2A82F705">
      <w:pPr>
        <w:spacing w:after="0" w:line="360" w:lineRule="auto"/>
        <w:ind w:firstLine="480" w:firstLineChars="200"/>
        <w:jc w:val="both"/>
        <w:rPr>
          <w:rFonts w:hint="eastAsia" w:ascii="宋体" w:hAnsi="宋体" w:eastAsia="宋体"/>
          <w:sz w:val="24"/>
        </w:rPr>
      </w:pPr>
      <w:r>
        <w:rPr>
          <w:rFonts w:hint="eastAsia" w:ascii="宋体" w:hAnsi="宋体" w:eastAsia="宋体"/>
          <w:sz w:val="24"/>
        </w:rPr>
        <w:t>d）增加了外观质量要求（见4.3.2、4.3.3，2010年版的3.3.2、3.3.3）；</w:t>
      </w:r>
    </w:p>
    <w:p w14:paraId="7D4B4990">
      <w:pPr>
        <w:spacing w:after="0" w:line="360" w:lineRule="auto"/>
        <w:ind w:firstLine="480" w:firstLineChars="200"/>
        <w:jc w:val="both"/>
        <w:rPr>
          <w:rFonts w:hint="eastAsia" w:ascii="宋体" w:hAnsi="宋体" w:eastAsia="宋体"/>
          <w:sz w:val="24"/>
        </w:rPr>
      </w:pPr>
      <w:r>
        <w:rPr>
          <w:rFonts w:hint="eastAsia" w:ascii="宋体" w:hAnsi="宋体" w:eastAsia="宋体"/>
          <w:sz w:val="24"/>
        </w:rPr>
        <w:t>e）修改了表2“尺寸及允许偏差”的规定（见表2，2010年版的表2）；</w:t>
      </w:r>
    </w:p>
    <w:p w14:paraId="4C5215D8">
      <w:pPr>
        <w:spacing w:after="0" w:line="360" w:lineRule="auto"/>
        <w:ind w:firstLine="480" w:firstLineChars="200"/>
        <w:jc w:val="both"/>
        <w:rPr>
          <w:rFonts w:hint="eastAsia" w:ascii="宋体" w:hAnsi="宋体" w:eastAsia="宋体"/>
          <w:sz w:val="24"/>
        </w:rPr>
      </w:pPr>
      <w:r>
        <w:rPr>
          <w:rFonts w:hint="eastAsia" w:ascii="宋体" w:hAnsi="宋体" w:eastAsia="宋体"/>
          <w:sz w:val="24"/>
        </w:rPr>
        <w:t>f）更改了不同牌号金条所使用试验方法及步骤的具体规定（见5.3，2010年版的4.3）；</w:t>
      </w:r>
    </w:p>
    <w:p w14:paraId="041CD51E">
      <w:pPr>
        <w:spacing w:after="0" w:line="360" w:lineRule="auto"/>
        <w:ind w:firstLine="480" w:firstLineChars="200"/>
        <w:jc w:val="both"/>
        <w:rPr>
          <w:rFonts w:hint="eastAsia" w:ascii="宋体" w:hAnsi="宋体" w:eastAsia="宋体"/>
          <w:sz w:val="24"/>
        </w:rPr>
      </w:pPr>
      <w:r>
        <w:rPr>
          <w:rFonts w:hint="eastAsia" w:ascii="宋体" w:hAnsi="宋体" w:eastAsia="宋体"/>
          <w:sz w:val="24"/>
        </w:rPr>
        <w:t>g）更改了金条取样、制样规定（见6.4，2010年版的5.4）；</w:t>
      </w:r>
    </w:p>
    <w:p w14:paraId="6128849D">
      <w:pPr>
        <w:spacing w:after="0" w:line="360" w:lineRule="auto"/>
        <w:ind w:firstLine="480" w:firstLineChars="200"/>
        <w:jc w:val="both"/>
        <w:rPr>
          <w:rFonts w:hint="eastAsia" w:ascii="宋体" w:hAnsi="宋体" w:eastAsia="宋体"/>
          <w:sz w:val="24"/>
        </w:rPr>
      </w:pPr>
      <w:r>
        <w:rPr>
          <w:rFonts w:hint="eastAsia" w:ascii="宋体" w:hAnsi="宋体" w:eastAsia="宋体"/>
          <w:sz w:val="24"/>
        </w:rPr>
        <w:t>h）更改了金条检验结果的判定（见6.5，2010年版的5.5）；</w:t>
      </w:r>
    </w:p>
    <w:p w14:paraId="6A745506">
      <w:pPr>
        <w:spacing w:after="0" w:line="360" w:lineRule="auto"/>
        <w:ind w:firstLine="480" w:firstLineChars="200"/>
        <w:jc w:val="both"/>
        <w:rPr>
          <w:rFonts w:hint="eastAsia" w:ascii="宋体" w:hAnsi="宋体" w:eastAsia="宋体"/>
          <w:sz w:val="24"/>
        </w:rPr>
      </w:pPr>
      <w:r>
        <w:rPr>
          <w:rFonts w:hint="eastAsia" w:ascii="宋体" w:hAnsi="宋体" w:eastAsia="宋体"/>
          <w:sz w:val="24"/>
        </w:rPr>
        <w:t>i）更改了金条的标志要求（见7.1，2010年版的6.1）；</w:t>
      </w:r>
    </w:p>
    <w:p w14:paraId="0BEEA6CB">
      <w:pPr>
        <w:spacing w:after="0" w:line="360" w:lineRule="auto"/>
        <w:ind w:firstLine="480" w:firstLineChars="200"/>
        <w:jc w:val="both"/>
        <w:rPr>
          <w:rFonts w:hint="eastAsia" w:ascii="宋体" w:hAnsi="宋体" w:eastAsia="宋体"/>
          <w:sz w:val="24"/>
        </w:rPr>
      </w:pPr>
      <w:r>
        <w:rPr>
          <w:rFonts w:hint="eastAsia" w:ascii="宋体" w:hAnsi="宋体" w:eastAsia="宋体"/>
          <w:sz w:val="24"/>
        </w:rPr>
        <w:t>j）增加了金条的包装方式（见7.2，2010年版的6.2）；</w:t>
      </w:r>
    </w:p>
    <w:p w14:paraId="5D816487">
      <w:pPr>
        <w:spacing w:after="0" w:line="360" w:lineRule="auto"/>
        <w:ind w:firstLine="480" w:firstLineChars="200"/>
        <w:jc w:val="both"/>
        <w:rPr>
          <w:rFonts w:hint="eastAsia" w:ascii="宋体" w:hAnsi="宋体" w:eastAsia="宋体"/>
          <w:sz w:val="24"/>
        </w:rPr>
      </w:pPr>
      <w:r>
        <w:rPr>
          <w:rFonts w:hint="eastAsia" w:ascii="宋体" w:hAnsi="宋体" w:eastAsia="宋体"/>
          <w:sz w:val="24"/>
        </w:rPr>
        <w:t>k）增加了质量证明书的内容（见7.4，2010年版的6.4）。</w:t>
      </w:r>
    </w:p>
    <w:p w14:paraId="47FA8461">
      <w:pPr>
        <w:spacing w:after="0" w:line="360" w:lineRule="auto"/>
        <w:jc w:val="both"/>
        <w:rPr>
          <w:rFonts w:hint="eastAsia" w:ascii="宋体" w:hAnsi="宋体" w:eastAsia="宋体"/>
          <w:b/>
          <w:bCs/>
          <w:sz w:val="24"/>
        </w:rPr>
      </w:pPr>
      <w:r>
        <w:rPr>
          <w:rFonts w:hint="eastAsia" w:ascii="宋体" w:hAnsi="宋体" w:eastAsia="宋体"/>
          <w:b/>
          <w:bCs/>
          <w:sz w:val="24"/>
        </w:rPr>
        <w:t>3.2主要修订技术内容的确定</w:t>
      </w:r>
    </w:p>
    <w:p w14:paraId="70B5684F">
      <w:pPr>
        <w:spacing w:after="0" w:line="360" w:lineRule="auto"/>
        <w:jc w:val="both"/>
        <w:rPr>
          <w:rFonts w:hint="eastAsia" w:ascii="宋体" w:hAnsi="宋体" w:eastAsia="宋体"/>
          <w:b/>
          <w:bCs/>
          <w:sz w:val="24"/>
        </w:rPr>
      </w:pPr>
      <w:r>
        <w:rPr>
          <w:rFonts w:hint="eastAsia" w:ascii="宋体" w:hAnsi="宋体" w:eastAsia="宋体"/>
          <w:b/>
          <w:bCs/>
          <w:sz w:val="24"/>
        </w:rPr>
        <w:t>3.2.1牌号和化学成分</w:t>
      </w:r>
    </w:p>
    <w:p w14:paraId="7A6F8E30">
      <w:pPr>
        <w:spacing w:after="0" w:line="360" w:lineRule="auto"/>
        <w:ind w:firstLine="480" w:firstLineChars="200"/>
        <w:jc w:val="both"/>
        <w:rPr>
          <w:rFonts w:hint="eastAsia" w:ascii="宋体" w:hAnsi="宋体" w:eastAsia="宋体"/>
          <w:sz w:val="24"/>
        </w:rPr>
      </w:pPr>
      <w:r>
        <w:rPr>
          <w:rFonts w:hint="eastAsia" w:ascii="宋体" w:hAnsi="宋体" w:eastAsia="宋体"/>
          <w:sz w:val="24"/>
        </w:rPr>
        <w:t>对</w:t>
      </w:r>
      <w:r>
        <w:rPr>
          <w:rFonts w:ascii="宋体" w:hAnsi="宋体" w:eastAsia="宋体"/>
          <w:sz w:val="24"/>
        </w:rPr>
        <w:t>牌号表述形式</w:t>
      </w:r>
      <w:r>
        <w:rPr>
          <w:rFonts w:hint="eastAsia" w:ascii="宋体" w:hAnsi="宋体" w:eastAsia="宋体"/>
          <w:sz w:val="24"/>
        </w:rPr>
        <w:t>进行统一规范</w:t>
      </w:r>
      <w:r>
        <w:rPr>
          <w:rFonts w:ascii="宋体" w:hAnsi="宋体" w:eastAsia="宋体"/>
          <w:sz w:val="24"/>
        </w:rPr>
        <w:t>，与国际</w:t>
      </w:r>
      <w:r>
        <w:rPr>
          <w:rFonts w:hint="eastAsia" w:ascii="宋体" w:hAnsi="宋体" w:eastAsia="宋体"/>
          <w:sz w:val="24"/>
        </w:rPr>
        <w:t>贸易中LBMA、COMEX、ISO国际标准</w:t>
      </w:r>
      <w:r>
        <w:rPr>
          <w:rFonts w:ascii="宋体" w:hAnsi="宋体" w:eastAsia="宋体"/>
          <w:sz w:val="24"/>
        </w:rPr>
        <w:t>表述惯例一致，便于国际交流与贸易</w:t>
      </w:r>
      <w:r>
        <w:rPr>
          <w:rFonts w:hint="eastAsia" w:ascii="宋体" w:hAnsi="宋体" w:eastAsia="宋体"/>
          <w:sz w:val="24"/>
        </w:rPr>
        <w:t>；同时对标国内GB/T 4134-2021《金锭》、GB/T 25933-2010《高纯金》等贵金属相关标准，实现国内标准体系协调一致。</w:t>
      </w:r>
      <w:r>
        <w:rPr>
          <w:rFonts w:ascii="宋体" w:hAnsi="宋体" w:eastAsia="宋体"/>
          <w:sz w:val="24"/>
        </w:rPr>
        <w:t>增加Au99.999、Au99.995、Au99.90牌号，弥补原标准仅覆盖Au99.99、Au99.95的不足，</w:t>
      </w:r>
      <w:r>
        <w:rPr>
          <w:rFonts w:hint="eastAsia" w:ascii="宋体" w:hAnsi="宋体" w:eastAsia="宋体"/>
          <w:sz w:val="24"/>
        </w:rPr>
        <w:t>精准契合</w:t>
      </w:r>
      <w:r>
        <w:rPr>
          <w:rFonts w:ascii="宋体" w:hAnsi="宋体" w:eastAsia="宋体"/>
          <w:sz w:val="24"/>
        </w:rPr>
        <w:t>国内</w:t>
      </w:r>
      <w:r>
        <w:rPr>
          <w:rFonts w:hint="eastAsia" w:ascii="宋体" w:hAnsi="宋体" w:eastAsia="宋体"/>
          <w:sz w:val="24"/>
        </w:rPr>
        <w:t>黄金生产</w:t>
      </w:r>
      <w:r>
        <w:rPr>
          <w:rFonts w:ascii="宋体" w:hAnsi="宋体" w:eastAsia="宋体"/>
          <w:sz w:val="24"/>
        </w:rPr>
        <w:t>技术发展和</w:t>
      </w:r>
      <w:r>
        <w:rPr>
          <w:rFonts w:hint="eastAsia" w:ascii="宋体" w:hAnsi="宋体" w:eastAsia="宋体"/>
          <w:sz w:val="24"/>
        </w:rPr>
        <w:t>多元化</w:t>
      </w:r>
      <w:r>
        <w:rPr>
          <w:rFonts w:ascii="宋体" w:hAnsi="宋体" w:eastAsia="宋体"/>
          <w:sz w:val="24"/>
        </w:rPr>
        <w:t>市场的需求</w:t>
      </w:r>
      <w:r>
        <w:rPr>
          <w:rFonts w:hint="eastAsia" w:ascii="宋体" w:hAnsi="宋体" w:eastAsia="宋体"/>
          <w:sz w:val="24"/>
        </w:rPr>
        <w:t>。</w:t>
      </w:r>
      <w:r>
        <w:rPr>
          <w:rFonts w:ascii="宋体" w:hAnsi="宋体" w:eastAsia="宋体"/>
          <w:sz w:val="24"/>
        </w:rPr>
        <w:t>其中</w:t>
      </w:r>
      <w:r>
        <w:rPr>
          <w:rFonts w:hint="eastAsia" w:ascii="宋体" w:hAnsi="宋体" w:eastAsia="宋体"/>
          <w:sz w:val="24"/>
        </w:rPr>
        <w:t>化学成分方面，</w:t>
      </w:r>
      <w:r>
        <w:rPr>
          <w:rFonts w:ascii="宋体" w:hAnsi="宋体" w:eastAsia="宋体"/>
          <w:sz w:val="24"/>
        </w:rPr>
        <w:t>Au99.999</w:t>
      </w:r>
      <w:r>
        <w:rPr>
          <w:rFonts w:hint="eastAsia" w:ascii="宋体" w:hAnsi="宋体" w:eastAsia="宋体"/>
          <w:sz w:val="24"/>
        </w:rPr>
        <w:t>牌号</w:t>
      </w:r>
      <w:r>
        <w:rPr>
          <w:rFonts w:ascii="宋体" w:hAnsi="宋体" w:eastAsia="宋体"/>
          <w:sz w:val="24"/>
        </w:rPr>
        <w:t>参考GB/T 25933《高纯金》要求，其余新增牌号参考GB/T 4134-2021《金锭》相关规定。</w:t>
      </w:r>
      <w:r>
        <w:rPr>
          <w:rFonts w:hint="eastAsia" w:ascii="宋体" w:hAnsi="宋体" w:eastAsia="宋体"/>
          <w:sz w:val="24"/>
        </w:rPr>
        <w:t>除此之外，针对近年来市场上出现的金掺假现象，对化学成分中的限定元素增加了铼、钨、锗，规避高隐蔽性掺假的风险。</w:t>
      </w:r>
    </w:p>
    <w:p w14:paraId="24AED26E">
      <w:pPr>
        <w:spacing w:after="0" w:line="360" w:lineRule="auto"/>
        <w:jc w:val="both"/>
        <w:rPr>
          <w:rFonts w:hint="eastAsia" w:ascii="宋体" w:hAnsi="宋体" w:eastAsia="宋体"/>
          <w:b/>
          <w:bCs/>
          <w:sz w:val="24"/>
        </w:rPr>
      </w:pPr>
      <w:r>
        <w:rPr>
          <w:rFonts w:hint="eastAsia" w:ascii="宋体" w:hAnsi="宋体" w:eastAsia="宋体"/>
          <w:b/>
          <w:bCs/>
          <w:sz w:val="24"/>
        </w:rPr>
        <w:t>3.2.2物理规格</w:t>
      </w:r>
    </w:p>
    <w:p w14:paraId="61CB9DB3">
      <w:pPr>
        <w:spacing w:after="0" w:line="360" w:lineRule="auto"/>
        <w:ind w:firstLine="480" w:firstLineChars="200"/>
        <w:jc w:val="both"/>
        <w:rPr>
          <w:rFonts w:hint="eastAsia" w:ascii="宋体" w:hAnsi="宋体" w:eastAsia="宋体"/>
          <w:sz w:val="24"/>
        </w:rPr>
      </w:pPr>
      <w:r>
        <w:rPr>
          <w:rFonts w:ascii="宋体" w:hAnsi="宋体" w:eastAsia="宋体"/>
          <w:sz w:val="24"/>
        </w:rPr>
        <w:t>扩充金条标称质量范围，在原20g</w:t>
      </w:r>
      <w:r>
        <w:rPr>
          <w:rFonts w:hint="eastAsia" w:ascii="黑体" w:hAnsi="黑体" w:eastAsia="黑体"/>
          <w:sz w:val="24"/>
        </w:rPr>
        <w:t>～</w:t>
      </w:r>
      <w:r>
        <w:rPr>
          <w:rFonts w:ascii="宋体" w:hAnsi="宋体" w:eastAsia="宋体"/>
          <w:sz w:val="24"/>
        </w:rPr>
        <w:t>1000g基础上，增加1g、2g、5g等小规格和2000g、5000g、12500g等大规格</w:t>
      </w:r>
      <w:r>
        <w:rPr>
          <w:rFonts w:hint="eastAsia" w:ascii="宋体" w:hAnsi="宋体" w:eastAsia="宋体"/>
          <w:sz w:val="24"/>
        </w:rPr>
        <w:t>。根据我国金条生产技术及交易市场的现状，随着黄金价格持续走高，消费者与投资者更倾向于购买低门槛、易变现的小规格金条产品，据不完全统计，小规格金条在市场中的消费占比已达60%以上，并呈现上升趋势，本次修订兼顾</w:t>
      </w:r>
      <w:r>
        <w:rPr>
          <w:rFonts w:ascii="宋体" w:hAnsi="宋体" w:eastAsia="宋体"/>
          <w:sz w:val="24"/>
        </w:rPr>
        <w:t>个人小额投资</w:t>
      </w:r>
      <w:r>
        <w:rPr>
          <w:rFonts w:hint="eastAsia" w:ascii="宋体" w:hAnsi="宋体" w:eastAsia="宋体"/>
          <w:sz w:val="24"/>
        </w:rPr>
        <w:t>与</w:t>
      </w:r>
      <w:r>
        <w:rPr>
          <w:rFonts w:ascii="宋体" w:hAnsi="宋体" w:eastAsia="宋体"/>
          <w:sz w:val="24"/>
        </w:rPr>
        <w:t>机构大额交割</w:t>
      </w:r>
      <w:r>
        <w:rPr>
          <w:rFonts w:hint="eastAsia" w:ascii="宋体" w:hAnsi="宋体" w:eastAsia="宋体"/>
          <w:sz w:val="24"/>
        </w:rPr>
        <w:t>的</w:t>
      </w:r>
      <w:r>
        <w:rPr>
          <w:rFonts w:ascii="宋体" w:hAnsi="宋体" w:eastAsia="宋体"/>
          <w:sz w:val="24"/>
        </w:rPr>
        <w:t>不同需求</w:t>
      </w:r>
      <w:r>
        <w:rPr>
          <w:rFonts w:hint="eastAsia" w:ascii="宋体" w:hAnsi="宋体" w:eastAsia="宋体"/>
          <w:sz w:val="24"/>
        </w:rPr>
        <w:t>。其次，</w:t>
      </w:r>
      <w:r>
        <w:rPr>
          <w:rFonts w:ascii="宋体" w:hAnsi="宋体" w:eastAsia="宋体"/>
          <w:sz w:val="24"/>
        </w:rPr>
        <w:t>将标称质量修约位</w:t>
      </w:r>
      <w:r>
        <w:rPr>
          <w:rFonts w:hint="eastAsia" w:ascii="宋体" w:hAnsi="宋体" w:eastAsia="宋体"/>
          <w:sz w:val="24"/>
        </w:rPr>
        <w:t>数进行了分段调整，适当提高</w:t>
      </w:r>
      <w:r>
        <w:rPr>
          <w:rFonts w:ascii="宋体" w:hAnsi="宋体" w:eastAsia="宋体"/>
          <w:sz w:val="24"/>
        </w:rPr>
        <w:t>质量计量精度，契合黄金作为贵金属的价值属性和行业高精度计量要求；新增标称质量测量允差分级要求，按≤200g、&gt;200g</w:t>
      </w:r>
      <w:r>
        <w:rPr>
          <w:rFonts w:hint="eastAsia" w:ascii="黑体" w:hAnsi="黑体" w:eastAsia="黑体"/>
          <w:sz w:val="24"/>
        </w:rPr>
        <w:t>～</w:t>
      </w:r>
      <w:r>
        <w:rPr>
          <w:rFonts w:ascii="宋体" w:hAnsi="宋体" w:eastAsia="宋体"/>
          <w:sz w:val="24"/>
        </w:rPr>
        <w:t>500g（含）等五个区间设定不同允差，兼顾计量精度和生产实际，避免单一允差要求对不同规格产品的适配性不足；取消原标准对尺寸的硬性规定，改为由供需双方协商确定，同时保留底面和侧面的基础形状要求，增强标准的灵活性，适配不同企业的生产工艺</w:t>
      </w:r>
      <w:r>
        <w:rPr>
          <w:rFonts w:hint="eastAsia" w:ascii="宋体" w:hAnsi="宋体" w:eastAsia="宋体"/>
          <w:sz w:val="24"/>
        </w:rPr>
        <w:t>以及</w:t>
      </w:r>
      <w:r>
        <w:rPr>
          <w:rFonts w:ascii="宋体" w:hAnsi="宋体" w:eastAsia="宋体"/>
          <w:sz w:val="24"/>
        </w:rPr>
        <w:t>客户定制需求。</w:t>
      </w:r>
    </w:p>
    <w:p w14:paraId="5B6DD0C4">
      <w:pPr>
        <w:spacing w:after="0" w:line="360" w:lineRule="auto"/>
        <w:jc w:val="both"/>
        <w:rPr>
          <w:rFonts w:hint="eastAsia" w:ascii="宋体" w:hAnsi="宋体" w:eastAsia="宋体"/>
          <w:b/>
          <w:bCs/>
          <w:sz w:val="24"/>
        </w:rPr>
      </w:pPr>
      <w:r>
        <w:rPr>
          <w:rFonts w:hint="eastAsia" w:ascii="宋体" w:hAnsi="宋体" w:eastAsia="宋体"/>
          <w:b/>
          <w:bCs/>
          <w:sz w:val="24"/>
        </w:rPr>
        <w:t>3.2.3外观质量</w:t>
      </w:r>
    </w:p>
    <w:p w14:paraId="1EEEC8E5">
      <w:pPr>
        <w:spacing w:after="0" w:line="360" w:lineRule="auto"/>
        <w:ind w:firstLine="480" w:firstLineChars="200"/>
        <w:jc w:val="both"/>
        <w:rPr>
          <w:rFonts w:hint="eastAsia" w:ascii="宋体" w:hAnsi="宋体" w:eastAsia="宋体"/>
          <w:sz w:val="24"/>
        </w:rPr>
      </w:pPr>
      <w:r>
        <w:rPr>
          <w:rFonts w:ascii="宋体" w:hAnsi="宋体" w:eastAsia="宋体"/>
          <w:sz w:val="24"/>
        </w:rPr>
        <w:t>新增“表面光亮无污迹、裂纹”</w:t>
      </w:r>
      <w:r>
        <w:rPr>
          <w:rFonts w:hint="eastAsia" w:ascii="宋体" w:hAnsi="宋体" w:eastAsia="宋体"/>
          <w:sz w:val="24"/>
        </w:rPr>
        <w:t>、</w:t>
      </w:r>
      <w:r>
        <w:rPr>
          <w:rFonts w:ascii="宋体" w:hAnsi="宋体" w:eastAsia="宋体"/>
          <w:sz w:val="24"/>
        </w:rPr>
        <w:t>“表面、底面转角及周边四棱应圆滑过渡”等要求，明确外观缺陷判定标准，提升金条产品外观一致性；增加“可根据客户要求增加图案，图案不得覆盖相关标识”的规定，兼顾产品定制化需求和标识的可识别性，</w:t>
      </w:r>
      <w:r>
        <w:rPr>
          <w:rFonts w:hint="eastAsia" w:ascii="宋体" w:hAnsi="宋体" w:eastAsia="宋体"/>
          <w:sz w:val="24"/>
        </w:rPr>
        <w:t>有利于提升标准质量。</w:t>
      </w:r>
    </w:p>
    <w:p w14:paraId="499DBCED">
      <w:pPr>
        <w:spacing w:after="0" w:line="360" w:lineRule="auto"/>
        <w:jc w:val="both"/>
        <w:rPr>
          <w:rFonts w:hint="eastAsia" w:ascii="宋体" w:hAnsi="宋体" w:eastAsia="宋体"/>
          <w:b/>
          <w:bCs/>
          <w:sz w:val="24"/>
        </w:rPr>
      </w:pPr>
      <w:r>
        <w:rPr>
          <w:rFonts w:hint="eastAsia" w:ascii="宋体" w:hAnsi="宋体" w:eastAsia="宋体"/>
          <w:b/>
          <w:bCs/>
          <w:sz w:val="24"/>
        </w:rPr>
        <w:t>3.2.4试验方法</w:t>
      </w:r>
    </w:p>
    <w:p w14:paraId="4365B1BB">
      <w:pPr>
        <w:spacing w:after="0" w:line="360" w:lineRule="auto"/>
        <w:ind w:firstLine="480" w:firstLineChars="200"/>
        <w:jc w:val="both"/>
        <w:rPr>
          <w:rFonts w:hint="eastAsia" w:ascii="宋体" w:hAnsi="宋体" w:eastAsia="宋体"/>
          <w:sz w:val="24"/>
        </w:rPr>
      </w:pPr>
      <w:r>
        <w:rPr>
          <w:rFonts w:ascii="宋体" w:hAnsi="宋体" w:eastAsia="宋体"/>
          <w:sz w:val="24"/>
        </w:rPr>
        <w:t>针对不同牌号金条制定</w:t>
      </w:r>
      <w:r>
        <w:rPr>
          <w:rFonts w:hint="eastAsia" w:ascii="宋体" w:hAnsi="宋体" w:eastAsia="宋体"/>
          <w:sz w:val="24"/>
        </w:rPr>
        <w:t>不同的</w:t>
      </w:r>
      <w:r>
        <w:rPr>
          <w:rFonts w:ascii="宋体" w:hAnsi="宋体" w:eastAsia="宋体"/>
          <w:sz w:val="24"/>
        </w:rPr>
        <w:t>化学成分仲裁分析方法：Au99.999按GB/T</w:t>
      </w:r>
      <w:r>
        <w:rPr>
          <w:rFonts w:hint="eastAsia" w:ascii="宋体" w:hAnsi="宋体" w:eastAsia="宋体"/>
          <w:sz w:val="24"/>
        </w:rPr>
        <w:t xml:space="preserve"> </w:t>
      </w:r>
      <w:r>
        <w:rPr>
          <w:rFonts w:ascii="宋体" w:hAnsi="宋体" w:eastAsia="宋体"/>
          <w:sz w:val="24"/>
        </w:rPr>
        <w:t>25934《高纯金化学分析方法》检测</w:t>
      </w:r>
      <w:r>
        <w:rPr>
          <w:rFonts w:hint="eastAsia" w:ascii="宋体" w:hAnsi="宋体" w:eastAsia="宋体"/>
          <w:sz w:val="24"/>
        </w:rPr>
        <w:t>，Au99.995等先按GB/T 11066.1对金质量分数进行确定后再按GB/T 11066.2～GB/T 11066.12的规定以杂质减量法测定，</w:t>
      </w:r>
      <w:r>
        <w:rPr>
          <w:rFonts w:ascii="宋体" w:hAnsi="宋体" w:eastAsia="宋体"/>
          <w:sz w:val="24"/>
        </w:rPr>
        <w:t>Au99.90按GB/T</w:t>
      </w:r>
      <w:r>
        <w:rPr>
          <w:rFonts w:hint="eastAsia" w:ascii="宋体" w:hAnsi="宋体" w:eastAsia="宋体"/>
          <w:sz w:val="24"/>
        </w:rPr>
        <w:t xml:space="preserve"> </w:t>
      </w:r>
      <w:r>
        <w:rPr>
          <w:rFonts w:ascii="宋体" w:hAnsi="宋体" w:eastAsia="宋体"/>
          <w:sz w:val="24"/>
        </w:rPr>
        <w:t>11066.1直接测定，确保不同纯度金条的检测方法与纯度要求匹配，提高检测结果准确性</w:t>
      </w:r>
      <w:r>
        <w:rPr>
          <w:rFonts w:hint="eastAsia" w:ascii="宋体" w:hAnsi="宋体" w:eastAsia="宋体"/>
          <w:sz w:val="24"/>
        </w:rPr>
        <w:t>。</w:t>
      </w:r>
    </w:p>
    <w:p w14:paraId="2F602069">
      <w:pPr>
        <w:spacing w:after="0" w:line="360" w:lineRule="auto"/>
        <w:jc w:val="both"/>
        <w:rPr>
          <w:rFonts w:hint="eastAsia" w:ascii="宋体" w:hAnsi="宋体" w:eastAsia="宋体"/>
          <w:b/>
          <w:bCs/>
          <w:sz w:val="24"/>
        </w:rPr>
      </w:pPr>
      <w:r>
        <w:rPr>
          <w:rFonts w:hint="eastAsia" w:ascii="宋体" w:hAnsi="宋体" w:eastAsia="宋体"/>
          <w:b/>
          <w:bCs/>
          <w:sz w:val="24"/>
        </w:rPr>
        <w:t>3.2.5检验规则</w:t>
      </w:r>
    </w:p>
    <w:p w14:paraId="15C82EF1">
      <w:pPr>
        <w:spacing w:after="0" w:line="360" w:lineRule="auto"/>
        <w:ind w:firstLine="480" w:firstLineChars="200"/>
        <w:jc w:val="both"/>
        <w:rPr>
          <w:rFonts w:hint="eastAsia" w:ascii="宋体" w:hAnsi="宋体" w:eastAsia="宋体"/>
          <w:sz w:val="24"/>
        </w:rPr>
      </w:pPr>
      <w:r>
        <w:rPr>
          <w:rFonts w:hint="eastAsia" w:ascii="宋体" w:hAnsi="宋体" w:eastAsia="宋体"/>
          <w:sz w:val="24"/>
        </w:rPr>
        <w:t>对金条的化学成分的取样点进行了详细的规定，替代原标准的“随机部位”，使取样更具代表性，减少检测误差；保留化学成分按批检验、物理规格和外观质量逐条检验的原则，进一步明确检验结果判定规则，确保检验工作的规范性和判定结果的唯一性；细化取、制样要求，规定了单条取样及多条取样的不同布点方法、小规格金条的取样方式及无法钻取时可全样检测，为避免取样过程引入杂质，增加了在分析样品前采用热的</w:t>
      </w:r>
      <w:r>
        <w:rPr>
          <w:rFonts w:hint="eastAsia" w:ascii="黑体" w:hAnsi="黑体" w:eastAsia="黑体"/>
          <w:sz w:val="24"/>
        </w:rPr>
        <w:t>(1+3)</w:t>
      </w:r>
      <w:r>
        <w:rPr>
          <w:rFonts w:hint="eastAsia" w:ascii="宋体" w:hAnsi="宋体" w:eastAsia="宋体"/>
          <w:sz w:val="24"/>
        </w:rPr>
        <w:t>盐酸浸泡、清洗方法，保证检测结果的真实、可靠。</w:t>
      </w:r>
    </w:p>
    <w:p w14:paraId="3BBDA260">
      <w:pPr>
        <w:spacing w:after="0" w:line="360" w:lineRule="auto"/>
        <w:jc w:val="both"/>
        <w:rPr>
          <w:rFonts w:hint="eastAsia" w:ascii="宋体" w:hAnsi="宋体" w:eastAsia="宋体"/>
          <w:b/>
          <w:bCs/>
          <w:sz w:val="24"/>
        </w:rPr>
      </w:pPr>
      <w:r>
        <w:rPr>
          <w:rFonts w:hint="eastAsia" w:ascii="宋体" w:hAnsi="宋体" w:eastAsia="宋体"/>
          <w:b/>
          <w:bCs/>
          <w:sz w:val="24"/>
        </w:rPr>
        <w:t>3.2.6标志、包装与质量证明书</w:t>
      </w:r>
    </w:p>
    <w:p w14:paraId="750B1A02">
      <w:pPr>
        <w:spacing w:after="0" w:line="360" w:lineRule="auto"/>
        <w:ind w:firstLine="480" w:firstLineChars="200"/>
        <w:jc w:val="both"/>
        <w:rPr>
          <w:rFonts w:hint="eastAsia" w:ascii="宋体" w:hAnsi="宋体" w:eastAsia="宋体"/>
          <w:sz w:val="24"/>
        </w:rPr>
      </w:pPr>
      <w:r>
        <w:rPr>
          <w:rFonts w:ascii="宋体" w:hAnsi="宋体" w:eastAsia="宋体"/>
          <w:sz w:val="24"/>
        </w:rPr>
        <w:t>新增可增加溯源标识、责任供应链信息的规定，适配行业溯源体系建设和合规监管要求</w:t>
      </w:r>
      <w:r>
        <w:rPr>
          <w:rFonts w:hint="eastAsia" w:ascii="宋体" w:hAnsi="宋体" w:eastAsia="宋体"/>
          <w:sz w:val="24"/>
        </w:rPr>
        <w:t>，与国际贸易接轨</w:t>
      </w:r>
      <w:r>
        <w:rPr>
          <w:rFonts w:ascii="宋体" w:hAnsi="宋体" w:eastAsia="宋体"/>
          <w:sz w:val="24"/>
        </w:rPr>
        <w:t>；扩充包装方式，在原透明塑料盒基础上，增加亚克力盒、绒布袋、塑封膜等，满足不同产品的储存、运输和销售包装需求；完善质量证明书内容，增加“合格证”要求，明确标称质量标注要求，替代原“实测金条重”，使质量证明文件更贴合交易实际，强化产品质量溯源。</w:t>
      </w:r>
    </w:p>
    <w:p w14:paraId="45F1B676">
      <w:pPr>
        <w:spacing w:after="0" w:line="360" w:lineRule="auto"/>
        <w:jc w:val="both"/>
        <w:rPr>
          <w:rFonts w:hint="eastAsia" w:ascii="宋体" w:hAnsi="宋体" w:eastAsia="宋体"/>
          <w:b/>
          <w:bCs/>
          <w:sz w:val="24"/>
        </w:rPr>
      </w:pPr>
      <w:r>
        <w:rPr>
          <w:rFonts w:hint="eastAsia" w:ascii="宋体" w:hAnsi="宋体" w:eastAsia="宋体"/>
          <w:b/>
          <w:bCs/>
          <w:sz w:val="24"/>
        </w:rPr>
        <w:t>3.3技术经济论证</w:t>
      </w:r>
    </w:p>
    <w:p w14:paraId="64F1B0E5">
      <w:pPr>
        <w:spacing w:after="0" w:line="360" w:lineRule="auto"/>
        <w:jc w:val="both"/>
        <w:rPr>
          <w:rFonts w:hint="eastAsia" w:ascii="宋体" w:hAnsi="宋体" w:eastAsia="宋体"/>
          <w:sz w:val="24"/>
        </w:rPr>
      </w:pPr>
      <w:r>
        <w:rPr>
          <w:rFonts w:hint="eastAsia" w:ascii="宋体" w:hAnsi="宋体" w:eastAsia="宋体"/>
          <w:b/>
          <w:bCs/>
          <w:sz w:val="24"/>
        </w:rPr>
        <w:t>3.3.1 技术效益：</w:t>
      </w:r>
      <w:r>
        <w:rPr>
          <w:rFonts w:hint="eastAsia" w:ascii="宋体" w:hAnsi="宋体" w:eastAsia="宋体"/>
          <w:sz w:val="24"/>
        </w:rPr>
        <w:t>本</w:t>
      </w:r>
      <w:r>
        <w:rPr>
          <w:rFonts w:ascii="宋体" w:hAnsi="宋体" w:eastAsia="宋体"/>
          <w:sz w:val="24"/>
        </w:rPr>
        <w:t>标准的实施将为金条生产、检验、交易、仓储等全链条提供统一的技术依据，优化牌号体系和检测方法，提升产品品质稳定性和一致性；强化溯源管理和包装规范，推动行业质量管控体系升级，助力我国黄金产业向高质量发展转型。</w:t>
      </w:r>
    </w:p>
    <w:p w14:paraId="271C2DD7">
      <w:pPr>
        <w:spacing w:after="0" w:line="360" w:lineRule="auto"/>
        <w:jc w:val="both"/>
        <w:rPr>
          <w:rFonts w:hint="eastAsia" w:ascii="宋体" w:hAnsi="宋体" w:eastAsia="宋体"/>
          <w:sz w:val="24"/>
        </w:rPr>
      </w:pPr>
      <w:r>
        <w:rPr>
          <w:rFonts w:hint="eastAsia" w:ascii="宋体" w:hAnsi="宋体" w:eastAsia="宋体"/>
          <w:b/>
          <w:bCs/>
          <w:sz w:val="24"/>
        </w:rPr>
        <w:t>3.3.2 经济效益：</w:t>
      </w:r>
      <w:r>
        <w:rPr>
          <w:rFonts w:hint="eastAsia" w:ascii="宋体" w:hAnsi="宋体" w:eastAsia="宋体"/>
          <w:sz w:val="24"/>
        </w:rPr>
        <w:t>标</w:t>
      </w:r>
      <w:r>
        <w:rPr>
          <w:rFonts w:ascii="宋体" w:hAnsi="宋体" w:eastAsia="宋体"/>
          <w:sz w:val="24"/>
        </w:rPr>
        <w:t>准新增的多规格、多牌号要求将适配金融投资、工业应用等多元市场需求，进一步激活金条市场活力；与国际接轨的技术内容将降低我国金条产品的国际贸易技术壁垒，提升中国黄金的国际话语权和市场竞争力，为黄金企业拓展国际市场创造条件；同时，统一的检验规则和判定标准将减少市场交易中的质量纠纷，降低交易成本，保障交易双方合法权益。</w:t>
      </w:r>
    </w:p>
    <w:p w14:paraId="7F17531D">
      <w:pPr>
        <w:spacing w:after="0" w:line="360" w:lineRule="auto"/>
        <w:jc w:val="both"/>
        <w:rPr>
          <w:rFonts w:hint="eastAsia" w:ascii="宋体" w:hAnsi="宋体" w:eastAsia="宋体"/>
          <w:sz w:val="24"/>
        </w:rPr>
      </w:pPr>
      <w:r>
        <w:rPr>
          <w:rFonts w:hint="eastAsia" w:ascii="宋体" w:hAnsi="宋体" w:eastAsia="宋体"/>
          <w:b/>
          <w:bCs/>
          <w:sz w:val="24"/>
        </w:rPr>
        <w:t>3.3.3 社会效益：</w:t>
      </w:r>
      <w:r>
        <w:rPr>
          <w:rFonts w:ascii="宋体" w:hAnsi="宋体" w:eastAsia="宋体"/>
          <w:sz w:val="24"/>
        </w:rPr>
        <w:t>标准的修订落实了国家“质量强国”战略和金融资产安全要求，规范了金条市场交易秩序，提升了黄金产品的质量公信力；同时，完善的技术标准将推动黄金行业技术创新和产业升级，促进黄金产业与金融、珠宝、工业等领域的融合发展。</w:t>
      </w:r>
    </w:p>
    <w:p w14:paraId="3CDC80B6">
      <w:pPr>
        <w:rPr>
          <w:rFonts w:hint="eastAsia" w:ascii="宋体" w:hAnsi="宋体" w:eastAsia="宋体"/>
          <w:b/>
          <w:bCs/>
          <w:sz w:val="30"/>
          <w:szCs w:val="30"/>
        </w:rPr>
      </w:pPr>
      <w:r>
        <w:rPr>
          <w:rFonts w:ascii="宋体" w:hAnsi="宋体" w:eastAsia="宋体"/>
          <w:b/>
          <w:bCs/>
          <w:sz w:val="30"/>
          <w:szCs w:val="30"/>
        </w:rPr>
        <w:t>四、采用国际标准和国外先进标准的</w:t>
      </w:r>
      <w:r>
        <w:rPr>
          <w:rFonts w:hint="eastAsia" w:ascii="宋体" w:hAnsi="宋体" w:eastAsia="宋体"/>
          <w:b/>
          <w:bCs/>
          <w:sz w:val="30"/>
          <w:szCs w:val="30"/>
        </w:rPr>
        <w:t>情况，与国际、国内同类标准水平的对比情况</w:t>
      </w:r>
    </w:p>
    <w:p w14:paraId="7242A5A6">
      <w:pPr>
        <w:spacing w:after="0" w:line="360" w:lineRule="auto"/>
        <w:ind w:firstLine="480" w:firstLineChars="200"/>
        <w:jc w:val="both"/>
        <w:rPr>
          <w:rFonts w:hint="eastAsia" w:ascii="宋体" w:hAnsi="宋体" w:eastAsia="宋体"/>
          <w:sz w:val="24"/>
        </w:rPr>
      </w:pPr>
      <w:r>
        <w:rPr>
          <w:rFonts w:hint="eastAsia" w:ascii="宋体" w:hAnsi="宋体" w:eastAsia="宋体"/>
          <w:sz w:val="24"/>
        </w:rPr>
        <w:t>本标准未采标，其规范性引用文件现行有效，总体技术水平属于国际先进水平。</w:t>
      </w:r>
    </w:p>
    <w:p w14:paraId="01D9C1DA">
      <w:pPr>
        <w:rPr>
          <w:rFonts w:hint="eastAsia" w:ascii="宋体" w:hAnsi="宋体" w:eastAsia="宋体"/>
          <w:b/>
          <w:bCs/>
          <w:sz w:val="30"/>
          <w:szCs w:val="30"/>
        </w:rPr>
      </w:pPr>
      <w:r>
        <w:rPr>
          <w:rFonts w:ascii="宋体" w:hAnsi="宋体" w:eastAsia="宋体"/>
          <w:b/>
          <w:bCs/>
          <w:sz w:val="30"/>
          <w:szCs w:val="30"/>
        </w:rPr>
        <w:t>五、与有关的现行法律、法规和强制性国家标准的关系</w:t>
      </w:r>
    </w:p>
    <w:p w14:paraId="19EE7514">
      <w:pPr>
        <w:ind w:firstLine="480" w:firstLineChars="200"/>
        <w:jc w:val="both"/>
        <w:rPr>
          <w:rFonts w:hint="eastAsia" w:ascii="宋体" w:hAnsi="宋体" w:eastAsia="宋体"/>
          <w:sz w:val="24"/>
        </w:rPr>
      </w:pPr>
      <w:r>
        <w:rPr>
          <w:rFonts w:hint="eastAsia" w:ascii="宋体" w:hAnsi="宋体" w:eastAsia="宋体"/>
          <w:sz w:val="24"/>
        </w:rPr>
        <w:t>本标准</w:t>
      </w:r>
      <w:r>
        <w:rPr>
          <w:rFonts w:ascii="宋体" w:hAnsi="宋体" w:eastAsia="宋体"/>
          <w:sz w:val="24"/>
        </w:rPr>
        <w:t>与相关法律、法规、规章及相关标准协调一致，没有冲突。</w:t>
      </w:r>
    </w:p>
    <w:p w14:paraId="6C0E5289">
      <w:pPr>
        <w:rPr>
          <w:rFonts w:hint="eastAsia" w:ascii="宋体" w:hAnsi="宋体" w:eastAsia="宋体"/>
          <w:b/>
          <w:bCs/>
          <w:sz w:val="30"/>
          <w:szCs w:val="30"/>
        </w:rPr>
      </w:pPr>
      <w:r>
        <w:rPr>
          <w:rFonts w:ascii="宋体" w:hAnsi="宋体" w:eastAsia="宋体"/>
          <w:b/>
          <w:bCs/>
          <w:sz w:val="30"/>
          <w:szCs w:val="30"/>
        </w:rPr>
        <w:t>六、重大分歧意见的处理经过和依据</w:t>
      </w:r>
    </w:p>
    <w:p w14:paraId="7C81538B">
      <w:pPr>
        <w:ind w:firstLine="480" w:firstLineChars="200"/>
        <w:jc w:val="both"/>
        <w:rPr>
          <w:rFonts w:hint="eastAsia" w:ascii="宋体" w:hAnsi="宋体" w:eastAsia="宋体"/>
          <w:sz w:val="24"/>
        </w:rPr>
      </w:pPr>
      <w:r>
        <w:rPr>
          <w:rFonts w:ascii="宋体" w:hAnsi="宋体" w:eastAsia="宋体"/>
          <w:sz w:val="24"/>
        </w:rPr>
        <w:t>暂无。</w:t>
      </w:r>
    </w:p>
    <w:p w14:paraId="086EEC6B">
      <w:pPr>
        <w:rPr>
          <w:rFonts w:hint="eastAsia" w:ascii="宋体" w:hAnsi="宋体" w:eastAsia="宋体"/>
          <w:b/>
          <w:bCs/>
          <w:sz w:val="30"/>
          <w:szCs w:val="30"/>
        </w:rPr>
      </w:pPr>
      <w:r>
        <w:rPr>
          <w:rFonts w:hint="eastAsia" w:ascii="宋体" w:hAnsi="宋体" w:eastAsia="宋体"/>
          <w:b/>
          <w:bCs/>
          <w:sz w:val="30"/>
          <w:szCs w:val="30"/>
        </w:rPr>
        <w:t>七</w:t>
      </w:r>
      <w:r>
        <w:rPr>
          <w:rFonts w:ascii="宋体" w:hAnsi="宋体" w:eastAsia="宋体"/>
          <w:b/>
          <w:bCs/>
          <w:sz w:val="30"/>
          <w:szCs w:val="30"/>
        </w:rPr>
        <w:t>、</w:t>
      </w:r>
      <w:r>
        <w:rPr>
          <w:rFonts w:hint="eastAsia" w:ascii="宋体" w:hAnsi="宋体" w:eastAsia="宋体"/>
          <w:b/>
          <w:bCs/>
          <w:sz w:val="30"/>
          <w:szCs w:val="30"/>
        </w:rPr>
        <w:t>国家标准作为强制性国家标准或推荐性国家标准的建议</w:t>
      </w:r>
    </w:p>
    <w:p w14:paraId="22706E29">
      <w:pPr>
        <w:ind w:firstLine="480" w:firstLineChars="200"/>
        <w:jc w:val="both"/>
        <w:rPr>
          <w:rFonts w:hint="eastAsia" w:ascii="宋体" w:hAnsi="宋体" w:eastAsia="宋体"/>
          <w:sz w:val="24"/>
        </w:rPr>
      </w:pPr>
      <w:r>
        <w:rPr>
          <w:rFonts w:hint="eastAsia" w:ascii="宋体" w:hAnsi="宋体" w:eastAsia="宋体"/>
          <w:sz w:val="24"/>
        </w:rPr>
        <w:t>建议本标准作为推荐性国家标准颁布实施。</w:t>
      </w:r>
    </w:p>
    <w:p w14:paraId="4E3ED197">
      <w:pPr>
        <w:rPr>
          <w:rFonts w:hint="eastAsia" w:ascii="宋体" w:hAnsi="宋体" w:eastAsia="宋体"/>
          <w:b/>
          <w:bCs/>
          <w:sz w:val="30"/>
          <w:szCs w:val="30"/>
        </w:rPr>
      </w:pPr>
      <w:r>
        <w:rPr>
          <w:rFonts w:ascii="宋体" w:hAnsi="宋体" w:eastAsia="宋体"/>
          <w:b/>
          <w:bCs/>
          <w:sz w:val="30"/>
          <w:szCs w:val="30"/>
        </w:rPr>
        <w:t>八、贯彻标准的要求和措施建议</w:t>
      </w:r>
    </w:p>
    <w:p w14:paraId="5AFB7E9F">
      <w:pPr>
        <w:spacing w:after="0" w:line="360" w:lineRule="auto"/>
        <w:ind w:firstLine="480" w:firstLineChars="200"/>
        <w:jc w:val="both"/>
        <w:rPr>
          <w:rFonts w:hint="eastAsia" w:ascii="宋体" w:hAnsi="宋体" w:eastAsia="宋体"/>
          <w:sz w:val="24"/>
        </w:rPr>
      </w:pPr>
      <w:r>
        <w:rPr>
          <w:rFonts w:ascii="宋体" w:hAnsi="宋体" w:eastAsia="宋体"/>
          <w:sz w:val="24"/>
        </w:rPr>
        <w:t>建议本标准于发布后</w:t>
      </w:r>
      <w:r>
        <w:rPr>
          <w:rFonts w:hint="eastAsia" w:ascii="宋体" w:hAnsi="宋体" w:eastAsia="宋体"/>
          <w:sz w:val="24"/>
        </w:rPr>
        <w:t>6</w:t>
      </w:r>
      <w:r>
        <w:rPr>
          <w:rFonts w:ascii="宋体" w:hAnsi="宋体" w:eastAsia="宋体"/>
          <w:sz w:val="24"/>
        </w:rPr>
        <w:t>个月起实施。本标准发布实施后，应向有关黄金矿山企业、冶炼企业、金融贸易企业、首饰加工企业和科研单位等进行宣贯，向所有从事金条生产加工、金融贸易和使用的相关工作人员推荐执行本标准。</w:t>
      </w:r>
    </w:p>
    <w:p w14:paraId="7D3581C2">
      <w:pPr>
        <w:rPr>
          <w:rFonts w:hint="eastAsia" w:ascii="宋体" w:hAnsi="宋体" w:eastAsia="宋体"/>
          <w:b/>
          <w:bCs/>
          <w:sz w:val="30"/>
          <w:szCs w:val="30"/>
        </w:rPr>
      </w:pPr>
      <w:r>
        <w:rPr>
          <w:rFonts w:hint="eastAsia" w:ascii="宋体" w:hAnsi="宋体" w:eastAsia="宋体"/>
          <w:b/>
          <w:bCs/>
          <w:sz w:val="30"/>
          <w:szCs w:val="30"/>
        </w:rPr>
        <w:t>九</w:t>
      </w:r>
      <w:r>
        <w:rPr>
          <w:rFonts w:ascii="宋体" w:hAnsi="宋体" w:eastAsia="宋体"/>
          <w:b/>
          <w:bCs/>
          <w:sz w:val="30"/>
          <w:szCs w:val="30"/>
        </w:rPr>
        <w:t>、</w:t>
      </w:r>
      <w:r>
        <w:rPr>
          <w:rFonts w:hint="eastAsia" w:ascii="宋体" w:hAnsi="宋体" w:eastAsia="宋体"/>
          <w:b/>
          <w:bCs/>
          <w:sz w:val="30"/>
          <w:szCs w:val="30"/>
        </w:rPr>
        <w:t>废止现行有关标准的建议</w:t>
      </w:r>
    </w:p>
    <w:p w14:paraId="08BFF42E">
      <w:pPr>
        <w:spacing w:after="0" w:line="360" w:lineRule="auto"/>
        <w:ind w:firstLine="480" w:firstLineChars="200"/>
        <w:jc w:val="both"/>
        <w:rPr>
          <w:rFonts w:hint="eastAsia" w:ascii="宋体" w:hAnsi="宋体" w:eastAsia="宋体"/>
          <w:sz w:val="24"/>
        </w:rPr>
      </w:pPr>
      <w:r>
        <w:rPr>
          <w:rFonts w:hint="eastAsia" w:ascii="宋体" w:hAnsi="宋体" w:eastAsia="宋体"/>
          <w:sz w:val="24"/>
        </w:rPr>
        <w:t>本标准代替GB/T 26021-2010。</w:t>
      </w:r>
    </w:p>
    <w:p w14:paraId="47073033">
      <w:pPr>
        <w:rPr>
          <w:rFonts w:hint="eastAsia" w:ascii="宋体" w:hAnsi="宋体" w:eastAsia="宋体"/>
          <w:b/>
          <w:bCs/>
          <w:sz w:val="30"/>
          <w:szCs w:val="30"/>
        </w:rPr>
      </w:pPr>
      <w:r>
        <w:rPr>
          <w:rFonts w:ascii="宋体" w:hAnsi="宋体" w:eastAsia="宋体"/>
          <w:b/>
          <w:bCs/>
          <w:sz w:val="30"/>
          <w:szCs w:val="30"/>
        </w:rPr>
        <w:t>十、其他应予说明的事项</w:t>
      </w:r>
    </w:p>
    <w:p w14:paraId="79D0E3CC">
      <w:pPr>
        <w:ind w:firstLine="480" w:firstLineChars="200"/>
        <w:jc w:val="both"/>
        <w:rPr>
          <w:rFonts w:hint="eastAsia" w:ascii="宋体" w:hAnsi="宋体" w:eastAsia="宋体"/>
          <w:sz w:val="24"/>
        </w:rPr>
      </w:pPr>
      <w:r>
        <w:rPr>
          <w:rFonts w:hint="eastAsia" w:ascii="宋体" w:hAnsi="宋体" w:eastAsia="宋体"/>
          <w:sz w:val="24"/>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622"/>
    <w:rsid w:val="000013F4"/>
    <w:rsid w:val="00003179"/>
    <w:rsid w:val="000036CF"/>
    <w:rsid w:val="00010ECC"/>
    <w:rsid w:val="00012DAF"/>
    <w:rsid w:val="000130CA"/>
    <w:rsid w:val="000222B5"/>
    <w:rsid w:val="0003048A"/>
    <w:rsid w:val="00031307"/>
    <w:rsid w:val="000359FE"/>
    <w:rsid w:val="00061571"/>
    <w:rsid w:val="000621FD"/>
    <w:rsid w:val="00064833"/>
    <w:rsid w:val="00072D26"/>
    <w:rsid w:val="00076112"/>
    <w:rsid w:val="000828B1"/>
    <w:rsid w:val="0008297E"/>
    <w:rsid w:val="0008583D"/>
    <w:rsid w:val="00092609"/>
    <w:rsid w:val="000A72F5"/>
    <w:rsid w:val="000B1B8A"/>
    <w:rsid w:val="000C735E"/>
    <w:rsid w:val="000C7932"/>
    <w:rsid w:val="000D0B37"/>
    <w:rsid w:val="000E1A98"/>
    <w:rsid w:val="000E56A4"/>
    <w:rsid w:val="000E6334"/>
    <w:rsid w:val="000F5311"/>
    <w:rsid w:val="00101F01"/>
    <w:rsid w:val="0011136E"/>
    <w:rsid w:val="00115DA1"/>
    <w:rsid w:val="001177A3"/>
    <w:rsid w:val="00121592"/>
    <w:rsid w:val="00130621"/>
    <w:rsid w:val="00131C82"/>
    <w:rsid w:val="00137413"/>
    <w:rsid w:val="0015426F"/>
    <w:rsid w:val="0015437B"/>
    <w:rsid w:val="00160AD4"/>
    <w:rsid w:val="00163BE1"/>
    <w:rsid w:val="001658AB"/>
    <w:rsid w:val="001723AB"/>
    <w:rsid w:val="00172896"/>
    <w:rsid w:val="00183167"/>
    <w:rsid w:val="001842CE"/>
    <w:rsid w:val="001964F4"/>
    <w:rsid w:val="001A01BD"/>
    <w:rsid w:val="001A7364"/>
    <w:rsid w:val="001B1C07"/>
    <w:rsid w:val="001C4810"/>
    <w:rsid w:val="001C57B2"/>
    <w:rsid w:val="001C6210"/>
    <w:rsid w:val="001C64D0"/>
    <w:rsid w:val="001E63AC"/>
    <w:rsid w:val="001F0E98"/>
    <w:rsid w:val="002022DA"/>
    <w:rsid w:val="00223B37"/>
    <w:rsid w:val="00227DE4"/>
    <w:rsid w:val="00240349"/>
    <w:rsid w:val="00245A11"/>
    <w:rsid w:val="0026040B"/>
    <w:rsid w:val="002638D4"/>
    <w:rsid w:val="00270116"/>
    <w:rsid w:val="00270759"/>
    <w:rsid w:val="00272045"/>
    <w:rsid w:val="0027427E"/>
    <w:rsid w:val="00275BB7"/>
    <w:rsid w:val="002906DD"/>
    <w:rsid w:val="00291047"/>
    <w:rsid w:val="002A35C9"/>
    <w:rsid w:val="002B6A2E"/>
    <w:rsid w:val="002C1A19"/>
    <w:rsid w:val="002C4A76"/>
    <w:rsid w:val="002C4B34"/>
    <w:rsid w:val="002D2EBF"/>
    <w:rsid w:val="003048A2"/>
    <w:rsid w:val="00311EE6"/>
    <w:rsid w:val="00314D2D"/>
    <w:rsid w:val="00315266"/>
    <w:rsid w:val="00322533"/>
    <w:rsid w:val="003240D9"/>
    <w:rsid w:val="00326C7A"/>
    <w:rsid w:val="00327E23"/>
    <w:rsid w:val="0033152D"/>
    <w:rsid w:val="00352A6F"/>
    <w:rsid w:val="00367FE9"/>
    <w:rsid w:val="003736BD"/>
    <w:rsid w:val="00374B7D"/>
    <w:rsid w:val="00375202"/>
    <w:rsid w:val="00375F23"/>
    <w:rsid w:val="003772C5"/>
    <w:rsid w:val="003879AD"/>
    <w:rsid w:val="003A2027"/>
    <w:rsid w:val="003A2687"/>
    <w:rsid w:val="003C0675"/>
    <w:rsid w:val="003C3543"/>
    <w:rsid w:val="003C4097"/>
    <w:rsid w:val="003C4420"/>
    <w:rsid w:val="003D4B7E"/>
    <w:rsid w:val="003D51C6"/>
    <w:rsid w:val="003E7C7B"/>
    <w:rsid w:val="003F664B"/>
    <w:rsid w:val="00400A06"/>
    <w:rsid w:val="0040221D"/>
    <w:rsid w:val="00407E4D"/>
    <w:rsid w:val="0041449C"/>
    <w:rsid w:val="00414D84"/>
    <w:rsid w:val="0044001B"/>
    <w:rsid w:val="0044580D"/>
    <w:rsid w:val="004536EA"/>
    <w:rsid w:val="004617A1"/>
    <w:rsid w:val="0046756C"/>
    <w:rsid w:val="00476DA5"/>
    <w:rsid w:val="00477A3C"/>
    <w:rsid w:val="00481D89"/>
    <w:rsid w:val="00484BFD"/>
    <w:rsid w:val="004943A7"/>
    <w:rsid w:val="00494B7B"/>
    <w:rsid w:val="00494C07"/>
    <w:rsid w:val="004A762D"/>
    <w:rsid w:val="004B54B6"/>
    <w:rsid w:val="004D0425"/>
    <w:rsid w:val="004D174D"/>
    <w:rsid w:val="004E23FD"/>
    <w:rsid w:val="004F3621"/>
    <w:rsid w:val="004F3945"/>
    <w:rsid w:val="00504808"/>
    <w:rsid w:val="005064B7"/>
    <w:rsid w:val="00512751"/>
    <w:rsid w:val="00514A46"/>
    <w:rsid w:val="00525CDB"/>
    <w:rsid w:val="005404E1"/>
    <w:rsid w:val="00541D84"/>
    <w:rsid w:val="00541DC6"/>
    <w:rsid w:val="00550234"/>
    <w:rsid w:val="00552D65"/>
    <w:rsid w:val="0055512F"/>
    <w:rsid w:val="005554F8"/>
    <w:rsid w:val="005608F4"/>
    <w:rsid w:val="005635E2"/>
    <w:rsid w:val="0057250A"/>
    <w:rsid w:val="00575911"/>
    <w:rsid w:val="0058687F"/>
    <w:rsid w:val="00595E6E"/>
    <w:rsid w:val="00596ECD"/>
    <w:rsid w:val="005A5DD3"/>
    <w:rsid w:val="005B7CF1"/>
    <w:rsid w:val="005C41BA"/>
    <w:rsid w:val="005C67E6"/>
    <w:rsid w:val="005C6B4A"/>
    <w:rsid w:val="005D2402"/>
    <w:rsid w:val="005D7DC0"/>
    <w:rsid w:val="005E4725"/>
    <w:rsid w:val="005E6C87"/>
    <w:rsid w:val="005F0E98"/>
    <w:rsid w:val="006068D6"/>
    <w:rsid w:val="00607A44"/>
    <w:rsid w:val="00611864"/>
    <w:rsid w:val="00612F6D"/>
    <w:rsid w:val="00621FAA"/>
    <w:rsid w:val="00633C4C"/>
    <w:rsid w:val="006400DD"/>
    <w:rsid w:val="00657122"/>
    <w:rsid w:val="006578D8"/>
    <w:rsid w:val="00657E15"/>
    <w:rsid w:val="006661CE"/>
    <w:rsid w:val="00670B7F"/>
    <w:rsid w:val="0069539F"/>
    <w:rsid w:val="0069705C"/>
    <w:rsid w:val="006A4937"/>
    <w:rsid w:val="006A75A8"/>
    <w:rsid w:val="006B0926"/>
    <w:rsid w:val="006B57CD"/>
    <w:rsid w:val="006B76F2"/>
    <w:rsid w:val="006C07EA"/>
    <w:rsid w:val="006C2D04"/>
    <w:rsid w:val="006E1A8E"/>
    <w:rsid w:val="006F378E"/>
    <w:rsid w:val="00701876"/>
    <w:rsid w:val="00703DC7"/>
    <w:rsid w:val="00717CBB"/>
    <w:rsid w:val="00732DD5"/>
    <w:rsid w:val="007379FE"/>
    <w:rsid w:val="00755713"/>
    <w:rsid w:val="007668B7"/>
    <w:rsid w:val="00770584"/>
    <w:rsid w:val="007739F9"/>
    <w:rsid w:val="00786779"/>
    <w:rsid w:val="00794463"/>
    <w:rsid w:val="00795A31"/>
    <w:rsid w:val="007A27A7"/>
    <w:rsid w:val="007B1C91"/>
    <w:rsid w:val="007B3E1A"/>
    <w:rsid w:val="007B784E"/>
    <w:rsid w:val="007C06FB"/>
    <w:rsid w:val="007C23E0"/>
    <w:rsid w:val="007C5739"/>
    <w:rsid w:val="007C6698"/>
    <w:rsid w:val="007D0736"/>
    <w:rsid w:val="007D368D"/>
    <w:rsid w:val="007D51E0"/>
    <w:rsid w:val="007F1773"/>
    <w:rsid w:val="007F6340"/>
    <w:rsid w:val="007F7396"/>
    <w:rsid w:val="00800782"/>
    <w:rsid w:val="008012D5"/>
    <w:rsid w:val="00801784"/>
    <w:rsid w:val="00801788"/>
    <w:rsid w:val="00801FFF"/>
    <w:rsid w:val="00805490"/>
    <w:rsid w:val="0080595A"/>
    <w:rsid w:val="0081130B"/>
    <w:rsid w:val="00814DE8"/>
    <w:rsid w:val="00817E77"/>
    <w:rsid w:val="008211F5"/>
    <w:rsid w:val="0082504C"/>
    <w:rsid w:val="00833C9C"/>
    <w:rsid w:val="008458F0"/>
    <w:rsid w:val="00850103"/>
    <w:rsid w:val="008665F1"/>
    <w:rsid w:val="00873212"/>
    <w:rsid w:val="00877EB8"/>
    <w:rsid w:val="00886096"/>
    <w:rsid w:val="00894E48"/>
    <w:rsid w:val="008A14E2"/>
    <w:rsid w:val="008A4F3A"/>
    <w:rsid w:val="008A51F8"/>
    <w:rsid w:val="008A5509"/>
    <w:rsid w:val="008B5DF8"/>
    <w:rsid w:val="008F6DEC"/>
    <w:rsid w:val="00907638"/>
    <w:rsid w:val="00914F24"/>
    <w:rsid w:val="00916547"/>
    <w:rsid w:val="00916A76"/>
    <w:rsid w:val="009218C0"/>
    <w:rsid w:val="009224A7"/>
    <w:rsid w:val="00922CFD"/>
    <w:rsid w:val="00923669"/>
    <w:rsid w:val="00937F6B"/>
    <w:rsid w:val="00942DB1"/>
    <w:rsid w:val="009432CD"/>
    <w:rsid w:val="00945B83"/>
    <w:rsid w:val="009624F9"/>
    <w:rsid w:val="00963FC9"/>
    <w:rsid w:val="00972BD9"/>
    <w:rsid w:val="009823B4"/>
    <w:rsid w:val="00983850"/>
    <w:rsid w:val="00987FA6"/>
    <w:rsid w:val="00990B0C"/>
    <w:rsid w:val="009A1F5A"/>
    <w:rsid w:val="009A2DDC"/>
    <w:rsid w:val="009A494D"/>
    <w:rsid w:val="009A53BB"/>
    <w:rsid w:val="009B4367"/>
    <w:rsid w:val="009B6930"/>
    <w:rsid w:val="009D3251"/>
    <w:rsid w:val="009D6BB2"/>
    <w:rsid w:val="009E3343"/>
    <w:rsid w:val="009E76A9"/>
    <w:rsid w:val="009E772E"/>
    <w:rsid w:val="00A20463"/>
    <w:rsid w:val="00A21BEA"/>
    <w:rsid w:val="00A21EB7"/>
    <w:rsid w:val="00A43617"/>
    <w:rsid w:val="00A4428D"/>
    <w:rsid w:val="00A4726D"/>
    <w:rsid w:val="00A62B9E"/>
    <w:rsid w:val="00A73C5D"/>
    <w:rsid w:val="00A73DA1"/>
    <w:rsid w:val="00A74C36"/>
    <w:rsid w:val="00A80CD1"/>
    <w:rsid w:val="00AC5926"/>
    <w:rsid w:val="00AD0AD9"/>
    <w:rsid w:val="00AD34B6"/>
    <w:rsid w:val="00AD41B3"/>
    <w:rsid w:val="00AD71C0"/>
    <w:rsid w:val="00AF1449"/>
    <w:rsid w:val="00B0111D"/>
    <w:rsid w:val="00B01622"/>
    <w:rsid w:val="00B06395"/>
    <w:rsid w:val="00B14CDB"/>
    <w:rsid w:val="00B20225"/>
    <w:rsid w:val="00B34888"/>
    <w:rsid w:val="00B4119D"/>
    <w:rsid w:val="00B43A5D"/>
    <w:rsid w:val="00B504EB"/>
    <w:rsid w:val="00B56650"/>
    <w:rsid w:val="00B6282B"/>
    <w:rsid w:val="00B770DA"/>
    <w:rsid w:val="00B80DB2"/>
    <w:rsid w:val="00B92B6A"/>
    <w:rsid w:val="00B95E06"/>
    <w:rsid w:val="00BA0406"/>
    <w:rsid w:val="00BB1E09"/>
    <w:rsid w:val="00BB64FB"/>
    <w:rsid w:val="00BC509B"/>
    <w:rsid w:val="00BC6EA4"/>
    <w:rsid w:val="00BE0D2F"/>
    <w:rsid w:val="00BE3E55"/>
    <w:rsid w:val="00BF672B"/>
    <w:rsid w:val="00C05570"/>
    <w:rsid w:val="00C10B8B"/>
    <w:rsid w:val="00C17F1F"/>
    <w:rsid w:val="00C20450"/>
    <w:rsid w:val="00C23EDB"/>
    <w:rsid w:val="00C25AAC"/>
    <w:rsid w:val="00C31E80"/>
    <w:rsid w:val="00C32620"/>
    <w:rsid w:val="00C3692F"/>
    <w:rsid w:val="00C420E0"/>
    <w:rsid w:val="00C464BC"/>
    <w:rsid w:val="00C5198D"/>
    <w:rsid w:val="00C60E1A"/>
    <w:rsid w:val="00C6642A"/>
    <w:rsid w:val="00C913D8"/>
    <w:rsid w:val="00CB13D2"/>
    <w:rsid w:val="00CB1929"/>
    <w:rsid w:val="00CB3566"/>
    <w:rsid w:val="00CC3287"/>
    <w:rsid w:val="00CC6361"/>
    <w:rsid w:val="00CD14E9"/>
    <w:rsid w:val="00CE27DD"/>
    <w:rsid w:val="00CF51DE"/>
    <w:rsid w:val="00D01908"/>
    <w:rsid w:val="00D01FD8"/>
    <w:rsid w:val="00D06CB8"/>
    <w:rsid w:val="00D12F3A"/>
    <w:rsid w:val="00D20399"/>
    <w:rsid w:val="00D20BA3"/>
    <w:rsid w:val="00D22E49"/>
    <w:rsid w:val="00D47D3C"/>
    <w:rsid w:val="00D53C27"/>
    <w:rsid w:val="00D7367E"/>
    <w:rsid w:val="00D74CF8"/>
    <w:rsid w:val="00D7567A"/>
    <w:rsid w:val="00D7620D"/>
    <w:rsid w:val="00D8133F"/>
    <w:rsid w:val="00D8377C"/>
    <w:rsid w:val="00D90BA4"/>
    <w:rsid w:val="00DA2BC0"/>
    <w:rsid w:val="00DA3349"/>
    <w:rsid w:val="00DB5D14"/>
    <w:rsid w:val="00DB6F84"/>
    <w:rsid w:val="00DC084A"/>
    <w:rsid w:val="00DC31EA"/>
    <w:rsid w:val="00DC439F"/>
    <w:rsid w:val="00DC47D8"/>
    <w:rsid w:val="00DC5CE7"/>
    <w:rsid w:val="00DC7A27"/>
    <w:rsid w:val="00DC7B6E"/>
    <w:rsid w:val="00DD38BB"/>
    <w:rsid w:val="00DD70D7"/>
    <w:rsid w:val="00DE30AB"/>
    <w:rsid w:val="00DF657F"/>
    <w:rsid w:val="00E02D24"/>
    <w:rsid w:val="00E0545C"/>
    <w:rsid w:val="00E1380D"/>
    <w:rsid w:val="00E2353E"/>
    <w:rsid w:val="00E30B52"/>
    <w:rsid w:val="00E324E1"/>
    <w:rsid w:val="00E5608C"/>
    <w:rsid w:val="00E57A61"/>
    <w:rsid w:val="00E62336"/>
    <w:rsid w:val="00E6646F"/>
    <w:rsid w:val="00E70AD8"/>
    <w:rsid w:val="00E96244"/>
    <w:rsid w:val="00EA0B03"/>
    <w:rsid w:val="00EB1E69"/>
    <w:rsid w:val="00EC1475"/>
    <w:rsid w:val="00EC368B"/>
    <w:rsid w:val="00EC6195"/>
    <w:rsid w:val="00ED23EA"/>
    <w:rsid w:val="00EE2DFF"/>
    <w:rsid w:val="00EF688F"/>
    <w:rsid w:val="00F002CD"/>
    <w:rsid w:val="00F02686"/>
    <w:rsid w:val="00F0291B"/>
    <w:rsid w:val="00F069E2"/>
    <w:rsid w:val="00F10A6A"/>
    <w:rsid w:val="00F1358D"/>
    <w:rsid w:val="00F14A1A"/>
    <w:rsid w:val="00F1583B"/>
    <w:rsid w:val="00F21313"/>
    <w:rsid w:val="00F2776A"/>
    <w:rsid w:val="00F31DA7"/>
    <w:rsid w:val="00F34561"/>
    <w:rsid w:val="00F36F52"/>
    <w:rsid w:val="00F40931"/>
    <w:rsid w:val="00F44684"/>
    <w:rsid w:val="00F526E0"/>
    <w:rsid w:val="00F55900"/>
    <w:rsid w:val="00F55D31"/>
    <w:rsid w:val="00F64356"/>
    <w:rsid w:val="00F71FEB"/>
    <w:rsid w:val="00F8018D"/>
    <w:rsid w:val="00F91FCA"/>
    <w:rsid w:val="00FA4311"/>
    <w:rsid w:val="00FD2365"/>
    <w:rsid w:val="00FF2625"/>
    <w:rsid w:val="00FF2EB9"/>
    <w:rsid w:val="00FF5985"/>
    <w:rsid w:val="0B3B7CDB"/>
    <w:rsid w:val="0DC36622"/>
    <w:rsid w:val="1A952EBF"/>
    <w:rsid w:val="1E285DF8"/>
    <w:rsid w:val="1E3F6F09"/>
    <w:rsid w:val="1F1F2860"/>
    <w:rsid w:val="23711FEF"/>
    <w:rsid w:val="237C1F08"/>
    <w:rsid w:val="27614AFE"/>
    <w:rsid w:val="342A06C4"/>
    <w:rsid w:val="43923B90"/>
    <w:rsid w:val="44071E88"/>
    <w:rsid w:val="48AC74A2"/>
    <w:rsid w:val="4A8E6E5F"/>
    <w:rsid w:val="4E9609D8"/>
    <w:rsid w:val="554D5B69"/>
    <w:rsid w:val="55D909B9"/>
    <w:rsid w:val="578C0621"/>
    <w:rsid w:val="61EA4E6B"/>
    <w:rsid w:val="718F6E95"/>
    <w:rsid w:val="749A4FBD"/>
    <w:rsid w:val="78F01351"/>
    <w:rsid w:val="7A146AD1"/>
    <w:rsid w:val="7C4E1E65"/>
    <w:rsid w:val="7E647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autoRedefine/>
    <w:qFormat/>
    <w:uiPriority w:val="0"/>
    <w:pPr>
      <w:keepNext/>
      <w:keepLines/>
      <w:snapToGrid w:val="0"/>
      <w:spacing w:before="50" w:beforeLines="50" w:after="50" w:afterLines="50" w:line="360" w:lineRule="auto"/>
      <w:jc w:val="both"/>
      <w:outlineLvl w:val="0"/>
    </w:pPr>
    <w:rPr>
      <w:rFonts w:eastAsia="宋体"/>
      <w:b/>
      <w:bCs/>
      <w:kern w:val="44"/>
      <w:sz w:val="44"/>
      <w:szCs w:val="44"/>
    </w:rPr>
  </w:style>
  <w:style w:type="paragraph" w:styleId="3">
    <w:name w:val="heading 2"/>
    <w:basedOn w:val="1"/>
    <w:next w:val="1"/>
    <w:link w:val="20"/>
    <w:autoRedefine/>
    <w:unhideWhenUsed/>
    <w:qFormat/>
    <w:uiPriority w:val="9"/>
    <w:pPr>
      <w:keepNext/>
      <w:keepLines/>
      <w:snapToGrid w:val="0"/>
      <w:spacing w:before="50" w:beforeLines="50" w:after="50" w:afterLines="50" w:line="360" w:lineRule="auto"/>
      <w:jc w:val="both"/>
      <w:outlineLvl w:val="1"/>
    </w:pPr>
    <w:rPr>
      <w:rFonts w:ascii="宋体" w:hAnsi="宋体" w:eastAsia="宋体" w:cstheme="majorBidi"/>
      <w:b/>
      <w:bCs/>
      <w:sz w:val="28"/>
      <w:szCs w:val="32"/>
    </w:rPr>
  </w:style>
  <w:style w:type="paragraph" w:styleId="4">
    <w:name w:val="heading 3"/>
    <w:basedOn w:val="1"/>
    <w:next w:val="1"/>
    <w:link w:val="21"/>
    <w:autoRedefine/>
    <w:unhideWhenUsed/>
    <w:qFormat/>
    <w:uiPriority w:val="9"/>
    <w:pPr>
      <w:keepNext/>
      <w:keepLines/>
      <w:snapToGrid w:val="0"/>
      <w:spacing w:before="50" w:beforeLines="50" w:after="50" w:afterLines="50" w:line="360" w:lineRule="auto"/>
      <w:jc w:val="both"/>
      <w:outlineLvl w:val="2"/>
    </w:pPr>
    <w:rPr>
      <w:rFonts w:eastAsia="宋体"/>
      <w:b/>
      <w:bCs/>
      <w:sz w:val="24"/>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Date"/>
    <w:basedOn w:val="1"/>
    <w:next w:val="1"/>
    <w:link w:val="43"/>
    <w:semiHidden/>
    <w:unhideWhenUsed/>
    <w:uiPriority w:val="99"/>
    <w:pPr>
      <w:ind w:left="100" w:leftChars="2500"/>
    </w:pPr>
  </w:style>
  <w:style w:type="paragraph" w:styleId="12">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7"/>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标题 1 字符"/>
    <w:basedOn w:val="18"/>
    <w:link w:val="2"/>
    <w:autoRedefine/>
    <w:qFormat/>
    <w:uiPriority w:val="0"/>
    <w:rPr>
      <w:rFonts w:eastAsia="宋体"/>
      <w:b/>
      <w:bCs/>
      <w:kern w:val="44"/>
      <w:sz w:val="44"/>
      <w:szCs w:val="44"/>
    </w:rPr>
  </w:style>
  <w:style w:type="character" w:customStyle="1" w:styleId="20">
    <w:name w:val="标题 2 字符"/>
    <w:basedOn w:val="18"/>
    <w:link w:val="3"/>
    <w:autoRedefine/>
    <w:qFormat/>
    <w:uiPriority w:val="9"/>
    <w:rPr>
      <w:rFonts w:ascii="宋体" w:hAnsi="宋体" w:eastAsia="宋体" w:cstheme="majorBidi"/>
      <w:b/>
      <w:bCs/>
      <w:sz w:val="28"/>
      <w:szCs w:val="32"/>
    </w:rPr>
  </w:style>
  <w:style w:type="character" w:customStyle="1" w:styleId="21">
    <w:name w:val="标题 3 字符"/>
    <w:basedOn w:val="18"/>
    <w:link w:val="4"/>
    <w:qFormat/>
    <w:uiPriority w:val="9"/>
    <w:rPr>
      <w:rFonts w:eastAsia="宋体"/>
      <w:b/>
      <w:bCs/>
      <w:sz w:val="24"/>
      <w:szCs w:val="32"/>
    </w:rPr>
  </w:style>
  <w:style w:type="character" w:customStyle="1" w:styleId="22">
    <w:name w:val="标题 4 字符"/>
    <w:basedOn w:val="18"/>
    <w:link w:val="5"/>
    <w:semiHidden/>
    <w:qFormat/>
    <w:uiPriority w:val="9"/>
    <w:rPr>
      <w:rFonts w:cstheme="majorBidi"/>
      <w:color w:val="2F5597" w:themeColor="accent1" w:themeShade="BF"/>
      <w:sz w:val="28"/>
      <w:szCs w:val="28"/>
    </w:rPr>
  </w:style>
  <w:style w:type="character" w:customStyle="1" w:styleId="23">
    <w:name w:val="标题 5 字符"/>
    <w:basedOn w:val="18"/>
    <w:link w:val="6"/>
    <w:semiHidden/>
    <w:qFormat/>
    <w:uiPriority w:val="9"/>
    <w:rPr>
      <w:rFonts w:cstheme="majorBidi"/>
      <w:color w:val="2F5597" w:themeColor="accent1" w:themeShade="BF"/>
      <w:sz w:val="24"/>
    </w:rPr>
  </w:style>
  <w:style w:type="character" w:customStyle="1" w:styleId="24">
    <w:name w:val="标题 6 字符"/>
    <w:basedOn w:val="18"/>
    <w:link w:val="7"/>
    <w:semiHidden/>
    <w:qFormat/>
    <w:uiPriority w:val="9"/>
    <w:rPr>
      <w:rFonts w:cstheme="majorBidi"/>
      <w:b/>
      <w:bCs/>
      <w:color w:val="2F5597"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8"/>
    <w:qFormat/>
    <w:uiPriority w:val="21"/>
    <w:rPr>
      <w:i/>
      <w:iCs/>
      <w:color w:val="2F5597" w:themeColor="accent1" w:themeShade="BF"/>
    </w:rPr>
  </w:style>
  <w:style w:type="paragraph" w:styleId="34">
    <w:name w:val="Intense Quote"/>
    <w:basedOn w:val="1"/>
    <w:next w:val="1"/>
    <w:link w:val="35"/>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5">
    <w:name w:val="明显引用 字符"/>
    <w:basedOn w:val="18"/>
    <w:link w:val="34"/>
    <w:qFormat/>
    <w:uiPriority w:val="30"/>
    <w:rPr>
      <w:i/>
      <w:iCs/>
      <w:color w:val="2F5597" w:themeColor="accent1" w:themeShade="BF"/>
    </w:rPr>
  </w:style>
  <w:style w:type="character" w:customStyle="1" w:styleId="36">
    <w:name w:val="明显参考1"/>
    <w:basedOn w:val="18"/>
    <w:qFormat/>
    <w:uiPriority w:val="32"/>
    <w:rPr>
      <w:b/>
      <w:bCs/>
      <w:smallCaps/>
      <w:color w:val="2F5597" w:themeColor="accent1" w:themeShade="BF"/>
      <w:spacing w:val="5"/>
    </w:rPr>
  </w:style>
  <w:style w:type="character" w:customStyle="1" w:styleId="37">
    <w:name w:val="页眉 字符"/>
    <w:basedOn w:val="18"/>
    <w:link w:val="13"/>
    <w:qFormat/>
    <w:uiPriority w:val="99"/>
    <w:rPr>
      <w:sz w:val="18"/>
      <w:szCs w:val="18"/>
    </w:rPr>
  </w:style>
  <w:style w:type="character" w:customStyle="1" w:styleId="38">
    <w:name w:val="页脚 字符"/>
    <w:basedOn w:val="18"/>
    <w:link w:val="12"/>
    <w:qFormat/>
    <w:uiPriority w:val="99"/>
    <w:rPr>
      <w:sz w:val="18"/>
      <w:szCs w:val="18"/>
    </w:rPr>
  </w:style>
  <w:style w:type="paragraph" w:customStyle="1" w:styleId="39">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0">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1">
    <w:name w:val="修订3"/>
    <w:hidden/>
    <w:unhideWhenUsed/>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2">
    <w:name w:val="Revision"/>
    <w:hidden/>
    <w:unhideWhenUsed/>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3">
    <w:name w:val="日期 字符"/>
    <w:basedOn w:val="18"/>
    <w:link w:val="11"/>
    <w:semiHidden/>
    <w:uiPriority w:val="99"/>
    <w:rPr>
      <w:rFonts w:asciiTheme="minorHAnsi" w:hAnsiTheme="minorHAnsi" w:eastAsiaTheme="minorEastAsia" w:cstheme="minorBidi"/>
      <w:kern w:val="2"/>
      <w:sz w:val="22"/>
      <w:szCs w:val="24"/>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2014</Words>
  <Characters>2116</Characters>
  <Lines>51</Lines>
  <Paragraphs>14</Paragraphs>
  <TotalTime>2</TotalTime>
  <ScaleCrop>false</ScaleCrop>
  <LinksUpToDate>false</LinksUpToDate>
  <CharactersWithSpaces>2117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2026-06-24T06:29:00Z</dcterms:created>
  <dc:creator>秀娟 夏</dc:creator>
  <cp:lastModifiedBy>罗荣根</cp:lastModifiedBy>
  <dcterms:modified xsi:type="dcterms:W3CDTF">2026-07-15T00:38:53Z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eyJoZGlkIjoiMzE3YzUyYWQzY2IzNWE3OTdlYWRjZDI5ZWMzMmU3OTgiLCJ1c2VySWQiOiIzOTUzNzQwNTYifQ==</vt:lpwstr>
  </property>
  <property fmtid="{D5CDD505-2E9C-101B-9397-08002B2CF9AE}" pid="3" name="KSOProductBuildVer">
    <vt:lpwstr>2052-12.1.0.26895</vt:lpwstr>
  </property>
  <property fmtid="{D5CDD505-2E9C-101B-9397-08002B2CF9AE}" pid="4" name="ICV">
    <vt:lpwstr>E148F3BCCF11449EA3FF47776C8CDBEC_13</vt:lpwstr>
  </property>
</Properties>
</file>