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76F9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附件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2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：</w:t>
      </w:r>
      <w:bookmarkStart w:id="0" w:name="_GoBack"/>
      <w:bookmarkEnd w:id="0"/>
    </w:p>
    <w:p w14:paraId="4917BA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贵金属分标委讨论的标准项目</w:t>
      </w:r>
    </w:p>
    <w:tbl>
      <w:tblPr>
        <w:tblStyle w:val="2"/>
        <w:tblW w:w="4942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2"/>
        <w:gridCol w:w="2422"/>
        <w:gridCol w:w="2946"/>
        <w:gridCol w:w="6674"/>
        <w:gridCol w:w="1186"/>
      </w:tblGrid>
      <w:tr w14:paraId="7B8C1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" w:hRule="atLeast"/>
        </w:trPr>
        <w:tc>
          <w:tcPr>
            <w:tcW w:w="279" w:type="pct"/>
            <w:vAlign w:val="center"/>
          </w:tcPr>
          <w:p w14:paraId="4F66F224">
            <w:pPr>
              <w:numPr>
                <w:ilvl w:val="0"/>
                <w:numId w:val="0"/>
              </w:numPr>
              <w:spacing w:line="300" w:lineRule="exact"/>
              <w:ind w:leftChars="0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  <w14:ligatures w14:val="none"/>
              </w:rPr>
              <w:t>序号</w:t>
            </w:r>
          </w:p>
        </w:tc>
        <w:tc>
          <w:tcPr>
            <w:tcW w:w="864" w:type="pct"/>
            <w:vAlign w:val="center"/>
          </w:tcPr>
          <w:p w14:paraId="55DA5821">
            <w:pPr>
              <w:widowControl/>
              <w:jc w:val="center"/>
              <w:textAlignment w:val="bottom"/>
              <w:rPr>
                <w:rFonts w:hint="default" w:ascii="Times New Roman" w:hAnsi="Times New Roman" w:eastAsia="宋体" w:cs="Times New Roman"/>
                <w:sz w:val="24"/>
                <w:szCs w:val="24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标准项目名称</w:t>
            </w:r>
          </w:p>
        </w:tc>
        <w:tc>
          <w:tcPr>
            <w:tcW w:w="1051" w:type="pct"/>
            <w:vAlign w:val="center"/>
          </w:tcPr>
          <w:p w14:paraId="66971E1F">
            <w:pPr>
              <w:widowControl/>
              <w:jc w:val="center"/>
              <w:textAlignment w:val="bottom"/>
              <w:rPr>
                <w:rFonts w:hint="default" w:ascii="Times New Roman" w:hAnsi="Times New Roman" w:eastAsia="宋体" w:cs="Times New Roman"/>
                <w:sz w:val="24"/>
                <w:szCs w:val="24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项目编号</w:t>
            </w:r>
          </w:p>
        </w:tc>
        <w:tc>
          <w:tcPr>
            <w:tcW w:w="2381" w:type="pct"/>
            <w:vAlign w:val="center"/>
          </w:tcPr>
          <w:p w14:paraId="4F518188">
            <w:pPr>
              <w:widowControl/>
              <w:jc w:val="center"/>
              <w:textAlignment w:val="bottom"/>
              <w:rPr>
                <w:rFonts w:hint="default" w:ascii="Times New Roman" w:hAnsi="Times New Roman" w:eastAsia="宋体" w:cs="Times New Roman"/>
                <w:sz w:val="24"/>
                <w:szCs w:val="24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起草单位及相关单位</w:t>
            </w:r>
          </w:p>
        </w:tc>
        <w:tc>
          <w:tcPr>
            <w:tcW w:w="423" w:type="pct"/>
            <w:vAlign w:val="center"/>
          </w:tcPr>
          <w:p w14:paraId="471A471D">
            <w:pPr>
              <w:widowControl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备注</w:t>
            </w:r>
          </w:p>
        </w:tc>
      </w:tr>
      <w:tr w14:paraId="3A563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4" w:hRule="atLeast"/>
        </w:trPr>
        <w:tc>
          <w:tcPr>
            <w:tcW w:w="279" w:type="pct"/>
            <w:vAlign w:val="center"/>
          </w:tcPr>
          <w:p w14:paraId="72F9F420">
            <w:pPr>
              <w:numPr>
                <w:ilvl w:val="0"/>
                <w:numId w:val="1"/>
              </w:numPr>
              <w:spacing w:line="300" w:lineRule="exact"/>
              <w:ind w:left="420" w:leftChars="0" w:hanging="420" w:firstLineChars="0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864" w:type="pct"/>
            <w:vAlign w:val="center"/>
          </w:tcPr>
          <w:p w14:paraId="67C3F1B6">
            <w:pPr>
              <w:widowControl/>
              <w:textAlignment w:val="bottom"/>
              <w:rPr>
                <w:rFonts w:hint="default" w:ascii="Times New Roman" w:hAnsi="Times New Roman" w:eastAsia="宋体" w:cs="Times New Roman"/>
                <w:sz w:val="24"/>
                <w:szCs w:val="24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14:ligatures w14:val="none"/>
              </w:rPr>
              <w:t>太阳能电池用浆料</w:t>
            </w:r>
          </w:p>
        </w:tc>
        <w:tc>
          <w:tcPr>
            <w:tcW w:w="1051" w:type="pct"/>
            <w:vAlign w:val="center"/>
          </w:tcPr>
          <w:p w14:paraId="6D74236D">
            <w:pPr>
              <w:widowControl/>
              <w:jc w:val="center"/>
              <w:textAlignment w:val="bottom"/>
              <w:rPr>
                <w:rFonts w:hint="default" w:ascii="Times New Roman" w:hAnsi="Times New Roman" w:eastAsia="宋体" w:cs="Times New Roman"/>
                <w:sz w:val="24"/>
                <w:szCs w:val="24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14:ligatures w14:val="none"/>
              </w:rPr>
              <w:t>工信厅科函〔2025〕528号</w:t>
            </w:r>
          </w:p>
          <w:p w14:paraId="5EF16142">
            <w:pPr>
              <w:widowControl/>
              <w:jc w:val="center"/>
              <w:textAlignment w:val="bottom"/>
              <w:rPr>
                <w:rFonts w:hint="default" w:ascii="Times New Roman" w:hAnsi="Times New Roman" w:eastAsia="宋体" w:cs="Times New Roman"/>
                <w:sz w:val="24"/>
                <w:szCs w:val="24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14:ligatures w14:val="none"/>
              </w:rPr>
              <w:t>2025-1378T-YS</w:t>
            </w:r>
          </w:p>
        </w:tc>
        <w:tc>
          <w:tcPr>
            <w:tcW w:w="2381" w:type="pct"/>
            <w:vAlign w:val="center"/>
          </w:tcPr>
          <w:p w14:paraId="61625144">
            <w:pPr>
              <w:widowControl/>
              <w:jc w:val="left"/>
              <w:textAlignment w:val="bottom"/>
              <w:rPr>
                <w:rFonts w:hint="default" w:ascii="Times New Roman" w:hAnsi="Times New Roman" w:eastAsia="宋体" w:cs="Times New Roman"/>
                <w:sz w:val="24"/>
                <w:szCs w:val="24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14:ligatures w14:val="none"/>
              </w:rPr>
              <w:t>贵研铂业股份有限公司、有色金属技术经济研究院有限责任公司、广州市儒兴科技开发有限公司、武汉优乐光电科技有限公司、常州聚和新材料股份有限公司、西北大学、隆基绿能科技股份有限公司、无锡帝科电子材料股份有限公司、苏州隆达新能源科技有限公司、西北稀有金属材料研究院、青海黄河上游水电开发有限公司西安太阳能分公司、上海匡宇科技股份有限公司、桐柏泓鑫新材料有限公司、中国有色金属实业技术开发有限公司</w:t>
            </w:r>
          </w:p>
        </w:tc>
        <w:tc>
          <w:tcPr>
            <w:tcW w:w="423" w:type="pct"/>
            <w:vAlign w:val="center"/>
          </w:tcPr>
          <w:p w14:paraId="1DAB822F">
            <w:pPr>
              <w:widowControl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14:ligatures w14:val="none"/>
              </w:rPr>
              <w:t>讨论</w:t>
            </w:r>
          </w:p>
        </w:tc>
      </w:tr>
      <w:tr w14:paraId="50838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279" w:type="pct"/>
            <w:vAlign w:val="center"/>
          </w:tcPr>
          <w:p w14:paraId="4637892A">
            <w:pPr>
              <w:numPr>
                <w:ilvl w:val="0"/>
                <w:numId w:val="1"/>
              </w:numPr>
              <w:spacing w:line="300" w:lineRule="exact"/>
              <w:ind w:left="420" w:leftChars="0" w:hanging="420" w:firstLineChars="0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864" w:type="pct"/>
            <w:vAlign w:val="center"/>
          </w:tcPr>
          <w:p w14:paraId="10E9816B">
            <w:pPr>
              <w:widowControl/>
              <w:textAlignment w:val="bottom"/>
              <w:rPr>
                <w:rFonts w:hint="default" w:ascii="Times New Roman" w:hAnsi="Times New Roman" w:eastAsia="宋体" w:cs="Times New Roman"/>
                <w:sz w:val="24"/>
                <w:szCs w:val="24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14:ligatures w14:val="none"/>
              </w:rPr>
              <w:t>光伏异质结电池浆料用导电银粉</w:t>
            </w:r>
          </w:p>
        </w:tc>
        <w:tc>
          <w:tcPr>
            <w:tcW w:w="1051" w:type="pct"/>
            <w:vAlign w:val="center"/>
          </w:tcPr>
          <w:p w14:paraId="016D4813">
            <w:pPr>
              <w:widowControl/>
              <w:jc w:val="center"/>
              <w:textAlignment w:val="bottom"/>
              <w:rPr>
                <w:rFonts w:hint="default" w:ascii="Times New Roman" w:hAnsi="Times New Roman" w:eastAsia="宋体" w:cs="Times New Roman"/>
                <w:sz w:val="24"/>
                <w:szCs w:val="24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14:ligatures w14:val="none"/>
              </w:rPr>
              <w:t>工信厅科函〔2025〕528号</w:t>
            </w:r>
          </w:p>
          <w:p w14:paraId="6D9A3E9C">
            <w:pPr>
              <w:widowControl/>
              <w:jc w:val="center"/>
              <w:textAlignment w:val="bottom"/>
              <w:rPr>
                <w:rFonts w:hint="default" w:ascii="Times New Roman" w:hAnsi="Times New Roman" w:eastAsia="宋体" w:cs="Times New Roman"/>
                <w:sz w:val="24"/>
                <w:szCs w:val="24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14:ligatures w14:val="none"/>
              </w:rPr>
              <w:t>2025-1745T-YS</w:t>
            </w:r>
          </w:p>
        </w:tc>
        <w:tc>
          <w:tcPr>
            <w:tcW w:w="2381" w:type="pct"/>
            <w:vAlign w:val="center"/>
          </w:tcPr>
          <w:p w14:paraId="0B34A770">
            <w:pPr>
              <w:widowControl/>
              <w:jc w:val="left"/>
              <w:textAlignment w:val="bottom"/>
              <w:rPr>
                <w:rFonts w:hint="default" w:ascii="Times New Roman" w:hAnsi="Times New Roman" w:eastAsia="宋体" w:cs="Times New Roman"/>
                <w:sz w:val="24"/>
                <w:szCs w:val="24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14:ligatures w14:val="none"/>
              </w:rPr>
              <w:t>福建紫金贵金属材料有限公司、昆明理工大学、苏州晶银新材料科技有限公司、西北大学、南通天盛新能源股份有限公司、苏州思尔维纳米科技有限公司、上海银浆科技有限公司</w:t>
            </w:r>
          </w:p>
        </w:tc>
        <w:tc>
          <w:tcPr>
            <w:tcW w:w="423" w:type="pct"/>
            <w:vAlign w:val="center"/>
          </w:tcPr>
          <w:p w14:paraId="0D8AE9B8">
            <w:pPr>
              <w:widowControl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14:ligatures w14:val="none"/>
              </w:rPr>
              <w:t>讨论</w:t>
            </w:r>
          </w:p>
        </w:tc>
      </w:tr>
      <w:tr w14:paraId="1DC6A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1" w:hRule="atLeast"/>
        </w:trPr>
        <w:tc>
          <w:tcPr>
            <w:tcW w:w="279" w:type="pct"/>
            <w:vAlign w:val="center"/>
          </w:tcPr>
          <w:p w14:paraId="13D9F209">
            <w:pPr>
              <w:numPr>
                <w:ilvl w:val="0"/>
                <w:numId w:val="1"/>
              </w:numPr>
              <w:spacing w:line="300" w:lineRule="exact"/>
              <w:ind w:left="220" w:leftChars="0" w:hanging="220" w:firstLineChars="0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864" w:type="pct"/>
            <w:vAlign w:val="center"/>
          </w:tcPr>
          <w:p w14:paraId="4287DE76">
            <w:pPr>
              <w:widowControl/>
              <w:textAlignment w:val="bottom"/>
              <w:rPr>
                <w:rFonts w:hint="default" w:ascii="Times New Roman" w:hAnsi="Times New Roman" w:eastAsia="宋体" w:cs="Times New Roman"/>
                <w:sz w:val="24"/>
                <w:szCs w:val="24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14:ligatures w14:val="none"/>
              </w:rPr>
              <w:t>3D打印电路用固化银浆</w:t>
            </w:r>
          </w:p>
        </w:tc>
        <w:tc>
          <w:tcPr>
            <w:tcW w:w="1051" w:type="pct"/>
            <w:vAlign w:val="center"/>
          </w:tcPr>
          <w:p w14:paraId="11DE080E">
            <w:pPr>
              <w:widowControl/>
              <w:jc w:val="center"/>
              <w:textAlignment w:val="bottom"/>
              <w:rPr>
                <w:rFonts w:hint="default" w:ascii="Times New Roman" w:hAnsi="Times New Roman" w:eastAsia="宋体" w:cs="Times New Roman"/>
                <w:sz w:val="24"/>
                <w:szCs w:val="24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14:ligatures w14:val="none"/>
              </w:rPr>
              <w:t>国标委发〔2026〕28号20262086-T-610</w:t>
            </w:r>
          </w:p>
        </w:tc>
        <w:tc>
          <w:tcPr>
            <w:tcW w:w="2381" w:type="pct"/>
            <w:vAlign w:val="center"/>
          </w:tcPr>
          <w:p w14:paraId="3605B5F3">
            <w:pPr>
              <w:widowControl/>
              <w:jc w:val="left"/>
              <w:textAlignment w:val="bottom"/>
              <w:rPr>
                <w:rFonts w:hint="default" w:ascii="Times New Roman" w:hAnsi="Times New Roman" w:eastAsia="宋体" w:cs="Times New Roman"/>
                <w:sz w:val="24"/>
                <w:szCs w:val="24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14:ligatures w14:val="none"/>
              </w:rPr>
              <w:t>西北大学、贵研电子科技有限公司、北京科技大学、京东方科技集团股份有限公司、北京京东方创元科技有限公司、芯体素（杭州）科技发展有限公司、西安宏星电子浆料有限责任公司、中国有研科技集团有限公司、西北有色金属研究院、西安振博蓝桥科技有限公司、陕西科技大学、桐柏泓鑫新材料有限公司、宁夏中色新材料有限公司、北京中科纳通电子技术有限公司</w:t>
            </w:r>
          </w:p>
        </w:tc>
        <w:tc>
          <w:tcPr>
            <w:tcW w:w="423" w:type="pct"/>
            <w:vAlign w:val="center"/>
          </w:tcPr>
          <w:p w14:paraId="4E5CD1E3">
            <w:pPr>
              <w:widowControl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  <w14:ligatures w14:val="none"/>
              </w:rPr>
              <w:t>讨论</w:t>
            </w:r>
          </w:p>
        </w:tc>
      </w:tr>
      <w:tr w14:paraId="5F0B0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</w:trPr>
        <w:tc>
          <w:tcPr>
            <w:tcW w:w="279" w:type="pct"/>
            <w:vAlign w:val="center"/>
          </w:tcPr>
          <w:p w14:paraId="3D39F1C3">
            <w:pPr>
              <w:keepNext w:val="0"/>
              <w:keepLines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ind w:left="420" w:leftChars="0" w:hanging="420" w:firstLineChars="0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864" w:type="pct"/>
            <w:vAlign w:val="center"/>
          </w:tcPr>
          <w:p w14:paraId="28E9AD4D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bottom"/>
              <w:rPr>
                <w:rFonts w:hint="default" w:ascii="Times New Roman" w:hAnsi="Times New Roman" w:eastAsia="宋体" w:cs="Times New Roman"/>
                <w:sz w:val="24"/>
                <w:szCs w:val="24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14:ligatures w14:val="none"/>
              </w:rPr>
              <w:t>温室气体 产品碳足迹量化方法与要求 银粉</w:t>
            </w:r>
          </w:p>
        </w:tc>
        <w:tc>
          <w:tcPr>
            <w:tcW w:w="1051" w:type="pct"/>
            <w:vAlign w:val="center"/>
          </w:tcPr>
          <w:p w14:paraId="1059CBA7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  <w14:ligatures w14:val="none"/>
              </w:rPr>
              <w:t>/</w:t>
            </w:r>
          </w:p>
        </w:tc>
        <w:tc>
          <w:tcPr>
            <w:tcW w:w="2381" w:type="pct"/>
            <w:vAlign w:val="center"/>
          </w:tcPr>
          <w:p w14:paraId="00725B38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left"/>
              <w:textAlignment w:val="bottom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  <w14:ligatures w14:val="none"/>
              </w:rPr>
              <w:t>中船黄冈贵金属有限公司、中国船舶集团有限公司第七一二研究所、有色金属技术经济研究院有限责任公司、横峰县凯怡实业有限公司、上海第二工业大学</w:t>
            </w:r>
          </w:p>
        </w:tc>
        <w:tc>
          <w:tcPr>
            <w:tcW w:w="423" w:type="pct"/>
            <w:vAlign w:val="center"/>
          </w:tcPr>
          <w:p w14:paraId="3ABDA0BB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  <w14:ligatures w14:val="none"/>
              </w:rPr>
              <w:t>讨论</w:t>
            </w:r>
          </w:p>
        </w:tc>
      </w:tr>
    </w:tbl>
    <w:p w14:paraId="1B761B92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A0A66D0"/>
    <w:multiLevelType w:val="multilevel"/>
    <w:tmpl w:val="8A0A66D0"/>
    <w:lvl w:ilvl="0" w:tentative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F202B6"/>
    <w:rsid w:val="5DF20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2026-07-16T07:21:00Z</dcterms:created>
  <dc:creator>WPS_1747749647</dc:creator>
  <cp:lastModifiedBy>WPS_1747749647</cp:lastModifiedBy>
  <dcterms:modified xsi:type="dcterms:W3CDTF">2026-07-16T07:22:17Z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D2D3C195CBEC42B49D42BDA95C235A45_11</vt:lpwstr>
  </property>
  <property fmtid="{D5CDD505-2E9C-101B-9397-08002B2CF9AE}" pid="4" name="KSOTemplateDocerSaveRecord">
    <vt:lpwstr>eyJoZGlkIjoiNDk0ODU2ZjU2NmVkNzMyMzFjNTc3MjE0NjVlYzEyYTgiLCJ1c2VySWQiOiIxNzA0MDYyMTU1In0=</vt:lpwstr>
  </property>
</Properties>
</file>