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2934C">
      <w:pPr>
        <w:jc w:val="center"/>
        <w:rPr>
          <w:rFonts w:hint="eastAsia" w:eastAsia="黑体"/>
          <w:color w:val="auto"/>
          <w:sz w:val="32"/>
          <w:szCs w:val="32"/>
          <w:lang w:val="en-US" w:eastAsia="zh-CN"/>
        </w:rPr>
      </w:pPr>
    </w:p>
    <w:p w14:paraId="3FA7193D">
      <w:pPr>
        <w:jc w:val="center"/>
        <w:rPr>
          <w:rFonts w:hint="eastAsia" w:eastAsia="黑体"/>
          <w:color w:val="auto"/>
          <w:sz w:val="32"/>
          <w:szCs w:val="32"/>
          <w:lang w:val="en-US" w:eastAsia="zh-CN"/>
        </w:rPr>
      </w:pPr>
    </w:p>
    <w:p w14:paraId="7671966E">
      <w:pPr>
        <w:jc w:val="center"/>
        <w:rPr>
          <w:rFonts w:hint="eastAsia" w:eastAsia="黑体"/>
          <w:color w:val="auto"/>
          <w:sz w:val="32"/>
          <w:szCs w:val="32"/>
          <w:lang w:val="en-US" w:eastAsia="zh-CN"/>
        </w:rPr>
      </w:pPr>
    </w:p>
    <w:p w14:paraId="09E74FC8">
      <w:pPr>
        <w:jc w:val="center"/>
        <w:rPr>
          <w:rFonts w:hint="eastAsia" w:eastAsia="黑体"/>
          <w:color w:val="auto"/>
          <w:sz w:val="32"/>
          <w:szCs w:val="32"/>
          <w:lang w:val="en-US" w:eastAsia="zh-CN"/>
        </w:rPr>
      </w:pPr>
    </w:p>
    <w:p w14:paraId="6A2673C2">
      <w:pPr>
        <w:jc w:val="center"/>
        <w:rPr>
          <w:rFonts w:hint="eastAsia" w:eastAsia="黑体"/>
          <w:color w:val="auto"/>
          <w:sz w:val="32"/>
          <w:szCs w:val="32"/>
          <w:lang w:val="en-US" w:eastAsia="zh-CN"/>
        </w:rPr>
      </w:pPr>
    </w:p>
    <w:p w14:paraId="1112DD22">
      <w:pPr>
        <w:jc w:val="center"/>
        <w:rPr>
          <w:rFonts w:hint="eastAsia" w:eastAsia="黑体"/>
          <w:color w:val="auto"/>
          <w:sz w:val="44"/>
          <w:szCs w:val="44"/>
          <w:lang w:val="en-US" w:eastAsia="zh-CN"/>
        </w:rPr>
      </w:pPr>
    </w:p>
    <w:p w14:paraId="4EEBEA75">
      <w:pPr>
        <w:jc w:val="center"/>
        <w:rPr>
          <w:rFonts w:hint="eastAsia" w:eastAsia="黑体"/>
          <w:color w:val="auto"/>
          <w:sz w:val="44"/>
          <w:szCs w:val="44"/>
          <w:lang w:val="en-US" w:eastAsia="zh-CN"/>
        </w:rPr>
      </w:pPr>
      <w:r>
        <w:rPr>
          <w:rFonts w:hint="eastAsia" w:eastAsia="黑体"/>
          <w:color w:val="auto"/>
          <w:sz w:val="44"/>
          <w:szCs w:val="44"/>
          <w:lang w:val="en-US" w:eastAsia="zh-CN"/>
        </w:rPr>
        <w:t>行业标准《铍青铜圆形棒材》</w:t>
      </w:r>
    </w:p>
    <w:p w14:paraId="1A0A4F9F">
      <w:pPr>
        <w:jc w:val="center"/>
        <w:rPr>
          <w:rFonts w:hint="eastAsia" w:eastAsia="黑体"/>
          <w:color w:val="auto"/>
          <w:sz w:val="44"/>
          <w:szCs w:val="44"/>
          <w:lang w:val="en-US" w:eastAsia="zh-CN"/>
        </w:rPr>
      </w:pPr>
    </w:p>
    <w:p w14:paraId="7846AE4A">
      <w:pPr>
        <w:jc w:val="center"/>
        <w:rPr>
          <w:rFonts w:hint="eastAsia" w:eastAsia="黑体"/>
          <w:color w:val="auto"/>
          <w:sz w:val="44"/>
          <w:szCs w:val="44"/>
          <w:lang w:val="en-US" w:eastAsia="zh-CN"/>
        </w:rPr>
      </w:pPr>
      <w:r>
        <w:rPr>
          <w:rFonts w:hint="eastAsia" w:eastAsia="黑体"/>
          <w:color w:val="auto"/>
          <w:sz w:val="44"/>
          <w:szCs w:val="44"/>
          <w:lang w:val="en-US" w:eastAsia="zh-CN"/>
        </w:rPr>
        <w:t>编制说明</w:t>
      </w:r>
    </w:p>
    <w:p w14:paraId="3F160236">
      <w:pPr>
        <w:pStyle w:val="5"/>
        <w:rPr>
          <w:rFonts w:hint="eastAsia"/>
          <w:lang w:val="en-US" w:eastAsia="zh-CN"/>
        </w:rPr>
      </w:pPr>
    </w:p>
    <w:p w14:paraId="431A3803">
      <w:pPr>
        <w:jc w:val="center"/>
        <w:rPr>
          <w:rFonts w:hint="eastAsia" w:eastAsia="黑体"/>
          <w:color w:val="auto"/>
          <w:sz w:val="32"/>
          <w:szCs w:val="32"/>
          <w:lang w:val="en-US" w:eastAsia="zh-CN"/>
        </w:rPr>
      </w:pPr>
      <w:commentRangeStart w:id="0"/>
      <w:r>
        <w:rPr>
          <w:rFonts w:hint="eastAsia" w:eastAsia="黑体"/>
          <w:color w:val="auto"/>
          <w:sz w:val="32"/>
          <w:szCs w:val="32"/>
          <w:lang w:val="en-US" w:eastAsia="zh-CN"/>
        </w:rPr>
        <w:t>（预审稿）</w:t>
      </w:r>
      <w:commentRangeEnd w:id="0"/>
      <w:r>
        <w:rPr>
          <w:color w:val="auto"/>
        </w:rPr>
        <w:commentReference w:id="0"/>
      </w:r>
    </w:p>
    <w:p w14:paraId="3D6A2D86">
      <w:pPr>
        <w:jc w:val="center"/>
        <w:rPr>
          <w:rFonts w:hint="eastAsia" w:eastAsia="黑体"/>
          <w:color w:val="auto"/>
          <w:sz w:val="28"/>
          <w:szCs w:val="28"/>
          <w:lang w:val="en-US" w:eastAsia="zh-CN"/>
        </w:rPr>
      </w:pPr>
    </w:p>
    <w:p w14:paraId="4779115B">
      <w:pPr>
        <w:jc w:val="center"/>
        <w:rPr>
          <w:rFonts w:hint="eastAsia" w:eastAsia="黑体"/>
          <w:color w:val="auto"/>
          <w:sz w:val="28"/>
          <w:szCs w:val="28"/>
          <w:lang w:val="en-US" w:eastAsia="zh-CN"/>
        </w:rPr>
      </w:pPr>
    </w:p>
    <w:p w14:paraId="5C864989">
      <w:pPr>
        <w:jc w:val="center"/>
        <w:rPr>
          <w:rFonts w:hint="eastAsia" w:eastAsia="黑体"/>
          <w:color w:val="auto"/>
          <w:sz w:val="28"/>
          <w:szCs w:val="28"/>
          <w:lang w:val="en-US" w:eastAsia="zh-CN"/>
        </w:rPr>
      </w:pPr>
    </w:p>
    <w:p w14:paraId="6BEB436B">
      <w:pPr>
        <w:jc w:val="center"/>
        <w:rPr>
          <w:rFonts w:hint="eastAsia" w:eastAsia="黑体"/>
          <w:color w:val="auto"/>
          <w:sz w:val="28"/>
          <w:szCs w:val="28"/>
          <w:lang w:val="en-US" w:eastAsia="zh-CN"/>
        </w:rPr>
      </w:pPr>
    </w:p>
    <w:p w14:paraId="09B7DCE7">
      <w:pPr>
        <w:jc w:val="center"/>
        <w:rPr>
          <w:rFonts w:hint="eastAsia" w:eastAsia="黑体"/>
          <w:color w:val="auto"/>
          <w:sz w:val="28"/>
          <w:szCs w:val="28"/>
          <w:lang w:val="en-US" w:eastAsia="zh-CN"/>
        </w:rPr>
      </w:pPr>
    </w:p>
    <w:p w14:paraId="0E500F97">
      <w:pPr>
        <w:jc w:val="center"/>
        <w:rPr>
          <w:rFonts w:hint="eastAsia" w:eastAsia="黑体"/>
          <w:color w:val="auto"/>
          <w:sz w:val="28"/>
          <w:szCs w:val="28"/>
          <w:lang w:val="en-US" w:eastAsia="zh-CN"/>
        </w:rPr>
      </w:pPr>
    </w:p>
    <w:p w14:paraId="55669B34">
      <w:pPr>
        <w:jc w:val="center"/>
        <w:rPr>
          <w:rFonts w:hint="eastAsia" w:eastAsia="黑体"/>
          <w:color w:val="auto"/>
          <w:sz w:val="28"/>
          <w:szCs w:val="28"/>
          <w:lang w:val="en-US" w:eastAsia="zh-CN"/>
        </w:rPr>
      </w:pPr>
    </w:p>
    <w:p w14:paraId="6727B49B">
      <w:pPr>
        <w:jc w:val="center"/>
        <w:rPr>
          <w:rFonts w:hint="eastAsia" w:eastAsia="黑体"/>
          <w:color w:val="auto"/>
          <w:sz w:val="28"/>
          <w:szCs w:val="28"/>
          <w:lang w:val="en-US" w:eastAsia="zh-CN"/>
        </w:rPr>
      </w:pPr>
      <w:r>
        <w:rPr>
          <w:rFonts w:hint="eastAsia" w:eastAsia="黑体"/>
          <w:color w:val="auto"/>
          <w:sz w:val="28"/>
          <w:szCs w:val="28"/>
          <w:lang w:val="en-US" w:eastAsia="zh-CN"/>
        </w:rPr>
        <w:t>宁夏中色新材料有限公司</w:t>
      </w:r>
    </w:p>
    <w:p w14:paraId="719F9EB8">
      <w:pPr>
        <w:jc w:val="center"/>
        <w:rPr>
          <w:rFonts w:hint="default" w:eastAsia="黑体"/>
          <w:color w:val="auto"/>
          <w:sz w:val="28"/>
          <w:szCs w:val="28"/>
          <w:lang w:val="en-US" w:eastAsia="zh-CN"/>
        </w:rPr>
      </w:pPr>
      <w:r>
        <w:rPr>
          <w:rFonts w:hint="eastAsia" w:eastAsia="黑体"/>
          <w:color w:val="auto"/>
          <w:sz w:val="28"/>
          <w:szCs w:val="28"/>
          <w:lang w:val="en-US" w:eastAsia="zh-CN"/>
        </w:rPr>
        <w:t>2026年6月</w:t>
      </w:r>
      <w:r>
        <w:rPr>
          <w:rFonts w:hint="eastAsia" w:eastAsia="黑体"/>
          <w:color w:val="auto"/>
          <w:sz w:val="28"/>
          <w:szCs w:val="28"/>
          <w:lang w:val="en-US" w:eastAsia="zh-CN"/>
        </w:rPr>
        <w:br w:type="page"/>
      </w:r>
    </w:p>
    <w:p w14:paraId="0321998F">
      <w:pPr>
        <w:jc w:val="center"/>
        <w:rPr>
          <w:rFonts w:hint="eastAsia" w:eastAsia="黑体"/>
          <w:color w:val="auto"/>
          <w:sz w:val="40"/>
          <w:szCs w:val="40"/>
          <w:lang w:val="en-US" w:eastAsia="zh-CN"/>
        </w:rPr>
      </w:pPr>
      <w:r>
        <w:rPr>
          <w:rFonts w:hint="eastAsia" w:eastAsia="黑体"/>
          <w:color w:val="auto"/>
          <w:sz w:val="40"/>
          <w:szCs w:val="40"/>
          <w:lang w:val="en-US" w:eastAsia="zh-CN"/>
        </w:rPr>
        <w:t>行业标准《铍青铜圆形棒材》编制说明</w:t>
      </w:r>
    </w:p>
    <w:p w14:paraId="54864A35">
      <w:pPr>
        <w:jc w:val="center"/>
        <w:rPr>
          <w:rFonts w:hint="eastAsia" w:eastAsia="黑体"/>
          <w:color w:val="auto"/>
          <w:sz w:val="32"/>
          <w:szCs w:val="32"/>
          <w:u w:val="none"/>
          <w:lang w:val="en-US" w:eastAsia="zh-CN"/>
        </w:rPr>
      </w:pPr>
      <w:commentRangeStart w:id="1"/>
      <w:r>
        <w:rPr>
          <w:rFonts w:hint="eastAsia" w:eastAsia="黑体"/>
          <w:color w:val="auto"/>
          <w:sz w:val="32"/>
          <w:szCs w:val="32"/>
          <w:u w:val="none"/>
          <w:lang w:val="en-US" w:eastAsia="zh-CN"/>
        </w:rPr>
        <w:t>（预审稿）</w:t>
      </w:r>
      <w:commentRangeEnd w:id="1"/>
      <w:r>
        <w:rPr>
          <w:sz w:val="16"/>
          <w:szCs w:val="18"/>
          <w:u w:val="none"/>
        </w:rPr>
        <w:commentReference w:id="1"/>
      </w:r>
    </w:p>
    <w:p w14:paraId="507F4585">
      <w:pPr>
        <w:pStyle w:val="10"/>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commentRangeStart w:id="2"/>
      <w:r>
        <w:rPr>
          <w:rFonts w:hint="eastAsia" w:ascii="黑体" w:eastAsia="黑体" w:cs="Arial"/>
          <w:color w:val="auto"/>
          <w:sz w:val="21"/>
          <w:szCs w:val="21"/>
        </w:rPr>
        <w:t>一、工作简况</w:t>
      </w:r>
      <w:commentRangeEnd w:id="2"/>
      <w:r>
        <w:commentReference w:id="2"/>
      </w:r>
    </w:p>
    <w:p w14:paraId="0031C100">
      <w:pPr>
        <w:pStyle w:val="1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ascii="黑体" w:eastAsia="黑体" w:cs="Arial"/>
          <w:color w:val="auto"/>
          <w:sz w:val="21"/>
          <w:szCs w:val="21"/>
        </w:rPr>
      </w:pPr>
      <w:r>
        <w:rPr>
          <w:rFonts w:hint="eastAsia" w:ascii="黑体" w:eastAsia="黑体" w:cs="Arial"/>
          <w:color w:val="auto"/>
          <w:sz w:val="21"/>
          <w:szCs w:val="21"/>
        </w:rPr>
        <w:t>1.1任务来源</w:t>
      </w:r>
    </w:p>
    <w:p w14:paraId="6011B040">
      <w:pPr>
        <w:pStyle w:val="20"/>
        <w:keepNext w:val="0"/>
        <w:keepLines w:val="0"/>
        <w:pageBreakBefore w:val="0"/>
        <w:widowControl/>
        <w:kinsoku/>
        <w:wordWrap/>
        <w:overflowPunct/>
        <w:topLinePunct w:val="0"/>
        <w:autoSpaceDE/>
        <w:autoSpaceDN/>
        <w:bidi w:val="0"/>
        <w:adjustRightInd/>
        <w:snapToGrid/>
        <w:spacing w:beforeLines="0" w:afterLines="0" w:line="360" w:lineRule="auto"/>
        <w:ind w:firstLine="420" w:firstLineChars="200"/>
        <w:textAlignment w:val="auto"/>
        <w:outlineLvl w:val="9"/>
        <w:rPr>
          <w:rFonts w:hint="eastAsia"/>
          <w:color w:val="auto"/>
          <w:kern w:val="0"/>
          <w:szCs w:val="21"/>
          <w:lang w:val="en-US" w:eastAsia="zh-CN"/>
        </w:rPr>
      </w:pPr>
      <w:r>
        <w:rPr>
          <w:rFonts w:hint="eastAsia" w:asciiTheme="minorEastAsia" w:hAnsiTheme="minorEastAsia" w:eastAsiaTheme="minorEastAsia" w:cstheme="minorEastAsia"/>
          <w:color w:val="auto"/>
          <w:kern w:val="0"/>
          <w:szCs w:val="21"/>
          <w:lang w:val="en-US" w:eastAsia="zh-CN"/>
        </w:rPr>
        <w:t>2025年12月29日工业和信息化部办公厅《关于印发2025年第五批行业标准制修订和外文版项目计划的通知》（工信厅科函〔2025〕528号）的要求</w:t>
      </w:r>
      <w:r>
        <w:rPr>
          <w:rFonts w:hint="eastAsia" w:asciiTheme="minorEastAsia" w:hAnsiTheme="minorEastAsia" w:eastAsiaTheme="minorEastAsia" w:cstheme="minorEastAsia"/>
          <w:color w:val="auto"/>
          <w:kern w:val="0"/>
          <w:szCs w:val="21"/>
        </w:rPr>
        <w:t>，由</w:t>
      </w:r>
      <w:r>
        <w:rPr>
          <w:rFonts w:hint="eastAsia" w:asciiTheme="minorEastAsia" w:hAnsiTheme="minorEastAsia" w:eastAsiaTheme="minorEastAsia" w:cstheme="minorEastAsia"/>
          <w:color w:val="auto"/>
          <w:kern w:val="0"/>
          <w:szCs w:val="21"/>
          <w:lang w:val="en-US" w:eastAsia="zh-CN"/>
        </w:rPr>
        <w:t>宁夏中色新材料有限公司</w:t>
      </w:r>
      <w:r>
        <w:rPr>
          <w:rFonts w:hint="eastAsia" w:asciiTheme="minorEastAsia" w:hAnsiTheme="minorEastAsia" w:eastAsiaTheme="minorEastAsia" w:cstheme="minorEastAsia"/>
          <w:color w:val="auto"/>
          <w:kern w:val="0"/>
          <w:szCs w:val="21"/>
        </w:rPr>
        <w:t>负责</w:t>
      </w:r>
      <w:r>
        <w:rPr>
          <w:rFonts w:hint="eastAsia" w:asciiTheme="minorEastAsia" w:hAnsiTheme="minorEastAsia" w:eastAsiaTheme="minorEastAsia" w:cstheme="minorEastAsia"/>
          <w:color w:val="auto"/>
          <w:kern w:val="0"/>
          <w:szCs w:val="21"/>
          <w:lang w:eastAsia="zh-CN"/>
        </w:rPr>
        <w:t>修订的</w:t>
      </w:r>
      <w:r>
        <w:rPr>
          <w:rFonts w:hint="eastAsia" w:asciiTheme="minorEastAsia" w:hAnsiTheme="minorEastAsia" w:eastAsiaTheme="minorEastAsia" w:cstheme="minorEastAsia"/>
          <w:color w:val="auto"/>
          <w:kern w:val="0"/>
          <w:szCs w:val="21"/>
        </w:rPr>
        <w:t>《</w:t>
      </w:r>
      <w:r>
        <w:rPr>
          <w:rFonts w:hint="eastAsia" w:asciiTheme="minorEastAsia" w:hAnsiTheme="minorEastAsia" w:eastAsiaTheme="minorEastAsia" w:cstheme="minorEastAsia"/>
          <w:color w:val="auto"/>
          <w:kern w:val="0"/>
          <w:szCs w:val="21"/>
          <w:lang w:eastAsia="zh-CN"/>
        </w:rPr>
        <w:t>铍青铜圆形棒材</w:t>
      </w:r>
      <w:r>
        <w:rPr>
          <w:rFonts w:hint="eastAsia" w:asciiTheme="minorEastAsia" w:hAnsiTheme="minorEastAsia" w:eastAsiaTheme="minorEastAsia" w:cstheme="minorEastAsia"/>
          <w:color w:val="auto"/>
          <w:kern w:val="0"/>
          <w:szCs w:val="21"/>
        </w:rPr>
        <w:t>》</w:t>
      </w:r>
      <w:r>
        <w:rPr>
          <w:rFonts w:hint="eastAsia" w:asciiTheme="minorEastAsia" w:hAnsiTheme="minorEastAsia" w:eastAsiaTheme="minorEastAsia" w:cstheme="minorEastAsia"/>
          <w:color w:val="auto"/>
          <w:kern w:val="0"/>
          <w:szCs w:val="21"/>
          <w:lang w:eastAsia="zh-CN"/>
        </w:rPr>
        <w:t>行业标准</w:t>
      </w:r>
      <w:r>
        <w:rPr>
          <w:rFonts w:hint="eastAsia" w:asciiTheme="minorEastAsia" w:hAnsiTheme="minorEastAsia" w:eastAsiaTheme="minorEastAsia" w:cstheme="minorEastAsia"/>
          <w:color w:val="auto"/>
          <w:kern w:val="0"/>
          <w:szCs w:val="21"/>
        </w:rPr>
        <w:t>。项目计划编号</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lang w:val="en-US" w:eastAsia="zh-CN"/>
        </w:rPr>
        <w:t>工信厅科函〔2025〕528号2025-1356T-YS</w:t>
      </w:r>
      <w:r>
        <w:rPr>
          <w:rFonts w:hint="eastAsia" w:asciiTheme="minorEastAsia" w:hAnsiTheme="minorEastAsia" w:eastAsiaTheme="minorEastAsia" w:cstheme="minorEastAsia"/>
          <w:color w:val="auto"/>
          <w:kern w:val="0"/>
          <w:szCs w:val="21"/>
        </w:rPr>
        <w:t>，完成年限为20</w:t>
      </w:r>
      <w:r>
        <w:rPr>
          <w:rFonts w:hint="eastAsia" w:asciiTheme="minorEastAsia" w:hAnsiTheme="minorEastAsia" w:eastAsiaTheme="minorEastAsia" w:cstheme="minorEastAsia"/>
          <w:color w:val="auto"/>
          <w:kern w:val="0"/>
          <w:szCs w:val="21"/>
          <w:lang w:val="en-US" w:eastAsia="zh-CN"/>
        </w:rPr>
        <w:t>26</w:t>
      </w:r>
      <w:r>
        <w:rPr>
          <w:rFonts w:hint="eastAsia" w:asciiTheme="minorEastAsia" w:hAnsiTheme="minorEastAsia" w:eastAsiaTheme="minorEastAsia" w:cstheme="minorEastAsia"/>
          <w:color w:val="auto"/>
          <w:kern w:val="0"/>
          <w:szCs w:val="21"/>
        </w:rPr>
        <w:t>年</w:t>
      </w:r>
      <w:r>
        <w:rPr>
          <w:rFonts w:hint="eastAsia" w:asciiTheme="minorEastAsia" w:hAnsiTheme="minorEastAsia" w:eastAsiaTheme="minorEastAsia" w:cstheme="minorEastAsia"/>
          <w:color w:val="auto"/>
          <w:kern w:val="0"/>
          <w:szCs w:val="21"/>
          <w:lang w:val="en-US" w:eastAsia="zh-CN"/>
        </w:rPr>
        <w:t>12月</w:t>
      </w:r>
      <w:r>
        <w:rPr>
          <w:rFonts w:hint="eastAsia" w:asciiTheme="minorEastAsia" w:hAnsiTheme="minorEastAsia" w:eastAsiaTheme="minorEastAsia" w:cstheme="minorEastAsia"/>
          <w:color w:val="auto"/>
          <w:kern w:val="0"/>
          <w:szCs w:val="21"/>
        </w:rPr>
        <w:t>，归口单位为全国有色金属标准化技术委员会。</w:t>
      </w:r>
      <w:r>
        <w:rPr>
          <w:rFonts w:hint="eastAsia"/>
          <w:color w:val="auto"/>
          <w:kern w:val="0"/>
          <w:szCs w:val="21"/>
          <w:lang w:val="en-US" w:eastAsia="zh-CN"/>
        </w:rPr>
        <w:t xml:space="preserve"> </w:t>
      </w:r>
    </w:p>
    <w:p w14:paraId="0173DC46">
      <w:pPr>
        <w:pStyle w:val="20"/>
        <w:keepNext w:val="0"/>
        <w:keepLines w:val="0"/>
        <w:pageBreakBefore w:val="0"/>
        <w:kinsoku/>
        <w:wordWrap/>
        <w:overflowPunct/>
        <w:topLinePunct w:val="0"/>
        <w:autoSpaceDE/>
        <w:autoSpaceDN/>
        <w:bidi w:val="0"/>
        <w:adjustRightInd/>
        <w:snapToGrid/>
        <w:spacing w:beforeLines="0" w:afterLines="0" w:line="360" w:lineRule="auto"/>
        <w:textAlignment w:val="auto"/>
        <w:outlineLvl w:val="9"/>
        <w:rPr>
          <w:rFonts w:hint="eastAsia" w:hAnsi="黑体" w:cs="黑体"/>
          <w:color w:val="auto"/>
          <w:sz w:val="21"/>
          <w:szCs w:val="21"/>
        </w:rPr>
      </w:pPr>
      <w:r>
        <w:rPr>
          <w:rFonts w:hint="eastAsia" w:hAnsi="黑体" w:cs="黑体"/>
          <w:color w:val="auto"/>
          <w:sz w:val="21"/>
          <w:szCs w:val="21"/>
        </w:rPr>
        <w:t>1.2立项目的和意义</w:t>
      </w:r>
    </w:p>
    <w:p w14:paraId="0084539C">
      <w:pPr>
        <w:pStyle w:val="20"/>
        <w:keepNext w:val="0"/>
        <w:keepLines w:val="0"/>
        <w:pageBreakBefore w:val="0"/>
        <w:widowControl/>
        <w:kinsoku/>
        <w:wordWrap/>
        <w:overflowPunct/>
        <w:topLinePunct w:val="0"/>
        <w:autoSpaceDE/>
        <w:autoSpaceDN/>
        <w:bidi w:val="0"/>
        <w:adjustRightInd/>
        <w:snapToGrid/>
        <w:spacing w:beforeLines="0" w:afterLines="0" w:line="360" w:lineRule="auto"/>
        <w:ind w:firstLine="420" w:firstLineChars="200"/>
        <w:textAlignment w:val="auto"/>
        <w:outlineLvl w:val="9"/>
        <w:rPr>
          <w:rFonts w:hint="eastAsia" w:asciiTheme="minorEastAsia" w:hAnsiTheme="minorEastAsia" w:eastAsiaTheme="minorEastAsia" w:cstheme="minorEastAsia"/>
          <w:i w:val="0"/>
          <w:iCs w:val="0"/>
          <w:caps w:val="0"/>
          <w:color w:val="0F1115"/>
          <w:spacing w:val="0"/>
          <w:sz w:val="21"/>
          <w:szCs w:val="21"/>
          <w:shd w:val="clear" w:fill="FFFFFF"/>
        </w:rPr>
      </w:pPr>
      <w:r>
        <w:rPr>
          <w:rFonts w:hint="eastAsia" w:asciiTheme="minorEastAsia" w:hAnsiTheme="minorEastAsia" w:eastAsiaTheme="minorEastAsia" w:cstheme="minorEastAsia"/>
          <w:i w:val="0"/>
          <w:iCs w:val="0"/>
          <w:caps w:val="0"/>
          <w:color w:val="0F1115"/>
          <w:spacing w:val="0"/>
          <w:sz w:val="21"/>
          <w:szCs w:val="21"/>
          <w:shd w:val="clear" w:fill="FFFFFF"/>
        </w:rPr>
        <w:t>YS/T 334的修订立项，既是适应铍青铜棒材产业技术进步和市场需求变化的现实需要，也是贯彻落实国家标准化战略、推动有色金属行业高质量发展的具体行动。通过修订，将有效提升标准的先进性和适用性，为航空航天、电子信息等关键领域提供更加优质可靠的材料保障，对于促进产业技术进步、保障产品质量安全、提升国际竞争力具有重要的现实意义和深远的战略意义。</w:t>
      </w:r>
    </w:p>
    <w:p w14:paraId="1D3133D1">
      <w:pPr>
        <w:pStyle w:val="20"/>
        <w:keepNext w:val="0"/>
        <w:keepLines w:val="0"/>
        <w:pageBreakBefore w:val="0"/>
        <w:kinsoku/>
        <w:wordWrap/>
        <w:overflowPunct/>
        <w:topLinePunct w:val="0"/>
        <w:autoSpaceDE/>
        <w:autoSpaceDN/>
        <w:bidi w:val="0"/>
        <w:adjustRightInd/>
        <w:snapToGrid/>
        <w:spacing w:beforeLines="0" w:afterLines="0" w:line="360" w:lineRule="auto"/>
        <w:textAlignment w:val="auto"/>
        <w:outlineLvl w:val="9"/>
        <w:rPr>
          <w:rFonts w:hint="eastAsia" w:hAnsi="黑体" w:cs="黑体"/>
          <w:color w:val="auto"/>
          <w:sz w:val="21"/>
          <w:szCs w:val="21"/>
          <w:lang w:val="en-US" w:eastAsia="zh-CN"/>
        </w:rPr>
      </w:pPr>
      <w:r>
        <w:rPr>
          <w:rFonts w:hint="eastAsia" w:hAnsi="黑体" w:cs="黑体"/>
          <w:color w:val="auto"/>
          <w:sz w:val="21"/>
          <w:szCs w:val="21"/>
        </w:rPr>
        <w:t>1.3</w:t>
      </w:r>
      <w:r>
        <w:rPr>
          <w:rFonts w:hint="eastAsia" w:hAnsi="黑体" w:cs="黑体"/>
          <w:color w:val="auto"/>
          <w:sz w:val="21"/>
          <w:szCs w:val="21"/>
          <w:lang w:val="en-US" w:eastAsia="zh-CN"/>
        </w:rPr>
        <w:t>主要参加单位和工作成员所作的工作</w:t>
      </w:r>
    </w:p>
    <w:p w14:paraId="375F0991">
      <w:pPr>
        <w:spacing w:beforeLines="0" w:afterLines="0" w:line="360" w:lineRule="auto"/>
        <w:ind w:firstLine="420"/>
        <w:rPr>
          <w:rFonts w:hint="eastAsia" w:asciiTheme="minorEastAsia" w:hAnsiTheme="minorEastAsia" w:eastAsiaTheme="minorEastAsia" w:cstheme="minorEastAsia"/>
          <w:b w:val="0"/>
          <w:bCs w:val="0"/>
          <w:color w:val="auto"/>
          <w:kern w:val="0"/>
          <w:sz w:val="21"/>
          <w:szCs w:val="21"/>
          <w:lang w:val="en-US" w:eastAsia="zh-CN" w:bidi="ar-SA"/>
        </w:rPr>
      </w:pPr>
      <w:r>
        <w:rPr>
          <w:rFonts w:hint="eastAsia" w:asciiTheme="minorEastAsia" w:hAnsiTheme="minorEastAsia" w:eastAsiaTheme="minorEastAsia" w:cstheme="minorEastAsia"/>
          <w:bCs w:val="0"/>
          <w:color w:val="auto"/>
          <w:kern w:val="0"/>
          <w:sz w:val="21"/>
          <w:szCs w:val="21"/>
          <w:lang w:val="en-US" w:eastAsia="zh-CN" w:bidi="ar-SA"/>
        </w:rPr>
        <w:t>本文件起草单位：</w:t>
      </w:r>
      <w:r>
        <w:rPr>
          <w:rFonts w:hint="eastAsia" w:asciiTheme="minorEastAsia" w:hAnsiTheme="minorEastAsia" w:eastAsiaTheme="minorEastAsia" w:cstheme="minorEastAsia"/>
          <w:color w:val="auto"/>
          <w:kern w:val="0"/>
          <w:szCs w:val="21"/>
          <w:lang w:val="en-US" w:eastAsia="zh-CN"/>
        </w:rPr>
        <w:t>宁夏</w:t>
      </w:r>
      <w:r>
        <w:rPr>
          <w:rFonts w:hint="eastAsia" w:asciiTheme="minorEastAsia" w:hAnsiTheme="minorEastAsia" w:eastAsiaTheme="minorEastAsia" w:cstheme="minorEastAsia"/>
          <w:bCs w:val="0"/>
          <w:color w:val="auto"/>
          <w:kern w:val="0"/>
          <w:sz w:val="21"/>
          <w:szCs w:val="21"/>
          <w:lang w:val="en-US" w:eastAsia="zh-CN" w:bidi="ar-SA"/>
        </w:rPr>
        <w:t>中色新材料有限公司、西北稀有金属材料研究院宁夏有限公司、四川凌峰航空液压机械有限公司、中国航空工业集团公司西安飞行自动控制研究所、西安航天发动机有限公司、陕西大诚诺克科技有限公司、宁夏东方钽业股份有限公司</w:t>
      </w:r>
      <w:r>
        <w:rPr>
          <w:rFonts w:hint="eastAsia" w:asciiTheme="minorEastAsia" w:hAnsiTheme="minorEastAsia" w:cstheme="minorEastAsia"/>
          <w:bCs w:val="0"/>
          <w:color w:val="auto"/>
          <w:kern w:val="0"/>
          <w:sz w:val="21"/>
          <w:szCs w:val="21"/>
          <w:lang w:val="en-US" w:eastAsia="zh-CN" w:bidi="ar-SA"/>
        </w:rPr>
        <w:t>、</w:t>
      </w:r>
      <w:r>
        <w:rPr>
          <w:rFonts w:hint="eastAsia" w:asciiTheme="minorEastAsia" w:hAnsiTheme="minorEastAsia" w:eastAsiaTheme="minorEastAsia" w:cstheme="minorEastAsia"/>
          <w:b w:val="0"/>
          <w:bCs w:val="0"/>
          <w:color w:val="auto"/>
          <w:sz w:val="21"/>
          <w:szCs w:val="21"/>
        </w:rPr>
        <w:t>浙江国工新材料技术开发有限公司</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苏州金江电子科技有限公司</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kern w:val="0"/>
          <w:sz w:val="21"/>
          <w:szCs w:val="21"/>
        </w:rPr>
        <w:t>沈阳有色金属研究所有限公司</w:t>
      </w:r>
      <w:r>
        <w:rPr>
          <w:rFonts w:hint="eastAsia" w:asciiTheme="minorEastAsia" w:hAnsiTheme="minorEastAsia" w:eastAsiaTheme="minorEastAsia" w:cstheme="minorEastAsia"/>
          <w:b w:val="0"/>
          <w:bCs w:val="0"/>
          <w:color w:val="auto"/>
          <w:kern w:val="0"/>
          <w:sz w:val="21"/>
          <w:szCs w:val="21"/>
          <w:lang w:eastAsia="zh-CN"/>
        </w:rPr>
        <w:t>、</w:t>
      </w:r>
      <w:r>
        <w:rPr>
          <w:rFonts w:hint="eastAsia" w:asciiTheme="minorEastAsia" w:hAnsiTheme="minorEastAsia" w:eastAsiaTheme="minorEastAsia" w:cstheme="minorEastAsia"/>
          <w:b w:val="0"/>
          <w:bCs w:val="0"/>
          <w:color w:val="auto"/>
          <w:sz w:val="21"/>
          <w:szCs w:val="21"/>
        </w:rPr>
        <w:t>有研工程技术研究院有限公司</w:t>
      </w:r>
      <w:r>
        <w:rPr>
          <w:rFonts w:hint="eastAsia" w:asciiTheme="minorEastAsia" w:hAnsiTheme="minorEastAsia" w:cstheme="minorEastAsia"/>
          <w:b w:val="0"/>
          <w:bCs w:val="0"/>
          <w:color w:val="auto"/>
          <w:sz w:val="21"/>
          <w:szCs w:val="21"/>
          <w:lang w:eastAsia="zh-CN"/>
        </w:rPr>
        <w:t>、</w:t>
      </w:r>
      <w:r>
        <w:rPr>
          <w:rFonts w:hint="eastAsia"/>
          <w:lang w:val="en-US" w:eastAsia="zh-CN"/>
        </w:rPr>
        <w:t>东方电气（乐山）峨半高纯材料有限公司</w:t>
      </w:r>
      <w:r>
        <w:rPr>
          <w:rFonts w:hint="eastAsia" w:asciiTheme="minorEastAsia" w:hAnsiTheme="minorEastAsia" w:eastAsiaTheme="minorEastAsia" w:cstheme="minorEastAsia"/>
          <w:b w:val="0"/>
          <w:bCs w:val="0"/>
          <w:color w:val="auto"/>
          <w:kern w:val="0"/>
          <w:sz w:val="21"/>
          <w:szCs w:val="21"/>
          <w:lang w:val="en-US" w:eastAsia="zh-CN" w:bidi="ar-SA"/>
        </w:rPr>
        <w:t>。</w:t>
      </w:r>
    </w:p>
    <w:p w14:paraId="4F9B1BB6">
      <w:pPr>
        <w:spacing w:before="156" w:after="156" w:line="360" w:lineRule="auto"/>
        <w:ind w:firstLine="420"/>
        <w:rPr>
          <w:rFonts w:hint="eastAsia" w:asciiTheme="minorEastAsia" w:hAnsiTheme="minorEastAsia" w:eastAsiaTheme="minorEastAsia" w:cstheme="minorEastAsia"/>
          <w:bCs w:val="0"/>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Cs w:val="21"/>
          <w:highlight w:val="none"/>
          <w:lang w:eastAsia="zh-CN"/>
        </w:rPr>
        <w:t>宁夏</w:t>
      </w:r>
      <w:r>
        <w:rPr>
          <w:rFonts w:hint="eastAsia" w:asciiTheme="minorEastAsia" w:hAnsiTheme="minorEastAsia" w:eastAsiaTheme="minorEastAsia" w:cstheme="minorEastAsia"/>
          <w:color w:val="auto"/>
          <w:kern w:val="0"/>
          <w:szCs w:val="21"/>
          <w:highlight w:val="none"/>
          <w:lang w:val="en-US" w:eastAsia="zh-CN"/>
        </w:rPr>
        <w:t>中色新材料</w:t>
      </w:r>
      <w:r>
        <w:rPr>
          <w:rFonts w:hint="eastAsia" w:asciiTheme="minorEastAsia" w:hAnsiTheme="minorEastAsia" w:eastAsiaTheme="minorEastAsia" w:cstheme="minorEastAsia"/>
          <w:color w:val="auto"/>
          <w:kern w:val="0"/>
          <w:szCs w:val="21"/>
          <w:highlight w:val="none"/>
          <w:lang w:eastAsia="zh-CN"/>
        </w:rPr>
        <w:t>有限公司为标准起草负责单位，在工作前期，对铍青铜棒材的使用需求和现阶段国内外产品标准进行了充分的调研和梳理，并制定了系统的研究方案。在本文件的制定过程中，完成了标准文本的编制、产品使用范围和技术要求的产品元素的检测；完成了标准的研究工作；撰写了标准文本和编制说明，广泛征求国内同行及上下游企业的意见。</w:t>
      </w:r>
      <w:r>
        <w:rPr>
          <w:rFonts w:hint="eastAsia" w:asciiTheme="minorEastAsia" w:hAnsiTheme="minorEastAsia" w:eastAsiaTheme="minorEastAsia" w:cstheme="minorEastAsia"/>
          <w:bCs w:val="0"/>
          <w:color w:val="auto"/>
          <w:kern w:val="0"/>
          <w:sz w:val="21"/>
          <w:szCs w:val="21"/>
          <w:highlight w:val="none"/>
          <w:lang w:val="en-US" w:eastAsia="zh-CN" w:bidi="ar-SA"/>
        </w:rPr>
        <w:t>西北稀有金属材料研究院宁夏有限公司与宁夏东方钽业股份有限公司作为产品技术指标的验证单位，对产品样品开展分析测试工作，并提供相关检测报告数据；四川凌峰航空液压机械有限公司、中国航空工业集团公司西安飞行自动控制研究所、西安航天发动机有限公司、陕西大诚诺克科技有限公司作为用户单位，确认了产品的技术要求，并对标准文件提出了修改意见。</w:t>
      </w:r>
    </w:p>
    <w:p w14:paraId="5A0EB8E1">
      <w:pPr>
        <w:spacing w:before="156" w:after="156" w:line="360" w:lineRule="auto"/>
        <w:ind w:firstLine="420"/>
        <w:rPr>
          <w:rFonts w:hint="eastAsia" w:asciiTheme="minorEastAsia" w:hAnsiTheme="minorEastAsia" w:eastAsiaTheme="minorEastAsia" w:cstheme="minorEastAsia"/>
          <w:lang w:val="en-US" w:eastAsia="zh-CN"/>
        </w:rPr>
      </w:pPr>
      <w:bookmarkStart w:id="0" w:name="OLE_LINK1"/>
      <w:r>
        <w:rPr>
          <w:rFonts w:hint="eastAsia" w:asciiTheme="minorEastAsia" w:hAnsiTheme="minorEastAsia" w:eastAsiaTheme="minorEastAsia" w:cstheme="minorEastAsia"/>
          <w:lang w:val="en-US" w:eastAsia="zh-CN"/>
        </w:rPr>
        <w:t>宁夏中色新材料有限公司是中色东方全资子公司</w:t>
      </w:r>
      <w:bookmarkEnd w:id="0"/>
      <w:r>
        <w:rPr>
          <w:rFonts w:hint="eastAsia" w:asciiTheme="minorEastAsia" w:hAnsiTheme="minorEastAsia" w:eastAsiaTheme="minorEastAsia" w:cstheme="minorEastAsia"/>
          <w:lang w:val="en-US" w:eastAsia="zh-CN"/>
        </w:rPr>
        <w:t>，是国内最大铍铜合金生产研发单位以及唯一的铍材研制加工基地，同时也是我国军工部门的唯一定点采购单位。公司拥有一条年产2 万吨铜合金板带材生产线，主要生产设备28台套，装备先进、自动化水平高。能够满足各种规格状态的铜合金板带材产品的生产需求。产品已通过我国军工各项指标认证，应用于国防、航空航天等多个领域。如：中国运载火箭长征系列、和通讯、民用卫星、军用飞机及各种武器装备等，为我国国防事业提供了优质的保障。在民用领域，公司的铍铜合金产品供给华为等多个知名生产厂商，产品被应用于5G通信网络和汽车电气等领域。</w:t>
      </w:r>
    </w:p>
    <w:p w14:paraId="1D113BEB">
      <w:pPr>
        <w:spacing w:before="156" w:after="156" w:line="360" w:lineRule="auto"/>
        <w:ind w:firstLine="42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西北稀有金属材料研究院宁夏有限公司是中国有色集团成员单位，国内唯一的铍材研究和生产基地，国家高新技术企业、国家863计划成果产业化示范基地、铍及铍合金产品制造业“单项冠军”企业，建有稀有金属特种材料全国重点实验室和稀有金属铍材行业重点实验室，中国铍产业技术创新战略联盟理事长单位。公司主要从事铍及铍铝合金的研究开发和生产，形成了一套集生产、加工、检验、铍毒防护于一体的科研生产装备体系。具备生产各用途、各级别铍材的能力，为国家许多大科学项目提供了大量金属铍配套材料。主导产品金属铍、铍铝合金、锑铍芯块、铍片等主要用于国防军工、航空航天、核工业等高新技术领域。</w:t>
      </w:r>
    </w:p>
    <w:p w14:paraId="6337E2C9">
      <w:pPr>
        <w:spacing w:before="156" w:after="156" w:line="360" w:lineRule="auto"/>
        <w:ind w:firstLine="42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川凌峰航空液压机械有限公司始建于1966年，隶属航空工业集团、中航机载全资子公司，是国家高新技术企业、专精特新“小巨人”、二级保密单位，位于四川广汉。公司专注航空机载液压、起落架、舱门驱动与飞控执行系统研发制造，主营助力器、作动筒、蓄压器、阻尼器、前轮转弯系统、中小飞机起落架等核心产品，为多款国产主力机型配套。具备设计—制造—试验—交付全流程能力，拥有数百项专利与完整军工资质，技术国内领先。同时布局商业航天回收着陆缓冲系统，是航空液压与高端装备领域的骨干企业。</w:t>
      </w:r>
    </w:p>
    <w:p w14:paraId="3F55BD78">
      <w:pPr>
        <w:spacing w:before="156" w:after="156" w:line="360" w:lineRule="auto"/>
        <w:ind w:firstLine="42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中国航空工业集团公司西安飞行自动控制研究所是我国飞行控制和惯性导航两大专业的研究发展中心，集自动控制、计算机应用、微电子技术、仿真技术、检测技术研究和精密机械制造、电子装配、光学加工为一体，拥有飞行器控制一体化技术国防科技重点实验室，并拥有飞行控制和惯性导航两个部级“航空科技重点实验室”。该所始建于1960年，位于西安市高新技术开发区电子产业园区。它不仅是我国航空工业导航、制导与控制（GNC）技术研发中心，而且还是产品设计、开发、生产、服务于一体的综合性机构。自控所的用户群体广泛，涵盖了多个行业和军兵种，并且在技术上实现了横向覆盖歼击机、运输机、轰炸机、直升机、无人机、导弹等多种飞行器，纵向则从零部件制造延伸到系统集成。此外，该所还设有精密仪器及机械专业硕士点、导航、制导与控制专业硕士点和博士点，并在2001年经国家人事部批准建立了博士后科研工作站。</w:t>
      </w:r>
    </w:p>
    <w:p w14:paraId="5E17D21E">
      <w:pPr>
        <w:spacing w:before="156" w:after="156" w:line="360" w:lineRule="auto"/>
        <w:ind w:firstLine="42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西安航天发动机有限公司隶属于中国航天科技集团第六研究院，是我国唯一的大型液体火箭发动机研制生产专业单位。公司始建于1965年，现位于西安国家民用航天产业基地，专注于研制常规液体火箭发动机、新一代液氧煤油发动机及空间推进系统。作为我国航天动力的核心制造企业，它为载人航天、月球探测、北斗导航等国家重大工程提供了可靠动力。公司拥有国内最全面的研制生产条件，并在金属增材制造等前沿技术领域处于世界前列。其产品以卓越性能助力长征系列火箭，多次荣获国家科技进步特等奖等荣誉。</w:t>
      </w:r>
    </w:p>
    <w:p w14:paraId="27ED9EA3">
      <w:pPr>
        <w:spacing w:before="156" w:after="156" w:line="360" w:lineRule="auto"/>
        <w:ind w:firstLine="42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陕西大诚诺克科技有限公司是一家专注于高强高导合金材料和铜合金产品的科技材料企业，集现货销售、制造选材、工艺优化及代理服务于一体，为先进制造业提供高效、可靠的金属材料解决方案。公司总部位于陕西西安，凭借丰富的技术积累和市场资源，致力于满足各行业客户对高性能合金材料的多样化需求。公司秉持“技术创新、质量为先、客户至上”的经营理念，通过高效的材料供应、一站式的解决方案和全面的技术支持，努力为客户创造更大价值。公司在市场中赢得了广泛认可和良好声誉，未来将继续致力于推动高端材料的研发和应用，为中国制造业的进步与升级贡献力量。</w:t>
      </w:r>
    </w:p>
    <w:p w14:paraId="6CF4E1D4">
      <w:pPr>
        <w:spacing w:before="156" w:after="156" w:line="360" w:lineRule="auto"/>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宁夏东方钽业股份有限公司是中色（宁夏）东方集团有限公司下属控股子公司，是中国有色矿业集团有限公司成员单位。公司主要从事稀有金属钽、铌、钛及其合金等高技术产品的研发、生产、销售和进出口业务，产品广泛应用于电子、通讯、航空、航天、冶金、石油、化工、体育、医疗、原子能、太阳能等领域。</w:t>
      </w:r>
    </w:p>
    <w:p w14:paraId="57760F22">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浙江国工新材料技术开发有限公司</w:t>
      </w:r>
      <w:r>
        <w:rPr>
          <w:rFonts w:hint="eastAsia" w:asciiTheme="minorEastAsia" w:hAnsiTheme="minorEastAsia" w:eastAsiaTheme="minorEastAsia" w:cstheme="minorEastAsia"/>
          <w:sz w:val="21"/>
          <w:szCs w:val="21"/>
        </w:rPr>
        <w:t>（以下简称浙江国工）成立于2018年，是一家针对超高性能合金材料国产化研究的公司，主营高端特种新材料的研发、生产和销售，在新材料领域拥有深厚的技术积累，并且拥有一支经验丰富、专业资深的人才队伍，公司致力解决国内高端材料长期依赖进口，关键技术常被欧美“卡脖子”的局面，立志做强民族新材料品牌，公司已授权专利58项，其中发明专利28件、实用新型专利30件。浙江国工下辖山东、沧州和义乌三家全资子公司，形成了从设备研制、到合金原材料熔炼、最终完成铜合金带材生产加工的完整生产工序布局。</w:t>
      </w:r>
    </w:p>
    <w:p w14:paraId="365B82F7">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国工恒昌新材料（义乌）有限公司成立于2023年，</w:t>
      </w:r>
      <w:r>
        <w:rPr>
          <w:rFonts w:hint="eastAsia" w:asciiTheme="minorEastAsia" w:hAnsiTheme="minorEastAsia" w:eastAsiaTheme="minorEastAsia" w:cstheme="minorEastAsia"/>
          <w:sz w:val="21"/>
          <w:szCs w:val="21"/>
          <w:lang w:val="en-US" w:eastAsia="zh-CN"/>
        </w:rPr>
        <w:t>是浙江国工全资子公司，</w:t>
      </w:r>
      <w:r>
        <w:rPr>
          <w:rFonts w:hint="eastAsia" w:asciiTheme="minorEastAsia" w:hAnsiTheme="minorEastAsia" w:eastAsiaTheme="minorEastAsia" w:cstheme="minorEastAsia"/>
          <w:sz w:val="21"/>
          <w:szCs w:val="21"/>
        </w:rPr>
        <w:t>项目总投资10.2亿元，年产2万吨高强高弹铜合金带材生产线项目入选义乌重大招商引资项目、金华市双龙人才创业项目、浙江省重大产业项目及浙江省产业链协同创新项目，荣获国家级高新技术企业、省创新型中小企业、科学技术研究开发中心等荣誉，其中投资3.8亿元的一期项目已于2025年2年投产。项目以一体化钢结构厂房为主，购置国内领先、国际先进的铜合金生产设备，具备研发、生产、检测国际领先的高强高弹铜合金精密带材的能力。目前公司主打钛铜、铍铜、铜镍锡以及因瓦合金四款产品研发、生产和销售，项目达产后预计实现产值20亿元以上，另外公司与浙江大学、中车研究院青岛分院开展了产学研合作共同开发具备国际领先水平的新产品，保证公司产品走在国内前列水平。</w:t>
      </w:r>
    </w:p>
    <w:p w14:paraId="27D91370">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苏州金江电子科技有限公司，主要从事电子通讯用铜合金材料及元器件研发和生产制造</w:t>
      </w:r>
      <w:r>
        <w:rPr>
          <w:rFonts w:hint="eastAsia" w:asciiTheme="minorEastAsia" w:hAnsiTheme="minorEastAsia" w:eastAsiaTheme="minorEastAsia" w:cstheme="minorEastAsia"/>
          <w:sz w:val="21"/>
          <w:szCs w:val="21"/>
          <w:lang w:val="en-US" w:eastAsia="zh-CN"/>
        </w:rPr>
        <w:t>,产品类型包括棒、带、线、丝材等，</w:t>
      </w:r>
      <w:r>
        <w:rPr>
          <w:rFonts w:hint="eastAsia" w:asciiTheme="minorEastAsia" w:hAnsiTheme="minorEastAsia" w:eastAsiaTheme="minorEastAsia" w:cstheme="minorEastAsia"/>
          <w:sz w:val="21"/>
          <w:szCs w:val="21"/>
        </w:rPr>
        <w:t>主要应用于航空航天、军工领域,主要产品也同时广泛应用于民用电子通讯行业及新能源电池及放射医疗设备行业。从成立之初就坚持自主研发、国产替代产品研发生产。拥有对应实际技术和产品发明专利34项,实用新型专利10项,授权商标1项。独家负责制定五项国家标准和</w:t>
      </w:r>
      <w:r>
        <w:rPr>
          <w:rFonts w:hint="eastAsia" w:asciiTheme="minorEastAsia" w:hAnsiTheme="minorEastAsia" w:eastAsiaTheme="minorEastAsia" w:cstheme="minorEastAsia"/>
          <w:sz w:val="21"/>
          <w:szCs w:val="21"/>
          <w:lang w:val="en-US" w:eastAsia="zh-CN"/>
        </w:rPr>
        <w:t>参与八项国家</w:t>
      </w:r>
      <w:r>
        <w:rPr>
          <w:rFonts w:hint="eastAsia" w:asciiTheme="minorEastAsia" w:hAnsiTheme="minorEastAsia" w:eastAsiaTheme="minorEastAsia" w:cstheme="minorEastAsia"/>
          <w:sz w:val="21"/>
          <w:szCs w:val="21"/>
        </w:rPr>
        <w:t>有色金属行业标准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公司技术和产品处于行业国际先进水平,先后实现了三种“卡脖子”高性能铜合金材料的首家国产化进口替代,承担国家科技部《航天航空器、导弹元件用高纯高铍铜带、铍箔、铍铝合金制造的合作研发(秘密)》(编号:2014DFR50530)国际科技合作专项。铍铜微丝的研发和生产在金江电子科技取得了国产化装备配套的成功突破，2021-2024年公司连续4年荣获中国航空工业集团中航光电“战略供应商”,</w:t>
      </w:r>
      <w:r>
        <w:rPr>
          <w:rFonts w:hint="eastAsia" w:asciiTheme="minorEastAsia" w:hAnsiTheme="minorEastAsia" w:eastAsiaTheme="minorEastAsia" w:cstheme="minorEastAsia"/>
          <w:sz w:val="21"/>
          <w:szCs w:val="21"/>
          <w:lang w:val="en-US" w:eastAsia="zh-CN"/>
        </w:rPr>
        <w:t>2025年获得国家级专精特新小巨人企业，</w:t>
      </w:r>
      <w:r>
        <w:rPr>
          <w:rFonts w:hint="eastAsia" w:asciiTheme="minorEastAsia" w:hAnsiTheme="minorEastAsia" w:eastAsiaTheme="minorEastAsia" w:cstheme="minorEastAsia"/>
          <w:sz w:val="21"/>
          <w:szCs w:val="21"/>
        </w:rPr>
        <w:t>科技自主创新引领公司跨越式发展。</w:t>
      </w:r>
    </w:p>
    <w:p w14:paraId="2C0C04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green"/>
          <w:lang w:val="en-US" w:eastAsia="zh-CN"/>
        </w:rPr>
      </w:pPr>
      <w:r>
        <w:rPr>
          <w:rFonts w:hint="eastAsia" w:asciiTheme="minorEastAsia" w:hAnsiTheme="minorEastAsia" w:eastAsiaTheme="minorEastAsia" w:cstheme="minorEastAsia"/>
          <w:sz w:val="21"/>
          <w:szCs w:val="21"/>
          <w:highlight w:val="none"/>
          <w:lang w:val="en-US" w:eastAsia="zh-CN"/>
        </w:rPr>
        <w:t>沈阳有色金属研究所有限公司是一家从事有色金属材料研发和生产的高新技术企业，建有从真空熔炼到板、带、管、棒、线材加工的完整生产线，并配备先进的高精度试验、检测设备，可自主实现从生产到检测的全流程工作。公司主营铜及铜合金、镍及镍合金、钛及钛合金、贵金属合金和钎焊料等复杂板、带、箔、管、棒、线、型材及军工制品，其中电真空用镍基合金材料（如ZDCN、NWCa4-0.2-0.2、NWZrMg4-0.2-0.05、NBe2-0.5等）、N4、N6、DN、NMg0.08、NMg0.1、NWMg4-0.07、NCu40-2-1，以及航空发动机真空钎焊焊料HLCuNi30-2-0.2（已应用于长征系列运载火箭）、飞机仪表用NBe2-0.5、电子雷达用HLCuGe12等军工产品均已批量供应；同时，为中国普天、华为、中兴、爱立信、NEC等微波通讯设备提供的铜合金、铝合金波导管占全国市场份额60%以上，产品广泛应用于国防军工、航空航天、船舶、电子、仪器仪表等领域，在行业内享有高知名度并多次受到表彰。公司建有完善的科研体系和严谨的科研团队，拥有多项科技成果和10余项国家专利，作为国家标准委员会会员单位，先后起草和参与了十多项国家标准及行业标准编制工作，近年被评为省级技术中心、辽宁特种有色金属材料产学研联盟和辽宁省有色金属合金材料专业技术创新中心，研发出多种实现国产化替代进口的高科技材料，并已列为兵器、航空、航天、船舶电子集采平台的合格供应商。此外，公司在研发接触器用碲铜板产品上投入了大量技术工作，为制订该产品标准提供了有力的技术支撑，奠定了相应标准制定的技术基础。</w:t>
      </w:r>
    </w:p>
    <w:p w14:paraId="6192DAD1">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研工程技术研究院有限公司（以下简称有研工研院）是国务院国资委管理的中央企业有研科技集团有限公司的二级子公司。2018年1月11日在北京市怀柔科学城注册成立，承继了集团全部材料类研发资产和资质。2019年10月被认定为国家级高新技术企业，2020年4月入选国务院国资委“科改示范企业”。主要从事有色金属新材料战略高技术和前沿技术研发，产业化关键技术和行业共性技术开发，中试生产和成果孵化转化。拥有有色金属材料制备加工国家重点实验室、智能传感功能材料国家重点实验室、国家有色金属新能源材料与制品工程技术研究中心、有色金属材料多品种小批量科研生产基地等四个国家级创新平台，担负国家第二批“大众创业、万众创新”示范基地的建设任务。下属单位历史上先后为“两弹一星”、“神舟飞船”、“载人航天”、“探月工程”等国家重点工程和有色金属行业提供了一大批新材料、新工艺、新技术和新设备，为我国有色金属工业体系建立和国防建设提供了强有力的科技支撑。</w:t>
      </w:r>
    </w:p>
    <w:p w14:paraId="04191596">
      <w:pPr>
        <w:pStyle w:val="16"/>
        <w:spacing w:line="360" w:lineRule="auto"/>
        <w:rPr>
          <w:rFonts w:hint="eastAsia"/>
        </w:rPr>
      </w:pPr>
      <w:r>
        <w:rPr>
          <w:rFonts w:hint="eastAsia"/>
          <w:lang w:val="en-US" w:eastAsia="zh-CN"/>
        </w:rPr>
        <w:t>东方电气（乐山）峨半高纯材料有限公司（简称“东方峨半高纯”）是四川东树新材料有限公司的控股子公司，是国内最早从事高纯金属及化合物半导体材料研究、开发和生产的公司，拥有现代化的千级净化厂房、百级超净室以及国内领先的GDMS、ICPMS检测设备，多年来研发、生产的高纯金属及半导体材料品种数量位居国内榜首。东方峨半高纯主营产品分为单质元素、化合物以及氧化物三大类，涵盖5N～7.5N（即99.999%～99.999995%）碲、镉、锑、镓、锡、锡、锌、银、碲锌镉、合金等多种高（超）纯材料，广泛应用于红外、光伏、新能源、热电、医学、电子制冷元件、集成电路、半导体、合金等行业，在高新技术领域发挥至关重要的作用，给大国重器提供了关键材料。</w:t>
      </w:r>
    </w:p>
    <w:p w14:paraId="11C620DC">
      <w:pPr>
        <w:spacing w:before="156" w:after="156" w:line="240" w:lineRule="auto"/>
        <w:ind w:firstLine="420"/>
        <w:rPr>
          <w:rFonts w:hint="eastAsia"/>
          <w:color w:val="auto"/>
          <w:kern w:val="0"/>
          <w:szCs w:val="21"/>
          <w:lang w:eastAsia="zh-CN"/>
        </w:rPr>
      </w:pPr>
      <w:r>
        <w:rPr>
          <w:rFonts w:hint="eastAsia"/>
          <w:color w:val="auto"/>
          <w:kern w:val="0"/>
          <w:szCs w:val="21"/>
          <w:lang w:eastAsia="zh-CN"/>
        </w:rPr>
        <w:t>本文件主要起草人及工作职责见表1。</w:t>
      </w:r>
    </w:p>
    <w:p w14:paraId="27ECB962">
      <w:pPr>
        <w:spacing w:before="156" w:after="156" w:line="240" w:lineRule="auto"/>
        <w:ind w:firstLine="420"/>
        <w:jc w:val="center"/>
        <w:rPr>
          <w:rFonts w:hint="eastAsia" w:ascii="黑体" w:hAnsi="黑体" w:eastAsia="黑体" w:cs="黑体"/>
          <w:color w:val="auto"/>
          <w:kern w:val="0"/>
          <w:sz w:val="21"/>
          <w:szCs w:val="21"/>
          <w:highlight w:val="none"/>
          <w:lang w:eastAsia="zh-CN"/>
        </w:rPr>
      </w:pPr>
      <w:r>
        <w:rPr>
          <w:rFonts w:hint="eastAsia" w:ascii="黑体" w:hAnsi="黑体" w:eastAsia="黑体" w:cs="黑体"/>
          <w:color w:val="auto"/>
          <w:kern w:val="0"/>
          <w:sz w:val="21"/>
          <w:szCs w:val="21"/>
          <w:highlight w:val="none"/>
          <w:lang w:eastAsia="zh-CN"/>
        </w:rPr>
        <w:t>表1 主要起草人及工作职责</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0"/>
        <w:gridCol w:w="5809"/>
      </w:tblGrid>
      <w:tr w14:paraId="23DA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6" w:type="pct"/>
            <w:noWrap w:val="0"/>
            <w:vAlign w:val="center"/>
          </w:tcPr>
          <w:p w14:paraId="4EE0FEB6">
            <w:pPr>
              <w:spacing w:beforeLines="0" w:afterLines="0" w:line="240" w:lineRule="auto"/>
              <w:ind w:firstLine="0" w:firstLineChars="0"/>
              <w:jc w:val="center"/>
              <w:rPr>
                <w:color w:val="auto"/>
                <w:kern w:val="0"/>
                <w:sz w:val="18"/>
                <w:szCs w:val="18"/>
                <w:highlight w:val="none"/>
              </w:rPr>
            </w:pPr>
            <w:r>
              <w:rPr>
                <w:rFonts w:hint="eastAsia"/>
                <w:color w:val="auto"/>
                <w:kern w:val="0"/>
                <w:sz w:val="18"/>
                <w:szCs w:val="18"/>
                <w:highlight w:val="none"/>
              </w:rPr>
              <w:t>起草人</w:t>
            </w:r>
          </w:p>
        </w:tc>
        <w:tc>
          <w:tcPr>
            <w:tcW w:w="3393" w:type="pct"/>
            <w:noWrap w:val="0"/>
            <w:vAlign w:val="center"/>
          </w:tcPr>
          <w:p w14:paraId="498C56CC">
            <w:pPr>
              <w:spacing w:beforeLines="0" w:afterLines="0" w:line="240" w:lineRule="auto"/>
              <w:ind w:firstLine="0" w:firstLineChars="0"/>
              <w:jc w:val="center"/>
              <w:rPr>
                <w:color w:val="auto"/>
                <w:kern w:val="0"/>
                <w:sz w:val="18"/>
                <w:szCs w:val="18"/>
                <w:highlight w:val="none"/>
              </w:rPr>
            </w:pPr>
            <w:r>
              <w:rPr>
                <w:rFonts w:hint="eastAsia"/>
                <w:color w:val="auto"/>
                <w:kern w:val="0"/>
                <w:sz w:val="18"/>
                <w:szCs w:val="18"/>
                <w:highlight w:val="none"/>
              </w:rPr>
              <w:t>分</w:t>
            </w:r>
            <w:r>
              <w:rPr>
                <w:rFonts w:hint="eastAsia"/>
                <w:color w:val="auto"/>
                <w:kern w:val="0"/>
                <w:sz w:val="18"/>
                <w:szCs w:val="18"/>
                <w:highlight w:val="none"/>
                <w:lang w:val="en-US" w:eastAsia="zh-CN"/>
              </w:rPr>
              <w:t xml:space="preserve">  </w:t>
            </w:r>
            <w:r>
              <w:rPr>
                <w:rFonts w:hint="eastAsia"/>
                <w:color w:val="auto"/>
                <w:kern w:val="0"/>
                <w:sz w:val="18"/>
                <w:szCs w:val="18"/>
                <w:highlight w:val="none"/>
              </w:rPr>
              <w:t>工</w:t>
            </w:r>
          </w:p>
        </w:tc>
      </w:tr>
      <w:tr w14:paraId="1FE5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6" w:type="pct"/>
            <w:noWrap w:val="0"/>
            <w:vAlign w:val="center"/>
          </w:tcPr>
          <w:p w14:paraId="5E806386">
            <w:pPr>
              <w:spacing w:beforeLines="0" w:afterLines="0" w:line="240" w:lineRule="auto"/>
              <w:ind w:firstLine="0" w:firstLineChars="0"/>
              <w:jc w:val="center"/>
              <w:rPr>
                <w:rFonts w:hint="eastAsia"/>
                <w:color w:val="auto"/>
                <w:kern w:val="0"/>
                <w:sz w:val="18"/>
                <w:szCs w:val="18"/>
                <w:highlight w:val="none"/>
                <w:lang w:val="en-US" w:eastAsia="zh-CN"/>
              </w:rPr>
            </w:pPr>
            <w:r>
              <w:rPr>
                <w:rFonts w:hint="eastAsia"/>
                <w:color w:val="auto"/>
                <w:kern w:val="0"/>
                <w:sz w:val="18"/>
                <w:szCs w:val="18"/>
                <w:highlight w:val="none"/>
                <w:lang w:val="en-US" w:eastAsia="zh-CN"/>
              </w:rPr>
              <w:t>李军义</w:t>
            </w:r>
          </w:p>
        </w:tc>
        <w:tc>
          <w:tcPr>
            <w:tcW w:w="3393" w:type="pct"/>
            <w:noWrap w:val="0"/>
            <w:vAlign w:val="center"/>
          </w:tcPr>
          <w:p w14:paraId="1DABADCD">
            <w:pPr>
              <w:spacing w:before="156" w:after="156" w:line="240" w:lineRule="auto"/>
              <w:ind w:left="0" w:leftChars="0" w:firstLine="0" w:firstLineChars="0"/>
              <w:rPr>
                <w:rFonts w:hint="eastAsia"/>
                <w:color w:val="auto"/>
                <w:kern w:val="0"/>
                <w:sz w:val="18"/>
                <w:szCs w:val="18"/>
                <w:lang w:eastAsia="zh-CN"/>
              </w:rPr>
            </w:pPr>
            <w:r>
              <w:rPr>
                <w:rFonts w:hint="eastAsia" w:ascii="宋体" w:hAnsi="宋体"/>
                <w:color w:val="auto"/>
                <w:kern w:val="0"/>
                <w:sz w:val="18"/>
                <w:szCs w:val="18"/>
              </w:rPr>
              <w:t>负责标准的工作指导、</w:t>
            </w:r>
            <w:r>
              <w:rPr>
                <w:rFonts w:hint="eastAsia" w:ascii="宋体" w:hAnsi="宋体"/>
                <w:color w:val="auto"/>
                <w:kern w:val="0"/>
                <w:sz w:val="18"/>
                <w:szCs w:val="18"/>
                <w:lang w:eastAsia="zh-CN"/>
              </w:rPr>
              <w:t>试验方案确定及</w:t>
            </w:r>
            <w:r>
              <w:rPr>
                <w:rFonts w:hint="eastAsia" w:ascii="宋体" w:hAnsi="宋体"/>
                <w:color w:val="auto"/>
                <w:kern w:val="0"/>
                <w:sz w:val="18"/>
                <w:szCs w:val="18"/>
              </w:rPr>
              <w:t>组织协调</w:t>
            </w:r>
          </w:p>
        </w:tc>
      </w:tr>
      <w:tr w14:paraId="5C27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6" w:type="pct"/>
            <w:noWrap w:val="0"/>
            <w:vAlign w:val="center"/>
          </w:tcPr>
          <w:p w14:paraId="753490DE">
            <w:pPr>
              <w:spacing w:beforeLines="0" w:afterLines="0" w:line="240" w:lineRule="auto"/>
              <w:ind w:firstLine="0" w:firstLineChars="0"/>
              <w:jc w:val="center"/>
              <w:rPr>
                <w:rFonts w:hint="eastAsia"/>
                <w:color w:val="auto"/>
                <w:kern w:val="0"/>
                <w:sz w:val="18"/>
                <w:szCs w:val="18"/>
                <w:highlight w:val="none"/>
                <w:lang w:val="en-US" w:eastAsia="zh-CN"/>
              </w:rPr>
            </w:pPr>
            <w:r>
              <w:rPr>
                <w:rFonts w:hint="eastAsia"/>
                <w:color w:val="auto"/>
                <w:kern w:val="0"/>
                <w:sz w:val="18"/>
                <w:szCs w:val="18"/>
                <w:highlight w:val="none"/>
                <w:lang w:eastAsia="zh-CN"/>
              </w:rPr>
              <w:t>张健康</w:t>
            </w:r>
            <w:r>
              <w:rPr>
                <w:rFonts w:hint="eastAsia"/>
                <w:color w:val="auto"/>
                <w:kern w:val="0"/>
                <w:sz w:val="18"/>
                <w:szCs w:val="18"/>
                <w:highlight w:val="none"/>
                <w:lang w:val="en-US" w:eastAsia="zh-CN"/>
              </w:rPr>
              <w:t>、李美岁</w:t>
            </w:r>
          </w:p>
        </w:tc>
        <w:tc>
          <w:tcPr>
            <w:tcW w:w="3393" w:type="pct"/>
            <w:noWrap w:val="0"/>
            <w:vAlign w:val="center"/>
          </w:tcPr>
          <w:p w14:paraId="281D1F83">
            <w:pPr>
              <w:spacing w:before="156" w:after="156" w:line="240" w:lineRule="auto"/>
              <w:ind w:left="0" w:leftChars="0" w:firstLine="0" w:firstLineChars="0"/>
              <w:rPr>
                <w:rFonts w:hint="eastAsia" w:ascii="宋体" w:hAnsi="宋体"/>
                <w:color w:val="auto"/>
                <w:kern w:val="0"/>
                <w:sz w:val="18"/>
                <w:szCs w:val="18"/>
              </w:rPr>
            </w:pPr>
            <w:r>
              <w:rPr>
                <w:rFonts w:hint="eastAsia"/>
                <w:color w:val="auto"/>
                <w:kern w:val="0"/>
                <w:sz w:val="18"/>
                <w:szCs w:val="18"/>
                <w:lang w:eastAsia="zh-CN"/>
              </w:rPr>
              <w:t>负责铍青铜棒材产品检测方法、检测资料收集、标准文本及材料编制修改</w:t>
            </w:r>
          </w:p>
        </w:tc>
      </w:tr>
      <w:tr w14:paraId="1177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6" w:type="pct"/>
            <w:noWrap w:val="0"/>
            <w:vAlign w:val="center"/>
          </w:tcPr>
          <w:p w14:paraId="28BA62BF">
            <w:pPr>
              <w:spacing w:beforeLines="0" w:afterLines="0" w:line="240" w:lineRule="auto"/>
              <w:ind w:firstLine="0" w:firstLineChars="0"/>
              <w:jc w:val="center"/>
              <w:rPr>
                <w:rFonts w:hint="default"/>
                <w:color w:val="auto"/>
                <w:kern w:val="0"/>
                <w:sz w:val="18"/>
                <w:szCs w:val="18"/>
                <w:highlight w:val="none"/>
                <w:lang w:val="en-US" w:eastAsia="zh-CN"/>
              </w:rPr>
            </w:pPr>
            <w:r>
              <w:rPr>
                <w:rFonts w:hint="eastAsia"/>
                <w:color w:val="auto"/>
                <w:kern w:val="0"/>
                <w:sz w:val="18"/>
                <w:szCs w:val="18"/>
                <w:highlight w:val="none"/>
                <w:lang w:eastAsia="zh-CN"/>
              </w:rPr>
              <w:t>王常江、张建财、马肖、</w:t>
            </w:r>
            <w:r>
              <w:rPr>
                <w:rFonts w:hint="eastAsia"/>
                <w:color w:val="auto"/>
                <w:kern w:val="0"/>
                <w:sz w:val="18"/>
                <w:szCs w:val="18"/>
                <w:highlight w:val="none"/>
                <w:lang w:val="en-US" w:eastAsia="zh-CN"/>
              </w:rPr>
              <w:t>王艳婷</w:t>
            </w:r>
          </w:p>
        </w:tc>
        <w:tc>
          <w:tcPr>
            <w:tcW w:w="3393" w:type="pct"/>
            <w:noWrap w:val="0"/>
            <w:vAlign w:val="center"/>
          </w:tcPr>
          <w:p w14:paraId="25475A99">
            <w:pPr>
              <w:spacing w:before="156" w:after="156" w:line="240" w:lineRule="auto"/>
              <w:ind w:left="0" w:leftChars="0" w:firstLine="0" w:firstLineChars="0"/>
              <w:rPr>
                <w:rFonts w:hint="eastAsia"/>
                <w:color w:val="auto"/>
                <w:kern w:val="0"/>
                <w:sz w:val="18"/>
                <w:szCs w:val="18"/>
                <w:lang w:eastAsia="zh-CN"/>
              </w:rPr>
            </w:pPr>
            <w:r>
              <w:rPr>
                <w:rFonts w:hint="eastAsia"/>
                <w:color w:val="auto"/>
                <w:kern w:val="0"/>
                <w:sz w:val="18"/>
                <w:szCs w:val="18"/>
                <w:lang w:eastAsia="zh-CN"/>
              </w:rPr>
              <w:t>负责</w:t>
            </w:r>
            <w:r>
              <w:rPr>
                <w:rFonts w:hint="eastAsia" w:hAnsi="宋体"/>
                <w:color w:val="auto"/>
                <w:sz w:val="18"/>
                <w:szCs w:val="18"/>
                <w:lang w:val="en-US" w:eastAsia="zh-CN"/>
              </w:rPr>
              <w:t>铍青铜棒材</w:t>
            </w:r>
            <w:r>
              <w:rPr>
                <w:rFonts w:hint="eastAsia"/>
                <w:color w:val="auto"/>
                <w:kern w:val="0"/>
                <w:sz w:val="18"/>
                <w:szCs w:val="18"/>
                <w:lang w:eastAsia="zh-CN"/>
              </w:rPr>
              <w:t>收集资料、标准文本及材料编制修改、</w:t>
            </w:r>
            <w:r>
              <w:rPr>
                <w:rFonts w:hint="eastAsia" w:ascii="宋体" w:hAnsi="宋体"/>
                <w:color w:val="auto"/>
                <w:kern w:val="0"/>
                <w:sz w:val="18"/>
                <w:szCs w:val="18"/>
              </w:rPr>
              <w:t>开展现场试验验证及数据积累</w:t>
            </w:r>
            <w:r>
              <w:rPr>
                <w:rFonts w:hint="eastAsia"/>
                <w:color w:val="auto"/>
                <w:kern w:val="0"/>
                <w:sz w:val="18"/>
                <w:szCs w:val="18"/>
                <w:lang w:eastAsia="zh-CN"/>
              </w:rPr>
              <w:t>。</w:t>
            </w:r>
          </w:p>
        </w:tc>
      </w:tr>
      <w:tr w14:paraId="2CA3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6" w:type="pct"/>
            <w:noWrap w:val="0"/>
            <w:vAlign w:val="center"/>
          </w:tcPr>
          <w:p w14:paraId="38693356">
            <w:pPr>
              <w:spacing w:beforeLines="0" w:afterLines="0" w:line="240" w:lineRule="auto"/>
              <w:ind w:firstLine="0" w:firstLineChars="0"/>
              <w:jc w:val="center"/>
              <w:rPr>
                <w:rFonts w:hint="eastAsia"/>
                <w:color w:val="auto"/>
                <w:kern w:val="0"/>
                <w:sz w:val="18"/>
                <w:szCs w:val="18"/>
                <w:highlight w:val="none"/>
                <w:lang w:val="en-US" w:eastAsia="zh-CN"/>
              </w:rPr>
            </w:pPr>
            <w:r>
              <w:rPr>
                <w:rFonts w:hint="eastAsia"/>
                <w:color w:val="auto"/>
                <w:kern w:val="0"/>
                <w:sz w:val="18"/>
                <w:szCs w:val="18"/>
                <w:highlight w:val="none"/>
                <w:lang w:val="en-US" w:eastAsia="zh-CN"/>
              </w:rPr>
              <w:t>韩俊钢、李海龙</w:t>
            </w:r>
          </w:p>
        </w:tc>
        <w:tc>
          <w:tcPr>
            <w:tcW w:w="3393" w:type="pct"/>
            <w:noWrap w:val="0"/>
            <w:vAlign w:val="center"/>
          </w:tcPr>
          <w:p w14:paraId="703842D8">
            <w:pPr>
              <w:spacing w:before="156" w:after="156" w:line="240" w:lineRule="auto"/>
              <w:ind w:left="0" w:leftChars="0" w:firstLine="0" w:firstLineChars="0"/>
              <w:rPr>
                <w:rFonts w:hint="eastAsia"/>
                <w:color w:val="auto"/>
                <w:kern w:val="0"/>
                <w:sz w:val="18"/>
                <w:szCs w:val="18"/>
                <w:lang w:eastAsia="zh-CN"/>
              </w:rPr>
            </w:pPr>
            <w:r>
              <w:rPr>
                <w:rFonts w:hint="eastAsia"/>
                <w:color w:val="auto"/>
                <w:kern w:val="0"/>
                <w:sz w:val="18"/>
                <w:szCs w:val="18"/>
                <w:lang w:eastAsia="zh-CN"/>
              </w:rPr>
              <w:t>负责技术参数确定、</w:t>
            </w:r>
            <w:r>
              <w:rPr>
                <w:rFonts w:hint="eastAsia" w:ascii="宋体" w:hAnsi="宋体"/>
                <w:color w:val="auto"/>
                <w:kern w:val="0"/>
                <w:sz w:val="18"/>
                <w:szCs w:val="18"/>
              </w:rPr>
              <w:t>相关技术要求内容的编写及把关</w:t>
            </w:r>
            <w:r>
              <w:rPr>
                <w:rFonts w:hint="eastAsia"/>
                <w:color w:val="auto"/>
                <w:kern w:val="0"/>
                <w:sz w:val="18"/>
                <w:szCs w:val="18"/>
                <w:lang w:eastAsia="zh-CN"/>
              </w:rPr>
              <w:t>、意见征集工作。</w:t>
            </w:r>
          </w:p>
        </w:tc>
      </w:tr>
      <w:tr w14:paraId="2424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6" w:type="pct"/>
            <w:noWrap w:val="0"/>
            <w:vAlign w:val="center"/>
          </w:tcPr>
          <w:p w14:paraId="1D895D28">
            <w:pPr>
              <w:spacing w:beforeLines="0" w:afterLines="0" w:line="240" w:lineRule="auto"/>
              <w:ind w:firstLine="0" w:firstLineChars="0"/>
              <w:jc w:val="center"/>
              <w:rPr>
                <w:rFonts w:hint="default"/>
                <w:color w:val="auto"/>
                <w:kern w:val="0"/>
                <w:sz w:val="18"/>
                <w:szCs w:val="18"/>
                <w:highlight w:val="none"/>
                <w:lang w:val="en-US"/>
              </w:rPr>
            </w:pPr>
            <w:r>
              <w:rPr>
                <w:rFonts w:hint="eastAsia"/>
                <w:color w:val="auto"/>
                <w:kern w:val="0"/>
                <w:sz w:val="18"/>
                <w:szCs w:val="18"/>
                <w:highlight w:val="none"/>
                <w:lang w:eastAsia="zh-CN"/>
              </w:rPr>
              <w:t>杨敬、张勇、徐生、张桂敏、戴红波、彭丽军、罗威、</w:t>
            </w:r>
            <w:r>
              <w:rPr>
                <w:rFonts w:hint="eastAsia"/>
                <w:color w:val="auto"/>
                <w:kern w:val="0"/>
                <w:sz w:val="18"/>
                <w:szCs w:val="18"/>
                <w:highlight w:val="none"/>
                <w:lang w:val="en-US" w:eastAsia="zh-CN"/>
              </w:rPr>
              <w:t>张程等</w:t>
            </w:r>
          </w:p>
        </w:tc>
        <w:tc>
          <w:tcPr>
            <w:tcW w:w="3393" w:type="pct"/>
            <w:noWrap w:val="0"/>
            <w:vAlign w:val="center"/>
          </w:tcPr>
          <w:p w14:paraId="3C3A5435">
            <w:pPr>
              <w:spacing w:before="156" w:after="156" w:line="240" w:lineRule="auto"/>
              <w:ind w:left="0" w:leftChars="0" w:firstLine="0" w:firstLineChars="0"/>
              <w:rPr>
                <w:rFonts w:hint="eastAsia"/>
                <w:color w:val="auto"/>
                <w:kern w:val="0"/>
                <w:sz w:val="18"/>
                <w:szCs w:val="18"/>
                <w:lang w:eastAsia="zh-CN"/>
              </w:rPr>
            </w:pPr>
            <w:r>
              <w:rPr>
                <w:rFonts w:hint="eastAsia"/>
                <w:color w:val="auto"/>
                <w:kern w:val="0"/>
                <w:sz w:val="18"/>
                <w:szCs w:val="18"/>
                <w:lang w:eastAsia="zh-CN"/>
              </w:rPr>
              <w:t>参与标准起草、确认技术要求，样品验证反馈、提出标准修改意见。</w:t>
            </w:r>
          </w:p>
        </w:tc>
      </w:tr>
    </w:tbl>
    <w:p w14:paraId="23594106">
      <w:pPr>
        <w:pStyle w:val="20"/>
        <w:keepNext w:val="0"/>
        <w:keepLines w:val="0"/>
        <w:pageBreakBefore w:val="0"/>
        <w:kinsoku/>
        <w:wordWrap/>
        <w:overflowPunct/>
        <w:topLinePunct w:val="0"/>
        <w:autoSpaceDE/>
        <w:autoSpaceDN/>
        <w:bidi w:val="0"/>
        <w:adjustRightInd/>
        <w:snapToGrid/>
        <w:spacing w:beforeLines="0" w:afterLines="0" w:line="360" w:lineRule="auto"/>
        <w:textAlignment w:val="auto"/>
        <w:outlineLvl w:val="9"/>
        <w:rPr>
          <w:rFonts w:hint="eastAsia"/>
        </w:rPr>
      </w:pPr>
      <w:r>
        <w:rPr>
          <w:rFonts w:hint="eastAsia" w:hAnsi="黑体" w:cs="黑体"/>
          <w:color w:val="auto"/>
          <w:sz w:val="21"/>
          <w:szCs w:val="21"/>
        </w:rPr>
        <w:t>1.4 主要工作过程</w:t>
      </w:r>
    </w:p>
    <w:p w14:paraId="2772299B">
      <w:pPr>
        <w:spacing w:line="360" w:lineRule="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1.4.1预研阶段</w:t>
      </w:r>
    </w:p>
    <w:p w14:paraId="570E8372">
      <w:pPr>
        <w:spacing w:line="360" w:lineRule="auto"/>
        <w:ind w:firstLine="420" w:firstLineChars="200"/>
        <w:rPr>
          <w:rFonts w:hint="default" w:hAnsi="黑体" w:cs="黑体"/>
          <w:color w:val="auto"/>
          <w:sz w:val="21"/>
          <w:szCs w:val="21"/>
          <w:lang w:val="en-US" w:eastAsia="zh-CN"/>
        </w:rPr>
      </w:pPr>
      <w:r>
        <w:rPr>
          <w:rFonts w:hint="eastAsia" w:hAnsi="黑体" w:cs="黑体"/>
          <w:color w:val="auto"/>
          <w:sz w:val="21"/>
          <w:szCs w:val="21"/>
          <w:lang w:val="en-US" w:eastAsia="zh-CN"/>
        </w:rPr>
        <w:t>1.国内外现状及技术发展趋势</w:t>
      </w:r>
    </w:p>
    <w:p w14:paraId="6AC5D29A">
      <w:pPr>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（1）国内外行业现状</w:t>
      </w:r>
    </w:p>
    <w:p w14:paraId="327BB1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从全球铍资源分布与铍铜合金产业竞争格局来看，铍铜产业呈现出高度集中的特征。据美国地质调查局数据显示，铍资源高度集中，约60%的铍矿资源分布在美国，美国不仅是全球最大的铍资源国，也是铍矿产品生产与出口大国。2024年全球金属铍产量达364吨，其中美国占比高达49.45%。俄罗斯、哈萨克斯坦等国也拥有一定规模的铍资源储备和生产能力。从铍铜合金市场来看，美日企业在全球铍铜合金高端市场中占据约60%的份额，在高端铍铜产品的制造能力和技术研发方面长期保持领先优势</w:t>
      </w:r>
    </w:p>
    <w:p w14:paraId="0A6D7C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default"/>
          <w:lang w:val="en-US" w:eastAsia="zh-CN"/>
        </w:rPr>
        <w:t>近年来，国内铍铜合金产业在产能建设、技术攻关和产品升级方面取得了长足进步。在行业龙头企业方面，五矿铍业是国内铍铜合金生产的核心企业，其2026年一季度铍铜合金产量超计划进度20.57%，铍铜合金营业收入同比增长59.69%，生产成本大幅下降30%，核心产品合格率稳步提升</w:t>
      </w:r>
      <w:r>
        <w:rPr>
          <w:rFonts w:hint="default"/>
          <w:lang w:val="en-US" w:eastAsia="zh-CN"/>
        </w:rPr>
        <w:fldChar w:fldCharType="begin"/>
      </w:r>
      <w:r>
        <w:rPr>
          <w:rFonts w:hint="default"/>
          <w:lang w:val="en-US" w:eastAsia="zh-CN"/>
        </w:rPr>
        <w:instrText xml:space="preserve"> HYPERLINK "https://www.cnmn.com.cn/ShowNews1.aspx?id=470262" \t "https://chat.deepseek.com/a/chat/s/_blank" </w:instrText>
      </w:r>
      <w:r>
        <w:rPr>
          <w:rFonts w:hint="default"/>
          <w:lang w:val="en-US" w:eastAsia="zh-CN"/>
        </w:rPr>
        <w:fldChar w:fldCharType="separate"/>
      </w:r>
      <w:r>
        <w:rPr>
          <w:rFonts w:hint="eastAsia"/>
          <w:lang w:val="en-US" w:eastAsia="zh-CN"/>
        </w:rPr>
        <w:t>-</w:t>
      </w:r>
      <w:r>
        <w:rPr>
          <w:rFonts w:hint="default"/>
          <w:lang w:val="en-US" w:eastAsia="zh-CN"/>
        </w:rPr>
        <w:t>58</w:t>
      </w:r>
      <w:r>
        <w:rPr>
          <w:rFonts w:hint="default"/>
          <w:lang w:val="en-US" w:eastAsia="zh-CN"/>
        </w:rPr>
        <w:fldChar w:fldCharType="end"/>
      </w:r>
      <w:r>
        <w:rPr>
          <w:rFonts w:hint="default"/>
          <w:lang w:val="en-US" w:eastAsia="zh-CN"/>
        </w:rPr>
        <w:t>。五矿铍业已形成了从工业氧化铍到铍铜合金的全产业链协同能力。</w:t>
      </w:r>
    </w:p>
    <w:p w14:paraId="2A2B5F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在高端铜合金加工领域，国工恒昌新材料是国内少数能够生产铍铜、钛铜等高端铜合金材料的企业，其铍铜产品占该公司总产量的50%。该企业采用真空熔炼方法从材料源头进行工艺控制，努力赶超国外产品，朝着进口替代方向迈进。河北欧通有色金属制品有限公司则专注于高精尖铜产品的研发与生产，产品已广泛应用于航空航天、军工、核电、高铁等高端领域，在满足国内市场需求的同时出口至亚、欧、美等多个国家和地区。</w:t>
      </w:r>
    </w:p>
    <w:p w14:paraId="024850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default"/>
          <w:lang w:val="en-US" w:eastAsia="zh-CN"/>
        </w:rPr>
        <w:t>在产业投资方面，2025年江西新越材料科技有限公司拟投资5000万元建设年产1.2万吨铍青铜项目。该项目位于江西鹰潭（贵溪）铜产业循环经济基地，标志着国内铍青铜产业正在向大规模工业化方向拓展，对铍青铜带材、板材、棒材、线材的旺盛市场需求也得到了有力印证。</w:t>
      </w:r>
    </w:p>
    <w:p w14:paraId="34B871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Segoe UI" w:hAnsi="Segoe UI" w:eastAsia="Segoe UI" w:cs="Segoe UI"/>
          <w:i w:val="0"/>
          <w:iCs w:val="0"/>
          <w:caps w:val="0"/>
          <w:color w:val="0F1115"/>
          <w:spacing w:val="0"/>
        </w:rPr>
      </w:pPr>
      <w:r>
        <w:rPr>
          <w:rFonts w:hint="default"/>
          <w:lang w:val="en-US" w:eastAsia="zh-CN"/>
        </w:rPr>
        <w:t>在产业技术能力方面，国内已实现铍青铜棒材、线材、带材等系列品种的工业化生产，部分产品达到较高水平。然而，由于工艺技术等因素限制，国内与国外在高端铍铜合金材料的生产精度、产品一致性和特种性能指标方面仍存在差距，高端铍铜棒材仍需从国外进口</w:t>
      </w:r>
      <w:r>
        <w:rPr>
          <w:rFonts w:hint="eastAsia"/>
          <w:lang w:val="en-US" w:eastAsia="zh-CN"/>
        </w:rPr>
        <w:t>。</w:t>
      </w:r>
    </w:p>
    <w:p w14:paraId="29303D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（2）铍铜棒材标准体系现状</w:t>
      </w:r>
    </w:p>
    <w:p w14:paraId="1D913A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国内外铍铜棒材标准体系方面，ASTM B196/B196M系列标准于2024年完成了最新版修订（ASTM B196/B196M-24），该标准在技术内容方面进行了多项重要更新。ASTM B196/B196M-24主要涵盖UNS C17000、C17200和C17300三个牌号的铍铜合金棒材技术要求。</w:t>
      </w:r>
    </w:p>
    <w:p w14:paraId="40E929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我国现有YS/T 334—2009《铍青铜圆形棒材》标准实施已超过十五年，在化学成分体系、牌号分类、力学性能指标、尺寸公差规定等方面与ASTM B196/B196M-24之间存在更新滞后。牌号方面，国内企业实际生产中广泛使用的QBe2、QBe1.7、QBe1.9、QBe1.9-0.1及QBe0.6-2.5牌号体系与ASTM的UNS系列牌号体系在命名规则和化学成分范围上存在体系差异，需要在标准修订中加以协调。在技术指标方面，国内现行标准中的部分力学性能指标、尺寸公差规定与ASTM B196/B196M-24的新要求之间也存在差距，亟须对标更新。</w:t>
      </w:r>
    </w:p>
    <w:p w14:paraId="7F3352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asciiTheme="minorEastAsia" w:hAnsiTheme="minorEastAsia" w:eastAsiaTheme="minorEastAsia" w:cstheme="minorEastAsia"/>
        </w:rPr>
        <w:t>此外，GB/T 5231—2022已完成修订并实施，GB/T 4423—2020也已发布实施，铍铜棒材产品标准需与上述基础标准保持一致。标准修订的必要性愈加凸显</w:t>
      </w:r>
    </w:p>
    <w:p w14:paraId="3725E443">
      <w:pPr>
        <w:spacing w:line="360" w:lineRule="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1.4.2标准立项</w:t>
      </w:r>
    </w:p>
    <w:p w14:paraId="361D4977">
      <w:pPr>
        <w:spacing w:line="360" w:lineRule="auto"/>
        <w:ind w:firstLine="420" w:firstLineChars="200"/>
        <w:rPr>
          <w:rFonts w:hint="eastAsia" w:hAnsi="黑体" w:cs="黑体"/>
          <w:color w:val="auto"/>
          <w:sz w:val="21"/>
          <w:szCs w:val="21"/>
          <w:lang w:val="en-US" w:eastAsia="zh-CN"/>
        </w:rPr>
      </w:pPr>
      <w:r>
        <w:rPr>
          <w:rFonts w:hint="eastAsia" w:hAnsi="黑体" w:cs="黑体"/>
          <w:color w:val="auto"/>
          <w:sz w:val="21"/>
          <w:szCs w:val="21"/>
          <w:lang w:val="en-US" w:eastAsia="zh-CN"/>
        </w:rPr>
        <w:t>标准项目提交全体委员会议讨论、申请立项以及标准计划批准的过程及时间节点。</w:t>
      </w:r>
    </w:p>
    <w:p w14:paraId="0CA895F2">
      <w:pPr>
        <w:widowControl w:val="0"/>
        <w:wordWrap/>
        <w:adjustRightInd/>
        <w:snapToGrid/>
        <w:spacing w:before="0" w:beforeLines="0" w:after="0" w:afterLines="0" w:line="360" w:lineRule="auto"/>
        <w:ind w:left="0" w:leftChars="0" w:right="0" w:firstLine="420" w:firstLineChars="200"/>
        <w:jc w:val="both"/>
        <w:textAlignment w:val="auto"/>
        <w:outlineLvl w:val="9"/>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202</w:t>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lang w:val="en-US" w:eastAsia="zh-CN"/>
        </w:rPr>
        <w:t>宁夏中色新材料有限公司</w:t>
      </w:r>
      <w:r>
        <w:rPr>
          <w:rFonts w:hint="eastAsia" w:asciiTheme="minorEastAsia" w:hAnsiTheme="minorEastAsia" w:eastAsiaTheme="minorEastAsia" w:cstheme="minorEastAsia"/>
          <w:szCs w:val="21"/>
        </w:rPr>
        <w:t>向全国有色金属标准化技术委员会</w:t>
      </w:r>
      <w:r>
        <w:rPr>
          <w:rFonts w:hint="eastAsia" w:asciiTheme="minorEastAsia" w:hAnsiTheme="minorEastAsia" w:eastAsiaTheme="minorEastAsia" w:cstheme="minorEastAsia"/>
          <w:szCs w:val="21"/>
          <w:lang w:val="en-US" w:eastAsia="zh-CN"/>
        </w:rPr>
        <w:t>重</w:t>
      </w:r>
      <w:r>
        <w:rPr>
          <w:rFonts w:hint="eastAsia" w:asciiTheme="minorEastAsia" w:hAnsiTheme="minorEastAsia" w:eastAsiaTheme="minorEastAsia" w:cstheme="minorEastAsia"/>
          <w:szCs w:val="21"/>
        </w:rPr>
        <w:t>金属分标委提交</w:t>
      </w:r>
      <w:r>
        <w:rPr>
          <w:rFonts w:hint="eastAsia" w:asciiTheme="minorEastAsia" w:hAnsiTheme="minorEastAsia" w:eastAsiaTheme="minorEastAsia" w:cstheme="minorEastAsia"/>
          <w:i w:val="0"/>
          <w:iCs/>
          <w:color w:val="auto"/>
          <w:sz w:val="21"/>
          <w:szCs w:val="21"/>
          <w:lang w:val="en-US" w:eastAsia="zh-CN"/>
        </w:rPr>
        <w:t>YS/T 334-2009《铍青铜圆形棒材》</w:t>
      </w:r>
      <w:r>
        <w:rPr>
          <w:rFonts w:hint="eastAsia" w:asciiTheme="minorEastAsia" w:hAnsiTheme="minorEastAsia" w:eastAsiaTheme="minorEastAsia" w:cstheme="minorEastAsia"/>
          <w:szCs w:val="21"/>
        </w:rPr>
        <w:t>标准修订的项目建议书、标准草案和立项报告等材料，经全体委员论证同意立项。随后由秘书处组织全体委员网络投票，投票通过后转报给工业和信息化部科技司，并挂网向社会公开征求意见。</w:t>
      </w:r>
    </w:p>
    <w:p w14:paraId="3218D88A">
      <w:pPr>
        <w:widowControl w:val="0"/>
        <w:wordWrap/>
        <w:adjustRightInd/>
        <w:snapToGrid/>
        <w:spacing w:before="0" w:beforeLines="0" w:after="0" w:afterLines="0" w:line="360" w:lineRule="auto"/>
        <w:ind w:left="0" w:leftChars="0" w:right="0" w:firstLine="420" w:firstLineChars="200"/>
        <w:jc w:val="both"/>
        <w:textAlignment w:val="auto"/>
        <w:outlineLvl w:val="9"/>
        <w:rPr>
          <w:rFonts w:hint="default"/>
          <w:lang w:val="en-US" w:eastAsia="zh-CN"/>
        </w:rPr>
      </w:pPr>
      <w:r>
        <w:rPr>
          <w:rFonts w:hint="eastAsia" w:asciiTheme="minorEastAsia" w:hAnsiTheme="minorEastAsia" w:eastAsiaTheme="minorEastAsia" w:cstheme="minorEastAsia"/>
          <w:color w:val="auto"/>
          <w:kern w:val="0"/>
          <w:szCs w:val="21"/>
          <w:lang w:val="en-US" w:eastAsia="zh-CN"/>
        </w:rPr>
        <w:t>2025年12月29日工业和信息化部办公厅《关于印发2025年第五批行业标准制修订和外文版项目计划的通知》（工信厅科函〔2025〕528号）的要求</w:t>
      </w:r>
      <w:r>
        <w:rPr>
          <w:rFonts w:hint="eastAsia" w:asciiTheme="minorEastAsia" w:hAnsiTheme="minorEastAsia" w:eastAsiaTheme="minorEastAsia" w:cstheme="minorEastAsia"/>
          <w:color w:val="auto"/>
          <w:kern w:val="0"/>
          <w:szCs w:val="21"/>
        </w:rPr>
        <w:t>，由</w:t>
      </w:r>
      <w:r>
        <w:rPr>
          <w:rFonts w:hint="eastAsia" w:asciiTheme="minorEastAsia" w:hAnsiTheme="minorEastAsia" w:eastAsiaTheme="minorEastAsia" w:cstheme="minorEastAsia"/>
          <w:color w:val="auto"/>
          <w:kern w:val="0"/>
          <w:szCs w:val="21"/>
          <w:lang w:val="en-US" w:eastAsia="zh-CN"/>
        </w:rPr>
        <w:t>中色宁夏新材料有限公司</w:t>
      </w:r>
      <w:r>
        <w:rPr>
          <w:rFonts w:hint="eastAsia" w:asciiTheme="minorEastAsia" w:hAnsiTheme="minorEastAsia" w:eastAsiaTheme="minorEastAsia" w:cstheme="minorEastAsia"/>
          <w:color w:val="auto"/>
          <w:kern w:val="0"/>
          <w:szCs w:val="21"/>
        </w:rPr>
        <w:t>负责</w:t>
      </w:r>
      <w:r>
        <w:rPr>
          <w:rFonts w:hint="eastAsia" w:asciiTheme="minorEastAsia" w:hAnsiTheme="minorEastAsia" w:eastAsiaTheme="minorEastAsia" w:cstheme="minorEastAsia"/>
          <w:color w:val="auto"/>
          <w:kern w:val="0"/>
          <w:szCs w:val="21"/>
          <w:lang w:eastAsia="zh-CN"/>
        </w:rPr>
        <w:t>修订的</w:t>
      </w:r>
      <w:r>
        <w:rPr>
          <w:rFonts w:hint="eastAsia" w:asciiTheme="minorEastAsia" w:hAnsiTheme="minorEastAsia" w:eastAsiaTheme="minorEastAsia" w:cstheme="minorEastAsia"/>
          <w:color w:val="auto"/>
          <w:kern w:val="0"/>
          <w:szCs w:val="21"/>
        </w:rPr>
        <w:t>《</w:t>
      </w:r>
      <w:r>
        <w:rPr>
          <w:rFonts w:hint="eastAsia" w:asciiTheme="minorEastAsia" w:hAnsiTheme="minorEastAsia" w:eastAsiaTheme="minorEastAsia" w:cstheme="minorEastAsia"/>
          <w:color w:val="auto"/>
          <w:kern w:val="0"/>
          <w:szCs w:val="21"/>
          <w:lang w:eastAsia="zh-CN"/>
        </w:rPr>
        <w:t>铍青铜圆形棒材</w:t>
      </w:r>
      <w:r>
        <w:rPr>
          <w:rFonts w:hint="eastAsia" w:asciiTheme="minorEastAsia" w:hAnsiTheme="minorEastAsia" w:eastAsiaTheme="minorEastAsia" w:cstheme="minorEastAsia"/>
          <w:color w:val="auto"/>
          <w:kern w:val="0"/>
          <w:szCs w:val="21"/>
        </w:rPr>
        <w:t>》</w:t>
      </w:r>
      <w:r>
        <w:rPr>
          <w:rFonts w:hint="eastAsia" w:asciiTheme="minorEastAsia" w:hAnsiTheme="minorEastAsia" w:eastAsiaTheme="minorEastAsia" w:cstheme="minorEastAsia"/>
          <w:color w:val="auto"/>
          <w:kern w:val="0"/>
          <w:szCs w:val="21"/>
          <w:lang w:eastAsia="zh-CN"/>
        </w:rPr>
        <w:t>行业标准</w:t>
      </w:r>
      <w:r>
        <w:rPr>
          <w:rFonts w:hint="eastAsia" w:asciiTheme="minorEastAsia" w:hAnsiTheme="minorEastAsia" w:eastAsiaTheme="minorEastAsia" w:cstheme="minorEastAsia"/>
          <w:color w:val="auto"/>
          <w:kern w:val="0"/>
          <w:szCs w:val="21"/>
        </w:rPr>
        <w:t>。项目计划编号</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lang w:val="en-US" w:eastAsia="zh-CN"/>
        </w:rPr>
        <w:t>工信厅科函〔2025〕528号2025-1356T-YS</w:t>
      </w:r>
      <w:r>
        <w:rPr>
          <w:rFonts w:hint="eastAsia" w:asciiTheme="minorEastAsia" w:hAnsiTheme="minorEastAsia" w:eastAsiaTheme="minorEastAsia" w:cstheme="minorEastAsia"/>
          <w:color w:val="auto"/>
          <w:kern w:val="0"/>
          <w:szCs w:val="21"/>
        </w:rPr>
        <w:t>，完成年限为20</w:t>
      </w:r>
      <w:r>
        <w:rPr>
          <w:rFonts w:hint="eastAsia" w:asciiTheme="minorEastAsia" w:hAnsiTheme="minorEastAsia" w:eastAsiaTheme="minorEastAsia" w:cstheme="minorEastAsia"/>
          <w:color w:val="auto"/>
          <w:kern w:val="0"/>
          <w:szCs w:val="21"/>
          <w:lang w:val="en-US" w:eastAsia="zh-CN"/>
        </w:rPr>
        <w:t>26</w:t>
      </w:r>
      <w:r>
        <w:rPr>
          <w:rFonts w:hint="eastAsia" w:asciiTheme="minorEastAsia" w:hAnsiTheme="minorEastAsia" w:eastAsiaTheme="minorEastAsia" w:cstheme="minorEastAsia"/>
          <w:color w:val="auto"/>
          <w:kern w:val="0"/>
          <w:szCs w:val="21"/>
        </w:rPr>
        <w:t>年</w:t>
      </w:r>
      <w:r>
        <w:rPr>
          <w:rFonts w:hint="eastAsia" w:asciiTheme="minorEastAsia" w:hAnsiTheme="minorEastAsia" w:eastAsiaTheme="minorEastAsia" w:cstheme="minorEastAsia"/>
          <w:color w:val="auto"/>
          <w:kern w:val="0"/>
          <w:szCs w:val="21"/>
          <w:lang w:val="en-US" w:eastAsia="zh-CN"/>
        </w:rPr>
        <w:t>12月</w:t>
      </w:r>
      <w:r>
        <w:rPr>
          <w:rFonts w:hint="eastAsia" w:asciiTheme="minorEastAsia" w:hAnsiTheme="minorEastAsia" w:eastAsiaTheme="minorEastAsia" w:cstheme="minorEastAsia"/>
          <w:color w:val="auto"/>
          <w:kern w:val="0"/>
          <w:szCs w:val="21"/>
        </w:rPr>
        <w:t>。</w:t>
      </w:r>
      <w:r>
        <w:rPr>
          <w:rFonts w:hint="eastAsia" w:asciiTheme="minorEastAsia" w:hAnsiTheme="minorEastAsia" w:eastAsiaTheme="minorEastAsia" w:cstheme="minorEastAsia"/>
          <w:color w:val="auto"/>
          <w:kern w:val="0"/>
          <w:szCs w:val="21"/>
          <w:lang w:val="en-US" w:eastAsia="zh-CN"/>
        </w:rPr>
        <w:t xml:space="preserve"> </w:t>
      </w:r>
      <w:r>
        <w:rPr>
          <w:rFonts w:hint="eastAsia"/>
          <w:color w:val="auto"/>
          <w:kern w:val="0"/>
          <w:szCs w:val="21"/>
          <w:lang w:val="en-US" w:eastAsia="zh-CN"/>
        </w:rPr>
        <w:t xml:space="preserve"> </w:t>
      </w:r>
    </w:p>
    <w:p w14:paraId="5C6C62D8">
      <w:pPr>
        <w:pStyle w:val="5"/>
        <w:spacing w:line="360" w:lineRule="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3C44A5BD">
      <w:pPr>
        <w:widowControl w:val="0"/>
        <w:wordWrap/>
        <w:adjustRightInd/>
        <w:snapToGrid/>
        <w:spacing w:before="0" w:beforeLines="0" w:after="0" w:afterLines="0" w:line="360" w:lineRule="auto"/>
        <w:ind w:left="0" w:leftChars="0" w:right="0" w:firstLine="420" w:firstLineChars="200"/>
        <w:jc w:val="both"/>
        <w:textAlignment w:val="auto"/>
        <w:outlineLvl w:val="9"/>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《铍青铜圆形棒材》标准由</w:t>
      </w:r>
      <w:r>
        <w:rPr>
          <w:rFonts w:hint="eastAsia" w:ascii="宋体" w:hAnsi="宋体" w:eastAsia="宋体" w:cs="宋体"/>
          <w:szCs w:val="21"/>
          <w:lang w:val="en-US" w:eastAsia="zh-CN"/>
        </w:rPr>
        <w:t>宁夏中色新材料有限公司</w:t>
      </w:r>
      <w:r>
        <w:rPr>
          <w:rFonts w:hint="eastAsia" w:ascii="Times New Roman" w:hAnsi="Times New Roman" w:eastAsia="宋体" w:cs="Times New Roman"/>
          <w:color w:val="auto"/>
          <w:kern w:val="0"/>
          <w:szCs w:val="21"/>
          <w:lang w:val="en-US" w:eastAsia="zh-CN"/>
        </w:rPr>
        <w:t>负责起草，</w:t>
      </w:r>
      <w:r>
        <w:rPr>
          <w:rFonts w:hint="eastAsia" w:ascii="Times New Roman" w:hAnsi="Times New Roman" w:eastAsia="宋体" w:cs="Times New Roman"/>
          <w:bCs w:val="0"/>
          <w:color w:val="auto"/>
          <w:kern w:val="0"/>
          <w:sz w:val="21"/>
          <w:szCs w:val="21"/>
          <w:lang w:val="en-US" w:eastAsia="zh-CN" w:bidi="ar-SA"/>
        </w:rPr>
        <w:t>西北稀有金属材料研究院宁夏有限公司、四川凌峰航空液压机械有限公司、</w:t>
      </w:r>
      <w:r>
        <w:rPr>
          <w:rFonts w:hint="default" w:ascii="Times New Roman" w:hAnsi="Times New Roman" w:eastAsia="宋体" w:cs="Times New Roman"/>
          <w:bCs w:val="0"/>
          <w:color w:val="auto"/>
          <w:kern w:val="0"/>
          <w:sz w:val="21"/>
          <w:szCs w:val="21"/>
          <w:lang w:val="en-US" w:eastAsia="zh-CN" w:bidi="ar-SA"/>
        </w:rPr>
        <w:t>中国航空工业集团公司西安飞行自动控制研究所</w:t>
      </w:r>
      <w:r>
        <w:rPr>
          <w:rFonts w:hint="eastAsia" w:ascii="Times New Roman" w:hAnsi="Times New Roman" w:eastAsia="宋体" w:cs="Times New Roman"/>
          <w:bCs w:val="0"/>
          <w:color w:val="auto"/>
          <w:kern w:val="0"/>
          <w:sz w:val="21"/>
          <w:szCs w:val="21"/>
          <w:lang w:val="en-US" w:eastAsia="zh-CN" w:bidi="ar-SA"/>
        </w:rPr>
        <w:t>、西安航天发动机有限公司、陕西大诚诺克科技有限公司、宁夏东方钽业股份有限公司。</w:t>
      </w:r>
      <w:r>
        <w:rPr>
          <w:rFonts w:hint="eastAsia" w:ascii="Times New Roman" w:hAnsi="Times New Roman" w:eastAsia="宋体" w:cs="Times New Roman"/>
          <w:color w:val="auto"/>
          <w:kern w:val="0"/>
          <w:szCs w:val="21"/>
          <w:lang w:val="en-US" w:eastAsia="zh-CN"/>
        </w:rPr>
        <w:t>等单位参与。</w:t>
      </w:r>
    </w:p>
    <w:p w14:paraId="60E80CCB">
      <w:pPr>
        <w:widowControl w:val="0"/>
        <w:wordWrap/>
        <w:adjustRightInd/>
        <w:snapToGrid/>
        <w:spacing w:before="0" w:beforeLines="0" w:after="0" w:afterLines="0" w:line="360" w:lineRule="auto"/>
        <w:ind w:left="0" w:leftChars="0" w:right="0" w:firstLine="420" w:firstLineChars="200"/>
        <w:jc w:val="both"/>
        <w:textAlignment w:val="auto"/>
        <w:outlineLvl w:val="9"/>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2026年1月，</w:t>
      </w:r>
      <w:r>
        <w:rPr>
          <w:rFonts w:hint="eastAsia" w:ascii="宋体" w:hAnsi="宋体" w:eastAsia="宋体" w:cs="宋体"/>
          <w:szCs w:val="21"/>
          <w:lang w:val="en-US" w:eastAsia="zh-CN"/>
        </w:rPr>
        <w:t>宁夏中色新材料有限公司</w:t>
      </w:r>
      <w:r>
        <w:rPr>
          <w:rFonts w:hint="eastAsia" w:ascii="Times New Roman" w:hAnsi="Times New Roman" w:eastAsia="宋体" w:cs="Times New Roman"/>
          <w:color w:val="auto"/>
          <w:kern w:val="0"/>
          <w:szCs w:val="21"/>
          <w:lang w:val="en-US" w:eastAsia="zh-CN"/>
        </w:rPr>
        <w:t xml:space="preserve">组建了《铍青铜圆形棒材》编制小组，确定了各成员的工作职能和任务，制定了工作计划和进度安排。 </w:t>
      </w:r>
    </w:p>
    <w:p w14:paraId="3ADE9A44">
      <w:pPr>
        <w:widowControl w:val="0"/>
        <w:wordWrap/>
        <w:adjustRightInd/>
        <w:snapToGrid/>
        <w:spacing w:before="0" w:beforeLines="0" w:after="0" w:afterLines="0" w:line="360" w:lineRule="auto"/>
        <w:ind w:left="0" w:leftChars="0" w:right="0" w:firstLine="420" w:firstLineChars="200"/>
        <w:jc w:val="both"/>
        <w:textAlignment w:val="auto"/>
        <w:outlineLvl w:val="9"/>
        <w:rPr>
          <w:rFonts w:hint="eastAsia" w:asciiTheme="minorEastAsia" w:hAnsiTheme="minorEastAsia"/>
          <w:bCs/>
          <w:color w:val="auto"/>
          <w:sz w:val="21"/>
          <w:szCs w:val="21"/>
          <w:lang w:eastAsia="zh-CN"/>
        </w:rPr>
      </w:pPr>
      <w:r>
        <w:rPr>
          <w:rFonts w:hint="eastAsia" w:ascii="Times New Roman" w:hAnsi="Times New Roman" w:eastAsia="宋体" w:cs="Times New Roman"/>
          <w:color w:val="auto"/>
          <w:kern w:val="0"/>
          <w:szCs w:val="21"/>
          <w:lang w:val="en-US" w:eastAsia="zh-CN"/>
        </w:rPr>
        <w:t>2026年1月至2026年2月，编制组汇总了铍青铜圆形棒材产品相关资料，经与参与单位充分沟通，召开了标准起草工作会议。会议讨论了铍青铜圆形棒材的技术要求、试验方法、检验规则及标志、包装、运输、贮存等内容，形成了《铍青铜圆形棒材》标准文本及编制说明讨论稿。</w:t>
      </w:r>
    </w:p>
    <w:p w14:paraId="46E27972">
      <w:pPr>
        <w:pStyle w:val="5"/>
        <w:spacing w:line="360" w:lineRule="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1.4.4征求意见阶段</w:t>
      </w:r>
    </w:p>
    <w:p w14:paraId="71A4E2C9">
      <w:pPr>
        <w:widowControl w:val="0"/>
        <w:wordWrap/>
        <w:adjustRightInd/>
        <w:snapToGrid/>
        <w:spacing w:before="0" w:beforeLines="0" w:after="0" w:afterLines="0" w:line="360" w:lineRule="auto"/>
        <w:ind w:left="0" w:leftChars="0" w:right="0" w:firstLine="420" w:firstLineChars="200"/>
        <w:jc w:val="both"/>
        <w:textAlignment w:val="auto"/>
        <w:outlineLvl w:val="9"/>
        <w:rPr>
          <w:rFonts w:hint="eastAsia" w:asciiTheme="minorEastAsia" w:hAnsiTheme="minorEastAsia" w:eastAsiaTheme="minorEastAsia" w:cstheme="minorEastAsia"/>
          <w:color w:val="auto"/>
          <w:kern w:val="0"/>
          <w:szCs w:val="21"/>
          <w:lang w:val="en-US" w:eastAsia="zh-CN"/>
        </w:rPr>
      </w:pPr>
      <w:r>
        <w:rPr>
          <w:rFonts w:hint="eastAsia" w:asciiTheme="minorEastAsia" w:hAnsiTheme="minorEastAsia" w:eastAsiaTheme="minorEastAsia" w:cstheme="minorEastAsia"/>
          <w:color w:val="auto"/>
          <w:kern w:val="0"/>
          <w:szCs w:val="21"/>
          <w:lang w:val="en-US" w:eastAsia="zh-CN"/>
        </w:rPr>
        <w:t>编制组通过发函，全国有色金属标准化技术委员会将《铍青铜圆形棒材》征求意见资料在中国有色金属标准质量信息网（www.cnsmq.com）上挂网，向社会公开征求意见。征求意见的单位包括主要生产、经销、使用、科研、第三方检验机构等单位及大专院校，征求意见单位广泛且具有代表性。</w:t>
      </w:r>
    </w:p>
    <w:p w14:paraId="51D983E4">
      <w:pPr>
        <w:widowControl w:val="0"/>
        <w:wordWrap/>
        <w:adjustRightInd/>
        <w:snapToGrid/>
        <w:spacing w:before="0" w:beforeLines="0" w:after="0" w:afterLines="0" w:line="360" w:lineRule="auto"/>
        <w:ind w:left="0" w:leftChars="0" w:right="0" w:firstLine="420" w:firstLineChars="200"/>
        <w:jc w:val="both"/>
        <w:textAlignment w:val="auto"/>
        <w:outlineLvl w:val="9"/>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2026年3月初编制组对收集到的意见进行整理，共发送《征求意见稿》的单位数10个，收到《征求意见稿》后，回函的单位数 10个，其中有建议或意见的单位数6个，详见标准征求意见稿意见汇总处理表。</w:t>
      </w:r>
    </w:p>
    <w:p w14:paraId="5E5AC5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黑体" w:hAnsi="黑体" w:eastAsia="黑体" w:cs="黑体"/>
          <w:color w:val="FF0000"/>
          <w:kern w:val="0"/>
          <w:sz w:val="21"/>
          <w:szCs w:val="21"/>
          <w:lang w:val="en-US" w:eastAsia="zh-CN" w:bidi="ar-SA"/>
        </w:rPr>
      </w:pPr>
      <w:r>
        <w:rPr>
          <w:rFonts w:hint="eastAsia" w:asciiTheme="minorEastAsia" w:hAnsiTheme="minorEastAsia" w:eastAsiaTheme="minorEastAsia" w:cstheme="minorEastAsia"/>
          <w:color w:val="auto"/>
          <w:kern w:val="0"/>
          <w:szCs w:val="21"/>
          <w:highlight w:val="none"/>
          <w:lang w:val="en-US" w:eastAsia="zh-CN"/>
        </w:rPr>
        <w:t>2026年3月17日-20日由全国有色金属标准化技术委员会主持，在浙江省绍兴市召开标准讨论会，安徽楚江高精铜带有限公司</w:t>
      </w:r>
      <w:r>
        <w:rPr>
          <w:rFonts w:hint="eastAsia" w:asciiTheme="minorEastAsia" w:hAnsiTheme="minorEastAsia" w:cstheme="minorEastAsia"/>
          <w:color w:val="auto"/>
          <w:kern w:val="0"/>
          <w:szCs w:val="21"/>
          <w:highlight w:val="none"/>
          <w:lang w:val="en-US" w:eastAsia="zh-CN"/>
        </w:rPr>
        <w:t>、宁波金田铜业(集团)股份有限公司、</w:t>
      </w:r>
      <w:r>
        <w:rPr>
          <w:rFonts w:hint="eastAsia" w:ascii="宋体" w:hAnsi="宋体" w:eastAsia="宋体" w:cs="Times New Roman"/>
          <w:color w:val="auto"/>
          <w:kern w:val="0"/>
          <w:sz w:val="21"/>
          <w:szCs w:val="22"/>
          <w:lang w:val="en-US" w:eastAsia="zh-CN" w:bidi="ar-SA"/>
        </w:rPr>
        <w:t>江西铜业股份有限公司</w:t>
      </w:r>
      <w:r>
        <w:rPr>
          <w:rFonts w:hint="eastAsia" w:asciiTheme="minorEastAsia" w:hAnsiTheme="minorEastAsia" w:cstheme="minorEastAsia"/>
          <w:color w:val="auto"/>
          <w:kern w:val="0"/>
          <w:szCs w:val="21"/>
          <w:highlight w:val="none"/>
          <w:lang w:val="en-US" w:eastAsia="zh-CN"/>
        </w:rPr>
        <w:t>等80</w:t>
      </w:r>
      <w:r>
        <w:rPr>
          <w:rFonts w:hint="eastAsia" w:ascii="宋体" w:hAnsi="宋体" w:cs="宋体"/>
          <w:color w:val="auto"/>
          <w:sz w:val="21"/>
          <w:szCs w:val="21"/>
          <w:lang w:val="en-US" w:eastAsia="zh-CN"/>
        </w:rPr>
        <w:t>多</w:t>
      </w:r>
      <w:bookmarkStart w:id="6" w:name="_GoBack"/>
      <w:bookmarkEnd w:id="6"/>
      <w:r>
        <w:rPr>
          <w:rFonts w:hint="eastAsia" w:ascii="宋体" w:hAnsi="宋体" w:cs="宋体"/>
          <w:color w:val="auto"/>
          <w:sz w:val="21"/>
          <w:szCs w:val="21"/>
          <w:lang w:val="en-US" w:eastAsia="zh-CN"/>
        </w:rPr>
        <w:t>位</w:t>
      </w:r>
      <w:r>
        <w:rPr>
          <w:rFonts w:hint="eastAsia" w:ascii="宋体" w:hAnsi="宋体" w:eastAsia="宋体" w:cs="宋体"/>
          <w:color w:val="auto"/>
          <w:sz w:val="21"/>
          <w:szCs w:val="21"/>
          <w:lang w:val="en-US" w:eastAsia="zh-CN"/>
        </w:rPr>
        <w:t>与会专家对</w:t>
      </w:r>
      <w:r>
        <w:rPr>
          <w:rFonts w:hint="eastAsia" w:ascii="宋体" w:hAnsi="宋体" w:cs="宋体"/>
          <w:color w:val="auto"/>
          <w:sz w:val="21"/>
          <w:szCs w:val="21"/>
          <w:lang w:val="en-US" w:eastAsia="zh-CN"/>
        </w:rPr>
        <w:t>《铍青铜圆形棒材》标准文本</w:t>
      </w:r>
      <w:r>
        <w:rPr>
          <w:rFonts w:hint="eastAsia" w:ascii="宋体" w:hAnsi="宋体" w:eastAsia="宋体" w:cs="宋体"/>
          <w:color w:val="auto"/>
          <w:sz w:val="21"/>
          <w:szCs w:val="21"/>
          <w:lang w:val="en-US" w:eastAsia="zh-CN"/>
        </w:rPr>
        <w:t>及</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编制说明</w:t>
      </w:r>
      <w:r>
        <w:rPr>
          <w:rFonts w:hint="eastAsia" w:ascii="宋体" w:hAnsi="宋体" w:cs="宋体"/>
          <w:color w:val="auto"/>
          <w:sz w:val="21"/>
          <w:szCs w:val="21"/>
          <w:lang w:val="en-US" w:eastAsia="zh-CN"/>
        </w:rPr>
        <w:t>》讨论稿</w:t>
      </w:r>
      <w:r>
        <w:rPr>
          <w:rFonts w:hint="eastAsia" w:ascii="宋体" w:hAnsi="宋体" w:eastAsia="宋体" w:cs="宋体"/>
          <w:color w:val="auto"/>
          <w:sz w:val="21"/>
          <w:szCs w:val="21"/>
          <w:lang w:val="en-US" w:eastAsia="zh-CN"/>
        </w:rPr>
        <w:t>充分讨论，</w:t>
      </w:r>
      <w:r>
        <w:rPr>
          <w:rFonts w:hint="eastAsia" w:ascii="宋体" w:hAnsi="宋体" w:cs="宋体"/>
          <w:szCs w:val="21"/>
        </w:rPr>
        <w:t>提出了修改意见及建议。</w:t>
      </w:r>
      <w:r>
        <w:rPr>
          <w:rFonts w:hint="eastAsia" w:ascii="宋体" w:hAnsi="宋体" w:eastAsia="宋体" w:cs="宋体"/>
          <w:color w:val="auto"/>
          <w:sz w:val="21"/>
          <w:szCs w:val="21"/>
          <w:lang w:val="en-US" w:eastAsia="zh-CN"/>
        </w:rPr>
        <w:t>会后</w:t>
      </w:r>
      <w:r>
        <w:rPr>
          <w:rFonts w:hint="eastAsia" w:ascii="宋体" w:hAnsi="宋体" w:cs="宋体"/>
          <w:color w:val="auto"/>
          <w:sz w:val="21"/>
          <w:szCs w:val="21"/>
          <w:lang w:val="en-US" w:eastAsia="zh-CN"/>
        </w:rPr>
        <w:t>，编制组针对会议提出的各项建议进行了讨论研究，提出具体的修改意见和采纳情况，</w:t>
      </w:r>
      <w:r>
        <w:rPr>
          <w:rFonts w:hint="eastAsia" w:ascii="宋体" w:hAnsi="宋体" w:eastAsia="宋体" w:cs="宋体"/>
          <w:color w:val="auto"/>
          <w:kern w:val="2"/>
          <w:sz w:val="21"/>
          <w:szCs w:val="21"/>
          <w:lang w:val="en-US" w:eastAsia="zh-CN" w:bidi="ar-SA"/>
        </w:rPr>
        <w:t>编制形成了《</w:t>
      </w:r>
      <w:r>
        <w:rPr>
          <w:rFonts w:hint="eastAsia" w:ascii="宋体" w:hAnsi="宋体" w:cs="宋体"/>
          <w:color w:val="auto"/>
          <w:kern w:val="2"/>
          <w:sz w:val="21"/>
          <w:szCs w:val="21"/>
          <w:lang w:val="en-US" w:eastAsia="zh-CN" w:bidi="ar-SA"/>
        </w:rPr>
        <w:t>标准征求意见稿意见汇总处理表</w:t>
      </w: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并对《</w:t>
      </w:r>
      <w:r>
        <w:rPr>
          <w:rFonts w:hint="eastAsia" w:ascii="宋体" w:hAnsi="宋体" w:cs="宋体"/>
          <w:color w:val="auto"/>
          <w:sz w:val="21"/>
          <w:szCs w:val="21"/>
          <w:lang w:val="en-US" w:eastAsia="zh-CN"/>
        </w:rPr>
        <w:t>铍青铜圆形棒材</w:t>
      </w:r>
      <w:r>
        <w:rPr>
          <w:rFonts w:hint="eastAsia" w:ascii="宋体" w:hAnsi="宋体" w:eastAsia="宋体" w:cs="宋体"/>
          <w:color w:val="auto"/>
          <w:kern w:val="2"/>
          <w:sz w:val="21"/>
          <w:szCs w:val="21"/>
          <w:lang w:val="en-US" w:eastAsia="zh-CN" w:bidi="ar-SA"/>
        </w:rPr>
        <w:t>》标准文本及《编制说明》讨论稿修改完善后，于2026年</w:t>
      </w:r>
      <w:r>
        <w:rPr>
          <w:rFonts w:hint="eastAsia" w:ascii="宋体" w:hAnsi="宋体" w:cs="宋体"/>
          <w:color w:val="auto"/>
          <w:kern w:val="2"/>
          <w:sz w:val="21"/>
          <w:szCs w:val="21"/>
          <w:lang w:val="en-US" w:eastAsia="zh-CN" w:bidi="ar-SA"/>
        </w:rPr>
        <w:t>6</w:t>
      </w:r>
      <w:r>
        <w:rPr>
          <w:rFonts w:hint="eastAsia" w:ascii="宋体" w:hAnsi="宋体" w:eastAsia="宋体" w:cs="宋体"/>
          <w:color w:val="auto"/>
          <w:kern w:val="2"/>
          <w:sz w:val="21"/>
          <w:szCs w:val="21"/>
          <w:lang w:val="en-US" w:eastAsia="zh-CN" w:bidi="ar-SA"/>
        </w:rPr>
        <w:t>月</w:t>
      </w:r>
      <w:r>
        <w:rPr>
          <w:rFonts w:hint="eastAsia" w:ascii="宋体" w:hAnsi="宋体" w:cs="宋体"/>
          <w:color w:val="auto"/>
          <w:kern w:val="2"/>
          <w:sz w:val="21"/>
          <w:szCs w:val="21"/>
          <w:lang w:val="en-US" w:eastAsia="zh-CN" w:bidi="ar-SA"/>
        </w:rPr>
        <w:t>初</w:t>
      </w:r>
      <w:r>
        <w:rPr>
          <w:rFonts w:hint="eastAsia" w:ascii="宋体" w:hAnsi="宋体" w:eastAsia="宋体" w:cs="宋体"/>
          <w:color w:val="auto"/>
          <w:kern w:val="2"/>
          <w:sz w:val="21"/>
          <w:szCs w:val="21"/>
          <w:lang w:val="en-US" w:eastAsia="zh-CN" w:bidi="ar-SA"/>
        </w:rPr>
        <w:t>完成了</w:t>
      </w:r>
      <w:r>
        <w:rPr>
          <w:rFonts w:hint="eastAsia" w:ascii="宋体" w:hAnsi="宋体" w:cs="宋体"/>
          <w:color w:val="auto"/>
          <w:kern w:val="2"/>
          <w:sz w:val="21"/>
          <w:szCs w:val="21"/>
          <w:lang w:val="en-US" w:eastAsia="zh-CN" w:bidi="ar-SA"/>
        </w:rPr>
        <w:t>《铍青铜圆形棒材》标准文本和《编制说明》预审稿</w:t>
      </w:r>
      <w:r>
        <w:rPr>
          <w:rFonts w:hint="eastAsia" w:ascii="宋体" w:hAnsi="宋体" w:eastAsia="宋体" w:cs="宋体"/>
          <w:color w:val="auto"/>
          <w:kern w:val="2"/>
          <w:sz w:val="21"/>
          <w:szCs w:val="21"/>
          <w:lang w:val="en-US" w:eastAsia="zh-CN" w:bidi="ar-SA"/>
        </w:rPr>
        <w:t>。</w:t>
      </w:r>
    </w:p>
    <w:p w14:paraId="3C1653EB">
      <w:pPr>
        <w:pStyle w:val="1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主要内容及其确定依据、修订前后技术内容的对比（修订时有）</w:t>
      </w:r>
    </w:p>
    <w:p w14:paraId="7AFE9C23">
      <w:pPr>
        <w:pStyle w:val="1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黑体" w:eastAsia="黑体" w:cs="Arial"/>
          <w:color w:val="auto"/>
          <w:sz w:val="21"/>
          <w:szCs w:val="21"/>
          <w:lang w:val="en-US" w:eastAsia="zh-CN"/>
        </w:rPr>
      </w:pPr>
      <w:bookmarkStart w:id="1" w:name="OLE_LINK7"/>
      <w:r>
        <w:rPr>
          <w:rFonts w:hint="eastAsia" w:ascii="黑体" w:eastAsia="黑体" w:cs="Arial"/>
          <w:color w:val="auto"/>
          <w:sz w:val="21"/>
          <w:szCs w:val="21"/>
          <w:lang w:val="en-US" w:eastAsia="zh-CN"/>
        </w:rPr>
        <w:t>（一）编制原则</w:t>
      </w:r>
    </w:p>
    <w:p w14:paraId="1F7595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1、</w:t>
      </w:r>
      <w:r>
        <w:rPr>
          <w:rFonts w:hint="eastAsia" w:asciiTheme="minorEastAsia" w:hAnsiTheme="minorEastAsia" w:eastAsiaTheme="minorEastAsia" w:cstheme="minorEastAsia"/>
          <w:lang w:val="en-US" w:eastAsia="zh-CN"/>
        </w:rPr>
        <w:t>本文件按照 GB/T1</w:t>
      </w:r>
      <w:r>
        <w:rPr>
          <w:rFonts w:hint="eastAsia" w:asciiTheme="minorEastAsia" w:hAnsiTheme="minorEastAsia" w:cstheme="minorEastAsia"/>
          <w:lang w:val="en-US" w:eastAsia="zh-CN"/>
        </w:rPr>
        <w:t>.</w:t>
      </w:r>
      <w:r>
        <w:rPr>
          <w:rFonts w:hint="eastAsia" w:asciiTheme="minorEastAsia" w:hAnsiTheme="minorEastAsia" w:eastAsiaTheme="minorEastAsia" w:cstheme="minorEastAsia"/>
          <w:lang w:val="en-US" w:eastAsia="zh-CN"/>
        </w:rPr>
        <w:t>1-2020《标准化工作导则 第1部分:标准化文件的结构和起草规则》的规定起草。</w:t>
      </w:r>
    </w:p>
    <w:p w14:paraId="19B2CB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2、标准研究的预期目标及主要技术路线</w:t>
      </w:r>
    </w:p>
    <w:p w14:paraId="50FB98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预期目标: 成功修订并发布《铍青铜圆形棒材》有色标准1项代替</w:t>
      </w:r>
      <w:r>
        <w:rPr>
          <w:rFonts w:hint="eastAsia" w:ascii="宋体" w:hAnsi="宋体" w:eastAsia="宋体" w:cs="宋体"/>
          <w:lang w:val="en-US" w:eastAsia="zh-CN"/>
        </w:rPr>
        <w:t>YS/T334-2009</w:t>
      </w:r>
      <w:r>
        <w:rPr>
          <w:rFonts w:hint="eastAsia"/>
          <w:lang w:val="en-US" w:eastAsia="zh-CN"/>
        </w:rPr>
        <w:t>,构建覆盖多场景需求、分类科学、指标精准的铍青铜圆形棒材标准体系。为行业高端化发展提供标准化支撑，推动行业从“规模扩张”向“价值竞争”转型。 </w:t>
      </w:r>
    </w:p>
    <w:p w14:paraId="4042F7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主要技术路线：广泛调研，了解铍青铜圆形棒材行业的现状并征求意见，以此为基础，同时遵循“先进性"原则。修订各项技术要求指标和内容。本项目遵循协“协同调研一体系构建一试验验证一编制论证一报批推广”的技术路线，具体步骤如下：</w:t>
      </w:r>
    </w:p>
    <w:p w14:paraId="4EA7BA9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前期准备与协同启动阶段：组建由牵头单位、编制组成员单位、标委会组成的 项团队。明确分工; 收集国内外相关标准、专利及行业资料。梳理编制说明确定的修订核心方向，完成项目启动与资源整合。</w:t>
      </w:r>
    </w:p>
    <w:p w14:paraId="5658D4E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全链条调研与需求梳理阶段:牵头单位联合编制组成员开展上下游调研。收集不 同应用场景需求与行业痛点；梳理现行标准不足。明确指标升级、配套文件等修订重点，形成调研分析报告与修订大纲。</w:t>
      </w:r>
    </w:p>
    <w:p w14:paraId="69CFABB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分类体系与指标优化附阶段：根据调研结果。初步构建产品牌号体系。明确各牌 的核心定位：研究力学性能、晶粒度等核心指标的优化方向。梳理规范性引用文件；开展多单位联合试验，验证指标可行性与适配性，形成核心技术参数库。</w:t>
      </w:r>
    </w:p>
    <w:p w14:paraId="5A07AD4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检验与配套体系完善阶段：研究取样规则与检测方法的优化方案。明确检验项自 取样方式及判定逻辑。</w:t>
      </w:r>
    </w:p>
    <w:p w14:paraId="7C20AD7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标准编制与多轮论证阶段：编制标准草案，经编制组成员内部审核后形成征求 见稿标委会组织开展行业征求意见与专家论证。处理反馈意见形成送审稿; 按流程完成送 审与报批，形成标准报批稿。</w:t>
      </w:r>
    </w:p>
    <w:p w14:paraId="73E6644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lang w:val="en-US" w:eastAsia="zh-CN"/>
        </w:rPr>
      </w:pPr>
      <w:r>
        <w:rPr>
          <w:rFonts w:hint="eastAsia"/>
          <w:lang w:val="en-US" w:eastAsia="zh-CN"/>
        </w:rPr>
        <w:t>标准报批与推广落地阶段：由标委会对接标准化管理部门完成标准审批与发布 联合编制组成员单位开展标准宣贯培训，指导行业企业应用；跟踪标准实施效果，收集反馈意见用于后续迭代。</w:t>
      </w:r>
    </w:p>
    <w:bookmarkEnd w:id="1"/>
    <w:p w14:paraId="4BAECB46">
      <w:pPr>
        <w:pStyle w:val="10"/>
        <w:keepNext w:val="0"/>
        <w:keepLines w:val="0"/>
        <w:pageBreakBefore w:val="0"/>
        <w:numPr>
          <w:ilvl w:val="0"/>
          <w:numId w:val="3"/>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highlight w:val="green"/>
          <w:lang w:val="en-US" w:eastAsia="zh-CN"/>
        </w:rPr>
      </w:pPr>
      <w:r>
        <w:rPr>
          <w:rFonts w:hint="eastAsia" w:ascii="黑体" w:eastAsia="黑体" w:cs="Arial"/>
          <w:color w:val="auto"/>
          <w:sz w:val="21"/>
          <w:szCs w:val="21"/>
          <w:highlight w:val="green"/>
        </w:rPr>
        <w:t>标准主要技术内容</w:t>
      </w:r>
      <w:r>
        <w:rPr>
          <w:rFonts w:hint="eastAsia" w:ascii="黑体" w:eastAsia="黑体" w:cs="Arial"/>
          <w:color w:val="auto"/>
          <w:sz w:val="21"/>
          <w:szCs w:val="21"/>
          <w:highlight w:val="green"/>
          <w:lang w:val="en-US" w:eastAsia="zh-CN"/>
        </w:rPr>
        <w:t>的确定依据</w:t>
      </w:r>
    </w:p>
    <w:p w14:paraId="0A14A29B">
      <w:pPr>
        <w:pStyle w:val="10"/>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ind w:firstLine="420" w:firstLineChars="200"/>
        <w:jc w:val="both"/>
        <w:textAlignment w:val="auto"/>
        <w:rPr>
          <w:rFonts w:hint="default"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本标准主要技术修订内容见表2。</w:t>
      </w:r>
    </w:p>
    <w:p w14:paraId="378BF530">
      <w:pPr>
        <w:bidi w:val="0"/>
        <w:spacing w:line="360" w:lineRule="auto"/>
        <w:jc w:val="center"/>
        <w:rPr>
          <w:rFonts w:hint="eastAsia" w:ascii="黑体" w:hAnsi="黑体" w:eastAsia="黑体" w:cs="黑体"/>
          <w:b w:val="0"/>
          <w:bCs w:val="0"/>
          <w:lang w:val="en-US" w:eastAsia="zh-CN"/>
        </w:rPr>
      </w:pPr>
      <w:r>
        <w:rPr>
          <w:rFonts w:hint="eastAsia" w:ascii="黑体" w:hAnsi="黑体" w:eastAsia="黑体" w:cs="黑体"/>
          <w:b w:val="0"/>
          <w:bCs w:val="0"/>
          <w:lang w:eastAsia="zh-CN"/>
        </w:rPr>
        <w:t>表</w:t>
      </w:r>
      <w:r>
        <w:rPr>
          <w:rFonts w:hint="eastAsia" w:ascii="黑体" w:hAnsi="黑体" w:eastAsia="黑体" w:cs="黑体"/>
          <w:b w:val="0"/>
          <w:bCs w:val="0"/>
          <w:lang w:val="en-US" w:eastAsia="zh-CN"/>
        </w:rPr>
        <w:t>2 《铍青铜圆形棒材》主要技术修订内容</w:t>
      </w:r>
    </w:p>
    <w:tbl>
      <w:tblPr>
        <w:tblStyle w:val="11"/>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05"/>
        <w:gridCol w:w="1717"/>
        <w:gridCol w:w="6037"/>
      </w:tblGrid>
      <w:tr w14:paraId="0FA15F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70" w:type="pct"/>
            <w:tcBorders>
              <w:tl2br w:val="nil"/>
              <w:tr2bl w:val="nil"/>
            </w:tcBorders>
            <w:noWrap w:val="0"/>
            <w:vAlign w:val="center"/>
          </w:tcPr>
          <w:p w14:paraId="5ADEF6EF">
            <w:pPr>
              <w:bidi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序号</w:t>
            </w:r>
          </w:p>
        </w:tc>
        <w:tc>
          <w:tcPr>
            <w:tcW w:w="1003" w:type="pct"/>
            <w:tcBorders>
              <w:tl2br w:val="nil"/>
              <w:tr2bl w:val="nil"/>
            </w:tcBorders>
            <w:noWrap w:val="0"/>
            <w:vAlign w:val="center"/>
          </w:tcPr>
          <w:p w14:paraId="22058E80">
            <w:pPr>
              <w:bidi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标准章条编号</w:t>
            </w:r>
          </w:p>
        </w:tc>
        <w:tc>
          <w:tcPr>
            <w:tcW w:w="3526" w:type="pct"/>
            <w:tcBorders>
              <w:tl2br w:val="nil"/>
              <w:tr2bl w:val="nil"/>
            </w:tcBorders>
            <w:noWrap w:val="0"/>
            <w:vAlign w:val="center"/>
          </w:tcPr>
          <w:p w14:paraId="0A9F1429">
            <w:pPr>
              <w:bidi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意见内容</w:t>
            </w:r>
          </w:p>
        </w:tc>
      </w:tr>
      <w:tr w14:paraId="7B301E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70" w:type="pct"/>
            <w:tcBorders>
              <w:tl2br w:val="nil"/>
              <w:tr2bl w:val="nil"/>
            </w:tcBorders>
            <w:noWrap w:val="0"/>
            <w:vAlign w:val="center"/>
          </w:tcPr>
          <w:p w14:paraId="0DE8783D">
            <w:pPr>
              <w:bidi w:val="0"/>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w:t>
            </w:r>
          </w:p>
        </w:tc>
        <w:tc>
          <w:tcPr>
            <w:tcW w:w="1003" w:type="pct"/>
            <w:vMerge w:val="restart"/>
            <w:tcBorders>
              <w:tl2br w:val="nil"/>
              <w:tr2bl w:val="nil"/>
            </w:tcBorders>
            <w:noWrap w:val="0"/>
            <w:vAlign w:val="center"/>
          </w:tcPr>
          <w:p w14:paraId="24B50EAE">
            <w:pPr>
              <w:bidi w:val="0"/>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5技术要求</w:t>
            </w:r>
          </w:p>
        </w:tc>
        <w:tc>
          <w:tcPr>
            <w:tcW w:w="3526" w:type="pct"/>
            <w:tcBorders>
              <w:tl2br w:val="nil"/>
              <w:tr2bl w:val="nil"/>
            </w:tcBorders>
            <w:noWrap w:val="0"/>
            <w:vAlign w:val="center"/>
          </w:tcPr>
          <w:p w14:paraId="7BA8D415">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5.2外形尺寸及允许偏差</w:t>
            </w:r>
          </w:p>
          <w:p w14:paraId="7C19E61D">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增加了切斜度要求</w:t>
            </w:r>
          </w:p>
        </w:tc>
      </w:tr>
      <w:tr w14:paraId="72393E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70" w:type="pct"/>
            <w:tcBorders>
              <w:tl2br w:val="nil"/>
              <w:tr2bl w:val="nil"/>
            </w:tcBorders>
            <w:noWrap w:val="0"/>
            <w:vAlign w:val="center"/>
          </w:tcPr>
          <w:p w14:paraId="2EACBF6E">
            <w:pPr>
              <w:bidi w:val="0"/>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2</w:t>
            </w:r>
          </w:p>
        </w:tc>
        <w:tc>
          <w:tcPr>
            <w:tcW w:w="1003" w:type="pct"/>
            <w:vMerge w:val="continue"/>
            <w:tcBorders>
              <w:tl2br w:val="nil"/>
              <w:tr2bl w:val="nil"/>
            </w:tcBorders>
            <w:noWrap w:val="0"/>
            <w:vAlign w:val="center"/>
          </w:tcPr>
          <w:p w14:paraId="06691471">
            <w:pPr>
              <w:bidi w:val="0"/>
              <w:rPr>
                <w:rFonts w:hint="eastAsia" w:asciiTheme="majorEastAsia" w:hAnsiTheme="majorEastAsia" w:eastAsiaTheme="majorEastAsia" w:cstheme="majorEastAsia"/>
                <w:sz w:val="18"/>
                <w:szCs w:val="18"/>
                <w:lang w:val="en-US" w:eastAsia="zh-CN"/>
              </w:rPr>
            </w:pPr>
          </w:p>
        </w:tc>
        <w:tc>
          <w:tcPr>
            <w:tcW w:w="3526" w:type="pct"/>
            <w:tcBorders>
              <w:tl2br w:val="nil"/>
              <w:tr2bl w:val="nil"/>
            </w:tcBorders>
            <w:noWrap w:val="0"/>
            <w:vAlign w:val="center"/>
          </w:tcPr>
          <w:p w14:paraId="334AA3BF">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5.3力学性能</w:t>
            </w:r>
          </w:p>
          <w:p w14:paraId="245B219D">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更改了产品时效热处理前的室温力学性能中断后伸长率要求。</w:t>
            </w:r>
          </w:p>
          <w:p w14:paraId="25F5AC0A">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更改了产品时效热处理后的力学性能中洛氏硬度（HRC）要求。</w:t>
            </w:r>
          </w:p>
          <w:p w14:paraId="56BAF323">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更改了产品时效热处理后的力学性能中断后伸长率要求。</w:t>
            </w:r>
          </w:p>
        </w:tc>
      </w:tr>
      <w:tr w14:paraId="72810D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70" w:type="pct"/>
            <w:tcBorders>
              <w:tl2br w:val="nil"/>
              <w:tr2bl w:val="nil"/>
            </w:tcBorders>
            <w:noWrap w:val="0"/>
            <w:vAlign w:val="center"/>
          </w:tcPr>
          <w:p w14:paraId="199F6405">
            <w:pPr>
              <w:bidi w:val="0"/>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3</w:t>
            </w:r>
          </w:p>
        </w:tc>
        <w:tc>
          <w:tcPr>
            <w:tcW w:w="1003" w:type="pct"/>
            <w:vMerge w:val="continue"/>
            <w:tcBorders>
              <w:tl2br w:val="nil"/>
              <w:tr2bl w:val="nil"/>
            </w:tcBorders>
            <w:noWrap w:val="0"/>
            <w:vAlign w:val="center"/>
          </w:tcPr>
          <w:p w14:paraId="7A034186">
            <w:pPr>
              <w:bidi w:val="0"/>
              <w:rPr>
                <w:rFonts w:hint="eastAsia" w:asciiTheme="majorEastAsia" w:hAnsiTheme="majorEastAsia" w:eastAsiaTheme="majorEastAsia" w:cstheme="majorEastAsia"/>
                <w:sz w:val="18"/>
                <w:szCs w:val="18"/>
                <w:lang w:val="en-US" w:eastAsia="zh-CN"/>
              </w:rPr>
            </w:pPr>
          </w:p>
        </w:tc>
        <w:tc>
          <w:tcPr>
            <w:tcW w:w="3526" w:type="pct"/>
            <w:tcBorders>
              <w:tl2br w:val="nil"/>
              <w:tr2bl w:val="nil"/>
            </w:tcBorders>
            <w:noWrap w:val="0"/>
            <w:vAlign w:val="center"/>
          </w:tcPr>
          <w:p w14:paraId="4E9AAE33">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5.5平均晶粒尺寸</w:t>
            </w:r>
          </w:p>
          <w:p w14:paraId="5F1CB355">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增加平均晶粒尺寸要求。</w:t>
            </w:r>
          </w:p>
        </w:tc>
      </w:tr>
      <w:tr w14:paraId="472A02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70" w:type="pct"/>
            <w:tcBorders>
              <w:tl2br w:val="nil"/>
              <w:tr2bl w:val="nil"/>
            </w:tcBorders>
            <w:noWrap w:val="0"/>
            <w:vAlign w:val="center"/>
          </w:tcPr>
          <w:p w14:paraId="570A2DD0">
            <w:pPr>
              <w:bidi w:val="0"/>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4</w:t>
            </w:r>
          </w:p>
        </w:tc>
        <w:tc>
          <w:tcPr>
            <w:tcW w:w="1003" w:type="pct"/>
            <w:vMerge w:val="continue"/>
            <w:tcBorders>
              <w:tl2br w:val="nil"/>
              <w:tr2bl w:val="nil"/>
            </w:tcBorders>
            <w:noWrap w:val="0"/>
            <w:vAlign w:val="center"/>
          </w:tcPr>
          <w:p w14:paraId="38A414E4">
            <w:pPr>
              <w:bidi w:val="0"/>
              <w:rPr>
                <w:rFonts w:hint="eastAsia" w:asciiTheme="majorEastAsia" w:hAnsiTheme="majorEastAsia" w:eastAsiaTheme="majorEastAsia" w:cstheme="majorEastAsia"/>
                <w:sz w:val="18"/>
                <w:szCs w:val="18"/>
                <w:lang w:val="en-US" w:eastAsia="zh-CN"/>
              </w:rPr>
            </w:pPr>
          </w:p>
        </w:tc>
        <w:tc>
          <w:tcPr>
            <w:tcW w:w="3526" w:type="pct"/>
            <w:tcBorders>
              <w:tl2br w:val="nil"/>
              <w:tr2bl w:val="nil"/>
            </w:tcBorders>
            <w:noWrap w:val="0"/>
            <w:vAlign w:val="center"/>
          </w:tcPr>
          <w:p w14:paraId="7D96017C">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5.6内部质量</w:t>
            </w:r>
          </w:p>
          <w:p w14:paraId="6EAEF28B">
            <w:pPr>
              <w:bidi w:val="0"/>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修改了断口要求。</w:t>
            </w:r>
          </w:p>
        </w:tc>
      </w:tr>
    </w:tbl>
    <w:p w14:paraId="6B2C0EC9">
      <w:pPr>
        <w:pStyle w:val="5"/>
        <w:numPr>
          <w:ilvl w:val="0"/>
          <w:numId w:val="0"/>
        </w:numPr>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修订依据</w:t>
      </w:r>
    </w:p>
    <w:p w14:paraId="5385DD40">
      <w:pPr>
        <w:pStyle w:val="5"/>
        <w:numPr>
          <w:ilvl w:val="0"/>
          <w:numId w:val="0"/>
        </w:numPr>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1、外形尺寸及允许偏差（增加切斜度要求）</w:t>
      </w:r>
    </w:p>
    <w:p w14:paraId="74BE8E6D">
      <w:pPr>
        <w:pStyle w:val="5"/>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根据铍铜棒材高精度装配使用需求，以及行业精密加工尺寸管控标准升级，为严控棒材端面加工精度、提升产品装配适配性，新增切斜度管控要求，规范棒材端面尺寸偏差范围，满足高端应用场景的尺寸精度标准。</w:t>
      </w:r>
    </w:p>
    <w:p w14:paraId="096230C2">
      <w:pPr>
        <w:pStyle w:val="5"/>
        <w:numPr>
          <w:ilvl w:val="0"/>
          <w:numId w:val="0"/>
        </w:numPr>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2.力学性能（更改伸长率与硬度要求）</w:t>
      </w:r>
    </w:p>
    <w:p w14:paraId="629797FC">
      <w:pPr>
        <w:pStyle w:val="5"/>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随着铍青铜棒材行业持续发展，市场与客户对产品综合力学性能提出愈发严苛的指标要求，尤其对时效处理后的硬度（HRC）及延伸率两项关键性能标准大幅提升，以此匹配产品所需的超高强度、优良抗疲劳性能与高耐磨特性；行业通过优化铍青铜合金成分配方设计，同步调整、完善棒材全流程生产工艺与时效热处理关键工艺参数，依托铍青铜棒材整体制造工艺技术迭代升级，有效同步提升材料时效硬度与延伸率，全面改善产品综合力学性能。</w:t>
      </w:r>
    </w:p>
    <w:p w14:paraId="3173B155">
      <w:pPr>
        <w:pStyle w:val="5"/>
        <w:numPr>
          <w:ilvl w:val="0"/>
          <w:numId w:val="0"/>
        </w:numPr>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3.平均晶粒尺寸（增加要求）</w:t>
      </w:r>
    </w:p>
    <w:p w14:paraId="78B1931C">
      <w:pPr>
        <w:pStyle w:val="5"/>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为进一步完善铍青铜棒材产品在航空航天、国防军工等重要领域的应用数据以及客户的要求；为进一步提升铍铜棒材力学性能稳定性与组织均匀性，改善产品硬度、韧性及加工性能，依托合金成分优化与生产工艺升级，细化产品内部金相组织管控标准，新增平均晶粒尺寸技术要求，保障棒材批量产品性能一致性与可靠性。</w:t>
      </w:r>
    </w:p>
    <w:p w14:paraId="17B44C74">
      <w:pPr>
        <w:pStyle w:val="5"/>
        <w:numPr>
          <w:ilvl w:val="0"/>
          <w:numId w:val="0"/>
        </w:numPr>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4.内部质量（修改断口要求）</w:t>
      </w:r>
    </w:p>
    <w:p w14:paraId="71823157">
      <w:pPr>
        <w:pStyle w:val="5"/>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0000FF"/>
          <w:kern w:val="2"/>
          <w:sz w:val="21"/>
          <w:szCs w:val="22"/>
          <w:lang w:val="en-US" w:eastAsia="zh-CN" w:bidi="ar-SA"/>
        </w:rPr>
      </w:pPr>
      <w:r>
        <w:rPr>
          <w:rFonts w:hint="eastAsia" w:asciiTheme="minorEastAsia" w:hAnsiTheme="minorEastAsia" w:eastAsiaTheme="minorEastAsia" w:cstheme="minorEastAsia"/>
          <w:color w:val="0000FF"/>
          <w:kern w:val="2"/>
          <w:sz w:val="21"/>
          <w:szCs w:val="22"/>
          <w:lang w:val="en-US" w:eastAsia="zh-CN" w:bidi="ar-SA"/>
        </w:rPr>
        <w:t>铍铜棒材在生产过程中常涉及铸造或粉末冶金工艺，从微观和亚宏观层面看，完全杜绝微缩孔或析出性气孔在技术上极为困难，且成本极高。经过大量力学性能测试和疲劳试验证明，当气孔夹杂满足“少量、弥散分布、尺寸小于特定阈值”的条件时，其对棒材的抗拉强度、屈服强度、导电率及抗疲劳性能的影响可以忽略不计。查阅ASTM B196（美标铍铜棒材标准）或GB/T 34505等相关国家标准，对于棒材宏观断口检查，普遍允许存在不超过一定级别的轻微缺陷。修订此标准是为了消除过度严苛的内部要求与行业通用规范之间的鸿沟，避免因过度拒收合格产品而造成资源浪费。原有的“无缺陷”标准在实际断口检查中，极易将极轻微的正常组织波动误判为废品，导致大量本可正常使用的材料被报废，增加了生产能耗和碳排放。</w:t>
      </w:r>
    </w:p>
    <w:p w14:paraId="25E273B8">
      <w:pPr>
        <w:pStyle w:val="5"/>
        <w:numPr>
          <w:ilvl w:val="0"/>
          <w:numId w:val="4"/>
        </w:numPr>
        <w:rPr>
          <w:rFonts w:hint="eastAsia" w:ascii="黑体" w:eastAsia="黑体" w:cs="Arial"/>
          <w:color w:val="auto"/>
          <w:sz w:val="21"/>
          <w:szCs w:val="21"/>
          <w:highlight w:val="green"/>
          <w:lang w:val="en-US" w:eastAsia="zh-CN"/>
        </w:rPr>
      </w:pPr>
      <w:r>
        <w:rPr>
          <w:rFonts w:hint="eastAsia" w:ascii="黑体" w:eastAsia="黑体" w:cs="Arial"/>
          <w:color w:val="auto"/>
          <w:sz w:val="21"/>
          <w:szCs w:val="21"/>
          <w:highlight w:val="green"/>
          <w:lang w:val="en-US" w:eastAsia="zh-CN"/>
        </w:rPr>
        <w:t>修订前后技术内容的对比（修订时有）</w:t>
      </w:r>
    </w:p>
    <w:p w14:paraId="1EA6E34A">
      <w:pPr>
        <w:pStyle w:val="5"/>
        <w:numPr>
          <w:ilvl w:val="0"/>
          <w:numId w:val="0"/>
        </w:numPr>
        <w:ind w:firstLine="420" w:firstLineChars="200"/>
        <w:rPr>
          <w:rFonts w:hint="default"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标准修订前后技术内容对比见表3.</w:t>
      </w:r>
    </w:p>
    <w:p w14:paraId="44291944">
      <w:pPr>
        <w:bidi w:val="0"/>
        <w:jc w:val="center"/>
        <w:rPr>
          <w:rFonts w:hint="eastAsia" w:ascii="黑体" w:hAnsi="黑体" w:eastAsia="黑体" w:cs="黑体"/>
          <w:b w:val="0"/>
          <w:bCs w:val="0"/>
          <w:color w:val="C00000"/>
          <w:kern w:val="2"/>
          <w:sz w:val="21"/>
          <w:szCs w:val="21"/>
          <w:lang w:val="en-US" w:eastAsia="zh-CN" w:bidi="ar-SA"/>
        </w:rPr>
      </w:pPr>
      <w:r>
        <w:rPr>
          <w:rFonts w:hint="eastAsia" w:ascii="黑体" w:hAnsi="黑体" w:eastAsia="黑体" w:cs="黑体"/>
          <w:b w:val="0"/>
          <w:bCs w:val="0"/>
          <w:lang w:eastAsia="zh-CN"/>
        </w:rPr>
        <w:t>表</w:t>
      </w:r>
      <w:r>
        <w:rPr>
          <w:rFonts w:hint="eastAsia" w:ascii="黑体" w:hAnsi="黑体" w:eastAsia="黑体" w:cs="黑体"/>
          <w:b w:val="0"/>
          <w:bCs w:val="0"/>
          <w:lang w:val="en-US" w:eastAsia="zh-CN"/>
        </w:rPr>
        <w:t>3 标准修订前后对比表</w:t>
      </w:r>
    </w:p>
    <w:tbl>
      <w:tblPr>
        <w:tblStyle w:val="11"/>
        <w:tblpPr w:leftFromText="180" w:rightFromText="180" w:vertAnchor="text" w:horzAnchor="page" w:tblpX="1786" w:tblpY="423"/>
        <w:tblOverlap w:val="never"/>
        <w:tblW w:w="4998"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77"/>
        <w:gridCol w:w="2160"/>
        <w:gridCol w:w="2730"/>
        <w:gridCol w:w="2592"/>
      </w:tblGrid>
      <w:tr w14:paraId="7A413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0B253023">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对比项目</w:t>
            </w:r>
          </w:p>
        </w:tc>
        <w:tc>
          <w:tcPr>
            <w:tcW w:w="1261" w:type="pct"/>
            <w:tcBorders>
              <w:tl2br w:val="nil"/>
              <w:tr2bl w:val="nil"/>
            </w:tcBorders>
            <w:noWrap w:val="0"/>
            <w:vAlign w:val="center"/>
          </w:tcPr>
          <w:p w14:paraId="0D41161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YS/T334-2009《铍青铜圆形棒材》（旧版）</w:t>
            </w:r>
          </w:p>
        </w:tc>
        <w:tc>
          <w:tcPr>
            <w:tcW w:w="1594" w:type="pct"/>
            <w:tcBorders>
              <w:tl2br w:val="nil"/>
              <w:tr2bl w:val="nil"/>
            </w:tcBorders>
            <w:noWrap w:val="0"/>
            <w:vAlign w:val="center"/>
          </w:tcPr>
          <w:p w14:paraId="02D32581">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YS/T334-XXXX《铍青铜圆形棒材》（新版）</w:t>
            </w:r>
          </w:p>
        </w:tc>
        <w:tc>
          <w:tcPr>
            <w:tcW w:w="1513" w:type="pct"/>
            <w:tcBorders>
              <w:tl2br w:val="nil"/>
              <w:tr2bl w:val="nil"/>
            </w:tcBorders>
            <w:noWrap w:val="0"/>
            <w:vAlign w:val="center"/>
          </w:tcPr>
          <w:p w14:paraId="62E0459E">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差异说明</w:t>
            </w:r>
          </w:p>
        </w:tc>
      </w:tr>
      <w:tr w14:paraId="528355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3862D2E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警示</w:t>
            </w:r>
          </w:p>
        </w:tc>
        <w:tc>
          <w:tcPr>
            <w:tcW w:w="1261" w:type="pct"/>
            <w:tcBorders>
              <w:tl2br w:val="nil"/>
              <w:tr2bl w:val="nil"/>
            </w:tcBorders>
            <w:noWrap w:val="0"/>
            <w:vAlign w:val="center"/>
          </w:tcPr>
          <w:p w14:paraId="255B8A7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w:t>
            </w:r>
          </w:p>
        </w:tc>
        <w:tc>
          <w:tcPr>
            <w:tcW w:w="1594" w:type="pct"/>
            <w:tcBorders>
              <w:tl2br w:val="nil"/>
              <w:tr2bl w:val="nil"/>
            </w:tcBorders>
            <w:noWrap w:val="0"/>
            <w:vAlign w:val="center"/>
          </w:tcPr>
          <w:p w14:paraId="7C752CC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警示——铍青铜棒材在固态完整且无外界扰动的日常使用状态下通常是安全的，不会对身体造成危害；仅在产生含铍粉尘/烟雾/雾气的加工或不当工况下存在健康风险。本文件并未指出所有可能出现的安全问题。使用本文件的人员应有正规实验室工作的经验。使用者有责任采取适当的安全和健康措施，并保证符合有关国家法规规定的条件</w:t>
            </w:r>
          </w:p>
        </w:tc>
        <w:tc>
          <w:tcPr>
            <w:tcW w:w="1513" w:type="pct"/>
            <w:tcBorders>
              <w:tl2br w:val="nil"/>
              <w:tr2bl w:val="nil"/>
            </w:tcBorders>
            <w:noWrap w:val="0"/>
            <w:vAlign w:val="center"/>
          </w:tcPr>
          <w:p w14:paraId="250F3826">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修订过程中增加安全警示内容，是铍元素固有的高毒性和明确致癌风险所决定的根本要求，是响应法律法规和国家强制性标准规定而实施的合规举措，通过修订，将有力引导全行业正确认识和规范处理铍铜产品的安全风险，为劳动者健康和行业可持续发展提供坚实的标准保障。</w:t>
            </w:r>
          </w:p>
        </w:tc>
      </w:tr>
      <w:tr w14:paraId="65BC8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082EBE5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范围</w:t>
            </w:r>
          </w:p>
        </w:tc>
        <w:tc>
          <w:tcPr>
            <w:tcW w:w="1261" w:type="pct"/>
            <w:tcBorders>
              <w:tl2br w:val="nil"/>
              <w:tr2bl w:val="nil"/>
            </w:tcBorders>
            <w:noWrap w:val="0"/>
            <w:vAlign w:val="center"/>
          </w:tcPr>
          <w:p w14:paraId="1752C6AB">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适用于航空、航天、电子、石油行业等部门使用的铍青铜圆形棒材</w:t>
            </w:r>
          </w:p>
        </w:tc>
        <w:tc>
          <w:tcPr>
            <w:tcW w:w="1594" w:type="pct"/>
            <w:tcBorders>
              <w:tl2br w:val="nil"/>
              <w:tr2bl w:val="nil"/>
            </w:tcBorders>
            <w:noWrap w:val="0"/>
            <w:vAlign w:val="center"/>
          </w:tcPr>
          <w:p w14:paraId="25A9EB99">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适用于航空、航天、电子、石油行业、武器系统、雷达系统等领域使用的铍青铜圆形棒材</w:t>
            </w:r>
          </w:p>
        </w:tc>
        <w:tc>
          <w:tcPr>
            <w:tcW w:w="1513" w:type="pct"/>
            <w:tcBorders>
              <w:tl2br w:val="nil"/>
              <w:tr2bl w:val="nil"/>
            </w:tcBorders>
            <w:noWrap w:val="0"/>
            <w:vAlign w:val="center"/>
          </w:tcPr>
          <w:p w14:paraId="360E092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随着国防和通信技术的发展，武器系统和雷达系统对关键基础材料提出了更高的标准化要求。明确适用范围有助于统一和规范这些领域对高端铍青铜棒材的采购、验收标准，确保关键零部件的性能可靠性和质量稳定性，满足国防现代化和高端装备制造的需求</w:t>
            </w:r>
          </w:p>
        </w:tc>
      </w:tr>
      <w:tr w14:paraId="0F96D3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350F1596">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规范性引用文件</w:t>
            </w:r>
          </w:p>
        </w:tc>
        <w:tc>
          <w:tcPr>
            <w:tcW w:w="1261" w:type="pct"/>
            <w:tcBorders>
              <w:tl2br w:val="nil"/>
              <w:tr2bl w:val="nil"/>
            </w:tcBorders>
            <w:noWrap w:val="0"/>
            <w:vAlign w:val="center"/>
          </w:tcPr>
          <w:p w14:paraId="2BE3C63C">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228</w:t>
            </w:r>
            <w:r>
              <w:rPr>
                <w:rFonts w:hint="eastAsia" w:asciiTheme="minorEastAsia" w:hAnsiTheme="minorEastAsia" w:eastAsiaTheme="minorEastAsia" w:cstheme="minorEastAsia"/>
                <w:sz w:val="18"/>
                <w:szCs w:val="18"/>
                <w:lang w:val="en-US" w:eastAsia="zh-CN"/>
              </w:rPr>
              <w:t xml:space="preserve">.1  </w:t>
            </w:r>
          </w:p>
          <w:p w14:paraId="410A2937">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230.1</w:t>
            </w:r>
            <w:r>
              <w:rPr>
                <w:rFonts w:hint="eastAsia" w:asciiTheme="minorEastAsia" w:hAnsiTheme="minorEastAsia" w:eastAsiaTheme="minorEastAsia" w:cstheme="minorEastAsia"/>
                <w:sz w:val="18"/>
                <w:szCs w:val="18"/>
                <w:lang w:val="en-US" w:eastAsia="zh-CN"/>
              </w:rPr>
              <w:t xml:space="preserve"> </w:t>
            </w:r>
          </w:p>
          <w:p w14:paraId="0F3B030F">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351</w:t>
            </w:r>
            <w:r>
              <w:rPr>
                <w:rFonts w:hint="eastAsia" w:asciiTheme="minorEastAsia" w:hAnsiTheme="minorEastAsia" w:eastAsiaTheme="minorEastAsia" w:cstheme="minorEastAsia"/>
                <w:sz w:val="18"/>
                <w:szCs w:val="18"/>
                <w:lang w:val="en-US" w:eastAsia="zh-CN"/>
              </w:rPr>
              <w:t xml:space="preserve">   </w:t>
            </w:r>
          </w:p>
          <w:p w14:paraId="12880909">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3310</w:t>
            </w:r>
            <w:r>
              <w:rPr>
                <w:rFonts w:hint="eastAsia" w:asciiTheme="minorEastAsia" w:hAnsiTheme="minorEastAsia" w:eastAsiaTheme="minorEastAsia" w:cstheme="minorEastAsia"/>
                <w:sz w:val="18"/>
                <w:szCs w:val="18"/>
                <w:lang w:val="en-US" w:eastAsia="zh-CN"/>
              </w:rPr>
              <w:t xml:space="preserve">   </w:t>
            </w:r>
          </w:p>
          <w:p w14:paraId="51AACE3D">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5231</w:t>
            </w:r>
            <w:r>
              <w:rPr>
                <w:rFonts w:hint="eastAsia" w:asciiTheme="minorEastAsia" w:hAnsiTheme="minorEastAsia" w:eastAsiaTheme="minorEastAsia" w:cstheme="minorEastAsia"/>
                <w:sz w:val="18"/>
                <w:szCs w:val="18"/>
                <w:lang w:val="en-US" w:eastAsia="zh-CN"/>
              </w:rPr>
              <w:t xml:space="preserve">  </w:t>
            </w:r>
          </w:p>
          <w:p w14:paraId="6B3E1030">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8888</w:t>
            </w:r>
            <w:r>
              <w:rPr>
                <w:rFonts w:hint="eastAsia" w:asciiTheme="minorEastAsia" w:hAnsiTheme="minorEastAsia" w:eastAsiaTheme="minorEastAsia" w:cstheme="minorEastAsia"/>
                <w:sz w:val="18"/>
                <w:szCs w:val="18"/>
                <w:lang w:val="en-US" w:eastAsia="zh-CN"/>
              </w:rPr>
              <w:t xml:space="preserve">   </w:t>
            </w:r>
          </w:p>
          <w:p w14:paraId="1E59F33A">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Y</w:t>
            </w:r>
            <w:r>
              <w:rPr>
                <w:rFonts w:hint="eastAsia" w:asciiTheme="minorEastAsia" w:hAnsiTheme="minorEastAsia" w:eastAsiaTheme="minorEastAsia" w:cstheme="minorEastAsia"/>
                <w:sz w:val="18"/>
                <w:szCs w:val="18"/>
                <w:lang w:val="en-US" w:eastAsia="zh-CN"/>
              </w:rPr>
              <w:t>S</w:t>
            </w:r>
            <w:r>
              <w:rPr>
                <w:rFonts w:hint="eastAsia" w:asciiTheme="minorEastAsia" w:hAnsiTheme="minorEastAsia" w:eastAsiaTheme="minorEastAsia" w:cstheme="minorEastAsia"/>
                <w:sz w:val="18"/>
                <w:szCs w:val="18"/>
              </w:rPr>
              <w:t>/T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336</w:t>
            </w:r>
            <w:r>
              <w:rPr>
                <w:rFonts w:hint="eastAsia" w:asciiTheme="minorEastAsia" w:hAnsiTheme="minorEastAsia" w:eastAsiaTheme="minorEastAsia" w:cstheme="minorEastAsia"/>
                <w:sz w:val="18"/>
                <w:szCs w:val="18"/>
                <w:lang w:val="en-US" w:eastAsia="zh-CN"/>
              </w:rPr>
              <w:t xml:space="preserve">       </w:t>
            </w:r>
          </w:p>
          <w:p w14:paraId="11D36F7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YS/T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470.1</w:t>
            </w:r>
            <w:r>
              <w:rPr>
                <w:rFonts w:hint="eastAsia" w:asciiTheme="minorEastAsia" w:hAnsiTheme="minorEastAsia" w:eastAsiaTheme="minorEastAsia" w:cstheme="minorEastAsia"/>
                <w:sz w:val="18"/>
                <w:szCs w:val="18"/>
                <w:lang w:val="en-US" w:eastAsia="zh-CN"/>
              </w:rPr>
              <w:t xml:space="preserve"> </w:t>
            </w:r>
          </w:p>
        </w:tc>
        <w:tc>
          <w:tcPr>
            <w:tcW w:w="1594" w:type="pct"/>
            <w:tcBorders>
              <w:tl2br w:val="nil"/>
              <w:tr2bl w:val="nil"/>
            </w:tcBorders>
            <w:noWrap w:val="0"/>
            <w:vAlign w:val="center"/>
          </w:tcPr>
          <w:p w14:paraId="2F229F1E">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228</w:t>
            </w:r>
            <w:r>
              <w:rPr>
                <w:rFonts w:hint="eastAsia" w:asciiTheme="minorEastAsia" w:hAnsiTheme="minorEastAsia" w:eastAsiaTheme="minorEastAsia" w:cstheme="minorEastAsia"/>
                <w:sz w:val="18"/>
                <w:szCs w:val="18"/>
                <w:lang w:val="en-US" w:eastAsia="zh-CN"/>
              </w:rPr>
              <w:t xml:space="preserve">.1  </w:t>
            </w:r>
          </w:p>
          <w:p w14:paraId="52360F47">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230.1</w:t>
            </w:r>
            <w:r>
              <w:rPr>
                <w:rFonts w:hint="eastAsia" w:asciiTheme="minorEastAsia" w:hAnsiTheme="minorEastAsia" w:eastAsiaTheme="minorEastAsia" w:cstheme="minorEastAsia"/>
                <w:sz w:val="18"/>
                <w:szCs w:val="18"/>
                <w:lang w:val="en-US" w:eastAsia="zh-CN"/>
              </w:rPr>
              <w:t xml:space="preserve"> </w:t>
            </w:r>
          </w:p>
          <w:p w14:paraId="670DF609">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351</w:t>
            </w:r>
            <w:r>
              <w:rPr>
                <w:rFonts w:hint="eastAsia" w:asciiTheme="minorEastAsia" w:hAnsiTheme="minorEastAsia" w:eastAsiaTheme="minorEastAsia" w:cstheme="minorEastAsia"/>
                <w:sz w:val="18"/>
                <w:szCs w:val="18"/>
                <w:lang w:val="en-US" w:eastAsia="zh-CN"/>
              </w:rPr>
              <w:t xml:space="preserve">   </w:t>
            </w:r>
          </w:p>
          <w:p w14:paraId="37F4229D">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3310</w:t>
            </w:r>
            <w:r>
              <w:rPr>
                <w:rFonts w:hint="eastAsia" w:asciiTheme="minorEastAsia" w:hAnsiTheme="minorEastAsia" w:eastAsiaTheme="minorEastAsia" w:cstheme="minorEastAsia"/>
                <w:sz w:val="18"/>
                <w:szCs w:val="18"/>
                <w:lang w:val="en-US" w:eastAsia="zh-CN"/>
              </w:rPr>
              <w:t xml:space="preserve">   </w:t>
            </w:r>
          </w:p>
          <w:p w14:paraId="10A13CC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5</w:t>
            </w:r>
            <w:r>
              <w:rPr>
                <w:rFonts w:hint="eastAsia" w:asciiTheme="minorEastAsia" w:hAnsiTheme="minorEastAsia" w:eastAsiaTheme="minorEastAsia" w:cstheme="minorEastAsia"/>
                <w:sz w:val="18"/>
                <w:szCs w:val="18"/>
                <w:lang w:val="en-US" w:eastAsia="zh-CN"/>
              </w:rPr>
              <w:t>12</w:t>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val="en-US" w:eastAsia="zh-CN"/>
              </w:rPr>
              <w:t xml:space="preserve">  </w:t>
            </w:r>
          </w:p>
          <w:p w14:paraId="556B5A26">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5231</w:t>
            </w:r>
            <w:r>
              <w:rPr>
                <w:rFonts w:hint="eastAsia" w:asciiTheme="minorEastAsia" w:hAnsiTheme="minorEastAsia" w:eastAsiaTheme="minorEastAsia" w:cstheme="minorEastAsia"/>
                <w:sz w:val="18"/>
                <w:szCs w:val="18"/>
                <w:lang w:val="en-US" w:eastAsia="zh-CN"/>
              </w:rPr>
              <w:t xml:space="preserve">  </w:t>
            </w:r>
          </w:p>
          <w:p w14:paraId="5C5032EB">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GB/T 8170  </w:t>
            </w:r>
          </w:p>
          <w:p w14:paraId="752BEB68">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8888</w:t>
            </w:r>
            <w:r>
              <w:rPr>
                <w:rFonts w:hint="eastAsia" w:asciiTheme="minorEastAsia" w:hAnsiTheme="minorEastAsia" w:eastAsiaTheme="minorEastAsia" w:cstheme="minorEastAsia"/>
                <w:sz w:val="18"/>
                <w:szCs w:val="18"/>
                <w:lang w:val="en-US" w:eastAsia="zh-CN"/>
              </w:rPr>
              <w:t xml:space="preserve">  </w:t>
            </w:r>
          </w:p>
          <w:p w14:paraId="16E9015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26303.2  </w:t>
            </w:r>
          </w:p>
          <w:p w14:paraId="338EA7B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Y</w:t>
            </w:r>
            <w:r>
              <w:rPr>
                <w:rFonts w:hint="eastAsia" w:asciiTheme="minorEastAsia" w:hAnsiTheme="minorEastAsia" w:eastAsiaTheme="minorEastAsia" w:cstheme="minorEastAsia"/>
                <w:sz w:val="18"/>
                <w:szCs w:val="18"/>
                <w:lang w:val="en-US" w:eastAsia="zh-CN"/>
              </w:rPr>
              <w:t>S</w:t>
            </w:r>
            <w:r>
              <w:rPr>
                <w:rFonts w:hint="eastAsia" w:asciiTheme="minorEastAsia" w:hAnsiTheme="minorEastAsia" w:eastAsiaTheme="minorEastAsia" w:cstheme="minorEastAsia"/>
                <w:sz w:val="18"/>
                <w:szCs w:val="18"/>
              </w:rPr>
              <w:t>/T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336</w:t>
            </w:r>
            <w:r>
              <w:rPr>
                <w:rFonts w:hint="eastAsia" w:asciiTheme="minorEastAsia" w:hAnsiTheme="minorEastAsia" w:eastAsiaTheme="minorEastAsia" w:cstheme="minorEastAsia"/>
                <w:sz w:val="18"/>
                <w:szCs w:val="18"/>
                <w:lang w:val="en-US" w:eastAsia="zh-CN"/>
              </w:rPr>
              <w:t xml:space="preserve">    </w:t>
            </w:r>
          </w:p>
          <w:p w14:paraId="50B8947D">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 xml:space="preserve">YS/T 347    </w:t>
            </w:r>
          </w:p>
          <w:p w14:paraId="197B162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YS/T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470.1</w:t>
            </w:r>
            <w:r>
              <w:rPr>
                <w:rFonts w:hint="eastAsia" w:asciiTheme="minorEastAsia" w:hAnsiTheme="minorEastAsia" w:eastAsiaTheme="minorEastAsia" w:cstheme="minorEastAsia"/>
                <w:sz w:val="18"/>
                <w:szCs w:val="18"/>
                <w:lang w:val="en-US" w:eastAsia="zh-CN"/>
              </w:rPr>
              <w:t xml:space="preserve"> </w:t>
            </w:r>
          </w:p>
        </w:tc>
        <w:tc>
          <w:tcPr>
            <w:tcW w:w="1513" w:type="pct"/>
            <w:tcBorders>
              <w:tl2br w:val="nil"/>
              <w:tr2bl w:val="nil"/>
            </w:tcBorders>
            <w:noWrap w:val="0"/>
            <w:vAlign w:val="center"/>
          </w:tcPr>
          <w:p w14:paraId="6A24AA6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根据标准版本内容更新，引入新的规范性文件：</w:t>
            </w:r>
          </w:p>
          <w:p w14:paraId="01C624E3">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t>5</w:t>
            </w:r>
            <w:r>
              <w:rPr>
                <w:rFonts w:hint="eastAsia" w:asciiTheme="minorEastAsia" w:hAnsiTheme="minorEastAsia" w:eastAsiaTheme="minorEastAsia" w:cstheme="minorEastAsia"/>
                <w:sz w:val="18"/>
                <w:szCs w:val="18"/>
                <w:lang w:val="en-US" w:eastAsia="zh-CN"/>
              </w:rPr>
              <w:t>12</w:t>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lang w:eastAsia="zh-CN"/>
              </w:rPr>
              <w:t>（所有部分）</w:t>
            </w:r>
            <w:r>
              <w:rPr>
                <w:rFonts w:hint="eastAsia" w:asciiTheme="minorEastAsia" w:hAnsiTheme="minorEastAsia" w:eastAsiaTheme="minorEastAsia" w:cstheme="minorEastAsia"/>
                <w:sz w:val="18"/>
                <w:szCs w:val="18"/>
              </w:rPr>
              <w:t>铜及</w:t>
            </w:r>
            <w:r>
              <w:rPr>
                <w:rFonts w:hint="eastAsia" w:asciiTheme="minorEastAsia" w:hAnsiTheme="minorEastAsia" w:eastAsiaTheme="minorEastAsia" w:cstheme="minorEastAsia"/>
                <w:sz w:val="18"/>
                <w:szCs w:val="18"/>
                <w:lang w:eastAsia="zh-CN"/>
              </w:rPr>
              <w:t>铜</w:t>
            </w:r>
            <w:r>
              <w:rPr>
                <w:rFonts w:hint="eastAsia" w:asciiTheme="minorEastAsia" w:hAnsiTheme="minorEastAsia" w:eastAsiaTheme="minorEastAsia" w:cstheme="minorEastAsia"/>
                <w:sz w:val="18"/>
                <w:szCs w:val="18"/>
              </w:rPr>
              <w:t>合金化学</w:t>
            </w:r>
            <w:r>
              <w:rPr>
                <w:rFonts w:hint="eastAsia" w:asciiTheme="minorEastAsia" w:hAnsiTheme="minorEastAsia" w:eastAsiaTheme="minorEastAsia" w:cstheme="minorEastAsia"/>
                <w:sz w:val="18"/>
                <w:szCs w:val="18"/>
                <w:lang w:eastAsia="zh-CN"/>
              </w:rPr>
              <w:t>分析法</w:t>
            </w:r>
          </w:p>
          <w:p w14:paraId="1A05369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 xml:space="preserve">GB/T 8170  </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HYPERLINK "javascript:void(0)"</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数值修约规则与极限数值的表示和判定</w:t>
            </w:r>
            <w:r>
              <w:rPr>
                <w:rFonts w:hint="eastAsia" w:asciiTheme="minorEastAsia" w:hAnsiTheme="minorEastAsia" w:eastAsiaTheme="minorEastAsia" w:cstheme="minorEastAsia"/>
                <w:sz w:val="18"/>
                <w:szCs w:val="18"/>
              </w:rPr>
              <w:fldChar w:fldCharType="end"/>
            </w:r>
          </w:p>
          <w:p w14:paraId="0D2B6498">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GB/T</w:t>
            </w:r>
            <w:r>
              <w:rPr>
                <w:rFonts w:hint="eastAsia" w:asciiTheme="minorEastAsia" w:hAnsiTheme="minorEastAsia" w:eastAsiaTheme="minorEastAsia" w:cstheme="minorEastAsia"/>
                <w:sz w:val="18"/>
                <w:szCs w:val="18"/>
                <w:lang w:val="en-US" w:eastAsia="zh-CN"/>
              </w:rPr>
              <w:t xml:space="preserve"> 26303.2  </w:t>
            </w:r>
            <w:r>
              <w:rPr>
                <w:rFonts w:hint="eastAsia" w:asciiTheme="minorEastAsia" w:hAnsiTheme="minorEastAsia" w:eastAsiaTheme="minorEastAsia" w:cstheme="minorEastAsia"/>
                <w:sz w:val="18"/>
                <w:szCs w:val="18"/>
              </w:rPr>
              <w:t>铜及</w:t>
            </w:r>
            <w:r>
              <w:rPr>
                <w:rFonts w:hint="eastAsia" w:asciiTheme="minorEastAsia" w:hAnsiTheme="minorEastAsia" w:eastAsiaTheme="minorEastAsia" w:cstheme="minorEastAsia"/>
                <w:sz w:val="18"/>
                <w:szCs w:val="18"/>
                <w:lang w:eastAsia="zh-CN"/>
              </w:rPr>
              <w:t>铜</w:t>
            </w:r>
            <w:r>
              <w:rPr>
                <w:rFonts w:hint="eastAsia" w:asciiTheme="minorEastAsia" w:hAnsiTheme="minorEastAsia" w:eastAsiaTheme="minorEastAsia" w:cstheme="minorEastAsia"/>
                <w:sz w:val="18"/>
                <w:szCs w:val="18"/>
              </w:rPr>
              <w:t>合金</w:t>
            </w:r>
            <w:r>
              <w:rPr>
                <w:rFonts w:hint="eastAsia" w:asciiTheme="minorEastAsia" w:hAnsiTheme="minorEastAsia" w:eastAsiaTheme="minorEastAsia" w:cstheme="minorEastAsia"/>
                <w:sz w:val="18"/>
                <w:szCs w:val="18"/>
                <w:lang w:eastAsia="zh-CN"/>
              </w:rPr>
              <w:t>加工材外形尺寸检测方法</w:t>
            </w:r>
            <w:r>
              <w:rPr>
                <w:rFonts w:hint="eastAsia" w:asciiTheme="minorEastAsia" w:hAnsiTheme="minorEastAsia" w:eastAsiaTheme="minorEastAsia" w:cstheme="minorEastAsia"/>
                <w:sz w:val="18"/>
                <w:szCs w:val="18"/>
                <w:lang w:val="en-US" w:eastAsia="zh-CN"/>
              </w:rPr>
              <w:t xml:space="preserve"> 第2部分：棒、线、型材</w:t>
            </w:r>
          </w:p>
          <w:p w14:paraId="05A1DD8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YS/T 347    铜及铜合金平均晶粒度测定方法</w:t>
            </w:r>
          </w:p>
        </w:tc>
      </w:tr>
      <w:tr w14:paraId="30A44A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71" w:hRule="atLeast"/>
        </w:trPr>
        <w:tc>
          <w:tcPr>
            <w:tcW w:w="629" w:type="pct"/>
            <w:tcBorders>
              <w:tl2br w:val="nil"/>
              <w:tr2bl w:val="nil"/>
            </w:tcBorders>
            <w:noWrap w:val="0"/>
            <w:vAlign w:val="center"/>
          </w:tcPr>
          <w:p w14:paraId="3B7B7A8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术语和定义</w:t>
            </w:r>
          </w:p>
        </w:tc>
        <w:tc>
          <w:tcPr>
            <w:tcW w:w="1261" w:type="pct"/>
            <w:tcBorders>
              <w:tl2br w:val="nil"/>
              <w:tr2bl w:val="nil"/>
            </w:tcBorders>
            <w:noWrap w:val="0"/>
            <w:vAlign w:val="center"/>
          </w:tcPr>
          <w:p w14:paraId="70D24A16">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w:t>
            </w:r>
          </w:p>
        </w:tc>
        <w:tc>
          <w:tcPr>
            <w:tcW w:w="1594" w:type="pct"/>
            <w:tcBorders>
              <w:tl2br w:val="nil"/>
              <w:tr2bl w:val="nil"/>
            </w:tcBorders>
            <w:noWrap w:val="0"/>
            <w:vAlign w:val="center"/>
          </w:tcPr>
          <w:p w14:paraId="34ACD913">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 xml:space="preserve">3 </w:t>
            </w:r>
            <w:r>
              <w:rPr>
                <w:rFonts w:hint="eastAsia" w:asciiTheme="minorEastAsia" w:hAnsiTheme="minorEastAsia" w:eastAsiaTheme="minorEastAsia" w:cstheme="minorEastAsia"/>
                <w:sz w:val="18"/>
                <w:szCs w:val="18"/>
              </w:rPr>
              <w:t>术语和定义</w:t>
            </w:r>
          </w:p>
          <w:p w14:paraId="0AFE7F2B">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本文件没有需要界定的术语和定义。</w:t>
            </w:r>
          </w:p>
        </w:tc>
        <w:tc>
          <w:tcPr>
            <w:tcW w:w="1513" w:type="pct"/>
            <w:tcBorders>
              <w:tl2br w:val="nil"/>
              <w:tr2bl w:val="nil"/>
            </w:tcBorders>
            <w:noWrap w:val="0"/>
            <w:vAlign w:val="center"/>
          </w:tcPr>
          <w:p w14:paraId="478DD16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 根据GB/T1.1-2020要求，增加术语和定义</w:t>
            </w:r>
          </w:p>
        </w:tc>
      </w:tr>
      <w:tr w14:paraId="43796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195282C0">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分类和标记</w:t>
            </w:r>
          </w:p>
        </w:tc>
        <w:tc>
          <w:tcPr>
            <w:tcW w:w="1261" w:type="pct"/>
            <w:tcBorders>
              <w:tl2br w:val="nil"/>
              <w:tr2bl w:val="nil"/>
            </w:tcBorders>
            <w:noWrap w:val="0"/>
            <w:vAlign w:val="center"/>
          </w:tcPr>
          <w:p w14:paraId="5F7FE303">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94" w:type="pct"/>
            <w:tcBorders>
              <w:tl2br w:val="nil"/>
              <w:tr2bl w:val="nil"/>
            </w:tcBorders>
            <w:noWrap w:val="0"/>
            <w:vAlign w:val="center"/>
          </w:tcPr>
          <w:p w14:paraId="365DB6E0">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13" w:type="pct"/>
            <w:tcBorders>
              <w:tl2br w:val="nil"/>
              <w:tr2bl w:val="nil"/>
            </w:tcBorders>
            <w:noWrap w:val="0"/>
            <w:vAlign w:val="center"/>
          </w:tcPr>
          <w:p w14:paraId="7FD72BCB">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YS/T 334现行版本中铍青铜牌号命名直接引自GB/T 5231。经系统性比照确认，GB/T 5231-2022中铍青铜相关牌号设置与GB/T 5231前版基本保持一致，牌号命名规则未作出重大调整。</w:t>
            </w:r>
          </w:p>
        </w:tc>
      </w:tr>
      <w:tr w14:paraId="10B534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7B4C56F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14DE550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5.1化学成分</w:t>
            </w:r>
          </w:p>
        </w:tc>
        <w:tc>
          <w:tcPr>
            <w:tcW w:w="1261" w:type="pct"/>
            <w:tcBorders>
              <w:tl2br w:val="nil"/>
              <w:tr2bl w:val="nil"/>
            </w:tcBorders>
            <w:noWrap w:val="0"/>
            <w:vAlign w:val="center"/>
          </w:tcPr>
          <w:p w14:paraId="54710CD0">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94" w:type="pct"/>
            <w:tcBorders>
              <w:tl2br w:val="nil"/>
              <w:tr2bl w:val="nil"/>
            </w:tcBorders>
            <w:noWrap w:val="0"/>
            <w:vAlign w:val="center"/>
          </w:tcPr>
          <w:p w14:paraId="57AE386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13" w:type="pct"/>
            <w:tcBorders>
              <w:tl2br w:val="nil"/>
              <w:tr2bl w:val="nil"/>
            </w:tcBorders>
            <w:noWrap w:val="0"/>
            <w:vAlign w:val="center"/>
          </w:tcPr>
          <w:p w14:paraId="1D8F0A9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YS/T 334现行版本中铍青铜</w:t>
            </w:r>
            <w:r>
              <w:rPr>
                <w:rFonts w:hint="eastAsia" w:asciiTheme="minorEastAsia" w:hAnsiTheme="minorEastAsia" w:eastAsiaTheme="minorEastAsia" w:cstheme="minorEastAsia"/>
                <w:sz w:val="18"/>
                <w:szCs w:val="18"/>
                <w:lang w:eastAsia="zh-CN"/>
              </w:rPr>
              <w:t>牌号</w:t>
            </w:r>
            <w:r>
              <w:rPr>
                <w:rFonts w:hint="eastAsia" w:asciiTheme="minorEastAsia" w:hAnsiTheme="minorEastAsia" w:eastAsiaTheme="minorEastAsia" w:cstheme="minorEastAsia"/>
                <w:sz w:val="18"/>
                <w:szCs w:val="18"/>
              </w:rPr>
              <w:t>化学成分要求直接引自GB/T 5231。经系统性比照确认，GB/T 5231-2022中铍青铜相关牌号设置与GB/T 5231前版基本保持一致，牌号化学成分范围未作出重大调整。</w:t>
            </w:r>
          </w:p>
        </w:tc>
      </w:tr>
      <w:tr w14:paraId="7A1265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40BC677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365B50E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5.2外形尺寸及允许偏差</w:t>
            </w:r>
          </w:p>
        </w:tc>
        <w:tc>
          <w:tcPr>
            <w:tcW w:w="1261" w:type="pct"/>
            <w:tcBorders>
              <w:tl2br w:val="nil"/>
              <w:tr2bl w:val="nil"/>
            </w:tcBorders>
            <w:noWrap w:val="0"/>
            <w:vAlign w:val="center"/>
          </w:tcPr>
          <w:p w14:paraId="2A78DB4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无引用文件</w:t>
            </w:r>
          </w:p>
        </w:tc>
        <w:tc>
          <w:tcPr>
            <w:tcW w:w="1594" w:type="pct"/>
            <w:tcBorders>
              <w:tl2br w:val="nil"/>
              <w:tr2bl w:val="nil"/>
            </w:tcBorders>
            <w:noWrap w:val="0"/>
            <w:vAlign w:val="center"/>
          </w:tcPr>
          <w:p w14:paraId="2E8C46E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（1）棒材外形尺寸测量按GB/T26303.2的规定进行（2）补充切斜度要求</w:t>
            </w:r>
          </w:p>
        </w:tc>
        <w:tc>
          <w:tcPr>
            <w:tcW w:w="1513" w:type="pct"/>
            <w:tcBorders>
              <w:tl2br w:val="nil"/>
              <w:tr2bl w:val="nil"/>
            </w:tcBorders>
            <w:noWrap w:val="0"/>
            <w:vAlign w:val="center"/>
          </w:tcPr>
          <w:p w14:paraId="78EDD1D1">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eastAsia="zh-CN"/>
              </w:rPr>
              <w:t>增加文件的引用，补充测量按标准</w:t>
            </w:r>
            <w:r>
              <w:rPr>
                <w:rFonts w:hint="eastAsia" w:asciiTheme="minorEastAsia" w:hAnsiTheme="minorEastAsia" w:eastAsiaTheme="minorEastAsia" w:cstheme="minorEastAsia"/>
                <w:sz w:val="18"/>
                <w:szCs w:val="18"/>
                <w:lang w:val="en-US" w:eastAsia="zh-CN"/>
              </w:rPr>
              <w:t>GB/T26303.2的规定进行。</w:t>
            </w:r>
          </w:p>
          <w:p w14:paraId="2E4A71AA">
            <w:pPr>
              <w:bidi w:val="0"/>
              <w:rPr>
                <w:rFonts w:hint="eastAsia" w:asciiTheme="minorEastAsia" w:hAnsiTheme="minorEastAsia" w:eastAsiaTheme="minorEastAsia" w:cstheme="minorEastAsia"/>
                <w:sz w:val="18"/>
                <w:szCs w:val="18"/>
                <w:lang w:val="en-US" w:eastAsia="zh-CN"/>
              </w:rPr>
            </w:pPr>
          </w:p>
        </w:tc>
      </w:tr>
      <w:tr w14:paraId="47A1D9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0278D25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4CF4CC65">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5.3力学性能</w:t>
            </w:r>
          </w:p>
        </w:tc>
        <w:tc>
          <w:tcPr>
            <w:tcW w:w="1261" w:type="pct"/>
            <w:tcBorders>
              <w:tl2br w:val="nil"/>
              <w:tr2bl w:val="nil"/>
            </w:tcBorders>
            <w:noWrap w:val="0"/>
            <w:vAlign w:val="center"/>
          </w:tcPr>
          <w:p w14:paraId="67F251E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（1）TBe1.9-0.2、TBe1.9-0.4、C17000、</w:t>
            </w:r>
          </w:p>
          <w:p w14:paraId="28116B76">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TBe1.7、TBe1.9、TBe1.9-0.1、TBe2的M10、M11、M20、M30态的断后伸长率10%。</w:t>
            </w:r>
          </w:p>
          <w:p w14:paraId="55F13B7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（2）TBe1.9-0.2、TBe1.9-0.4、C17000、</w:t>
            </w:r>
          </w:p>
          <w:p w14:paraId="6D22C2D3">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TBe1.7、TBe1.9、TBe1.9-0.1、TBe2的TD04态的断后伸长率5%。</w:t>
            </w:r>
          </w:p>
          <w:p w14:paraId="02A6CDD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（3）TBe0.6-2.5</w:t>
            </w:r>
          </w:p>
          <w:p w14:paraId="4B6E23D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TBe0.4-1.8、TBe0.3-1.5</w:t>
            </w:r>
          </w:p>
          <w:p w14:paraId="3DEC0245">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的TD04态的断后伸长率5%。</w:t>
            </w:r>
          </w:p>
          <w:p w14:paraId="5BA6DCB9">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（4）TBe1.9-0.2</w:t>
            </w:r>
          </w:p>
          <w:p w14:paraId="107DAED3">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TBe1.9-0.4、TBe1.9</w:t>
            </w:r>
          </w:p>
          <w:p w14:paraId="5F7D6A9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TBe1.9-0.1、TBe2的TF00态的硬度（HTC）35-42。</w:t>
            </w:r>
          </w:p>
          <w:p w14:paraId="50458DD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（5）TBe1.9-0.2、TBe1.9-0.4、C17000、</w:t>
            </w:r>
          </w:p>
          <w:p w14:paraId="044D1271">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TBe1.7、TBe1.9、QBe1.9-0.1、TBe2的TH04态的断后伸长率1%。</w:t>
            </w:r>
          </w:p>
        </w:tc>
        <w:tc>
          <w:tcPr>
            <w:tcW w:w="1594" w:type="pct"/>
            <w:tcBorders>
              <w:tl2br w:val="nil"/>
              <w:tr2bl w:val="nil"/>
            </w:tcBorders>
            <w:noWrap w:val="0"/>
            <w:vAlign w:val="center"/>
          </w:tcPr>
          <w:p w14:paraId="606D7C9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（1）TBe1.9-0.2、TBe1.9-0.4、C17000、</w:t>
            </w:r>
          </w:p>
          <w:p w14:paraId="570C993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TBe1.7、TBe1.9、TBe1.9-0.1、TBe2的M10、M11、M20、M30态的断后伸长率14%。</w:t>
            </w:r>
          </w:p>
          <w:p w14:paraId="41731AC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（2）TBe1.9-0.2、TBe1.9-0.4、C17000、</w:t>
            </w:r>
          </w:p>
          <w:p w14:paraId="34F7810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TBe1.7、TBe1.9、TBe1.9-0.1、TBe2的TD04态的断后伸长率8%。</w:t>
            </w:r>
          </w:p>
          <w:p w14:paraId="114251F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（3）TBe0.6-2.5</w:t>
            </w:r>
          </w:p>
          <w:p w14:paraId="0275C51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TBe0.4-1.8、TBe0.3-1.5</w:t>
            </w:r>
          </w:p>
          <w:p w14:paraId="252B7B78">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的TD04态的断后伸长率8%。</w:t>
            </w:r>
          </w:p>
          <w:p w14:paraId="54F30E6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（4）TBe1.9-0.2</w:t>
            </w:r>
          </w:p>
          <w:p w14:paraId="3ACAB4B8">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TBe1.9-0.4、TBe1.9</w:t>
            </w:r>
          </w:p>
          <w:p w14:paraId="5393D6E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TBe1.9-0.1、TBe2的TF00态的硬度（HTC）35-45。</w:t>
            </w:r>
          </w:p>
          <w:p w14:paraId="4A4DAEB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（5）TBe1.9-0.2、TBe1.9-0.4、C17000、</w:t>
            </w:r>
          </w:p>
          <w:p w14:paraId="1F2D7D7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TBe1.7、TBe1.9、QBe1.9-0.1、TBe2的TH04态的断后伸长率1.5%。</w:t>
            </w:r>
          </w:p>
        </w:tc>
        <w:tc>
          <w:tcPr>
            <w:tcW w:w="1513" w:type="pct"/>
            <w:tcBorders>
              <w:tl2br w:val="nil"/>
              <w:tr2bl w:val="nil"/>
            </w:tcBorders>
            <w:noWrap w:val="0"/>
            <w:vAlign w:val="center"/>
          </w:tcPr>
          <w:p w14:paraId="4A9B49F1">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val="en-US" w:eastAsia="zh-CN"/>
              </w:rPr>
              <w:t>随着铍青铜棒材产品的不断发展，对铍青铜棒材产品力学性能要求也随之提高，同时，客户对铍青铜棒材的力学性能提出更高的要求。通过优化铍青铜合金成分设计，优化铍青铜棒材的生产工艺及工艺参数，铍青铜棒材生产工艺技术的进步，使得铍青铜棒材的力学性能也随之提高。</w:t>
            </w:r>
          </w:p>
        </w:tc>
      </w:tr>
      <w:tr w14:paraId="13D95E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30EC120B">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4027472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5.4导电率</w:t>
            </w:r>
          </w:p>
        </w:tc>
        <w:tc>
          <w:tcPr>
            <w:tcW w:w="1261" w:type="pct"/>
            <w:tcBorders>
              <w:tl2br w:val="nil"/>
              <w:tr2bl w:val="nil"/>
            </w:tcBorders>
            <w:noWrap w:val="0"/>
            <w:vAlign w:val="center"/>
          </w:tcPr>
          <w:p w14:paraId="4582CC0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94" w:type="pct"/>
            <w:tcBorders>
              <w:tl2br w:val="nil"/>
              <w:tr2bl w:val="nil"/>
            </w:tcBorders>
            <w:noWrap w:val="0"/>
            <w:vAlign w:val="center"/>
          </w:tcPr>
          <w:p w14:paraId="036807F1">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13" w:type="pct"/>
            <w:tcBorders>
              <w:tl2br w:val="nil"/>
              <w:tr2bl w:val="nil"/>
            </w:tcBorders>
            <w:noWrap w:val="0"/>
            <w:vAlign w:val="center"/>
          </w:tcPr>
          <w:p w14:paraId="0AE9183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行业执行经验表明现行导电率指标与制造企业的工艺质量和产品实际性能水平匹配良好，不存在普遍难达标或要求过于宽松的情况；与ASTM B196/B196M-24电气性能参照体系之间保持互认兼容性，导电率技术框架无原则性差异</w:t>
            </w:r>
            <w:r>
              <w:rPr>
                <w:rFonts w:hint="eastAsia" w:asciiTheme="minorEastAsia" w:hAnsiTheme="minorEastAsia" w:eastAsiaTheme="minorEastAsia" w:cstheme="minorEastAsia"/>
                <w:sz w:val="18"/>
                <w:szCs w:val="18"/>
                <w:lang w:eastAsia="zh-CN"/>
              </w:rPr>
              <w:t>。</w:t>
            </w:r>
          </w:p>
        </w:tc>
      </w:tr>
      <w:tr w14:paraId="30D899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27645BA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6DA182C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5.5平均晶粒尺寸</w:t>
            </w:r>
          </w:p>
        </w:tc>
        <w:tc>
          <w:tcPr>
            <w:tcW w:w="1261" w:type="pct"/>
            <w:tcBorders>
              <w:tl2br w:val="nil"/>
              <w:tr2bl w:val="nil"/>
            </w:tcBorders>
            <w:noWrap w:val="0"/>
            <w:vAlign w:val="center"/>
          </w:tcPr>
          <w:p w14:paraId="1C68F170">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w:t>
            </w:r>
          </w:p>
        </w:tc>
        <w:tc>
          <w:tcPr>
            <w:tcW w:w="1594" w:type="pct"/>
            <w:tcBorders>
              <w:tl2br w:val="nil"/>
              <w:tr2bl w:val="nil"/>
            </w:tcBorders>
            <w:noWrap w:val="0"/>
            <w:vAlign w:val="center"/>
          </w:tcPr>
          <w:p w14:paraId="43ACABC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固溶处理后的平均晶粒尺寸，＜20mm，0.015～0.055mm；≥20mm，0.015～0.075mm</w:t>
            </w:r>
          </w:p>
        </w:tc>
        <w:tc>
          <w:tcPr>
            <w:tcW w:w="1513" w:type="pct"/>
            <w:tcBorders>
              <w:tl2br w:val="nil"/>
              <w:tr2bl w:val="nil"/>
            </w:tcBorders>
            <w:noWrap w:val="0"/>
            <w:vAlign w:val="center"/>
          </w:tcPr>
          <w:p w14:paraId="5C1B6FB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为进一步完善铍青铜棒材产品在航空航天、国防军工等重要领域的应用数据以及客户的要求。根据YS/T347《铜及铜合金平均晶粒度测定方法》对铍青铜棒材产品进行了平均晶粒尺寸检测，增加了平均晶粒尺寸要求</w:t>
            </w:r>
          </w:p>
        </w:tc>
      </w:tr>
      <w:tr w14:paraId="5191E5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4E736C3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521C217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5.6内部质量</w:t>
            </w:r>
          </w:p>
        </w:tc>
        <w:tc>
          <w:tcPr>
            <w:tcW w:w="1261" w:type="pct"/>
            <w:tcBorders>
              <w:tl2br w:val="nil"/>
              <w:tr2bl w:val="nil"/>
            </w:tcBorders>
            <w:noWrap w:val="0"/>
            <w:vAlign w:val="center"/>
          </w:tcPr>
          <w:p w14:paraId="0EC4BF1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产品应进行断口检验或超声波检测。经断口检验后的产品应无缩尾、分层、气孔和夹杂；经超声波检验后的产品（直径为15mm～120mm的圆棒）应无缩尾、残尾、裂纹、夹杂和气孔等</w:t>
            </w:r>
          </w:p>
        </w:tc>
        <w:tc>
          <w:tcPr>
            <w:tcW w:w="1594" w:type="pct"/>
            <w:tcBorders>
              <w:tl2br w:val="nil"/>
              <w:tr2bl w:val="nil"/>
            </w:tcBorders>
            <w:noWrap w:val="0"/>
            <w:vAlign w:val="center"/>
          </w:tcPr>
          <w:p w14:paraId="5918ED9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产品应进行断口检验或超声波检测。经断口检验后的产品应致密、无缩尾，允许有轻微的、个别的气孔、夹杂及分层，大小应符合YS/T336相关规定；经超声波检验后的产品（直径为15mm～120mm的圆棒）应无缩尾、残尾、裂纹、夹杂和气孔等</w:t>
            </w:r>
          </w:p>
        </w:tc>
        <w:tc>
          <w:tcPr>
            <w:tcW w:w="1513" w:type="pct"/>
            <w:tcBorders>
              <w:tl2br w:val="nil"/>
              <w:tr2bl w:val="nil"/>
            </w:tcBorders>
            <w:noWrap w:val="0"/>
            <w:vAlign w:val="center"/>
          </w:tcPr>
          <w:p w14:paraId="4DE4AD1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铜棒材在生产过程中常涉及铸造或粉末冶金工艺，从微观和亚宏观层面看，完全杜绝微缩孔或析出性气孔在技术上极为困难，且成本极高。经过大量力学性能测试和疲劳试验证明，当气孔夹杂满足“少量、弥散分布、尺寸小于特定阈值”的条件时，其对棒材的抗拉强度、屈服强度、导电率及抗疲劳性能的影响可以忽略不计。查阅ASTM B196（美标铍铜棒材标准）或GB/T 34505等相关国家标准，对于棒材宏观断口检查，普遍允许存在不超过一定级别的轻微缺陷。修订此标准是为了消除过度严苛的内部要求与行业通用规范之间的鸿沟，避免因过度拒收合格产品而造成资源浪费。</w:t>
            </w:r>
          </w:p>
        </w:tc>
      </w:tr>
      <w:tr w14:paraId="4D417F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0233A25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5技术要求</w:t>
            </w:r>
          </w:p>
          <w:p w14:paraId="2A883A8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5.7表面质量</w:t>
            </w:r>
          </w:p>
        </w:tc>
        <w:tc>
          <w:tcPr>
            <w:tcW w:w="1261" w:type="pct"/>
            <w:tcBorders>
              <w:tl2br w:val="nil"/>
              <w:tr2bl w:val="nil"/>
            </w:tcBorders>
            <w:noWrap w:val="0"/>
            <w:vAlign w:val="center"/>
          </w:tcPr>
          <w:p w14:paraId="4F23259F">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94" w:type="pct"/>
            <w:tcBorders>
              <w:tl2br w:val="nil"/>
              <w:tr2bl w:val="nil"/>
            </w:tcBorders>
            <w:noWrap w:val="0"/>
            <w:vAlign w:val="center"/>
          </w:tcPr>
          <w:p w14:paraId="1D9608B3">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13" w:type="pct"/>
            <w:tcBorders>
              <w:tl2br w:val="nil"/>
              <w:tr2bl w:val="nil"/>
            </w:tcBorders>
            <w:noWrap w:val="0"/>
            <w:vAlign w:val="center"/>
          </w:tcPr>
          <w:p w14:paraId="3521502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表面质量的基础要求已在GB/T 4423等通用产品标准中明确规范</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用户实际使用评估表明现行表面质量条款在航空航天、电子通信等核心应用场景中均有良好适用性，未出现明显的系统性认知分歧或质量投诉；国内铍铜棒材制造工艺水平完全满足现行标准的要求；与国际质量体系的对标分析认定现行体系与ASTM相关标准保持技术内容的基本一致和完全满足</w:t>
            </w:r>
            <w:r>
              <w:rPr>
                <w:rFonts w:hint="eastAsia" w:asciiTheme="minorEastAsia" w:hAnsiTheme="minorEastAsia" w:eastAsiaTheme="minorEastAsia" w:cstheme="minorEastAsia"/>
                <w:sz w:val="18"/>
                <w:szCs w:val="18"/>
                <w:lang w:eastAsia="zh-CN"/>
              </w:rPr>
              <w:t>。</w:t>
            </w:r>
          </w:p>
        </w:tc>
      </w:tr>
      <w:tr w14:paraId="738373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0144732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6试验方法</w:t>
            </w:r>
          </w:p>
        </w:tc>
        <w:tc>
          <w:tcPr>
            <w:tcW w:w="1261" w:type="pct"/>
            <w:tcBorders>
              <w:tl2br w:val="nil"/>
              <w:tr2bl w:val="nil"/>
            </w:tcBorders>
            <w:noWrap w:val="0"/>
            <w:vAlign w:val="center"/>
          </w:tcPr>
          <w:p w14:paraId="0A22E9C1">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（1）产品化学成分分析方法</w:t>
            </w:r>
          </w:p>
          <w:p w14:paraId="0199C708">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产品</w:t>
            </w:r>
            <w:r>
              <w:rPr>
                <w:rFonts w:hint="eastAsia" w:asciiTheme="minorEastAsia" w:hAnsiTheme="minorEastAsia" w:eastAsiaTheme="minorEastAsia" w:cstheme="minorEastAsia"/>
                <w:sz w:val="18"/>
                <w:szCs w:val="18"/>
              </w:rPr>
              <w:t>化学成分分析按</w:t>
            </w:r>
            <w:r>
              <w:rPr>
                <w:rFonts w:hint="eastAsia" w:asciiTheme="minorEastAsia" w:hAnsiTheme="minorEastAsia" w:eastAsiaTheme="minorEastAsia" w:cstheme="minorEastAsia"/>
                <w:sz w:val="18"/>
                <w:szCs w:val="18"/>
                <w:lang w:val="en-US" w:eastAsia="zh-CN"/>
              </w:rPr>
              <w:t>YS/T 470.1的规定</w:t>
            </w:r>
            <w:r>
              <w:rPr>
                <w:rFonts w:hint="eastAsia" w:asciiTheme="minorEastAsia" w:hAnsiTheme="minorEastAsia" w:eastAsiaTheme="minorEastAsia" w:cstheme="minorEastAsia"/>
                <w:sz w:val="18"/>
                <w:szCs w:val="18"/>
              </w:rPr>
              <w:t>进行。</w:t>
            </w:r>
          </w:p>
          <w:p w14:paraId="7266D00F">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产品尺寸测量</w:t>
            </w:r>
            <w:r>
              <w:rPr>
                <w:rFonts w:hint="eastAsia" w:asciiTheme="minorEastAsia" w:hAnsiTheme="minorEastAsia" w:eastAsiaTheme="minorEastAsia" w:cstheme="minorEastAsia"/>
                <w:sz w:val="18"/>
                <w:szCs w:val="18"/>
                <w:lang w:eastAsia="zh-CN"/>
              </w:rPr>
              <w:t>方法</w:t>
            </w:r>
          </w:p>
          <w:p w14:paraId="13A6C712">
            <w:pPr>
              <w:bidi w:val="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产品的外形尺寸应用相应精度的测量工具进行测量。</w:t>
            </w:r>
          </w:p>
          <w:p w14:paraId="34F9BC57">
            <w:pPr>
              <w:bidi w:val="0"/>
              <w:rPr>
                <w:rFonts w:hint="eastAsia" w:asciiTheme="minorEastAsia" w:hAnsiTheme="minorEastAsia" w:eastAsiaTheme="minorEastAsia" w:cstheme="minorEastAsia"/>
                <w:sz w:val="18"/>
                <w:szCs w:val="18"/>
                <w:lang w:val="en-US" w:eastAsia="zh-CN"/>
              </w:rPr>
            </w:pPr>
          </w:p>
        </w:tc>
        <w:tc>
          <w:tcPr>
            <w:tcW w:w="1594" w:type="pct"/>
            <w:tcBorders>
              <w:tl2br w:val="nil"/>
              <w:tr2bl w:val="nil"/>
            </w:tcBorders>
            <w:noWrap w:val="0"/>
            <w:vAlign w:val="center"/>
          </w:tcPr>
          <w:p w14:paraId="48981AFB">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（1）化学成分</w:t>
            </w:r>
          </w:p>
          <w:p w14:paraId="2495E7B3">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棒材的化学成分的分析按照</w:t>
            </w:r>
            <w:r>
              <w:rPr>
                <w:rFonts w:hint="eastAsia" w:asciiTheme="minorEastAsia" w:hAnsiTheme="minorEastAsia" w:eastAsiaTheme="minorEastAsia" w:cstheme="minorEastAsia"/>
                <w:sz w:val="18"/>
                <w:szCs w:val="18"/>
                <w:lang w:val="en-US" w:eastAsia="zh-CN"/>
              </w:rPr>
              <w:t>GB/T5121（所有部分）YS/T 470.1的规定</w:t>
            </w:r>
            <w:r>
              <w:rPr>
                <w:rFonts w:hint="eastAsia" w:asciiTheme="minorEastAsia" w:hAnsiTheme="minorEastAsia" w:eastAsiaTheme="minorEastAsia" w:cstheme="minorEastAsia"/>
                <w:sz w:val="18"/>
                <w:szCs w:val="18"/>
              </w:rPr>
              <w:t>进行</w:t>
            </w:r>
            <w:r>
              <w:rPr>
                <w:rFonts w:hint="eastAsia" w:asciiTheme="minorEastAsia" w:hAnsiTheme="minorEastAsia" w:eastAsiaTheme="minorEastAsia" w:cstheme="minorEastAsia"/>
                <w:sz w:val="18"/>
                <w:szCs w:val="18"/>
                <w:lang w:eastAsia="zh-CN"/>
              </w:rPr>
              <w:t>，仲裁时采用</w:t>
            </w:r>
            <w:r>
              <w:rPr>
                <w:rFonts w:hint="eastAsia" w:asciiTheme="minorEastAsia" w:hAnsiTheme="minorEastAsia" w:eastAsiaTheme="minorEastAsia" w:cstheme="minorEastAsia"/>
                <w:sz w:val="18"/>
                <w:szCs w:val="18"/>
                <w:lang w:val="en-US" w:eastAsia="zh-CN"/>
              </w:rPr>
              <w:t>GB/T5121（所有部分）的规定</w:t>
            </w:r>
            <w:r>
              <w:rPr>
                <w:rFonts w:hint="eastAsia" w:asciiTheme="minorEastAsia" w:hAnsiTheme="minorEastAsia" w:eastAsiaTheme="minorEastAsia" w:cstheme="minorEastAsia"/>
                <w:sz w:val="18"/>
                <w:szCs w:val="18"/>
              </w:rPr>
              <w:t>进行</w:t>
            </w:r>
            <w:r>
              <w:rPr>
                <w:rFonts w:hint="eastAsia" w:asciiTheme="minorEastAsia" w:hAnsiTheme="minorEastAsia" w:eastAsiaTheme="minorEastAsia" w:cstheme="minorEastAsia"/>
                <w:sz w:val="18"/>
                <w:szCs w:val="18"/>
                <w:lang w:eastAsia="zh-CN"/>
              </w:rPr>
              <w:t>。</w:t>
            </w:r>
          </w:p>
          <w:p w14:paraId="0B50DA48">
            <w:pPr>
              <w:bidi w:val="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外形尺寸及允许偏差</w:t>
            </w:r>
          </w:p>
          <w:p w14:paraId="5B166B6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棒材的</w:t>
            </w:r>
            <w:r>
              <w:rPr>
                <w:rFonts w:hint="eastAsia" w:asciiTheme="minorEastAsia" w:hAnsiTheme="minorEastAsia" w:eastAsiaTheme="minorEastAsia" w:cstheme="minorEastAsia"/>
                <w:sz w:val="18"/>
                <w:szCs w:val="18"/>
                <w:lang w:eastAsia="zh-CN"/>
              </w:rPr>
              <w:t>外形尺寸及允许偏差应按GB/T</w:t>
            </w:r>
            <w:r>
              <w:rPr>
                <w:rFonts w:hint="eastAsia" w:asciiTheme="minorEastAsia" w:hAnsiTheme="minorEastAsia" w:eastAsiaTheme="minorEastAsia" w:cstheme="minorEastAsia"/>
                <w:sz w:val="18"/>
                <w:szCs w:val="18"/>
                <w:lang w:val="en-US" w:eastAsia="zh-CN"/>
              </w:rPr>
              <w:t xml:space="preserve"> 26303.2的规定进行。</w:t>
            </w:r>
          </w:p>
          <w:p w14:paraId="636C405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 平均晶粒尺寸检验按YS/T 347的规定进行。</w:t>
            </w:r>
          </w:p>
        </w:tc>
        <w:tc>
          <w:tcPr>
            <w:tcW w:w="1513" w:type="pct"/>
            <w:tcBorders>
              <w:tl2br w:val="nil"/>
              <w:tr2bl w:val="nil"/>
            </w:tcBorders>
            <w:noWrap w:val="0"/>
            <w:vAlign w:val="center"/>
          </w:tcPr>
          <w:p w14:paraId="03C9FCC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（1）增加了化学成分的仲裁标准</w:t>
            </w:r>
          </w:p>
          <w:p w14:paraId="4652CF9A">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（2）增加了外形尺寸允许偏差的规定</w:t>
            </w:r>
          </w:p>
          <w:p w14:paraId="351661F6">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（3）增加了平均晶粒尺寸法检验方法</w:t>
            </w:r>
          </w:p>
        </w:tc>
      </w:tr>
      <w:tr w14:paraId="337A7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78F91DC3">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7检验规则</w:t>
            </w:r>
          </w:p>
        </w:tc>
        <w:tc>
          <w:tcPr>
            <w:tcW w:w="1261" w:type="pct"/>
            <w:tcBorders>
              <w:tl2br w:val="nil"/>
              <w:tr2bl w:val="nil"/>
            </w:tcBorders>
            <w:noWrap w:val="0"/>
            <w:vAlign w:val="center"/>
          </w:tcPr>
          <w:p w14:paraId="6726E7E3">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无平均晶粒尺寸的取样规定</w:t>
            </w:r>
          </w:p>
          <w:p w14:paraId="363E5408">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无检验结果修约</w:t>
            </w:r>
          </w:p>
          <w:p w14:paraId="29BE3549">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无平均晶粒尺寸检验结果判定</w:t>
            </w:r>
          </w:p>
        </w:tc>
        <w:tc>
          <w:tcPr>
            <w:tcW w:w="1594" w:type="pct"/>
            <w:tcBorders>
              <w:tl2br w:val="nil"/>
              <w:tr2bl w:val="nil"/>
            </w:tcBorders>
            <w:noWrap w:val="0"/>
            <w:vAlign w:val="center"/>
          </w:tcPr>
          <w:p w14:paraId="6D7C36E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增加了平均晶粒尺寸的取样该规定</w:t>
            </w:r>
          </w:p>
          <w:p w14:paraId="1D44102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检验结果的数值按GB/T 8170的规定进行修约，并采用修约值比较法判定。</w:t>
            </w:r>
          </w:p>
          <w:p w14:paraId="4812FE69">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当平均晶粒尺寸检验结果不合格时，应从该批产品中另取双倍数量的试样进行重复试验。重复试验结果全部合格，则判整批产品合格。若重复试验结果仍有试样不合格，则判该批产品不合格或由供方重新处理</w:t>
            </w:r>
          </w:p>
        </w:tc>
        <w:tc>
          <w:tcPr>
            <w:tcW w:w="1513" w:type="pct"/>
            <w:tcBorders>
              <w:tl2br w:val="nil"/>
              <w:tr2bl w:val="nil"/>
            </w:tcBorders>
            <w:noWrap w:val="0"/>
            <w:vAlign w:val="center"/>
          </w:tcPr>
          <w:p w14:paraId="13FD3CE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因增加了平均晶粒尺寸检测，需要增加平均晶粒尺寸的取样规定，平均晶粒尺寸检验结果的判定。</w:t>
            </w:r>
          </w:p>
          <w:p w14:paraId="7BB07517">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检验结果的数值按GB/T 8170的规定进行修约，并采用修约值比较法判定”的规定，是上位标准体系的直接要求，是铜及铜合金产品标准体系保持一致的必然选择，是底层试验方法标准与产品标准之间实现协调统一的必要手段，也是行业检验判定操作实践经验的科学总结</w:t>
            </w:r>
          </w:p>
        </w:tc>
      </w:tr>
      <w:tr w14:paraId="48DACC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5AD41AEE">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8</w:t>
            </w:r>
            <w:r>
              <w:rPr>
                <w:rFonts w:hint="eastAsia" w:asciiTheme="minorEastAsia" w:hAnsiTheme="minorEastAsia" w:eastAsiaTheme="minorEastAsia" w:cstheme="minorEastAsia"/>
                <w:sz w:val="18"/>
                <w:szCs w:val="18"/>
              </w:rPr>
              <w:t>标志、包装、运输、贮存</w:t>
            </w:r>
          </w:p>
        </w:tc>
        <w:tc>
          <w:tcPr>
            <w:tcW w:w="1261" w:type="pct"/>
            <w:tcBorders>
              <w:tl2br w:val="nil"/>
              <w:tr2bl w:val="nil"/>
            </w:tcBorders>
            <w:noWrap w:val="0"/>
            <w:vAlign w:val="center"/>
          </w:tcPr>
          <w:p w14:paraId="4E4C6DA2">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94" w:type="pct"/>
            <w:tcBorders>
              <w:tl2br w:val="nil"/>
              <w:tr2bl w:val="nil"/>
            </w:tcBorders>
            <w:noWrap w:val="0"/>
            <w:vAlign w:val="center"/>
          </w:tcPr>
          <w:p w14:paraId="6DBE77A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13" w:type="pct"/>
            <w:tcBorders>
              <w:tl2br w:val="nil"/>
              <w:tr2bl w:val="nil"/>
            </w:tcBorders>
            <w:noWrap w:val="0"/>
            <w:vAlign w:val="center"/>
          </w:tcPr>
          <w:p w14:paraId="5EF17731">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引用标准GB/T 8888现行有效且技术内容成熟稳定、以及行业调研中未收到普遍性修改诉求。</w:t>
            </w:r>
          </w:p>
        </w:tc>
      </w:tr>
      <w:tr w14:paraId="682D74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394E2A9C">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w:t>
            </w:r>
            <w:r>
              <w:rPr>
                <w:rFonts w:hint="eastAsia" w:asciiTheme="minorEastAsia" w:hAnsiTheme="minorEastAsia" w:eastAsiaTheme="minorEastAsia" w:cstheme="minorEastAsia"/>
                <w:sz w:val="18"/>
                <w:szCs w:val="18"/>
                <w:lang w:eastAsia="zh-CN"/>
              </w:rPr>
              <w:t>订货单内容</w:t>
            </w:r>
          </w:p>
        </w:tc>
        <w:tc>
          <w:tcPr>
            <w:tcW w:w="1261" w:type="pct"/>
            <w:tcBorders>
              <w:tl2br w:val="nil"/>
              <w:tr2bl w:val="nil"/>
            </w:tcBorders>
            <w:noWrap w:val="0"/>
            <w:vAlign w:val="center"/>
          </w:tcPr>
          <w:p w14:paraId="67B9CCA1">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94" w:type="pct"/>
            <w:tcBorders>
              <w:tl2br w:val="nil"/>
              <w:tr2bl w:val="nil"/>
            </w:tcBorders>
            <w:noWrap w:val="0"/>
            <w:vAlign w:val="center"/>
          </w:tcPr>
          <w:p w14:paraId="5115EC58">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新旧版一致</w:t>
            </w:r>
          </w:p>
        </w:tc>
        <w:tc>
          <w:tcPr>
            <w:tcW w:w="1513" w:type="pct"/>
            <w:tcBorders>
              <w:tl2br w:val="nil"/>
              <w:tr2bl w:val="nil"/>
            </w:tcBorders>
            <w:noWrap w:val="0"/>
            <w:vAlign w:val="center"/>
          </w:tcPr>
          <w:p w14:paraId="55DA8268">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该条款属于协作性要素而非整体技术要求，其功能在于提示交易双方将标准各项技术条件转化为合同约定，内容保持稳定不影响标准的质量管控作用</w:t>
            </w:r>
          </w:p>
        </w:tc>
      </w:tr>
      <w:tr w14:paraId="219FD4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629" w:type="pct"/>
            <w:tcBorders>
              <w:tl2br w:val="nil"/>
              <w:tr2bl w:val="nil"/>
            </w:tcBorders>
            <w:noWrap w:val="0"/>
            <w:vAlign w:val="center"/>
          </w:tcPr>
          <w:p w14:paraId="7952659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附录A</w:t>
            </w:r>
          </w:p>
        </w:tc>
        <w:tc>
          <w:tcPr>
            <w:tcW w:w="1261" w:type="pct"/>
            <w:tcBorders>
              <w:tl2br w:val="nil"/>
              <w:tr2bl w:val="nil"/>
            </w:tcBorders>
            <w:noWrap w:val="0"/>
            <w:vAlign w:val="center"/>
          </w:tcPr>
          <w:p w14:paraId="0BC40C7B">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本标准与美国ASTM标准对应的牌号及状态表示方法</w:t>
            </w:r>
          </w:p>
        </w:tc>
        <w:tc>
          <w:tcPr>
            <w:tcW w:w="1594" w:type="pct"/>
            <w:tcBorders>
              <w:tl2br w:val="nil"/>
              <w:tr2bl w:val="nil"/>
            </w:tcBorders>
            <w:noWrap w:val="0"/>
            <w:vAlign w:val="center"/>
          </w:tcPr>
          <w:p w14:paraId="12D81F94">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 时效热处理工艺</w:t>
            </w:r>
          </w:p>
        </w:tc>
        <w:tc>
          <w:tcPr>
            <w:tcW w:w="1513" w:type="pct"/>
            <w:tcBorders>
              <w:tl2br w:val="nil"/>
              <w:tr2bl w:val="nil"/>
            </w:tcBorders>
            <w:noWrap w:val="0"/>
            <w:vAlign w:val="center"/>
          </w:tcPr>
          <w:p w14:paraId="0EB22BED">
            <w:p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GB/T 5231—2022作为牌号和化学成分管理的上位基础标准，已完整覆盖铍青铜牌号的定义工作，行业标准不应越位定义</w:t>
            </w:r>
          </w:p>
        </w:tc>
      </w:tr>
    </w:tbl>
    <w:p w14:paraId="49212F4A">
      <w:pPr>
        <w:pStyle w:val="23"/>
        <w:wordWrap/>
        <w:adjustRightInd w:val="0"/>
        <w:snapToGrid/>
        <w:spacing w:line="240" w:lineRule="auto"/>
        <w:ind w:left="0" w:leftChars="0" w:firstLine="0" w:firstLineChars="0"/>
        <w:textAlignment w:val="auto"/>
        <w:rPr>
          <w:rFonts w:hint="default" w:ascii="Times New Roman" w:hAnsi="Times New Roman" w:eastAsia="宋体" w:cs="Times New Roman"/>
          <w:color w:val="auto"/>
          <w:kern w:val="0"/>
          <w:sz w:val="21"/>
          <w:szCs w:val="21"/>
          <w:lang w:val="en-US" w:eastAsia="zh-CN" w:bidi="ar-SA"/>
        </w:rPr>
      </w:pPr>
    </w:p>
    <w:p w14:paraId="1239187A">
      <w:pPr>
        <w:pStyle w:val="10"/>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试验验证分析、综述报告、技术经济论证、预期达到的经济效益、社会效益和生态效益</w:t>
      </w:r>
    </w:p>
    <w:p w14:paraId="6E457D4D">
      <w:pPr>
        <w:pStyle w:val="10"/>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1、试验验证分析和综述报告</w:t>
      </w:r>
    </w:p>
    <w:p w14:paraId="66927D44">
      <w:pPr>
        <w:pStyle w:val="5"/>
        <w:numPr>
          <w:ilvl w:val="0"/>
          <w:numId w:val="6"/>
        </w:numPr>
        <w:spacing w:line="360" w:lineRule="auto"/>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必要性</w:t>
      </w:r>
    </w:p>
    <w:p w14:paraId="5C85E58A">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黑体" w:hAnsi="宋体" w:eastAsia="黑体" w:cs="宋体"/>
          <w:bCs/>
          <w:color w:val="auto"/>
          <w:sz w:val="21"/>
          <w:szCs w:val="21"/>
          <w:lang w:val="en-US" w:eastAsia="zh-CN"/>
        </w:rPr>
      </w:pPr>
      <w:r>
        <w:rPr>
          <w:rFonts w:hint="eastAsia" w:ascii="Times New Roman" w:hAnsi="Times New Roman" w:eastAsia="宋体" w:cs="Times New Roman"/>
          <w:color w:val="auto"/>
          <w:kern w:val="0"/>
          <w:sz w:val="21"/>
          <w:szCs w:val="21"/>
          <w:lang w:val="en-US" w:eastAsia="zh-CN" w:bidi="ar-SA"/>
        </w:rPr>
        <w:t>基于铍青铜棒材优良的性能，其已成为未来航空航天、国防军工等领域重要的战略材料，本次标准修订是为了进一步规范和促进铍青铜棒材的发展，以适应新的技术要求，使铍青铜技术更好更快的发展。YS/T 3343-2009《铍青铜圆形棒材》标准由宁夏东方钽业股份有限公司于2009年起草，现已运行近16年。随着铍青铜棒材制备技术的进步，市场对铍青铜产品的性能需求发生了变化，目前的订货合同双方大多采用技术协议的方式进行，YS/T 334-2009《铍青铜圆形棒材》标准已不适用于现有产品的技术和质量要求。为了推进标准化，使铍青铜棒材产品能更好地满足顾客要求。本次修订有利于推进铍青铜棒材制造技术研究，规范加工生产，促进提高生产工艺水平，保证铍青铜棒材产品质量，为全面提高我国铍青铜棒材制造企业的产品质量和市场竞争力，满足国防军工和民用的需求</w:t>
      </w:r>
    </w:p>
    <w:p w14:paraId="4802644D">
      <w:pPr>
        <w:pStyle w:val="5"/>
        <w:numPr>
          <w:ilvl w:val="0"/>
          <w:numId w:val="6"/>
        </w:numPr>
        <w:spacing w:line="360" w:lineRule="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可行性</w:t>
      </w:r>
    </w:p>
    <w:p w14:paraId="452395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当前，我国正处于高端制造业转型升级的关键时期，航空航天、5G通信、新能源汽车、半导体装备等战略性新兴产业对高性能铍青铜棒材的需求持续增长。然而，现行YS/T 334—2009《铍青铜圆形棒材》标准已实施逾十五年，在技术指标体系、牌号与状态表示、检验规则、与基础标准及国际标准的协调性等方面，已明显滞后于行业技术发展和市场需求变化。亟需根据国内铍铜合金产业的实际发展水平，对标准中不符合现状的内容进行系统补充和修订。</w:t>
      </w:r>
    </w:p>
    <w:p w14:paraId="4D6A03B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 标准滞后性问题突出，修订需求迫切</w:t>
      </w:r>
    </w:p>
    <w:p w14:paraId="1BBC60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通过前期对航空航天、电子通信、石油化工等主要用户领域及国内重点生产企业的系统调研，现行标准存在的主要问题包括：力学性能指标与ASTM B196/B196M—24等国际先进标准存在差距；未规定棒材端面切斜度，导致用户装夹定位困难；检验规则中缺少数值修约与判定方法的统一规定；标准附录中与美国ASTM标准的牌号对照表已过时且存在误导风险。上述问题的存在，严重影响了标准的适用性和引导产业升级的作用，修订工作势在必行。</w:t>
      </w:r>
    </w:p>
    <w:p w14:paraId="3311A8D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 行业技术基础扎实，具备修订条件</w:t>
      </w:r>
    </w:p>
    <w:p w14:paraId="7B51DECB">
      <w:pPr>
        <w:spacing w:beforeLines="0" w:afterLines="0" w:line="360" w:lineRule="auto"/>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经过十余年发展，我国铍青铜加工产业已形成较为完整的产业链。</w:t>
      </w:r>
      <w:r>
        <w:rPr>
          <w:rFonts w:hint="eastAsia" w:asciiTheme="minorEastAsia" w:hAnsiTheme="minorEastAsia" w:eastAsiaTheme="minorEastAsia" w:cstheme="minorEastAsia"/>
          <w:b w:val="0"/>
          <w:bCs w:val="0"/>
          <w:color w:val="auto"/>
          <w:sz w:val="21"/>
          <w:szCs w:val="21"/>
        </w:rPr>
        <w:t>浙江国工</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苏州金江电子科技</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kern w:val="0"/>
          <w:sz w:val="21"/>
          <w:szCs w:val="21"/>
        </w:rPr>
        <w:t>沈阳有色金属研究所</w:t>
      </w:r>
      <w:r>
        <w:rPr>
          <w:rFonts w:hint="eastAsia" w:asciiTheme="minorEastAsia" w:hAnsiTheme="minorEastAsia" w:eastAsiaTheme="minorEastAsia" w:cstheme="minorEastAsia"/>
          <w:b w:val="0"/>
          <w:bCs w:val="0"/>
          <w:color w:val="auto"/>
          <w:kern w:val="0"/>
          <w:sz w:val="21"/>
          <w:szCs w:val="21"/>
          <w:lang w:eastAsia="zh-CN"/>
        </w:rPr>
        <w:t>、</w:t>
      </w:r>
      <w:r>
        <w:rPr>
          <w:rFonts w:hint="eastAsia" w:asciiTheme="minorEastAsia" w:hAnsiTheme="minorEastAsia" w:eastAsiaTheme="minorEastAsia" w:cstheme="minorEastAsia"/>
          <w:color w:val="auto"/>
          <w:highlight w:val="none"/>
        </w:rPr>
        <w:t>国工恒昌</w:t>
      </w:r>
      <w:r>
        <w:rPr>
          <w:rFonts w:hint="eastAsia" w:asciiTheme="minorEastAsia" w:hAnsiTheme="minorEastAsia" w:eastAsiaTheme="minorEastAsia" w:cstheme="minorEastAsia"/>
          <w:color w:val="auto"/>
        </w:rPr>
        <w:t>等骨干企业已具备规模化生产能力，产品质量</w:t>
      </w:r>
      <w:r>
        <w:rPr>
          <w:rFonts w:hint="eastAsia" w:asciiTheme="minorEastAsia" w:hAnsiTheme="minorEastAsia" w:eastAsiaTheme="minorEastAsia" w:cstheme="minorEastAsia"/>
        </w:rPr>
        <w:t>稳步提升，部分产品已实现出口。在技术研发方面；宁夏中色新材料等企业在真空熔炼、恒温半连续铸造等工艺环节积累了丰富经验。行业整体技术水平的提升，为修订标准中化学成分、力学性能、尺寸公差等技术指标提供了充分的生产数据支撑和验证条件。</w:t>
      </w:r>
    </w:p>
    <w:p w14:paraId="4FE1576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 上下游调研充分，修订方向明确</w:t>
      </w:r>
    </w:p>
    <w:p w14:paraId="098B67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由标准牵头起草单位联合参编企业，开展了覆盖全产业链的系统调研。走访了航空航天、电子通信、新能源汽车、石油化工等主要用户单位，以及国内主要铍铜棒材生产企业和第三方检测机构。重点收集了各牌号产品的力学性能实测数据、</w:t>
      </w:r>
      <w:r>
        <w:rPr>
          <w:rFonts w:hint="eastAsia" w:asciiTheme="minorEastAsia" w:hAnsiTheme="minorEastAsia" w:cstheme="minorEastAsia"/>
          <w:lang w:eastAsia="zh-CN"/>
        </w:rPr>
        <w:t>平均晶粒尺寸</w:t>
      </w:r>
      <w:r>
        <w:rPr>
          <w:rFonts w:hint="eastAsia" w:asciiTheme="minorEastAsia" w:hAnsiTheme="minorEastAsia" w:eastAsiaTheme="minorEastAsia" w:cstheme="minorEastAsia"/>
        </w:rPr>
        <w:t>检测记录、用户质量异议反馈等信息。明确了“完善技术指标、精简冗余附录、协调体系衔接、提升标准先进性”的修订总体方向。</w:t>
      </w:r>
    </w:p>
    <w:p w14:paraId="0504676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4. 编制组实力雄厚，保障有力</w:t>
      </w:r>
    </w:p>
    <w:p w14:paraId="4A2083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由长期从事铍铜合金材料研发、生产和标准化工作的行业骨干企业牵头，联合国内主要铍青铜棒材生产企业、下游典型用户及权威检测机构组成标准编制组。编制组核心成员均具有二十年以上有色金属材料及标准化工作经验，深度参与过多项铜及铜合金产品标准的制修订工作，对铍青铜棒材的技术规范、质量要求和行业发展方向有着深刻理解和精准把握。编制组已系统收集了国内外相关标准文献（ASTM B196/B196M—24、GB/T 5231—2022、GB/T 4423—2020等），并对国内生产企业近三年的质量数据进行了汇总分析，为项目开展提供了坚实的标准认知基础和行业数据支撑。</w:t>
      </w:r>
    </w:p>
    <w:p w14:paraId="26EAD5E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5. 标准编制及论证程序规范</w:t>
      </w:r>
    </w:p>
    <w:p w14:paraId="4A7595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Theme="minorEastAsia" w:hAnsiTheme="minorEastAsia" w:eastAsiaTheme="minorEastAsia" w:cstheme="minorEastAsia"/>
        </w:rPr>
        <w:t>按GB/T 1.1—2020《标准化工作导则 第1部分：标准化文件的结构和起草规则》的要求，由牵头单位整合调研数据和试验结果，编制标准草案及编制说明。通过全国有色金属标准化技术委员会组织编制组成员单位、行业专家开展多轮内部论证，优化分类逻辑、技术指标限值等内容。扩大征求意见范围至生产企业、下游用户、科研机构及检测机构，汇总反馈意见并形成征求意见稿、送审稿。最终由标委会牵头完成报批流程。上述程序已在本项目的预研阶段得到充分验证，具备可操作性</w:t>
      </w:r>
      <w:r>
        <w:rPr>
          <w:rFonts w:hint="default" w:ascii="Segoe UI" w:hAnsi="Segoe UI" w:eastAsia="Segoe UI" w:cs="Segoe UI"/>
          <w:i w:val="0"/>
          <w:iCs w:val="0"/>
          <w:caps w:val="0"/>
          <w:color w:val="0F1115"/>
          <w:spacing w:val="0"/>
          <w:szCs w:val="24"/>
          <w:shd w:val="clear" w:fill="FFFFFF"/>
        </w:rPr>
        <w:t>。</w:t>
      </w:r>
    </w:p>
    <w:p w14:paraId="27134A28">
      <w:pPr>
        <w:pStyle w:val="5"/>
        <w:numPr>
          <w:ilvl w:val="0"/>
          <w:numId w:val="6"/>
        </w:numPr>
        <w:spacing w:line="360" w:lineRule="auto"/>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7B0CD109">
      <w:pPr>
        <w:pStyle w:val="5"/>
        <w:numPr>
          <w:ilvl w:val="0"/>
          <w:numId w:val="0"/>
        </w:numPr>
        <w:spacing w:line="360" w:lineRule="auto"/>
        <w:ind w:leftChars="0"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针对主要内容的确定，具体说明试验结果对技术指标或实验方法的支撑情况，分析报告和综述性报告宜作为附件。产品标准各指标的确定至少有来自不同单位的一百组数据进行分析。</w:t>
      </w:r>
    </w:p>
    <w:p w14:paraId="36A6BF11">
      <w:pPr>
        <w:pStyle w:val="5"/>
        <w:numPr>
          <w:ilvl w:val="0"/>
          <w:numId w:val="0"/>
        </w:numPr>
        <w:spacing w:line="360" w:lineRule="auto"/>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3.1 警示</w:t>
      </w:r>
    </w:p>
    <w:p w14:paraId="37FFCD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警示</w:t>
      </w:r>
      <w:r>
        <w:rPr>
          <w:rFonts w:hint="eastAsia" w:asciiTheme="minorEastAsia" w:hAnsiTheme="minorEastAsia" w:eastAsiaTheme="minorEastAsia" w:cstheme="minorEastAsia"/>
          <w:sz w:val="21"/>
          <w:szCs w:val="21"/>
          <w:highlight w:val="none"/>
        </w:rPr>
        <w:t>——铍青铜棒材在固态完整且无外界扰动的日常使用状态下通常是安全的，不会对身体造成危害；仅在产生含铍粉尘/烟雾/雾气的加工或不当工况下存在健康风险。本文件并未指出所有可能出现的安全问题。使用本文件的人员应有正规实验室工作的经验。使用者有责任采取适当的安全和健康措施，并保证符合有关国家法规规定的条件。</w:t>
      </w:r>
    </w:p>
    <w:p w14:paraId="399BCB38">
      <w:pPr>
        <w:pStyle w:val="16"/>
        <w:spacing w:line="360" w:lineRule="auto"/>
        <w:ind w:left="0" w:leftChars="0" w:firstLine="0" w:firstLineChars="0"/>
        <w:rPr>
          <w:rFonts w:hint="eastAsia" w:ascii="黑体" w:hAnsi="黑体" w:eastAsia="黑体" w:cs="黑体"/>
          <w:b w:val="0"/>
          <w:bCs w:val="0"/>
          <w:sz w:val="21"/>
          <w:szCs w:val="21"/>
          <w:highlight w:val="none"/>
          <w:lang w:val="en-US" w:eastAsia="zh-CN"/>
        </w:rPr>
      </w:pPr>
      <w:r>
        <w:rPr>
          <w:rFonts w:hint="eastAsia" w:ascii="黑体" w:hAnsi="黑体" w:eastAsia="黑体" w:cs="黑体"/>
          <w:b w:val="0"/>
          <w:bCs w:val="0"/>
          <w:sz w:val="21"/>
          <w:szCs w:val="21"/>
          <w:highlight w:val="none"/>
          <w:lang w:val="en-US" w:eastAsia="zh-CN"/>
        </w:rPr>
        <w:t xml:space="preserve">3.2 </w:t>
      </w:r>
      <w:r>
        <w:rPr>
          <w:rFonts w:hint="eastAsia" w:ascii="黑体" w:hAnsi="黑体" w:eastAsia="黑体" w:cs="黑体"/>
          <w:b w:val="0"/>
          <w:bCs w:val="0"/>
          <w:color w:val="auto"/>
          <w:sz w:val="21"/>
          <w:szCs w:val="21"/>
        </w:rPr>
        <w:t>标准适用范围</w:t>
      </w:r>
    </w:p>
    <w:p w14:paraId="42CCBE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规定了</w:t>
      </w:r>
      <w:r>
        <w:rPr>
          <w:rFonts w:hint="eastAsia" w:asciiTheme="minorEastAsia" w:hAnsiTheme="minorEastAsia" w:eastAsiaTheme="minorEastAsia" w:cstheme="minorEastAsia"/>
          <w:sz w:val="21"/>
          <w:szCs w:val="21"/>
          <w:highlight w:val="none"/>
          <w:lang w:eastAsia="zh-CN"/>
        </w:rPr>
        <w:t>铍</w:t>
      </w:r>
      <w:r>
        <w:rPr>
          <w:rFonts w:hint="eastAsia" w:asciiTheme="minorEastAsia" w:hAnsiTheme="minorEastAsia" w:eastAsiaTheme="minorEastAsia" w:cstheme="minorEastAsia"/>
          <w:sz w:val="21"/>
          <w:szCs w:val="21"/>
          <w:highlight w:val="none"/>
        </w:rPr>
        <w:t>青</w:t>
      </w:r>
      <w:r>
        <w:rPr>
          <w:rFonts w:hint="eastAsia" w:asciiTheme="minorEastAsia" w:hAnsiTheme="minorEastAsia" w:eastAsiaTheme="minorEastAsia" w:cstheme="minorEastAsia"/>
          <w:sz w:val="21"/>
          <w:szCs w:val="21"/>
          <w:highlight w:val="none"/>
          <w:lang w:eastAsia="zh-CN"/>
        </w:rPr>
        <w:t>铜</w:t>
      </w:r>
      <w:r>
        <w:rPr>
          <w:rFonts w:hint="eastAsia" w:asciiTheme="minorEastAsia" w:hAnsiTheme="minorEastAsia" w:eastAsiaTheme="minorEastAsia" w:cstheme="minorEastAsia"/>
          <w:sz w:val="21"/>
          <w:szCs w:val="21"/>
          <w:highlight w:val="none"/>
        </w:rPr>
        <w:t>棒的要求、试验方法、检</w:t>
      </w:r>
      <w:r>
        <w:rPr>
          <w:rFonts w:hint="eastAsia" w:asciiTheme="minorEastAsia" w:hAnsiTheme="minorEastAsia" w:eastAsiaTheme="minorEastAsia" w:cstheme="minorEastAsia"/>
          <w:sz w:val="21"/>
          <w:szCs w:val="21"/>
          <w:highlight w:val="none"/>
          <w:lang w:eastAsia="zh-CN"/>
        </w:rPr>
        <w:t>验</w:t>
      </w:r>
      <w:r>
        <w:rPr>
          <w:rFonts w:hint="eastAsia" w:asciiTheme="minorEastAsia" w:hAnsiTheme="minorEastAsia" w:eastAsiaTheme="minorEastAsia" w:cstheme="minorEastAsia"/>
          <w:sz w:val="21"/>
          <w:szCs w:val="21"/>
          <w:highlight w:val="none"/>
        </w:rPr>
        <w:t xml:space="preserve">规则及标志、包装、运输、贮存和订货单(或合同) 内容。 </w:t>
      </w:r>
    </w:p>
    <w:p w14:paraId="118758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color w:val="auto"/>
          <w:sz w:val="21"/>
          <w:szCs w:val="21"/>
          <w:highlight w:val="none"/>
          <w:lang w:val="en-US" w:eastAsia="zh-CN"/>
        </w:rPr>
        <w:t>本文件适用于航空、航天、电子、石油行业、</w:t>
      </w:r>
      <w:r>
        <w:rPr>
          <w:rFonts w:hint="eastAsia" w:asciiTheme="minorEastAsia" w:hAnsiTheme="minorEastAsia" w:eastAsiaTheme="minorEastAsia" w:cstheme="minorEastAsia"/>
          <w:i w:val="0"/>
          <w:iCs/>
          <w:color w:val="auto"/>
          <w:sz w:val="21"/>
          <w:szCs w:val="21"/>
          <w:lang w:val="en-US" w:eastAsia="zh-CN"/>
        </w:rPr>
        <w:t>武器系统、雷达系统等领域使用的铍青铜圆形棒材</w:t>
      </w:r>
      <w:r>
        <w:rPr>
          <w:rFonts w:hint="eastAsia" w:asciiTheme="minorEastAsia" w:hAnsiTheme="minorEastAsia" w:eastAsiaTheme="minorEastAsia" w:cstheme="minorEastAsia"/>
          <w:color w:val="auto"/>
          <w:sz w:val="21"/>
          <w:szCs w:val="21"/>
        </w:rPr>
        <w:t xml:space="preserve">。 </w:t>
      </w:r>
    </w:p>
    <w:p w14:paraId="13AD1CDE">
      <w:pPr>
        <w:keepNext w:val="0"/>
        <w:keepLines w:val="0"/>
        <w:pageBreakBefore w:val="0"/>
        <w:widowControl w:val="0"/>
        <w:kinsoku/>
        <w:wordWrap/>
        <w:overflowPunct/>
        <w:topLinePunct w:val="0"/>
        <w:autoSpaceDE/>
        <w:autoSpaceDN/>
        <w:bidi w:val="0"/>
        <w:adjustRightInd/>
        <w:snapToGrid/>
        <w:spacing w:beforeLines="50" w:afterLines="50" w:line="360" w:lineRule="auto"/>
        <w:textAlignment w:val="auto"/>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3.</w:t>
      </w:r>
      <w:r>
        <w:rPr>
          <w:rFonts w:hint="eastAsia" w:ascii="黑体" w:hAnsi="黑体" w:eastAsia="黑体" w:cs="黑体"/>
          <w:b w:val="0"/>
          <w:bCs w:val="0"/>
          <w:color w:val="auto"/>
          <w:sz w:val="21"/>
          <w:szCs w:val="21"/>
          <w:lang w:val="en-US" w:eastAsia="zh-CN"/>
        </w:rPr>
        <w:t>3</w:t>
      </w:r>
      <w:r>
        <w:rPr>
          <w:rFonts w:hint="eastAsia" w:ascii="黑体" w:hAnsi="黑体" w:eastAsia="黑体" w:cs="黑体"/>
          <w:b w:val="0"/>
          <w:bCs w:val="0"/>
          <w:color w:val="auto"/>
          <w:sz w:val="21"/>
          <w:szCs w:val="21"/>
        </w:rPr>
        <w:t>主要技术内容</w:t>
      </w:r>
      <w:r>
        <w:rPr>
          <w:rFonts w:hint="eastAsia" w:ascii="黑体" w:hAnsi="宋体" w:eastAsia="黑体" w:cs="宋体"/>
          <w:bCs/>
          <w:color w:val="auto"/>
          <w:sz w:val="21"/>
          <w:szCs w:val="21"/>
          <w:lang w:val="en-US" w:eastAsia="zh-CN"/>
        </w:rPr>
        <w:t>的确定依据及主要试验和验证情况分析</w:t>
      </w:r>
    </w:p>
    <w:p w14:paraId="402008FE">
      <w:pPr>
        <w:pStyle w:val="5"/>
        <w:spacing w:line="360" w:lineRule="auto"/>
        <w:rPr>
          <w:rFonts w:hint="eastAsia" w:ascii="黑体" w:hAnsi="黑体" w:eastAsia="黑体" w:cs="黑体"/>
          <w:lang w:val="en-US" w:eastAsia="zh-CN"/>
        </w:rPr>
      </w:pPr>
      <w:r>
        <w:rPr>
          <w:rFonts w:hint="eastAsia" w:ascii="黑体" w:hAnsi="黑体" w:eastAsia="黑体" w:cs="黑体"/>
          <w:lang w:val="en-US" w:eastAsia="zh-CN"/>
        </w:rPr>
        <w:t>3.3.1产品分类</w:t>
      </w:r>
    </w:p>
    <w:p w14:paraId="46E7E3AF">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1"/>
          <w:highlight w:val="none"/>
          <w:lang w:eastAsia="zh-CN"/>
        </w:rPr>
      </w:pPr>
      <w:r>
        <w:rPr>
          <w:rFonts w:ascii="Times New Roman" w:hAnsi="Times New Roman" w:eastAsia="宋体" w:cs="Times New Roman"/>
          <w:szCs w:val="21"/>
          <w:highlight w:val="none"/>
        </w:rPr>
        <w:t>本标准中的</w:t>
      </w:r>
      <w:r>
        <w:rPr>
          <w:rFonts w:hint="eastAsia" w:ascii="Times New Roman" w:hAnsi="Times New Roman" w:eastAsia="宋体" w:cs="Times New Roman"/>
          <w:szCs w:val="21"/>
          <w:highlight w:val="none"/>
          <w:lang w:eastAsia="zh-CN"/>
        </w:rPr>
        <w:t>代号、</w:t>
      </w:r>
      <w:r>
        <w:rPr>
          <w:rFonts w:ascii="Times New Roman" w:hAnsi="Times New Roman" w:eastAsia="宋体" w:cs="Times New Roman"/>
          <w:szCs w:val="21"/>
          <w:highlight w:val="none"/>
        </w:rPr>
        <w:t>牌号都是</w:t>
      </w:r>
      <w:r>
        <w:rPr>
          <w:rFonts w:hint="eastAsia" w:ascii="宋体" w:hAnsi="宋体" w:eastAsia="宋体" w:cs="宋体"/>
          <w:szCs w:val="21"/>
          <w:highlight w:val="none"/>
        </w:rPr>
        <w:t>来自GB/T 5231中的牌</w:t>
      </w:r>
      <w:r>
        <w:rPr>
          <w:rFonts w:ascii="Times New Roman" w:hAnsi="Times New Roman" w:eastAsia="宋体" w:cs="Times New Roman"/>
          <w:szCs w:val="21"/>
          <w:highlight w:val="none"/>
        </w:rPr>
        <w:t>号，</w:t>
      </w:r>
      <w:r>
        <w:rPr>
          <w:rFonts w:hint="eastAsia" w:ascii="Times New Roman" w:hAnsi="Times New Roman" w:eastAsia="宋体" w:cs="Times New Roman"/>
          <w:szCs w:val="21"/>
          <w:highlight w:val="none"/>
          <w:lang w:eastAsia="zh-CN"/>
        </w:rPr>
        <w:t>状态符合</w:t>
      </w:r>
      <w:r>
        <w:rPr>
          <w:rFonts w:hint="eastAsia" w:ascii="宋体" w:hAnsi="宋体" w:eastAsia="宋体" w:cs="宋体"/>
          <w:szCs w:val="21"/>
          <w:highlight w:val="none"/>
          <w:lang w:eastAsia="zh-CN"/>
        </w:rPr>
        <w:t>GB</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T 29094的</w:t>
      </w:r>
      <w:r>
        <w:rPr>
          <w:rFonts w:hint="eastAsia" w:ascii="Times New Roman" w:hAnsi="Times New Roman" w:eastAsia="宋体" w:cs="Times New Roman"/>
          <w:szCs w:val="21"/>
          <w:highlight w:val="none"/>
          <w:lang w:eastAsia="zh-CN"/>
        </w:rPr>
        <w:t>规定。</w:t>
      </w:r>
    </w:p>
    <w:p w14:paraId="762C7F1C">
      <w:pPr>
        <w:pStyle w:val="5"/>
        <w:spacing w:line="360" w:lineRule="auto"/>
        <w:rPr>
          <w:rFonts w:hint="eastAsia" w:ascii="黑体" w:hAnsi="黑体" w:eastAsia="黑体" w:cs="黑体"/>
          <w:szCs w:val="21"/>
          <w:highlight w:val="none"/>
          <w:lang w:val="en-US" w:eastAsia="zh-CN"/>
        </w:rPr>
      </w:pPr>
      <w:r>
        <w:rPr>
          <w:rFonts w:hint="eastAsia" w:ascii="黑体" w:hAnsi="黑体" w:eastAsia="黑体" w:cs="黑体"/>
          <w:szCs w:val="21"/>
          <w:highlight w:val="none"/>
          <w:lang w:val="en-US" w:eastAsia="zh-CN"/>
        </w:rPr>
        <w:t>3.3.2化学成分</w:t>
      </w:r>
    </w:p>
    <w:p w14:paraId="509C47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eastAsia="zh-CN"/>
        </w:rPr>
        <w:t>产品牌号为</w:t>
      </w:r>
      <w:r>
        <w:rPr>
          <w:rFonts w:hint="eastAsia" w:ascii="宋体" w:hAnsi="宋体" w:eastAsia="宋体" w:cs="宋体"/>
          <w:color w:val="auto"/>
          <w:kern w:val="0"/>
          <w:sz w:val="21"/>
          <w:szCs w:val="21"/>
          <w:lang w:val="en-US" w:eastAsia="zh-CN" w:bidi="ar-SA"/>
        </w:rPr>
        <w:t>TBe1.9-0.2、TBe1.9-0.4、TBe0.3-1.5、TBe0.6-2.5、TBe0.4-1.8、TBe1.7、TBe1.9、TBe1.9-0.1和TBe2的化学成分应符合GB/T5231的规定，C17200的化学成分应符合表4的规定。</w:t>
      </w:r>
    </w:p>
    <w:p w14:paraId="5CECB05B">
      <w:pPr>
        <w:pStyle w:val="16"/>
        <w:bidi w:val="0"/>
        <w:spacing w:line="360" w:lineRule="auto"/>
        <w:jc w:val="center"/>
        <w:rPr>
          <w:rFonts w:hint="eastAsia" w:ascii="黑体" w:hAnsi="黑体" w:eastAsia="黑体" w:cs="黑体"/>
          <w:color w:val="auto"/>
          <w:lang w:val="en-US" w:eastAsia="zh-CN"/>
        </w:rPr>
      </w:pPr>
      <w:r>
        <w:rPr>
          <w:rFonts w:hint="eastAsia" w:ascii="黑体" w:hAnsi="黑体" w:eastAsia="黑体" w:cs="黑体"/>
          <w:color w:val="auto"/>
        </w:rPr>
        <w:t>表</w:t>
      </w:r>
      <w:r>
        <w:rPr>
          <w:rFonts w:hint="eastAsia" w:ascii="黑体" w:hAnsi="黑体" w:eastAsia="黑体" w:cs="黑体"/>
          <w:color w:val="auto"/>
          <w:lang w:val="en-US" w:eastAsia="zh-CN"/>
        </w:rPr>
        <w:t>4 产品的化学成分</w:t>
      </w:r>
    </w:p>
    <w:tbl>
      <w:tblPr>
        <w:tblStyle w:val="11"/>
        <w:tblW w:w="499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04"/>
        <w:gridCol w:w="1106"/>
        <w:gridCol w:w="1106"/>
        <w:gridCol w:w="1106"/>
        <w:gridCol w:w="1106"/>
        <w:gridCol w:w="1115"/>
        <w:gridCol w:w="1106"/>
        <w:gridCol w:w="1111"/>
      </w:tblGrid>
      <w:tr w14:paraId="6C8B5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70" w:type="pct"/>
            <w:vMerge w:val="restart"/>
            <w:tcBorders>
              <w:left w:val="single" w:color="auto" w:sz="4" w:space="0"/>
              <w:right w:val="single" w:color="auto" w:sz="4" w:space="0"/>
            </w:tcBorders>
            <w:noWrap w:val="0"/>
            <w:vAlign w:val="center"/>
          </w:tcPr>
          <w:p w14:paraId="5C1096D7">
            <w:pPr>
              <w:jc w:val="center"/>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代号</w:t>
            </w:r>
          </w:p>
        </w:tc>
        <w:tc>
          <w:tcPr>
            <w:tcW w:w="3235" w:type="pct"/>
            <w:gridSpan w:val="5"/>
            <w:tcBorders>
              <w:top w:val="single" w:color="auto" w:sz="4" w:space="0"/>
              <w:left w:val="single" w:color="auto" w:sz="4" w:space="0"/>
              <w:bottom w:val="single" w:color="auto" w:sz="4" w:space="0"/>
              <w:right w:val="single" w:color="auto" w:sz="4" w:space="0"/>
            </w:tcBorders>
            <w:noWrap w:val="0"/>
            <w:vAlign w:val="center"/>
          </w:tcPr>
          <w:p w14:paraId="75615666">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eastAsia="zh-CN"/>
              </w:rPr>
              <w:t>主要成分</w:t>
            </w:r>
            <w:r>
              <w:rPr>
                <w:rFonts w:hint="eastAsia" w:ascii="宋体" w:hAnsi="宋体"/>
                <w:color w:val="auto"/>
                <w:sz w:val="28"/>
                <w:szCs w:val="28"/>
                <w:highlight w:val="none"/>
                <w:vertAlign w:val="superscript"/>
                <w:lang w:val="en-US" w:eastAsia="zh-CN"/>
              </w:rPr>
              <w:t>a</w:t>
            </w:r>
            <w:r>
              <w:rPr>
                <w:rFonts w:hint="eastAsia" w:ascii="宋体" w:hAnsi="宋体"/>
                <w:color w:val="auto"/>
                <w:sz w:val="18"/>
                <w:szCs w:val="18"/>
                <w:highlight w:val="none"/>
                <w:lang w:eastAsia="zh-CN"/>
              </w:rPr>
              <w:t>（质量分数）</w:t>
            </w:r>
            <w:r>
              <w:rPr>
                <w:rFonts w:hint="eastAsia" w:ascii="宋体" w:hAnsi="宋体"/>
                <w:color w:val="auto"/>
                <w:sz w:val="18"/>
                <w:szCs w:val="18"/>
                <w:highlight w:val="none"/>
                <w:lang w:val="en-US" w:eastAsia="zh-CN"/>
              </w:rPr>
              <w:t>/%</w:t>
            </w:r>
          </w:p>
        </w:tc>
        <w:tc>
          <w:tcPr>
            <w:tcW w:w="1293" w:type="pct"/>
            <w:gridSpan w:val="2"/>
            <w:tcBorders>
              <w:top w:val="single" w:color="auto" w:sz="4" w:space="0"/>
              <w:left w:val="single" w:color="auto" w:sz="4" w:space="0"/>
              <w:bottom w:val="single" w:color="auto" w:sz="4" w:space="0"/>
              <w:right w:val="single" w:color="auto" w:sz="4" w:space="0"/>
            </w:tcBorders>
            <w:noWrap w:val="0"/>
            <w:vAlign w:val="center"/>
          </w:tcPr>
          <w:p w14:paraId="1227C1C6">
            <w:pPr>
              <w:jc w:val="center"/>
              <w:rPr>
                <w:rFonts w:hint="eastAsia" w:ascii="宋体" w:hAnsi="宋体" w:eastAsia="宋体"/>
                <w:color w:val="auto"/>
                <w:sz w:val="18"/>
                <w:szCs w:val="18"/>
                <w:highlight w:val="none"/>
                <w:lang w:eastAsia="zh-CN"/>
              </w:rPr>
            </w:pPr>
            <w:r>
              <w:rPr>
                <w:rFonts w:hint="eastAsia" w:ascii="宋体" w:hAnsi="宋体"/>
                <w:color w:val="auto"/>
                <w:sz w:val="18"/>
                <w:szCs w:val="18"/>
                <w:highlight w:val="none"/>
                <w:lang w:eastAsia="zh-CN"/>
              </w:rPr>
              <w:t>杂质（质量分数）</w:t>
            </w:r>
            <w:r>
              <w:rPr>
                <w:rFonts w:hint="eastAsia" w:ascii="宋体" w:hAnsi="宋体"/>
                <w:color w:val="auto"/>
                <w:sz w:val="18"/>
                <w:szCs w:val="18"/>
                <w:highlight w:val="none"/>
                <w:lang w:val="en-US" w:eastAsia="zh-CN"/>
              </w:rPr>
              <w:t>/%，不大于</w:t>
            </w:r>
          </w:p>
        </w:tc>
      </w:tr>
      <w:tr w14:paraId="074B8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70" w:type="pct"/>
            <w:vMerge w:val="continue"/>
            <w:tcBorders>
              <w:left w:val="single" w:color="auto" w:sz="4" w:space="0"/>
              <w:bottom w:val="single" w:color="auto" w:sz="4" w:space="0"/>
              <w:right w:val="single" w:color="auto" w:sz="4" w:space="0"/>
            </w:tcBorders>
            <w:noWrap w:val="0"/>
            <w:vAlign w:val="center"/>
          </w:tcPr>
          <w:p w14:paraId="34859C29">
            <w:pPr>
              <w:jc w:val="center"/>
              <w:rPr>
                <w:rFonts w:hint="eastAsia" w:ascii="宋体" w:hAnsi="宋体"/>
                <w:color w:val="auto"/>
                <w:sz w:val="18"/>
                <w:szCs w:val="18"/>
              </w:rPr>
            </w:pPr>
          </w:p>
        </w:tc>
        <w:tc>
          <w:tcPr>
            <w:tcW w:w="646" w:type="pct"/>
            <w:tcBorders>
              <w:top w:val="single" w:color="auto" w:sz="4" w:space="0"/>
              <w:left w:val="single" w:color="auto" w:sz="4" w:space="0"/>
              <w:bottom w:val="single" w:color="auto" w:sz="4" w:space="0"/>
              <w:right w:val="single" w:color="auto" w:sz="4" w:space="0"/>
            </w:tcBorders>
            <w:noWrap w:val="0"/>
            <w:vAlign w:val="center"/>
          </w:tcPr>
          <w:p w14:paraId="0F092183">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Be</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06B27BF3">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Ni+Co</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1DBC582D">
            <w:pPr>
              <w:jc w:val="center"/>
              <w:rPr>
                <w:rFonts w:hint="default" w:ascii="宋体" w:hAnsi="宋体"/>
                <w:color w:val="auto"/>
                <w:sz w:val="18"/>
                <w:szCs w:val="18"/>
                <w:lang w:val="en-US"/>
              </w:rPr>
            </w:pPr>
            <w:r>
              <w:rPr>
                <w:rFonts w:hint="eastAsia" w:ascii="宋体" w:hAnsi="宋体"/>
                <w:color w:val="auto"/>
                <w:sz w:val="18"/>
                <w:szCs w:val="18"/>
                <w:lang w:val="en-US" w:eastAsia="zh-CN"/>
              </w:rPr>
              <w:t>Ni+Co+Fe</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6A033992">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Pb</w:t>
            </w:r>
          </w:p>
        </w:tc>
        <w:tc>
          <w:tcPr>
            <w:tcW w:w="649" w:type="pct"/>
            <w:tcBorders>
              <w:top w:val="single" w:color="auto" w:sz="4" w:space="0"/>
              <w:left w:val="single" w:color="auto" w:sz="4" w:space="0"/>
              <w:bottom w:val="single" w:color="auto" w:sz="4" w:space="0"/>
              <w:right w:val="single" w:color="auto" w:sz="4" w:space="0"/>
            </w:tcBorders>
            <w:noWrap w:val="0"/>
            <w:vAlign w:val="center"/>
          </w:tcPr>
          <w:p w14:paraId="49D0E433">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Cu</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0D7A4C9B">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Al</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06F9AD25">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Si</w:t>
            </w:r>
          </w:p>
        </w:tc>
      </w:tr>
      <w:tr w14:paraId="26209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70" w:type="pct"/>
            <w:tcBorders>
              <w:top w:val="single" w:color="auto" w:sz="4" w:space="0"/>
              <w:left w:val="single" w:color="auto" w:sz="4" w:space="0"/>
              <w:bottom w:val="single" w:color="auto" w:sz="4" w:space="0"/>
              <w:right w:val="single" w:color="auto" w:sz="4" w:space="0"/>
            </w:tcBorders>
            <w:noWrap w:val="0"/>
            <w:vAlign w:val="center"/>
          </w:tcPr>
          <w:p w14:paraId="15475793">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C17000</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4EC1FC38">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1.60～1.79</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65805598">
            <w:pPr>
              <w:jc w:val="center"/>
              <w:rPr>
                <w:rFonts w:hint="default" w:ascii="宋体" w:hAnsi="宋体" w:eastAsia="宋体"/>
                <w:color w:val="auto"/>
                <w:sz w:val="18"/>
                <w:szCs w:val="18"/>
                <w:lang w:val="en-US" w:eastAsia="zh-CN"/>
              </w:rPr>
            </w:pPr>
            <w:r>
              <w:rPr>
                <w:rFonts w:hint="eastAsia" w:ascii="宋体" w:hAnsi="宋体"/>
                <w:color w:val="auto"/>
                <w:sz w:val="18"/>
                <w:szCs w:val="18"/>
              </w:rPr>
              <w:t>≥</w:t>
            </w:r>
            <w:r>
              <w:rPr>
                <w:rFonts w:hint="eastAsia" w:ascii="宋体" w:hAnsi="宋体"/>
                <w:color w:val="auto"/>
                <w:sz w:val="18"/>
                <w:szCs w:val="18"/>
                <w:lang w:val="en-US" w:eastAsia="zh-CN"/>
              </w:rPr>
              <w:t>0.20</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719737BA">
            <w:pPr>
              <w:jc w:val="center"/>
              <w:rPr>
                <w:rFonts w:hint="default" w:ascii="宋体" w:hAnsi="宋体"/>
                <w:color w:val="auto"/>
                <w:sz w:val="18"/>
                <w:szCs w:val="18"/>
                <w:lang w:val="en-US"/>
              </w:rPr>
            </w:pPr>
            <w:r>
              <w:rPr>
                <w:rFonts w:hint="eastAsia" w:ascii="宋体" w:hAnsi="宋体"/>
                <w:color w:val="auto"/>
                <w:sz w:val="18"/>
                <w:szCs w:val="18"/>
              </w:rPr>
              <w:t>≤</w:t>
            </w:r>
            <w:r>
              <w:rPr>
                <w:rFonts w:hint="eastAsia" w:ascii="宋体" w:hAnsi="宋体"/>
                <w:color w:val="auto"/>
                <w:sz w:val="18"/>
                <w:szCs w:val="18"/>
                <w:lang w:val="en-US" w:eastAsia="zh-CN"/>
              </w:rPr>
              <w:t>0.60</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58D415B1">
            <w:pPr>
              <w:jc w:val="center"/>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w:t>
            </w:r>
          </w:p>
        </w:tc>
        <w:tc>
          <w:tcPr>
            <w:tcW w:w="649" w:type="pct"/>
            <w:tcBorders>
              <w:top w:val="single" w:color="auto" w:sz="4" w:space="0"/>
              <w:left w:val="single" w:color="auto" w:sz="4" w:space="0"/>
              <w:bottom w:val="single" w:color="auto" w:sz="4" w:space="0"/>
              <w:right w:val="single" w:color="auto" w:sz="4" w:space="0"/>
            </w:tcBorders>
            <w:noWrap w:val="0"/>
            <w:vAlign w:val="center"/>
          </w:tcPr>
          <w:p w14:paraId="4581FB9D">
            <w:pPr>
              <w:jc w:val="center"/>
              <w:rPr>
                <w:rFonts w:hint="eastAsia" w:ascii="宋体" w:hAnsi="宋体" w:eastAsia="宋体"/>
                <w:color w:val="auto"/>
                <w:sz w:val="18"/>
                <w:szCs w:val="18"/>
                <w:lang w:eastAsia="zh-CN"/>
              </w:rPr>
            </w:pPr>
            <w:r>
              <w:rPr>
                <w:rFonts w:hint="eastAsia" w:ascii="宋体" w:hAnsi="宋体"/>
                <w:color w:val="auto"/>
                <w:sz w:val="18"/>
                <w:szCs w:val="18"/>
                <w:lang w:eastAsia="zh-CN"/>
              </w:rPr>
              <w:t>余量</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22E3C3D8">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0.20</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7FC8F813">
            <w:pPr>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0.20</w:t>
            </w:r>
          </w:p>
        </w:tc>
      </w:tr>
      <w:tr w14:paraId="3C342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4FF5E3EF">
            <w:pPr>
              <w:jc w:val="left"/>
              <w:rPr>
                <w:rFonts w:hint="eastAsia" w:ascii="宋体" w:hAnsi="宋体"/>
                <w:sz w:val="18"/>
                <w:szCs w:val="18"/>
                <w:lang w:val="en-US" w:eastAsia="zh-CN"/>
              </w:rPr>
            </w:pPr>
            <w:r>
              <w:rPr>
                <w:rFonts w:hint="eastAsia" w:ascii="宋体" w:hAnsi="宋体"/>
                <w:sz w:val="18"/>
                <w:szCs w:val="18"/>
                <w:lang w:val="en-US" w:eastAsia="zh-CN"/>
              </w:rPr>
              <w:t>注1：Cu量可用100%与所有被分析元素含</w:t>
            </w:r>
            <w:r>
              <w:rPr>
                <w:rFonts w:hint="eastAsia" w:ascii="宋体" w:hAnsi="宋体"/>
                <w:sz w:val="18"/>
                <w:szCs w:val="18"/>
                <w:highlight w:val="none"/>
                <w:lang w:val="en-US" w:eastAsia="zh-CN"/>
              </w:rPr>
              <w:t>量总和的差值求得。</w:t>
            </w:r>
          </w:p>
          <w:p w14:paraId="31C565E4">
            <w:pPr>
              <w:jc w:val="left"/>
              <w:rPr>
                <w:rFonts w:hint="eastAsia" w:ascii="宋体" w:hAnsi="宋体"/>
                <w:sz w:val="18"/>
                <w:szCs w:val="18"/>
                <w:lang w:val="en-US" w:eastAsia="zh-CN"/>
              </w:rPr>
            </w:pPr>
            <w:r>
              <w:rPr>
                <w:rFonts w:hint="eastAsia" w:ascii="宋体" w:hAnsi="宋体"/>
                <w:sz w:val="18"/>
                <w:szCs w:val="18"/>
                <w:lang w:val="en-US" w:eastAsia="zh-CN"/>
              </w:rPr>
              <w:t>注2：</w:t>
            </w:r>
            <w:r>
              <w:rPr>
                <w:rFonts w:hint="eastAsia" w:ascii="宋体" w:hAnsi="宋体"/>
                <w:sz w:val="18"/>
                <w:szCs w:val="18"/>
                <w:vertAlign w:val="superscript"/>
                <w:lang w:val="en-US" w:eastAsia="zh-CN"/>
              </w:rPr>
              <w:t>a</w:t>
            </w:r>
            <w:r>
              <w:rPr>
                <w:rFonts w:hint="eastAsia" w:ascii="宋体" w:hAnsi="宋体"/>
                <w:sz w:val="18"/>
                <w:szCs w:val="18"/>
                <w:lang w:val="en-US" w:eastAsia="zh-CN"/>
              </w:rPr>
              <w:t>表中所有元素均应进行分析，其总量应不小于99.5%。</w:t>
            </w:r>
          </w:p>
          <w:p w14:paraId="31A76AD6">
            <w:pPr>
              <w:jc w:val="left"/>
              <w:rPr>
                <w:rFonts w:hint="default" w:ascii="宋体" w:hAnsi="宋体"/>
                <w:sz w:val="18"/>
                <w:szCs w:val="18"/>
                <w:lang w:val="en-US" w:eastAsia="zh-CN"/>
              </w:rPr>
            </w:pPr>
            <w:r>
              <w:rPr>
                <w:rFonts w:hint="eastAsia" w:ascii="宋体" w:hAnsi="宋体"/>
                <w:sz w:val="18"/>
                <w:szCs w:val="18"/>
                <w:lang w:val="en-US" w:eastAsia="zh-CN"/>
              </w:rPr>
              <w:t>注3：需方有特殊要求时，由供需双方协商确定。</w:t>
            </w:r>
          </w:p>
        </w:tc>
      </w:tr>
    </w:tbl>
    <w:p w14:paraId="13EBFBB7">
      <w:pPr>
        <w:pStyle w:val="5"/>
        <w:numPr>
          <w:ilvl w:val="0"/>
          <w:numId w:val="0"/>
        </w:numPr>
        <w:spacing w:line="360" w:lineRule="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2"/>
          <w:sz w:val="21"/>
          <w:szCs w:val="21"/>
          <w:lang w:val="en-US" w:eastAsia="zh-CN" w:bidi="ar-SA"/>
        </w:rPr>
        <w:t>3.3.3</w:t>
      </w:r>
      <w:r>
        <w:rPr>
          <w:rFonts w:hint="eastAsia" w:ascii="黑体" w:hAnsi="黑体" w:eastAsia="黑体" w:cs="黑体"/>
          <w:color w:val="auto"/>
          <w:kern w:val="0"/>
          <w:sz w:val="21"/>
          <w:szCs w:val="21"/>
          <w:lang w:val="en-US" w:eastAsia="zh-CN" w:bidi="ar-SA"/>
        </w:rPr>
        <w:t>外形尺寸及尺寸允许偏差</w:t>
      </w:r>
    </w:p>
    <w:p w14:paraId="172B3ED0">
      <w:pPr>
        <w:pStyle w:val="10"/>
        <w:spacing w:before="0" w:beforeAutospacing="0" w:after="0" w:afterAutospacing="0" w:line="360" w:lineRule="auto"/>
        <w:ind w:firstLine="482"/>
        <w:rPr>
          <w:color w:val="auto"/>
          <w:sz w:val="21"/>
          <w:szCs w:val="21"/>
        </w:rPr>
      </w:pPr>
      <w:r>
        <w:rPr>
          <w:rFonts w:hint="eastAsia" w:ascii="宋体" w:hAnsi="宋体" w:eastAsia="宋体" w:cs="宋体"/>
          <w:color w:val="auto"/>
          <w:sz w:val="21"/>
          <w:szCs w:val="21"/>
          <w:lang w:val="en-US" w:eastAsia="zh-CN"/>
        </w:rPr>
        <w:t>根据产品形状，本标准</w:t>
      </w:r>
      <w:r>
        <w:rPr>
          <w:rFonts w:hint="eastAsia" w:ascii="宋体" w:hAnsi="宋体" w:cs="宋体"/>
          <w:color w:val="auto"/>
          <w:sz w:val="21"/>
          <w:szCs w:val="21"/>
          <w:lang w:val="en-US" w:eastAsia="zh-CN"/>
        </w:rPr>
        <w:t>型材</w:t>
      </w:r>
      <w:r>
        <w:rPr>
          <w:rFonts w:hint="eastAsia" w:ascii="宋体" w:hAnsi="宋体" w:eastAsia="宋体" w:cs="宋体"/>
          <w:color w:val="auto"/>
          <w:sz w:val="21"/>
          <w:szCs w:val="21"/>
          <w:lang w:val="en-US" w:eastAsia="zh-CN"/>
        </w:rPr>
        <w:t>的外形尺寸检验按GB/T26303.2的规定进行</w:t>
      </w:r>
      <w:r>
        <w:rPr>
          <w:rFonts w:hint="eastAsia" w:cs="宋体"/>
          <w:color w:val="auto"/>
          <w:sz w:val="21"/>
          <w:szCs w:val="21"/>
          <w:lang w:val="en-US" w:eastAsia="zh-CN"/>
        </w:rPr>
        <w:t>。切斜度要求如下：</w:t>
      </w:r>
    </w:p>
    <w:p w14:paraId="35597F29">
      <w:pPr>
        <w:pStyle w:val="2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（1）热挤压、热锻、热轧棒材的端部应切平整。端部切口允许有不大于3mm的切斜度。检验断口的端面允许保留。</w:t>
      </w:r>
    </w:p>
    <w:p w14:paraId="67A84DD0">
      <w:pPr>
        <w:pStyle w:val="26"/>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（2）拉伸棒材端部应据切平整，切口在不使棒材长度超出允许偏差的条件下，最大切斜度应不越过棒材直径（或长对边距）的2.5%。检验断口的端面允许保留。</w:t>
      </w:r>
    </w:p>
    <w:p w14:paraId="430EC10F">
      <w:pPr>
        <w:pStyle w:val="5"/>
        <w:numPr>
          <w:ilvl w:val="0"/>
          <w:numId w:val="0"/>
        </w:numPr>
        <w:spacing w:line="360" w:lineRule="auto"/>
        <w:rPr>
          <w:rFonts w:hint="default"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3.3.4力学性能</w:t>
      </w:r>
    </w:p>
    <w:p w14:paraId="1375B927">
      <w:pPr>
        <w:pStyle w:val="10"/>
        <w:spacing w:before="0" w:beforeAutospacing="0" w:after="0" w:afterAutospacing="0" w:line="360" w:lineRule="auto"/>
        <w:ind w:firstLine="482"/>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根据市场需求、订货情况和实际供货情况，本标准规定了</w:t>
      </w:r>
      <w:r>
        <w:rPr>
          <w:rFonts w:hint="eastAsia" w:asciiTheme="minorEastAsia" w:hAnsiTheme="minorEastAsia" w:eastAsiaTheme="minorEastAsia" w:cstheme="minorEastAsia"/>
          <w:color w:val="auto"/>
          <w:sz w:val="21"/>
          <w:szCs w:val="21"/>
          <w:lang w:eastAsia="zh-CN"/>
        </w:rPr>
        <w:t>棒材</w:t>
      </w:r>
      <w:r>
        <w:rPr>
          <w:rFonts w:hint="eastAsia" w:asciiTheme="minorEastAsia" w:hAnsiTheme="minorEastAsia" w:eastAsiaTheme="minorEastAsia" w:cstheme="minorEastAsia"/>
          <w:color w:val="auto"/>
          <w:sz w:val="21"/>
          <w:szCs w:val="21"/>
        </w:rPr>
        <w:t>的力学性能指标。力学性能是产品的重要技术指标，</w:t>
      </w:r>
      <w:r>
        <w:rPr>
          <w:rFonts w:hint="eastAsia" w:asciiTheme="minorEastAsia" w:hAnsiTheme="minorEastAsia" w:eastAsiaTheme="minorEastAsia" w:cstheme="minorEastAsia"/>
          <w:color w:val="auto"/>
          <w:sz w:val="21"/>
          <w:szCs w:val="21"/>
          <w:lang w:eastAsia="zh-CN"/>
        </w:rPr>
        <w:t>拉伸</w:t>
      </w:r>
      <w:r>
        <w:rPr>
          <w:rFonts w:hint="eastAsia" w:asciiTheme="minorEastAsia" w:hAnsiTheme="minorEastAsia" w:eastAsiaTheme="minorEastAsia" w:cstheme="minorEastAsia"/>
          <w:color w:val="auto"/>
          <w:sz w:val="21"/>
          <w:szCs w:val="21"/>
        </w:rPr>
        <w:t>试验按GB/T</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228</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洛氏</w:t>
      </w:r>
      <w:r>
        <w:rPr>
          <w:rFonts w:hint="eastAsia" w:asciiTheme="minorEastAsia" w:hAnsiTheme="minorEastAsia" w:eastAsiaTheme="minorEastAsia" w:cstheme="minorEastAsia"/>
          <w:color w:val="auto"/>
          <w:sz w:val="21"/>
          <w:szCs w:val="21"/>
        </w:rPr>
        <w:t>硬度试验方法按GB/T</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230.1规定的方法进行</w:t>
      </w:r>
      <w:r>
        <w:rPr>
          <w:rFonts w:hint="eastAsia" w:asciiTheme="minorEastAsia" w:hAnsiTheme="minorEastAsia" w:eastAsiaTheme="minorEastAsia" w:cstheme="minorEastAsia"/>
          <w:color w:val="auto"/>
          <w:sz w:val="21"/>
          <w:szCs w:val="21"/>
          <w:lang w:eastAsia="zh-CN"/>
        </w:rPr>
        <w:t>，导电率试验按</w:t>
      </w:r>
      <w:r>
        <w:rPr>
          <w:rFonts w:hint="eastAsia" w:asciiTheme="minorEastAsia" w:hAnsiTheme="minorEastAsia" w:eastAsiaTheme="minorEastAsia" w:cstheme="minorEastAsia"/>
          <w:color w:val="auto"/>
          <w:sz w:val="21"/>
          <w:szCs w:val="21"/>
        </w:rPr>
        <w:t>GB/T</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351规定的方法进行</w:t>
      </w:r>
      <w:r>
        <w:rPr>
          <w:rFonts w:hint="eastAsia" w:asciiTheme="minorEastAsia" w:hAnsiTheme="minorEastAsia" w:eastAsiaTheme="minorEastAsia" w:cstheme="minorEastAsia"/>
          <w:color w:val="auto"/>
          <w:sz w:val="21"/>
          <w:szCs w:val="21"/>
          <w:lang w:eastAsia="zh-CN"/>
        </w:rPr>
        <w:t>，平均晶粒尺寸试验按</w:t>
      </w:r>
      <w:r>
        <w:rPr>
          <w:rFonts w:hint="eastAsia" w:asciiTheme="minorEastAsia" w:hAnsiTheme="minorEastAsia" w:eastAsiaTheme="minorEastAsia" w:cstheme="minorEastAsia"/>
          <w:color w:val="auto"/>
          <w:sz w:val="21"/>
          <w:szCs w:val="21"/>
          <w:lang w:val="en-US" w:eastAsia="zh-CN"/>
        </w:rPr>
        <w:t>YS/T 347</w:t>
      </w:r>
      <w:r>
        <w:rPr>
          <w:rFonts w:hint="eastAsia" w:asciiTheme="minorEastAsia" w:hAnsiTheme="minorEastAsia" w:eastAsiaTheme="minorEastAsia" w:cstheme="minorEastAsia"/>
          <w:color w:val="auto"/>
          <w:sz w:val="21"/>
          <w:szCs w:val="21"/>
        </w:rPr>
        <w:t>规定的方法进行</w:t>
      </w:r>
      <w:r>
        <w:rPr>
          <w:rFonts w:hint="eastAsia" w:asciiTheme="minorEastAsia" w:hAnsiTheme="minorEastAsia" w:eastAsiaTheme="minorEastAsia" w:cstheme="minorEastAsia"/>
          <w:color w:val="auto"/>
          <w:sz w:val="21"/>
          <w:szCs w:val="21"/>
          <w:lang w:eastAsia="zh-CN"/>
        </w:rPr>
        <w:t>。</w:t>
      </w:r>
    </w:p>
    <w:p w14:paraId="0D0AD85C">
      <w:pPr>
        <w:pStyle w:val="16"/>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本标准规定，产品时效热处理前的室温力学性能应符合表5的规定。硬度试验在合同中注明时，方予进行。经时效处理后的产品，仅提供硬度值；拉伸试验在用户特别要求时进行。</w:t>
      </w:r>
    </w:p>
    <w:p w14:paraId="199648D7">
      <w:pPr>
        <w:pStyle w:val="10"/>
        <w:spacing w:before="0" w:beforeAutospacing="0" w:after="0" w:afterAutospacing="0" w:line="360" w:lineRule="auto"/>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导电率、平均晶粒尺寸当用户要求并在合同中注明时，方予进行。</w:t>
      </w:r>
    </w:p>
    <w:p w14:paraId="022C7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黑体" w:hAnsi="黑体" w:eastAsia="黑体" w:cs="黑体"/>
          <w:b w:val="0"/>
          <w:bCs w:val="0"/>
          <w:color w:val="auto"/>
          <w:sz w:val="21"/>
          <w:szCs w:val="20"/>
          <w:lang w:val="en-US" w:eastAsia="zh-CN"/>
        </w:rPr>
      </w:pPr>
      <w:r>
        <w:rPr>
          <w:rFonts w:hint="eastAsia" w:ascii="黑体" w:hAnsi="黑体" w:eastAsia="黑体" w:cs="黑体"/>
          <w:b w:val="0"/>
          <w:bCs w:val="0"/>
          <w:color w:val="auto"/>
          <w:sz w:val="21"/>
          <w:szCs w:val="20"/>
          <w:lang w:val="en-US" w:eastAsia="zh-CN"/>
        </w:rPr>
        <w:t>3.3.5 内部质量和表面质量</w:t>
      </w:r>
    </w:p>
    <w:p w14:paraId="513DECC6">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黑体" w:hAnsi="黑体" w:eastAsia="黑体" w:cs="黑体"/>
          <w:color w:val="auto"/>
          <w:kern w:val="0"/>
          <w:sz w:val="21"/>
          <w:szCs w:val="21"/>
          <w:lang w:val="en-US" w:eastAsia="zh-CN" w:bidi="ar-SA"/>
        </w:rPr>
      </w:pPr>
      <w:r>
        <w:rPr>
          <w:rFonts w:hint="eastAsia" w:ascii="宋体" w:hAnsi="宋体" w:eastAsia="宋体" w:cs="宋体"/>
          <w:color w:val="auto"/>
          <w:lang w:val="en-US" w:eastAsia="zh-CN"/>
        </w:rPr>
        <w:t>根据产品使用要求、订货技术要求和实际生产情况，确定标准产品质量要求，内部质量要求“</w:t>
      </w:r>
      <w:r>
        <w:rPr>
          <w:rFonts w:hint="eastAsia" w:ascii="宋体" w:hAnsi="宋体" w:eastAsia="宋体" w:cs="宋体"/>
          <w:b w:val="0"/>
          <w:bCs w:val="0"/>
          <w:lang w:val="en-US" w:eastAsia="zh-CN"/>
        </w:rPr>
        <w:t>产品应进行断口检验</w:t>
      </w:r>
      <w:r>
        <w:rPr>
          <w:rFonts w:hint="eastAsia" w:ascii="宋体" w:hAnsi="宋体" w:eastAsia="宋体" w:cs="宋体"/>
          <w:b w:val="0"/>
          <w:bCs w:val="0"/>
          <w:highlight w:val="none"/>
          <w:lang w:val="en-US" w:eastAsia="zh-CN"/>
        </w:rPr>
        <w:t>或超声</w:t>
      </w:r>
      <w:r>
        <w:rPr>
          <w:rFonts w:hint="eastAsia" w:ascii="宋体" w:hAnsi="宋体" w:eastAsia="宋体" w:cs="宋体"/>
          <w:b w:val="0"/>
          <w:bCs w:val="0"/>
          <w:color w:val="auto"/>
          <w:highlight w:val="none"/>
          <w:lang w:val="en-US" w:eastAsia="zh-CN"/>
        </w:rPr>
        <w:t>波检测。经断口检验后，棒材断口应致密、无缩尾，允许有轻微的、个别的气孔、夹杂及分层；</w:t>
      </w:r>
      <w:r>
        <w:rPr>
          <w:rFonts w:hint="eastAsia" w:ascii="宋体" w:hAnsi="宋体" w:eastAsia="宋体" w:cs="宋体"/>
          <w:b w:val="0"/>
          <w:bCs w:val="0"/>
          <w:color w:val="auto"/>
          <w:lang w:val="en-US" w:eastAsia="zh-CN"/>
        </w:rPr>
        <w:t>经超声波检验后的产品（直径为15mm～120mm的圆棒）应无缩尾、残尾、裂纹、夹杂和气孔等。</w:t>
      </w:r>
      <w:r>
        <w:rPr>
          <w:rFonts w:hint="eastAsia" w:ascii="宋体" w:hAnsi="宋体" w:eastAsia="宋体" w:cs="宋体"/>
          <w:color w:val="auto"/>
          <w:lang w:val="en-US" w:eastAsia="zh-CN"/>
        </w:rPr>
        <w:t>”。</w:t>
      </w:r>
    </w:p>
    <w:p w14:paraId="6E7CD730">
      <w:pPr>
        <w:keepNext w:val="0"/>
        <w:keepLines w:val="0"/>
        <w:pageBreakBefore w:val="0"/>
        <w:widowControl w:val="0"/>
        <w:kinsoku/>
        <w:wordWrap/>
        <w:overflowPunct/>
        <w:topLinePunct w:val="0"/>
        <w:autoSpaceDE/>
        <w:autoSpaceDN/>
        <w:bidi w:val="0"/>
        <w:adjustRightInd/>
        <w:snapToGrid/>
        <w:spacing w:beforeLines="50" w:afterLines="50" w:line="360" w:lineRule="auto"/>
        <w:jc w:val="left"/>
        <w:textAlignment w:val="auto"/>
        <w:rPr>
          <w:rFonts w:hint="eastAsia" w:ascii="黑体" w:hAnsi="黑体" w:eastAsia="黑体" w:cs="黑体"/>
          <w:b w:val="0"/>
          <w:bCs w:val="0"/>
          <w:color w:val="auto"/>
          <w:sz w:val="21"/>
          <w:szCs w:val="20"/>
          <w:lang w:val="en-US" w:eastAsia="zh-CN"/>
        </w:rPr>
      </w:pPr>
      <w:r>
        <w:rPr>
          <w:rFonts w:hint="eastAsia" w:ascii="黑体" w:hAnsi="黑体" w:eastAsia="黑体" w:cs="黑体"/>
          <w:b w:val="0"/>
          <w:bCs w:val="0"/>
          <w:color w:val="auto"/>
          <w:sz w:val="21"/>
          <w:szCs w:val="20"/>
          <w:lang w:val="en-US" w:eastAsia="zh-CN"/>
        </w:rPr>
        <w:t>3.4 主要技术内容试验验证情况分析</w:t>
      </w:r>
    </w:p>
    <w:p w14:paraId="39D47216">
      <w:pPr>
        <w:keepNext w:val="0"/>
        <w:keepLines w:val="0"/>
        <w:pageBreakBefore w:val="0"/>
        <w:widowControl/>
        <w:kinsoku/>
        <w:wordWrap/>
        <w:overflowPunct/>
        <w:topLinePunct w:val="0"/>
        <w:autoSpaceDE/>
        <w:autoSpaceDN/>
        <w:bidi w:val="0"/>
        <w:adjustRightInd/>
        <w:snapToGrid/>
        <w:spacing w:before="157" w:beforeLines="50" w:after="157" w:afterLines="50" w:line="360" w:lineRule="auto"/>
        <w:textAlignment w:val="auto"/>
        <w:rPr>
          <w:rFonts w:hint="eastAsia" w:ascii="黑体" w:hAnsi="黑体" w:eastAsia="黑体" w:cs="黑体"/>
          <w:b w:val="0"/>
          <w:bCs w:val="0"/>
          <w:color w:val="auto"/>
          <w:sz w:val="21"/>
          <w:szCs w:val="20"/>
          <w:lang w:val="en-US" w:eastAsia="zh-CN"/>
        </w:rPr>
      </w:pPr>
      <w:r>
        <w:rPr>
          <w:rFonts w:hint="eastAsia" w:ascii="黑体" w:hAnsi="黑体" w:eastAsia="黑体" w:cs="黑体"/>
          <w:b w:val="0"/>
          <w:bCs w:val="0"/>
          <w:color w:val="auto"/>
          <w:sz w:val="21"/>
          <w:szCs w:val="20"/>
          <w:lang w:val="en-US" w:eastAsia="zh-CN"/>
        </w:rPr>
        <w:t>3.4.1 外形尺寸允许偏差</w:t>
      </w:r>
    </w:p>
    <w:p w14:paraId="63000374">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对</w:t>
      </w:r>
      <w:r>
        <w:rPr>
          <w:rFonts w:hint="eastAsia" w:cs="宋体"/>
          <w:color w:val="auto"/>
          <w:sz w:val="21"/>
          <w:szCs w:val="21"/>
          <w:lang w:val="en-US" w:eastAsia="zh-CN"/>
        </w:rPr>
        <w:t>棒材切斜度</w:t>
      </w:r>
      <w:r>
        <w:rPr>
          <w:rFonts w:hint="eastAsia" w:ascii="宋体" w:hAnsi="宋体" w:eastAsia="宋体" w:cs="宋体"/>
          <w:color w:val="auto"/>
          <w:sz w:val="21"/>
          <w:szCs w:val="21"/>
          <w:lang w:val="en-US" w:eastAsia="zh-CN"/>
        </w:rPr>
        <w:t>的统计情况见表</w:t>
      </w:r>
      <w:r>
        <w:rPr>
          <w:rFonts w:hint="eastAsia" w:cs="宋体"/>
          <w:color w:val="auto"/>
          <w:sz w:val="21"/>
          <w:szCs w:val="21"/>
          <w:lang w:val="en-US" w:eastAsia="zh-CN"/>
        </w:rPr>
        <w:t>5</w:t>
      </w:r>
      <w:r>
        <w:rPr>
          <w:rFonts w:hint="eastAsia" w:ascii="宋体" w:hAnsi="宋体" w:eastAsia="宋体" w:cs="宋体"/>
          <w:color w:val="auto"/>
          <w:sz w:val="21"/>
          <w:szCs w:val="21"/>
          <w:lang w:val="en-US" w:eastAsia="zh-CN"/>
        </w:rPr>
        <w:t>。</w:t>
      </w:r>
    </w:p>
    <w:p w14:paraId="41A6D61D">
      <w:pPr>
        <w:pStyle w:val="10"/>
        <w:keepNext w:val="0"/>
        <w:keepLines w:val="0"/>
        <w:pageBreakBefore w:val="0"/>
        <w:widowControl/>
        <w:kinsoku/>
        <w:wordWrap/>
        <w:overflowPunct/>
        <w:topLinePunct w:val="0"/>
        <w:autoSpaceDE/>
        <w:autoSpaceDN/>
        <w:bidi w:val="0"/>
        <w:adjustRightInd/>
        <w:snapToGrid/>
        <w:spacing w:beforeLines="50" w:beforeAutospacing="0" w:after="157" w:afterLines="50" w:afterAutospacing="0" w:line="240" w:lineRule="auto"/>
        <w:jc w:val="center"/>
        <w:textAlignment w:val="auto"/>
        <w:rPr>
          <w:rFonts w:hint="eastAsia" w:ascii="黑体" w:hAnsi="黑体" w:eastAsia="黑体" w:cs="黑体"/>
          <w:color w:val="auto"/>
          <w:sz w:val="21"/>
          <w:szCs w:val="21"/>
        </w:rPr>
      </w:pPr>
      <w:r>
        <w:rPr>
          <w:rFonts w:hint="eastAsia" w:ascii="黑体" w:hAnsi="黑体" w:eastAsia="黑体" w:cs="黑体"/>
          <w:color w:val="auto"/>
          <w:sz w:val="21"/>
          <w:szCs w:val="21"/>
        </w:rPr>
        <w:t>表</w:t>
      </w:r>
      <w:r>
        <w:rPr>
          <w:rFonts w:hint="eastAsia" w:ascii="黑体" w:hAnsi="黑体" w:eastAsia="黑体" w:cs="黑体"/>
          <w:color w:val="auto"/>
          <w:sz w:val="21"/>
          <w:szCs w:val="21"/>
          <w:lang w:val="en-US" w:eastAsia="zh-CN"/>
        </w:rPr>
        <w:t>5  棒材切斜度实测值统计</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1812"/>
        <w:gridCol w:w="2844"/>
        <w:gridCol w:w="2268"/>
      </w:tblGrid>
      <w:tr w14:paraId="3B33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Align w:val="center"/>
          </w:tcPr>
          <w:p w14:paraId="4FCBD6FD">
            <w:pPr>
              <w:jc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加工方法</w:t>
            </w:r>
          </w:p>
        </w:tc>
        <w:tc>
          <w:tcPr>
            <w:tcW w:w="1058" w:type="pct"/>
            <w:vAlign w:val="center"/>
          </w:tcPr>
          <w:p w14:paraId="6C478C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直径范围</w:t>
            </w:r>
          </w:p>
        </w:tc>
        <w:tc>
          <w:tcPr>
            <w:tcW w:w="1661" w:type="pct"/>
            <w:vAlign w:val="center"/>
          </w:tcPr>
          <w:p w14:paraId="5B4D29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类别</w:t>
            </w:r>
          </w:p>
        </w:tc>
        <w:tc>
          <w:tcPr>
            <w:tcW w:w="1324" w:type="pct"/>
            <w:vAlign w:val="center"/>
          </w:tcPr>
          <w:p w14:paraId="29722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切斜度</w:t>
            </w:r>
          </w:p>
          <w:p w14:paraId="7A245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mm</w:t>
            </w:r>
          </w:p>
        </w:tc>
      </w:tr>
      <w:tr w14:paraId="17C0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464FC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
              </w:rPr>
            </w:pPr>
            <w:r>
              <w:rPr>
                <w:rFonts w:hint="eastAsia" w:ascii="宋体" w:hAnsi="宋体" w:eastAsia="宋体" w:cs="Times New Roman"/>
                <w:kern w:val="0"/>
                <w:sz w:val="18"/>
                <w:szCs w:val="16"/>
                <w:lang w:val="en-US" w:eastAsia="zh-CN" w:bidi="ar-SA"/>
              </w:rPr>
              <w:t>冷拉</w:t>
            </w:r>
          </w:p>
        </w:tc>
        <w:tc>
          <w:tcPr>
            <w:tcW w:w="1058" w:type="pct"/>
            <w:vMerge w:val="restart"/>
            <w:vAlign w:val="center"/>
          </w:tcPr>
          <w:p w14:paraId="5972B0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宋体" w:hAnsi="宋体" w:eastAsia="宋体" w:cs="Times New Roman"/>
                <w:kern w:val="0"/>
                <w:sz w:val="18"/>
                <w:szCs w:val="16"/>
                <w:lang w:val="en-US" w:eastAsia="zh-CN" w:bidi="ar-SA"/>
              </w:rPr>
              <w:t>5～12</w:t>
            </w:r>
          </w:p>
        </w:tc>
        <w:tc>
          <w:tcPr>
            <w:tcW w:w="1661" w:type="pct"/>
            <w:vAlign w:val="center"/>
          </w:tcPr>
          <w:p w14:paraId="671030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1A170B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color w:val="auto"/>
                <w:sz w:val="18"/>
                <w:szCs w:val="18"/>
                <w:lang w:eastAsia="zh-CN"/>
              </w:rPr>
              <w:t>0.125～0.30</w:t>
            </w:r>
          </w:p>
        </w:tc>
      </w:tr>
      <w:tr w14:paraId="05C4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2C6F59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rPr>
            </w:pPr>
          </w:p>
        </w:tc>
        <w:tc>
          <w:tcPr>
            <w:tcW w:w="1058" w:type="pct"/>
            <w:vMerge w:val="continue"/>
            <w:vAlign w:val="center"/>
          </w:tcPr>
          <w:p w14:paraId="6DB219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1661" w:type="pct"/>
            <w:vAlign w:val="center"/>
          </w:tcPr>
          <w:p w14:paraId="2C4533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24527C9F">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color w:val="auto"/>
                <w:sz w:val="18"/>
                <w:szCs w:val="18"/>
                <w:lang w:eastAsia="zh-CN"/>
              </w:rPr>
              <w:t>0.1</w:t>
            </w:r>
            <w:r>
              <w:rPr>
                <w:rFonts w:hint="eastAsia" w:asciiTheme="minorEastAsia" w:hAnsiTheme="minorEastAsia" w:cstheme="minorEastAsia"/>
                <w:color w:val="auto"/>
                <w:sz w:val="18"/>
                <w:szCs w:val="18"/>
                <w:lang w:val="en-US" w:eastAsia="zh-CN"/>
              </w:rPr>
              <w:t>3</w:t>
            </w:r>
            <w:r>
              <w:rPr>
                <w:rFonts w:hint="eastAsia" w:asciiTheme="minorEastAsia" w:hAnsiTheme="minorEastAsia" w:eastAsiaTheme="minorEastAsia" w:cstheme="minorEastAsia"/>
                <w:color w:val="auto"/>
                <w:sz w:val="18"/>
                <w:szCs w:val="18"/>
                <w:lang w:eastAsia="zh-CN"/>
              </w:rPr>
              <w:t>～0.</w:t>
            </w:r>
            <w:r>
              <w:rPr>
                <w:rFonts w:hint="eastAsia" w:asciiTheme="minorEastAsia" w:hAnsiTheme="minorEastAsia" w:cstheme="minorEastAsia"/>
                <w:color w:val="auto"/>
                <w:sz w:val="18"/>
                <w:szCs w:val="18"/>
                <w:lang w:val="en-US" w:eastAsia="zh-CN"/>
              </w:rPr>
              <w:t>29</w:t>
            </w:r>
          </w:p>
        </w:tc>
      </w:tr>
      <w:tr w14:paraId="7D31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41E018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rPr>
            </w:pPr>
          </w:p>
        </w:tc>
        <w:tc>
          <w:tcPr>
            <w:tcW w:w="1058" w:type="pct"/>
            <w:vMerge w:val="continue"/>
            <w:vAlign w:val="center"/>
          </w:tcPr>
          <w:p w14:paraId="43D7E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1661" w:type="pct"/>
            <w:vAlign w:val="center"/>
          </w:tcPr>
          <w:p w14:paraId="3FF92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7A1572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100</w:t>
            </w:r>
          </w:p>
        </w:tc>
      </w:tr>
      <w:tr w14:paraId="4619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7226C8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宋体" w:hAnsi="宋体" w:eastAsia="宋体" w:cs="Times New Roman"/>
                <w:kern w:val="0"/>
                <w:sz w:val="18"/>
                <w:szCs w:val="16"/>
                <w:lang w:val="en-US" w:eastAsia="zh-CN" w:bidi="ar-SA"/>
              </w:rPr>
              <w:t>冷拉</w:t>
            </w:r>
          </w:p>
        </w:tc>
        <w:tc>
          <w:tcPr>
            <w:tcW w:w="1058" w:type="pct"/>
            <w:vMerge w:val="restart"/>
            <w:vAlign w:val="center"/>
          </w:tcPr>
          <w:p w14:paraId="465A4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宋体" w:hAnsi="宋体" w:eastAsia="宋体" w:cs="Times New Roman"/>
                <w:kern w:val="0"/>
                <w:sz w:val="18"/>
                <w:szCs w:val="16"/>
                <w:lang w:val="en-US" w:eastAsia="zh-CN" w:bidi="ar-SA"/>
              </w:rPr>
              <w:t>＞12～25</w:t>
            </w:r>
          </w:p>
        </w:tc>
        <w:tc>
          <w:tcPr>
            <w:tcW w:w="1661" w:type="pct"/>
            <w:vAlign w:val="center"/>
          </w:tcPr>
          <w:p w14:paraId="72E7F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0AC110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ascii="宋体" w:hAnsi="宋体" w:eastAsia="宋体" w:cs="宋体"/>
                <w:sz w:val="21"/>
                <w:szCs w:val="21"/>
              </w:rPr>
              <w:t>0.30～0.625</w:t>
            </w:r>
          </w:p>
        </w:tc>
      </w:tr>
      <w:tr w14:paraId="1F46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2D9A68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4A95C5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1661" w:type="pct"/>
            <w:vAlign w:val="center"/>
          </w:tcPr>
          <w:p w14:paraId="386D7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45685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ascii="宋体" w:hAnsi="宋体" w:eastAsia="宋体" w:cs="宋体"/>
                <w:sz w:val="21"/>
                <w:szCs w:val="21"/>
              </w:rPr>
              <w:t>0.3</w:t>
            </w:r>
            <w:r>
              <w:rPr>
                <w:rFonts w:hint="eastAsia" w:ascii="宋体" w:hAnsi="宋体" w:eastAsia="宋体" w:cs="宋体"/>
                <w:sz w:val="21"/>
                <w:szCs w:val="21"/>
                <w:lang w:val="en-US" w:eastAsia="zh-CN"/>
              </w:rPr>
              <w:t>5</w:t>
            </w:r>
            <w:r>
              <w:rPr>
                <w:rFonts w:ascii="宋体" w:hAnsi="宋体" w:eastAsia="宋体" w:cs="宋体"/>
                <w:sz w:val="21"/>
                <w:szCs w:val="21"/>
              </w:rPr>
              <w:t>～0.6</w:t>
            </w:r>
          </w:p>
        </w:tc>
      </w:tr>
      <w:tr w14:paraId="380E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11F628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50A601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1661" w:type="pct"/>
            <w:vAlign w:val="center"/>
          </w:tcPr>
          <w:p w14:paraId="7B6D0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321F692E">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4550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2D09F2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宋体" w:hAnsi="宋体" w:eastAsia="宋体" w:cs="Times New Roman"/>
                <w:kern w:val="0"/>
                <w:sz w:val="18"/>
                <w:szCs w:val="16"/>
                <w:lang w:val="en-US" w:eastAsia="zh-CN" w:bidi="ar-SA"/>
              </w:rPr>
              <w:t>冷拉</w:t>
            </w:r>
          </w:p>
        </w:tc>
        <w:tc>
          <w:tcPr>
            <w:tcW w:w="1058" w:type="pct"/>
            <w:vMerge w:val="restart"/>
            <w:vAlign w:val="center"/>
          </w:tcPr>
          <w:p w14:paraId="3FCA40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宋体" w:hAnsi="宋体" w:eastAsia="宋体" w:cs="Times New Roman"/>
                <w:kern w:val="0"/>
                <w:sz w:val="18"/>
                <w:szCs w:val="16"/>
                <w:lang w:val="en-US" w:eastAsia="zh-CN" w:bidi="ar-SA"/>
              </w:rPr>
              <w:t>＞25～40</w:t>
            </w:r>
          </w:p>
        </w:tc>
        <w:tc>
          <w:tcPr>
            <w:tcW w:w="1661" w:type="pct"/>
            <w:vAlign w:val="center"/>
          </w:tcPr>
          <w:p w14:paraId="337097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2B236A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ascii="宋体" w:hAnsi="宋体" w:eastAsia="宋体" w:cs="宋体"/>
                <w:sz w:val="21"/>
                <w:szCs w:val="21"/>
              </w:rPr>
              <w:t>0.625～1.00</w:t>
            </w:r>
          </w:p>
        </w:tc>
      </w:tr>
      <w:tr w14:paraId="1795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189E41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72D8E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1661" w:type="pct"/>
            <w:vAlign w:val="center"/>
          </w:tcPr>
          <w:p w14:paraId="054297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2F939CAF">
            <w:pPr>
              <w:keepNext w:val="0"/>
              <w:keepLines w:val="0"/>
              <w:widowControl/>
              <w:suppressLineNumbers w:val="0"/>
              <w:jc w:val="center"/>
              <w:textAlignment w:val="center"/>
              <w:rPr>
                <w:rFonts w:hint="default" w:eastAsia="宋体" w:asciiTheme="minorEastAsia" w:hAnsiTheme="minorEastAsia" w:cstheme="minorEastAsia"/>
                <w:i w:val="0"/>
                <w:iCs w:val="0"/>
                <w:color w:val="auto"/>
                <w:kern w:val="0"/>
                <w:sz w:val="18"/>
                <w:szCs w:val="18"/>
                <w:u w:val="none"/>
                <w:lang w:val="en-US" w:eastAsia="zh-CN" w:bidi="ar"/>
              </w:rPr>
            </w:pPr>
            <w:r>
              <w:rPr>
                <w:rFonts w:ascii="宋体" w:hAnsi="宋体" w:eastAsia="宋体" w:cs="宋体"/>
                <w:sz w:val="21"/>
                <w:szCs w:val="21"/>
              </w:rPr>
              <w:t>0.</w:t>
            </w:r>
            <w:r>
              <w:rPr>
                <w:rFonts w:hint="eastAsia" w:ascii="宋体" w:hAnsi="宋体" w:eastAsia="宋体" w:cs="宋体"/>
                <w:sz w:val="21"/>
                <w:szCs w:val="21"/>
                <w:lang w:val="en-US" w:eastAsia="zh-CN"/>
              </w:rPr>
              <w:t>7</w:t>
            </w:r>
            <w:r>
              <w:rPr>
                <w:rFonts w:ascii="宋体" w:hAnsi="宋体" w:eastAsia="宋体" w:cs="宋体"/>
                <w:sz w:val="21"/>
                <w:szCs w:val="21"/>
              </w:rPr>
              <w:t>～</w:t>
            </w:r>
            <w:r>
              <w:rPr>
                <w:rFonts w:hint="eastAsia" w:ascii="宋体" w:hAnsi="宋体" w:eastAsia="宋体" w:cs="宋体"/>
                <w:sz w:val="21"/>
                <w:szCs w:val="21"/>
                <w:lang w:val="en-US" w:eastAsia="zh-CN"/>
              </w:rPr>
              <w:t>0.95</w:t>
            </w:r>
          </w:p>
        </w:tc>
      </w:tr>
      <w:tr w14:paraId="7BD6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1B1F1E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4FBA1C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1661" w:type="pct"/>
            <w:vAlign w:val="center"/>
          </w:tcPr>
          <w:p w14:paraId="6C10B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3AF6D746">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0480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0494E5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eastAsia="zh-CN"/>
              </w:rPr>
            </w:pPr>
            <w:r>
              <w:rPr>
                <w:rFonts w:hint="eastAsia" w:ascii="宋体" w:hAnsi="宋体" w:eastAsia="宋体" w:cs="Times New Roman"/>
                <w:kern w:val="0"/>
                <w:sz w:val="18"/>
                <w:szCs w:val="16"/>
                <w:lang w:val="en-US" w:eastAsia="zh-CN" w:bidi="ar-SA"/>
              </w:rPr>
              <w:t>热挤压、热轧及热锻</w:t>
            </w:r>
          </w:p>
        </w:tc>
        <w:tc>
          <w:tcPr>
            <w:tcW w:w="1058" w:type="pct"/>
            <w:vMerge w:val="restart"/>
            <w:vAlign w:val="center"/>
          </w:tcPr>
          <w:p w14:paraId="3610400B">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宋体" w:hAnsi="宋体" w:eastAsia="宋体" w:cs="Times New Roman"/>
                <w:kern w:val="0"/>
                <w:sz w:val="18"/>
                <w:szCs w:val="16"/>
                <w:lang w:val="en-US" w:eastAsia="zh-CN" w:bidi="ar-SA"/>
              </w:rPr>
              <w:t>20～25</w:t>
            </w:r>
          </w:p>
        </w:tc>
        <w:tc>
          <w:tcPr>
            <w:tcW w:w="1661" w:type="pct"/>
            <w:vAlign w:val="center"/>
          </w:tcPr>
          <w:p w14:paraId="4D901C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2CCC0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04F3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1083D9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06E68D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0F199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29EB4F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4B78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494C35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66C72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759E1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641CCECA">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7748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525047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宋体" w:hAnsi="宋体" w:eastAsia="宋体" w:cs="Times New Roman"/>
                <w:kern w:val="0"/>
                <w:sz w:val="18"/>
                <w:szCs w:val="16"/>
                <w:lang w:val="en-US" w:eastAsia="zh-CN" w:bidi="ar-SA"/>
              </w:rPr>
              <w:t>热挤压、热轧及热锻</w:t>
            </w:r>
          </w:p>
        </w:tc>
        <w:tc>
          <w:tcPr>
            <w:tcW w:w="1058" w:type="pct"/>
            <w:vMerge w:val="restart"/>
            <w:vAlign w:val="center"/>
          </w:tcPr>
          <w:p w14:paraId="05F75466">
            <w:pPr>
              <w:keepNext w:val="0"/>
              <w:keepLines w:val="0"/>
              <w:pageBreakBefore w:val="0"/>
              <w:kinsoku/>
              <w:wordWrap/>
              <w:overflowPunct/>
              <w:topLinePunct w:val="0"/>
              <w:bidi w:val="0"/>
              <w:adjustRightInd/>
              <w:spacing w:line="240" w:lineRule="auto"/>
              <w:jc w:val="center"/>
              <w:textAlignment w:val="auto"/>
              <w:rPr>
                <w:rFonts w:hint="eastAsia" w:asciiTheme="minorEastAsia" w:hAnsiTheme="minorEastAsia" w:eastAsiaTheme="minorEastAsia" w:cstheme="minorEastAsia"/>
                <w:i w:val="0"/>
                <w:iCs w:val="0"/>
                <w:color w:val="auto"/>
                <w:sz w:val="18"/>
                <w:szCs w:val="18"/>
                <w:u w:val="none"/>
                <w:lang w:val="en-US" w:eastAsia="zh-CN"/>
              </w:rPr>
            </w:pPr>
            <w:r>
              <w:rPr>
                <w:rFonts w:hint="eastAsia" w:ascii="宋体" w:hAnsi="宋体" w:eastAsia="宋体" w:cs="Times New Roman"/>
                <w:kern w:val="0"/>
                <w:sz w:val="18"/>
                <w:szCs w:val="16"/>
                <w:lang w:val="en-US" w:eastAsia="zh-CN" w:bidi="ar-SA"/>
              </w:rPr>
              <w:t>＞25～50</w:t>
            </w:r>
          </w:p>
        </w:tc>
        <w:tc>
          <w:tcPr>
            <w:tcW w:w="1661" w:type="pct"/>
            <w:vAlign w:val="center"/>
          </w:tcPr>
          <w:p w14:paraId="218FEA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3F20A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1AF6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26F980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7CF63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5060E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2746B8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3C83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36F1D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374FA8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49E7E4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5493E91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7103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31E3D5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宋体" w:hAnsi="宋体" w:eastAsia="宋体" w:cs="Times New Roman"/>
                <w:kern w:val="0"/>
                <w:sz w:val="18"/>
                <w:szCs w:val="16"/>
                <w:lang w:val="en-US" w:eastAsia="zh-CN" w:bidi="ar-SA"/>
              </w:rPr>
              <w:t>热挤压、热轧及热锻</w:t>
            </w:r>
          </w:p>
        </w:tc>
        <w:tc>
          <w:tcPr>
            <w:tcW w:w="1058" w:type="pct"/>
            <w:vMerge w:val="restart"/>
            <w:vAlign w:val="center"/>
          </w:tcPr>
          <w:p w14:paraId="5F0D618D">
            <w:pPr>
              <w:keepNext w:val="0"/>
              <w:keepLines w:val="0"/>
              <w:pageBreakBefore w:val="0"/>
              <w:kinsoku/>
              <w:wordWrap/>
              <w:overflowPunct/>
              <w:topLinePunct w:val="0"/>
              <w:bidi w:val="0"/>
              <w:adjustRightInd/>
              <w:spacing w:line="240" w:lineRule="auto"/>
              <w:jc w:val="center"/>
              <w:textAlignment w:val="auto"/>
              <w:rPr>
                <w:rFonts w:hint="eastAsia" w:asciiTheme="minorEastAsia" w:hAnsiTheme="minorEastAsia" w:eastAsiaTheme="minorEastAsia" w:cstheme="minorEastAsia"/>
                <w:i w:val="0"/>
                <w:iCs w:val="0"/>
                <w:color w:val="auto"/>
                <w:sz w:val="18"/>
                <w:szCs w:val="18"/>
                <w:u w:val="none"/>
                <w:lang w:val="en-US" w:eastAsia="zh-CN"/>
              </w:rPr>
            </w:pPr>
            <w:r>
              <w:rPr>
                <w:rFonts w:hint="eastAsia" w:ascii="宋体" w:hAnsi="宋体" w:eastAsia="宋体" w:cs="Times New Roman"/>
                <w:kern w:val="0"/>
                <w:sz w:val="18"/>
                <w:szCs w:val="16"/>
                <w:lang w:val="en-US" w:eastAsia="zh-CN" w:bidi="ar-SA"/>
              </w:rPr>
              <w:t>＞50～75</w:t>
            </w:r>
          </w:p>
        </w:tc>
        <w:tc>
          <w:tcPr>
            <w:tcW w:w="1661" w:type="pct"/>
            <w:vAlign w:val="center"/>
          </w:tcPr>
          <w:p w14:paraId="53FC0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6D245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0EA5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5CBCFF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7DAAB7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0B31E5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266D9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7B8E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3846CC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327DE4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14D805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73FD2B5C">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0220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30866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宋体" w:hAnsi="宋体" w:eastAsia="宋体" w:cs="Times New Roman"/>
                <w:kern w:val="0"/>
                <w:sz w:val="18"/>
                <w:szCs w:val="16"/>
                <w:lang w:val="en-US" w:eastAsia="zh-CN" w:bidi="ar-SA"/>
              </w:rPr>
              <w:t>热挤压、热轧及热锻</w:t>
            </w:r>
          </w:p>
        </w:tc>
        <w:tc>
          <w:tcPr>
            <w:tcW w:w="1058" w:type="pct"/>
            <w:vMerge w:val="restart"/>
            <w:vAlign w:val="center"/>
          </w:tcPr>
          <w:p w14:paraId="3C2B5ADA">
            <w:pPr>
              <w:keepNext w:val="0"/>
              <w:keepLines w:val="0"/>
              <w:pageBreakBefore w:val="0"/>
              <w:kinsoku/>
              <w:wordWrap/>
              <w:overflowPunct/>
              <w:topLinePunct w:val="0"/>
              <w:bidi w:val="0"/>
              <w:adjustRightInd/>
              <w:spacing w:line="240" w:lineRule="auto"/>
              <w:jc w:val="center"/>
              <w:textAlignment w:val="auto"/>
              <w:rPr>
                <w:rFonts w:hint="eastAsia" w:asciiTheme="minorEastAsia" w:hAnsiTheme="minorEastAsia" w:eastAsiaTheme="minorEastAsia" w:cstheme="minorEastAsia"/>
                <w:i w:val="0"/>
                <w:iCs w:val="0"/>
                <w:color w:val="auto"/>
                <w:sz w:val="18"/>
                <w:szCs w:val="18"/>
                <w:u w:val="none"/>
                <w:lang w:val="en-US" w:eastAsia="zh-CN"/>
              </w:rPr>
            </w:pPr>
            <w:r>
              <w:rPr>
                <w:rFonts w:hint="eastAsia" w:ascii="宋体" w:hAnsi="宋体" w:eastAsia="宋体" w:cs="Times New Roman"/>
                <w:kern w:val="0"/>
                <w:sz w:val="18"/>
                <w:szCs w:val="16"/>
                <w:lang w:val="en-US" w:eastAsia="zh-CN" w:bidi="ar-SA"/>
              </w:rPr>
              <w:t>＞75～90</w:t>
            </w:r>
          </w:p>
        </w:tc>
        <w:tc>
          <w:tcPr>
            <w:tcW w:w="1661" w:type="pct"/>
            <w:vAlign w:val="center"/>
          </w:tcPr>
          <w:p w14:paraId="50E27E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738531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2E6B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245868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30D51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32E2EC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665B8C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2620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74870C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5AF2DD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1191C1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51922EA2">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7322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7DBB9E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宋体" w:hAnsi="宋体" w:eastAsia="宋体" w:cs="Times New Roman"/>
                <w:kern w:val="0"/>
                <w:sz w:val="18"/>
                <w:szCs w:val="16"/>
                <w:lang w:val="en-US" w:eastAsia="zh-CN" w:bidi="ar-SA"/>
              </w:rPr>
              <w:t>热挤压、热轧及热锻</w:t>
            </w:r>
          </w:p>
        </w:tc>
        <w:tc>
          <w:tcPr>
            <w:tcW w:w="1058" w:type="pct"/>
            <w:vMerge w:val="restart"/>
            <w:vAlign w:val="center"/>
          </w:tcPr>
          <w:p w14:paraId="3C5A5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宋体" w:hAnsi="宋体" w:eastAsia="宋体" w:cs="Times New Roman"/>
                <w:kern w:val="0"/>
                <w:sz w:val="18"/>
                <w:szCs w:val="16"/>
                <w:lang w:val="en-US" w:eastAsia="zh-CN" w:bidi="ar-SA"/>
              </w:rPr>
              <w:t>＞90～120</w:t>
            </w:r>
          </w:p>
        </w:tc>
        <w:tc>
          <w:tcPr>
            <w:tcW w:w="1661" w:type="pct"/>
            <w:vAlign w:val="center"/>
          </w:tcPr>
          <w:p w14:paraId="1198F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Style w:val="29"/>
                <w:rFonts w:hint="eastAsia" w:asciiTheme="minorEastAsia" w:hAnsiTheme="minorEastAsia" w:eastAsiaTheme="minorEastAsia" w:cstheme="minorEastAsia"/>
                <w:color w:val="auto"/>
                <w:sz w:val="18"/>
                <w:szCs w:val="18"/>
                <w:lang w:val="en-US" w:eastAsia="zh-CN" w:bidi="ar"/>
              </w:rPr>
              <w:t>标准值</w:t>
            </w:r>
          </w:p>
        </w:tc>
        <w:tc>
          <w:tcPr>
            <w:tcW w:w="1324" w:type="pct"/>
            <w:vAlign w:val="center"/>
          </w:tcPr>
          <w:p w14:paraId="02FA8D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3E84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025A2D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23BB6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2E293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sz w:val="18"/>
                <w:szCs w:val="18"/>
                <w:u w:val="none"/>
                <w:lang w:val="en-US" w:eastAsia="zh-CN"/>
              </w:rPr>
              <w:t>实测值</w:t>
            </w:r>
          </w:p>
        </w:tc>
        <w:tc>
          <w:tcPr>
            <w:tcW w:w="1324" w:type="pct"/>
            <w:vAlign w:val="center"/>
          </w:tcPr>
          <w:p w14:paraId="7ECC41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﹤3</w:t>
            </w:r>
          </w:p>
        </w:tc>
      </w:tr>
      <w:tr w14:paraId="5A1E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6187E2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Merge w:val="continue"/>
            <w:vAlign w:val="center"/>
          </w:tcPr>
          <w:p w14:paraId="51D94B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c>
          <w:tcPr>
            <w:tcW w:w="1661" w:type="pct"/>
            <w:vAlign w:val="center"/>
          </w:tcPr>
          <w:p w14:paraId="59AD13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56D8A8D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100</w:t>
            </w:r>
          </w:p>
        </w:tc>
      </w:tr>
      <w:tr w14:paraId="5F0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restart"/>
            <w:vAlign w:val="center"/>
          </w:tcPr>
          <w:p w14:paraId="2155B3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r>
              <w:rPr>
                <w:rFonts w:hint="eastAsia" w:asciiTheme="minorEastAsia" w:hAnsiTheme="minorEastAsia" w:eastAsiaTheme="minorEastAsia" w:cstheme="minorEastAsia"/>
                <w:color w:val="auto"/>
                <w:sz w:val="18"/>
                <w:szCs w:val="18"/>
                <w:vertAlign w:val="baseline"/>
                <w:lang w:val="en-US" w:eastAsia="zh-CN"/>
              </w:rPr>
              <w:t>合计</w:t>
            </w:r>
          </w:p>
        </w:tc>
        <w:tc>
          <w:tcPr>
            <w:tcW w:w="1058" w:type="pct"/>
            <w:vAlign w:val="center"/>
          </w:tcPr>
          <w:p w14:paraId="390F8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661" w:type="pct"/>
            <w:vAlign w:val="center"/>
          </w:tcPr>
          <w:p w14:paraId="74488F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样品数（个）</w:t>
            </w:r>
          </w:p>
        </w:tc>
        <w:tc>
          <w:tcPr>
            <w:tcW w:w="1324" w:type="pct"/>
            <w:vAlign w:val="center"/>
          </w:tcPr>
          <w:p w14:paraId="0F716671">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800</w:t>
            </w:r>
          </w:p>
        </w:tc>
      </w:tr>
      <w:tr w14:paraId="0274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5" w:type="pct"/>
            <w:vMerge w:val="continue"/>
            <w:vAlign w:val="center"/>
          </w:tcPr>
          <w:p w14:paraId="428F88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18"/>
                <w:szCs w:val="18"/>
                <w:vertAlign w:val="baseline"/>
                <w:lang w:val="en-US"/>
              </w:rPr>
            </w:pPr>
          </w:p>
        </w:tc>
        <w:tc>
          <w:tcPr>
            <w:tcW w:w="1058" w:type="pct"/>
            <w:vAlign w:val="center"/>
          </w:tcPr>
          <w:p w14:paraId="1B0052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合格率（%）</w:t>
            </w:r>
          </w:p>
        </w:tc>
        <w:tc>
          <w:tcPr>
            <w:tcW w:w="1661" w:type="pct"/>
            <w:vAlign w:val="center"/>
          </w:tcPr>
          <w:p w14:paraId="38D08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合格率（%）</w:t>
            </w:r>
          </w:p>
        </w:tc>
        <w:tc>
          <w:tcPr>
            <w:tcW w:w="1324" w:type="pct"/>
            <w:vAlign w:val="center"/>
          </w:tcPr>
          <w:p w14:paraId="5A9B36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100</w:t>
            </w:r>
          </w:p>
        </w:tc>
      </w:tr>
    </w:tbl>
    <w:p w14:paraId="31B793C1">
      <w:pPr>
        <w:pStyle w:val="10"/>
        <w:spacing w:beforeLines="50" w:beforeAutospacing="0" w:after="0" w:afterAutospacing="0" w:line="360" w:lineRule="auto"/>
        <w:ind w:firstLine="482"/>
        <w:rPr>
          <w:rFonts w:hint="eastAsia" w:ascii="黑体" w:hAnsi="黑体" w:eastAsia="黑体" w:cs="黑体"/>
          <w:b w:val="0"/>
          <w:bCs w:val="0"/>
          <w:color w:val="auto"/>
          <w:sz w:val="24"/>
          <w:lang w:val="en-US" w:eastAsia="zh-CN"/>
        </w:rPr>
      </w:pPr>
      <w:r>
        <w:rPr>
          <w:rFonts w:hint="eastAsia" w:asciiTheme="minorEastAsia" w:hAnsiTheme="minorEastAsia" w:eastAsiaTheme="minorEastAsia" w:cstheme="minorEastAsia"/>
          <w:color w:val="auto"/>
          <w:sz w:val="21"/>
          <w:szCs w:val="21"/>
        </w:rPr>
        <w:t>由上表可知，</w:t>
      </w:r>
      <w:r>
        <w:rPr>
          <w:rFonts w:hint="eastAsia" w:asciiTheme="minorEastAsia" w:hAnsiTheme="minorEastAsia" w:eastAsiaTheme="minorEastAsia" w:cstheme="minorEastAsia"/>
          <w:color w:val="auto"/>
          <w:sz w:val="21"/>
          <w:szCs w:val="21"/>
          <w:lang w:eastAsia="zh-CN"/>
        </w:rPr>
        <w:t>冷拉、</w:t>
      </w:r>
      <w:r>
        <w:rPr>
          <w:rFonts w:hint="eastAsia" w:asciiTheme="minorEastAsia" w:hAnsiTheme="minorEastAsia" w:eastAsiaTheme="minorEastAsia" w:cstheme="minorEastAsia"/>
          <w:kern w:val="0"/>
          <w:sz w:val="21"/>
          <w:szCs w:val="21"/>
          <w:lang w:val="en-US" w:eastAsia="zh-CN" w:bidi="ar-SA"/>
        </w:rPr>
        <w:t>热挤压、热轧及热锻</w:t>
      </w:r>
      <w:r>
        <w:rPr>
          <w:rFonts w:hint="eastAsia" w:asciiTheme="minorEastAsia" w:hAnsiTheme="minorEastAsia" w:eastAsiaTheme="minorEastAsia" w:cstheme="minorEastAsia"/>
          <w:color w:val="auto"/>
          <w:sz w:val="21"/>
          <w:szCs w:val="21"/>
          <w:lang w:val="en-US" w:eastAsia="zh-CN"/>
        </w:rPr>
        <w:t>棒材的切斜度均在标准要求范围内，合格率100%。</w:t>
      </w:r>
    </w:p>
    <w:p w14:paraId="00B6F1E3">
      <w:pPr>
        <w:keepNext w:val="0"/>
        <w:keepLines w:val="0"/>
        <w:pageBreakBefore w:val="0"/>
        <w:widowControl/>
        <w:kinsoku/>
        <w:wordWrap/>
        <w:overflowPunct/>
        <w:topLinePunct w:val="0"/>
        <w:autoSpaceDE/>
        <w:autoSpaceDN/>
        <w:bidi w:val="0"/>
        <w:adjustRightInd/>
        <w:snapToGrid/>
        <w:spacing w:before="157" w:beforeLines="50" w:after="157" w:afterLines="50" w:line="360" w:lineRule="auto"/>
        <w:textAlignment w:val="auto"/>
        <w:rPr>
          <w:rFonts w:hint="default" w:ascii="黑体" w:hAnsi="黑体" w:eastAsia="黑体" w:cs="黑体"/>
          <w:b w:val="0"/>
          <w:bCs w:val="0"/>
          <w:color w:val="auto"/>
          <w:sz w:val="21"/>
          <w:szCs w:val="20"/>
          <w:lang w:val="en-US" w:eastAsia="zh-CN"/>
        </w:rPr>
      </w:pPr>
      <w:r>
        <w:rPr>
          <w:rFonts w:hint="eastAsia" w:ascii="黑体" w:hAnsi="黑体" w:eastAsia="黑体" w:cs="黑体"/>
          <w:b w:val="0"/>
          <w:bCs w:val="0"/>
          <w:color w:val="auto"/>
          <w:sz w:val="21"/>
          <w:szCs w:val="20"/>
          <w:lang w:val="en-US" w:eastAsia="zh-CN"/>
        </w:rPr>
        <w:t>3.4.2力学性能</w:t>
      </w:r>
    </w:p>
    <w:p w14:paraId="4EE00C77">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黑体" w:hAnsi="黑体" w:eastAsia="黑体" w:cs="黑体"/>
          <w:b w:val="0"/>
          <w:bCs w:val="0"/>
          <w:color w:val="auto"/>
          <w:sz w:val="24"/>
          <w:lang w:val="en-US" w:eastAsia="zh-CN"/>
        </w:rPr>
      </w:pPr>
      <w:r>
        <w:rPr>
          <w:rFonts w:hint="eastAsia" w:ascii="黑体" w:hAnsi="黑体" w:eastAsia="黑体" w:cs="黑体"/>
          <w:b w:val="0"/>
          <w:bCs w:val="0"/>
          <w:color w:val="auto"/>
          <w:sz w:val="24"/>
          <w:lang w:val="en-US" w:eastAsia="zh-CN"/>
        </w:rPr>
        <w:t>（1）</w:t>
      </w:r>
      <w:r>
        <w:rPr>
          <w:rFonts w:hint="eastAsia" w:ascii="宋体" w:hAnsi="宋体" w:eastAsia="宋体" w:cs="宋体"/>
          <w:color w:val="auto"/>
          <w:sz w:val="21"/>
          <w:szCs w:val="21"/>
          <w:lang w:val="en-US" w:eastAsia="zh-CN"/>
        </w:rPr>
        <w:t>对</w:t>
      </w:r>
      <w:r>
        <w:rPr>
          <w:rFonts w:hint="eastAsia" w:cs="宋体"/>
          <w:color w:val="auto"/>
          <w:sz w:val="21"/>
          <w:szCs w:val="21"/>
          <w:lang w:val="en-US" w:eastAsia="zh-CN"/>
        </w:rPr>
        <w:t>棒材</w:t>
      </w:r>
      <w:r>
        <w:rPr>
          <w:rFonts w:hint="eastAsia" w:asciiTheme="minorEastAsia" w:hAnsiTheme="minorEastAsia" w:eastAsiaTheme="minorEastAsia" w:cstheme="minorEastAsia"/>
          <w:sz w:val="21"/>
          <w:szCs w:val="21"/>
          <w:lang w:val="en-US" w:eastAsia="zh-CN"/>
        </w:rPr>
        <w:t>M10、M11、M20、M30态的断后伸长率</w:t>
      </w:r>
      <w:r>
        <w:rPr>
          <w:rFonts w:hint="eastAsia" w:ascii="宋体" w:hAnsi="宋体" w:eastAsia="宋体" w:cs="宋体"/>
          <w:color w:val="auto"/>
          <w:sz w:val="21"/>
          <w:szCs w:val="21"/>
          <w:lang w:val="en-US" w:eastAsia="zh-CN"/>
        </w:rPr>
        <w:t>的统计情况见下表。</w:t>
      </w:r>
    </w:p>
    <w:p w14:paraId="7E1A32B6">
      <w:pPr>
        <w:pStyle w:val="10"/>
        <w:keepNext w:val="0"/>
        <w:keepLines w:val="0"/>
        <w:pageBreakBefore w:val="0"/>
        <w:widowControl/>
        <w:kinsoku/>
        <w:wordWrap/>
        <w:overflowPunct/>
        <w:topLinePunct w:val="0"/>
        <w:autoSpaceDE/>
        <w:autoSpaceDN/>
        <w:bidi w:val="0"/>
        <w:adjustRightInd/>
        <w:snapToGrid/>
        <w:spacing w:beforeLines="50" w:beforeAutospacing="0" w:after="157" w:afterLines="50" w:afterAutospacing="0" w:line="360" w:lineRule="auto"/>
        <w:jc w:val="center"/>
        <w:textAlignment w:val="auto"/>
        <w:rPr>
          <w:rFonts w:hint="eastAsia" w:ascii="黑体" w:hAnsi="黑体" w:eastAsia="黑体" w:cs="黑体"/>
          <w:b w:val="0"/>
          <w:bCs w:val="0"/>
          <w:color w:val="auto"/>
          <w:sz w:val="21"/>
          <w:szCs w:val="21"/>
        </w:rPr>
      </w:pPr>
      <w:r>
        <w:rPr>
          <w:rFonts w:hint="eastAsia" w:ascii="黑体" w:hAnsi="黑体" w:eastAsia="黑体" w:cs="黑体"/>
          <w:b w:val="0"/>
          <w:bCs w:val="0"/>
          <w:color w:val="auto"/>
          <w:sz w:val="21"/>
          <w:szCs w:val="21"/>
        </w:rPr>
        <w:t>表</w:t>
      </w:r>
      <w:r>
        <w:rPr>
          <w:rFonts w:hint="eastAsia" w:ascii="黑体" w:hAnsi="黑体" w:eastAsia="黑体" w:cs="黑体"/>
          <w:b w:val="0"/>
          <w:bCs w:val="0"/>
          <w:color w:val="auto"/>
          <w:sz w:val="21"/>
          <w:szCs w:val="21"/>
          <w:lang w:val="en-US" w:eastAsia="zh-CN"/>
        </w:rPr>
        <w:t>6</w:t>
      </w:r>
      <w:r>
        <w:rPr>
          <w:rFonts w:hint="eastAsia" w:ascii="黑体" w:hAnsi="黑体" w:eastAsia="黑体" w:cs="黑体"/>
          <w:b w:val="0"/>
          <w:bCs w:val="0"/>
          <w:color w:val="auto"/>
          <w:sz w:val="21"/>
          <w:szCs w:val="21"/>
        </w:rPr>
        <w:t xml:space="preserve"> </w:t>
      </w:r>
      <w:r>
        <w:rPr>
          <w:rFonts w:hint="eastAsia" w:ascii="黑体" w:hAnsi="黑体" w:eastAsia="黑体" w:cs="黑体"/>
          <w:b w:val="0"/>
          <w:bCs w:val="0"/>
          <w:sz w:val="21"/>
          <w:szCs w:val="21"/>
          <w:lang w:val="en-US" w:eastAsia="zh-CN"/>
        </w:rPr>
        <w:t>M10、M11、M20、M30态</w:t>
      </w:r>
      <w:r>
        <w:rPr>
          <w:rFonts w:hint="eastAsia" w:ascii="黑体" w:hAnsi="黑体" w:eastAsia="黑体" w:cs="黑体"/>
          <w:b w:val="0"/>
          <w:bCs w:val="0"/>
          <w:color w:val="auto"/>
          <w:sz w:val="21"/>
          <w:szCs w:val="21"/>
          <w:lang w:eastAsia="zh-CN"/>
        </w:rPr>
        <w:t>棒材</w:t>
      </w:r>
      <w:r>
        <w:rPr>
          <w:rFonts w:hint="eastAsia" w:ascii="黑体" w:hAnsi="黑体" w:eastAsia="黑体" w:cs="黑体"/>
          <w:b w:val="0"/>
          <w:bCs w:val="0"/>
          <w:color w:val="auto"/>
          <w:sz w:val="21"/>
          <w:szCs w:val="21"/>
        </w:rPr>
        <w:t>断后伸长率(A)频数和频率分布表</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88"/>
        <w:gridCol w:w="1446"/>
        <w:gridCol w:w="2047"/>
        <w:gridCol w:w="1446"/>
        <w:gridCol w:w="1446"/>
      </w:tblGrid>
      <w:tr w14:paraId="7C2E0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3DF05">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牌号</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8EEDD">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区间</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170D1">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组中值​</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70831">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频数</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C55D0">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频率</w:t>
            </w:r>
          </w:p>
        </w:tc>
      </w:tr>
      <w:tr w14:paraId="0511C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3A7F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2AB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B97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4894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8860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79959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E1422">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FD8E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E40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A820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1715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w:t>
            </w:r>
          </w:p>
        </w:tc>
      </w:tr>
      <w:tr w14:paraId="5385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7E1C4">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7DCF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CDDB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C196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E1A3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0.11</w:t>
            </w:r>
          </w:p>
        </w:tc>
      </w:tr>
      <w:tr w14:paraId="64CD6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1198A">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BD9A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25D9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DC09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85D6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0.25</w:t>
            </w:r>
          </w:p>
        </w:tc>
      </w:tr>
      <w:tr w14:paraId="49958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18A31">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C6E0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7DD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5AC8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3C88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0.32</w:t>
            </w:r>
          </w:p>
        </w:tc>
      </w:tr>
      <w:tr w14:paraId="4144A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E2C61">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9826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AEDE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18DE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177C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55DC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CAFF7">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6B92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6079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BFB6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5A62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4A0D1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35CAA">
            <w:pPr>
              <w:jc w:val="center"/>
              <w:rPr>
                <w:rFonts w:hint="eastAsia" w:asciiTheme="minorEastAsia" w:hAnsiTheme="minorEastAsia" w:eastAsiaTheme="minorEastAsia" w:cstheme="minorEastAsia"/>
                <w:i w:val="0"/>
                <w:color w:val="000000"/>
                <w:sz w:val="21"/>
                <w:szCs w:val="21"/>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7ED4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0CF0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6872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6E55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w:t>
            </w:r>
          </w:p>
        </w:tc>
      </w:tr>
      <w:tr w14:paraId="3053B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474C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TBe1.9-0.4</w:t>
            </w: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6B57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4FBF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9A1B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F5AD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27DC5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EB35A">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F482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6357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23F3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40A7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4458B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04CDA">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DF59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4302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B12E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9D39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0.12</w:t>
            </w:r>
          </w:p>
        </w:tc>
      </w:tr>
      <w:tr w14:paraId="22966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67009">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48D8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A3FF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8D14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9D4F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0.24</w:t>
            </w:r>
          </w:p>
        </w:tc>
      </w:tr>
      <w:tr w14:paraId="1522C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0CCB">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1C3A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0B67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1500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FB5B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0.31</w:t>
            </w:r>
          </w:p>
        </w:tc>
      </w:tr>
      <w:tr w14:paraId="11DB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13BA8">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EDD1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C13C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45FB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3695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68E22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63CE8">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4240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689B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91AF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8CC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w:t>
            </w:r>
          </w:p>
        </w:tc>
      </w:tr>
      <w:tr w14:paraId="09FE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58651">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A544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D8E3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4E22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4244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w:t>
            </w:r>
          </w:p>
        </w:tc>
      </w:tr>
      <w:tr w14:paraId="6F304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CCA1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sz w:val="21"/>
                <w:szCs w:val="21"/>
                <w:lang w:val="en-US" w:eastAsia="zh-CN"/>
              </w:rPr>
              <w:t>C17000</w:t>
            </w: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A235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A63F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2B28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308E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0.01</w:t>
            </w:r>
          </w:p>
        </w:tc>
      </w:tr>
      <w:tr w14:paraId="23B15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9C4D5">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80D3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5F64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D487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66A5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w:t>
            </w:r>
          </w:p>
        </w:tc>
      </w:tr>
      <w:tr w14:paraId="0510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9353">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CEF6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1BB9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1D4F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57EF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5CA3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238D0">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F5A2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63A5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7251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881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0.26</w:t>
            </w:r>
          </w:p>
        </w:tc>
      </w:tr>
      <w:tr w14:paraId="6FC2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31D80">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A636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99E8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AD06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B94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0.33</w:t>
            </w:r>
          </w:p>
        </w:tc>
      </w:tr>
      <w:tr w14:paraId="1291C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56F4A">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F662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40B1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FB5F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2195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1A84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93C31">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933A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CDD3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C5E4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41EF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2DF6E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F7822">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FBFD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A367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803A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C688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r>
      <w:tr w14:paraId="06FF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8A0F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TBe1.7</w:t>
            </w: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E6F6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B96B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663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C2CC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1BEFA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3A21E">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9F4B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EDD4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F8B7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ED81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r>
      <w:tr w14:paraId="3DFF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3B032">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9069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9C65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BE8F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6190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0.13</w:t>
            </w:r>
          </w:p>
        </w:tc>
      </w:tr>
      <w:tr w14:paraId="2054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9B9BC">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C7F2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5415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3C11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B619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0.23</w:t>
            </w:r>
          </w:p>
        </w:tc>
      </w:tr>
      <w:tr w14:paraId="30F8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6E8AB">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3D04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9C7D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784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6C80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0.32</w:t>
            </w:r>
          </w:p>
        </w:tc>
      </w:tr>
      <w:tr w14:paraId="49FF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F39ED">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7551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6314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4F9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E3DF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0.18</w:t>
            </w:r>
          </w:p>
        </w:tc>
      </w:tr>
      <w:tr w14:paraId="7F6D4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8B290">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09D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B08F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88B0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0EDD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r>
      <w:tr w14:paraId="5FA09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E5C36">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E73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781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60DD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DEF3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550E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B7C9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w:t>
            </w: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D12E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3420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8A17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26F7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0.01</w:t>
            </w:r>
          </w:p>
        </w:tc>
      </w:tr>
      <w:tr w14:paraId="595F1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7724A">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B3C0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8875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5DD2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1B75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0.07</w:t>
            </w:r>
          </w:p>
        </w:tc>
      </w:tr>
      <w:tr w14:paraId="18FB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4D8BC">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D139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1523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A538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5569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0.09</w:t>
            </w:r>
          </w:p>
        </w:tc>
      </w:tr>
      <w:tr w14:paraId="74057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F5AC6">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CFA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A451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94D7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1F7E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0.25</w:t>
            </w:r>
          </w:p>
        </w:tc>
      </w:tr>
      <w:tr w14:paraId="285FE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5E38A">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8F67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ABB8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0204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E82E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0.34</w:t>
            </w:r>
          </w:p>
        </w:tc>
      </w:tr>
      <w:tr w14:paraId="62375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225D6">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215D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2CD5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C558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F1E8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0.14</w:t>
            </w:r>
          </w:p>
        </w:tc>
      </w:tr>
      <w:tr w14:paraId="722B2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41110">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637B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678F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7859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3078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w:t>
            </w:r>
          </w:p>
        </w:tc>
      </w:tr>
      <w:tr w14:paraId="1C27F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4A5F6">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567B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3DF1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8CE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2DE9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r>
      <w:tr w14:paraId="4096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F582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TBe1.9-0.1</w:t>
            </w: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8023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3E0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4089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EB8C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5D120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B186A">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BBEF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D523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E947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18AC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2E52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15FCC">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CF1F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AE7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D3B0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7457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0.11</w:t>
            </w:r>
          </w:p>
        </w:tc>
      </w:tr>
      <w:tr w14:paraId="0D20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408FD">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6601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AFDE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7110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19BE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0.27</w:t>
            </w:r>
          </w:p>
        </w:tc>
      </w:tr>
      <w:tr w14:paraId="08D4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838B6">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018F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487C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E2DD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DF43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w:t>
            </w:r>
          </w:p>
        </w:tc>
      </w:tr>
      <w:tr w14:paraId="0944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A86F8">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77BF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2113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1375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74CE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4A176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0DA0F">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0687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0AEB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8EFD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C2D3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3F40D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EA068">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B05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A00C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03A5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6605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r>
      <w:tr w14:paraId="50DE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51FC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TBe2</w:t>
            </w: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098B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0930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AA7E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B405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0.01</w:t>
            </w:r>
          </w:p>
        </w:tc>
      </w:tr>
      <w:tr w14:paraId="5729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BFF9D">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3D72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CB1B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5B75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0184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w:t>
            </w:r>
          </w:p>
        </w:tc>
      </w:tr>
      <w:tr w14:paraId="2F81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DCE64">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7441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[17,19）</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8010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FE9D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ED36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0.12</w:t>
            </w:r>
          </w:p>
        </w:tc>
      </w:tr>
      <w:tr w14:paraId="3D29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2F9EF">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9492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[19,21）</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8DAB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2185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ADF3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0.24</w:t>
            </w:r>
          </w:p>
        </w:tc>
      </w:tr>
      <w:tr w14:paraId="24EE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39E5C">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D4B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[21,23）</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F743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35B4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BAF7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0.33</w:t>
            </w:r>
          </w:p>
        </w:tc>
      </w:tr>
      <w:tr w14:paraId="3B6C2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7F457">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C74C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[23,25）</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5C3C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D604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2A39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1CC8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CE9B9">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4FA8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[25,27）</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C2D9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A8C5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CC2F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r>
      <w:tr w14:paraId="45DD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1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096B4">
            <w:pPr>
              <w:jc w:val="center"/>
              <w:rPr>
                <w:rFonts w:hint="eastAsia" w:asciiTheme="minorEastAsia" w:hAnsiTheme="minorEastAsia" w:eastAsiaTheme="minorEastAsia" w:cstheme="minorEastAsia"/>
                <w:i w:val="0"/>
                <w:color w:val="000000"/>
                <w:sz w:val="21"/>
                <w:szCs w:val="21"/>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5A0E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[27,30）</w:t>
            </w:r>
          </w:p>
        </w:tc>
        <w:tc>
          <w:tcPr>
            <w:tcW w:w="122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601C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7729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629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bl>
    <w:p w14:paraId="21ABDA4A">
      <w:pPr>
        <w:pStyle w:val="5"/>
        <w:numPr>
          <w:ilvl w:val="0"/>
          <w:numId w:val="0"/>
        </w:numPr>
      </w:pPr>
    </w:p>
    <w:p w14:paraId="6109D25E">
      <w:pPr>
        <w:pStyle w:val="5"/>
        <w:numPr>
          <w:ilvl w:val="0"/>
          <w:numId w:val="0"/>
        </w:numPr>
      </w:pPr>
      <w:r>
        <w:drawing>
          <wp:inline distT="0" distB="0" distL="114300" distR="114300">
            <wp:extent cx="2570480" cy="1715770"/>
            <wp:effectExtent l="0" t="0" r="1270" b="177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2570480"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1115" cy="1715770"/>
            <wp:effectExtent l="0" t="0" r="635"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2571115" cy="1715770"/>
                    </a:xfrm>
                    <a:prstGeom prst="rect">
                      <a:avLst/>
                    </a:prstGeom>
                    <a:noFill/>
                    <a:ln>
                      <a:noFill/>
                    </a:ln>
                  </pic:spPr>
                </pic:pic>
              </a:graphicData>
            </a:graphic>
          </wp:inline>
        </w:drawing>
      </w:r>
    </w:p>
    <w:p w14:paraId="5A46FD99">
      <w:pPr>
        <w:pStyle w:val="5"/>
        <w:numPr>
          <w:ilvl w:val="0"/>
          <w:numId w:val="0"/>
        </w:numPr>
      </w:pPr>
      <w:r>
        <w:drawing>
          <wp:inline distT="0" distB="0" distL="114300" distR="114300">
            <wp:extent cx="2557780" cy="1706880"/>
            <wp:effectExtent l="0" t="0" r="1397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2557780" cy="170688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58415" cy="1707515"/>
            <wp:effectExtent l="0" t="0" r="13335"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2558415" cy="1707515"/>
                    </a:xfrm>
                    <a:prstGeom prst="rect">
                      <a:avLst/>
                    </a:prstGeom>
                    <a:noFill/>
                    <a:ln>
                      <a:noFill/>
                    </a:ln>
                  </pic:spPr>
                </pic:pic>
              </a:graphicData>
            </a:graphic>
          </wp:inline>
        </w:drawing>
      </w:r>
    </w:p>
    <w:p w14:paraId="26FA0FE9">
      <w:pPr>
        <w:pStyle w:val="5"/>
        <w:numPr>
          <w:ilvl w:val="0"/>
          <w:numId w:val="0"/>
        </w:numPr>
      </w:pPr>
      <w:r>
        <w:drawing>
          <wp:inline distT="0" distB="0" distL="114300" distR="114300">
            <wp:extent cx="2571115" cy="1715770"/>
            <wp:effectExtent l="0" t="0" r="635" b="177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2571115"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1115" cy="1715770"/>
            <wp:effectExtent l="0" t="0" r="635" b="177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2571115" cy="1715770"/>
                    </a:xfrm>
                    <a:prstGeom prst="rect">
                      <a:avLst/>
                    </a:prstGeom>
                    <a:noFill/>
                    <a:ln>
                      <a:noFill/>
                    </a:ln>
                  </pic:spPr>
                </pic:pic>
              </a:graphicData>
            </a:graphic>
          </wp:inline>
        </w:drawing>
      </w:r>
    </w:p>
    <w:p w14:paraId="4AD00E5E">
      <w:pPr>
        <w:pStyle w:val="5"/>
        <w:numPr>
          <w:ilvl w:val="0"/>
          <w:numId w:val="0"/>
        </w:numPr>
        <w:jc w:val="center"/>
      </w:pPr>
      <w:r>
        <w:drawing>
          <wp:inline distT="0" distB="0" distL="114300" distR="114300">
            <wp:extent cx="2573020" cy="1717040"/>
            <wp:effectExtent l="0" t="0" r="17780" b="165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a:stretch>
                      <a:fillRect/>
                    </a:stretch>
                  </pic:blipFill>
                  <pic:spPr>
                    <a:xfrm>
                      <a:off x="0" y="0"/>
                      <a:ext cx="2573020" cy="1717040"/>
                    </a:xfrm>
                    <a:prstGeom prst="rect">
                      <a:avLst/>
                    </a:prstGeom>
                    <a:noFill/>
                    <a:ln>
                      <a:noFill/>
                    </a:ln>
                  </pic:spPr>
                </pic:pic>
              </a:graphicData>
            </a:graphic>
          </wp:inline>
        </w:drawing>
      </w:r>
    </w:p>
    <w:p w14:paraId="59A4F607">
      <w:pPr>
        <w:pStyle w:val="5"/>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图1 TBe1.9-0.2、TBe1.9-0.4、C17000、TBe1.7、</w:t>
      </w:r>
    </w:p>
    <w:p w14:paraId="55CC0149">
      <w:pPr>
        <w:pStyle w:val="5"/>
        <w:numPr>
          <w:ilvl w:val="0"/>
          <w:numId w:val="0"/>
        </w:numPr>
        <w:jc w:val="center"/>
        <w:rPr>
          <w:rFonts w:hint="eastAsia" w:ascii="黑体" w:hAnsi="黑体" w:eastAsia="黑体" w:cs="黑体"/>
          <w:b w:val="0"/>
          <w:bCs w:val="0"/>
        </w:rPr>
      </w:pPr>
      <w:r>
        <w:rPr>
          <w:rFonts w:hint="eastAsia" w:ascii="黑体" w:hAnsi="黑体" w:eastAsia="黑体" w:cs="黑体"/>
          <w:b w:val="0"/>
          <w:bCs w:val="0"/>
          <w:sz w:val="21"/>
          <w:szCs w:val="21"/>
          <w:lang w:val="en-US" w:eastAsia="zh-CN"/>
        </w:rPr>
        <w:t>TBe1.9、TBe1.9-0.1、TBe2的</w:t>
      </w:r>
      <w:r>
        <w:rPr>
          <w:rFonts w:hint="eastAsia" w:ascii="黑体" w:hAnsi="黑体" w:eastAsia="黑体" w:cs="黑体"/>
          <w:b w:val="0"/>
          <w:bCs w:val="0"/>
          <w:lang w:val="en-US" w:eastAsia="zh-CN"/>
        </w:rPr>
        <w:t>M10、M11、M20、M30态的断后伸长率直方图</w:t>
      </w:r>
    </w:p>
    <w:p w14:paraId="5DF93E6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由图表可知，TBe1.9-0.2、TBe1.9-0.4、C17000、TBe1.7、TBe1.9、TBe1.9-0.1、TBe2的M10、M11、M20、M30态的断后伸长率A在14%以上的合格率分别为98%、97%、97%、98%、97%、97%、97%。该产品技术指标： A≥14%指标制定合理，该产品属于成熟稳定产品。</w:t>
      </w:r>
    </w:p>
    <w:p w14:paraId="3129C3B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（2）对棒材TD04态的断后伸长率的统计情况见表7。</w:t>
      </w:r>
    </w:p>
    <w:p w14:paraId="1A1685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auto"/>
          <w:kern w:val="2"/>
          <w:sz w:val="21"/>
          <w:szCs w:val="22"/>
          <w:lang w:val="en-US" w:eastAsia="zh-CN" w:bidi="ar-SA"/>
        </w:rPr>
      </w:pPr>
      <w:r>
        <w:rPr>
          <w:rFonts w:hint="eastAsia" w:ascii="黑体" w:hAnsi="黑体" w:eastAsia="黑体" w:cs="黑体"/>
          <w:b w:val="0"/>
          <w:bCs w:val="0"/>
          <w:color w:val="auto"/>
          <w:kern w:val="2"/>
          <w:sz w:val="21"/>
          <w:szCs w:val="22"/>
          <w:lang w:val="en-US" w:eastAsia="zh-CN" w:bidi="ar-SA"/>
        </w:rPr>
        <w:t>表7 TD04态棒材断后伸长率(A)频数和频率分布表</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38"/>
        <w:gridCol w:w="1434"/>
        <w:gridCol w:w="1434"/>
        <w:gridCol w:w="1434"/>
        <w:gridCol w:w="1434"/>
      </w:tblGrid>
      <w:tr w14:paraId="04B1B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78FC1">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牌号</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FE3D5">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区间</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0D8A2">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组中值</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7356E">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频数</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AA8FF">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频率</w:t>
            </w:r>
          </w:p>
        </w:tc>
      </w:tr>
      <w:tr w14:paraId="01A33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D02D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TBe1.9-0.2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88E3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AC2F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E41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49C1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0.02</w:t>
            </w:r>
          </w:p>
        </w:tc>
      </w:tr>
      <w:tr w14:paraId="45004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1E842">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5330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652B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3494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817F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0.15</w:t>
            </w:r>
          </w:p>
        </w:tc>
      </w:tr>
      <w:tr w14:paraId="77F05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8E459">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B88D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E0C3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BE1C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472C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0.36</w:t>
            </w:r>
          </w:p>
        </w:tc>
      </w:tr>
      <w:tr w14:paraId="16DB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F65E9">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464C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981B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CB20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A52D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0.32</w:t>
            </w:r>
          </w:p>
        </w:tc>
      </w:tr>
      <w:tr w14:paraId="00F2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8EB6B">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7C34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6535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F053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B9B8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0.15</w:t>
            </w:r>
          </w:p>
        </w:tc>
      </w:tr>
      <w:tr w14:paraId="5B925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6FBE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TBe1.9-0.4</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3BBE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0049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95E3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23E7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0.01</w:t>
            </w:r>
          </w:p>
        </w:tc>
      </w:tr>
      <w:tr w14:paraId="765DA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4B359">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0B85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7377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61C4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00FC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0.16</w:t>
            </w:r>
          </w:p>
        </w:tc>
      </w:tr>
      <w:tr w14:paraId="7912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D0FF7">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84D8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69B2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BCEB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88D4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0.35</w:t>
            </w:r>
          </w:p>
        </w:tc>
      </w:tr>
      <w:tr w14:paraId="18FB3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4BAEA">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AD04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5597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2804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33</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0FE4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0.33</w:t>
            </w:r>
          </w:p>
        </w:tc>
      </w:tr>
      <w:tr w14:paraId="2B72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9C1C2">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26FC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1877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2FFC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E042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0.15</w:t>
            </w:r>
          </w:p>
        </w:tc>
      </w:tr>
      <w:tr w14:paraId="6496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9445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C17000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98DD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E07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CDD3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26DA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0.02</w:t>
            </w:r>
          </w:p>
        </w:tc>
      </w:tr>
      <w:tr w14:paraId="079D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75B92">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3A50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03F4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560D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288A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0.14</w:t>
            </w:r>
          </w:p>
        </w:tc>
      </w:tr>
      <w:tr w14:paraId="13DC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DC183">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A150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4C14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8258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37</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118F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0.37</w:t>
            </w:r>
          </w:p>
        </w:tc>
      </w:tr>
      <w:tr w14:paraId="3E53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5E415">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FAAC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0188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367B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9CF7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0.31</w:t>
            </w:r>
          </w:p>
        </w:tc>
      </w:tr>
      <w:tr w14:paraId="64A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1DC66">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2B00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1BC7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BF04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002E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0.16</w:t>
            </w:r>
          </w:p>
        </w:tc>
      </w:tr>
      <w:tr w14:paraId="6D7F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F633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TBe1.7</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7F94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E7E9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9F01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D100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0.01</w:t>
            </w:r>
          </w:p>
        </w:tc>
      </w:tr>
      <w:tr w14:paraId="43ED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F9110">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985A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F607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E8B0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DD7E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0.17</w:t>
            </w:r>
          </w:p>
        </w:tc>
      </w:tr>
      <w:tr w14:paraId="4B6F2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61C78">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E27F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AEF2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EBB4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34</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5399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0.34</w:t>
            </w:r>
          </w:p>
        </w:tc>
      </w:tr>
      <w:tr w14:paraId="18311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4DFE7">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4231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6B6E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A69C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855F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0.32</w:t>
            </w:r>
          </w:p>
        </w:tc>
      </w:tr>
      <w:tr w14:paraId="2E50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F6DC2">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09ED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3672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3606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061D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0.16</w:t>
            </w:r>
          </w:p>
        </w:tc>
      </w:tr>
      <w:tr w14:paraId="07CA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CEE1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TBe1.9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674B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B33E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91E7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D4C5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0.02</w:t>
            </w:r>
          </w:p>
        </w:tc>
      </w:tr>
      <w:tr w14:paraId="10635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095F6">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3485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3D13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4221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8335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0.15</w:t>
            </w:r>
          </w:p>
        </w:tc>
      </w:tr>
      <w:tr w14:paraId="79951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FB865">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7C35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96AF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7340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5113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0.36</w:t>
            </w:r>
          </w:p>
        </w:tc>
      </w:tr>
      <w:tr w14:paraId="4890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A3681">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B36C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554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7A83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33</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ED21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0.33</w:t>
            </w:r>
          </w:p>
        </w:tc>
      </w:tr>
      <w:tr w14:paraId="71860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536FE">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D137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3F05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0BEF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1C74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0.14</w:t>
            </w:r>
          </w:p>
        </w:tc>
      </w:tr>
      <w:tr w14:paraId="3EAE2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8551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TBe1.9-0.1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AE43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029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1047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3877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0.01</w:t>
            </w:r>
          </w:p>
        </w:tc>
      </w:tr>
      <w:tr w14:paraId="56C25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064F">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15CA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69C5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4224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5041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0.16</w:t>
            </w:r>
          </w:p>
        </w:tc>
      </w:tr>
      <w:tr w14:paraId="60F1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83588">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525B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A57E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CF09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980F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0.35</w:t>
            </w:r>
          </w:p>
        </w:tc>
      </w:tr>
      <w:tr w14:paraId="28DD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6F4D0">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FD19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7309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B9CB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759D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0.31</w:t>
            </w:r>
          </w:p>
        </w:tc>
      </w:tr>
      <w:tr w14:paraId="51847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888BD">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62DA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F11D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CA4E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8CBF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0.17</w:t>
            </w:r>
          </w:p>
        </w:tc>
      </w:tr>
      <w:tr w14:paraId="063EE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00F1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TBe2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BCBB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ACD2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8E8F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B0EF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0.02</w:t>
            </w:r>
          </w:p>
        </w:tc>
      </w:tr>
      <w:tr w14:paraId="4CFB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7A6A6">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EC5A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0120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A544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238C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0.14</w:t>
            </w:r>
          </w:p>
        </w:tc>
      </w:tr>
      <w:tr w14:paraId="5DCC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98990">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093E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39919">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88F4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C474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0.36</w:t>
            </w:r>
          </w:p>
        </w:tc>
      </w:tr>
      <w:tr w14:paraId="49358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4E6EC">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EADA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[10,11)</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9B10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4075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B70C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0.32</w:t>
            </w:r>
          </w:p>
        </w:tc>
      </w:tr>
      <w:tr w14:paraId="6B522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A3612">
            <w:pPr>
              <w:jc w:val="center"/>
              <w:rPr>
                <w:rFonts w:hint="eastAsia" w:ascii="宋体" w:hAnsi="宋体" w:eastAsia="宋体" w:cs="宋体"/>
                <w:i w:val="0"/>
                <w:color w:val="000000"/>
                <w:sz w:val="21"/>
                <w:szCs w:val="21"/>
                <w:u w:val="none"/>
              </w:rPr>
            </w:pP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7726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[11,12]</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4A68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9F4D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8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FDBA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0.16</w:t>
            </w:r>
          </w:p>
        </w:tc>
      </w:tr>
    </w:tbl>
    <w:p w14:paraId="7F19C960">
      <w:pPr>
        <w:pStyle w:val="5"/>
        <w:numPr>
          <w:ilvl w:val="0"/>
          <w:numId w:val="0"/>
        </w:numPr>
      </w:pPr>
    </w:p>
    <w:p w14:paraId="493E5A14">
      <w:pPr>
        <w:pStyle w:val="5"/>
        <w:numPr>
          <w:ilvl w:val="0"/>
          <w:numId w:val="0"/>
        </w:numPr>
      </w:pPr>
      <w:r>
        <w:drawing>
          <wp:inline distT="0" distB="0" distL="114300" distR="114300">
            <wp:extent cx="2570480" cy="1715770"/>
            <wp:effectExtent l="0" t="0" r="1270"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a:stretch>
                      <a:fillRect/>
                    </a:stretch>
                  </pic:blipFill>
                  <pic:spPr>
                    <a:xfrm>
                      <a:off x="0" y="0"/>
                      <a:ext cx="2570480"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1115" cy="1715770"/>
            <wp:effectExtent l="0" t="0" r="635" b="177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a:stretch>
                      <a:fillRect/>
                    </a:stretch>
                  </pic:blipFill>
                  <pic:spPr>
                    <a:xfrm>
                      <a:off x="0" y="0"/>
                      <a:ext cx="2571115" cy="1715770"/>
                    </a:xfrm>
                    <a:prstGeom prst="rect">
                      <a:avLst/>
                    </a:prstGeom>
                    <a:noFill/>
                    <a:ln>
                      <a:noFill/>
                    </a:ln>
                  </pic:spPr>
                </pic:pic>
              </a:graphicData>
            </a:graphic>
          </wp:inline>
        </w:drawing>
      </w:r>
    </w:p>
    <w:p w14:paraId="1C4AF6EB">
      <w:pPr>
        <w:pStyle w:val="5"/>
        <w:numPr>
          <w:ilvl w:val="0"/>
          <w:numId w:val="0"/>
        </w:numPr>
      </w:pPr>
      <w:r>
        <w:drawing>
          <wp:inline distT="0" distB="0" distL="114300" distR="114300">
            <wp:extent cx="2571115" cy="1715770"/>
            <wp:effectExtent l="0" t="0" r="635" b="177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2571115"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61590" cy="1709420"/>
            <wp:effectExtent l="0" t="0" r="1016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6"/>
                    <a:stretch>
                      <a:fillRect/>
                    </a:stretch>
                  </pic:blipFill>
                  <pic:spPr>
                    <a:xfrm>
                      <a:off x="0" y="0"/>
                      <a:ext cx="2561590" cy="1709420"/>
                    </a:xfrm>
                    <a:prstGeom prst="rect">
                      <a:avLst/>
                    </a:prstGeom>
                    <a:noFill/>
                    <a:ln>
                      <a:noFill/>
                    </a:ln>
                  </pic:spPr>
                </pic:pic>
              </a:graphicData>
            </a:graphic>
          </wp:inline>
        </w:drawing>
      </w:r>
    </w:p>
    <w:p w14:paraId="2A7A00B4">
      <w:pPr>
        <w:pStyle w:val="5"/>
        <w:numPr>
          <w:ilvl w:val="0"/>
          <w:numId w:val="0"/>
        </w:numPr>
      </w:pPr>
      <w:r>
        <w:drawing>
          <wp:inline distT="0" distB="0" distL="114300" distR="114300">
            <wp:extent cx="2557145" cy="1706880"/>
            <wp:effectExtent l="0" t="0" r="14605"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a:stretch>
                      <a:fillRect/>
                    </a:stretch>
                  </pic:blipFill>
                  <pic:spPr>
                    <a:xfrm>
                      <a:off x="0" y="0"/>
                      <a:ext cx="2557145" cy="170688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0480" cy="1715770"/>
            <wp:effectExtent l="0" t="0" r="1270" b="177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8"/>
                    <a:stretch>
                      <a:fillRect/>
                    </a:stretch>
                  </pic:blipFill>
                  <pic:spPr>
                    <a:xfrm>
                      <a:off x="0" y="0"/>
                      <a:ext cx="2570480" cy="1715770"/>
                    </a:xfrm>
                    <a:prstGeom prst="rect">
                      <a:avLst/>
                    </a:prstGeom>
                    <a:noFill/>
                    <a:ln>
                      <a:noFill/>
                    </a:ln>
                  </pic:spPr>
                </pic:pic>
              </a:graphicData>
            </a:graphic>
          </wp:inline>
        </w:drawing>
      </w:r>
    </w:p>
    <w:p w14:paraId="14452265">
      <w:pPr>
        <w:pStyle w:val="5"/>
        <w:numPr>
          <w:ilvl w:val="0"/>
          <w:numId w:val="0"/>
        </w:numPr>
        <w:jc w:val="center"/>
      </w:pPr>
      <w:r>
        <w:drawing>
          <wp:inline distT="0" distB="0" distL="114300" distR="114300">
            <wp:extent cx="2562225" cy="1710055"/>
            <wp:effectExtent l="0" t="0" r="9525"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9"/>
                    <a:stretch>
                      <a:fillRect/>
                    </a:stretch>
                  </pic:blipFill>
                  <pic:spPr>
                    <a:xfrm>
                      <a:off x="0" y="0"/>
                      <a:ext cx="2562225" cy="1710055"/>
                    </a:xfrm>
                    <a:prstGeom prst="rect">
                      <a:avLst/>
                    </a:prstGeom>
                    <a:noFill/>
                    <a:ln>
                      <a:noFill/>
                    </a:ln>
                  </pic:spPr>
                </pic:pic>
              </a:graphicData>
            </a:graphic>
          </wp:inline>
        </w:drawing>
      </w:r>
    </w:p>
    <w:p w14:paraId="6C361FA6">
      <w:pPr>
        <w:pStyle w:val="5"/>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图2 TBe1.9-0.2、TBe1.9-0.4、C17000、TBe1.7、</w:t>
      </w:r>
    </w:p>
    <w:p w14:paraId="326965A6">
      <w:pPr>
        <w:pStyle w:val="5"/>
        <w:numPr>
          <w:ilvl w:val="0"/>
          <w:numId w:val="0"/>
        </w:numPr>
        <w:jc w:val="center"/>
        <w:rPr>
          <w:rFonts w:hint="eastAsia" w:asciiTheme="minorEastAsia" w:hAnsiTheme="minorEastAsia" w:eastAsiaTheme="minorEastAsia" w:cstheme="minorEastAsia"/>
        </w:rPr>
      </w:pPr>
      <w:r>
        <w:rPr>
          <w:rFonts w:hint="eastAsia" w:ascii="黑体" w:hAnsi="黑体" w:eastAsia="黑体" w:cs="黑体"/>
          <w:b w:val="0"/>
          <w:bCs w:val="0"/>
          <w:sz w:val="21"/>
          <w:szCs w:val="21"/>
          <w:lang w:val="en-US" w:eastAsia="zh-CN"/>
        </w:rPr>
        <w:t>TBe1.9、TBe1.9-0.1、TBe2的</w:t>
      </w:r>
      <w:r>
        <w:rPr>
          <w:rFonts w:hint="eastAsia" w:ascii="黑体" w:hAnsi="黑体" w:eastAsia="黑体" w:cs="黑体"/>
          <w:b w:val="0"/>
          <w:bCs w:val="0"/>
          <w:lang w:val="en-US" w:eastAsia="zh-CN"/>
        </w:rPr>
        <w:t>TD04态的断后伸长率直方图</w:t>
      </w:r>
    </w:p>
    <w:p w14:paraId="0C5D50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由图表可知，</w:t>
      </w:r>
      <w:r>
        <w:rPr>
          <w:rFonts w:hint="eastAsia" w:asciiTheme="minorEastAsia" w:hAnsiTheme="minorEastAsia" w:eastAsiaTheme="minorEastAsia" w:cstheme="minorEastAsia"/>
          <w:sz w:val="21"/>
          <w:szCs w:val="21"/>
          <w:lang w:val="en-US" w:eastAsia="zh-CN"/>
        </w:rPr>
        <w:t>TBe1.9-0.2、TBe1.9-0.4、C17000、TBe1.7、TBe1.9、</w:t>
      </w:r>
      <w:r>
        <w:rPr>
          <w:rFonts w:hint="eastAsia" w:asciiTheme="minorEastAsia" w:hAnsiTheme="minorEastAsia" w:cstheme="minorEastAsia"/>
          <w:sz w:val="21"/>
          <w:szCs w:val="21"/>
          <w:lang w:val="en-US" w:eastAsia="zh-CN"/>
        </w:rPr>
        <w:t>T</w:t>
      </w:r>
      <w:r>
        <w:rPr>
          <w:rFonts w:hint="eastAsia" w:asciiTheme="minorEastAsia" w:hAnsiTheme="minorEastAsia" w:eastAsiaTheme="minorEastAsia" w:cstheme="minorEastAsia"/>
          <w:sz w:val="21"/>
          <w:szCs w:val="21"/>
          <w:lang w:val="en-US" w:eastAsia="zh-CN"/>
        </w:rPr>
        <w:t>Be1.9-0.1、TBe2的</w:t>
      </w:r>
      <w:r>
        <w:rPr>
          <w:rFonts w:hint="eastAsia" w:asciiTheme="minorEastAsia" w:hAnsiTheme="minorEastAsia" w:cstheme="minorEastAsia"/>
          <w:lang w:val="en-US" w:eastAsia="zh-CN"/>
        </w:rPr>
        <w:t>TD04</w:t>
      </w:r>
      <w:r>
        <w:rPr>
          <w:rFonts w:hint="eastAsia" w:asciiTheme="minorEastAsia" w:hAnsiTheme="minorEastAsia" w:eastAsiaTheme="minorEastAsia" w:cstheme="minorEastAsia"/>
          <w:lang w:val="en-US" w:eastAsia="zh-CN"/>
        </w:rPr>
        <w:t>态的断后伸长率</w:t>
      </w:r>
      <w:r>
        <w:rPr>
          <w:rFonts w:hint="eastAsia" w:asciiTheme="minorEastAsia" w:hAnsiTheme="minorEastAsia" w:eastAsiaTheme="minorEastAsia" w:cstheme="minorEastAsia"/>
        </w:rPr>
        <w:t>A在</w:t>
      </w:r>
      <w:r>
        <w:rPr>
          <w:rFonts w:hint="eastAsia" w:asciiTheme="minorEastAsia" w:hAnsiTheme="minorEastAsia" w:cstheme="minorEastAsia"/>
          <w:lang w:val="en-US" w:eastAsia="zh-CN"/>
        </w:rPr>
        <w:t>8</w:t>
      </w:r>
      <w:r>
        <w:rPr>
          <w:rFonts w:hint="eastAsia" w:asciiTheme="minorEastAsia" w:hAnsiTheme="minorEastAsia" w:eastAsiaTheme="minorEastAsia" w:cstheme="minorEastAsia"/>
        </w:rPr>
        <w:t>%以上的合格率</w:t>
      </w:r>
      <w:r>
        <w:rPr>
          <w:rFonts w:hint="eastAsia" w:asciiTheme="minorEastAsia" w:hAnsiTheme="minorEastAsia" w:cstheme="minorEastAsia"/>
          <w:lang w:eastAsia="zh-CN"/>
        </w:rPr>
        <w:t>分别</w:t>
      </w:r>
      <w:r>
        <w:rPr>
          <w:rFonts w:hint="eastAsia" w:asciiTheme="minorEastAsia" w:hAnsiTheme="minorEastAsia" w:eastAsiaTheme="minorEastAsia" w:cstheme="minorEastAsia"/>
        </w:rPr>
        <w:t>为98%</w:t>
      </w:r>
      <w:r>
        <w:rPr>
          <w:rFonts w:hint="eastAsia" w:asciiTheme="minorEastAsia" w:hAnsiTheme="minorEastAsia" w:cstheme="minorEastAsia"/>
          <w:lang w:eastAsia="zh-CN"/>
        </w:rPr>
        <w:t>、</w:t>
      </w:r>
      <w:r>
        <w:rPr>
          <w:rFonts w:hint="eastAsia" w:asciiTheme="minorEastAsia" w:hAnsiTheme="minorEastAsia" w:cstheme="minorEastAsia"/>
          <w:lang w:val="en-US" w:eastAsia="zh-CN"/>
        </w:rPr>
        <w:t>99%、98%、99%、98%、99%、98%</w:t>
      </w:r>
      <w:r>
        <w:rPr>
          <w:rFonts w:hint="eastAsia" w:asciiTheme="minorEastAsia" w:hAnsiTheme="minorEastAsia" w:eastAsiaTheme="minorEastAsia" w:cstheme="minorEastAsia"/>
        </w:rPr>
        <w:t>。该产品技术指标： A≥</w:t>
      </w:r>
      <w:r>
        <w:rPr>
          <w:rFonts w:hint="eastAsia" w:asciiTheme="minorEastAsia" w:hAnsiTheme="minorEastAsia" w:cstheme="minorEastAsia"/>
          <w:lang w:val="en-US" w:eastAsia="zh-CN"/>
        </w:rPr>
        <w:t>8</w:t>
      </w:r>
      <w:r>
        <w:rPr>
          <w:rFonts w:hint="eastAsia" w:asciiTheme="minorEastAsia" w:hAnsiTheme="minorEastAsia" w:eastAsiaTheme="minorEastAsia" w:cstheme="minorEastAsia"/>
        </w:rPr>
        <w:t>%指标制定合理，该产品属于成熟稳定产品。</w:t>
      </w:r>
    </w:p>
    <w:p w14:paraId="7EC9478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（3）对TBe0.6-2.5、TBe0.4-1.8、TBe0.3-1.5的TD04态的断后伸长率的统计情况见表</w:t>
      </w:r>
      <w:r>
        <w:rPr>
          <w:rFonts w:hint="eastAsia" w:asciiTheme="minorEastAsia" w:hAnsiTheme="minorEastAsia" w:cstheme="minorEastAsia"/>
          <w:lang w:val="en-US" w:eastAsia="zh-CN"/>
        </w:rPr>
        <w:t>8</w:t>
      </w:r>
      <w:r>
        <w:rPr>
          <w:rFonts w:hint="eastAsia" w:asciiTheme="minorEastAsia" w:hAnsiTheme="minorEastAsia" w:eastAsiaTheme="minorEastAsia" w:cstheme="minorEastAsia"/>
          <w:lang w:val="en-US" w:eastAsia="zh-CN"/>
        </w:rPr>
        <w:t>。</w:t>
      </w:r>
    </w:p>
    <w:p w14:paraId="699F3A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rPr>
      </w:pPr>
      <w:r>
        <w:rPr>
          <w:rFonts w:hint="eastAsia" w:ascii="黑体" w:hAnsi="黑体" w:eastAsia="黑体" w:cs="黑体"/>
          <w:b w:val="0"/>
          <w:bCs w:val="0"/>
        </w:rPr>
        <w:t>表</w:t>
      </w:r>
      <w:r>
        <w:rPr>
          <w:rFonts w:hint="eastAsia" w:ascii="黑体" w:hAnsi="黑体" w:eastAsia="黑体" w:cs="黑体"/>
          <w:b w:val="0"/>
          <w:bCs w:val="0"/>
          <w:lang w:val="en-US" w:eastAsia="zh-CN"/>
        </w:rPr>
        <w:t>8 TD04态</w:t>
      </w:r>
      <w:r>
        <w:rPr>
          <w:rFonts w:hint="eastAsia" w:ascii="黑体" w:hAnsi="黑体" w:eastAsia="黑体" w:cs="黑体"/>
          <w:b w:val="0"/>
          <w:bCs w:val="0"/>
          <w:lang w:eastAsia="zh-CN"/>
        </w:rPr>
        <w:t>棒材</w:t>
      </w:r>
      <w:r>
        <w:rPr>
          <w:rFonts w:hint="eastAsia" w:ascii="黑体" w:hAnsi="黑体" w:eastAsia="黑体" w:cs="黑体"/>
          <w:b w:val="0"/>
          <w:bCs w:val="0"/>
        </w:rPr>
        <w:t>断后伸长率(A)频数和频率分布表</w:t>
      </w:r>
    </w:p>
    <w:tbl>
      <w:tblPr>
        <w:tblStyle w:val="1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31"/>
        <w:gridCol w:w="1435"/>
        <w:gridCol w:w="1435"/>
        <w:gridCol w:w="1435"/>
        <w:gridCol w:w="1435"/>
      </w:tblGrid>
      <w:tr w14:paraId="4CE4F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6BC96">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牌号</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9AD1B">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区间</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AFE59">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组中值</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FBBBC">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频数</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4DE03">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频率</w:t>
            </w:r>
          </w:p>
        </w:tc>
      </w:tr>
      <w:tr w14:paraId="3EA48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DACC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TBe0.6-2.5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D574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D09A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FFB5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2A9D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0.01</w:t>
            </w:r>
          </w:p>
        </w:tc>
      </w:tr>
      <w:tr w14:paraId="4BB9A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0CE65">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47D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[8,9)</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401B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6080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35FB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54A4F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ECE4A">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F62A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[9,10)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42E6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918F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9FE4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0.19</w:t>
            </w:r>
          </w:p>
        </w:tc>
      </w:tr>
      <w:tr w14:paraId="257B2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6C41D">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4028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[10,11)</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9B65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8D38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DD96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0.21</w:t>
            </w:r>
          </w:p>
        </w:tc>
      </w:tr>
      <w:tr w14:paraId="77D7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99FBB">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09B2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[11,12)</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78D4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5B1B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555E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0.18</w:t>
            </w:r>
          </w:p>
        </w:tc>
      </w:tr>
      <w:tr w14:paraId="6905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FA0A1">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EFA4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[12,13)</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4F14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4A9B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0D90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07636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E83C2">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E0DC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[13,14]</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5516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3F8F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EA44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0.08</w:t>
            </w:r>
          </w:p>
        </w:tc>
      </w:tr>
      <w:tr w14:paraId="4956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0E19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TBe0.4-1.8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3D41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9C9F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D193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0E91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6C5B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B01F2">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7049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[8,9)</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ED88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290C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14D7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02565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5F6E2">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6D97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[9,10)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D9F6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3477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11D9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w:t>
            </w:r>
          </w:p>
        </w:tc>
      </w:tr>
      <w:tr w14:paraId="5C08A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CA5EC">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4AB1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[10,11)</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7914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B11F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E92D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w:t>
            </w:r>
          </w:p>
        </w:tc>
      </w:tr>
      <w:tr w14:paraId="37001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00DCE">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C043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[11,12)</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101B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ECC5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08DE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0.19</w:t>
            </w:r>
          </w:p>
        </w:tc>
      </w:tr>
      <w:tr w14:paraId="56467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E8D12">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7377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[12,13)</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5E49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F60C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7E03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1098C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A4445">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D2B1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[13,14]</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08B4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752A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F809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40C8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57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98F2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TBe0.3-1.5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1508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E5FC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8304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11F4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7A1FC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0B530">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51BA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[8,9)</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E293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A46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F095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0.18</w:t>
            </w:r>
          </w:p>
        </w:tc>
      </w:tr>
      <w:tr w14:paraId="0DDDE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FB06">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8886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[9,10)</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8A74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625A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37F1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0.18</w:t>
            </w:r>
          </w:p>
        </w:tc>
      </w:tr>
      <w:tr w14:paraId="4D058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FF38A">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5085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[10,11)</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2BE5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95EA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3140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0.22</w:t>
            </w:r>
          </w:p>
        </w:tc>
      </w:tr>
      <w:tr w14:paraId="7D1D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9708C">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42B2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[11,12)</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059D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9227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92D0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5315D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671D2">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7CE4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[12,13)</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AB3D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E4CB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3E4B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0.14</w:t>
            </w:r>
          </w:p>
        </w:tc>
      </w:tr>
      <w:tr w14:paraId="32A3F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57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72A49">
            <w:pPr>
              <w:jc w:val="center"/>
              <w:rPr>
                <w:rFonts w:hint="eastAsia" w:asciiTheme="minorEastAsia" w:hAnsiTheme="minorEastAsia" w:eastAsiaTheme="minorEastAsia" w:cstheme="minorEastAsia"/>
                <w:i w:val="0"/>
                <w:color w:val="000000"/>
                <w:sz w:val="21"/>
                <w:szCs w:val="21"/>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B3AB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[13,14]</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C069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13.5</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A6D9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8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ECED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0.09</w:t>
            </w:r>
          </w:p>
        </w:tc>
      </w:tr>
    </w:tbl>
    <w:p w14:paraId="5297211E">
      <w:pPr>
        <w:pStyle w:val="10"/>
        <w:keepNext w:val="0"/>
        <w:keepLines w:val="0"/>
        <w:pageBreakBefore w:val="0"/>
        <w:widowControl/>
        <w:kinsoku/>
        <w:wordWrap/>
        <w:overflowPunct/>
        <w:topLinePunct w:val="0"/>
        <w:autoSpaceDE/>
        <w:autoSpaceDN/>
        <w:bidi w:val="0"/>
        <w:adjustRightInd/>
        <w:snapToGrid/>
        <w:spacing w:beforeLines="50" w:beforeAutospacing="0" w:after="157" w:afterLines="50" w:afterAutospacing="0" w:line="360" w:lineRule="auto"/>
        <w:jc w:val="both"/>
        <w:textAlignment w:val="auto"/>
      </w:pPr>
      <w:r>
        <w:drawing>
          <wp:inline distT="0" distB="0" distL="114300" distR="114300">
            <wp:extent cx="2571115" cy="1715770"/>
            <wp:effectExtent l="0" t="0" r="63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2571115"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57780" cy="1706880"/>
            <wp:effectExtent l="0" t="0" r="1397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
                    <a:stretch>
                      <a:fillRect/>
                    </a:stretch>
                  </pic:blipFill>
                  <pic:spPr>
                    <a:xfrm>
                      <a:off x="0" y="0"/>
                      <a:ext cx="2557780" cy="1706880"/>
                    </a:xfrm>
                    <a:prstGeom prst="rect">
                      <a:avLst/>
                    </a:prstGeom>
                    <a:noFill/>
                    <a:ln>
                      <a:noFill/>
                    </a:ln>
                  </pic:spPr>
                </pic:pic>
              </a:graphicData>
            </a:graphic>
          </wp:inline>
        </w:drawing>
      </w:r>
    </w:p>
    <w:p w14:paraId="0849E4A8">
      <w:pPr>
        <w:pStyle w:val="10"/>
        <w:keepNext w:val="0"/>
        <w:keepLines w:val="0"/>
        <w:pageBreakBefore w:val="0"/>
        <w:widowControl/>
        <w:kinsoku/>
        <w:wordWrap/>
        <w:overflowPunct/>
        <w:topLinePunct w:val="0"/>
        <w:autoSpaceDE/>
        <w:autoSpaceDN/>
        <w:bidi w:val="0"/>
        <w:adjustRightInd/>
        <w:snapToGrid/>
        <w:spacing w:beforeLines="50" w:beforeAutospacing="0" w:after="157" w:afterLines="50" w:afterAutospacing="0" w:line="360" w:lineRule="auto"/>
        <w:jc w:val="center"/>
        <w:textAlignment w:val="auto"/>
      </w:pPr>
      <w:r>
        <w:drawing>
          <wp:inline distT="0" distB="0" distL="114300" distR="114300">
            <wp:extent cx="2557145" cy="1706880"/>
            <wp:effectExtent l="0" t="0" r="1460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a:stretch>
                      <a:fillRect/>
                    </a:stretch>
                  </pic:blipFill>
                  <pic:spPr>
                    <a:xfrm>
                      <a:off x="0" y="0"/>
                      <a:ext cx="2557145" cy="1706880"/>
                    </a:xfrm>
                    <a:prstGeom prst="rect">
                      <a:avLst/>
                    </a:prstGeom>
                    <a:noFill/>
                    <a:ln>
                      <a:noFill/>
                    </a:ln>
                  </pic:spPr>
                </pic:pic>
              </a:graphicData>
            </a:graphic>
          </wp:inline>
        </w:drawing>
      </w:r>
    </w:p>
    <w:p w14:paraId="7D82866A">
      <w:pPr>
        <w:pStyle w:val="5"/>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图3 TBe0.6-2.5、TBe0.4-1.8、TBe0.3-1.5的TD04</w:t>
      </w:r>
      <w:r>
        <w:rPr>
          <w:rFonts w:hint="eastAsia" w:ascii="黑体" w:hAnsi="黑体" w:eastAsia="黑体" w:cs="黑体"/>
          <w:b w:val="0"/>
          <w:bCs w:val="0"/>
          <w:lang w:val="en-US" w:eastAsia="zh-CN"/>
        </w:rPr>
        <w:t>态的断后伸长率直方图</w:t>
      </w:r>
    </w:p>
    <w:p w14:paraId="72869F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由图表可知，TBe0.6-2.5、TBe0.4-1.8、TBe0.3-1.5的TD04态的断后伸长率A在8%以上的合格率分别为99%、100%、98%。该产品技术指标： A≥8%指标制定合理，该产品属于成熟稳定产品。</w:t>
      </w:r>
    </w:p>
    <w:p w14:paraId="33A453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4)TBe1.9-0.2、TBe1.9-0.4、TBe1.9、TBe1.9-0.1、TBe2的TF00态的硬度（H</w:t>
      </w:r>
      <w:r>
        <w:rPr>
          <w:rFonts w:hint="eastAsia" w:asciiTheme="minorEastAsia" w:hAnsiTheme="minorEastAsia" w:cstheme="minorEastAsia"/>
          <w:sz w:val="21"/>
          <w:szCs w:val="21"/>
          <w:lang w:val="en-US" w:eastAsia="zh-CN"/>
        </w:rPr>
        <w:t>R</w:t>
      </w:r>
      <w:r>
        <w:rPr>
          <w:rFonts w:hint="eastAsia" w:asciiTheme="minorEastAsia" w:hAnsiTheme="minorEastAsia" w:eastAsiaTheme="minorEastAsia" w:cstheme="minorEastAsia"/>
          <w:sz w:val="21"/>
          <w:szCs w:val="21"/>
          <w:lang w:val="en-US" w:eastAsia="zh-CN"/>
        </w:rPr>
        <w:t>C）统计情况见表</w:t>
      </w:r>
      <w:r>
        <w:rPr>
          <w:rFonts w:hint="eastAsia" w:asciiTheme="minorEastAsia" w:hAnsiTheme="minorEastAsia" w:cstheme="minorEastAsia"/>
          <w:sz w:val="21"/>
          <w:szCs w:val="21"/>
          <w:lang w:val="en-US" w:eastAsia="zh-CN"/>
        </w:rPr>
        <w:t>9</w:t>
      </w:r>
      <w:r>
        <w:rPr>
          <w:rFonts w:hint="eastAsia" w:asciiTheme="minorEastAsia" w:hAnsiTheme="minorEastAsia" w:eastAsiaTheme="minorEastAsia" w:cstheme="minorEastAsia"/>
          <w:sz w:val="21"/>
          <w:szCs w:val="21"/>
          <w:lang w:val="en-US" w:eastAsia="zh-CN"/>
        </w:rPr>
        <w:t>。</w:t>
      </w:r>
    </w:p>
    <w:p w14:paraId="203A9B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表9 TF00态棒材硬度(HRC)频数和频率分布表</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97"/>
        <w:gridCol w:w="2079"/>
        <w:gridCol w:w="1399"/>
        <w:gridCol w:w="1399"/>
        <w:gridCol w:w="1399"/>
      </w:tblGrid>
      <w:tr w14:paraId="0B18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590E9">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牌号</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F7665">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区间</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AEA42">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组中值</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38F1B">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频数</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542FF">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频率</w:t>
            </w:r>
          </w:p>
        </w:tc>
      </w:tr>
      <w:tr w14:paraId="0C5CB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299D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TBe1.9-0.2</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B6C6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[35.0,36.0)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7BC3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37F0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86BE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0.07</w:t>
            </w:r>
          </w:p>
        </w:tc>
      </w:tr>
      <w:tr w14:paraId="554E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6F995">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8B70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[36.0,37.0)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72F4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F54B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EA0B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40133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7570D">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C582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[37.0,38.0)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026D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2EDC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F5FE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50AA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AE010">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CDD1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[38.0,39.0)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E323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E77B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A557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w:t>
            </w:r>
          </w:p>
        </w:tc>
      </w:tr>
      <w:tr w14:paraId="1B9ED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1A935">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CA77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[39.0,40.0)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29EB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AF2E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9C28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w:t>
            </w:r>
          </w:p>
        </w:tc>
      </w:tr>
      <w:tr w14:paraId="609E6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A2063">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BA77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[40.0,41.0)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48C4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9706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44C1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0.13</w:t>
            </w:r>
          </w:p>
        </w:tc>
      </w:tr>
      <w:tr w14:paraId="36BE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FDD14">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670E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[41.0,42.0)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513B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4027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C845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007F6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01BC4">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A1BE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[42.0,43.0)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4ADB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8A14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2A8A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09393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780EE">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59C4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[43.0,44.0)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3B6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309B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2D12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2BC3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C376D">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8100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[44.0,45.0)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9AFC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5A4B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BF46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2BD50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FEC4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TBe1.9-0.4</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A2D0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[35.0,36.0)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CAA4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9C74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65ED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460C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FE8BB">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0538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[36.0,37.0)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6260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6F8A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CB20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0EF38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77F40">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F860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[37.0,38.0)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B68D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F3DF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12EE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w:t>
            </w:r>
          </w:p>
        </w:tc>
      </w:tr>
      <w:tr w14:paraId="2ACD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14E6C">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F37C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[38.0,39.0)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6831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17D3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6D78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7DED8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3BAA6">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B2A2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[39.0,40.0)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E9DF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1D02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E70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47E63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53AD1">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5517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[40.0,41.0)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1E78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C8DA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4EB4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0.22</w:t>
            </w:r>
          </w:p>
        </w:tc>
      </w:tr>
      <w:tr w14:paraId="70E4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B2FEF">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1953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[41.0,42.0)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2F7A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C52B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F9E5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0.25</w:t>
            </w:r>
          </w:p>
        </w:tc>
      </w:tr>
      <w:tr w14:paraId="5E1E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31CA9">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D880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[42.0,43.0)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D542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7DBF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7E78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7B5A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BAFAF">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71F1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[43.0,44.0)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618A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6749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30CC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2D624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1153A">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A2B8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[44.0,45.0)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E08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D8AF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B675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0C77C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5837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C8E9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[35.0,36.0)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A46B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13F8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F363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2320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306E9">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4F85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[36.0,37.0)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457F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6E1D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84D5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0.08</w:t>
            </w:r>
          </w:p>
        </w:tc>
      </w:tr>
      <w:tr w14:paraId="52D8F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C8912">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5B41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[37.0,38.0)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44A6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CF25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29CC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0.07</w:t>
            </w:r>
          </w:p>
        </w:tc>
      </w:tr>
      <w:tr w14:paraId="02BE2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2DF11">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173D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[38.0,39.0)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E266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080C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6B56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6831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2B950">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A6EA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[39.0,40.0)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1F31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4924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D576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w:t>
            </w:r>
          </w:p>
        </w:tc>
      </w:tr>
      <w:tr w14:paraId="24C4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30587">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CAFF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[40.0,41.0)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EACA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0DC6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41BF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0CFC3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15FCD">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6956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[41.0,42.0)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AAF6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4D01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969D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2DFC8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9473C">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D195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[42.0,43.0)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26D3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961E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721F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5E32D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61DB5">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7899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[43.0,44.0)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D807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D171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1BB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4E77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FD258">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B9B5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[44.0,45.0)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3515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1DD7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244B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1900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7A41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TBe1.9-0.1</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F331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[35.0,36.0)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5350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C7B8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339B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3000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9A33C">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AF42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[36.0,37.0)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AFDB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650B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0AB0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55588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A606F">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44D7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[37.0,38.0)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4D2A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811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F5E1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17D0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91BF9">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ECC5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[38.0,39.0)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B843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FD26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0559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747E7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0AEC2">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F4F8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[39.0,40.0)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6760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C6EA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A949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w:t>
            </w:r>
          </w:p>
        </w:tc>
      </w:tr>
      <w:tr w14:paraId="4821F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41B86">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57D9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[40.0,41.0)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D547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B5B5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7BD2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5DF72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E579E">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13C0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[41.0,42.0)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22A2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16FD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5730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0ECDA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38A4E">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0009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[42.0,43.0)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FCB1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4C24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A9AB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77299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59A69">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BF21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[43.0,44.0)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DE6F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52FB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7818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6606E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82E05">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D5C7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[44.0,45.0)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701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ADA2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7057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r>
      <w:tr w14:paraId="71E1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546E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TBe2</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E37E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[35.0,36.0)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AF3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FCEF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832C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14:paraId="3371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6C4DB">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E2EB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[36.0,37.0)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6548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7B02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016E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r>
      <w:tr w14:paraId="7B3AE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C9298">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279F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[37.0,38.0)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C32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C86A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1C5E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143C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8CA56">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F0C6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[38.0,39.0)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3A9E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6D64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BEDA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0ACE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80EBC">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E7EB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[39.0,40.0)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4D1E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DD95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FCD4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2DFF3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F2CA6">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09D7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[40.0,41.0)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8740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18E9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2888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18A2C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44DCE">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764C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[41.0,42.0)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BA9C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CE19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D6C8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w:t>
            </w:r>
          </w:p>
        </w:tc>
      </w:tr>
      <w:tr w14:paraId="1CE15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AEC17">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B37D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[42.0,43.0)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D673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E205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CE7E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4CE9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E7DE5">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0D33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[43.0,44.0)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33E0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1D7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855E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4222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52"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49A77">
            <w:pPr>
              <w:jc w:val="center"/>
              <w:rPr>
                <w:rFonts w:hint="eastAsia" w:asciiTheme="minorEastAsia" w:hAnsiTheme="minorEastAsia" w:eastAsiaTheme="minorEastAsia" w:cstheme="minorEastAsia"/>
                <w:i w:val="0"/>
                <w:color w:val="000000"/>
                <w:sz w:val="21"/>
                <w:szCs w:val="21"/>
                <w:u w:val="none"/>
              </w:rPr>
            </w:pP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1878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[44.0,45.0)</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31AF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44.5</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ED2E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8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9B4B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w:t>
            </w:r>
          </w:p>
        </w:tc>
      </w:tr>
    </w:tbl>
    <w:p w14:paraId="432BF338">
      <w:pPr>
        <w:pStyle w:val="5"/>
        <w:numPr>
          <w:ilvl w:val="0"/>
          <w:numId w:val="0"/>
        </w:numPr>
      </w:pPr>
    </w:p>
    <w:p w14:paraId="7747382F">
      <w:pPr>
        <w:pStyle w:val="5"/>
        <w:numPr>
          <w:ilvl w:val="0"/>
          <w:numId w:val="0"/>
        </w:numPr>
      </w:pPr>
      <w:r>
        <w:drawing>
          <wp:inline distT="0" distB="0" distL="114300" distR="114300">
            <wp:extent cx="2571115" cy="1715770"/>
            <wp:effectExtent l="0" t="0" r="635" b="177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a:stretch>
                      <a:fillRect/>
                    </a:stretch>
                  </pic:blipFill>
                  <pic:spPr>
                    <a:xfrm>
                      <a:off x="0" y="0"/>
                      <a:ext cx="2571115"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1115" cy="1715770"/>
            <wp:effectExtent l="0" t="0" r="635"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2571115" cy="1715770"/>
                    </a:xfrm>
                    <a:prstGeom prst="rect">
                      <a:avLst/>
                    </a:prstGeom>
                    <a:noFill/>
                    <a:ln>
                      <a:noFill/>
                    </a:ln>
                  </pic:spPr>
                </pic:pic>
              </a:graphicData>
            </a:graphic>
          </wp:inline>
        </w:drawing>
      </w:r>
    </w:p>
    <w:p w14:paraId="59203437">
      <w:pPr>
        <w:pStyle w:val="5"/>
        <w:numPr>
          <w:ilvl w:val="0"/>
          <w:numId w:val="0"/>
        </w:numPr>
      </w:pPr>
      <w:r>
        <w:drawing>
          <wp:inline distT="0" distB="0" distL="114300" distR="114300">
            <wp:extent cx="2552700" cy="1703705"/>
            <wp:effectExtent l="0" t="0" r="0" b="1079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5"/>
                    <a:stretch>
                      <a:fillRect/>
                    </a:stretch>
                  </pic:blipFill>
                  <pic:spPr>
                    <a:xfrm>
                      <a:off x="0" y="0"/>
                      <a:ext cx="2552700" cy="17037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43175" cy="1697355"/>
            <wp:effectExtent l="0" t="0" r="9525" b="1714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26"/>
                    <a:stretch>
                      <a:fillRect/>
                    </a:stretch>
                  </pic:blipFill>
                  <pic:spPr>
                    <a:xfrm>
                      <a:off x="0" y="0"/>
                      <a:ext cx="2543175" cy="1697355"/>
                    </a:xfrm>
                    <a:prstGeom prst="rect">
                      <a:avLst/>
                    </a:prstGeom>
                    <a:noFill/>
                    <a:ln>
                      <a:noFill/>
                    </a:ln>
                  </pic:spPr>
                </pic:pic>
              </a:graphicData>
            </a:graphic>
          </wp:inline>
        </w:drawing>
      </w:r>
    </w:p>
    <w:p w14:paraId="1756E95E">
      <w:pPr>
        <w:pStyle w:val="5"/>
        <w:numPr>
          <w:ilvl w:val="0"/>
          <w:numId w:val="0"/>
        </w:numPr>
        <w:jc w:val="center"/>
        <w:rPr>
          <w:rFonts w:hint="eastAsia" w:asciiTheme="minorEastAsia" w:hAnsiTheme="minorEastAsia" w:eastAsiaTheme="minorEastAsia" w:cstheme="minorEastAsia"/>
          <w:sz w:val="21"/>
          <w:szCs w:val="21"/>
          <w:lang w:val="en-US" w:eastAsia="zh-CN"/>
        </w:rPr>
      </w:pPr>
      <w:r>
        <w:drawing>
          <wp:inline distT="0" distB="0" distL="114300" distR="114300">
            <wp:extent cx="2571115" cy="1715770"/>
            <wp:effectExtent l="0" t="0" r="635" b="1778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7"/>
                    <a:stretch>
                      <a:fillRect/>
                    </a:stretch>
                  </pic:blipFill>
                  <pic:spPr>
                    <a:xfrm>
                      <a:off x="0" y="0"/>
                      <a:ext cx="2571115" cy="1715770"/>
                    </a:xfrm>
                    <a:prstGeom prst="rect">
                      <a:avLst/>
                    </a:prstGeom>
                    <a:noFill/>
                    <a:ln>
                      <a:noFill/>
                    </a:ln>
                  </pic:spPr>
                </pic:pic>
              </a:graphicData>
            </a:graphic>
          </wp:inline>
        </w:drawing>
      </w:r>
    </w:p>
    <w:p w14:paraId="6C0965E5">
      <w:pPr>
        <w:pStyle w:val="5"/>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图4 TBe1.9-0.2、TBe1.9-0.4、TBe1.9、</w:t>
      </w:r>
    </w:p>
    <w:p w14:paraId="6B6E5145">
      <w:pPr>
        <w:pStyle w:val="5"/>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TBe1.9-0.1、TBe2的TF00态的硬度（HRC）</w:t>
      </w:r>
      <w:r>
        <w:rPr>
          <w:rFonts w:hint="eastAsia" w:ascii="黑体" w:hAnsi="黑体" w:eastAsia="黑体" w:cs="黑体"/>
          <w:b w:val="0"/>
          <w:bCs w:val="0"/>
          <w:lang w:val="en-US" w:eastAsia="zh-CN"/>
        </w:rPr>
        <w:t>直方图</w:t>
      </w:r>
    </w:p>
    <w:p w14:paraId="0D7268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由图表可知，TBe1.9-0.2、TBe1.9-0.4、TBe1.9、TBe1.9-0.1、TBe2的TF00态的硬度（H</w:t>
      </w:r>
      <w:r>
        <w:rPr>
          <w:rFonts w:hint="eastAsia" w:asciiTheme="minorEastAsia" w:hAnsiTheme="minorEastAsia" w:cstheme="minorEastAsia"/>
          <w:sz w:val="21"/>
          <w:szCs w:val="21"/>
          <w:lang w:val="en-US" w:eastAsia="zh-CN"/>
        </w:rPr>
        <w:t>R</w:t>
      </w:r>
      <w:r>
        <w:rPr>
          <w:rFonts w:hint="eastAsia" w:asciiTheme="minorEastAsia" w:hAnsiTheme="minorEastAsia" w:eastAsiaTheme="minorEastAsia" w:cstheme="minorEastAsia"/>
          <w:sz w:val="21"/>
          <w:szCs w:val="21"/>
          <w:lang w:val="en-US" w:eastAsia="zh-CN"/>
        </w:rPr>
        <w:t>C）在35-45的合格率均为100%。该产品技术指标： HRC：35-45指标制定合理，该产品属于成熟稳定产品。</w:t>
      </w:r>
    </w:p>
    <w:p w14:paraId="43C22F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5）TBe1.9-0.2、TBe1.9-0.4、C17000、TBe1.7、TBe1.9、TBe1.9-0.1、TBe2的TH04态的断后伸长率统计情况见表</w:t>
      </w:r>
      <w:r>
        <w:rPr>
          <w:rFonts w:hint="eastAsia" w:asciiTheme="minorEastAsia" w:hAnsiTheme="minorEastAsia" w:cstheme="minorEastAsia"/>
          <w:sz w:val="21"/>
          <w:szCs w:val="21"/>
          <w:lang w:val="en-US" w:eastAsia="zh-CN"/>
        </w:rPr>
        <w:t>10</w:t>
      </w:r>
      <w:r>
        <w:rPr>
          <w:rFonts w:hint="eastAsia" w:asciiTheme="minorEastAsia" w:hAnsiTheme="minorEastAsia" w:eastAsiaTheme="minorEastAsia" w:cstheme="minorEastAsia"/>
          <w:sz w:val="21"/>
          <w:szCs w:val="21"/>
          <w:lang w:val="en-US" w:eastAsia="zh-CN"/>
        </w:rPr>
        <w:t>。</w:t>
      </w:r>
    </w:p>
    <w:p w14:paraId="65A05D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lang w:val="en-US" w:eastAsia="zh-CN"/>
        </w:rPr>
      </w:pPr>
      <w:r>
        <w:rPr>
          <w:rFonts w:hint="eastAsia" w:ascii="黑体" w:hAnsi="黑体" w:eastAsia="黑体" w:cs="黑体"/>
          <w:b w:val="0"/>
          <w:bCs w:val="0"/>
          <w:sz w:val="21"/>
          <w:szCs w:val="21"/>
          <w:lang w:val="en-US" w:eastAsia="zh-CN"/>
        </w:rPr>
        <w:t>表10 TH04态棒材断后伸长率</w:t>
      </w:r>
      <w:r>
        <w:rPr>
          <w:rFonts w:hint="eastAsia" w:ascii="黑体" w:hAnsi="黑体" w:eastAsia="黑体" w:cs="黑体"/>
          <w:b w:val="0"/>
          <w:bCs w:val="0"/>
        </w:rPr>
        <w:t>(A)</w:t>
      </w:r>
      <w:r>
        <w:rPr>
          <w:rFonts w:hint="eastAsia" w:ascii="黑体" w:hAnsi="黑体" w:eastAsia="黑体" w:cs="黑体"/>
          <w:b w:val="0"/>
          <w:bCs w:val="0"/>
          <w:sz w:val="21"/>
          <w:szCs w:val="21"/>
          <w:lang w:val="en-US" w:eastAsia="zh-CN"/>
        </w:rPr>
        <w:t>频数和频率分布表</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26"/>
        <w:gridCol w:w="1587"/>
        <w:gridCol w:w="1587"/>
        <w:gridCol w:w="1587"/>
        <w:gridCol w:w="1587"/>
      </w:tblGrid>
      <w:tr w14:paraId="69B4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30EF8">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牌号</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9C0D2">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区间</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01CD0">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组中值</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DCE66">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频数</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251C1">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频率</w:t>
            </w:r>
          </w:p>
        </w:tc>
      </w:tr>
      <w:tr w14:paraId="0D54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306D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02AB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CA26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A6A2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1C12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7449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795B7">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5523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0023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20AB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9C22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0.28</w:t>
            </w:r>
          </w:p>
        </w:tc>
      </w:tr>
      <w:tr w14:paraId="04BAF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B7FA3">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7BEB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2FBC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AB5E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FAB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0.26</w:t>
            </w:r>
          </w:p>
        </w:tc>
      </w:tr>
      <w:tr w14:paraId="6B85C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4D9F6">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9117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4187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7BF2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3DE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0.29</w:t>
            </w:r>
          </w:p>
        </w:tc>
      </w:tr>
      <w:tr w14:paraId="203AB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4394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D67E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70EC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DEF4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72BB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0.18</w:t>
            </w:r>
          </w:p>
        </w:tc>
      </w:tr>
      <w:tr w14:paraId="002B0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AD1C1">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156B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8A2D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18FA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5695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0.29</w:t>
            </w:r>
          </w:p>
        </w:tc>
      </w:tr>
      <w:tr w14:paraId="303A1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167BD">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C51F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0045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BF71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83AC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0.27</w:t>
            </w:r>
          </w:p>
        </w:tc>
      </w:tr>
      <w:tr w14:paraId="1AA56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C8515">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62EA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F8A3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9ACD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0EAE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0.26</w:t>
            </w:r>
          </w:p>
        </w:tc>
      </w:tr>
      <w:tr w14:paraId="1487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EDB9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C17000</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0BC7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42E4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5583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2D3D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68D17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584CC">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A5DD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59CB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1DE9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3635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0.27</w:t>
            </w:r>
          </w:p>
        </w:tc>
      </w:tr>
      <w:tr w14:paraId="2AB2E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34DA6">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AC50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F14D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3E59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9B6D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0.28</w:t>
            </w:r>
          </w:p>
        </w:tc>
      </w:tr>
      <w:tr w14:paraId="03131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5D5BB">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53E2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2F3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D16E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9CCA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w:t>
            </w:r>
          </w:p>
        </w:tc>
      </w:tr>
      <w:tr w14:paraId="2675B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2651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TBe1.7</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4058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B4BD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418A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A0B3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02375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E7EE8">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EBE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23C2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FF57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9AF9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0.26</w:t>
            </w:r>
          </w:p>
        </w:tc>
      </w:tr>
      <w:tr w14:paraId="541CF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A8BC1">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F84C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621B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DC3C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6F8D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0.29</w:t>
            </w:r>
          </w:p>
        </w:tc>
      </w:tr>
      <w:tr w14:paraId="31DF8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9783B">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DF0B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6B9F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5D1F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A16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0.29</w:t>
            </w:r>
          </w:p>
        </w:tc>
      </w:tr>
      <w:tr w14:paraId="73F2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D98E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1E53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49E6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926E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04E9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0.17</w:t>
            </w:r>
          </w:p>
        </w:tc>
      </w:tr>
      <w:tr w14:paraId="43BC4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5B1BA">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115D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50C0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0E46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5C2C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w:t>
            </w:r>
          </w:p>
        </w:tc>
      </w:tr>
      <w:tr w14:paraId="4804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CA2F8">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B0C6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4DDF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E81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6D8B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0.25</w:t>
            </w:r>
          </w:p>
        </w:tc>
      </w:tr>
      <w:tr w14:paraId="5BB0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1093C">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B164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10DD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C92C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2285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0.28</w:t>
            </w:r>
          </w:p>
        </w:tc>
      </w:tr>
      <w:tr w14:paraId="7790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660C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TBe1.9-0.1</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55C2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2D36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FB1A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4EE7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0.15</w:t>
            </w:r>
          </w:p>
        </w:tc>
      </w:tr>
      <w:tr w14:paraId="33637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128F5">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0B3E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250B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211A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109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0.29</w:t>
            </w:r>
          </w:p>
        </w:tc>
      </w:tr>
      <w:tr w14:paraId="1A32E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71E7F">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E287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CCA3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37A2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A492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0.28</w:t>
            </w:r>
          </w:p>
        </w:tc>
      </w:tr>
      <w:tr w14:paraId="6F5DB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2ECB1">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2F520">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7C04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1B02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2B3D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0.28</w:t>
            </w:r>
          </w:p>
        </w:tc>
      </w:tr>
      <w:tr w14:paraId="5E145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121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54EA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TBe2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D08A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F968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D5EE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51DC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0.18</w:t>
            </w:r>
          </w:p>
        </w:tc>
      </w:tr>
      <w:tr w14:paraId="5925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D2E7D">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84BE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F9FF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EC10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DE08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0.26</w:t>
            </w:r>
          </w:p>
        </w:tc>
      </w:tr>
      <w:tr w14:paraId="171BA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8D8FA">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4431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42AB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567B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5045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0.29</w:t>
            </w:r>
          </w:p>
        </w:tc>
      </w:tr>
      <w:tr w14:paraId="40F4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1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02407">
            <w:pPr>
              <w:jc w:val="center"/>
              <w:rPr>
                <w:rFonts w:hint="eastAsia" w:asciiTheme="minorEastAsia" w:hAnsiTheme="minorEastAsia" w:eastAsiaTheme="minorEastAsia" w:cstheme="minorEastAsia"/>
                <w:i w:val="0"/>
                <w:color w:val="000000"/>
                <w:sz w:val="21"/>
                <w:szCs w:val="21"/>
                <w:u w:val="none"/>
              </w:rPr>
            </w:pP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9D33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3B40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D6CA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w:t>
            </w:r>
          </w:p>
        </w:tc>
        <w:tc>
          <w:tcPr>
            <w:tcW w:w="94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B6B2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0.27</w:t>
            </w:r>
          </w:p>
        </w:tc>
      </w:tr>
    </w:tbl>
    <w:p w14:paraId="136931B3">
      <w:pPr>
        <w:pStyle w:val="5"/>
        <w:numPr>
          <w:ilvl w:val="0"/>
          <w:numId w:val="0"/>
        </w:numPr>
        <w:rPr>
          <w:rFonts w:hint="eastAsia"/>
          <w:lang w:val="en-US" w:eastAsia="zh-CN"/>
        </w:rPr>
      </w:pPr>
    </w:p>
    <w:p w14:paraId="4A2D596F">
      <w:pPr>
        <w:pStyle w:val="5"/>
        <w:numPr>
          <w:ilvl w:val="0"/>
          <w:numId w:val="0"/>
        </w:numPr>
      </w:pPr>
      <w:r>
        <w:drawing>
          <wp:inline distT="0" distB="0" distL="114300" distR="114300">
            <wp:extent cx="2570480" cy="1715770"/>
            <wp:effectExtent l="0" t="0" r="1270" b="1778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8"/>
                    <a:stretch>
                      <a:fillRect/>
                    </a:stretch>
                  </pic:blipFill>
                  <pic:spPr>
                    <a:xfrm>
                      <a:off x="0" y="0"/>
                      <a:ext cx="2570480"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1115" cy="1715770"/>
            <wp:effectExtent l="0" t="0" r="635" b="1778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29"/>
                    <a:stretch>
                      <a:fillRect/>
                    </a:stretch>
                  </pic:blipFill>
                  <pic:spPr>
                    <a:xfrm>
                      <a:off x="0" y="0"/>
                      <a:ext cx="2571115" cy="1715770"/>
                    </a:xfrm>
                    <a:prstGeom prst="rect">
                      <a:avLst/>
                    </a:prstGeom>
                    <a:noFill/>
                    <a:ln>
                      <a:noFill/>
                    </a:ln>
                  </pic:spPr>
                </pic:pic>
              </a:graphicData>
            </a:graphic>
          </wp:inline>
        </w:drawing>
      </w:r>
    </w:p>
    <w:p w14:paraId="3E362AAB">
      <w:pPr>
        <w:pStyle w:val="5"/>
        <w:numPr>
          <w:ilvl w:val="0"/>
          <w:numId w:val="0"/>
        </w:numPr>
      </w:pPr>
      <w:r>
        <w:drawing>
          <wp:inline distT="0" distB="0" distL="114300" distR="114300">
            <wp:extent cx="2571115" cy="1715770"/>
            <wp:effectExtent l="0" t="0" r="635" b="1778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30"/>
                    <a:stretch>
                      <a:fillRect/>
                    </a:stretch>
                  </pic:blipFill>
                  <pic:spPr>
                    <a:xfrm>
                      <a:off x="0" y="0"/>
                      <a:ext cx="2571115"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0480" cy="1715770"/>
            <wp:effectExtent l="0" t="0" r="1270" b="1778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31"/>
                    <a:stretch>
                      <a:fillRect/>
                    </a:stretch>
                  </pic:blipFill>
                  <pic:spPr>
                    <a:xfrm>
                      <a:off x="0" y="0"/>
                      <a:ext cx="2570480" cy="1715770"/>
                    </a:xfrm>
                    <a:prstGeom prst="rect">
                      <a:avLst/>
                    </a:prstGeom>
                    <a:noFill/>
                    <a:ln>
                      <a:noFill/>
                    </a:ln>
                  </pic:spPr>
                </pic:pic>
              </a:graphicData>
            </a:graphic>
          </wp:inline>
        </w:drawing>
      </w:r>
    </w:p>
    <w:p w14:paraId="1A82A5E2">
      <w:pPr>
        <w:pStyle w:val="5"/>
        <w:numPr>
          <w:ilvl w:val="0"/>
          <w:numId w:val="0"/>
        </w:numPr>
      </w:pPr>
      <w:r>
        <w:drawing>
          <wp:inline distT="0" distB="0" distL="114300" distR="114300">
            <wp:extent cx="2571115" cy="1715770"/>
            <wp:effectExtent l="0" t="0" r="635" b="1778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32"/>
                    <a:stretch>
                      <a:fillRect/>
                    </a:stretch>
                  </pic:blipFill>
                  <pic:spPr>
                    <a:xfrm>
                      <a:off x="0" y="0"/>
                      <a:ext cx="2571115" cy="17157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62225" cy="1710055"/>
            <wp:effectExtent l="0" t="0" r="9525" b="4445"/>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33"/>
                    <a:stretch>
                      <a:fillRect/>
                    </a:stretch>
                  </pic:blipFill>
                  <pic:spPr>
                    <a:xfrm>
                      <a:off x="0" y="0"/>
                      <a:ext cx="2562225" cy="1710055"/>
                    </a:xfrm>
                    <a:prstGeom prst="rect">
                      <a:avLst/>
                    </a:prstGeom>
                    <a:noFill/>
                    <a:ln>
                      <a:noFill/>
                    </a:ln>
                  </pic:spPr>
                </pic:pic>
              </a:graphicData>
            </a:graphic>
          </wp:inline>
        </w:drawing>
      </w:r>
    </w:p>
    <w:p w14:paraId="0B3EB022">
      <w:pPr>
        <w:pStyle w:val="5"/>
        <w:numPr>
          <w:ilvl w:val="0"/>
          <w:numId w:val="0"/>
        </w:numPr>
        <w:jc w:val="center"/>
      </w:pPr>
      <w:r>
        <w:drawing>
          <wp:inline distT="0" distB="0" distL="114300" distR="114300">
            <wp:extent cx="2571750" cy="1716405"/>
            <wp:effectExtent l="0" t="0" r="0" b="17145"/>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r:embed="rId34"/>
                    <a:stretch>
                      <a:fillRect/>
                    </a:stretch>
                  </pic:blipFill>
                  <pic:spPr>
                    <a:xfrm>
                      <a:off x="0" y="0"/>
                      <a:ext cx="2571750" cy="1716405"/>
                    </a:xfrm>
                    <a:prstGeom prst="rect">
                      <a:avLst/>
                    </a:prstGeom>
                    <a:noFill/>
                    <a:ln>
                      <a:noFill/>
                    </a:ln>
                  </pic:spPr>
                </pic:pic>
              </a:graphicData>
            </a:graphic>
          </wp:inline>
        </w:drawing>
      </w:r>
    </w:p>
    <w:p w14:paraId="3FF13148">
      <w:pPr>
        <w:pStyle w:val="5"/>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图5 TBe1.9-0.2、TBe1.9-0.4、C17000、TBe1.7、</w:t>
      </w:r>
    </w:p>
    <w:p w14:paraId="1EB637F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黑体" w:hAnsi="黑体" w:eastAsia="黑体" w:cs="黑体"/>
          <w:b w:val="0"/>
          <w:bCs w:val="0"/>
        </w:rPr>
      </w:pPr>
      <w:r>
        <w:rPr>
          <w:rFonts w:hint="eastAsia" w:ascii="黑体" w:hAnsi="黑体" w:eastAsia="黑体" w:cs="黑体"/>
          <w:b w:val="0"/>
          <w:bCs w:val="0"/>
          <w:sz w:val="21"/>
          <w:szCs w:val="21"/>
          <w:lang w:val="en-US" w:eastAsia="zh-CN"/>
        </w:rPr>
        <w:t>TBe1.9、TBe1.9-0.1、TBe2的</w:t>
      </w:r>
      <w:r>
        <w:rPr>
          <w:rFonts w:hint="eastAsia" w:ascii="黑体" w:hAnsi="黑体" w:eastAsia="黑体" w:cs="黑体"/>
          <w:b w:val="0"/>
          <w:bCs w:val="0"/>
          <w:lang w:val="en-US" w:eastAsia="zh-CN"/>
        </w:rPr>
        <w:t>TH04态的断后伸长率直方图</w:t>
      </w:r>
    </w:p>
    <w:p w14:paraId="26D39E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由图表可知，</w:t>
      </w:r>
      <w:r>
        <w:rPr>
          <w:rFonts w:hint="eastAsia" w:asciiTheme="minorEastAsia" w:hAnsiTheme="minorEastAsia" w:eastAsiaTheme="minorEastAsia" w:cstheme="minorEastAsia"/>
          <w:sz w:val="21"/>
          <w:szCs w:val="21"/>
          <w:lang w:val="en-US" w:eastAsia="zh-CN"/>
        </w:rPr>
        <w:t>TBe1.9-0.2、TBe1.9-0.4、C17000、TBe1.7、TBe1.9、</w:t>
      </w:r>
      <w:r>
        <w:rPr>
          <w:rFonts w:hint="eastAsia" w:asciiTheme="minorEastAsia" w:hAnsiTheme="minorEastAsia" w:cstheme="minorEastAsia"/>
          <w:sz w:val="21"/>
          <w:szCs w:val="21"/>
          <w:lang w:val="en-US" w:eastAsia="zh-CN"/>
        </w:rPr>
        <w:t>T</w:t>
      </w:r>
      <w:r>
        <w:rPr>
          <w:rFonts w:hint="eastAsia" w:asciiTheme="minorEastAsia" w:hAnsiTheme="minorEastAsia" w:eastAsiaTheme="minorEastAsia" w:cstheme="minorEastAsia"/>
          <w:sz w:val="21"/>
          <w:szCs w:val="21"/>
          <w:lang w:val="en-US" w:eastAsia="zh-CN"/>
        </w:rPr>
        <w:t>Be1.9-0.1、TBe2的</w:t>
      </w:r>
      <w:r>
        <w:rPr>
          <w:rFonts w:hint="eastAsia" w:asciiTheme="minorEastAsia" w:hAnsiTheme="minorEastAsia" w:cstheme="minorEastAsia"/>
          <w:lang w:val="en-US" w:eastAsia="zh-CN"/>
        </w:rPr>
        <w:t>TH04</w:t>
      </w:r>
      <w:r>
        <w:rPr>
          <w:rFonts w:hint="eastAsia" w:asciiTheme="minorEastAsia" w:hAnsiTheme="minorEastAsia" w:eastAsiaTheme="minorEastAsia" w:cstheme="minorEastAsia"/>
          <w:lang w:val="en-US" w:eastAsia="zh-CN"/>
        </w:rPr>
        <w:t>态的断后伸长率</w:t>
      </w:r>
      <w:r>
        <w:rPr>
          <w:rFonts w:hint="eastAsia" w:asciiTheme="minorEastAsia" w:hAnsiTheme="minorEastAsia" w:eastAsiaTheme="minorEastAsia" w:cstheme="minorEastAsia"/>
        </w:rPr>
        <w:t>A在</w:t>
      </w:r>
      <w:r>
        <w:rPr>
          <w:rFonts w:hint="eastAsia" w:asciiTheme="minorEastAsia" w:hAnsiTheme="minorEastAsia" w:cstheme="minorEastAsia"/>
          <w:lang w:val="en-US" w:eastAsia="zh-CN"/>
        </w:rPr>
        <w:t>1.5</w:t>
      </w:r>
      <w:r>
        <w:rPr>
          <w:rFonts w:hint="eastAsia" w:asciiTheme="minorEastAsia" w:hAnsiTheme="minorEastAsia" w:eastAsiaTheme="minorEastAsia" w:cstheme="minorEastAsia"/>
        </w:rPr>
        <w:t>%以上的合格率</w:t>
      </w:r>
      <w:r>
        <w:rPr>
          <w:rFonts w:hint="eastAsia" w:asciiTheme="minorEastAsia" w:hAnsiTheme="minorEastAsia" w:cstheme="minorEastAsia"/>
          <w:lang w:eastAsia="zh-CN"/>
        </w:rPr>
        <w:t>分别</w:t>
      </w:r>
      <w:r>
        <w:rPr>
          <w:rFonts w:hint="eastAsia" w:asciiTheme="minorEastAsia" w:hAnsiTheme="minorEastAsia" w:eastAsiaTheme="minorEastAsia" w:cstheme="minorEastAsia"/>
        </w:rPr>
        <w:t>为9</w:t>
      </w:r>
      <w:r>
        <w:rPr>
          <w:rFonts w:hint="eastAsia" w:asciiTheme="minorEastAsia" w:hAnsiTheme="minorEastAsia" w:cstheme="minorEastAsia"/>
          <w:lang w:val="en-US" w:eastAsia="zh-CN"/>
        </w:rPr>
        <w:t>9</w:t>
      </w:r>
      <w:r>
        <w:rPr>
          <w:rFonts w:hint="eastAsia" w:asciiTheme="minorEastAsia" w:hAnsiTheme="minorEastAsia" w:eastAsiaTheme="minorEastAsia" w:cstheme="minorEastAsia"/>
        </w:rPr>
        <w:t>%</w:t>
      </w:r>
      <w:r>
        <w:rPr>
          <w:rFonts w:hint="eastAsia" w:asciiTheme="minorEastAsia" w:hAnsiTheme="minorEastAsia" w:cstheme="minorEastAsia"/>
          <w:lang w:eastAsia="zh-CN"/>
        </w:rPr>
        <w:t>、</w:t>
      </w:r>
      <w:r>
        <w:rPr>
          <w:rFonts w:hint="eastAsia" w:asciiTheme="minorEastAsia" w:hAnsiTheme="minorEastAsia" w:cstheme="minorEastAsia"/>
          <w:lang w:val="en-US" w:eastAsia="zh-CN"/>
        </w:rPr>
        <w:t>98%、99%、98%、99%、99%、99%</w:t>
      </w:r>
      <w:r>
        <w:rPr>
          <w:rFonts w:hint="eastAsia" w:asciiTheme="minorEastAsia" w:hAnsiTheme="minorEastAsia" w:eastAsiaTheme="minorEastAsia" w:cstheme="minorEastAsia"/>
        </w:rPr>
        <w:t>。该产品技术指标： A≥</w:t>
      </w:r>
      <w:r>
        <w:rPr>
          <w:rFonts w:hint="eastAsia" w:asciiTheme="minorEastAsia" w:hAnsiTheme="minorEastAsia" w:cstheme="minorEastAsia"/>
          <w:lang w:val="en-US" w:eastAsia="zh-CN"/>
        </w:rPr>
        <w:t>1.5</w:t>
      </w:r>
      <w:r>
        <w:rPr>
          <w:rFonts w:hint="eastAsia" w:asciiTheme="minorEastAsia" w:hAnsiTheme="minorEastAsia" w:eastAsiaTheme="minorEastAsia" w:cstheme="minorEastAsia"/>
        </w:rPr>
        <w:t>%指标制定合理，该产品属于成熟稳定产品。</w:t>
      </w:r>
    </w:p>
    <w:p w14:paraId="540F453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lang w:val="en-US" w:eastAsia="zh-CN"/>
        </w:rPr>
        <w:t>）固溶处理后的平均晶粒尺寸统计情况见表</w:t>
      </w:r>
      <w:r>
        <w:rPr>
          <w:rFonts w:hint="eastAsia" w:asciiTheme="minorEastAsia" w:hAnsiTheme="minorEastAsia" w:cstheme="minorEastAsia"/>
          <w:color w:val="auto"/>
          <w:sz w:val="21"/>
          <w:szCs w:val="21"/>
          <w:lang w:val="en-US" w:eastAsia="zh-CN"/>
        </w:rPr>
        <w:t>11</w:t>
      </w:r>
      <w:r>
        <w:rPr>
          <w:rFonts w:hint="eastAsia" w:asciiTheme="minorEastAsia" w:hAnsiTheme="minorEastAsia" w:eastAsiaTheme="minorEastAsia" w:cstheme="minorEastAsia"/>
          <w:color w:val="auto"/>
          <w:sz w:val="21"/>
          <w:szCs w:val="21"/>
          <w:lang w:val="en-US" w:eastAsia="zh-CN"/>
        </w:rPr>
        <w:t>。</w:t>
      </w:r>
    </w:p>
    <w:p w14:paraId="4769F5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auto"/>
          <w:lang w:val="en-US" w:eastAsia="zh-CN"/>
        </w:rPr>
      </w:pPr>
      <w:r>
        <w:rPr>
          <w:rFonts w:hint="eastAsia" w:ascii="黑体" w:hAnsi="黑体" w:eastAsia="黑体" w:cs="黑体"/>
          <w:b w:val="0"/>
          <w:bCs w:val="0"/>
          <w:color w:val="auto"/>
          <w:sz w:val="21"/>
          <w:szCs w:val="21"/>
          <w:lang w:val="en-US" w:eastAsia="zh-CN"/>
        </w:rPr>
        <w:t>表11 固溶态棒材平均晶粒尺寸频数和频率分布表</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481"/>
        <w:gridCol w:w="2449"/>
        <w:gridCol w:w="1481"/>
        <w:gridCol w:w="1481"/>
        <w:gridCol w:w="1481"/>
      </w:tblGrid>
      <w:tr w14:paraId="4744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0CAE3">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规格（mm）</w:t>
            </w: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0F568">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区间</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DE761">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组中值</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86860">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频数</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FFF78">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sz w:val="21"/>
                <w:szCs w:val="21"/>
                <w:u w:val="none"/>
              </w:rPr>
            </w:pPr>
            <w:r>
              <w:rPr>
                <w:rFonts w:hint="eastAsia" w:asciiTheme="minorEastAsia" w:hAnsiTheme="minorEastAsia" w:eastAsiaTheme="minorEastAsia" w:cstheme="minorEastAsia"/>
                <w:b w:val="0"/>
                <w:bCs/>
                <w:i w:val="0"/>
                <w:color w:val="000000"/>
                <w:kern w:val="0"/>
                <w:sz w:val="21"/>
                <w:szCs w:val="21"/>
                <w:u w:val="none"/>
                <w:lang w:val="en-US" w:eastAsia="zh-CN" w:bidi="ar"/>
              </w:rPr>
              <w:t>频率</w:t>
            </w:r>
          </w:p>
        </w:tc>
      </w:tr>
      <w:tr w14:paraId="40CA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A8EA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B5DE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[0.015, 0.025)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DED9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ED6E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7366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0.12</w:t>
            </w:r>
          </w:p>
        </w:tc>
      </w:tr>
      <w:tr w14:paraId="327F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F2AA0">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89E2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[0.025, 0.035)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F879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8670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425D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0.22</w:t>
            </w:r>
          </w:p>
        </w:tc>
      </w:tr>
      <w:tr w14:paraId="4314D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7EC17">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2E7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[0.035, 0.045)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3C50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EC2F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10F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0.21</w:t>
            </w:r>
          </w:p>
        </w:tc>
      </w:tr>
      <w:tr w14:paraId="1D9D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F09DC">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DB87D">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[0.045, 0.055)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89DC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FCDD9">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50AC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0.19</w:t>
            </w:r>
          </w:p>
        </w:tc>
      </w:tr>
      <w:tr w14:paraId="1F8C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1682F">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E0D8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[0.055, 0.065)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F86F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A3F7A">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8622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0.16</w:t>
            </w:r>
          </w:p>
        </w:tc>
      </w:tr>
      <w:tr w14:paraId="3C2CC7ED">
        <w:tblPrEx>
          <w:shd w:val="clear" w:color="auto" w:fill="auto"/>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4B65F">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D0E8">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[0.065, 0.075)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AF644">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0.07</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67F22">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B58C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0.09</w:t>
            </w:r>
          </w:p>
        </w:tc>
      </w:tr>
      <w:tr w14:paraId="65EB3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B149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9A1B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[0.015,0.025)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93C5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82C8E">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6E537">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0.14</w:t>
            </w:r>
          </w:p>
        </w:tc>
      </w:tr>
      <w:tr w14:paraId="49E72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86A9E">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F04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[0.025,0.035)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8EF8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D76A6">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D2FB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0.31</w:t>
            </w:r>
          </w:p>
        </w:tc>
      </w:tr>
      <w:tr w14:paraId="417A3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F07BD">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7851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[0.035,0.045)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CDD1F">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96D4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75F23">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0.33</w:t>
            </w:r>
          </w:p>
        </w:tc>
      </w:tr>
      <w:tr w14:paraId="1794B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F9D02">
            <w:pPr>
              <w:jc w:val="center"/>
              <w:rPr>
                <w:rFonts w:hint="eastAsia" w:asciiTheme="minorEastAsia" w:hAnsiTheme="minorEastAsia" w:eastAsiaTheme="minorEastAsia" w:cstheme="minorEastAsia"/>
                <w:i w:val="0"/>
                <w:color w:val="000000"/>
                <w:sz w:val="21"/>
                <w:szCs w:val="21"/>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93AF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[0.045,0.055]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9FA4B">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0.05</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69525">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F7EA1">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0.22</w:t>
            </w:r>
          </w:p>
        </w:tc>
      </w:tr>
    </w:tbl>
    <w:p w14:paraId="621BA454">
      <w:pPr>
        <w:pStyle w:val="5"/>
        <w:numPr>
          <w:ilvl w:val="0"/>
          <w:numId w:val="0"/>
        </w:numPr>
        <w:rPr>
          <w:rFonts w:hint="eastAsia"/>
          <w:lang w:val="en-US" w:eastAsia="zh-CN"/>
        </w:rPr>
      </w:pPr>
    </w:p>
    <w:p w14:paraId="3B603523">
      <w:pPr>
        <w:pStyle w:val="5"/>
        <w:numPr>
          <w:ilvl w:val="0"/>
          <w:numId w:val="0"/>
        </w:numPr>
      </w:pPr>
      <w:r>
        <w:drawing>
          <wp:inline distT="0" distB="0" distL="114300" distR="114300">
            <wp:extent cx="2586990" cy="1726565"/>
            <wp:effectExtent l="0" t="0" r="3810" b="698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35"/>
                    <a:stretch>
                      <a:fillRect/>
                    </a:stretch>
                  </pic:blipFill>
                  <pic:spPr>
                    <a:xfrm>
                      <a:off x="0" y="0"/>
                      <a:ext cx="2586990" cy="172656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71115" cy="1715770"/>
            <wp:effectExtent l="0" t="0" r="635" b="1778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36"/>
                    <a:stretch>
                      <a:fillRect/>
                    </a:stretch>
                  </pic:blipFill>
                  <pic:spPr>
                    <a:xfrm>
                      <a:off x="0" y="0"/>
                      <a:ext cx="2571115" cy="1715770"/>
                    </a:xfrm>
                    <a:prstGeom prst="rect">
                      <a:avLst/>
                    </a:prstGeom>
                    <a:noFill/>
                    <a:ln>
                      <a:noFill/>
                    </a:ln>
                  </pic:spPr>
                </pic:pic>
              </a:graphicData>
            </a:graphic>
          </wp:inline>
        </w:drawing>
      </w:r>
    </w:p>
    <w:p w14:paraId="56E628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黑体" w:hAnsi="黑体" w:eastAsia="黑体" w:cs="黑体"/>
          <w:b w:val="0"/>
          <w:bCs w:val="0"/>
        </w:rPr>
      </w:pPr>
      <w:r>
        <w:rPr>
          <w:rFonts w:hint="eastAsia" w:ascii="黑体" w:hAnsi="黑体" w:eastAsia="黑体" w:cs="黑体"/>
          <w:b w:val="0"/>
          <w:bCs w:val="0"/>
          <w:sz w:val="21"/>
          <w:szCs w:val="21"/>
          <w:lang w:val="en-US" w:eastAsia="zh-CN"/>
        </w:rPr>
        <w:t>图6 固溶处理后平均晶粒尺寸</w:t>
      </w:r>
      <w:r>
        <w:rPr>
          <w:rFonts w:hint="eastAsia" w:ascii="黑体" w:hAnsi="黑体" w:eastAsia="黑体" w:cs="黑体"/>
          <w:b w:val="0"/>
          <w:bCs w:val="0"/>
          <w:lang w:val="en-US" w:eastAsia="zh-CN"/>
        </w:rPr>
        <w:t>直方图</w:t>
      </w:r>
    </w:p>
    <w:p w14:paraId="4A3280D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由图表可知，</w:t>
      </w:r>
      <w:r>
        <w:rPr>
          <w:rFonts w:hint="eastAsia" w:asciiTheme="minorEastAsia" w:hAnsiTheme="minorEastAsia" w:eastAsiaTheme="minorEastAsia" w:cstheme="minorEastAsia"/>
          <w:lang w:eastAsia="zh-CN"/>
        </w:rPr>
        <w:t>固溶处理后，≥</w:t>
      </w:r>
      <w:r>
        <w:rPr>
          <w:rFonts w:hint="eastAsia" w:asciiTheme="minorEastAsia" w:hAnsiTheme="minorEastAsia" w:eastAsiaTheme="minorEastAsia" w:cstheme="minorEastAsia"/>
          <w:lang w:val="en-US" w:eastAsia="zh-CN"/>
        </w:rPr>
        <w:t>20mm棒材平均晶粒尺寸在0.015-0.075mm的合格率为100%，</w:t>
      </w:r>
    </w:p>
    <w:p w14:paraId="0B057B80">
      <w:pPr>
        <w:pStyle w:val="5"/>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20mm棒材平均晶粒尺寸在0.015-0.055mm的合格率为100%。</w:t>
      </w:r>
      <w:r>
        <w:rPr>
          <w:rFonts w:hint="eastAsia" w:asciiTheme="minorEastAsia" w:hAnsiTheme="minorEastAsia" w:eastAsiaTheme="minorEastAsia" w:cstheme="minorEastAsia"/>
        </w:rPr>
        <w:t>该产品技术指标：</w:t>
      </w:r>
      <w:r>
        <w:rPr>
          <w:rFonts w:hint="eastAsia" w:asciiTheme="minorEastAsia" w:hAnsiTheme="minorEastAsia" w:eastAsiaTheme="minorEastAsia" w:cstheme="minorEastAsia"/>
          <w:color w:val="auto"/>
          <w:sz w:val="21"/>
          <w:szCs w:val="21"/>
          <w:lang w:val="en-US" w:eastAsia="zh-CN"/>
        </w:rPr>
        <w:t>固溶处理后的平均晶粒尺寸，</w:t>
      </w:r>
      <w:r>
        <w:rPr>
          <w:rFonts w:hint="eastAsia" w:asciiTheme="minorEastAsia" w:hAnsiTheme="minorEastAsia" w:eastAsiaTheme="minorEastAsia" w:cstheme="minorEastAsia"/>
          <w:color w:val="auto"/>
          <w:kern w:val="0"/>
          <w:sz w:val="21"/>
          <w:szCs w:val="21"/>
          <w:lang w:val="en-US" w:eastAsia="zh-CN" w:bidi="ar-SA"/>
        </w:rPr>
        <w:t>＜20mm，0.015～0.055mm；≥20mm，0.015～0.075mm</w:t>
      </w:r>
      <w:r>
        <w:rPr>
          <w:rFonts w:hint="eastAsia" w:asciiTheme="minorEastAsia" w:hAnsiTheme="minorEastAsia" w:eastAsiaTheme="minorEastAsia" w:cstheme="minorEastAsia"/>
        </w:rPr>
        <w:t>指标制定合理，该产品属于成熟稳定产品。</w:t>
      </w:r>
    </w:p>
    <w:p w14:paraId="33F8556B">
      <w:pPr>
        <w:pStyle w:val="5"/>
        <w:numPr>
          <w:ilvl w:val="0"/>
          <w:numId w:val="6"/>
        </w:numPr>
        <w:ind w:left="0" w:leftChars="0" w:firstLine="0" w:firstLineChars="0"/>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标准的先进性、创新性、标准实施后预期产生的经济效益和社会效益</w:t>
      </w:r>
    </w:p>
    <w:p w14:paraId="23DABC12">
      <w:pPr>
        <w:pStyle w:val="5"/>
        <w:numPr>
          <w:ilvl w:val="0"/>
          <w:numId w:val="0"/>
        </w:numPr>
        <w:spacing w:line="360" w:lineRule="auto"/>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1、标准的先进性、创新性</w:t>
      </w:r>
    </w:p>
    <w:p w14:paraId="2BEB18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Theme="minorEastAsia" w:hAnsiTheme="minorEastAsia" w:eastAsiaTheme="minorEastAsia" w:cstheme="minorEastAsia"/>
        </w:rPr>
        <w:t>本标准在YS/T 334-2009的基础上进行了全面修订，在技术指标体系、检验检测方法和标准体系协调性等方面均有重要提升：</w:t>
      </w:r>
      <w:r>
        <w:rPr>
          <w:rFonts w:hint="eastAsia"/>
          <w:lang w:eastAsia="zh-CN"/>
        </w:rPr>
        <w:t>一是</w:t>
      </w:r>
      <w:r>
        <w:rPr>
          <w:rFonts w:hint="eastAsia"/>
        </w:rPr>
        <w:t>技术指标全面升级，达到国际先进水平</w:t>
      </w:r>
      <w:r>
        <w:rPr>
          <w:rFonts w:hint="eastAsia"/>
          <w:lang w:eastAsia="zh-CN"/>
        </w:rPr>
        <w:t>；二是</w:t>
      </w:r>
      <w:r>
        <w:rPr>
          <w:rFonts w:hint="eastAsia"/>
        </w:rPr>
        <w:t>在国内标准中首次增设平均晶粒尺寸技术要求</w:t>
      </w:r>
      <w:r>
        <w:rPr>
          <w:rFonts w:hint="eastAsia"/>
          <w:lang w:eastAsia="zh-CN"/>
        </w:rPr>
        <w:t>。</w:t>
      </w:r>
    </w:p>
    <w:p w14:paraId="2AFB0F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Theme="minorEastAsia" w:hAnsiTheme="minorEastAsia" w:eastAsiaTheme="minorEastAsia" w:cstheme="minorEastAsia"/>
        </w:rPr>
        <w:t>本标准修订的实施将对有色金属行业高端化、绿色化、智能化发展战略产生积极的高质量发展支撑，主要体现在以下方面：</w:t>
      </w:r>
      <w:r>
        <w:rPr>
          <w:rFonts w:hint="eastAsia" w:asciiTheme="minorEastAsia" w:hAnsiTheme="minorEastAsia" w:cstheme="minorEastAsia"/>
          <w:lang w:eastAsia="zh-CN"/>
        </w:rPr>
        <w:t>一是</w:t>
      </w:r>
      <w:r>
        <w:rPr>
          <w:rFonts w:hint="eastAsia" w:asciiTheme="minorEastAsia" w:hAnsiTheme="minorEastAsia" w:eastAsiaTheme="minorEastAsia" w:cstheme="minorEastAsia"/>
        </w:rPr>
        <w:t>对有色金属行业稳增长规划的支撑</w:t>
      </w:r>
      <w:r>
        <w:rPr>
          <w:rFonts w:hint="eastAsia" w:asciiTheme="minorEastAsia" w:hAnsiTheme="minorEastAsia" w:cstheme="minorEastAsia"/>
          <w:lang w:eastAsia="zh-CN"/>
        </w:rPr>
        <w:t>，</w:t>
      </w:r>
      <w:r>
        <w:rPr>
          <w:rFonts w:hint="eastAsia" w:asciiTheme="minorEastAsia" w:hAnsiTheme="minorEastAsia" w:eastAsiaTheme="minorEastAsia" w:cstheme="minorEastAsia"/>
        </w:rPr>
        <w:t>本标准修订通过提升铍青铜棒材力学性能指标、增加晶粒度控制要求，将有力推动高端铍青铜棒材产品供给能力的提升，直接服务于方案中“高端产品供给能力不断增强”的目标。</w:t>
      </w:r>
      <w:r>
        <w:rPr>
          <w:rFonts w:hint="eastAsia" w:asciiTheme="minorEastAsia" w:hAnsiTheme="minorEastAsia" w:cstheme="minorEastAsia"/>
          <w:lang w:eastAsia="zh-CN"/>
        </w:rPr>
        <w:t>二是</w:t>
      </w:r>
      <w:r>
        <w:rPr>
          <w:rFonts w:hint="eastAsia" w:asciiTheme="minorEastAsia" w:hAnsiTheme="minorEastAsia" w:eastAsiaTheme="minorEastAsia" w:cstheme="minorEastAsia"/>
        </w:rPr>
        <w:t>对高端装备制造和进口替代的支撑</w:t>
      </w:r>
      <w:r>
        <w:rPr>
          <w:rFonts w:hint="eastAsia" w:asciiTheme="minorEastAsia" w:hAnsiTheme="minorEastAsia" w:cstheme="minorEastAsia"/>
          <w:lang w:eastAsia="zh-CN"/>
        </w:rPr>
        <w:t>，</w:t>
      </w:r>
      <w:r>
        <w:rPr>
          <w:rFonts w:hint="eastAsia" w:asciiTheme="minorEastAsia" w:hAnsiTheme="minorEastAsia" w:eastAsiaTheme="minorEastAsia" w:cstheme="minorEastAsia"/>
        </w:rPr>
        <w:t>本标准修订后将大幅提升国产铍青铜棒材的质量水平，有效支撑航天航空连接器关键弹性元件、核反应堆控制棒驱动弹簧、航空发动机气门弹簧等极端重载领域关键部件的国产化替代，满足高端制造业对基础原材料的需求。</w:t>
      </w:r>
    </w:p>
    <w:p w14:paraId="169236B8">
      <w:pPr>
        <w:pStyle w:val="5"/>
        <w:numPr>
          <w:ilvl w:val="0"/>
          <w:numId w:val="0"/>
        </w:numPr>
        <w:spacing w:line="360" w:lineRule="auto"/>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2、经济效益</w:t>
      </w:r>
    </w:p>
    <w:p w14:paraId="75635CA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eastAsia="zh-CN"/>
        </w:rPr>
        <w:t>（</w:t>
      </w:r>
      <w:r>
        <w:rPr>
          <w:rFonts w:hint="eastAsia" w:asciiTheme="minorEastAsia" w:hAnsiTheme="minorEastAsia" w:cstheme="minorEastAsia"/>
          <w:b/>
          <w:bCs/>
          <w:sz w:val="21"/>
          <w:szCs w:val="21"/>
          <w:lang w:val="en-US" w:eastAsia="zh-CN"/>
        </w:rPr>
        <w:t>1</w:t>
      </w:r>
      <w:r>
        <w:rPr>
          <w:rFonts w:hint="eastAsia" w:asciiTheme="minorEastAsia" w:hAnsiTheme="minorEastAsia" w:cstheme="minorEastAsia"/>
          <w:b/>
          <w:bCs/>
          <w:sz w:val="21"/>
          <w:szCs w:val="21"/>
          <w:lang w:eastAsia="zh-CN"/>
        </w:rPr>
        <w:t>）</w:t>
      </w:r>
      <w:r>
        <w:rPr>
          <w:rFonts w:hint="eastAsia" w:asciiTheme="minorEastAsia" w:hAnsiTheme="minorEastAsia" w:eastAsiaTheme="minorEastAsia" w:cstheme="minorEastAsia"/>
          <w:b/>
          <w:bCs/>
          <w:sz w:val="21"/>
          <w:szCs w:val="21"/>
        </w:rPr>
        <w:t xml:space="preserve"> 直接经济效益</w:t>
      </w:r>
    </w:p>
    <w:p w14:paraId="7596EE4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val="en-US" w:eastAsia="zh-CN"/>
        </w:rPr>
        <w:t>a.</w:t>
      </w:r>
      <w:r>
        <w:rPr>
          <w:rFonts w:hint="eastAsia" w:asciiTheme="minorEastAsia" w:hAnsiTheme="minorEastAsia" w:eastAsiaTheme="minorEastAsia" w:cstheme="minorEastAsia"/>
          <w:b/>
          <w:bCs/>
          <w:sz w:val="21"/>
          <w:szCs w:val="21"/>
        </w:rPr>
        <w:t>提升产品品质，增强市场竞争力</w:t>
      </w:r>
    </w:p>
    <w:p w14:paraId="2B4ABB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标准实施后，修订后的技术指标将引导生产企业优化生产工艺、提升质量控制水平，使国产铍青铜棒材在延伸率、洛氏硬度、平均晶粒尺寸等核心指标上达到国际先进水平。国产产品与进口产品的性能差距将显著缩小，产品质量稳定性和一致性得到保障。我国作为铍青铜生产大国，标准提升有助于增强国产产品在高端市场的竞争力，逐步提升国内高端市场的占有率。</w:t>
      </w:r>
    </w:p>
    <w:p w14:paraId="746C353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val="en-US" w:eastAsia="zh-CN"/>
        </w:rPr>
        <w:t>b.</w:t>
      </w:r>
      <w:r>
        <w:rPr>
          <w:rFonts w:hint="eastAsia" w:asciiTheme="minorEastAsia" w:hAnsiTheme="minorEastAsia" w:eastAsiaTheme="minorEastAsia" w:cstheme="minorEastAsia"/>
          <w:b/>
          <w:bCs/>
          <w:sz w:val="21"/>
          <w:szCs w:val="21"/>
        </w:rPr>
        <w:t>促进产品出口，扩大国际市场份额</w:t>
      </w:r>
    </w:p>
    <w:p w14:paraId="2D169B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目前，铍青铜高端应用领域对进口高性能铍青铜材料仍有较高依赖，而国标铍青铜棒在实际应用中完全能够满足大多数工业应用场景，但对于需要承受极端温度变化或高应力环境的应用，进口C17200的可靠性优势仍更具吸引力。本标准修订后，国产铍青铜棒材的性能水平将与国际先进标准接轨，有助于消除国际贸易中的技术壁垒，促进国产高端铍青铜棒材的出口。预计标准实施后，有效降低高端制造领域对进口高性能铍青铜材料的依赖程度。</w:t>
      </w:r>
    </w:p>
    <w:p w14:paraId="1F8AC75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eastAsia="zh-CN"/>
        </w:rPr>
        <w:t>（</w:t>
      </w:r>
      <w:r>
        <w:rPr>
          <w:rFonts w:hint="eastAsia" w:asciiTheme="minorEastAsia" w:hAnsiTheme="minorEastAsia" w:cstheme="minorEastAsia"/>
          <w:b/>
          <w:bCs/>
          <w:sz w:val="21"/>
          <w:szCs w:val="21"/>
          <w:lang w:val="en-US" w:eastAsia="zh-CN"/>
        </w:rPr>
        <w:t>2</w:t>
      </w:r>
      <w:r>
        <w:rPr>
          <w:rFonts w:hint="eastAsia" w:asciiTheme="minorEastAsia" w:hAnsiTheme="minorEastAsia" w:cstheme="minorEastAsia"/>
          <w:b/>
          <w:bCs/>
          <w:sz w:val="21"/>
          <w:szCs w:val="21"/>
          <w:lang w:eastAsia="zh-CN"/>
        </w:rPr>
        <w:t>）</w:t>
      </w:r>
      <w:r>
        <w:rPr>
          <w:rFonts w:hint="eastAsia" w:asciiTheme="minorEastAsia" w:hAnsiTheme="minorEastAsia" w:eastAsiaTheme="minorEastAsia" w:cstheme="minorEastAsia"/>
          <w:b/>
          <w:bCs/>
          <w:sz w:val="21"/>
          <w:szCs w:val="21"/>
        </w:rPr>
        <w:t xml:space="preserve"> 间接经济效益</w:t>
      </w:r>
    </w:p>
    <w:p w14:paraId="115D730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val="en-US" w:eastAsia="zh-CN"/>
        </w:rPr>
        <w:t>a.</w:t>
      </w:r>
      <w:r>
        <w:rPr>
          <w:rFonts w:hint="eastAsia" w:asciiTheme="minorEastAsia" w:hAnsiTheme="minorEastAsia" w:eastAsiaTheme="minorEastAsia" w:cstheme="minorEastAsia"/>
          <w:b/>
          <w:bCs/>
          <w:sz w:val="21"/>
          <w:szCs w:val="21"/>
        </w:rPr>
        <w:t>降低高端制造业对进口材料的依赖，减少外汇支出</w:t>
      </w:r>
    </w:p>
    <w:p w14:paraId="06C5D1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目前，航空航天、军工、高端电子等领域对高性能铍青铜材料仍大量依赖进口，不仅采购成本高昂，还面临供应链安全和交货期不可控的问题。进口C17200等高性能铍钴铜棒因其卓越性能，在航空航天、军事装备及高端制造业中仍被优先选用。本标准实施后，国产铍青铜棒材的质量水平将显著提升，有望在更多高端应用领域实现对进口产品的等效替代，减少相关进口外汇支出。</w:t>
      </w:r>
    </w:p>
    <w:p w14:paraId="7032389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sz w:val="21"/>
          <w:szCs w:val="21"/>
          <w:lang w:val="en-US" w:eastAsia="zh-CN"/>
        </w:rPr>
        <w:t>b.</w:t>
      </w:r>
      <w:r>
        <w:rPr>
          <w:rFonts w:hint="eastAsia" w:asciiTheme="minorEastAsia" w:hAnsiTheme="minorEastAsia" w:eastAsiaTheme="minorEastAsia" w:cstheme="minorEastAsia"/>
          <w:b/>
          <w:bCs/>
          <w:sz w:val="21"/>
          <w:szCs w:val="21"/>
        </w:rPr>
        <w:t>提升全产业链附加值</w:t>
      </w:r>
    </w:p>
    <w:p w14:paraId="50C6A7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Theme="minorEastAsia" w:hAnsiTheme="minorEastAsia" w:eastAsiaTheme="minorEastAsia" w:cstheme="minorEastAsia"/>
          <w:sz w:val="21"/>
          <w:szCs w:val="21"/>
        </w:rPr>
        <w:t>本标准实施将带动铍青铜产业链从原材料供应到终端应用协同发展，推动相关企业在技术研发、工艺改进、质量检测等方面的投入，提升全产业链的技术水平和附加值。企业通过提升产品质量和技术水平，可将产品定位从中低端市场向高端应用市场延伸，实现产品差异化竞争，获取更高的利润空间。标准出台还将吸引更多资本和人才投入到该领域，进一步增强产业活力和创新能力。</w:t>
      </w:r>
    </w:p>
    <w:p w14:paraId="6EFD8EAA">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kern w:val="2"/>
          <w:sz w:val="21"/>
          <w:szCs w:val="21"/>
          <w:lang w:val="en-US" w:eastAsia="zh-CN" w:bidi="ar-SA"/>
        </w:rPr>
        <w:t>3、社会效益</w:t>
      </w:r>
    </w:p>
    <w:p w14:paraId="70D587D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cstheme="minorEastAsia"/>
          <w:b/>
          <w:bCs/>
          <w:lang w:val="en-US" w:eastAsia="zh-CN"/>
        </w:rPr>
        <w:t>a.</w:t>
      </w:r>
      <w:r>
        <w:rPr>
          <w:rFonts w:hint="eastAsia" w:asciiTheme="minorEastAsia" w:hAnsiTheme="minorEastAsia" w:eastAsiaTheme="minorEastAsia" w:cstheme="minorEastAsia"/>
          <w:b/>
          <w:bCs/>
        </w:rPr>
        <w:t>保障国防安全与关键领域供应链安全</w:t>
      </w:r>
    </w:p>
    <w:p w14:paraId="6309D0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铍青铜因具有高强度、高弹性、无磁性、弹性滞后小等优异性能，在国防军工领域具有不可替代的地位。铍青铜被广泛应用于洲际导弹制导弹簧、航空发动机推力调节弹簧、核反应堆安全弹簧等极端重载领域。高强高导高弹铜合金是载人航天与探月工程、卫星导航系统、核心电子器件等国家重点工程和重点领域必须和急需的关键材料，形成具有自主知识产权的高强度合金体系及其产业化制备综合技术是解决我国重大工程所需的重大需求的重要举措-。本标准修订对于保障我国国防安全和关键领域供应链安全具有重要的战略意义。</w:t>
      </w:r>
    </w:p>
    <w:p w14:paraId="1D8F20E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cstheme="minorEastAsia"/>
          <w:b/>
          <w:bCs/>
          <w:lang w:val="en-US" w:eastAsia="zh-CN"/>
        </w:rPr>
        <w:t>b.</w:t>
      </w:r>
      <w:r>
        <w:rPr>
          <w:rFonts w:hint="eastAsia" w:asciiTheme="minorEastAsia" w:hAnsiTheme="minorEastAsia" w:eastAsiaTheme="minorEastAsia" w:cstheme="minorEastAsia"/>
          <w:b/>
          <w:bCs/>
        </w:rPr>
        <w:t>促进产业高质量发展和就业</w:t>
      </w:r>
    </w:p>
    <w:p w14:paraId="12E580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本标准修订后，将促使企业引进先进的生产设备和检测仪器，提高生产自动化水平和质量控制能力，推动行业向高端化、精密化方向发展，淘汰落后产能，优化产业结构，带动相关岗位就业，促进区域经济增长。</w:t>
      </w:r>
    </w:p>
    <w:p w14:paraId="223F9E4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rPr>
      </w:pPr>
      <w:r>
        <w:rPr>
          <w:rFonts w:hint="eastAsia" w:asciiTheme="minorEastAsia" w:hAnsiTheme="minorEastAsia" w:cstheme="minorEastAsia"/>
          <w:b/>
          <w:bCs/>
          <w:lang w:val="en-US" w:eastAsia="zh-CN"/>
        </w:rPr>
        <w:t>c.</w:t>
      </w:r>
      <w:r>
        <w:rPr>
          <w:rFonts w:hint="eastAsia" w:asciiTheme="minorEastAsia" w:hAnsiTheme="minorEastAsia" w:eastAsiaTheme="minorEastAsia" w:cstheme="minorEastAsia"/>
          <w:b/>
          <w:bCs/>
        </w:rPr>
        <w:t>提升行业整体技术水平和技术话语权</w:t>
      </w:r>
    </w:p>
    <w:p w14:paraId="7FCF85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Theme="minorEastAsia" w:cstheme="minorBidi"/>
          <w:color w:val="auto"/>
          <w:kern w:val="2"/>
          <w:sz w:val="21"/>
          <w:szCs w:val="21"/>
          <w:lang w:val="en-US" w:eastAsia="zh-CN" w:bidi="ar-SA"/>
        </w:rPr>
      </w:pPr>
      <w:r>
        <w:rPr>
          <w:rFonts w:hint="eastAsia" w:asciiTheme="minorEastAsia" w:hAnsiTheme="minorEastAsia" w:eastAsiaTheme="minorEastAsia" w:cstheme="minorEastAsia"/>
        </w:rPr>
        <w:t>标准修订以ASTM B196/B196M等国际先进标准为重要参考，结合我国产业实践经验进行创新和优化。这有助于提升我国在铍青铜领域的技术话语权和国际影响力，为将来推动中国标准走向国际奠定基础。</w:t>
      </w:r>
    </w:p>
    <w:p w14:paraId="231D5D8F">
      <w:pPr>
        <w:bidi w:val="0"/>
        <w:spacing w:line="360" w:lineRule="auto"/>
        <w:ind w:firstLine="422" w:firstLineChars="200"/>
        <w:rPr>
          <w:rFonts w:hint="eastAsia" w:asciiTheme="minorEastAsia" w:hAnsiTheme="minorEastAsia" w:eastAsiaTheme="minorEastAsia" w:cstheme="minorEastAsia"/>
          <w:b/>
          <w:bCs/>
          <w:lang w:val="en-US" w:eastAsia="zh-CN"/>
        </w:rPr>
      </w:pPr>
      <w:r>
        <w:rPr>
          <w:rFonts w:hint="eastAsia" w:asciiTheme="minorEastAsia" w:hAnsiTheme="minorEastAsia" w:cstheme="minorEastAsia"/>
          <w:b/>
          <w:bCs/>
          <w:lang w:val="en-US" w:eastAsia="zh-CN"/>
        </w:rPr>
        <w:t>4、</w:t>
      </w:r>
      <w:r>
        <w:rPr>
          <w:rFonts w:hint="eastAsia" w:asciiTheme="minorEastAsia" w:hAnsiTheme="minorEastAsia" w:eastAsiaTheme="minorEastAsia" w:cstheme="minorEastAsia"/>
          <w:b/>
          <w:bCs/>
          <w:lang w:val="en-US" w:eastAsia="zh-CN"/>
        </w:rPr>
        <w:t>生态效益</w:t>
      </w:r>
    </w:p>
    <w:p w14:paraId="092FEA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eastAsia="zh-CN"/>
        </w:rPr>
        <w:t>目前</w:t>
      </w:r>
      <w:r>
        <w:rPr>
          <w:rFonts w:hint="eastAsia" w:asciiTheme="minorEastAsia" w:hAnsiTheme="minorEastAsia" w:eastAsiaTheme="minorEastAsia" w:cstheme="minorEastAsia"/>
          <w:sz w:val="21"/>
          <w:szCs w:val="21"/>
        </w:rPr>
        <w:t>，西北稀有金属材料研究院宁夏有限公司已成功研发出废铍料回收制备铍铜母合金的相关技术工艺，实现了铍废料及铍铜边角料的回收再利用，降低了生产成本-。铍铜使用过程中的新旧更替现象是必然的，如果随意弃置这些废旧金属，既造成了环境的污染，又浪费了有限的金属资源-。铍是一种重要的战略性金属资源，我国铍资源储量有限，提高资源利用效率具有重要的战略意义。通过本标准的实施，提高对材料质量的一致性和可靠性的要求，降低生产过程中的不良品率，即使产生废料也能够根据标准分类回收、高效处理，降低资源浪费。本标准还能够促进废料回收和再利用的标准化，加强产业链各环节对废料价值的认知和利用效率。</w:t>
      </w:r>
    </w:p>
    <w:p w14:paraId="0EEC9ED2">
      <w:pPr>
        <w:pStyle w:val="5"/>
        <w:numPr>
          <w:ilvl w:val="0"/>
          <w:numId w:val="0"/>
        </w:numPr>
        <w:spacing w:line="360" w:lineRule="auto"/>
        <w:rPr>
          <w:rFonts w:hint="default" w:ascii="黑体" w:hAnsi="宋体" w:eastAsia="黑体" w:cs="宋体"/>
          <w:bCs/>
          <w:color w:val="auto"/>
          <w:sz w:val="21"/>
          <w:szCs w:val="21"/>
          <w:highlight w:val="none"/>
          <w:lang w:val="en-US"/>
        </w:rPr>
      </w:pPr>
      <w:r>
        <w:rPr>
          <w:rFonts w:hint="eastAsia" w:ascii="黑体" w:hAnsi="宋体" w:eastAsia="黑体" w:cs="宋体"/>
          <w:bCs/>
          <w:color w:val="auto"/>
          <w:sz w:val="21"/>
          <w:szCs w:val="21"/>
          <w:highlight w:val="none"/>
          <w:lang w:val="en-US" w:eastAsia="zh-CN"/>
        </w:rPr>
        <w:t>四、与国际标准和国外先进标准技术内容的对比</w:t>
      </w:r>
    </w:p>
    <w:p w14:paraId="135880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cstheme="minorEastAsia"/>
          <w:sz w:val="21"/>
          <w:szCs w:val="21"/>
          <w:lang w:val="en-US" w:eastAsia="zh-CN"/>
        </w:rPr>
      </w:pPr>
      <w:r>
        <w:rPr>
          <w:rFonts w:hint="eastAsia" w:asciiTheme="minorEastAsia" w:hAnsiTheme="minorEastAsia" w:eastAsiaTheme="minorEastAsia" w:cstheme="minorEastAsia"/>
          <w:sz w:val="21"/>
          <w:szCs w:val="21"/>
        </w:rPr>
        <w:t>目前国际上与铍青铜棒材相关的主要标准及国内标准情况如下表所示，涵盖美国ASTM体系、日本JIS体系、欧盟EN体系和中国GB/YS体系。</w:t>
      </w:r>
      <w:r>
        <w:rPr>
          <w:rFonts w:hint="eastAsia" w:asciiTheme="minorEastAsia" w:hAnsiTheme="minorEastAsia" w:cstheme="minorEastAsia"/>
          <w:sz w:val="21"/>
          <w:szCs w:val="21"/>
          <w:lang w:val="en-US" w:eastAsia="zh-CN"/>
        </w:rPr>
        <w:t>因ASTM体系中的铍青铜棒材标准</w:t>
      </w:r>
    </w:p>
    <w:p w14:paraId="07846B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是国际上最具影响力的标准，技术指标处于世界先进水平，修改后的标准，主要对标ASTM B196/B196M-24，对标结果见表12。</w:t>
      </w:r>
    </w:p>
    <w:p w14:paraId="2894B3DC">
      <w:pPr>
        <w:pStyle w:val="5"/>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表12  与</w:t>
      </w:r>
      <w:r>
        <w:rPr>
          <w:rFonts w:hint="eastAsia" w:ascii="黑体" w:hAnsi="黑体" w:eastAsia="黑体" w:cs="黑体"/>
          <w:b w:val="0"/>
          <w:bCs w:val="0"/>
          <w:sz w:val="21"/>
          <w:szCs w:val="21"/>
          <w:lang w:val="en-US" w:eastAsia="zh-CN"/>
        </w:rPr>
        <w:t>ASTM B196/B196M-24对标</w:t>
      </w:r>
    </w:p>
    <w:tbl>
      <w:tblPr>
        <w:tblStyle w:val="11"/>
        <w:tblW w:w="482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0"/>
        <w:gridCol w:w="2374"/>
        <w:gridCol w:w="2607"/>
        <w:gridCol w:w="2128"/>
      </w:tblGrid>
      <w:tr w14:paraId="7FBC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4"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7A198">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对比项目</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97323">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YS/T 334修订后</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84FE3">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ASTM B196/B196M-24</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E3C3">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差异与协调性</w:t>
            </w:r>
          </w:p>
        </w:tc>
      </w:tr>
      <w:tr w14:paraId="2E28B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9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适用产品范围</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88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航天、航空、电子、石油等行业使用的铍青铜圆形棒材</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736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铜合金UNS C17000、C17200、C17300直杆和棒材（包括圆形、六角形、八角形等）</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EED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产品形状种类不同</w:t>
            </w:r>
          </w:p>
        </w:tc>
      </w:tr>
      <w:tr w14:paraId="72184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F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牌号体系</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B79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QBe系5个牌号 + 低铍系列</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D1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UNS C17000/C17200/C17300</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35D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牌号命名规则不同，成分范围基本对应</w:t>
            </w:r>
          </w:p>
        </w:tc>
      </w:tr>
      <w:tr w14:paraId="0371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4E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化学成分</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00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引用GB/T 5231—2022规定</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ED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精确化学要求表</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8B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体系协调，微量杂质控制细节有差异</w:t>
            </w:r>
          </w:p>
        </w:tc>
      </w:tr>
      <w:tr w14:paraId="55C84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2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力学性能</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CC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优化部分指标，总体与ASTM相当</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CEF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整体指标相近</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91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高铍牌号指标基本对齐</w:t>
            </w:r>
          </w:p>
        </w:tc>
      </w:tr>
      <w:tr w14:paraId="65E69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1B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状态代号</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54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引用GB/T 29094-2012规定</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3C1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B601统一分类</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2C3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分类命名不同，技术要求协调</w:t>
            </w:r>
          </w:p>
        </w:tc>
      </w:tr>
      <w:tr w14:paraId="15D9B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696" w:type="pct"/>
            <w:tcBorders>
              <w:top w:val="single" w:color="000000" w:sz="4" w:space="0"/>
              <w:left w:val="single" w:color="000000" w:sz="4" w:space="0"/>
              <w:bottom w:val="single" w:color="auto" w:sz="4" w:space="0"/>
              <w:right w:val="single" w:color="000000" w:sz="4" w:space="0"/>
            </w:tcBorders>
            <w:shd w:val="clear" w:color="auto" w:fill="auto"/>
            <w:vAlign w:val="center"/>
          </w:tcPr>
          <w:p w14:paraId="22DBE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尺寸公差</w:t>
            </w:r>
          </w:p>
        </w:tc>
        <w:tc>
          <w:tcPr>
            <w:tcW w:w="1437" w:type="pct"/>
            <w:tcBorders>
              <w:top w:val="single" w:color="000000" w:sz="4" w:space="0"/>
              <w:left w:val="single" w:color="000000" w:sz="4" w:space="0"/>
              <w:bottom w:val="single" w:color="auto" w:sz="4" w:space="0"/>
              <w:right w:val="single" w:color="000000" w:sz="4" w:space="0"/>
            </w:tcBorders>
            <w:shd w:val="clear" w:color="auto" w:fill="auto"/>
            <w:vAlign w:val="center"/>
          </w:tcPr>
          <w:p w14:paraId="12BA9F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直径、长度、直度、圆度、切斜度</w:t>
            </w:r>
          </w:p>
        </w:tc>
        <w:tc>
          <w:tcPr>
            <w:tcW w:w="1578" w:type="pct"/>
            <w:tcBorders>
              <w:top w:val="single" w:color="000000" w:sz="4" w:space="0"/>
              <w:left w:val="single" w:color="000000" w:sz="4" w:space="0"/>
              <w:bottom w:val="single" w:color="auto" w:sz="4" w:space="0"/>
              <w:right w:val="single" w:color="000000" w:sz="4" w:space="0"/>
            </w:tcBorders>
            <w:shd w:val="clear" w:color="auto" w:fill="auto"/>
            <w:vAlign w:val="center"/>
          </w:tcPr>
          <w:p w14:paraId="2A1726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引用B249/B249M</w:t>
            </w:r>
          </w:p>
        </w:tc>
        <w:tc>
          <w:tcPr>
            <w:tcW w:w="1287" w:type="pct"/>
            <w:tcBorders>
              <w:top w:val="single" w:color="000000" w:sz="4" w:space="0"/>
              <w:left w:val="single" w:color="000000" w:sz="4" w:space="0"/>
              <w:bottom w:val="single" w:color="auto" w:sz="4" w:space="0"/>
              <w:right w:val="single" w:color="000000" w:sz="4" w:space="0"/>
            </w:tcBorders>
            <w:shd w:val="clear" w:color="auto" w:fill="auto"/>
            <w:vAlign w:val="center"/>
          </w:tcPr>
          <w:p w14:paraId="146139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公差范围基本等效</w:t>
            </w:r>
          </w:p>
        </w:tc>
      </w:tr>
      <w:tr w14:paraId="37ACE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7" w:hRule="atLeast"/>
          <w:jc w:val="center"/>
        </w:trPr>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14:paraId="1E4CD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检测方法</w:t>
            </w:r>
          </w:p>
        </w:tc>
        <w:tc>
          <w:tcPr>
            <w:tcW w:w="1437" w:type="pct"/>
            <w:tcBorders>
              <w:top w:val="single" w:color="auto" w:sz="4" w:space="0"/>
              <w:left w:val="single" w:color="auto" w:sz="4" w:space="0"/>
              <w:bottom w:val="single" w:color="auto" w:sz="4" w:space="0"/>
              <w:right w:val="single" w:color="auto" w:sz="4" w:space="0"/>
            </w:tcBorders>
            <w:shd w:val="clear" w:color="auto" w:fill="auto"/>
            <w:vAlign w:val="center"/>
          </w:tcPr>
          <w:p w14:paraId="2C9460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时效热处理前做拉伸试验，时效热处理后主要做硬度试验（拉伸试验由用户要求），修约值比较法判定</w:t>
            </w:r>
          </w:p>
        </w:tc>
        <w:tc>
          <w:tcPr>
            <w:tcW w:w="1578" w:type="pct"/>
            <w:tcBorders>
              <w:top w:val="single" w:color="auto" w:sz="4" w:space="0"/>
              <w:left w:val="single" w:color="auto" w:sz="4" w:space="0"/>
              <w:bottom w:val="single" w:color="auto" w:sz="4" w:space="0"/>
              <w:right w:val="single" w:color="auto" w:sz="4" w:space="0"/>
            </w:tcBorders>
            <w:shd w:val="clear" w:color="auto" w:fill="auto"/>
            <w:vAlign w:val="center"/>
          </w:tcPr>
          <w:p w14:paraId="468A3E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标称直径≤10mm或截面积≤100mm²做拉伸试验，其余做硬度试验，E29修约</w:t>
            </w:r>
          </w:p>
        </w:tc>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14:paraId="36624F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方法逻辑不同，判定思路协调</w:t>
            </w:r>
          </w:p>
        </w:tc>
      </w:tr>
      <w:tr w14:paraId="7D09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696" w:type="pct"/>
            <w:tcBorders>
              <w:top w:val="single" w:color="auto" w:sz="4" w:space="0"/>
              <w:left w:val="single" w:color="000000" w:sz="4" w:space="0"/>
              <w:bottom w:val="single" w:color="000000" w:sz="4" w:space="0"/>
              <w:right w:val="single" w:color="000000" w:sz="4" w:space="0"/>
            </w:tcBorders>
            <w:shd w:val="clear" w:color="auto" w:fill="auto"/>
            <w:vAlign w:val="center"/>
          </w:tcPr>
          <w:p w14:paraId="10B85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热处理参数</w:t>
            </w:r>
          </w:p>
        </w:tc>
        <w:tc>
          <w:tcPr>
            <w:tcW w:w="1437" w:type="pct"/>
            <w:tcBorders>
              <w:top w:val="single" w:color="auto" w:sz="4" w:space="0"/>
              <w:left w:val="single" w:color="000000" w:sz="4" w:space="0"/>
              <w:bottom w:val="single" w:color="000000" w:sz="4" w:space="0"/>
              <w:right w:val="single" w:color="000000" w:sz="4" w:space="0"/>
            </w:tcBorders>
            <w:shd w:val="clear" w:color="auto" w:fill="auto"/>
            <w:vAlign w:val="center"/>
          </w:tcPr>
          <w:p w14:paraId="7754BB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附录A</w:t>
            </w:r>
          </w:p>
        </w:tc>
        <w:tc>
          <w:tcPr>
            <w:tcW w:w="1578" w:type="pct"/>
            <w:tcBorders>
              <w:top w:val="single" w:color="auto" w:sz="4" w:space="0"/>
              <w:left w:val="single" w:color="000000" w:sz="4" w:space="0"/>
              <w:bottom w:val="single" w:color="000000" w:sz="4" w:space="0"/>
              <w:right w:val="single" w:color="000000" w:sz="4" w:space="0"/>
            </w:tcBorders>
            <w:shd w:val="clear" w:color="auto" w:fill="auto"/>
            <w:vAlign w:val="center"/>
          </w:tcPr>
          <w:p w14:paraId="294789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表4:316—357℃/2—3h</w:t>
            </w:r>
          </w:p>
        </w:tc>
        <w:tc>
          <w:tcPr>
            <w:tcW w:w="1287" w:type="pct"/>
            <w:tcBorders>
              <w:top w:val="single" w:color="auto" w:sz="4" w:space="0"/>
              <w:left w:val="single" w:color="000000" w:sz="4" w:space="0"/>
              <w:bottom w:val="single" w:color="000000" w:sz="4" w:space="0"/>
              <w:right w:val="single" w:color="000000" w:sz="4" w:space="0"/>
            </w:tcBorders>
            <w:shd w:val="clear" w:color="auto" w:fill="auto"/>
            <w:vAlign w:val="center"/>
          </w:tcPr>
          <w:p w14:paraId="722330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温度时效条件灵活性更大</w:t>
            </w:r>
          </w:p>
        </w:tc>
      </w:tr>
      <w:tr w14:paraId="0FA2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3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安全警示</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2CC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已增加</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114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标准不直接包含</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99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国内合规性要求更强</w:t>
            </w:r>
          </w:p>
        </w:tc>
      </w:tr>
      <w:tr w14:paraId="681CD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B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平均晶粒尺寸控制</w:t>
            </w:r>
          </w:p>
        </w:tc>
        <w:tc>
          <w:tcPr>
            <w:tcW w:w="1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E9E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新增要求：直径≤20mm棒材0.015-0.055mm；&lt;20mm棒材0.015-0.075mm；明确检测方法（YS/T 347-2010）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FAA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建议要求提供晶粒度检测报告；军工项目需符合B249/B249M补充条款；定量合格范围未规定</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769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首次将平均晶粒尺寸作为独立条款纳入技术要求并明确了合格范围</w:t>
            </w:r>
          </w:p>
        </w:tc>
      </w:tr>
    </w:tbl>
    <w:p w14:paraId="390176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asciiTheme="minorEastAsia" w:hAnsiTheme="minorEastAsia" w:eastAsiaTheme="minorEastAsia" w:cstheme="minorEastAsia"/>
          <w:sz w:val="21"/>
          <w:szCs w:val="21"/>
        </w:rPr>
        <w:t>通过本次修订，YS/T 334在总体技术框架上与ASTM B196/B196M-24国际标准保持了良好的协调一致性，在牌号体系、化学成分范围和力学性能指标等核心领域实现了与国际先进标准的基本对等</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lang w:eastAsia="zh-CN"/>
        </w:rPr>
        <w:t>并把</w:t>
      </w:r>
      <w:r>
        <w:rPr>
          <w:rFonts w:hint="eastAsia" w:asciiTheme="minorEastAsia" w:hAnsiTheme="minorEastAsia" w:eastAsiaTheme="minorEastAsia" w:cstheme="minorEastAsia"/>
          <w:sz w:val="21"/>
          <w:szCs w:val="21"/>
          <w:lang w:val="en-US" w:eastAsia="zh-CN"/>
        </w:rPr>
        <w:t>平均晶粒尺寸作为独立条款纳入技术要求并明确了合格范围</w:t>
      </w:r>
      <w:r>
        <w:rPr>
          <w:rFonts w:hint="eastAsia" w:asciiTheme="minorEastAsia" w:hAnsiTheme="minorEastAsia" w:eastAsiaTheme="minorEastAsia" w:cstheme="minorEastAsia"/>
          <w:sz w:val="21"/>
          <w:szCs w:val="21"/>
        </w:rPr>
        <w:t>。修订后的标准将更有力地支撑国内铍铜合金加工企业的对外贸易和产业链国际化运行，减少因标准差异带来的技术性贸易壁垒，提升中国铍铜棒材产品的国际竞争力</w:t>
      </w:r>
      <w:r>
        <w:rPr>
          <w:rFonts w:hint="eastAsia" w:asciiTheme="minorEastAsia" w:hAnsiTheme="minorEastAsia" w:cstheme="minorEastAsia"/>
          <w:sz w:val="21"/>
          <w:szCs w:val="21"/>
          <w:lang w:eastAsia="zh-CN"/>
        </w:rPr>
        <w:t>。</w:t>
      </w:r>
    </w:p>
    <w:p w14:paraId="2E4154B3">
      <w:pPr>
        <w:keepNext w:val="0"/>
        <w:keepLines w:val="0"/>
        <w:pageBreakBefore w:val="0"/>
        <w:numPr>
          <w:ilvl w:val="0"/>
          <w:numId w:val="7"/>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lang w:val="en-US" w:eastAsia="zh-CN"/>
        </w:rPr>
        <w:t>以国际标准为基础的起草情况以及是否合规采用国际国外标准、未采用国际标准的原因</w:t>
      </w:r>
    </w:p>
    <w:p w14:paraId="718507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编制工作组对国际国外先进标准的技术内容进行了系统研究，并结合我国铍青铜圆形棒材的生产技术水平和用户需求分析，确定了本标准修订的技术指标体系。本标准修订与ASTM B196/B196M-24国际标准的技术内容大体相当，总体技术水平达到国际先进</w:t>
      </w:r>
      <w:r>
        <w:rPr>
          <w:rFonts w:hint="eastAsia" w:asciiTheme="minorEastAsia" w:hAnsiTheme="minorEastAsia" w:cstheme="minorEastAsia"/>
          <w:lang w:eastAsia="zh-CN"/>
        </w:rPr>
        <w:t>水平</w:t>
      </w:r>
      <w:r>
        <w:rPr>
          <w:rFonts w:hint="eastAsia" w:asciiTheme="minorEastAsia" w:hAnsiTheme="minorEastAsia" w:eastAsiaTheme="minorEastAsia" w:cstheme="minorEastAsia"/>
        </w:rPr>
        <w:t>。</w:t>
      </w:r>
    </w:p>
    <w:p w14:paraId="0E5D67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黑体" w:hAnsi="宋体" w:eastAsia="黑体" w:cs="宋体"/>
          <w:bCs/>
          <w:color w:val="auto"/>
          <w:sz w:val="21"/>
          <w:szCs w:val="21"/>
          <w:lang w:val="en-US" w:eastAsia="zh-CN"/>
        </w:rPr>
      </w:pPr>
      <w:r>
        <w:rPr>
          <w:rFonts w:hint="eastAsia"/>
        </w:rPr>
        <w:t>未采用国际标准的原因</w:t>
      </w:r>
      <w:r>
        <w:rPr>
          <w:rFonts w:hint="eastAsia"/>
          <w:lang w:eastAsia="zh-CN"/>
        </w:rPr>
        <w:t>：一是</w:t>
      </w:r>
      <w:r>
        <w:rPr>
          <w:rFonts w:hint="eastAsia"/>
        </w:rPr>
        <w:t>本标准作为有色金属行业推荐性标准，无法也不宜采用国际标准</w:t>
      </w:r>
      <w:r>
        <w:rPr>
          <w:rFonts w:hint="eastAsia"/>
          <w:lang w:eastAsia="zh-CN"/>
        </w:rPr>
        <w:t>。二是</w:t>
      </w:r>
      <w:r>
        <w:rPr>
          <w:rFonts w:hint="eastAsia"/>
        </w:rPr>
        <w:t>我国铍青铜产业经过多年的自主创新和技术积累，已形成具有自身特色的技术体系和产品标准</w:t>
      </w:r>
      <w:r>
        <w:rPr>
          <w:rFonts w:hint="eastAsia"/>
          <w:lang w:eastAsia="zh-CN"/>
        </w:rPr>
        <w:t>，</w:t>
      </w:r>
      <w:r>
        <w:rPr>
          <w:rFonts w:hint="eastAsia"/>
        </w:rPr>
        <w:t>在熔炼、铸造、加工、检测等方面已具备完整的自有核心技术，完全有能力制定符合我国产业实际的高水平自主标准。</w:t>
      </w:r>
      <w:r>
        <w:rPr>
          <w:rFonts w:hint="eastAsia"/>
          <w:lang w:eastAsia="zh-CN"/>
        </w:rPr>
        <w:t>三是</w:t>
      </w:r>
      <w:r>
        <w:rPr>
          <w:rFonts w:hint="eastAsia"/>
        </w:rPr>
        <w:t>本标准的技术内容主要是基于国内企业的多年生产实践和用户的实际需求确定，在技术路线上具有自主性；目前我国铍青铜行业整体工艺水平和检测体系仍有提升空间，ASTM等相关标准更新周期和版权条款变动频繁，自主灵活的标准框架更有利于后续标准的滚动制修订和产业技术升级。</w:t>
      </w:r>
    </w:p>
    <w:p w14:paraId="7C218311">
      <w:pPr>
        <w:keepNext w:val="0"/>
        <w:keepLines w:val="0"/>
        <w:pageBreakBefore w:val="0"/>
        <w:numPr>
          <w:ilvl w:val="0"/>
          <w:numId w:val="7"/>
        </w:numPr>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35EE17DA">
      <w:pPr>
        <w:keepNext w:val="0"/>
        <w:keepLines w:val="0"/>
        <w:pageBreakBefore w:val="0"/>
        <w:kinsoku/>
        <w:wordWrap/>
        <w:overflowPunct/>
        <w:topLinePunct w:val="0"/>
        <w:bidi w:val="0"/>
        <w:snapToGrid/>
        <w:spacing w:line="360" w:lineRule="auto"/>
        <w:ind w:firstLine="420" w:firstLineChars="200"/>
        <w:textAlignment w:val="auto"/>
        <w:rPr>
          <w:rFonts w:ascii="宋体" w:hAnsi="宋体"/>
          <w:color w:val="auto"/>
          <w:sz w:val="21"/>
          <w:szCs w:val="21"/>
        </w:rPr>
      </w:pPr>
      <w:r>
        <w:rPr>
          <w:rFonts w:hint="eastAsia" w:ascii="宋体" w:hAnsi="宋体"/>
          <w:color w:val="auto"/>
          <w:sz w:val="21"/>
          <w:szCs w:val="21"/>
        </w:rPr>
        <w:t>本标准符合现行法律、法规的要求，并与其他同类国家标准、国家J用标准、行业标准无冲突、重叠和不协调之处。</w:t>
      </w:r>
    </w:p>
    <w:p w14:paraId="13D39BA9">
      <w:pPr>
        <w:keepNext w:val="0"/>
        <w:keepLines w:val="0"/>
        <w:pageBreakBefore w:val="0"/>
        <w:numPr>
          <w:ilvl w:val="0"/>
          <w:numId w:val="7"/>
        </w:numPr>
        <w:kinsoku/>
        <w:wordWrap/>
        <w:overflowPunct/>
        <w:topLinePunct w:val="0"/>
        <w:bidi w:val="0"/>
        <w:snapToGrid/>
        <w:spacing w:beforeLines="50" w:afterLines="50" w:line="360" w:lineRule="auto"/>
        <w:textAlignment w:val="auto"/>
        <w:rPr>
          <w:rFonts w:hint="eastAsia" w:ascii="黑体" w:hAnsi="宋体" w:eastAsia="黑体" w:cs="宋体"/>
          <w:bCs/>
          <w:color w:val="auto"/>
          <w:sz w:val="21"/>
          <w:szCs w:val="21"/>
          <w:lang w:val="en-US" w:eastAsia="zh-CN"/>
        </w:rPr>
      </w:pPr>
      <w:bookmarkStart w:id="2" w:name="_Toc32100"/>
      <w:r>
        <w:rPr>
          <w:rFonts w:hint="eastAsia" w:ascii="黑体" w:hAnsi="宋体" w:eastAsia="黑体" w:cs="宋体"/>
          <w:bCs/>
          <w:color w:val="auto"/>
          <w:sz w:val="21"/>
          <w:szCs w:val="21"/>
          <w:lang w:val="en-US" w:eastAsia="zh-CN"/>
        </w:rPr>
        <w:t>重大分歧意见的处理经过和依据</w:t>
      </w:r>
    </w:p>
    <w:p w14:paraId="00638F75">
      <w:pPr>
        <w:keepNext w:val="0"/>
        <w:keepLines w:val="0"/>
        <w:pageBreakBefore w:val="0"/>
        <w:kinsoku/>
        <w:wordWrap/>
        <w:overflowPunct/>
        <w:topLinePunct w:val="0"/>
        <w:bidi w:val="0"/>
        <w:snapToGrid/>
        <w:spacing w:line="360" w:lineRule="auto"/>
        <w:ind w:firstLine="420" w:firstLineChars="200"/>
        <w:textAlignment w:val="auto"/>
        <w:rPr>
          <w:rFonts w:hint="eastAsia"/>
          <w:lang w:val="en-US" w:eastAsia="zh-CN"/>
        </w:rPr>
      </w:pPr>
      <w:r>
        <w:rPr>
          <w:rFonts w:hint="eastAsia" w:ascii="宋体" w:hAnsi="宋体"/>
          <w:color w:val="auto"/>
          <w:sz w:val="21"/>
          <w:szCs w:val="21"/>
        </w:rPr>
        <w:t>暂无。</w:t>
      </w:r>
    </w:p>
    <w:p w14:paraId="4F9038CA">
      <w:pPr>
        <w:keepNext w:val="0"/>
        <w:keepLines w:val="0"/>
        <w:pageBreakBefore w:val="0"/>
        <w:numPr>
          <w:ilvl w:val="0"/>
          <w:numId w:val="0"/>
        </w:numPr>
        <w:kinsoku/>
        <w:wordWrap/>
        <w:overflowPunct/>
        <w:topLinePunct w:val="0"/>
        <w:bidi w:val="0"/>
        <w:snapToGrid/>
        <w:spacing w:beforeLines="50" w:afterLines="50" w:line="360" w:lineRule="auto"/>
        <w:ind w:leftChars="0"/>
        <w:textAlignment w:val="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八、涉及专利的有关说明</w:t>
      </w:r>
    </w:p>
    <w:p w14:paraId="2EA1C8BE">
      <w:pPr>
        <w:pStyle w:val="5"/>
        <w:spacing w:line="360" w:lineRule="auto"/>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本标准不涉及专利问题。</w:t>
      </w:r>
    </w:p>
    <w:bookmarkEnd w:id="2"/>
    <w:p w14:paraId="4BDE40A4">
      <w:pPr>
        <w:keepNext w:val="0"/>
        <w:keepLines w:val="0"/>
        <w:pageBreakBefore w:val="0"/>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bookmarkStart w:id="3" w:name="_Toc15989"/>
      <w:r>
        <w:rPr>
          <w:rFonts w:hint="eastAsia" w:ascii="黑体" w:hAnsi="宋体" w:eastAsia="黑体" w:cs="宋体"/>
          <w:bCs/>
          <w:color w:val="auto"/>
          <w:sz w:val="21"/>
          <w:szCs w:val="21"/>
          <w:lang w:val="en-US" w:eastAsia="zh-CN"/>
        </w:rPr>
        <w:t>九</w:t>
      </w:r>
      <w:r>
        <w:rPr>
          <w:rFonts w:hint="eastAsia" w:ascii="黑体" w:hAnsi="宋体" w:eastAsia="黑体" w:cs="宋体"/>
          <w:bCs/>
          <w:color w:val="auto"/>
          <w:sz w:val="21"/>
          <w:szCs w:val="21"/>
        </w:rPr>
        <w:t>、</w:t>
      </w:r>
      <w:r>
        <w:rPr>
          <w:rFonts w:hint="eastAsia" w:ascii="黑体" w:hAnsi="宋体" w:eastAsia="黑体" w:cs="宋体"/>
          <w:bCs/>
          <w:color w:val="auto"/>
          <w:sz w:val="21"/>
          <w:szCs w:val="21"/>
          <w:lang w:val="en-US" w:eastAsia="zh-CN"/>
        </w:rPr>
        <w:t>实施国家标准的要求以及组织措施、技术措施、过渡期和实施日期的建议等措施建议</w:t>
      </w:r>
      <w:bookmarkEnd w:id="3"/>
    </w:p>
    <w:p w14:paraId="2A64F3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本标准建议作为推荐性行业标准发布。</w:t>
      </w:r>
      <w:bookmarkStart w:id="4" w:name="_Toc15588"/>
      <w:r>
        <w:rPr>
          <w:rFonts w:hint="eastAsia" w:asciiTheme="minorEastAsia" w:hAnsiTheme="minorEastAsia" w:eastAsiaTheme="minorEastAsia" w:cstheme="minorEastAsia"/>
        </w:rPr>
        <w:t>原因如下：</w:t>
      </w:r>
    </w:p>
    <w:p w14:paraId="74A729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首先，铍青铜圆形棒材作为高端工业基础材料，主要用于航天航空、电子、石油等行业领域，虽然对关键装备质量有重要影响，但产品本身不属于国家强制性认证产品范畴，制定推荐性标准可以为生产企业提供灵活的技术选择空间，同时保障产品基本质量水平。</w:t>
      </w:r>
    </w:p>
    <w:p w14:paraId="21D727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asciiTheme="minorEastAsia" w:hAnsiTheme="minorEastAsia" w:eastAsiaTheme="minorEastAsia" w:cstheme="minorEastAsia"/>
        </w:rPr>
        <w:t>其次，行业标准与国家标准在调整和修订方面相比具有更强的时效性，《采用国际标准管理办法》（2025年版）及有色金属行业标准的相关政策环境鼓励制修订适应性强、技术内容时效性高的行业标准。推荐性行业标准的性质便于根据产业技术发展最新动态适时修订或调整，使其在标准体系的整体框架中和支持行业转型升级的实践中有较强的适应性。</w:t>
      </w:r>
      <w:bookmarkEnd w:id="4"/>
    </w:p>
    <w:p w14:paraId="56A6CC36">
      <w:pPr>
        <w:bidi w:val="0"/>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修订标准：</w:t>
      </w:r>
      <w:r>
        <w:rPr>
          <w:rFonts w:hint="eastAsia" w:asciiTheme="minorEastAsia" w:hAnsiTheme="minorEastAsia" w:eastAsiaTheme="minorEastAsia" w:cstheme="minorEastAsia"/>
        </w:rPr>
        <w:t>本标准发布实施之日起，代替YS/T 334-2009《铍青铜圆形棒材》</w:t>
      </w:r>
    </w:p>
    <w:p w14:paraId="212F9098">
      <w:pPr>
        <w:keepNext w:val="0"/>
        <w:keepLines w:val="0"/>
        <w:pageBreakBefore w:val="0"/>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bookmarkStart w:id="5" w:name="_Toc22451"/>
      <w:r>
        <w:rPr>
          <w:rFonts w:hint="eastAsia" w:ascii="黑体" w:hAnsi="宋体" w:eastAsia="黑体" w:cs="宋体"/>
          <w:bCs/>
          <w:color w:val="auto"/>
          <w:sz w:val="21"/>
          <w:szCs w:val="21"/>
        </w:rPr>
        <w:t>十、其他</w:t>
      </w:r>
      <w:r>
        <w:rPr>
          <w:rFonts w:hint="eastAsia" w:ascii="黑体" w:hAnsi="宋体" w:eastAsia="黑体" w:cs="宋体"/>
          <w:bCs/>
          <w:color w:val="auto"/>
          <w:sz w:val="21"/>
          <w:szCs w:val="21"/>
          <w:lang w:val="en-US" w:eastAsia="zh-CN"/>
        </w:rPr>
        <w:t>应当说明的事项</w:t>
      </w:r>
      <w:r>
        <w:rPr>
          <w:rFonts w:hint="eastAsia" w:ascii="黑体" w:hAnsi="宋体" w:eastAsia="黑体" w:cs="宋体"/>
          <w:bCs/>
          <w:color w:val="auto"/>
          <w:sz w:val="21"/>
          <w:szCs w:val="21"/>
        </w:rPr>
        <w:t>。</w:t>
      </w:r>
      <w:bookmarkEnd w:id="5"/>
    </w:p>
    <w:p w14:paraId="61377876">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cs="宋体" w:eastAsiaTheme="minorEastAsia"/>
          <w:color w:val="auto"/>
          <w:sz w:val="21"/>
          <w:szCs w:val="21"/>
          <w:lang w:eastAsia="zh-CN"/>
        </w:rPr>
      </w:pPr>
      <w:r>
        <w:rPr>
          <w:rFonts w:hint="eastAsia" w:ascii="宋体" w:hAnsi="宋体" w:cs="宋体"/>
          <w:color w:val="auto"/>
          <w:sz w:val="21"/>
          <w:szCs w:val="21"/>
        </w:rPr>
        <w:t>无。</w:t>
      </w:r>
    </w:p>
    <w:p w14:paraId="0D85F4E5">
      <w:pPr>
        <w:keepNext w:val="0"/>
        <w:keepLines w:val="0"/>
        <w:pageBreakBefore w:val="0"/>
        <w:kinsoku/>
        <w:wordWrap/>
        <w:overflowPunct/>
        <w:topLinePunct w:val="0"/>
        <w:bidi w:val="0"/>
        <w:snapToGrid/>
        <w:spacing w:line="440" w:lineRule="exact"/>
        <w:jc w:val="right"/>
        <w:textAlignment w:val="auto"/>
        <w:rPr>
          <w:rFonts w:hint="default" w:ascii="宋体" w:hAnsi="宋体" w:eastAsia="宋体"/>
          <w:color w:val="auto"/>
          <w:sz w:val="21"/>
          <w:szCs w:val="21"/>
          <w:lang w:val="en-US" w:eastAsia="zh-CN"/>
        </w:rPr>
      </w:pPr>
      <w:r>
        <w:rPr>
          <w:rFonts w:hint="eastAsia"/>
          <w:color w:val="auto"/>
          <w:sz w:val="21"/>
          <w:szCs w:val="21"/>
        </w:rPr>
        <w:t xml:space="preserve">                             《</w:t>
      </w:r>
      <w:r>
        <w:rPr>
          <w:rFonts w:hint="eastAsia" w:ascii="宋体" w:hAnsi="宋体" w:eastAsia="宋体"/>
          <w:color w:val="auto"/>
          <w:sz w:val="21"/>
          <w:szCs w:val="21"/>
          <w:lang w:val="en-US" w:eastAsia="zh-CN"/>
        </w:rPr>
        <w:t>铍青铜圆形棒材</w:t>
      </w:r>
      <w:r>
        <w:rPr>
          <w:rFonts w:hint="eastAsia"/>
          <w:color w:val="auto"/>
          <w:sz w:val="21"/>
          <w:szCs w:val="21"/>
        </w:rPr>
        <w:t>》</w:t>
      </w:r>
      <w:r>
        <w:rPr>
          <w:rFonts w:hint="eastAsia" w:ascii="宋体" w:hAnsi="宋体" w:eastAsia="宋体"/>
          <w:color w:val="auto"/>
          <w:sz w:val="21"/>
          <w:szCs w:val="21"/>
        </w:rPr>
        <w:t xml:space="preserve">编制组                </w:t>
      </w:r>
    </w:p>
    <w:sectPr>
      <w:pgSz w:w="11906" w:h="16838"/>
      <w:pgMar w:top="1440" w:right="1780" w:bottom="1440" w:left="178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韩知为" w:date="2025-05-07T09:39:23Z" w:initials="">
    <w:p w14:paraId="0A9D142B">
      <w:pPr>
        <w:pStyle w:val="4"/>
        <w:rPr>
          <w:rFonts w:hint="default" w:eastAsia="宋体"/>
          <w:lang w:val="en-US" w:eastAsia="zh-CN"/>
        </w:rPr>
      </w:pPr>
      <w:r>
        <w:rPr>
          <w:rFonts w:hint="eastAsia"/>
          <w:lang w:val="en-US" w:eastAsia="zh-CN"/>
        </w:rPr>
        <w:t>对应可修改为草案、讨论稿、预审稿、送审稿。</w:t>
      </w:r>
    </w:p>
  </w:comment>
  <w:comment w:id="1" w:author="韩知为" w:date="2025-05-07T09:39:51Z" w:initials="">
    <w:p w14:paraId="6AA54DD8">
      <w:pPr>
        <w:pStyle w:val="4"/>
        <w:rPr>
          <w:rFonts w:hint="eastAsia" w:eastAsia="宋体"/>
          <w:lang w:val="en-US" w:eastAsia="zh-CN"/>
        </w:rPr>
      </w:pPr>
      <w:r>
        <w:rPr>
          <w:rFonts w:hint="eastAsia"/>
          <w:lang w:val="en-US" w:eastAsia="zh-CN"/>
        </w:rPr>
        <w:t>可修改。</w:t>
      </w:r>
    </w:p>
  </w:comment>
  <w:comment w:id="2" w:author="韩知为" w:date="2025-05-07T09:39:57Z" w:initials="">
    <w:p w14:paraId="4D4E1235">
      <w:pPr>
        <w:pStyle w:val="4"/>
        <w:rPr>
          <w:rFonts w:hint="default" w:eastAsia="宋体"/>
          <w:lang w:val="en-US" w:eastAsia="zh-CN"/>
        </w:rPr>
      </w:pPr>
      <w:r>
        <w:rPr>
          <w:rFonts w:hint="eastAsia"/>
          <w:lang w:val="en-US" w:eastAsia="zh-CN"/>
        </w:rPr>
        <w:t>全文首级标题固定，不可修改。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A9D142B" w15:done="0"/>
  <w15:commentEx w15:paraId="6AA54DD8" w15:done="0"/>
  <w15:commentEx w15:paraId="4D4E123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C7EECA"/>
    <w:multiLevelType w:val="singleLevel"/>
    <w:tmpl w:val="96C7EECA"/>
    <w:lvl w:ilvl="0" w:tentative="0">
      <w:start w:val="2"/>
      <w:numFmt w:val="chineseCounting"/>
      <w:suff w:val="nothing"/>
      <w:lvlText w:val="（%1）"/>
      <w:lvlJc w:val="left"/>
      <w:rPr>
        <w:rFonts w:hint="eastAsia"/>
      </w:rPr>
    </w:lvl>
  </w:abstractNum>
  <w:abstractNum w:abstractNumId="1">
    <w:nsid w:val="BD906B12"/>
    <w:multiLevelType w:val="singleLevel"/>
    <w:tmpl w:val="BD906B12"/>
    <w:lvl w:ilvl="0" w:tentative="0">
      <w:start w:val="1"/>
      <w:numFmt w:val="decimal"/>
      <w:suff w:val="nothing"/>
      <w:lvlText w:val="（%1）"/>
      <w:lvlJc w:val="left"/>
    </w:lvl>
  </w:abstractNum>
  <w:abstractNum w:abstractNumId="2">
    <w:nsid w:val="DA9F0784"/>
    <w:multiLevelType w:val="singleLevel"/>
    <w:tmpl w:val="DA9F0784"/>
    <w:lvl w:ilvl="0" w:tentative="0">
      <w:start w:val="5"/>
      <w:numFmt w:val="chineseCounting"/>
      <w:suff w:val="nothing"/>
      <w:lvlText w:val="%1、"/>
      <w:lvlJc w:val="left"/>
      <w:rPr>
        <w:rFonts w:hint="eastAsia"/>
      </w:rPr>
    </w:lvl>
  </w:abstractNum>
  <w:abstractNum w:abstractNumId="3">
    <w:nsid w:val="F116BB8D"/>
    <w:multiLevelType w:val="singleLevel"/>
    <w:tmpl w:val="F116BB8D"/>
    <w:lvl w:ilvl="0" w:tentative="0">
      <w:start w:val="1"/>
      <w:numFmt w:val="chineseCounting"/>
      <w:suff w:val="nothing"/>
      <w:lvlText w:val="（%1）"/>
      <w:lvlJc w:val="left"/>
      <w:rPr>
        <w:rFonts w:hint="eastAsia"/>
      </w:rPr>
    </w:lvl>
  </w:abstractNum>
  <w:abstractNum w:abstractNumId="4">
    <w:nsid w:val="4916F4FC"/>
    <w:multiLevelType w:val="singleLevel"/>
    <w:tmpl w:val="4916F4FC"/>
    <w:lvl w:ilvl="0" w:tentative="0">
      <w:start w:val="3"/>
      <w:numFmt w:val="chineseCounting"/>
      <w:suff w:val="nothing"/>
      <w:lvlText w:val="%1、"/>
      <w:lvlJc w:val="left"/>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pStyle w:val="28"/>
      <w:suff w:val="nothing"/>
      <w:lvlText w:val="%1%2.%3　"/>
      <w:lvlJc w:val="left"/>
      <w:pPr>
        <w:ind w:left="0" w:firstLine="0"/>
      </w:pPr>
      <w:rPr>
        <w:rFonts w:hint="eastAsia" w:ascii="黑体" w:hAnsi="Times New Roman" w:eastAsia="黑体"/>
        <w:b w:val="0"/>
        <w:i w:val="0"/>
        <w:sz w:val="21"/>
      </w:rPr>
    </w:lvl>
    <w:lvl w:ilvl="3" w:tentative="0">
      <w:start w:val="1"/>
      <w:numFmt w:val="decimal"/>
      <w:pStyle w:val="27"/>
      <w:suff w:val="nothing"/>
      <w:lvlText w:val="%1%2.%3.%4　"/>
      <w:lvlJc w:val="left"/>
      <w:pPr>
        <w:ind w:left="540" w:firstLine="0"/>
      </w:pPr>
      <w:rPr>
        <w:rFonts w:hint="eastAsia" w:ascii="黑体" w:hAnsi="Times New Roman" w:eastAsia="黑体"/>
        <w:b w:val="0"/>
        <w:i w:val="0"/>
        <w:sz w:val="21"/>
      </w:rPr>
    </w:lvl>
    <w:lvl w:ilvl="4" w:tentative="0">
      <w:start w:val="1"/>
      <w:numFmt w:val="decimal"/>
      <w:pStyle w:val="26"/>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75657C17"/>
    <w:multiLevelType w:val="singleLevel"/>
    <w:tmpl w:val="75657C17"/>
    <w:lvl w:ilvl="0" w:tentative="0">
      <w:start w:val="3"/>
      <w:numFmt w:val="decimal"/>
      <w:suff w:val="nothing"/>
      <w:lvlText w:val="%1、"/>
      <w:lvlJc w:val="left"/>
    </w:lvl>
  </w:abstractNum>
  <w:num w:numId="1">
    <w:abstractNumId w:val="5"/>
  </w:num>
  <w:num w:numId="2">
    <w:abstractNumId w:val="1"/>
  </w:num>
  <w:num w:numId="3">
    <w:abstractNumId w:val="0"/>
  </w:num>
  <w:num w:numId="4">
    <w:abstractNumId w:val="6"/>
  </w:num>
  <w:num w:numId="5">
    <w:abstractNumId w:val="4"/>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韩知为">
    <w15:presenceInfo w15:providerId="WPS Office" w15:userId="10756515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509F"/>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C74C1"/>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4414C1"/>
    <w:rsid w:val="016E044A"/>
    <w:rsid w:val="016F27E7"/>
    <w:rsid w:val="01C20073"/>
    <w:rsid w:val="021D06BE"/>
    <w:rsid w:val="034076C4"/>
    <w:rsid w:val="034C42F7"/>
    <w:rsid w:val="035E3A52"/>
    <w:rsid w:val="03684CCB"/>
    <w:rsid w:val="03D06ACE"/>
    <w:rsid w:val="03EA2EFC"/>
    <w:rsid w:val="04472707"/>
    <w:rsid w:val="04970A9E"/>
    <w:rsid w:val="04A73C27"/>
    <w:rsid w:val="04F703E9"/>
    <w:rsid w:val="050370BF"/>
    <w:rsid w:val="05212F78"/>
    <w:rsid w:val="05253B7D"/>
    <w:rsid w:val="054D2231"/>
    <w:rsid w:val="057368DA"/>
    <w:rsid w:val="05C136DE"/>
    <w:rsid w:val="070B5632"/>
    <w:rsid w:val="07580619"/>
    <w:rsid w:val="0789537A"/>
    <w:rsid w:val="07F81EF7"/>
    <w:rsid w:val="081F03E2"/>
    <w:rsid w:val="08BF5A1F"/>
    <w:rsid w:val="09034F91"/>
    <w:rsid w:val="092115A9"/>
    <w:rsid w:val="095C586C"/>
    <w:rsid w:val="09903692"/>
    <w:rsid w:val="09C66B74"/>
    <w:rsid w:val="09CE1022"/>
    <w:rsid w:val="09D9158D"/>
    <w:rsid w:val="09F12930"/>
    <w:rsid w:val="0A8133A5"/>
    <w:rsid w:val="0AB86A22"/>
    <w:rsid w:val="0AEC39F9"/>
    <w:rsid w:val="0AF13E53"/>
    <w:rsid w:val="0AFE7196"/>
    <w:rsid w:val="0B263A2A"/>
    <w:rsid w:val="0B2A12DF"/>
    <w:rsid w:val="0B8D10DD"/>
    <w:rsid w:val="0BBF0360"/>
    <w:rsid w:val="0BD074EE"/>
    <w:rsid w:val="0BEC3FBF"/>
    <w:rsid w:val="0C251E74"/>
    <w:rsid w:val="0C482343"/>
    <w:rsid w:val="0C7E0FD7"/>
    <w:rsid w:val="0CAA0098"/>
    <w:rsid w:val="0DB73E2E"/>
    <w:rsid w:val="0DC0318D"/>
    <w:rsid w:val="0DDA35F0"/>
    <w:rsid w:val="0E294EE7"/>
    <w:rsid w:val="0E8A76E7"/>
    <w:rsid w:val="0EA36093"/>
    <w:rsid w:val="0EEA6E77"/>
    <w:rsid w:val="0EEC623B"/>
    <w:rsid w:val="1025097C"/>
    <w:rsid w:val="10D85EDD"/>
    <w:rsid w:val="10E96908"/>
    <w:rsid w:val="112A7D79"/>
    <w:rsid w:val="115B2C29"/>
    <w:rsid w:val="11EA3E1C"/>
    <w:rsid w:val="12494C0F"/>
    <w:rsid w:val="12C1660B"/>
    <w:rsid w:val="1347364C"/>
    <w:rsid w:val="13B2189A"/>
    <w:rsid w:val="13C45B26"/>
    <w:rsid w:val="140D666A"/>
    <w:rsid w:val="142866D0"/>
    <w:rsid w:val="14392AC5"/>
    <w:rsid w:val="15B910B3"/>
    <w:rsid w:val="15C553EF"/>
    <w:rsid w:val="15E9407E"/>
    <w:rsid w:val="160E6673"/>
    <w:rsid w:val="161034B1"/>
    <w:rsid w:val="162738E6"/>
    <w:rsid w:val="16AA643D"/>
    <w:rsid w:val="16D05547"/>
    <w:rsid w:val="171A1120"/>
    <w:rsid w:val="17C0574B"/>
    <w:rsid w:val="17DA076A"/>
    <w:rsid w:val="184A22E6"/>
    <w:rsid w:val="184A4865"/>
    <w:rsid w:val="184C3D3B"/>
    <w:rsid w:val="18704CB4"/>
    <w:rsid w:val="19132DF6"/>
    <w:rsid w:val="192E28F8"/>
    <w:rsid w:val="19E604C0"/>
    <w:rsid w:val="1A105336"/>
    <w:rsid w:val="1A384090"/>
    <w:rsid w:val="1AC21026"/>
    <w:rsid w:val="1AEA66C7"/>
    <w:rsid w:val="1C1952E1"/>
    <w:rsid w:val="1C1E64AF"/>
    <w:rsid w:val="1CAD40D8"/>
    <w:rsid w:val="1CEC1BB4"/>
    <w:rsid w:val="1D233587"/>
    <w:rsid w:val="1DF62425"/>
    <w:rsid w:val="1E6D55D4"/>
    <w:rsid w:val="1E7A7279"/>
    <w:rsid w:val="1EAB6ADD"/>
    <w:rsid w:val="1EF30556"/>
    <w:rsid w:val="1F136791"/>
    <w:rsid w:val="1F3C63CC"/>
    <w:rsid w:val="1F7B728D"/>
    <w:rsid w:val="1FF07D98"/>
    <w:rsid w:val="206B4470"/>
    <w:rsid w:val="20DF0FFB"/>
    <w:rsid w:val="21536DBC"/>
    <w:rsid w:val="21574B50"/>
    <w:rsid w:val="216000A4"/>
    <w:rsid w:val="21B57D5A"/>
    <w:rsid w:val="21F438A1"/>
    <w:rsid w:val="22480612"/>
    <w:rsid w:val="22515B1F"/>
    <w:rsid w:val="22563C8B"/>
    <w:rsid w:val="22B457BA"/>
    <w:rsid w:val="22C80A1D"/>
    <w:rsid w:val="23395170"/>
    <w:rsid w:val="234A45D7"/>
    <w:rsid w:val="23851C30"/>
    <w:rsid w:val="2417369E"/>
    <w:rsid w:val="24327C31"/>
    <w:rsid w:val="2476535F"/>
    <w:rsid w:val="24EB531E"/>
    <w:rsid w:val="256C061A"/>
    <w:rsid w:val="266D329C"/>
    <w:rsid w:val="283C3A24"/>
    <w:rsid w:val="28E92B74"/>
    <w:rsid w:val="29B83038"/>
    <w:rsid w:val="2A6C36D3"/>
    <w:rsid w:val="2A7B4CC0"/>
    <w:rsid w:val="2A9A5B9B"/>
    <w:rsid w:val="2AF42FD1"/>
    <w:rsid w:val="2B4F051B"/>
    <w:rsid w:val="2C3A12D2"/>
    <w:rsid w:val="2C545F32"/>
    <w:rsid w:val="2CF17ED9"/>
    <w:rsid w:val="2D004AEF"/>
    <w:rsid w:val="2D491F9E"/>
    <w:rsid w:val="2D891E30"/>
    <w:rsid w:val="2D9B1E98"/>
    <w:rsid w:val="2DA41121"/>
    <w:rsid w:val="2DB46201"/>
    <w:rsid w:val="2DD5373D"/>
    <w:rsid w:val="2DD6396D"/>
    <w:rsid w:val="2E336EA6"/>
    <w:rsid w:val="2E552DB2"/>
    <w:rsid w:val="2EA74E2C"/>
    <w:rsid w:val="2EAE6CA3"/>
    <w:rsid w:val="2EDE26C1"/>
    <w:rsid w:val="2EE3075D"/>
    <w:rsid w:val="2EF85163"/>
    <w:rsid w:val="2F20599A"/>
    <w:rsid w:val="2FA73DED"/>
    <w:rsid w:val="2FE50BA9"/>
    <w:rsid w:val="2FF30C26"/>
    <w:rsid w:val="30064290"/>
    <w:rsid w:val="301D017F"/>
    <w:rsid w:val="30CA18ED"/>
    <w:rsid w:val="317F0BCA"/>
    <w:rsid w:val="322A6639"/>
    <w:rsid w:val="32832A04"/>
    <w:rsid w:val="32B64A7C"/>
    <w:rsid w:val="32EA1597"/>
    <w:rsid w:val="32FC24A2"/>
    <w:rsid w:val="340B1991"/>
    <w:rsid w:val="3432395A"/>
    <w:rsid w:val="345402B9"/>
    <w:rsid w:val="34DF44DA"/>
    <w:rsid w:val="35175351"/>
    <w:rsid w:val="354748F9"/>
    <w:rsid w:val="354A77C7"/>
    <w:rsid w:val="359D0A22"/>
    <w:rsid w:val="35CC4B52"/>
    <w:rsid w:val="365B56BB"/>
    <w:rsid w:val="36923616"/>
    <w:rsid w:val="36DE325F"/>
    <w:rsid w:val="37406C32"/>
    <w:rsid w:val="37635EED"/>
    <w:rsid w:val="376D7696"/>
    <w:rsid w:val="378E4F4F"/>
    <w:rsid w:val="37CD6A42"/>
    <w:rsid w:val="37DF1584"/>
    <w:rsid w:val="3802738B"/>
    <w:rsid w:val="384A43CE"/>
    <w:rsid w:val="3858707E"/>
    <w:rsid w:val="38EE67B4"/>
    <w:rsid w:val="38F52E00"/>
    <w:rsid w:val="391C28EE"/>
    <w:rsid w:val="39501A9A"/>
    <w:rsid w:val="39581820"/>
    <w:rsid w:val="397A31B7"/>
    <w:rsid w:val="39AA44E1"/>
    <w:rsid w:val="39E935D7"/>
    <w:rsid w:val="3A1D7215"/>
    <w:rsid w:val="3A51726A"/>
    <w:rsid w:val="3A6424EB"/>
    <w:rsid w:val="3A6A019B"/>
    <w:rsid w:val="3A6C3919"/>
    <w:rsid w:val="3A766383"/>
    <w:rsid w:val="3A7F1F07"/>
    <w:rsid w:val="3B072FBB"/>
    <w:rsid w:val="3B7A0F58"/>
    <w:rsid w:val="3BBE1685"/>
    <w:rsid w:val="3C672EE2"/>
    <w:rsid w:val="3CE70777"/>
    <w:rsid w:val="3D3C5599"/>
    <w:rsid w:val="3D8F7C8C"/>
    <w:rsid w:val="3D90570D"/>
    <w:rsid w:val="3DE35A0C"/>
    <w:rsid w:val="3DE735BC"/>
    <w:rsid w:val="3DF20044"/>
    <w:rsid w:val="3DF53BB8"/>
    <w:rsid w:val="3E863C11"/>
    <w:rsid w:val="3ECB7693"/>
    <w:rsid w:val="3EFC2B2E"/>
    <w:rsid w:val="3F9F6C5C"/>
    <w:rsid w:val="3FCC41FB"/>
    <w:rsid w:val="40517064"/>
    <w:rsid w:val="413F7118"/>
    <w:rsid w:val="414B11EE"/>
    <w:rsid w:val="414F423C"/>
    <w:rsid w:val="41601F71"/>
    <w:rsid w:val="416E0632"/>
    <w:rsid w:val="41CF5DA2"/>
    <w:rsid w:val="42A16752"/>
    <w:rsid w:val="42AF0564"/>
    <w:rsid w:val="42C60855"/>
    <w:rsid w:val="42E661CE"/>
    <w:rsid w:val="43145DEE"/>
    <w:rsid w:val="4399515B"/>
    <w:rsid w:val="43CA545D"/>
    <w:rsid w:val="43CC386E"/>
    <w:rsid w:val="44557C57"/>
    <w:rsid w:val="44981418"/>
    <w:rsid w:val="44B21FC2"/>
    <w:rsid w:val="44B41235"/>
    <w:rsid w:val="44DD18DC"/>
    <w:rsid w:val="45135702"/>
    <w:rsid w:val="4514119B"/>
    <w:rsid w:val="4540092C"/>
    <w:rsid w:val="45857508"/>
    <w:rsid w:val="45FB57DC"/>
    <w:rsid w:val="45FE41E2"/>
    <w:rsid w:val="464F779D"/>
    <w:rsid w:val="465A026B"/>
    <w:rsid w:val="465D3F9B"/>
    <w:rsid w:val="46D354BF"/>
    <w:rsid w:val="47D04464"/>
    <w:rsid w:val="47D77CEA"/>
    <w:rsid w:val="48205225"/>
    <w:rsid w:val="48236CF8"/>
    <w:rsid w:val="48710480"/>
    <w:rsid w:val="48960B41"/>
    <w:rsid w:val="48AB62AA"/>
    <w:rsid w:val="48D766C0"/>
    <w:rsid w:val="48F71942"/>
    <w:rsid w:val="49040CE6"/>
    <w:rsid w:val="493733B5"/>
    <w:rsid w:val="494F7DD2"/>
    <w:rsid w:val="4967576D"/>
    <w:rsid w:val="49D7069C"/>
    <w:rsid w:val="49EC224C"/>
    <w:rsid w:val="4A062C17"/>
    <w:rsid w:val="4A783BE4"/>
    <w:rsid w:val="4ABC7C64"/>
    <w:rsid w:val="4B3519D1"/>
    <w:rsid w:val="4B4B2196"/>
    <w:rsid w:val="4BED7331"/>
    <w:rsid w:val="4C085307"/>
    <w:rsid w:val="4C260D43"/>
    <w:rsid w:val="4C2C4D07"/>
    <w:rsid w:val="4C4C62F7"/>
    <w:rsid w:val="4C644E61"/>
    <w:rsid w:val="4C802826"/>
    <w:rsid w:val="4CBB0A67"/>
    <w:rsid w:val="4CD11E79"/>
    <w:rsid w:val="4CE46B9F"/>
    <w:rsid w:val="4DB96BDC"/>
    <w:rsid w:val="4DCA4693"/>
    <w:rsid w:val="4DDE110F"/>
    <w:rsid w:val="4E161FCA"/>
    <w:rsid w:val="4E172969"/>
    <w:rsid w:val="4E810EB6"/>
    <w:rsid w:val="4EAD7325"/>
    <w:rsid w:val="4F1B2E4B"/>
    <w:rsid w:val="4F2D6FFE"/>
    <w:rsid w:val="4F9827A5"/>
    <w:rsid w:val="4FD37F56"/>
    <w:rsid w:val="50760B0E"/>
    <w:rsid w:val="50C67994"/>
    <w:rsid w:val="50C87480"/>
    <w:rsid w:val="50CE10DD"/>
    <w:rsid w:val="51892F55"/>
    <w:rsid w:val="51C61046"/>
    <w:rsid w:val="51D535C6"/>
    <w:rsid w:val="51E1295F"/>
    <w:rsid w:val="524847EF"/>
    <w:rsid w:val="52B77FE2"/>
    <w:rsid w:val="52C00A54"/>
    <w:rsid w:val="534D6995"/>
    <w:rsid w:val="53DA2053"/>
    <w:rsid w:val="53DC464A"/>
    <w:rsid w:val="53E523B4"/>
    <w:rsid w:val="543F70BE"/>
    <w:rsid w:val="552C52CA"/>
    <w:rsid w:val="55BA083E"/>
    <w:rsid w:val="568E0480"/>
    <w:rsid w:val="574647BD"/>
    <w:rsid w:val="577C1460"/>
    <w:rsid w:val="577D4B9A"/>
    <w:rsid w:val="584D2D52"/>
    <w:rsid w:val="59043AA1"/>
    <w:rsid w:val="594B5D9D"/>
    <w:rsid w:val="599868AF"/>
    <w:rsid w:val="59A73E51"/>
    <w:rsid w:val="59DD424F"/>
    <w:rsid w:val="59FA35AD"/>
    <w:rsid w:val="5B463948"/>
    <w:rsid w:val="5BD861B8"/>
    <w:rsid w:val="5BFE68FD"/>
    <w:rsid w:val="5C500838"/>
    <w:rsid w:val="5D6C2CD8"/>
    <w:rsid w:val="5E0B315A"/>
    <w:rsid w:val="5E3807D2"/>
    <w:rsid w:val="5E413B44"/>
    <w:rsid w:val="5F225E2B"/>
    <w:rsid w:val="5F5D2E08"/>
    <w:rsid w:val="5F7674A3"/>
    <w:rsid w:val="5FDF1D2F"/>
    <w:rsid w:val="5FED5739"/>
    <w:rsid w:val="6002757B"/>
    <w:rsid w:val="602A3A53"/>
    <w:rsid w:val="60937EE0"/>
    <w:rsid w:val="612E341B"/>
    <w:rsid w:val="614726C5"/>
    <w:rsid w:val="61E44F1F"/>
    <w:rsid w:val="61E7692D"/>
    <w:rsid w:val="629D5157"/>
    <w:rsid w:val="62D91972"/>
    <w:rsid w:val="6360723F"/>
    <w:rsid w:val="636A1720"/>
    <w:rsid w:val="63E559DB"/>
    <w:rsid w:val="63F74947"/>
    <w:rsid w:val="64236B75"/>
    <w:rsid w:val="64352709"/>
    <w:rsid w:val="647A6959"/>
    <w:rsid w:val="649728DF"/>
    <w:rsid w:val="65082AE7"/>
    <w:rsid w:val="65A044CA"/>
    <w:rsid w:val="65A416A9"/>
    <w:rsid w:val="65E6393A"/>
    <w:rsid w:val="660563ED"/>
    <w:rsid w:val="66577E6A"/>
    <w:rsid w:val="66B06886"/>
    <w:rsid w:val="67072B18"/>
    <w:rsid w:val="67585A65"/>
    <w:rsid w:val="676630F4"/>
    <w:rsid w:val="677E01D8"/>
    <w:rsid w:val="6943045D"/>
    <w:rsid w:val="69945116"/>
    <w:rsid w:val="699A724E"/>
    <w:rsid w:val="6A220F1A"/>
    <w:rsid w:val="6A68311E"/>
    <w:rsid w:val="6AA810E6"/>
    <w:rsid w:val="6B3E697D"/>
    <w:rsid w:val="6B876DF9"/>
    <w:rsid w:val="6C5E6918"/>
    <w:rsid w:val="6C62165C"/>
    <w:rsid w:val="6C9727B1"/>
    <w:rsid w:val="6C9F2E0B"/>
    <w:rsid w:val="6CAC1453"/>
    <w:rsid w:val="6CF103A3"/>
    <w:rsid w:val="6D43391B"/>
    <w:rsid w:val="6D714FA8"/>
    <w:rsid w:val="6DAB31AB"/>
    <w:rsid w:val="6E3C6504"/>
    <w:rsid w:val="6E436E6B"/>
    <w:rsid w:val="6E497DC4"/>
    <w:rsid w:val="6E5F07A0"/>
    <w:rsid w:val="6E8B19ED"/>
    <w:rsid w:val="6F3068FA"/>
    <w:rsid w:val="6F3335BA"/>
    <w:rsid w:val="70C82A52"/>
    <w:rsid w:val="70E03E6C"/>
    <w:rsid w:val="71265136"/>
    <w:rsid w:val="71FF5DDC"/>
    <w:rsid w:val="72BD6ACB"/>
    <w:rsid w:val="72CA3BE3"/>
    <w:rsid w:val="72DE6CDA"/>
    <w:rsid w:val="72F96CB0"/>
    <w:rsid w:val="7364055E"/>
    <w:rsid w:val="738678A3"/>
    <w:rsid w:val="73EC291D"/>
    <w:rsid w:val="748067FB"/>
    <w:rsid w:val="74AE17FA"/>
    <w:rsid w:val="74CF3876"/>
    <w:rsid w:val="757511D1"/>
    <w:rsid w:val="75E12D70"/>
    <w:rsid w:val="765972B7"/>
    <w:rsid w:val="76A76695"/>
    <w:rsid w:val="76E521D9"/>
    <w:rsid w:val="76F06B63"/>
    <w:rsid w:val="77173D46"/>
    <w:rsid w:val="7729224A"/>
    <w:rsid w:val="77C83101"/>
    <w:rsid w:val="780C3C6F"/>
    <w:rsid w:val="79D97279"/>
    <w:rsid w:val="7A241826"/>
    <w:rsid w:val="7B8239A1"/>
    <w:rsid w:val="7BAE35D1"/>
    <w:rsid w:val="7BFB3677"/>
    <w:rsid w:val="7BFF238E"/>
    <w:rsid w:val="7C62307E"/>
    <w:rsid w:val="7D5B0F37"/>
    <w:rsid w:val="7D920127"/>
    <w:rsid w:val="7E161C15"/>
    <w:rsid w:val="7E677E64"/>
    <w:rsid w:val="7EB27DCA"/>
    <w:rsid w:val="7EF1526A"/>
    <w:rsid w:val="7F0073BC"/>
    <w:rsid w:val="7F8D69DE"/>
    <w:rsid w:val="7FD801B0"/>
    <w:rsid w:val="7FDC4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qFormat/>
    <w:uiPriority w:val="0"/>
    <w:pPr>
      <w:spacing w:line="360" w:lineRule="auto"/>
      <w:jc w:val="left"/>
    </w:pPr>
    <w:rPr>
      <w:rFonts w:ascii="宋体" w:hAnsi="宋体" w:eastAsia="宋体" w:cs="Times New Roman"/>
      <w:szCs w:val="24"/>
    </w:rPr>
  </w:style>
  <w:style w:type="paragraph" w:styleId="5">
    <w:name w:val="Body Text"/>
    <w:basedOn w:val="1"/>
    <w:unhideWhenUsed/>
    <w:qFormat/>
    <w:uiPriority w:val="99"/>
    <w:pPr>
      <w:spacing w:after="120"/>
    </w:pPr>
    <w:rPr>
      <w:rFonts w:eastAsia="仿宋_GB2312"/>
    </w:rPr>
  </w:style>
  <w:style w:type="paragraph" w:styleId="6">
    <w:name w:val="Body Text Indent"/>
    <w:basedOn w:val="1"/>
    <w:link w:val="21"/>
    <w:qFormat/>
    <w:uiPriority w:val="0"/>
    <w:pPr>
      <w:ind w:firstLine="420"/>
    </w:pPr>
    <w:rPr>
      <w:rFonts w:ascii="Times New Roman" w:hAnsi="Times New Roman" w:eastAsia="宋体" w:cs="Times New Roman"/>
      <w:sz w:val="24"/>
      <w:szCs w:val="24"/>
    </w:rPr>
  </w:style>
  <w:style w:type="paragraph" w:styleId="7">
    <w:name w:val="Balloon Text"/>
    <w:basedOn w:val="1"/>
    <w:link w:val="17"/>
    <w:semiHidden/>
    <w:unhideWhenUsed/>
    <w:qFormat/>
    <w:uiPriority w:val="99"/>
    <w:rPr>
      <w:sz w:val="18"/>
      <w:szCs w:val="18"/>
    </w:rPr>
  </w:style>
  <w:style w:type="paragraph" w:styleId="8">
    <w:name w:val="footer"/>
    <w:basedOn w:val="1"/>
    <w:link w:val="19"/>
    <w:semiHidden/>
    <w:unhideWhenUsed/>
    <w:qFormat/>
    <w:uiPriority w:val="99"/>
    <w:pPr>
      <w:tabs>
        <w:tab w:val="center" w:pos="4153"/>
        <w:tab w:val="right" w:pos="8306"/>
      </w:tabs>
      <w:snapToGrid w:val="0"/>
      <w:jc w:val="left"/>
    </w:pPr>
    <w:rPr>
      <w:sz w:val="18"/>
      <w:szCs w:val="18"/>
    </w:rPr>
  </w:style>
  <w:style w:type="paragraph" w:styleId="9">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semiHidden/>
    <w:unhideWhenUsed/>
    <w:qFormat/>
    <w:uiPriority w:val="99"/>
    <w:rPr>
      <w:color w:val="0000FF"/>
      <w:u w:val="single"/>
    </w:rPr>
  </w:style>
  <w:style w:type="paragraph" w:customStyle="1" w:styleId="16">
    <w:name w:val="段"/>
    <w:next w:val="1"/>
    <w:link w:val="24"/>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17">
    <w:name w:val="批注框文本 Char"/>
    <w:basedOn w:val="13"/>
    <w:link w:val="7"/>
    <w:semiHidden/>
    <w:qFormat/>
    <w:uiPriority w:val="99"/>
    <w:rPr>
      <w:sz w:val="18"/>
      <w:szCs w:val="18"/>
    </w:rPr>
  </w:style>
  <w:style w:type="character" w:customStyle="1" w:styleId="18">
    <w:name w:val="页眉 Char"/>
    <w:basedOn w:val="13"/>
    <w:link w:val="9"/>
    <w:semiHidden/>
    <w:qFormat/>
    <w:uiPriority w:val="99"/>
    <w:rPr>
      <w:sz w:val="18"/>
      <w:szCs w:val="18"/>
    </w:rPr>
  </w:style>
  <w:style w:type="character" w:customStyle="1" w:styleId="19">
    <w:name w:val="页脚 Char"/>
    <w:basedOn w:val="13"/>
    <w:link w:val="8"/>
    <w:semiHidden/>
    <w:qFormat/>
    <w:uiPriority w:val="99"/>
    <w:rPr>
      <w:sz w:val="18"/>
      <w:szCs w:val="18"/>
    </w:rPr>
  </w:style>
  <w:style w:type="paragraph" w:customStyle="1" w:styleId="20">
    <w:name w:val="章标题"/>
    <w:next w:val="16"/>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21">
    <w:name w:val="正文文本缩进 Char"/>
    <w:basedOn w:val="13"/>
    <w:link w:val="6"/>
    <w:qFormat/>
    <w:uiPriority w:val="0"/>
    <w:rPr>
      <w:rFonts w:ascii="Times New Roman" w:hAnsi="Times New Roman" w:eastAsia="宋体" w:cs="Times New Roman"/>
      <w:sz w:val="24"/>
      <w:szCs w:val="24"/>
    </w:rPr>
  </w:style>
  <w:style w:type="character" w:customStyle="1" w:styleId="22">
    <w:name w:val="批注文字 Char"/>
    <w:basedOn w:val="13"/>
    <w:link w:val="4"/>
    <w:qFormat/>
    <w:uiPriority w:val="0"/>
    <w:rPr>
      <w:rFonts w:ascii="宋体" w:hAnsi="宋体" w:eastAsia="宋体" w:cs="Times New Roman"/>
      <w:szCs w:val="24"/>
    </w:rPr>
  </w:style>
  <w:style w:type="paragraph" w:styleId="23">
    <w:name w:val="List Paragraph"/>
    <w:basedOn w:val="1"/>
    <w:qFormat/>
    <w:uiPriority w:val="34"/>
    <w:pPr>
      <w:ind w:firstLine="420" w:firstLineChars="200"/>
    </w:pPr>
  </w:style>
  <w:style w:type="character" w:customStyle="1" w:styleId="24">
    <w:name w:val="段 Char"/>
    <w:link w:val="16"/>
    <w:qFormat/>
    <w:uiPriority w:val="0"/>
    <w:rPr>
      <w:rFonts w:ascii="宋体" w:hAnsi="Times New Roman" w:eastAsia="宋体" w:cs="Times New Roman"/>
      <w:kern w:val="0"/>
    </w:rPr>
  </w:style>
  <w:style w:type="paragraph" w:customStyle="1" w:styleId="25">
    <w:name w:val="正文-啊"/>
    <w:basedOn w:val="1"/>
    <w:qFormat/>
    <w:uiPriority w:val="0"/>
    <w:pPr>
      <w:spacing w:before="312" w:beforeLines="100" w:line="276" w:lineRule="auto"/>
      <w:ind w:left="210" w:leftChars="0" w:right="210" w:firstLine="600"/>
      <w:contextualSpacing/>
    </w:pPr>
    <w:rPr>
      <w:rFonts w:ascii="微软雅黑" w:hAnsi="微软雅黑" w:eastAsia="微软雅黑"/>
      <w:color w:val="000000"/>
      <w:sz w:val="24"/>
      <w:szCs w:val="21"/>
    </w:rPr>
  </w:style>
  <w:style w:type="paragraph" w:customStyle="1" w:styleId="26">
    <w:name w:val="三级条标题"/>
    <w:basedOn w:val="27"/>
    <w:next w:val="16"/>
    <w:qFormat/>
    <w:uiPriority w:val="0"/>
    <w:pPr>
      <w:numPr>
        <w:ilvl w:val="4"/>
        <w:numId w:val="1"/>
      </w:numPr>
      <w:tabs>
        <w:tab w:val="left" w:pos="360"/>
      </w:tabs>
      <w:outlineLvl w:val="4"/>
    </w:pPr>
  </w:style>
  <w:style w:type="paragraph" w:customStyle="1" w:styleId="27">
    <w:name w:val="二级条标题"/>
    <w:basedOn w:val="28"/>
    <w:next w:val="16"/>
    <w:qFormat/>
    <w:uiPriority w:val="0"/>
    <w:pPr>
      <w:numPr>
        <w:ilvl w:val="3"/>
        <w:numId w:val="1"/>
      </w:numPr>
      <w:tabs>
        <w:tab w:val="left" w:pos="360"/>
      </w:tabs>
      <w:outlineLvl w:val="3"/>
    </w:pPr>
  </w:style>
  <w:style w:type="paragraph" w:customStyle="1" w:styleId="28">
    <w:name w:val="一级条标题"/>
    <w:basedOn w:val="20"/>
    <w:next w:val="16"/>
    <w:qFormat/>
    <w:uiPriority w:val="0"/>
    <w:pPr>
      <w:numPr>
        <w:ilvl w:val="2"/>
        <w:numId w:val="1"/>
      </w:numPr>
      <w:spacing w:before="0" w:beforeLines="0" w:after="0" w:afterLines="0"/>
      <w:outlineLvl w:val="2"/>
    </w:pPr>
  </w:style>
  <w:style w:type="character" w:customStyle="1" w:styleId="29">
    <w:name w:val="font31"/>
    <w:basedOn w:val="13"/>
    <w:qFormat/>
    <w:uiPriority w:val="0"/>
    <w:rPr>
      <w:rFonts w:hint="eastAsia" w:ascii="宋体" w:hAnsi="宋体" w:eastAsia="宋体" w:cs="宋体"/>
      <w:color w:val="000000"/>
      <w:sz w:val="18"/>
      <w:szCs w:val="18"/>
      <w:u w:val="none"/>
    </w:rPr>
  </w:style>
  <w:style w:type="character" w:customStyle="1" w:styleId="30">
    <w:name w:val="font11"/>
    <w:basedOn w:val="13"/>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0" Type="http://schemas.microsoft.com/office/2011/relationships/people" Target="people.xml"/><Relationship Id="rId4" Type="http://schemas.microsoft.com/office/2011/relationships/commentsExtended" Target="commentsExtended.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numbering" Target="numbering.xml"/><Relationship Id="rId36" Type="http://schemas.openxmlformats.org/officeDocument/2006/relationships/image" Target="media/image31.emf"/><Relationship Id="rId35" Type="http://schemas.openxmlformats.org/officeDocument/2006/relationships/image" Target="media/image30.emf"/><Relationship Id="rId34" Type="http://schemas.openxmlformats.org/officeDocument/2006/relationships/image" Target="media/image29.emf"/><Relationship Id="rId33" Type="http://schemas.openxmlformats.org/officeDocument/2006/relationships/image" Target="media/image28.emf"/><Relationship Id="rId32" Type="http://schemas.openxmlformats.org/officeDocument/2006/relationships/image" Target="media/image27.emf"/><Relationship Id="rId31" Type="http://schemas.openxmlformats.org/officeDocument/2006/relationships/image" Target="media/image26.emf"/><Relationship Id="rId30" Type="http://schemas.openxmlformats.org/officeDocument/2006/relationships/image" Target="media/image25.emf"/><Relationship Id="rId3" Type="http://schemas.openxmlformats.org/officeDocument/2006/relationships/comments" Target="comments.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em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emf"/><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35</Pages>
  <Words>9780</Words>
  <Characters>10399</Characters>
  <Lines>68</Lines>
  <Paragraphs>19</Paragraphs>
  <TotalTime>0</TotalTime>
  <ScaleCrop>false</ScaleCrop>
  <LinksUpToDate>false</LinksUpToDate>
  <CharactersWithSpaces>10429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 </cp:lastModifiedBy>
  <dcterms:modified xsi:type="dcterms:W3CDTF">2026-07-06T10:02:25Z</dcterms:modified>
  <dc:title>国家（行业/协会）标准《铍青铜圆形棒材》编制说明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19A2E72A1E6C4245A15B3EA833BAD914_13</vt:lpwstr>
  </property>
  <property fmtid="{D5CDD505-2E9C-101B-9397-08002B2CF9AE}" pid="4" name="KSOTemplateDocerSaveRecord">
    <vt:lpwstr>eyJoZGlkIjoiN2NiYzJmOGFiOTMxNGY0MWE0NGE2MGY0NDYwYmM0MGMiLCJ1c2VySWQiOiIyNzg2NzI3MzUifQ==</vt:lpwstr>
  </property>
</Properties>
</file>