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A4E33">
      <w:pPr>
        <w:jc w:val="center"/>
        <w:rPr>
          <w:rFonts w:hint="eastAsia" w:eastAsia="黑体"/>
          <w:color w:val="auto"/>
          <w:sz w:val="32"/>
          <w:szCs w:val="32"/>
          <w:lang w:val="en-US" w:eastAsia="zh-CN"/>
        </w:rPr>
      </w:pPr>
    </w:p>
    <w:p w14:paraId="43B6A713">
      <w:pPr>
        <w:jc w:val="center"/>
        <w:rPr>
          <w:rFonts w:hint="eastAsia" w:eastAsia="黑体"/>
          <w:color w:val="auto"/>
          <w:sz w:val="32"/>
          <w:szCs w:val="32"/>
          <w:lang w:val="en-US" w:eastAsia="zh-CN"/>
        </w:rPr>
      </w:pPr>
    </w:p>
    <w:p w14:paraId="077F43BF">
      <w:pPr>
        <w:jc w:val="center"/>
        <w:rPr>
          <w:rFonts w:hint="eastAsia" w:eastAsia="黑体"/>
          <w:color w:val="auto"/>
          <w:sz w:val="32"/>
          <w:szCs w:val="32"/>
          <w:lang w:val="en-US" w:eastAsia="zh-CN"/>
        </w:rPr>
      </w:pPr>
    </w:p>
    <w:p w14:paraId="53969195">
      <w:pPr>
        <w:jc w:val="center"/>
        <w:rPr>
          <w:rFonts w:hint="eastAsia" w:eastAsia="黑体"/>
          <w:color w:val="auto"/>
          <w:sz w:val="32"/>
          <w:szCs w:val="32"/>
          <w:lang w:val="en-US" w:eastAsia="zh-CN"/>
        </w:rPr>
      </w:pPr>
    </w:p>
    <w:p w14:paraId="49B2B3D8">
      <w:pPr>
        <w:jc w:val="center"/>
        <w:rPr>
          <w:rFonts w:hint="eastAsia" w:eastAsia="黑体"/>
          <w:color w:val="auto"/>
          <w:sz w:val="32"/>
          <w:szCs w:val="32"/>
          <w:lang w:val="en-US" w:eastAsia="zh-CN"/>
        </w:rPr>
      </w:pPr>
    </w:p>
    <w:p w14:paraId="68A45F7A">
      <w:pPr>
        <w:jc w:val="center"/>
        <w:rPr>
          <w:rFonts w:hint="eastAsia" w:eastAsia="黑体"/>
          <w:color w:val="auto"/>
          <w:sz w:val="44"/>
          <w:szCs w:val="44"/>
          <w:lang w:val="en-US" w:eastAsia="zh-CN"/>
        </w:rPr>
      </w:pPr>
    </w:p>
    <w:p w14:paraId="00AE9882">
      <w:pPr>
        <w:jc w:val="center"/>
        <w:rPr>
          <w:rFonts w:hint="eastAsia" w:eastAsia="黑体"/>
          <w:color w:val="auto"/>
          <w:sz w:val="36"/>
          <w:szCs w:val="36"/>
          <w:lang w:val="en-US" w:eastAsia="zh-CN"/>
        </w:rPr>
      </w:pPr>
      <w:r>
        <w:rPr>
          <w:rFonts w:hint="eastAsia" w:eastAsia="黑体"/>
          <w:color w:val="auto"/>
          <w:sz w:val="36"/>
          <w:szCs w:val="36"/>
          <w:lang w:val="en-US" w:eastAsia="zh-CN"/>
        </w:rPr>
        <w:t>国家标准《换向器用银无氧铜线坯》编制说明</w:t>
      </w:r>
    </w:p>
    <w:p w14:paraId="2B0E82A0">
      <w:pPr>
        <w:pStyle w:val="3"/>
        <w:rPr>
          <w:rFonts w:hint="eastAsia"/>
          <w:lang w:val="en-US" w:eastAsia="zh-CN"/>
        </w:rPr>
      </w:pPr>
    </w:p>
    <w:p w14:paraId="6FD979E8">
      <w:pPr>
        <w:jc w:val="center"/>
        <w:rPr>
          <w:rFonts w:hint="eastAsia" w:eastAsia="黑体"/>
          <w:color w:val="auto"/>
          <w:sz w:val="32"/>
          <w:szCs w:val="32"/>
          <w:lang w:val="en-US" w:eastAsia="zh-CN"/>
        </w:rPr>
      </w:pPr>
      <w:r>
        <w:rPr>
          <w:rFonts w:hint="eastAsia" w:eastAsia="黑体"/>
          <w:color w:val="auto"/>
          <w:sz w:val="32"/>
          <w:szCs w:val="32"/>
          <w:lang w:val="en-US" w:eastAsia="zh-CN"/>
        </w:rPr>
        <w:t>（讨论稿）</w:t>
      </w:r>
    </w:p>
    <w:p w14:paraId="083AF3D4">
      <w:pPr>
        <w:jc w:val="center"/>
        <w:rPr>
          <w:rFonts w:hint="eastAsia" w:eastAsia="黑体"/>
          <w:color w:val="auto"/>
          <w:sz w:val="28"/>
          <w:szCs w:val="28"/>
          <w:lang w:val="en-US" w:eastAsia="zh-CN"/>
        </w:rPr>
      </w:pPr>
    </w:p>
    <w:p w14:paraId="67D435A6">
      <w:pPr>
        <w:jc w:val="center"/>
        <w:rPr>
          <w:rFonts w:hint="eastAsia" w:eastAsia="黑体"/>
          <w:color w:val="auto"/>
          <w:sz w:val="28"/>
          <w:szCs w:val="28"/>
          <w:lang w:val="en-US" w:eastAsia="zh-CN"/>
        </w:rPr>
      </w:pPr>
    </w:p>
    <w:p w14:paraId="4D5E62B0">
      <w:pPr>
        <w:jc w:val="center"/>
        <w:rPr>
          <w:rFonts w:hint="eastAsia" w:eastAsia="黑体"/>
          <w:color w:val="auto"/>
          <w:sz w:val="28"/>
          <w:szCs w:val="28"/>
          <w:lang w:val="en-US" w:eastAsia="zh-CN"/>
        </w:rPr>
      </w:pPr>
    </w:p>
    <w:p w14:paraId="15B73921">
      <w:pPr>
        <w:jc w:val="center"/>
        <w:rPr>
          <w:rFonts w:hint="eastAsia" w:eastAsia="黑体"/>
          <w:color w:val="auto"/>
          <w:sz w:val="28"/>
          <w:szCs w:val="28"/>
          <w:lang w:val="en-US" w:eastAsia="zh-CN"/>
        </w:rPr>
      </w:pPr>
    </w:p>
    <w:p w14:paraId="4AE6AF22">
      <w:pPr>
        <w:jc w:val="center"/>
        <w:rPr>
          <w:rFonts w:hint="eastAsia" w:eastAsia="黑体"/>
          <w:color w:val="auto"/>
          <w:sz w:val="28"/>
          <w:szCs w:val="28"/>
          <w:lang w:val="en-US" w:eastAsia="zh-CN"/>
        </w:rPr>
      </w:pPr>
    </w:p>
    <w:p w14:paraId="65CCCD6A">
      <w:pPr>
        <w:jc w:val="center"/>
        <w:rPr>
          <w:rFonts w:hint="eastAsia" w:eastAsia="黑体"/>
          <w:color w:val="auto"/>
          <w:sz w:val="28"/>
          <w:szCs w:val="28"/>
          <w:lang w:val="en-US" w:eastAsia="zh-CN"/>
        </w:rPr>
      </w:pPr>
    </w:p>
    <w:p w14:paraId="00909E4C">
      <w:pPr>
        <w:jc w:val="center"/>
        <w:rPr>
          <w:rFonts w:hint="eastAsia" w:eastAsia="黑体"/>
          <w:color w:val="auto"/>
          <w:sz w:val="28"/>
          <w:szCs w:val="28"/>
          <w:lang w:val="en-US" w:eastAsia="zh-CN"/>
        </w:rPr>
      </w:pPr>
    </w:p>
    <w:p w14:paraId="154E1BBE">
      <w:pPr>
        <w:jc w:val="center"/>
        <w:rPr>
          <w:rFonts w:hint="eastAsia" w:eastAsia="黑体"/>
          <w:color w:val="auto"/>
          <w:sz w:val="28"/>
          <w:szCs w:val="28"/>
          <w:lang w:val="en-US" w:eastAsia="zh-CN"/>
        </w:rPr>
      </w:pPr>
      <w:r>
        <w:rPr>
          <w:rFonts w:hint="eastAsia" w:eastAsia="黑体"/>
          <w:color w:val="auto"/>
          <w:sz w:val="28"/>
          <w:szCs w:val="28"/>
          <w:lang w:val="en-US" w:eastAsia="zh-CN"/>
        </w:rPr>
        <w:t>浙江力博实业股份有限公司（第一起草单位名称）</w:t>
      </w:r>
    </w:p>
    <w:p w14:paraId="23FDA1D1">
      <w:pPr>
        <w:jc w:val="center"/>
        <w:rPr>
          <w:rFonts w:hint="default" w:eastAsia="黑体"/>
          <w:color w:val="auto"/>
          <w:sz w:val="28"/>
          <w:szCs w:val="28"/>
          <w:lang w:val="en-US" w:eastAsia="zh-CN"/>
        </w:rPr>
      </w:pPr>
      <w:r>
        <w:rPr>
          <w:rFonts w:hint="eastAsia" w:eastAsia="黑体"/>
          <w:color w:val="auto"/>
          <w:sz w:val="28"/>
          <w:szCs w:val="28"/>
          <w:lang w:val="en-US" w:eastAsia="zh-CN"/>
        </w:rPr>
        <w:t>2026年07月</w:t>
      </w:r>
      <w:r>
        <w:rPr>
          <w:rFonts w:hint="eastAsia" w:eastAsia="黑体"/>
          <w:color w:val="auto"/>
          <w:sz w:val="28"/>
          <w:szCs w:val="28"/>
          <w:lang w:val="en-US" w:eastAsia="zh-CN"/>
        </w:rPr>
        <w:br w:type="page"/>
      </w:r>
    </w:p>
    <w:p w14:paraId="67DFF571">
      <w:pPr>
        <w:jc w:val="center"/>
        <w:rPr>
          <w:rFonts w:hint="eastAsia" w:ascii="黑体" w:hAnsi="黑体" w:eastAsia="黑体" w:cs="黑体"/>
          <w:color w:val="auto"/>
          <w:sz w:val="48"/>
          <w:szCs w:val="48"/>
          <w:lang w:val="en-US" w:eastAsia="zh-CN"/>
        </w:rPr>
      </w:pPr>
      <w:r>
        <w:rPr>
          <w:rFonts w:hint="eastAsia" w:ascii="黑体" w:hAnsi="黑体" w:eastAsia="黑体" w:cs="黑体"/>
          <w:color w:val="auto"/>
          <w:sz w:val="48"/>
          <w:szCs w:val="48"/>
          <w:lang w:val="en-US" w:eastAsia="zh-CN"/>
        </w:rPr>
        <w:t>国家标准《换向器用银无氧铜线坯》</w:t>
      </w:r>
    </w:p>
    <w:p w14:paraId="6E03AA90">
      <w:pPr>
        <w:jc w:val="center"/>
        <w:rPr>
          <w:rFonts w:hint="eastAsia" w:ascii="黑体" w:hAnsi="黑体" w:eastAsia="黑体" w:cs="黑体"/>
          <w:color w:val="auto"/>
          <w:sz w:val="52"/>
          <w:szCs w:val="52"/>
          <w:lang w:val="en-US" w:eastAsia="zh-CN"/>
        </w:rPr>
      </w:pPr>
      <w:r>
        <w:rPr>
          <w:rFonts w:hint="eastAsia" w:ascii="黑体" w:hAnsi="黑体" w:eastAsia="黑体" w:cs="黑体"/>
          <w:color w:val="auto"/>
          <w:sz w:val="48"/>
          <w:szCs w:val="48"/>
          <w:lang w:val="en-US" w:eastAsia="zh-CN"/>
        </w:rPr>
        <w:t>编制说明（讨论稿）</w:t>
      </w:r>
    </w:p>
    <w:p w14:paraId="5229526A">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ascii="黑体" w:eastAsia="黑体" w:cs="Arial"/>
          <w:color w:val="auto"/>
          <w:sz w:val="21"/>
          <w:szCs w:val="21"/>
        </w:rPr>
      </w:pPr>
      <w:r>
        <w:rPr>
          <w:rFonts w:hint="eastAsia" w:ascii="黑体" w:eastAsia="黑体" w:cs="Arial"/>
          <w:color w:val="auto"/>
          <w:sz w:val="21"/>
          <w:szCs w:val="21"/>
        </w:rPr>
        <w:t>一、工作简况</w:t>
      </w:r>
    </w:p>
    <w:p w14:paraId="7889C107">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ascii="黑体" w:eastAsia="黑体" w:cs="Arial"/>
          <w:color w:val="auto"/>
          <w:sz w:val="21"/>
          <w:szCs w:val="21"/>
        </w:rPr>
      </w:pPr>
      <w:r>
        <w:rPr>
          <w:rFonts w:hint="eastAsia" w:ascii="黑体" w:eastAsia="黑体" w:cs="Arial"/>
          <w:color w:val="auto"/>
          <w:sz w:val="21"/>
          <w:szCs w:val="21"/>
        </w:rPr>
        <w:t>1.1任务来源</w:t>
      </w:r>
    </w:p>
    <w:p w14:paraId="0C6E110D">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default" w:ascii="宋体" w:hAnsi="宋体"/>
          <w:color w:val="auto"/>
          <w:sz w:val="21"/>
          <w:szCs w:val="21"/>
          <w:lang w:val="en-US" w:eastAsia="zh-CN"/>
        </w:rPr>
      </w:pPr>
      <w:r>
        <w:rPr>
          <w:rFonts w:hint="eastAsia" w:ascii="宋体" w:hAnsi="宋体"/>
          <w:color w:val="auto"/>
          <w:sz w:val="21"/>
          <w:szCs w:val="21"/>
          <w:lang w:val="en-US" w:eastAsia="zh-CN"/>
        </w:rPr>
        <w:t>根据国标委发(2026)28号《国家标准委关于下达2026年第四批推荐性国家标准计划及相关标准外文版计划的通知》文件，《换向器用银无氧铜线坯》国家标准(计划号20262448-T-610)，由浙江力博实业股份有限公司、江西力博科诚铜业有限公司、浙江省冶金研究院有限公司、绍兴市质量技术监督检测院、中色创新研究院（天津）有限公司、绍兴市特种设备检测院、江西金品铜业科技有限公司、江西广信新材料股份有限公司等公司起草，完成年限为2027年。</w:t>
      </w:r>
    </w:p>
    <w:p w14:paraId="78559F10">
      <w:pPr>
        <w:pStyle w:val="16"/>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rPr>
          <w:rFonts w:hint="eastAsia" w:hAnsi="黑体" w:cs="黑体"/>
          <w:color w:val="auto"/>
          <w:sz w:val="21"/>
          <w:szCs w:val="21"/>
        </w:rPr>
      </w:pPr>
      <w:r>
        <w:rPr>
          <w:rFonts w:hint="eastAsia" w:hAnsi="黑体" w:cs="黑体"/>
          <w:color w:val="auto"/>
          <w:sz w:val="21"/>
          <w:szCs w:val="21"/>
        </w:rPr>
        <w:t>1.2立项目的和意义</w:t>
      </w:r>
    </w:p>
    <w:p w14:paraId="4D28523F">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随着全球经济的复苏和工业化进程的加速，电机、电动工具、自动化设备等领域的市场需求持续增长，为换向器行业的发展提供了广阔的市场空间。本次对GB/T 33882《换向器用银无氧铜线坯》国家标准的修订，旨在应对全球工业化进程加速与新能源汽车产业爆发式增长带来的新需求，解决现行标准实施以来与产业发展脱节的问题。其核心目的是通过提升材料的技术指标门槛，引导行业淘汰落后产能，推动换向器基础材料向高强度、高导电、高可靠性升级，以满足现代电机，尤其是新能源汽车驱动电机、控制系统及各类精密自动化设备对核心部件的苛刻要求。在经济与产业层面，它是支撑我国制造业高质量发展的重要基石。随着2023年全球换向器市场规模达到137.4亿元并持续增长，上游材料标准的升级将直接拉动整个产业链的提质增效。修订工作积极响应了《关于支持新能源汽车贸易合作健康发展单位的意见》等国家政策，通过构建更先进、更可靠的材料标准体系，助力我国新能源汽车供应链企业提升国际竞争力，融入并主导全球“共建共享”的产业链体系。</w:t>
      </w:r>
    </w:p>
    <w:p w14:paraId="50515378">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在社会与生态效益方面，新标准根据下游企业需要，增加了两个新的牌号，并通过提高性能指标，将显著提升换向器的耐久性和能效。这不仅延长了终端产品的使用寿命，从源头减少了废弃物产生，还通过提高电机效率为国家的“双碳”目标做出贡献。同时，标准修订是落实《智能制造试点示范行动实施方案》的具体体现，以高标准引领制造业智能化、绿色化转型，为社会带来更安全、更可靠、更环保的工业与消费产品。</w:t>
      </w:r>
    </w:p>
    <w:p w14:paraId="5B192B54">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default" w:eastAsiaTheme="minorEastAsia"/>
          <w:lang w:val="en-US" w:eastAsia="zh-CN"/>
        </w:rPr>
      </w:pPr>
      <w:r>
        <w:rPr>
          <w:rFonts w:hint="eastAsia" w:ascii="宋体" w:hAnsi="宋体"/>
          <w:color w:val="auto"/>
          <w:sz w:val="21"/>
          <w:szCs w:val="21"/>
          <w:lang w:val="en-US" w:eastAsia="zh-CN"/>
        </w:rPr>
        <w:t>综上所述，本标准的修订不仅是技术参数的简单提升，更是一次战略性的产业升级行动。它将为我国从“制造大国”迈向“制造强国”在微观基础材料领域提供坚实的技术支撑，对巩固我国在全球电机与新能源汽车产业链中的核心地位具有不可替代的关键作用。</w:t>
      </w:r>
    </w:p>
    <w:p w14:paraId="57437CB9">
      <w:pPr>
        <w:pStyle w:val="16"/>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rPr>
          <w:rFonts w:hint="eastAsia" w:hAnsi="黑体" w:cs="黑体"/>
          <w:color w:val="auto"/>
          <w:sz w:val="21"/>
          <w:szCs w:val="21"/>
          <w:lang w:val="en-US" w:eastAsia="zh-CN"/>
        </w:rPr>
      </w:pPr>
      <w:r>
        <w:rPr>
          <w:rFonts w:hint="eastAsia" w:hAnsi="黑体" w:cs="黑体"/>
          <w:color w:val="auto"/>
          <w:sz w:val="21"/>
          <w:szCs w:val="21"/>
        </w:rPr>
        <w:t>1.3</w:t>
      </w:r>
      <w:r>
        <w:rPr>
          <w:rFonts w:hint="eastAsia" w:hAnsi="黑体" w:cs="黑体"/>
          <w:color w:val="auto"/>
          <w:sz w:val="21"/>
          <w:szCs w:val="21"/>
          <w:lang w:val="en-US" w:eastAsia="zh-CN"/>
        </w:rPr>
        <w:t>主要参加单位和工作成员所作的工作</w:t>
      </w:r>
    </w:p>
    <w:p w14:paraId="792E46EE">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1、主要参加单位情况</w:t>
      </w:r>
    </w:p>
    <w:p w14:paraId="27BC327C">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1）浙江力博实业股份有限公司，专业生产各类电力、电工、电子用铜及铜合金，包括铜线、铜板带、铜型材及电磁线等产品。浙江力博实业股份有限公司为中国有色金属加工工业协会副理事长单位、中国铜棒线材十强企业、中国铜板带材十强企业、中国铜棒排材十强企业、浙江省AAA级“守合同重信用”企业、浙江省信用管理示范企业，“力博”品牌为中国市场推荐品牌。公司建有省级企业研究院、省级技术中心、博士后工作站等科技创新平台，拥有国家授权专利近百项，主持（参与）制定国家（行业、团体）标准近五十项，承担国家“十二五”科技支撑计划重点项目和多项国家火炬计划项目等，获得了省部级科技进步一等奖、二等奖、三等奖共十项。公司是国内最大的高档电力、电工、电子铜材生产企业之一，拥有高纯无氧铜熔炼技术、连续挤压铜加工技术等核心技术优势，是该行业的国内的技术领先企业之一。</w:t>
      </w:r>
    </w:p>
    <w:p w14:paraId="20D7C3AF">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2）江西力博科诚铜业有限公司为力博集团全资子公司，位于江西贵溪，成立于2020年，专注无氧铜基新材料的研发制造和下游应用，年产各类无氧铜线丝、棒排、异型导体和电磁线等系列产品10万吨，产品主要应用于电力、电器、电子和新能源汽车、清洁能源、新型储能、5G通信等领域。公司全面通过ISO9001、ISO14001、ISO45001管理体系认证，以严格的标准规范企业生产与管理流程，为客户提供优质产品。公司传承集团“力求完美，博采众长”的发展愿景，秉持“创新驱动发展，品质赢得未来”的经营理念，依托科技创新，结合工艺特色，聚焦新材料应用趋势，围绕新质生产力，建设高质量发展企业。</w:t>
      </w:r>
    </w:p>
    <w:p w14:paraId="5A6B81EE">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3）绍兴市质量技术监督检测院隶属于绍兴市市场监督管理局，位于绍兴市滨海新区国家级检测试验科研基地内，占地90多亩、建筑面积9.6万平方米，是绍兴市规模最大，综合实力最强，完全独立于产品开发、生产、经销、使用的第三方公正检测检定技术机构，具有独立法人资格，致力于为社会各方包括政府各部门、司法部门、保险业、生产企业、商业企业、消费者提供高质量的检测、检定、校准技术服务。2005年，被列入全国50所重点质检院所名单。建有国家环保设备质量检验检测中心（浙江）、国家有色金属加工产品质量检验检测中心（浙江）、国家纺织化学品质量检验检测中心（浙江）3个国家质检中心和全国纺织化学品环保鉴定与评价中心，还建有4个省级质检中心（浙江省纺织品与染化料产品质量检验中心、浙江省制冷配件设备质量检验中心、浙江省纺织机械产品质量检验中心、浙江省淡水珍珠质量检验中心）。2010年院士专家工作站成立，2011年浙江省博士后科研工作站正式挂牌。拥有各类测量设备2000余台套，检测能力覆盖环保设备、金属材料、纺织与染化料、化工、通用机电设备、制冷配件、建设工程材料、消防工程、安防工程、橡塑制品、家用电器、电线电缆、轻工产品、黄金珠宝、空气与水环境、食品相关产品等十九大类2000多个产品，并通过国家实验室认可和国家级、省级计量认证/审查认可。</w:t>
      </w:r>
      <w:bookmarkStart w:id="1" w:name="_GoBack"/>
      <w:bookmarkEnd w:id="1"/>
      <w:r>
        <w:rPr>
          <w:rFonts w:hint="eastAsia" w:ascii="宋体" w:hAnsi="宋体"/>
          <w:color w:val="auto"/>
          <w:sz w:val="21"/>
          <w:szCs w:val="21"/>
          <w:lang w:val="en-US" w:eastAsia="zh-CN"/>
        </w:rPr>
        <w:t>我院自2013年开始参与全国有色金属标准化技术委员会工作以来，为主或参与国家/行业标准制修订20多项，其中近10项标准水平达到国际先进水平，5项获有色标委会年度技术标准优秀奖。</w:t>
      </w:r>
    </w:p>
    <w:p w14:paraId="49897A8A">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4）浙江省冶金研究院有限公司成立于1958年，是一家生产金属材料、焊接材料、电工合金、硬质合金、难熔金属材料及制品、合金粉体和纳米材料及制品、医药金属中间体、贵金属催化剂、和冶金产品理化分析的高新技术企业。在研究水平方面，公司的研究条件及整体水平处于国内领先，通过承担一系列科研项目，取得了丰硕成果：已获授权国家发明专利百多项；负责编制了GB/T 8891-2025《铜及铜合金散热管》；参与编制了GB/T 45340-2025《金属及其他无机覆盖层 镀层厚度的测量 斐索多光束干涉法》、GB/T 26871-2024《电触头材料金相试验方法》、GB/T 44392-2024《电工合金生产企业能耗评价方法》、GB/T 39285-2020《钯化合物分析方法 氯含量的测定 离子色谱法》、GB/T 34609.1-2017《铑化合物化学分析方法 第1部分：铑量的测定 硝酸六氨合钴重量》、GB/T 8894-2014《圆形铜合金波导管》等多项标准。</w:t>
      </w:r>
    </w:p>
    <w:p w14:paraId="1D739105">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5）中色创新研究院（天津）有限公司成立于2022年06月，是中央企业在天津建设成立的第一家集团创新型研究机构。立足于中国有色集团以铜为主的勘探-矿产开发-冶金-制备-加工的全产业链条，公司深度融入战略性新兴产业，培育、孵化未来产业，打造科技攻关重地、原创技术策源地、科研成果孵化地、科技人才高地，优先发展新材料、铜及铜合金业务，致力于打造集前沿探索、应用基础研究、卡脖子技术和前瞻性技术研究、关键共性技术开发、中试验证、产业应用推广于一体的具有“行业一流、国内先进”水平的科技创新平台。公司现拥有有色金属加工相关设备100余台套，具备重大科研项目落地实施及新型产业孵化的能力，已取得“高新技术企业”、“雏鹰企业”、“博士后创新实践基地”等资质认定；拥有由集团公司首席专家、科技领军人才、技术骨干、青年科技人才组成的约60人的科技人才团队，研究方向涉及采矿、矿物加工，材料科学与工程等多个领域。下一步，公司将聚焦战略有色金属铜、镍、钴资源高效利用，战略性新兴产业和未来产业关键材料，以超导材料、高性能铜及铜合金材料、资源高效利用等方向为主要研究领域，开展重大关键技术攻关，突破行业“卡脖子”关键技术和产品，引领行业技术进步。</w:t>
      </w:r>
    </w:p>
    <w:p w14:paraId="224A5476">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6）绍兴市特种设备检测院，是绍兴市市场监督管理局下属的公益二类事业单位。主要从事绍兴市辖区内锅炉、压力容器、压力管道、电梯、起重机械、场（厂）内机动车辆等特种设备及安全附件检验检测，特种设备作业人员、管理人员、焊工考试，能源计量器具检定校准，能源效率测试，特种设备安全风险评估、事故分析预警及鉴定、公共服务、科学研究等工作，承担全市特种设备安全监察技术支撑。组织架构：全院设12个部门，其中3个综合管理部门、9个检验检测业务部门，基本形成了以袍江院本部为主体，嵊新分院、诸暨分院、上虞检验站为三翼的多联发展格局。全院占地面积6.3亩，办公面积2.1万平方米，资产总额15300万元。人才装备：全院现有干部职工208人，其中博士研究生3人，硕士研究生56人；正高级职称3人，副高级职称50人；持有各类检验师证158本，各类无损检测证158本，其中Ⅲ级证14本，注册计量师证27本。拥有工业CT、场发射扫描电镜（含EBSD）、全国首套集成高温拉伸压缩单元的超高温激光共聚焦系统、XRD、微区电化学工作站、高低温疲劳试验机、相控阵、TOFD、DR、漏磁、超声导波、脉冲涡流等先进仪器设备，设备资产达8831万元。资质能力：特检院拥有特种设备检验检测机构核准项目25项（甲B1、乙类检验机构、检测机构）；授权计量检定项目42项、校准项目43项，授权能效产品检测项目2项；资质认定206个项目，检验机构认可和实验室认可20个领域97个项目。近年来，参加全国特种设备检验技术比武，先后斩获起重机械定期检验、工业锅炉定期检验、固定式压力容器定期检验一等奖。全力保障圆锦新材料50台4000立方米大型球罐，杭绍台高速（高铁）、柯诸高速、绍兴地铁、中芯国际等重点工程项目特种设备安全。科技创新：近年来，绍兴特检院积极推进重大科研创新，加快高层次人才聚集和培养，先后创建绍兴市特种设备智能检测与评价重点实验室、浙江省博士后工作站、绍兴市博士创新站、绍兴市院士（专家）工作站、绍兴市高端装备先进制造技术及可靠性概念验证中心（筹）、浙江省市场监督管理局先进金属材料微结构表征与可靠性科创中心等科技创新平台。截至目前，已先后荣获浙江省科技进步三等奖、中国发明协会发明创业创新奖二等奖等省部级科技奖项18项、绍兴市科技进步三等奖1项；连续五年荣获“欧波同杯”全国失效分析大赛一等奖；科技成果转化实施2项；立项中国博士后面上基金项目2项，立项国家市场监管总局、浙江省自然基金等省部级科研项目17项、市厅级科研项目41项；参与制修订国家/行业/地方标准37项、各级团体标准32项；授权发明专利23件、实用新型及外观设计专利37件、软著53件；发表论文337篇、其中SCI/EI/核心论文等41篇；科技成果鉴定18项、其中国际先进2项、国内领先11项。</w:t>
      </w:r>
    </w:p>
    <w:p w14:paraId="5B66CD17">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7）江西金品铜业科技有限公司（简称金品铜科）成立于2013年3月，位于抚州高新区。公司总投资25亿元人民币，占地面积324.8亩，总建筑面积16万平方米。现有装备产能为30万吨铜加工材，目前主要产品有：各种牌号规格的高精度铜板、铜带、铜排、铜棒、铜杆、铜线、特种漆包线等。公司拥有自己的省级企业技术中心和工程技术研究中心。自成立以来，已共获得各类专利200余项。22个产品被认定为江西省省级新产品，10个新产品获江西省优秀新产品奖、8个产品获江西省名牌产品称号。公司也是江西省节能减排科技示范企业、江西省智能智造试点示范企业、江西省“五一”劳动奖状获得者江西省制造业领航企业、江西省管理创新示范企业、江西省领军企业、江西省绿色工厂、江西省科技领军入库企业、江西省“小灯塔”企业、国家知识产权优势企业、国家高新技术企业、国家专精特新“小巨人”企业。公司已连续八年成为江西民营企业制造业100强、江西民营企业100强、江西企业100强，2025年荣登2025中国制造业民营企业500强榜单。截止目前，公司累计纳税已超过30亿元。公司在有色金属加工行业也已获得了较高的认可度，公司为全国铜板带十强企业（中国有色金属加工工业协会评定），全国铜板带加工企业十大优质供应商（上海有色网评定）。公司为全国有色金属标准化技术委员会会员单位，已参与多项国家标准和行业标准起草制定工作。在发展企业的同时，公司始终不忘自己的社会责任，公司成立10多年来，已通过各种途径向社会捐赠数百万元，用于教育、贫困救济等，公司还建立了金品慈善基金，以确保相关救助能持续有效。公司被江西省铜行业协会评为“博爱单位”，被抚州浙江商会评为“抗击疫情突出贡献单位”。公司长期参与“百企帮百村”活动，被抚州高新区授予“百企进村”精准扶贫促乡村振兴“突出贡献企业”。公司将积极践行新发展理念，依靠科技创新，走高质量发展的经营思路，勤奋务实，积极进取，开拓创新，坚实地走好每一步，努力把企业做优、做强、做大，为有色金属产业高质量发展作出应用的贡献。</w:t>
      </w:r>
    </w:p>
    <w:p w14:paraId="3DFCC97B">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8）江西广信新材料股份有限公司创建于2010年，是一家专业从事铜及铜基新材料研发、生产、销售和服务为一体的民营股份制企业。先后获批国家高新技术企业、国家重点小巨人、国家智能制造示范企业。公司主营业务有TU0O高纯无氧铜材（盘圆、棒、带、线）、高强高导铜合金、银铜合金（杆、线、异型材、换向器片、带材）、新能源用铜基、铝基汇流排等各类铜及铜合金系列产品。产品广泛应用于电动工具、新能源、电气化铁路、家用电器、真空电子、AI算力等行业。银铜合金产品在国内换向器市场的占有率达到40%左右。</w:t>
      </w:r>
    </w:p>
    <w:p w14:paraId="181301C7">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2、主要工作成员所负责的工作情况</w:t>
      </w:r>
    </w:p>
    <w:p w14:paraId="11402B85">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本标准主要起草人及工作职责见表1</w:t>
      </w:r>
    </w:p>
    <w:p w14:paraId="5C650792">
      <w:pPr>
        <w:keepNext w:val="0"/>
        <w:keepLines w:val="0"/>
        <w:pageBreakBefore w:val="0"/>
        <w:kinsoku/>
        <w:wordWrap/>
        <w:overflowPunct/>
        <w:topLinePunct w:val="0"/>
        <w:autoSpaceDE/>
        <w:autoSpaceDN/>
        <w:bidi w:val="0"/>
        <w:adjustRightInd/>
        <w:snapToGrid/>
        <w:spacing w:line="440" w:lineRule="exact"/>
        <w:ind w:firstLine="360" w:firstLineChars="200"/>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表1   标准编制组成员及职责</w:t>
      </w:r>
    </w:p>
    <w:tbl>
      <w:tblPr>
        <w:tblStyle w:val="10"/>
        <w:tblW w:w="889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57" w:type="dxa"/>
          <w:left w:w="108" w:type="dxa"/>
          <w:bottom w:w="57" w:type="dxa"/>
          <w:right w:w="108" w:type="dxa"/>
        </w:tblCellMar>
      </w:tblPr>
      <w:tblGrid>
        <w:gridCol w:w="703"/>
        <w:gridCol w:w="1525"/>
        <w:gridCol w:w="6666"/>
      </w:tblGrid>
      <w:tr w14:paraId="37636B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302" w:hRule="atLeast"/>
          <w:jc w:val="center"/>
        </w:trPr>
        <w:tc>
          <w:tcPr>
            <w:tcW w:w="703" w:type="dxa"/>
            <w:noWrap/>
            <w:tcMar>
              <w:top w:w="0" w:type="dxa"/>
              <w:left w:w="108" w:type="dxa"/>
              <w:bottom w:w="0" w:type="dxa"/>
              <w:right w:w="108" w:type="dxa"/>
            </w:tcMar>
            <w:vAlign w:val="center"/>
          </w:tcPr>
          <w:p w14:paraId="76394D36">
            <w:pPr>
              <w:adjustRightInd w:val="0"/>
              <w:snapToGrid w:val="0"/>
              <w:spacing w:line="38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序号</w:t>
            </w:r>
          </w:p>
        </w:tc>
        <w:tc>
          <w:tcPr>
            <w:tcW w:w="1525" w:type="dxa"/>
            <w:noWrap/>
            <w:tcMar>
              <w:top w:w="0" w:type="dxa"/>
              <w:left w:w="108" w:type="dxa"/>
              <w:bottom w:w="0" w:type="dxa"/>
              <w:right w:w="108" w:type="dxa"/>
            </w:tcMar>
            <w:vAlign w:val="center"/>
          </w:tcPr>
          <w:p w14:paraId="0906A753">
            <w:pPr>
              <w:adjustRightInd w:val="0"/>
              <w:snapToGrid w:val="0"/>
              <w:spacing w:line="38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起草人姓名</w:t>
            </w:r>
          </w:p>
        </w:tc>
        <w:tc>
          <w:tcPr>
            <w:tcW w:w="6666" w:type="dxa"/>
            <w:noWrap/>
            <w:tcMar>
              <w:top w:w="0" w:type="dxa"/>
              <w:left w:w="108" w:type="dxa"/>
              <w:bottom w:w="0" w:type="dxa"/>
              <w:right w:w="108" w:type="dxa"/>
            </w:tcMar>
            <w:vAlign w:val="center"/>
          </w:tcPr>
          <w:p w14:paraId="7A312D88">
            <w:pPr>
              <w:adjustRightInd w:val="0"/>
              <w:snapToGrid w:val="0"/>
              <w:spacing w:line="38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职责及分工</w:t>
            </w:r>
          </w:p>
        </w:tc>
      </w:tr>
      <w:tr w14:paraId="7D60E6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302" w:hRule="atLeast"/>
          <w:jc w:val="center"/>
        </w:trPr>
        <w:tc>
          <w:tcPr>
            <w:tcW w:w="703" w:type="dxa"/>
            <w:noWrap/>
            <w:tcMar>
              <w:top w:w="0" w:type="dxa"/>
              <w:left w:w="108" w:type="dxa"/>
              <w:bottom w:w="0" w:type="dxa"/>
              <w:right w:w="108" w:type="dxa"/>
            </w:tcMar>
            <w:vAlign w:val="center"/>
          </w:tcPr>
          <w:p w14:paraId="714F3C0C">
            <w:pPr>
              <w:adjustRightInd w:val="0"/>
              <w:snapToGrid w:val="0"/>
              <w:spacing w:line="380" w:lineRule="exact"/>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w:t>
            </w:r>
          </w:p>
        </w:tc>
        <w:tc>
          <w:tcPr>
            <w:tcW w:w="1525" w:type="dxa"/>
            <w:noWrap/>
            <w:tcMar>
              <w:top w:w="0" w:type="dxa"/>
              <w:left w:w="108" w:type="dxa"/>
              <w:bottom w:w="0" w:type="dxa"/>
              <w:right w:w="108" w:type="dxa"/>
            </w:tcMar>
            <w:vAlign w:val="center"/>
          </w:tcPr>
          <w:p w14:paraId="7906D10D">
            <w:pPr>
              <w:adjustRightInd w:val="0"/>
              <w:snapToGrid w:val="0"/>
              <w:spacing w:line="380" w:lineRule="exact"/>
              <w:jc w:val="center"/>
              <w:rPr>
                <w:rFonts w:hint="default" w:ascii="Times New Roman" w:hAnsi="Times New Roman" w:eastAsia="宋体" w:cs="Times New Roman"/>
                <w:sz w:val="18"/>
                <w:szCs w:val="18"/>
              </w:rPr>
            </w:pPr>
          </w:p>
        </w:tc>
        <w:tc>
          <w:tcPr>
            <w:tcW w:w="6666" w:type="dxa"/>
            <w:noWrap/>
            <w:tcMar>
              <w:top w:w="0" w:type="dxa"/>
              <w:left w:w="108" w:type="dxa"/>
              <w:bottom w:w="0" w:type="dxa"/>
              <w:right w:w="108" w:type="dxa"/>
            </w:tcMar>
            <w:vAlign w:val="center"/>
          </w:tcPr>
          <w:p w14:paraId="2CD1570D">
            <w:pPr>
              <w:adjustRightInd w:val="0"/>
              <w:snapToGrid w:val="0"/>
              <w:spacing w:line="380" w:lineRule="exact"/>
              <w:jc w:val="center"/>
              <w:rPr>
                <w:rFonts w:hint="default" w:ascii="Times New Roman" w:hAnsi="Times New Roman" w:eastAsia="宋体" w:cs="Times New Roman"/>
                <w:sz w:val="18"/>
                <w:szCs w:val="18"/>
              </w:rPr>
            </w:pPr>
          </w:p>
        </w:tc>
      </w:tr>
      <w:tr w14:paraId="7819A6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703" w:type="dxa"/>
            <w:noWrap/>
            <w:tcMar>
              <w:top w:w="0" w:type="dxa"/>
              <w:left w:w="108" w:type="dxa"/>
              <w:bottom w:w="0" w:type="dxa"/>
              <w:right w:w="108" w:type="dxa"/>
            </w:tcMar>
            <w:vAlign w:val="center"/>
          </w:tcPr>
          <w:p w14:paraId="058F8055">
            <w:pPr>
              <w:adjustRightInd w:val="0"/>
              <w:snapToGrid w:val="0"/>
              <w:spacing w:line="380" w:lineRule="exact"/>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2</w:t>
            </w:r>
          </w:p>
        </w:tc>
        <w:tc>
          <w:tcPr>
            <w:tcW w:w="1525" w:type="dxa"/>
            <w:noWrap/>
            <w:tcMar>
              <w:top w:w="0" w:type="dxa"/>
              <w:left w:w="108" w:type="dxa"/>
              <w:bottom w:w="0" w:type="dxa"/>
              <w:right w:w="108" w:type="dxa"/>
            </w:tcMar>
            <w:vAlign w:val="center"/>
          </w:tcPr>
          <w:p w14:paraId="02FFA6AD">
            <w:pPr>
              <w:adjustRightInd w:val="0"/>
              <w:snapToGrid w:val="0"/>
              <w:spacing w:line="380" w:lineRule="exact"/>
              <w:jc w:val="center"/>
              <w:rPr>
                <w:rFonts w:hint="default" w:ascii="Times New Roman" w:hAnsi="Times New Roman" w:eastAsia="宋体" w:cs="Times New Roman"/>
                <w:sz w:val="18"/>
                <w:szCs w:val="18"/>
              </w:rPr>
            </w:pPr>
          </w:p>
        </w:tc>
        <w:tc>
          <w:tcPr>
            <w:tcW w:w="6666" w:type="dxa"/>
            <w:noWrap/>
            <w:tcMar>
              <w:top w:w="0" w:type="dxa"/>
              <w:left w:w="108" w:type="dxa"/>
              <w:bottom w:w="0" w:type="dxa"/>
              <w:right w:w="108" w:type="dxa"/>
            </w:tcMar>
            <w:vAlign w:val="center"/>
          </w:tcPr>
          <w:p w14:paraId="78C006C9">
            <w:pPr>
              <w:adjustRightInd w:val="0"/>
              <w:snapToGrid w:val="0"/>
              <w:spacing w:line="380" w:lineRule="exact"/>
              <w:jc w:val="center"/>
              <w:rPr>
                <w:rFonts w:hint="default" w:ascii="Times New Roman" w:hAnsi="Times New Roman" w:eastAsia="宋体" w:cs="Times New Roman"/>
                <w:sz w:val="18"/>
                <w:szCs w:val="18"/>
              </w:rPr>
            </w:pPr>
          </w:p>
        </w:tc>
      </w:tr>
      <w:tr w14:paraId="2D3252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302" w:hRule="atLeast"/>
          <w:jc w:val="center"/>
        </w:trPr>
        <w:tc>
          <w:tcPr>
            <w:tcW w:w="703" w:type="dxa"/>
            <w:noWrap/>
            <w:tcMar>
              <w:top w:w="0" w:type="dxa"/>
              <w:left w:w="108" w:type="dxa"/>
              <w:bottom w:w="0" w:type="dxa"/>
              <w:right w:w="108" w:type="dxa"/>
            </w:tcMar>
            <w:vAlign w:val="center"/>
          </w:tcPr>
          <w:p w14:paraId="45A24354">
            <w:pPr>
              <w:adjustRightInd w:val="0"/>
              <w:snapToGrid w:val="0"/>
              <w:spacing w:line="380" w:lineRule="exact"/>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3</w:t>
            </w:r>
          </w:p>
        </w:tc>
        <w:tc>
          <w:tcPr>
            <w:tcW w:w="1525" w:type="dxa"/>
            <w:noWrap/>
            <w:tcMar>
              <w:top w:w="0" w:type="dxa"/>
              <w:left w:w="108" w:type="dxa"/>
              <w:bottom w:w="0" w:type="dxa"/>
              <w:right w:w="108" w:type="dxa"/>
            </w:tcMar>
            <w:vAlign w:val="center"/>
          </w:tcPr>
          <w:p w14:paraId="4F075C7A">
            <w:pPr>
              <w:adjustRightInd w:val="0"/>
              <w:snapToGrid w:val="0"/>
              <w:spacing w:line="380" w:lineRule="exact"/>
              <w:jc w:val="center"/>
              <w:rPr>
                <w:rFonts w:hint="default" w:ascii="Times New Roman" w:hAnsi="Times New Roman" w:eastAsia="宋体" w:cs="Times New Roman"/>
                <w:sz w:val="18"/>
                <w:szCs w:val="18"/>
              </w:rPr>
            </w:pPr>
          </w:p>
        </w:tc>
        <w:tc>
          <w:tcPr>
            <w:tcW w:w="6666" w:type="dxa"/>
            <w:noWrap/>
            <w:tcMar>
              <w:top w:w="0" w:type="dxa"/>
              <w:left w:w="108" w:type="dxa"/>
              <w:bottom w:w="0" w:type="dxa"/>
              <w:right w:w="108" w:type="dxa"/>
            </w:tcMar>
            <w:vAlign w:val="center"/>
          </w:tcPr>
          <w:p w14:paraId="73E9AE42">
            <w:pPr>
              <w:adjustRightInd w:val="0"/>
              <w:snapToGrid w:val="0"/>
              <w:spacing w:line="380" w:lineRule="exact"/>
              <w:jc w:val="center"/>
              <w:rPr>
                <w:rFonts w:hint="default" w:ascii="Times New Roman" w:hAnsi="Times New Roman" w:eastAsia="宋体" w:cs="Times New Roman"/>
                <w:sz w:val="18"/>
                <w:szCs w:val="18"/>
              </w:rPr>
            </w:pPr>
          </w:p>
        </w:tc>
      </w:tr>
      <w:tr w14:paraId="2EB605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302" w:hRule="atLeast"/>
          <w:jc w:val="center"/>
        </w:trPr>
        <w:tc>
          <w:tcPr>
            <w:tcW w:w="703" w:type="dxa"/>
            <w:noWrap/>
            <w:tcMar>
              <w:top w:w="0" w:type="dxa"/>
              <w:left w:w="108" w:type="dxa"/>
              <w:bottom w:w="0" w:type="dxa"/>
              <w:right w:w="108" w:type="dxa"/>
            </w:tcMar>
            <w:vAlign w:val="center"/>
          </w:tcPr>
          <w:p w14:paraId="23C632E6">
            <w:pPr>
              <w:adjustRightInd w:val="0"/>
              <w:snapToGrid w:val="0"/>
              <w:spacing w:line="380" w:lineRule="exact"/>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w:t>
            </w:r>
          </w:p>
        </w:tc>
        <w:tc>
          <w:tcPr>
            <w:tcW w:w="1525" w:type="dxa"/>
            <w:noWrap/>
            <w:tcMar>
              <w:top w:w="0" w:type="dxa"/>
              <w:left w:w="108" w:type="dxa"/>
              <w:bottom w:w="0" w:type="dxa"/>
              <w:right w:w="108" w:type="dxa"/>
            </w:tcMar>
            <w:vAlign w:val="center"/>
          </w:tcPr>
          <w:p w14:paraId="6466DC78">
            <w:pPr>
              <w:adjustRightInd w:val="0"/>
              <w:snapToGrid w:val="0"/>
              <w:spacing w:line="380" w:lineRule="exact"/>
              <w:jc w:val="center"/>
              <w:rPr>
                <w:rFonts w:hint="default" w:ascii="Times New Roman" w:hAnsi="Times New Roman" w:eastAsia="宋体" w:cs="Times New Roman"/>
                <w:sz w:val="18"/>
                <w:szCs w:val="18"/>
              </w:rPr>
            </w:pPr>
          </w:p>
        </w:tc>
        <w:tc>
          <w:tcPr>
            <w:tcW w:w="6666" w:type="dxa"/>
            <w:noWrap/>
            <w:tcMar>
              <w:top w:w="0" w:type="dxa"/>
              <w:left w:w="108" w:type="dxa"/>
              <w:bottom w:w="0" w:type="dxa"/>
              <w:right w:w="108" w:type="dxa"/>
            </w:tcMar>
            <w:vAlign w:val="center"/>
          </w:tcPr>
          <w:p w14:paraId="21E821DC">
            <w:pPr>
              <w:adjustRightInd w:val="0"/>
              <w:snapToGrid w:val="0"/>
              <w:spacing w:line="380" w:lineRule="exact"/>
              <w:jc w:val="center"/>
              <w:rPr>
                <w:rFonts w:hint="default" w:ascii="Times New Roman" w:hAnsi="Times New Roman" w:eastAsia="宋体" w:cs="Times New Roman"/>
                <w:sz w:val="18"/>
                <w:szCs w:val="18"/>
              </w:rPr>
            </w:pPr>
          </w:p>
        </w:tc>
      </w:tr>
      <w:tr w14:paraId="64AF07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302" w:hRule="atLeast"/>
          <w:jc w:val="center"/>
        </w:trPr>
        <w:tc>
          <w:tcPr>
            <w:tcW w:w="703" w:type="dxa"/>
            <w:noWrap/>
            <w:tcMar>
              <w:top w:w="0" w:type="dxa"/>
              <w:left w:w="108" w:type="dxa"/>
              <w:bottom w:w="0" w:type="dxa"/>
              <w:right w:w="108" w:type="dxa"/>
            </w:tcMar>
            <w:vAlign w:val="center"/>
          </w:tcPr>
          <w:p w14:paraId="075D166C">
            <w:pPr>
              <w:adjustRightInd w:val="0"/>
              <w:snapToGrid w:val="0"/>
              <w:spacing w:line="380" w:lineRule="exact"/>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5</w:t>
            </w:r>
          </w:p>
        </w:tc>
        <w:tc>
          <w:tcPr>
            <w:tcW w:w="1525" w:type="dxa"/>
            <w:noWrap/>
            <w:tcMar>
              <w:top w:w="0" w:type="dxa"/>
              <w:left w:w="108" w:type="dxa"/>
              <w:bottom w:w="0" w:type="dxa"/>
              <w:right w:w="108" w:type="dxa"/>
            </w:tcMar>
            <w:vAlign w:val="center"/>
          </w:tcPr>
          <w:p w14:paraId="467C912D">
            <w:pPr>
              <w:adjustRightInd w:val="0"/>
              <w:snapToGrid w:val="0"/>
              <w:spacing w:line="380" w:lineRule="exact"/>
              <w:jc w:val="center"/>
              <w:rPr>
                <w:rFonts w:hint="default" w:ascii="Times New Roman" w:hAnsi="Times New Roman" w:eastAsia="宋体" w:cs="Times New Roman"/>
                <w:sz w:val="18"/>
                <w:szCs w:val="18"/>
              </w:rPr>
            </w:pPr>
          </w:p>
        </w:tc>
        <w:tc>
          <w:tcPr>
            <w:tcW w:w="6666" w:type="dxa"/>
            <w:noWrap/>
            <w:tcMar>
              <w:top w:w="0" w:type="dxa"/>
              <w:left w:w="108" w:type="dxa"/>
              <w:bottom w:w="0" w:type="dxa"/>
              <w:right w:w="108" w:type="dxa"/>
            </w:tcMar>
            <w:vAlign w:val="center"/>
          </w:tcPr>
          <w:p w14:paraId="63569C22">
            <w:pPr>
              <w:adjustRightInd w:val="0"/>
              <w:snapToGrid w:val="0"/>
              <w:spacing w:line="380" w:lineRule="exact"/>
              <w:jc w:val="center"/>
              <w:rPr>
                <w:rFonts w:hint="default" w:ascii="Times New Roman" w:hAnsi="Times New Roman" w:eastAsia="宋体" w:cs="Times New Roman"/>
                <w:sz w:val="18"/>
                <w:szCs w:val="18"/>
              </w:rPr>
            </w:pPr>
          </w:p>
        </w:tc>
      </w:tr>
      <w:tr w14:paraId="2B0DE6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302" w:hRule="atLeast"/>
          <w:jc w:val="center"/>
        </w:trPr>
        <w:tc>
          <w:tcPr>
            <w:tcW w:w="703" w:type="dxa"/>
            <w:tcBorders>
              <w:bottom w:val="single" w:color="auto" w:sz="8" w:space="0"/>
            </w:tcBorders>
            <w:noWrap/>
            <w:tcMar>
              <w:top w:w="0" w:type="dxa"/>
              <w:left w:w="108" w:type="dxa"/>
              <w:bottom w:w="0" w:type="dxa"/>
              <w:right w:w="108" w:type="dxa"/>
            </w:tcMar>
            <w:vAlign w:val="center"/>
          </w:tcPr>
          <w:p w14:paraId="298EC83C">
            <w:pPr>
              <w:adjustRightInd w:val="0"/>
              <w:snapToGrid w:val="0"/>
              <w:spacing w:line="380" w:lineRule="exact"/>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6</w:t>
            </w:r>
          </w:p>
        </w:tc>
        <w:tc>
          <w:tcPr>
            <w:tcW w:w="1525" w:type="dxa"/>
            <w:tcBorders>
              <w:bottom w:val="single" w:color="auto" w:sz="8" w:space="0"/>
            </w:tcBorders>
            <w:noWrap/>
            <w:tcMar>
              <w:top w:w="0" w:type="dxa"/>
              <w:left w:w="108" w:type="dxa"/>
              <w:bottom w:w="0" w:type="dxa"/>
              <w:right w:w="108" w:type="dxa"/>
            </w:tcMar>
            <w:vAlign w:val="center"/>
          </w:tcPr>
          <w:p w14:paraId="4B4A7F2C">
            <w:pPr>
              <w:adjustRightInd w:val="0"/>
              <w:snapToGrid w:val="0"/>
              <w:spacing w:line="380" w:lineRule="exact"/>
              <w:jc w:val="center"/>
              <w:rPr>
                <w:rFonts w:hint="default" w:ascii="Times New Roman" w:hAnsi="Times New Roman" w:eastAsia="宋体" w:cs="Times New Roman"/>
                <w:sz w:val="18"/>
                <w:szCs w:val="18"/>
              </w:rPr>
            </w:pPr>
          </w:p>
        </w:tc>
        <w:tc>
          <w:tcPr>
            <w:tcW w:w="6666" w:type="dxa"/>
            <w:tcBorders>
              <w:bottom w:val="single" w:color="auto" w:sz="8" w:space="0"/>
            </w:tcBorders>
            <w:noWrap/>
            <w:tcMar>
              <w:top w:w="0" w:type="dxa"/>
              <w:left w:w="108" w:type="dxa"/>
              <w:bottom w:w="0" w:type="dxa"/>
              <w:right w:w="108" w:type="dxa"/>
            </w:tcMar>
            <w:vAlign w:val="center"/>
          </w:tcPr>
          <w:p w14:paraId="3BE7AA2F">
            <w:pPr>
              <w:adjustRightInd w:val="0"/>
              <w:snapToGrid w:val="0"/>
              <w:spacing w:line="380" w:lineRule="exact"/>
              <w:jc w:val="center"/>
              <w:rPr>
                <w:rFonts w:hint="default" w:ascii="Times New Roman" w:hAnsi="Times New Roman" w:eastAsia="宋体" w:cs="Times New Roman"/>
                <w:sz w:val="18"/>
                <w:szCs w:val="18"/>
              </w:rPr>
            </w:pPr>
          </w:p>
        </w:tc>
      </w:tr>
    </w:tbl>
    <w:p w14:paraId="67492C66">
      <w:pPr>
        <w:pStyle w:val="16"/>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rPr>
          <w:rFonts w:hint="eastAsia" w:hAnsi="黑体" w:cs="黑体"/>
          <w:color w:val="auto"/>
          <w:sz w:val="21"/>
          <w:szCs w:val="21"/>
        </w:rPr>
      </w:pPr>
      <w:r>
        <w:rPr>
          <w:rFonts w:hint="eastAsia" w:hAnsi="黑体" w:cs="黑体"/>
          <w:color w:val="auto"/>
          <w:sz w:val="21"/>
          <w:szCs w:val="21"/>
        </w:rPr>
        <w:t>1.4 主要工作过程</w:t>
      </w:r>
    </w:p>
    <w:p w14:paraId="71E1FD77">
      <w:pPr>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1.4.1预研阶段</w:t>
      </w:r>
    </w:p>
    <w:p w14:paraId="39897857">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浙江力博实业股份有限公司在对国内外换向器用银无氧铜线坯的生产技术、市场需求和标准现状进行充分调研的基础上，提出了标准修订的必要性和可行性分析，形成标准修订项目建议书，并向全国有色金属标准化技术委员会提交了修订申请。</w:t>
      </w:r>
    </w:p>
    <w:p w14:paraId="6F6A1AFA">
      <w:pPr>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1.4.2标准立项</w:t>
      </w:r>
    </w:p>
    <w:p w14:paraId="0E74E1E9">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default" w:ascii="宋体" w:hAnsi="宋体"/>
          <w:color w:val="auto"/>
          <w:sz w:val="21"/>
          <w:szCs w:val="21"/>
          <w:lang w:val="en-US" w:eastAsia="zh-CN"/>
        </w:rPr>
      </w:pPr>
      <w:r>
        <w:rPr>
          <w:rFonts w:hint="eastAsia" w:ascii="宋体" w:hAnsi="宋体"/>
          <w:color w:val="auto"/>
          <w:sz w:val="21"/>
          <w:szCs w:val="21"/>
          <w:lang w:val="en-US" w:eastAsia="zh-CN"/>
        </w:rPr>
        <w:t>标准项目于2025年11月杭州标准年会提交全体委员会议讨论、申请立项，并于2026年4月下达标准计划。</w:t>
      </w:r>
    </w:p>
    <w:p w14:paraId="1AA890DC">
      <w:pPr>
        <w:pStyle w:val="3"/>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1.4.3起草阶段</w:t>
      </w:r>
    </w:p>
    <w:p w14:paraId="61D971DE">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default" w:ascii="宋体" w:hAnsi="宋体"/>
          <w:color w:val="auto"/>
          <w:sz w:val="21"/>
          <w:szCs w:val="21"/>
          <w:lang w:val="en-US" w:eastAsia="zh-CN"/>
        </w:rPr>
      </w:pPr>
      <w:r>
        <w:rPr>
          <w:rFonts w:hint="eastAsia" w:ascii="宋体" w:hAnsi="宋体"/>
          <w:color w:val="auto"/>
          <w:sz w:val="21"/>
          <w:szCs w:val="21"/>
          <w:lang w:val="en-US" w:eastAsia="zh-CN"/>
        </w:rPr>
        <w:t>计划下达后，由浙江力博实业股份有限公司牵头，联合江西力博科诚铜业有限公司、浙江省冶金研究院有限公司、绍兴市质量技术监督检测院、中色创新研究院（天津）有限公司、绍兴市特种设备检测院、江西金品铜业科技有限公司、江西广信新材料股份有限公司等单位，成立了标准起草工作组。工作组在广泛收集国内外相关资料、分析现有产品技术数据的基础上，各单位在草案基础上提出意见，修改后形成了讨论稿，并据此编制本编制说明。后续将按照标准制修订程序，依次开展征求意见、技术审查、报批等阶段工作。</w:t>
      </w:r>
    </w:p>
    <w:p w14:paraId="76E2D1DB">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黑体" w:eastAsia="黑体" w:cs="Arial"/>
          <w:color w:val="auto"/>
          <w:sz w:val="21"/>
          <w:szCs w:val="21"/>
          <w:lang w:val="en-US" w:eastAsia="zh-CN"/>
        </w:rPr>
      </w:pPr>
      <w:r>
        <w:rPr>
          <w:rFonts w:hint="eastAsia" w:ascii="黑体" w:eastAsia="黑体" w:cs="Arial"/>
          <w:color w:val="auto"/>
          <w:sz w:val="21"/>
          <w:szCs w:val="21"/>
        </w:rPr>
        <w:t>二、编制原则</w:t>
      </w:r>
      <w:r>
        <w:rPr>
          <w:rFonts w:hint="eastAsia" w:ascii="黑体" w:eastAsia="黑体" w:cs="Arial"/>
          <w:color w:val="auto"/>
          <w:sz w:val="21"/>
          <w:szCs w:val="21"/>
          <w:lang w:eastAsia="zh-CN"/>
        </w:rPr>
        <w:t>、</w:t>
      </w:r>
      <w:r>
        <w:rPr>
          <w:rFonts w:hint="eastAsia" w:ascii="黑体" w:eastAsia="黑体" w:cs="Arial"/>
          <w:color w:val="auto"/>
          <w:sz w:val="21"/>
          <w:szCs w:val="21"/>
          <w:lang w:val="en-US" w:eastAsia="zh-CN"/>
        </w:rPr>
        <w:t>主要内容及其确定依据、修订前后技术内容的对比</w:t>
      </w:r>
    </w:p>
    <w:p w14:paraId="677447D3">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lang w:val="en-US" w:eastAsia="zh-CN"/>
        </w:rPr>
      </w:pPr>
      <w:bookmarkStart w:id="0" w:name="OLE_LINK7"/>
      <w:r>
        <w:rPr>
          <w:rFonts w:hint="eastAsia" w:ascii="黑体" w:eastAsia="黑体" w:cs="Arial"/>
          <w:color w:val="auto"/>
          <w:sz w:val="21"/>
          <w:szCs w:val="21"/>
          <w:lang w:val="en-US" w:eastAsia="zh-CN"/>
        </w:rPr>
        <w:t>1、编制原则</w:t>
      </w:r>
    </w:p>
    <w:bookmarkEnd w:id="0"/>
    <w:p w14:paraId="69B3A793">
      <w:pPr>
        <w:pStyle w:val="3"/>
        <w:numPr>
          <w:ilvl w:val="0"/>
          <w:numId w:val="1"/>
        </w:numPr>
        <w:ind w:left="0" w:leftChars="0" w:firstLine="420" w:firstLineChars="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规范性原则：标准编写符合GB/T 1.1—2020《标准化工作导则 第1部分：标准化文件的结构和起草规则》的规定。</w:t>
      </w:r>
    </w:p>
    <w:p w14:paraId="0FDEABB4">
      <w:pPr>
        <w:pStyle w:val="3"/>
        <w:numPr>
          <w:ilvl w:val="0"/>
          <w:numId w:val="1"/>
        </w:numPr>
        <w:ind w:left="0" w:leftChars="0" w:firstLine="420" w:firstLineChars="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先进性原则：标准技术指标对标国际先进水平，充分反映当前行业领先企业的生产技术能力，引领产业高质量发展。</w:t>
      </w:r>
    </w:p>
    <w:p w14:paraId="168598E5">
      <w:pPr>
        <w:pStyle w:val="3"/>
        <w:numPr>
          <w:ilvl w:val="0"/>
          <w:numId w:val="1"/>
        </w:numPr>
        <w:ind w:left="0" w:leftChars="0" w:firstLine="420" w:firstLineChars="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协调性原则：与现行国家标准GB/T 5231《加工铜及铜合金牌号和化学成分》、GB/T 8888《重有色金属加工产品的包装、标志、运输、贮存和质量证明书》等基础标准协调一致。</w:t>
      </w:r>
    </w:p>
    <w:p w14:paraId="175EC0B5">
      <w:pPr>
        <w:pStyle w:val="3"/>
        <w:numPr>
          <w:ilvl w:val="0"/>
          <w:numId w:val="1"/>
        </w:numPr>
        <w:ind w:left="0" w:leftChars="0" w:firstLine="420" w:firstLineChars="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实用性原则：标准内容紧密结合生产实际和用户需求，技术指标设置合理、可操作性强。</w:t>
      </w:r>
    </w:p>
    <w:p w14:paraId="580977EE">
      <w:pPr>
        <w:pStyle w:val="3"/>
        <w:rPr>
          <w:rFonts w:hint="eastAsia"/>
        </w:rPr>
      </w:pPr>
      <w:r>
        <w:rPr>
          <w:rFonts w:hint="eastAsia" w:ascii="黑体" w:eastAsia="黑体" w:cs="Arial"/>
          <w:color w:val="auto"/>
          <w:sz w:val="21"/>
          <w:szCs w:val="21"/>
          <w:lang w:val="en-US" w:eastAsia="zh-CN"/>
        </w:rPr>
        <w:t>2、</w:t>
      </w:r>
      <w:r>
        <w:rPr>
          <w:rFonts w:hint="eastAsia" w:ascii="黑体" w:eastAsia="黑体" w:cs="Arial"/>
          <w:color w:val="auto"/>
          <w:sz w:val="21"/>
          <w:szCs w:val="21"/>
        </w:rPr>
        <w:t>标准主要技术内容</w:t>
      </w:r>
      <w:r>
        <w:rPr>
          <w:rFonts w:hint="eastAsia" w:ascii="黑体" w:eastAsia="黑体" w:cs="Arial"/>
          <w:color w:val="auto"/>
          <w:sz w:val="21"/>
          <w:szCs w:val="21"/>
          <w:lang w:val="en-US" w:eastAsia="zh-CN"/>
        </w:rPr>
        <w:t>的确定依据</w:t>
      </w:r>
    </w:p>
    <w:p w14:paraId="20E03E40">
      <w:pPr>
        <w:pStyle w:val="22"/>
        <w:spacing w:before="156" w:after="156"/>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2..1标准适用范围</w:t>
      </w:r>
    </w:p>
    <w:p w14:paraId="7084FFA7">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换向器用银无氧铜线坯，英文“Silver oxygen-free copper drawing stock for commutator”。本文件规定了换向器用银无氧铜线坯的分类和标记、技术要求、试验方法、检验规则、标志、包装、运输、贮存及随行文件和订货单内容等。</w:t>
      </w:r>
    </w:p>
    <w:p w14:paraId="6552753F">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本文件适用于直径为8 mm～30 mm，供进一步加工的换向器用银无氧铜线坯（以下简称线坯）。</w:t>
      </w:r>
    </w:p>
    <w:p w14:paraId="16E69A76">
      <w:pPr>
        <w:pStyle w:val="22"/>
        <w:spacing w:before="156" w:after="156"/>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2.2 术语与定义</w:t>
      </w:r>
    </w:p>
    <w:p w14:paraId="054EA13E">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本文件没有需要界定的术语和定义。</w:t>
      </w:r>
    </w:p>
    <w:p w14:paraId="14B0DD9D">
      <w:pPr>
        <w:pStyle w:val="22"/>
        <w:spacing w:before="156" w:after="156"/>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2.3 产品分类</w:t>
      </w:r>
    </w:p>
    <w:p w14:paraId="342A753A">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产品分类是对换向器用银无氧铜线坯的牌号、代号、状态、类别和规格进行规定，同时规定了产品标记方法，相关情况分别说明如下：</w:t>
      </w:r>
    </w:p>
    <w:p w14:paraId="58126CB6">
      <w:pPr>
        <w:keepNext w:val="0"/>
        <w:keepLines w:val="0"/>
        <w:pageBreakBefore w:val="0"/>
        <w:numPr>
          <w:ilvl w:val="0"/>
          <w:numId w:val="2"/>
        </w:numPr>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线坯的牌号、代号、状态和规格应符合表2的规定。</w:t>
      </w:r>
    </w:p>
    <w:p w14:paraId="23B38E09">
      <w:pPr>
        <w:keepNext w:val="0"/>
        <w:keepLines w:val="0"/>
        <w:pageBreakBefore w:val="0"/>
        <w:numPr>
          <w:ilvl w:val="0"/>
          <w:numId w:val="2"/>
        </w:numPr>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根据生产实际以及换向器的应用情况，目前比较成熟的换向器用银无氧铜线坯产品牌号主要有TU Ag0.03、TU Ag0.05、TU Ag0.08、TU Ag0.10等4个牌号。</w:t>
      </w:r>
    </w:p>
    <w:p w14:paraId="5F75420F">
      <w:pPr>
        <w:keepNext w:val="0"/>
        <w:keepLines w:val="0"/>
        <w:pageBreakBefore w:val="0"/>
        <w:numPr>
          <w:ilvl w:val="0"/>
          <w:numId w:val="2"/>
        </w:numPr>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状态、尺寸规格是根据实际生产情况以及客户订货单等多方进行了数据统计而明确的。状态为连续铸造（M07）、硬（H04），尺寸为</w:t>
      </w:r>
      <w:r>
        <w:rPr>
          <w:rFonts w:hint="eastAsia" w:ascii="宋体" w:hAnsi="宋体"/>
          <w:color w:val="auto"/>
          <w:sz w:val="21"/>
          <w:szCs w:val="21"/>
          <w:lang w:val="de-DE" w:eastAsia="zh-CN"/>
        </w:rPr>
        <w:sym w:font="Symbol" w:char="0066"/>
      </w:r>
      <w:r>
        <w:rPr>
          <w:rFonts w:hint="eastAsia" w:ascii="宋体" w:hAnsi="宋体"/>
          <w:color w:val="auto"/>
          <w:sz w:val="21"/>
          <w:szCs w:val="21"/>
          <w:lang w:val="en-US" w:eastAsia="zh-CN"/>
        </w:rPr>
        <w:t>8-30。</w:t>
      </w:r>
    </w:p>
    <w:p w14:paraId="126D91DE">
      <w:pPr>
        <w:keepNext/>
        <w:keepLines/>
        <w:pageBreakBefore w:val="0"/>
        <w:widowControl w:val="0"/>
        <w:kinsoku/>
        <w:wordWrap/>
        <w:overflowPunct/>
        <w:topLinePunct w:val="0"/>
        <w:autoSpaceDE/>
        <w:autoSpaceDN/>
        <w:bidi w:val="0"/>
        <w:snapToGrid w:val="0"/>
        <w:spacing w:before="240" w:beforeLines="100" w:after="240" w:afterLines="100" w:line="240" w:lineRule="auto"/>
        <w:jc w:val="center"/>
        <w:textAlignment w:val="auto"/>
        <w:outlineLvl w:val="1"/>
        <w:rPr>
          <w:rFonts w:eastAsia="黑体"/>
          <w:sz w:val="21"/>
        </w:rPr>
      </w:pPr>
      <w:r>
        <w:rPr>
          <w:rFonts w:eastAsia="黑体"/>
          <w:sz w:val="21"/>
        </w:rPr>
        <w:t>表</w:t>
      </w:r>
      <w:r>
        <w:rPr>
          <w:rFonts w:hint="eastAsia" w:eastAsia="黑体"/>
          <w:sz w:val="21"/>
          <w:lang w:val="en-US" w:eastAsia="zh-CN"/>
        </w:rPr>
        <w:t>2</w:t>
      </w:r>
      <w:r>
        <w:rPr>
          <w:rFonts w:eastAsia="黑体"/>
          <w:sz w:val="21"/>
        </w:rPr>
        <w:t xml:space="preserve">  牌号、代号、状态和规格</w:t>
      </w:r>
    </w:p>
    <w:tbl>
      <w:tblPr>
        <w:tblStyle w:val="10"/>
        <w:tblW w:w="480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45"/>
        <w:gridCol w:w="1395"/>
        <w:gridCol w:w="2587"/>
        <w:gridCol w:w="3201"/>
      </w:tblGrid>
      <w:tr w14:paraId="444373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635" w:type="pct"/>
            <w:tcBorders>
              <w:top w:val="single" w:color="auto" w:sz="12" w:space="0"/>
              <w:left w:val="single" w:color="auto" w:sz="12" w:space="0"/>
            </w:tcBorders>
            <w:noWrap w:val="0"/>
            <w:vAlign w:val="center"/>
          </w:tcPr>
          <w:p w14:paraId="4E739351">
            <w:pPr>
              <w:keepNext/>
              <w:keepLines/>
              <w:pageBreakBefore w:val="0"/>
              <w:widowControl w:val="0"/>
              <w:kinsoku/>
              <w:wordWrap/>
              <w:overflowPunct/>
              <w:topLinePunct w:val="0"/>
              <w:autoSpaceDE/>
              <w:autoSpaceDN/>
              <w:bidi w:val="0"/>
              <w:snapToGrid w:val="0"/>
              <w:spacing w:line="240" w:lineRule="auto"/>
              <w:contextualSpacing/>
              <w:jc w:val="center"/>
              <w:textAlignment w:val="auto"/>
              <w:rPr>
                <w:snapToGrid w:val="0"/>
                <w:sz w:val="18"/>
                <w:szCs w:val="18"/>
              </w:rPr>
            </w:pPr>
            <w:r>
              <w:rPr>
                <w:snapToGrid w:val="0"/>
                <w:sz w:val="18"/>
                <w:szCs w:val="18"/>
              </w:rPr>
              <w:t>牌 号</w:t>
            </w:r>
          </w:p>
        </w:tc>
        <w:tc>
          <w:tcPr>
            <w:tcW w:w="848" w:type="pct"/>
            <w:tcBorders>
              <w:top w:val="single" w:color="auto" w:sz="12" w:space="0"/>
            </w:tcBorders>
            <w:noWrap w:val="0"/>
            <w:vAlign w:val="center"/>
          </w:tcPr>
          <w:p w14:paraId="60BDCAFE">
            <w:pPr>
              <w:keepNext/>
              <w:keepLines/>
              <w:pageBreakBefore w:val="0"/>
              <w:widowControl w:val="0"/>
              <w:kinsoku/>
              <w:wordWrap/>
              <w:overflowPunct/>
              <w:topLinePunct w:val="0"/>
              <w:autoSpaceDE/>
              <w:autoSpaceDN/>
              <w:bidi w:val="0"/>
              <w:snapToGrid w:val="0"/>
              <w:spacing w:line="240" w:lineRule="auto"/>
              <w:contextualSpacing/>
              <w:jc w:val="center"/>
              <w:textAlignment w:val="auto"/>
              <w:rPr>
                <w:snapToGrid w:val="0"/>
                <w:sz w:val="18"/>
                <w:szCs w:val="18"/>
              </w:rPr>
            </w:pPr>
            <w:r>
              <w:rPr>
                <w:snapToGrid w:val="0"/>
                <w:sz w:val="18"/>
                <w:szCs w:val="18"/>
              </w:rPr>
              <w:t>代号</w:t>
            </w:r>
          </w:p>
        </w:tc>
        <w:tc>
          <w:tcPr>
            <w:tcW w:w="1572" w:type="pct"/>
            <w:tcBorders>
              <w:top w:val="single" w:color="auto" w:sz="12" w:space="0"/>
            </w:tcBorders>
            <w:noWrap w:val="0"/>
            <w:vAlign w:val="center"/>
          </w:tcPr>
          <w:p w14:paraId="1A5C6E54">
            <w:pPr>
              <w:keepNext/>
              <w:keepLines/>
              <w:pageBreakBefore w:val="0"/>
              <w:widowControl w:val="0"/>
              <w:kinsoku/>
              <w:wordWrap/>
              <w:overflowPunct/>
              <w:topLinePunct w:val="0"/>
              <w:autoSpaceDE/>
              <w:autoSpaceDN/>
              <w:bidi w:val="0"/>
              <w:snapToGrid w:val="0"/>
              <w:spacing w:line="240" w:lineRule="auto"/>
              <w:contextualSpacing/>
              <w:jc w:val="center"/>
              <w:textAlignment w:val="auto"/>
              <w:rPr>
                <w:snapToGrid w:val="0"/>
                <w:sz w:val="18"/>
                <w:szCs w:val="18"/>
              </w:rPr>
            </w:pPr>
            <w:r>
              <w:rPr>
                <w:snapToGrid w:val="0"/>
                <w:sz w:val="18"/>
                <w:szCs w:val="18"/>
              </w:rPr>
              <w:t>状 态</w:t>
            </w:r>
          </w:p>
        </w:tc>
        <w:tc>
          <w:tcPr>
            <w:tcW w:w="1944" w:type="pct"/>
            <w:tcBorders>
              <w:top w:val="single" w:color="auto" w:sz="12" w:space="0"/>
              <w:bottom w:val="single" w:color="auto" w:sz="12" w:space="0"/>
              <w:right w:val="single" w:color="auto" w:sz="12" w:space="0"/>
            </w:tcBorders>
            <w:noWrap w:val="0"/>
            <w:vAlign w:val="center"/>
          </w:tcPr>
          <w:p w14:paraId="39C337F4">
            <w:pPr>
              <w:keepNext/>
              <w:keepLines/>
              <w:pageBreakBefore w:val="0"/>
              <w:widowControl w:val="0"/>
              <w:kinsoku/>
              <w:wordWrap/>
              <w:overflowPunct/>
              <w:topLinePunct w:val="0"/>
              <w:autoSpaceDE/>
              <w:autoSpaceDN/>
              <w:bidi w:val="0"/>
              <w:snapToGrid w:val="0"/>
              <w:spacing w:line="240" w:lineRule="auto"/>
              <w:contextualSpacing/>
              <w:jc w:val="center"/>
              <w:textAlignment w:val="auto"/>
              <w:rPr>
                <w:rFonts w:hint="default" w:eastAsia="宋体"/>
                <w:snapToGrid w:val="0"/>
                <w:sz w:val="18"/>
                <w:szCs w:val="18"/>
                <w:lang w:val="en-US" w:eastAsia="zh-CN"/>
              </w:rPr>
            </w:pPr>
            <w:r>
              <w:rPr>
                <w:rFonts w:hint="eastAsia"/>
                <w:snapToGrid w:val="0"/>
                <w:sz w:val="18"/>
                <w:szCs w:val="18"/>
                <w:lang w:val="en-US" w:eastAsia="zh-CN"/>
              </w:rPr>
              <w:t>直径/mm</w:t>
            </w:r>
          </w:p>
        </w:tc>
      </w:tr>
      <w:tr w14:paraId="24D677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635" w:type="pct"/>
            <w:tcBorders>
              <w:top w:val="single" w:color="auto" w:sz="12" w:space="0"/>
              <w:left w:val="single" w:color="auto" w:sz="12" w:space="0"/>
            </w:tcBorders>
            <w:noWrap w:val="0"/>
            <w:vAlign w:val="center"/>
          </w:tcPr>
          <w:p w14:paraId="386EBF1A">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snapToGrid w:val="0"/>
                <w:sz w:val="18"/>
                <w:szCs w:val="18"/>
                <w:lang w:val="en-US" w:eastAsia="zh-CN"/>
              </w:rPr>
            </w:pPr>
            <w:r>
              <w:rPr>
                <w:rFonts w:hint="eastAsia"/>
                <w:snapToGrid w:val="0"/>
                <w:sz w:val="18"/>
                <w:szCs w:val="18"/>
                <w:lang w:val="en-US" w:eastAsia="zh-CN"/>
              </w:rPr>
              <w:t>TU Ag0.03</w:t>
            </w:r>
          </w:p>
        </w:tc>
        <w:tc>
          <w:tcPr>
            <w:tcW w:w="848" w:type="pct"/>
            <w:tcBorders>
              <w:top w:val="single" w:color="auto" w:sz="12" w:space="0"/>
            </w:tcBorders>
            <w:noWrap w:val="0"/>
            <w:vAlign w:val="center"/>
          </w:tcPr>
          <w:p w14:paraId="4B965B8F">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snapToGrid w:val="0"/>
                <w:sz w:val="18"/>
                <w:szCs w:val="18"/>
                <w:lang w:val="en-US" w:eastAsia="zh-CN"/>
              </w:rPr>
            </w:pPr>
            <w:r>
              <w:rPr>
                <w:rFonts w:hint="eastAsia"/>
                <w:snapToGrid w:val="0"/>
                <w:sz w:val="18"/>
                <w:szCs w:val="18"/>
                <w:lang w:val="en-US" w:eastAsia="zh-CN"/>
              </w:rPr>
              <w:t>T10500</w:t>
            </w:r>
          </w:p>
        </w:tc>
        <w:tc>
          <w:tcPr>
            <w:tcW w:w="1572" w:type="pct"/>
            <w:vMerge w:val="restart"/>
            <w:tcBorders>
              <w:top w:val="single" w:color="auto" w:sz="12" w:space="0"/>
            </w:tcBorders>
            <w:noWrap w:val="0"/>
            <w:vAlign w:val="center"/>
          </w:tcPr>
          <w:p w14:paraId="57C46FEA">
            <w:pPr>
              <w:keepNext/>
              <w:keepLines/>
              <w:pageBreakBefore w:val="0"/>
              <w:widowControl w:val="0"/>
              <w:kinsoku/>
              <w:wordWrap/>
              <w:overflowPunct/>
              <w:topLinePunct w:val="0"/>
              <w:autoSpaceDE/>
              <w:autoSpaceDN/>
              <w:bidi w:val="0"/>
              <w:snapToGrid w:val="0"/>
              <w:spacing w:line="240" w:lineRule="auto"/>
              <w:jc w:val="center"/>
              <w:textAlignment w:val="auto"/>
              <w:rPr>
                <w:rFonts w:hint="eastAsia"/>
                <w:snapToGrid w:val="0"/>
                <w:sz w:val="18"/>
                <w:szCs w:val="18"/>
                <w:lang w:val="en-US" w:eastAsia="zh-CN"/>
              </w:rPr>
            </w:pPr>
            <w:r>
              <w:rPr>
                <w:rFonts w:hint="eastAsia"/>
                <w:snapToGrid w:val="0"/>
                <w:sz w:val="18"/>
                <w:szCs w:val="18"/>
                <w:lang w:val="en-US" w:eastAsia="zh-CN"/>
              </w:rPr>
              <w:t>连续铸造（M07）</w:t>
            </w:r>
          </w:p>
          <w:p w14:paraId="542E7DB6">
            <w:pPr>
              <w:keepNext/>
              <w:keepLines/>
              <w:pageBreakBefore w:val="0"/>
              <w:widowControl w:val="0"/>
              <w:kinsoku/>
              <w:wordWrap/>
              <w:overflowPunct/>
              <w:topLinePunct w:val="0"/>
              <w:autoSpaceDE/>
              <w:autoSpaceDN/>
              <w:bidi w:val="0"/>
              <w:snapToGrid w:val="0"/>
              <w:spacing w:line="240" w:lineRule="auto"/>
              <w:jc w:val="center"/>
              <w:textAlignment w:val="auto"/>
              <w:rPr>
                <w:rFonts w:hint="default" w:eastAsia="宋体"/>
                <w:snapToGrid w:val="0"/>
                <w:sz w:val="18"/>
                <w:szCs w:val="18"/>
                <w:lang w:val="en-US" w:eastAsia="zh-CN"/>
              </w:rPr>
            </w:pPr>
            <w:r>
              <w:rPr>
                <w:rFonts w:hint="eastAsia"/>
                <w:snapToGrid w:val="0"/>
                <w:sz w:val="18"/>
                <w:szCs w:val="18"/>
                <w:lang w:val="en-US" w:eastAsia="zh-CN"/>
              </w:rPr>
              <w:t>硬（H04）</w:t>
            </w:r>
          </w:p>
        </w:tc>
        <w:tc>
          <w:tcPr>
            <w:tcW w:w="1944" w:type="pct"/>
            <w:vMerge w:val="restart"/>
            <w:tcBorders>
              <w:top w:val="single" w:color="auto" w:sz="12" w:space="0"/>
              <w:right w:val="single" w:color="auto" w:sz="12" w:space="0"/>
            </w:tcBorders>
            <w:noWrap w:val="0"/>
            <w:vAlign w:val="center"/>
          </w:tcPr>
          <w:p w14:paraId="6827AC8E">
            <w:pPr>
              <w:keepNext/>
              <w:keepLines/>
              <w:pageBreakBefore w:val="0"/>
              <w:widowControl w:val="0"/>
              <w:kinsoku/>
              <w:wordWrap/>
              <w:overflowPunct/>
              <w:topLinePunct w:val="0"/>
              <w:autoSpaceDE/>
              <w:autoSpaceDN/>
              <w:bidi w:val="0"/>
              <w:snapToGrid w:val="0"/>
              <w:spacing w:line="360" w:lineRule="exact"/>
              <w:jc w:val="center"/>
              <w:textAlignment w:val="auto"/>
              <w:rPr>
                <w:rFonts w:hint="default" w:eastAsia="宋体"/>
                <w:snapToGrid w:val="0"/>
                <w:sz w:val="18"/>
                <w:szCs w:val="18"/>
                <w:lang w:val="en-US" w:eastAsia="zh-CN"/>
              </w:rPr>
            </w:pPr>
            <w:r>
              <w:rPr>
                <w:rFonts w:hint="eastAsia"/>
                <w:snapToGrid w:val="0"/>
                <w:sz w:val="18"/>
                <w:szCs w:val="18"/>
                <w:lang w:val="en-US" w:eastAsia="zh-CN"/>
              </w:rPr>
              <w:t>8.00～30.00</w:t>
            </w:r>
          </w:p>
        </w:tc>
      </w:tr>
      <w:tr w14:paraId="18463A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635" w:type="pct"/>
            <w:tcBorders>
              <w:left w:val="single" w:color="auto" w:sz="12" w:space="0"/>
            </w:tcBorders>
            <w:noWrap w:val="0"/>
            <w:vAlign w:val="center"/>
          </w:tcPr>
          <w:p w14:paraId="4154892E">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snapToGrid w:val="0"/>
                <w:sz w:val="18"/>
                <w:szCs w:val="18"/>
                <w:lang w:val="en-US" w:eastAsia="zh-CN"/>
              </w:rPr>
            </w:pPr>
            <w:r>
              <w:rPr>
                <w:rFonts w:hint="eastAsia"/>
                <w:snapToGrid w:val="0"/>
                <w:sz w:val="18"/>
                <w:szCs w:val="18"/>
                <w:lang w:val="en-US" w:eastAsia="zh-CN"/>
              </w:rPr>
              <w:t>TU Ag0.05</w:t>
            </w:r>
          </w:p>
        </w:tc>
        <w:tc>
          <w:tcPr>
            <w:tcW w:w="848" w:type="pct"/>
            <w:noWrap w:val="0"/>
            <w:vAlign w:val="center"/>
          </w:tcPr>
          <w:p w14:paraId="39BDC52D">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snapToGrid w:val="0"/>
                <w:sz w:val="18"/>
                <w:szCs w:val="18"/>
                <w:lang w:val="en-US" w:eastAsia="zh-CN"/>
              </w:rPr>
            </w:pPr>
            <w:r>
              <w:rPr>
                <w:rFonts w:hint="eastAsia"/>
                <w:snapToGrid w:val="0"/>
                <w:sz w:val="18"/>
                <w:szCs w:val="18"/>
                <w:lang w:val="en-US" w:eastAsia="zh-CN"/>
              </w:rPr>
              <w:t>T10510</w:t>
            </w:r>
          </w:p>
        </w:tc>
        <w:tc>
          <w:tcPr>
            <w:tcW w:w="1572" w:type="pct"/>
            <w:vMerge w:val="continue"/>
            <w:noWrap w:val="0"/>
            <w:vAlign w:val="center"/>
          </w:tcPr>
          <w:p w14:paraId="2D9A3138">
            <w:pPr>
              <w:keepNext/>
              <w:keepLines/>
              <w:pageBreakBefore w:val="0"/>
              <w:widowControl w:val="0"/>
              <w:kinsoku/>
              <w:wordWrap/>
              <w:overflowPunct/>
              <w:topLinePunct w:val="0"/>
              <w:autoSpaceDE/>
              <w:autoSpaceDN/>
              <w:bidi w:val="0"/>
              <w:snapToGrid w:val="0"/>
              <w:spacing w:line="240" w:lineRule="auto"/>
              <w:jc w:val="center"/>
              <w:textAlignment w:val="auto"/>
              <w:rPr>
                <w:rFonts w:hint="eastAsia"/>
                <w:snapToGrid w:val="0"/>
                <w:sz w:val="18"/>
                <w:szCs w:val="18"/>
                <w:lang w:val="en-US" w:eastAsia="zh-CN"/>
              </w:rPr>
            </w:pPr>
          </w:p>
        </w:tc>
        <w:tc>
          <w:tcPr>
            <w:tcW w:w="1944" w:type="pct"/>
            <w:vMerge w:val="continue"/>
            <w:tcBorders>
              <w:right w:val="single" w:color="auto" w:sz="12" w:space="0"/>
            </w:tcBorders>
            <w:noWrap w:val="0"/>
            <w:vAlign w:val="center"/>
          </w:tcPr>
          <w:p w14:paraId="262F830D">
            <w:pPr>
              <w:keepNext/>
              <w:keepLines/>
              <w:pageBreakBefore w:val="0"/>
              <w:widowControl w:val="0"/>
              <w:kinsoku/>
              <w:wordWrap/>
              <w:overflowPunct/>
              <w:topLinePunct w:val="0"/>
              <w:autoSpaceDE/>
              <w:autoSpaceDN/>
              <w:bidi w:val="0"/>
              <w:snapToGrid w:val="0"/>
              <w:spacing w:line="360" w:lineRule="exact"/>
              <w:jc w:val="center"/>
              <w:textAlignment w:val="auto"/>
              <w:rPr>
                <w:rFonts w:hint="eastAsia"/>
                <w:snapToGrid w:val="0"/>
                <w:sz w:val="18"/>
                <w:szCs w:val="18"/>
                <w:lang w:val="en-US" w:eastAsia="zh-CN"/>
              </w:rPr>
            </w:pPr>
          </w:p>
        </w:tc>
      </w:tr>
      <w:tr w14:paraId="4F7182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635" w:type="pct"/>
            <w:tcBorders>
              <w:left w:val="single" w:color="auto" w:sz="12" w:space="0"/>
            </w:tcBorders>
            <w:noWrap w:val="0"/>
            <w:vAlign w:val="center"/>
          </w:tcPr>
          <w:p w14:paraId="344CA192">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snapToGrid w:val="0"/>
                <w:sz w:val="18"/>
                <w:szCs w:val="18"/>
                <w:lang w:val="en-US" w:eastAsia="zh-CN"/>
              </w:rPr>
            </w:pPr>
            <w:r>
              <w:rPr>
                <w:rFonts w:hint="eastAsia"/>
                <w:snapToGrid w:val="0"/>
                <w:sz w:val="18"/>
                <w:szCs w:val="18"/>
                <w:lang w:val="en-US" w:eastAsia="zh-CN"/>
              </w:rPr>
              <w:t>TU Ag0.08</w:t>
            </w:r>
          </w:p>
        </w:tc>
        <w:tc>
          <w:tcPr>
            <w:tcW w:w="848" w:type="pct"/>
            <w:noWrap w:val="0"/>
            <w:vAlign w:val="center"/>
          </w:tcPr>
          <w:p w14:paraId="56060577">
            <w:pPr>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ascii="Calibri" w:hAnsi="Calibri" w:eastAsia="宋体" w:cs="Times New Roman"/>
                <w:snapToGrid w:val="0"/>
                <w:kern w:val="2"/>
                <w:sz w:val="18"/>
                <w:szCs w:val="18"/>
                <w:lang w:val="en-US" w:eastAsia="zh-CN" w:bidi="ar-SA"/>
              </w:rPr>
            </w:pPr>
            <w:r>
              <w:rPr>
                <w:rFonts w:hint="eastAsia"/>
                <w:snapToGrid w:val="0"/>
                <w:sz w:val="18"/>
                <w:szCs w:val="18"/>
                <w:lang w:val="en-US" w:eastAsia="zh-CN"/>
              </w:rPr>
              <w:t>C10700</w:t>
            </w:r>
          </w:p>
        </w:tc>
        <w:tc>
          <w:tcPr>
            <w:tcW w:w="1572" w:type="pct"/>
            <w:vMerge w:val="continue"/>
            <w:noWrap w:val="0"/>
            <w:vAlign w:val="center"/>
          </w:tcPr>
          <w:p w14:paraId="64D82EBB">
            <w:pPr>
              <w:keepNext/>
              <w:keepLines/>
              <w:pageBreakBefore w:val="0"/>
              <w:widowControl w:val="0"/>
              <w:kinsoku/>
              <w:wordWrap/>
              <w:overflowPunct/>
              <w:topLinePunct w:val="0"/>
              <w:autoSpaceDE/>
              <w:autoSpaceDN/>
              <w:bidi w:val="0"/>
              <w:snapToGrid w:val="0"/>
              <w:spacing w:line="240" w:lineRule="auto"/>
              <w:jc w:val="center"/>
              <w:textAlignment w:val="auto"/>
              <w:rPr>
                <w:rFonts w:hint="eastAsia"/>
                <w:snapToGrid w:val="0"/>
                <w:sz w:val="18"/>
                <w:szCs w:val="18"/>
                <w:lang w:val="en-US" w:eastAsia="zh-CN"/>
              </w:rPr>
            </w:pPr>
          </w:p>
        </w:tc>
        <w:tc>
          <w:tcPr>
            <w:tcW w:w="1944" w:type="pct"/>
            <w:vMerge w:val="continue"/>
            <w:tcBorders>
              <w:right w:val="single" w:color="auto" w:sz="12" w:space="0"/>
            </w:tcBorders>
            <w:noWrap w:val="0"/>
            <w:vAlign w:val="center"/>
          </w:tcPr>
          <w:p w14:paraId="7D57456C">
            <w:pPr>
              <w:keepNext/>
              <w:keepLines/>
              <w:pageBreakBefore w:val="0"/>
              <w:widowControl w:val="0"/>
              <w:kinsoku/>
              <w:wordWrap/>
              <w:overflowPunct/>
              <w:topLinePunct w:val="0"/>
              <w:autoSpaceDE/>
              <w:autoSpaceDN/>
              <w:bidi w:val="0"/>
              <w:snapToGrid w:val="0"/>
              <w:spacing w:line="360" w:lineRule="exact"/>
              <w:jc w:val="center"/>
              <w:textAlignment w:val="auto"/>
              <w:rPr>
                <w:rFonts w:hint="eastAsia"/>
                <w:snapToGrid w:val="0"/>
                <w:sz w:val="18"/>
                <w:szCs w:val="18"/>
                <w:lang w:val="en-US" w:eastAsia="zh-CN"/>
              </w:rPr>
            </w:pPr>
          </w:p>
        </w:tc>
      </w:tr>
      <w:tr w14:paraId="03E903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635" w:type="pct"/>
            <w:tcBorders>
              <w:left w:val="single" w:color="auto" w:sz="12" w:space="0"/>
            </w:tcBorders>
            <w:noWrap w:val="0"/>
            <w:vAlign w:val="center"/>
          </w:tcPr>
          <w:p w14:paraId="43B9C7A2">
            <w:pPr>
              <w:keepNext/>
              <w:keepLines/>
              <w:pageBreakBefore w:val="0"/>
              <w:widowControl w:val="0"/>
              <w:kinsoku/>
              <w:wordWrap/>
              <w:overflowPunct/>
              <w:topLinePunct w:val="0"/>
              <w:autoSpaceDE/>
              <w:autoSpaceDN/>
              <w:bidi w:val="0"/>
              <w:snapToGrid w:val="0"/>
              <w:spacing w:line="240" w:lineRule="auto"/>
              <w:jc w:val="center"/>
              <w:textAlignment w:val="auto"/>
              <w:rPr>
                <w:rFonts w:hint="default"/>
                <w:snapToGrid w:val="0"/>
                <w:sz w:val="18"/>
                <w:szCs w:val="18"/>
                <w:lang w:val="en-US" w:eastAsia="zh-CN"/>
              </w:rPr>
            </w:pPr>
            <w:r>
              <w:rPr>
                <w:rFonts w:hint="eastAsia"/>
                <w:snapToGrid w:val="0"/>
                <w:sz w:val="18"/>
                <w:szCs w:val="18"/>
                <w:lang w:val="en-US" w:eastAsia="zh-CN"/>
              </w:rPr>
              <w:t>TU Ag0.10</w:t>
            </w:r>
          </w:p>
        </w:tc>
        <w:tc>
          <w:tcPr>
            <w:tcW w:w="848" w:type="pct"/>
            <w:noWrap w:val="0"/>
            <w:vAlign w:val="center"/>
          </w:tcPr>
          <w:p w14:paraId="4FA2D88B">
            <w:pPr>
              <w:keepNext/>
              <w:keepLines/>
              <w:pageBreakBefore w:val="0"/>
              <w:widowControl w:val="0"/>
              <w:kinsoku/>
              <w:wordWrap/>
              <w:overflowPunct/>
              <w:topLinePunct w:val="0"/>
              <w:autoSpaceDE/>
              <w:autoSpaceDN/>
              <w:bidi w:val="0"/>
              <w:adjustRightInd/>
              <w:snapToGrid/>
              <w:spacing w:line="240" w:lineRule="auto"/>
              <w:jc w:val="center"/>
              <w:textAlignment w:val="auto"/>
              <w:rPr>
                <w:rFonts w:hint="default" w:ascii="Calibri" w:hAnsi="Calibri" w:eastAsia="宋体" w:cs="Times New Roman"/>
                <w:snapToGrid w:val="0"/>
                <w:kern w:val="2"/>
                <w:sz w:val="18"/>
                <w:szCs w:val="18"/>
                <w:lang w:val="en-US" w:eastAsia="zh-CN" w:bidi="ar-SA"/>
              </w:rPr>
            </w:pPr>
            <w:r>
              <w:rPr>
                <w:rFonts w:hint="eastAsia"/>
                <w:snapToGrid w:val="0"/>
                <w:sz w:val="18"/>
                <w:szCs w:val="18"/>
                <w:lang w:val="en-US" w:eastAsia="zh-CN"/>
              </w:rPr>
              <w:t>T10530</w:t>
            </w:r>
          </w:p>
        </w:tc>
        <w:tc>
          <w:tcPr>
            <w:tcW w:w="1572" w:type="pct"/>
            <w:vMerge w:val="continue"/>
            <w:noWrap w:val="0"/>
            <w:vAlign w:val="center"/>
          </w:tcPr>
          <w:p w14:paraId="0208B287">
            <w:pPr>
              <w:keepNext/>
              <w:keepLines/>
              <w:pageBreakBefore w:val="0"/>
              <w:widowControl w:val="0"/>
              <w:kinsoku/>
              <w:wordWrap/>
              <w:overflowPunct/>
              <w:topLinePunct w:val="0"/>
              <w:autoSpaceDE/>
              <w:autoSpaceDN/>
              <w:bidi w:val="0"/>
              <w:snapToGrid w:val="0"/>
              <w:spacing w:line="240" w:lineRule="auto"/>
              <w:jc w:val="center"/>
              <w:textAlignment w:val="auto"/>
              <w:rPr>
                <w:rFonts w:hint="default" w:eastAsia="宋体"/>
                <w:snapToGrid w:val="0"/>
                <w:sz w:val="18"/>
                <w:szCs w:val="18"/>
                <w:lang w:val="en-US" w:eastAsia="zh-CN"/>
              </w:rPr>
            </w:pPr>
          </w:p>
        </w:tc>
        <w:tc>
          <w:tcPr>
            <w:tcW w:w="1944" w:type="pct"/>
            <w:vMerge w:val="continue"/>
            <w:tcBorders>
              <w:right w:val="single" w:color="auto" w:sz="12" w:space="0"/>
            </w:tcBorders>
            <w:noWrap w:val="0"/>
            <w:vAlign w:val="center"/>
          </w:tcPr>
          <w:p w14:paraId="019BF4D4">
            <w:pPr>
              <w:keepNext/>
              <w:keepLines/>
              <w:pageBreakBefore w:val="0"/>
              <w:widowControl w:val="0"/>
              <w:kinsoku/>
              <w:wordWrap/>
              <w:overflowPunct/>
              <w:topLinePunct w:val="0"/>
              <w:autoSpaceDE/>
              <w:autoSpaceDN/>
              <w:bidi w:val="0"/>
              <w:snapToGrid w:val="0"/>
              <w:spacing w:line="360" w:lineRule="exact"/>
              <w:jc w:val="center"/>
              <w:textAlignment w:val="auto"/>
              <w:rPr>
                <w:rFonts w:hint="default" w:eastAsia="宋体"/>
                <w:snapToGrid w:val="0"/>
                <w:sz w:val="18"/>
                <w:szCs w:val="18"/>
                <w:lang w:val="en-US" w:eastAsia="zh-CN"/>
              </w:rPr>
            </w:pPr>
          </w:p>
        </w:tc>
      </w:tr>
      <w:tr w14:paraId="244D8A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5000" w:type="pct"/>
            <w:gridSpan w:val="4"/>
            <w:tcBorders>
              <w:left w:val="single" w:color="auto" w:sz="12" w:space="0"/>
              <w:bottom w:val="single" w:color="auto" w:sz="12" w:space="0"/>
              <w:right w:val="single" w:color="auto" w:sz="12" w:space="0"/>
            </w:tcBorders>
            <w:noWrap w:val="0"/>
            <w:vAlign w:val="center"/>
          </w:tcPr>
          <w:p w14:paraId="03709808">
            <w:pPr>
              <w:keepNext/>
              <w:keepLines/>
              <w:pageBreakBefore w:val="0"/>
              <w:widowControl w:val="0"/>
              <w:kinsoku/>
              <w:wordWrap/>
              <w:overflowPunct/>
              <w:topLinePunct w:val="0"/>
              <w:autoSpaceDE/>
              <w:autoSpaceDN/>
              <w:bidi w:val="0"/>
              <w:snapToGrid w:val="0"/>
              <w:spacing w:line="240" w:lineRule="auto"/>
              <w:textAlignment w:val="auto"/>
              <w:rPr>
                <w:snapToGrid w:val="0"/>
                <w:sz w:val="18"/>
                <w:szCs w:val="18"/>
              </w:rPr>
            </w:pPr>
            <w:r>
              <w:rPr>
                <w:snapToGrid w:val="0"/>
                <w:sz w:val="18"/>
                <w:szCs w:val="18"/>
              </w:rPr>
              <w:t>注：经供需双方协商，也可供应其他</w:t>
            </w:r>
            <w:r>
              <w:rPr>
                <w:sz w:val="18"/>
                <w:szCs w:val="18"/>
              </w:rPr>
              <w:t>牌号、</w:t>
            </w:r>
            <w:r>
              <w:rPr>
                <w:snapToGrid w:val="0"/>
                <w:sz w:val="18"/>
                <w:szCs w:val="18"/>
              </w:rPr>
              <w:t>状态、规格的产品。</w:t>
            </w:r>
          </w:p>
        </w:tc>
      </w:tr>
    </w:tbl>
    <w:p w14:paraId="6C292AAC">
      <w:pPr>
        <w:pStyle w:val="22"/>
        <w:spacing w:before="156" w:after="156"/>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2.4化学成分</w:t>
      </w:r>
    </w:p>
    <w:p w14:paraId="74A58112">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线坯的化学成分应符合表</w:t>
      </w:r>
      <w:r>
        <w:rPr>
          <w:rFonts w:hint="eastAsia" w:ascii="宋体" w:hAnsi="宋体" w:cstheme="minorBidi"/>
          <w:color w:val="auto"/>
          <w:kern w:val="2"/>
          <w:sz w:val="21"/>
          <w:szCs w:val="21"/>
          <w:lang w:val="en-US" w:eastAsia="zh-CN" w:bidi="ar-SA"/>
        </w:rPr>
        <w:t>3</w:t>
      </w:r>
      <w:r>
        <w:rPr>
          <w:rFonts w:hint="eastAsia" w:ascii="宋体" w:hAnsi="宋体" w:eastAsiaTheme="minorEastAsia" w:cstheme="minorBidi"/>
          <w:color w:val="auto"/>
          <w:kern w:val="2"/>
          <w:sz w:val="21"/>
          <w:szCs w:val="21"/>
          <w:lang w:val="en-US" w:eastAsia="zh-CN" w:bidi="ar-SA"/>
        </w:rPr>
        <w:t>的规定。</w:t>
      </w:r>
    </w:p>
    <w:tbl>
      <w:tblPr>
        <w:tblStyle w:val="11"/>
        <w:tblpPr w:leftFromText="180" w:rightFromText="180" w:vertAnchor="text" w:horzAnchor="page" w:tblpX="403" w:tblpY="1045"/>
        <w:tblOverlap w:val="never"/>
        <w:tblW w:w="10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200"/>
        <w:gridCol w:w="1270"/>
        <w:gridCol w:w="735"/>
        <w:gridCol w:w="668"/>
        <w:gridCol w:w="668"/>
        <w:gridCol w:w="682"/>
        <w:gridCol w:w="641"/>
        <w:gridCol w:w="668"/>
        <w:gridCol w:w="654"/>
        <w:gridCol w:w="641"/>
        <w:gridCol w:w="668"/>
        <w:gridCol w:w="641"/>
      </w:tblGrid>
      <w:tr w14:paraId="4C7E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restart"/>
            <w:tcBorders>
              <w:top w:val="single" w:color="auto" w:sz="12" w:space="0"/>
              <w:left w:val="single" w:color="auto" w:sz="12" w:space="0"/>
              <w:bottom w:val="single" w:color="auto" w:sz="4" w:space="0"/>
              <w:right w:val="single" w:color="auto" w:sz="4" w:space="0"/>
            </w:tcBorders>
            <w:noWrap w:val="0"/>
            <w:vAlign w:val="center"/>
          </w:tcPr>
          <w:p w14:paraId="7D963868">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牌号</w:t>
            </w:r>
          </w:p>
        </w:tc>
        <w:tc>
          <w:tcPr>
            <w:tcW w:w="2470" w:type="dxa"/>
            <w:gridSpan w:val="2"/>
            <w:tcBorders>
              <w:top w:val="single" w:color="auto" w:sz="12" w:space="0"/>
              <w:left w:val="single" w:color="auto" w:sz="4" w:space="0"/>
              <w:bottom w:val="single" w:color="auto" w:sz="4" w:space="0"/>
              <w:right w:val="single" w:color="auto" w:sz="4" w:space="0"/>
            </w:tcBorders>
            <w:noWrap w:val="0"/>
            <w:vAlign w:val="center"/>
          </w:tcPr>
          <w:p w14:paraId="5D1FF3ED">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主要成分/％</w:t>
            </w:r>
          </w:p>
        </w:tc>
        <w:tc>
          <w:tcPr>
            <w:tcW w:w="6666" w:type="dxa"/>
            <w:gridSpan w:val="10"/>
            <w:tcBorders>
              <w:top w:val="single" w:color="auto" w:sz="12" w:space="0"/>
              <w:left w:val="single" w:color="auto" w:sz="4" w:space="0"/>
              <w:bottom w:val="single" w:color="auto" w:sz="4" w:space="0"/>
              <w:right w:val="single" w:color="auto" w:sz="12" w:space="0"/>
            </w:tcBorders>
            <w:noWrap w:val="0"/>
            <w:vAlign w:val="center"/>
          </w:tcPr>
          <w:p w14:paraId="6DCEE1B2">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杂质元素/％</w:t>
            </w:r>
          </w:p>
          <w:p w14:paraId="0D944252">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不大于</w:t>
            </w:r>
          </w:p>
        </w:tc>
      </w:tr>
      <w:tr w14:paraId="6C92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continue"/>
            <w:tcBorders>
              <w:top w:val="single" w:color="auto" w:sz="4" w:space="0"/>
              <w:left w:val="single" w:color="auto" w:sz="12" w:space="0"/>
              <w:bottom w:val="single" w:color="auto" w:sz="4" w:space="0"/>
              <w:right w:val="single" w:color="auto" w:sz="4" w:space="0"/>
            </w:tcBorders>
            <w:noWrap w:val="0"/>
            <w:vAlign w:val="center"/>
          </w:tcPr>
          <w:p w14:paraId="78964C60">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BE17F01">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Cu+Ag</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D34F70F">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Ag</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DCE4819">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O</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D36F763">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P</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23C5BF7">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Bi</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5DDA6304">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Sb</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66839F5A">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As</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5473C4B">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Fe</w:t>
            </w:r>
          </w:p>
        </w:tc>
        <w:tc>
          <w:tcPr>
            <w:tcW w:w="654" w:type="dxa"/>
            <w:tcBorders>
              <w:top w:val="single" w:color="auto" w:sz="4" w:space="0"/>
              <w:left w:val="single" w:color="auto" w:sz="4" w:space="0"/>
              <w:bottom w:val="single" w:color="auto" w:sz="4" w:space="0"/>
              <w:right w:val="single" w:color="auto" w:sz="4" w:space="0"/>
            </w:tcBorders>
            <w:noWrap w:val="0"/>
            <w:vAlign w:val="center"/>
          </w:tcPr>
          <w:p w14:paraId="2865E84E">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Ni</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2FDBC38D">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Pb</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4D2101C1">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Sn</w:t>
            </w:r>
          </w:p>
        </w:tc>
        <w:tc>
          <w:tcPr>
            <w:tcW w:w="641" w:type="dxa"/>
            <w:tcBorders>
              <w:top w:val="single" w:color="auto" w:sz="4" w:space="0"/>
              <w:left w:val="single" w:color="auto" w:sz="4" w:space="0"/>
              <w:bottom w:val="single" w:color="auto" w:sz="4" w:space="0"/>
              <w:right w:val="single" w:color="auto" w:sz="12" w:space="0"/>
            </w:tcBorders>
            <w:noWrap w:val="0"/>
            <w:vAlign w:val="center"/>
          </w:tcPr>
          <w:p w14:paraId="1E6050EC">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Zn</w:t>
            </w:r>
          </w:p>
        </w:tc>
      </w:tr>
      <w:tr w14:paraId="7629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tcBorders>
              <w:top w:val="single" w:color="auto" w:sz="4" w:space="0"/>
              <w:left w:val="single" w:color="auto" w:sz="12" w:space="0"/>
              <w:bottom w:val="single" w:color="auto" w:sz="4" w:space="0"/>
              <w:right w:val="single" w:color="auto" w:sz="4" w:space="0"/>
            </w:tcBorders>
            <w:noWrap w:val="0"/>
            <w:vAlign w:val="center"/>
          </w:tcPr>
          <w:p w14:paraId="2D17513C">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snapToGrid w:val="0"/>
                <w:sz w:val="18"/>
                <w:szCs w:val="18"/>
                <w:lang w:val="en-US" w:eastAsia="zh-CN"/>
              </w:rPr>
              <w:t>TU Ag0.03</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78C192F">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≥99.960</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1A353E9">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≥0.035</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2A9EDEC8">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0.0010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70EFFF6E">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2F32A69">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0.001</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1826928E">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627CF0E2">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3AEB6B05">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0.004</w:t>
            </w:r>
          </w:p>
        </w:tc>
        <w:tc>
          <w:tcPr>
            <w:tcW w:w="654" w:type="dxa"/>
            <w:tcBorders>
              <w:top w:val="single" w:color="auto" w:sz="4" w:space="0"/>
              <w:left w:val="single" w:color="auto" w:sz="4" w:space="0"/>
              <w:bottom w:val="single" w:color="auto" w:sz="4" w:space="0"/>
              <w:right w:val="single" w:color="auto" w:sz="4" w:space="0"/>
            </w:tcBorders>
            <w:noWrap w:val="0"/>
            <w:vAlign w:val="center"/>
          </w:tcPr>
          <w:p w14:paraId="10F86220">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4155386E">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0.004</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764746A2">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41" w:type="dxa"/>
            <w:tcBorders>
              <w:top w:val="single" w:color="auto" w:sz="4" w:space="0"/>
              <w:left w:val="single" w:color="auto" w:sz="4" w:space="0"/>
              <w:bottom w:val="single" w:color="auto" w:sz="4" w:space="0"/>
              <w:right w:val="single" w:color="auto" w:sz="12" w:space="0"/>
            </w:tcBorders>
            <w:noWrap w:val="0"/>
            <w:vAlign w:val="center"/>
          </w:tcPr>
          <w:p w14:paraId="5847C4E1">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0.003</w:t>
            </w:r>
          </w:p>
        </w:tc>
      </w:tr>
      <w:tr w14:paraId="2FC6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tcBorders>
              <w:top w:val="single" w:color="auto" w:sz="4" w:space="0"/>
              <w:left w:val="single" w:color="auto" w:sz="12" w:space="0"/>
              <w:bottom w:val="single" w:color="auto" w:sz="4" w:space="0"/>
              <w:right w:val="single" w:color="auto" w:sz="4" w:space="0"/>
            </w:tcBorders>
            <w:noWrap w:val="0"/>
            <w:vAlign w:val="center"/>
          </w:tcPr>
          <w:p w14:paraId="75010366">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snapToGrid w:val="0"/>
                <w:sz w:val="18"/>
                <w:szCs w:val="18"/>
                <w:lang w:val="en-US" w:eastAsia="zh-CN"/>
              </w:rPr>
              <w:t>TU Ag0.05</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6CCEB8F">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≥99.960</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1467E82">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0.020</w:t>
            </w:r>
            <w:r>
              <w:rPr>
                <w:rFonts w:hint="default" w:ascii="Times New Roman" w:hAnsi="Times New Roman" w:eastAsia="宋体" w:cs="Times New Roman"/>
                <w:sz w:val="18"/>
                <w:szCs w:val="18"/>
              </w:rPr>
              <w:t>～</w:t>
            </w:r>
            <w:r>
              <w:rPr>
                <w:rFonts w:hint="eastAsia" w:eastAsia="宋体" w:cs="Times New Roman"/>
                <w:snapToGrid w:val="0"/>
                <w:sz w:val="18"/>
                <w:szCs w:val="18"/>
                <w:lang w:val="en-US" w:eastAsia="zh-CN"/>
              </w:rPr>
              <w:t>0.060</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EEDCFAA">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0.0010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F726924">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DF81F3F">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0.001</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20C67665">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368D3AFF">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C99E5A8">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0.004</w:t>
            </w:r>
          </w:p>
        </w:tc>
        <w:tc>
          <w:tcPr>
            <w:tcW w:w="654" w:type="dxa"/>
            <w:tcBorders>
              <w:top w:val="single" w:color="auto" w:sz="4" w:space="0"/>
              <w:left w:val="single" w:color="auto" w:sz="4" w:space="0"/>
              <w:bottom w:val="single" w:color="auto" w:sz="4" w:space="0"/>
              <w:right w:val="single" w:color="auto" w:sz="4" w:space="0"/>
            </w:tcBorders>
            <w:noWrap w:val="0"/>
            <w:vAlign w:val="center"/>
          </w:tcPr>
          <w:p w14:paraId="65939E70">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1815AB0B">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0.004</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4B3FC553">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41" w:type="dxa"/>
            <w:tcBorders>
              <w:top w:val="single" w:color="auto" w:sz="4" w:space="0"/>
              <w:left w:val="single" w:color="auto" w:sz="4" w:space="0"/>
              <w:bottom w:val="single" w:color="auto" w:sz="4" w:space="0"/>
              <w:right w:val="single" w:color="auto" w:sz="12" w:space="0"/>
            </w:tcBorders>
            <w:noWrap w:val="0"/>
            <w:vAlign w:val="center"/>
          </w:tcPr>
          <w:p w14:paraId="0C964803">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0.003</w:t>
            </w:r>
          </w:p>
        </w:tc>
      </w:tr>
      <w:tr w14:paraId="7335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tcBorders>
              <w:top w:val="single" w:color="auto" w:sz="4" w:space="0"/>
              <w:left w:val="single" w:color="auto" w:sz="12" w:space="0"/>
              <w:bottom w:val="single" w:color="auto" w:sz="4" w:space="0"/>
              <w:right w:val="single" w:color="auto" w:sz="4" w:space="0"/>
            </w:tcBorders>
            <w:noWrap w:val="0"/>
            <w:vAlign w:val="center"/>
          </w:tcPr>
          <w:p w14:paraId="3E55D1DF">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snapToGrid w:val="0"/>
                <w:sz w:val="18"/>
                <w:szCs w:val="18"/>
                <w:lang w:val="en-US" w:eastAsia="zh-CN"/>
              </w:rPr>
              <w:t>TU Ag0.08</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89351C2">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≥99.960</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5474A17">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≥0.085</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147CDCC">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0.0010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7A746ADD">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2929E823">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0.001</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00394D7C">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3311D788">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32AE8D64">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0.004</w:t>
            </w:r>
          </w:p>
        </w:tc>
        <w:tc>
          <w:tcPr>
            <w:tcW w:w="654" w:type="dxa"/>
            <w:tcBorders>
              <w:top w:val="single" w:color="auto" w:sz="4" w:space="0"/>
              <w:left w:val="single" w:color="auto" w:sz="4" w:space="0"/>
              <w:bottom w:val="single" w:color="auto" w:sz="4" w:space="0"/>
              <w:right w:val="single" w:color="auto" w:sz="4" w:space="0"/>
            </w:tcBorders>
            <w:noWrap w:val="0"/>
            <w:vAlign w:val="center"/>
          </w:tcPr>
          <w:p w14:paraId="4AE8CCEB">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0D72DFDC">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0.004</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1C2C9ED">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41" w:type="dxa"/>
            <w:tcBorders>
              <w:top w:val="single" w:color="auto" w:sz="4" w:space="0"/>
              <w:left w:val="single" w:color="auto" w:sz="4" w:space="0"/>
              <w:bottom w:val="single" w:color="auto" w:sz="4" w:space="0"/>
              <w:right w:val="single" w:color="auto" w:sz="12" w:space="0"/>
            </w:tcBorders>
            <w:noWrap w:val="0"/>
            <w:vAlign w:val="center"/>
          </w:tcPr>
          <w:p w14:paraId="65768D91">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0.003</w:t>
            </w:r>
          </w:p>
        </w:tc>
      </w:tr>
      <w:tr w14:paraId="07BC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tcBorders>
              <w:top w:val="single" w:color="auto" w:sz="4" w:space="0"/>
              <w:left w:val="single" w:color="auto" w:sz="12" w:space="0"/>
              <w:bottom w:val="single" w:color="auto" w:sz="4" w:space="0"/>
              <w:right w:val="single" w:color="auto" w:sz="4" w:space="0"/>
            </w:tcBorders>
            <w:noWrap w:val="0"/>
            <w:vAlign w:val="center"/>
          </w:tcPr>
          <w:p w14:paraId="4078A7D3">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snapToGrid w:val="0"/>
                <w:sz w:val="18"/>
                <w:szCs w:val="18"/>
                <w:lang w:val="en-US" w:eastAsia="zh-CN"/>
              </w:rPr>
              <w:t>TU Ag0.10</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849DD8F">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≥99.960</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8B90747">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0.060</w:t>
            </w:r>
            <w:r>
              <w:rPr>
                <w:rFonts w:hint="default" w:ascii="Times New Roman" w:hAnsi="Times New Roman" w:eastAsia="宋体" w:cs="Times New Roman"/>
                <w:sz w:val="18"/>
                <w:szCs w:val="18"/>
              </w:rPr>
              <w:t>～</w:t>
            </w:r>
            <w:r>
              <w:rPr>
                <w:rFonts w:hint="eastAsia" w:eastAsia="宋体" w:cs="Times New Roman"/>
                <w:snapToGrid w:val="0"/>
                <w:sz w:val="18"/>
                <w:szCs w:val="18"/>
                <w:lang w:val="en-US" w:eastAsia="zh-CN"/>
              </w:rPr>
              <w:t>0.120</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7A910D26">
            <w:pPr>
              <w:keepNext/>
              <w:keepLines/>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0.0010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12A1302">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49E49E13">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0.001</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11A60EA0">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736A51C8">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2C73A75C">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0.004</w:t>
            </w:r>
          </w:p>
        </w:tc>
        <w:tc>
          <w:tcPr>
            <w:tcW w:w="654" w:type="dxa"/>
            <w:tcBorders>
              <w:top w:val="single" w:color="auto" w:sz="4" w:space="0"/>
              <w:left w:val="single" w:color="auto" w:sz="4" w:space="0"/>
              <w:bottom w:val="single" w:color="auto" w:sz="4" w:space="0"/>
              <w:right w:val="single" w:color="auto" w:sz="4" w:space="0"/>
            </w:tcBorders>
            <w:noWrap w:val="0"/>
            <w:vAlign w:val="center"/>
          </w:tcPr>
          <w:p w14:paraId="7FA7170C">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0671DC4C">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0.004</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38BA5E1">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0.002</w:t>
            </w:r>
          </w:p>
        </w:tc>
        <w:tc>
          <w:tcPr>
            <w:tcW w:w="641" w:type="dxa"/>
            <w:tcBorders>
              <w:top w:val="single" w:color="auto" w:sz="4" w:space="0"/>
              <w:left w:val="single" w:color="auto" w:sz="4" w:space="0"/>
              <w:bottom w:val="single" w:color="auto" w:sz="4" w:space="0"/>
              <w:right w:val="single" w:color="auto" w:sz="12" w:space="0"/>
            </w:tcBorders>
            <w:noWrap w:val="0"/>
            <w:vAlign w:val="center"/>
          </w:tcPr>
          <w:p w14:paraId="7F597012">
            <w:pPr>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0.003</w:t>
            </w:r>
          </w:p>
        </w:tc>
      </w:tr>
      <w:tr w14:paraId="36C9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2" w:type="dxa"/>
            <w:gridSpan w:val="13"/>
            <w:tcBorders>
              <w:top w:val="single" w:color="auto" w:sz="4" w:space="0"/>
              <w:left w:val="single" w:color="auto" w:sz="12" w:space="0"/>
              <w:bottom w:val="single" w:color="auto" w:sz="12" w:space="0"/>
              <w:right w:val="single" w:color="auto" w:sz="12" w:space="0"/>
            </w:tcBorders>
            <w:noWrap w:val="0"/>
            <w:vAlign w:val="center"/>
          </w:tcPr>
          <w:p w14:paraId="0CAE412E">
            <w:pPr>
              <w:keepNext/>
              <w:keepLines/>
              <w:pageBreakBefore w:val="0"/>
              <w:widowControl w:val="0"/>
              <w:kinsoku/>
              <w:wordWrap/>
              <w:overflowPunct/>
              <w:topLinePunct w:val="0"/>
              <w:autoSpaceDE/>
              <w:autoSpaceDN/>
              <w:bidi w:val="0"/>
              <w:adjustRightInd/>
              <w:snapToGrid/>
              <w:spacing w:line="360" w:lineRule="auto"/>
              <w:jc w:val="left"/>
              <w:textAlignment w:val="auto"/>
              <w:rPr>
                <w:rFonts w:hint="default" w:eastAsia="宋体" w:cs="Times New Roman"/>
                <w:snapToGrid w:val="0"/>
                <w:sz w:val="18"/>
                <w:szCs w:val="18"/>
                <w:lang w:val="en-US" w:eastAsia="zh-CN"/>
              </w:rPr>
            </w:pPr>
            <w:r>
              <w:rPr>
                <w:snapToGrid w:val="0"/>
                <w:sz w:val="18"/>
                <w:szCs w:val="18"/>
              </w:rPr>
              <w:t>注：</w:t>
            </w:r>
            <w:r>
              <w:rPr>
                <w:rFonts w:hint="eastAsia"/>
                <w:snapToGrid w:val="0"/>
                <w:sz w:val="18"/>
                <w:szCs w:val="18"/>
                <w:lang w:val="en-US" w:eastAsia="zh-CN"/>
              </w:rPr>
              <w:t>当化学成分有特殊要求时</w:t>
            </w:r>
            <w:r>
              <w:rPr>
                <w:snapToGrid w:val="0"/>
                <w:sz w:val="18"/>
                <w:szCs w:val="18"/>
              </w:rPr>
              <w:t>，</w:t>
            </w:r>
            <w:r>
              <w:rPr>
                <w:rFonts w:hint="eastAsia"/>
                <w:snapToGrid w:val="0"/>
                <w:sz w:val="18"/>
                <w:szCs w:val="18"/>
                <w:lang w:val="en-US" w:eastAsia="zh-CN"/>
              </w:rPr>
              <w:t>需</w:t>
            </w:r>
            <w:r>
              <w:rPr>
                <w:snapToGrid w:val="0"/>
                <w:sz w:val="18"/>
                <w:szCs w:val="18"/>
              </w:rPr>
              <w:t>经供需双方协商</w:t>
            </w:r>
            <w:r>
              <w:rPr>
                <w:rFonts w:hint="eastAsia"/>
                <w:snapToGrid w:val="0"/>
                <w:sz w:val="18"/>
                <w:szCs w:val="18"/>
                <w:lang w:val="en-US" w:eastAsia="zh-CN"/>
              </w:rPr>
              <w:t>确定</w:t>
            </w:r>
            <w:r>
              <w:rPr>
                <w:snapToGrid w:val="0"/>
                <w:sz w:val="18"/>
                <w:szCs w:val="18"/>
              </w:rPr>
              <w:t>。</w:t>
            </w:r>
          </w:p>
        </w:tc>
      </w:tr>
    </w:tbl>
    <w:p w14:paraId="288CF25C">
      <w:pPr>
        <w:keepNext/>
        <w:keepLines/>
        <w:pageBreakBefore w:val="0"/>
        <w:widowControl w:val="0"/>
        <w:kinsoku/>
        <w:wordWrap/>
        <w:overflowPunct/>
        <w:topLinePunct w:val="0"/>
        <w:autoSpaceDE/>
        <w:autoSpaceDN/>
        <w:bidi w:val="0"/>
        <w:snapToGrid w:val="0"/>
        <w:spacing w:before="240" w:beforeLines="100" w:after="240" w:afterLines="100" w:line="240" w:lineRule="auto"/>
        <w:jc w:val="center"/>
        <w:textAlignment w:val="auto"/>
        <w:outlineLvl w:val="1"/>
        <w:rPr>
          <w:rFonts w:hint="eastAsia" w:eastAsia="黑体" w:cs="Times New Roman"/>
          <w:sz w:val="21"/>
          <w:lang w:val="en-US" w:eastAsia="zh-CN"/>
        </w:rPr>
      </w:pPr>
      <w:r>
        <w:rPr>
          <w:rFonts w:hint="eastAsia" w:eastAsia="黑体" w:cs="Times New Roman"/>
          <w:sz w:val="21"/>
          <w:lang w:val="en-US" w:eastAsia="zh-CN"/>
        </w:rPr>
        <w:t>表3 线坯的化学成分</w:t>
      </w:r>
    </w:p>
    <w:p w14:paraId="7FF328B0">
      <w:pPr>
        <w:pStyle w:val="22"/>
        <w:spacing w:before="156" w:after="156"/>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2.5 尺寸及尺寸允许偏差</w:t>
      </w:r>
    </w:p>
    <w:p w14:paraId="6AA8C11F">
      <w:pPr>
        <w:pStyle w:val="22"/>
        <w:spacing w:before="156" w:after="156"/>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2.5.1 直径及其允许偏差</w:t>
      </w:r>
    </w:p>
    <w:p w14:paraId="1614477B">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线坯</w:t>
      </w:r>
      <w:r>
        <w:rPr>
          <w:rFonts w:hint="default" w:ascii="宋体" w:hAnsi="宋体" w:eastAsiaTheme="minorEastAsia" w:cstheme="minorBidi"/>
          <w:color w:val="auto"/>
          <w:kern w:val="2"/>
          <w:sz w:val="21"/>
          <w:szCs w:val="21"/>
          <w:lang w:val="en-US" w:eastAsia="zh-CN" w:bidi="ar-SA"/>
        </w:rPr>
        <w:t>的</w:t>
      </w:r>
      <w:r>
        <w:rPr>
          <w:rFonts w:hint="eastAsia" w:ascii="宋体" w:hAnsi="宋体" w:eastAsiaTheme="minorEastAsia" w:cstheme="minorBidi"/>
          <w:color w:val="auto"/>
          <w:kern w:val="2"/>
          <w:sz w:val="21"/>
          <w:szCs w:val="21"/>
          <w:lang w:val="en-US" w:eastAsia="zh-CN" w:bidi="ar-SA"/>
        </w:rPr>
        <w:t>直径</w:t>
      </w:r>
      <w:r>
        <w:rPr>
          <w:rFonts w:hint="default" w:ascii="宋体" w:hAnsi="宋体" w:eastAsiaTheme="minorEastAsia" w:cstheme="minorBidi"/>
          <w:color w:val="auto"/>
          <w:kern w:val="2"/>
          <w:sz w:val="21"/>
          <w:szCs w:val="21"/>
          <w:lang w:val="en-US" w:eastAsia="zh-CN" w:bidi="ar-SA"/>
        </w:rPr>
        <w:t>及其允许偏差应符合表</w:t>
      </w:r>
      <w:r>
        <w:rPr>
          <w:rFonts w:hint="eastAsia" w:ascii="宋体" w:hAnsi="宋体" w:eastAsiaTheme="minorEastAsia" w:cstheme="minorBidi"/>
          <w:color w:val="auto"/>
          <w:kern w:val="2"/>
          <w:sz w:val="21"/>
          <w:szCs w:val="21"/>
          <w:lang w:val="en-US" w:eastAsia="zh-CN" w:bidi="ar-SA"/>
        </w:rPr>
        <w:t>4</w:t>
      </w:r>
      <w:r>
        <w:rPr>
          <w:rFonts w:hint="default" w:ascii="宋体" w:hAnsi="宋体" w:eastAsiaTheme="minorEastAsia" w:cstheme="minorBidi"/>
          <w:color w:val="auto"/>
          <w:kern w:val="2"/>
          <w:sz w:val="21"/>
          <w:szCs w:val="21"/>
          <w:lang w:val="en-US" w:eastAsia="zh-CN" w:bidi="ar-SA"/>
        </w:rPr>
        <w:t>的规定。</w:t>
      </w:r>
    </w:p>
    <w:p w14:paraId="6DF6AEC9">
      <w:pPr>
        <w:snapToGrid w:val="0"/>
        <w:spacing w:before="240" w:beforeLines="100" w:after="240" w:afterLines="100" w:line="240" w:lineRule="auto"/>
        <w:jc w:val="center"/>
        <w:outlineLvl w:val="1"/>
        <w:rPr>
          <w:rFonts w:hint="eastAsia" w:eastAsia="黑体" w:cs="Times New Roman"/>
          <w:sz w:val="21"/>
          <w:lang w:val="en-US" w:eastAsia="zh-CN"/>
        </w:rPr>
      </w:pPr>
      <w:r>
        <w:rPr>
          <w:rFonts w:hint="eastAsia" w:eastAsia="黑体" w:cs="Times New Roman"/>
          <w:sz w:val="21"/>
          <w:lang w:val="en-US" w:eastAsia="zh-CN"/>
        </w:rPr>
        <w:t>表4 线坯的直径及其允许偏差</w:t>
      </w:r>
    </w:p>
    <w:p w14:paraId="3B11EAE7">
      <w:pPr>
        <w:keepNext/>
        <w:keepLines/>
        <w:pageBreakBefore w:val="0"/>
        <w:widowControl w:val="0"/>
        <w:kinsoku/>
        <w:wordWrap/>
        <w:overflowPunct/>
        <w:topLinePunct w:val="0"/>
        <w:autoSpaceDE/>
        <w:autoSpaceDN/>
        <w:bidi w:val="0"/>
        <w:adjustRightInd w:val="0"/>
        <w:snapToGrid/>
        <w:spacing w:line="240" w:lineRule="auto"/>
        <w:ind w:firstLine="0"/>
        <w:jc w:val="right"/>
        <w:textAlignment w:val="auto"/>
        <w:rPr>
          <w:rFonts w:ascii="宋体" w:hAnsi="宋体"/>
          <w:color w:val="auto"/>
          <w:sz w:val="18"/>
          <w:szCs w:val="18"/>
        </w:rPr>
      </w:pPr>
      <w:r>
        <w:rPr>
          <w:rFonts w:hint="eastAsia" w:ascii="宋体" w:hAnsi="宋体"/>
          <w:color w:val="auto"/>
        </w:rPr>
        <w:t xml:space="preserve">                       </w:t>
      </w:r>
      <w:r>
        <w:rPr>
          <w:rFonts w:hint="eastAsia" w:ascii="宋体" w:hAnsi="宋体"/>
          <w:color w:val="auto"/>
          <w:lang w:val="en-US" w:eastAsia="zh-CN"/>
        </w:rPr>
        <w:t xml:space="preserve">  </w:t>
      </w:r>
      <w:r>
        <w:rPr>
          <w:rFonts w:hint="eastAsia" w:ascii="宋体" w:hAnsi="宋体"/>
          <w:color w:val="auto"/>
          <w:sz w:val="18"/>
          <w:szCs w:val="18"/>
        </w:rPr>
        <w:t xml:space="preserve">单位为毫米 </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2" w:space="0"/>
        </w:tblBorders>
        <w:tblLayout w:type="fixed"/>
        <w:tblCellMar>
          <w:top w:w="0" w:type="dxa"/>
          <w:left w:w="108" w:type="dxa"/>
          <w:bottom w:w="0" w:type="dxa"/>
          <w:right w:w="108" w:type="dxa"/>
        </w:tblCellMar>
      </w:tblPr>
      <w:tblGrid>
        <w:gridCol w:w="2009"/>
        <w:gridCol w:w="3751"/>
        <w:gridCol w:w="3752"/>
      </w:tblGrid>
      <w:tr w14:paraId="21E45079">
        <w:tblPrEx>
          <w:tblBorders>
            <w:top w:val="single" w:color="auto" w:sz="12" w:space="0"/>
            <w:left w:val="single" w:color="auto" w:sz="12" w:space="0"/>
            <w:bottom w:val="single" w:color="auto" w:sz="12" w:space="0"/>
            <w:right w:val="single" w:color="auto" w:sz="12" w:space="0"/>
            <w:insideH w:val="single" w:color="auto" w:sz="12" w:space="0"/>
            <w:insideV w:val="single" w:color="auto" w:sz="2" w:space="0"/>
          </w:tblBorders>
          <w:tblCellMar>
            <w:top w:w="0" w:type="dxa"/>
            <w:left w:w="108" w:type="dxa"/>
            <w:bottom w:w="0" w:type="dxa"/>
            <w:right w:w="108" w:type="dxa"/>
          </w:tblCellMar>
        </w:tblPrEx>
        <w:trPr>
          <w:trHeight w:val="283" w:hRule="atLeast"/>
          <w:jc w:val="center"/>
        </w:trPr>
        <w:tc>
          <w:tcPr>
            <w:tcW w:w="2009" w:type="dxa"/>
            <w:tcBorders>
              <w:bottom w:val="single" w:color="auto" w:sz="12" w:space="0"/>
              <w:right w:val="single" w:color="auto" w:sz="4" w:space="0"/>
              <w:tl2br w:val="nil"/>
              <w:tr2bl w:val="nil"/>
            </w:tcBorders>
            <w:noWrap w:val="0"/>
            <w:vAlign w:val="center"/>
          </w:tcPr>
          <w:p w14:paraId="31E8951D">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直径</w:t>
            </w:r>
          </w:p>
        </w:tc>
        <w:tc>
          <w:tcPr>
            <w:tcW w:w="3751" w:type="dxa"/>
            <w:tcBorders>
              <w:left w:val="single" w:color="auto" w:sz="4" w:space="0"/>
              <w:bottom w:val="single" w:color="auto" w:sz="12" w:space="0"/>
              <w:tl2br w:val="nil"/>
              <w:tr2bl w:val="nil"/>
            </w:tcBorders>
            <w:noWrap w:val="0"/>
            <w:vAlign w:val="center"/>
          </w:tcPr>
          <w:p w14:paraId="4A23E1BC">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状态</w:t>
            </w:r>
          </w:p>
        </w:tc>
        <w:tc>
          <w:tcPr>
            <w:tcW w:w="3752" w:type="dxa"/>
            <w:tcBorders>
              <w:left w:val="single" w:color="auto" w:sz="4" w:space="0"/>
              <w:bottom w:val="single" w:color="auto" w:sz="12" w:space="0"/>
              <w:tl2br w:val="nil"/>
              <w:tr2bl w:val="nil"/>
            </w:tcBorders>
            <w:noWrap w:val="0"/>
            <w:vAlign w:val="center"/>
          </w:tcPr>
          <w:p w14:paraId="2D27023B">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允许偏差</w:t>
            </w:r>
            <w:r>
              <w:rPr>
                <w:rFonts w:hint="default" w:ascii="Times New Roman" w:hAnsi="Times New Roman" w:eastAsia="宋体" w:cs="Times New Roman"/>
                <w:sz w:val="18"/>
                <w:szCs w:val="18"/>
                <w:vertAlign w:val="superscript"/>
              </w:rPr>
              <w:t>a</w:t>
            </w:r>
          </w:p>
        </w:tc>
      </w:tr>
      <w:tr w14:paraId="53622551">
        <w:tblPrEx>
          <w:tblBorders>
            <w:top w:val="single" w:color="auto" w:sz="12" w:space="0"/>
            <w:left w:val="single" w:color="auto" w:sz="12" w:space="0"/>
            <w:bottom w:val="single" w:color="auto" w:sz="12" w:space="0"/>
            <w:right w:val="single" w:color="auto" w:sz="12" w:space="0"/>
            <w:insideH w:val="single" w:color="auto" w:sz="12" w:space="0"/>
            <w:insideV w:val="single" w:color="auto" w:sz="2" w:space="0"/>
          </w:tblBorders>
          <w:tblCellMar>
            <w:top w:w="0" w:type="dxa"/>
            <w:left w:w="108" w:type="dxa"/>
            <w:bottom w:w="0" w:type="dxa"/>
            <w:right w:w="108" w:type="dxa"/>
          </w:tblCellMar>
        </w:tblPrEx>
        <w:trPr>
          <w:trHeight w:val="283" w:hRule="atLeast"/>
          <w:jc w:val="center"/>
        </w:trPr>
        <w:tc>
          <w:tcPr>
            <w:tcW w:w="2009" w:type="dxa"/>
            <w:tcBorders>
              <w:top w:val="single" w:color="auto" w:sz="12" w:space="0"/>
              <w:bottom w:val="single" w:color="000000" w:sz="4" w:space="0"/>
              <w:right w:val="single" w:color="auto" w:sz="4" w:space="0"/>
              <w:tl2br w:val="nil"/>
              <w:tr2bl w:val="nil"/>
            </w:tcBorders>
            <w:noWrap w:val="0"/>
            <w:vAlign w:val="center"/>
          </w:tcPr>
          <w:p w14:paraId="5C3A575D">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12.50</w:t>
            </w:r>
            <w:r>
              <w:rPr>
                <w:rFonts w:hint="default" w:ascii="Times New Roman" w:hAnsi="Times New Roman" w:eastAsia="宋体" w:cs="Times New Roman"/>
                <w:sz w:val="18"/>
                <w:szCs w:val="18"/>
              </w:rPr>
              <w:t>～</w:t>
            </w:r>
            <w:r>
              <w:rPr>
                <w:rFonts w:hint="eastAsia" w:ascii="Times New Roman" w:hAnsi="Times New Roman" w:cs="Times New Roman"/>
                <w:sz w:val="18"/>
                <w:szCs w:val="18"/>
                <w:lang w:val="en-US" w:eastAsia="zh-CN"/>
              </w:rPr>
              <w:t>30</w:t>
            </w:r>
            <w:r>
              <w:rPr>
                <w:rFonts w:hint="default" w:ascii="Times New Roman" w:hAnsi="Times New Roman" w:eastAsia="宋体" w:cs="Times New Roman"/>
                <w:sz w:val="18"/>
                <w:szCs w:val="18"/>
                <w:lang w:val="en-US" w:eastAsia="zh-CN"/>
              </w:rPr>
              <w:t>.0</w:t>
            </w:r>
            <w:r>
              <w:rPr>
                <w:rFonts w:hint="eastAsia" w:ascii="Times New Roman" w:hAnsi="Times New Roman" w:cs="Times New Roman"/>
                <w:sz w:val="18"/>
                <w:szCs w:val="18"/>
                <w:lang w:val="en-US" w:eastAsia="zh-CN"/>
              </w:rPr>
              <w:t>0</w:t>
            </w:r>
          </w:p>
        </w:tc>
        <w:tc>
          <w:tcPr>
            <w:tcW w:w="3751" w:type="dxa"/>
            <w:tcBorders>
              <w:top w:val="single" w:color="auto" w:sz="12" w:space="0"/>
              <w:left w:val="single" w:color="auto" w:sz="4" w:space="0"/>
              <w:bottom w:val="single" w:color="000000" w:sz="4" w:space="0"/>
              <w:tl2br w:val="nil"/>
              <w:tr2bl w:val="nil"/>
            </w:tcBorders>
            <w:noWrap w:val="0"/>
            <w:vAlign w:val="center"/>
          </w:tcPr>
          <w:p w14:paraId="4C2C24D6">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lang w:eastAsia="zh-CN"/>
              </w:rPr>
            </w:pPr>
            <w:r>
              <w:rPr>
                <w:rFonts w:hint="eastAsia" w:ascii="宋体" w:hAnsi="宋体" w:eastAsia="宋体" w:cs="宋体"/>
                <w:snapToGrid w:val="0"/>
                <w:sz w:val="18"/>
                <w:szCs w:val="18"/>
                <w:lang w:val="en-US" w:eastAsia="zh-CN"/>
              </w:rPr>
              <w:t>连续铸造（M07）</w:t>
            </w:r>
          </w:p>
        </w:tc>
        <w:tc>
          <w:tcPr>
            <w:tcW w:w="3752" w:type="dxa"/>
            <w:tcBorders>
              <w:top w:val="single" w:color="auto" w:sz="12" w:space="0"/>
              <w:left w:val="single" w:color="auto" w:sz="4" w:space="0"/>
              <w:bottom w:val="single" w:color="auto" w:sz="4" w:space="0"/>
              <w:tl2br w:val="nil"/>
              <w:tr2bl w:val="nil"/>
            </w:tcBorders>
            <w:noWrap w:val="0"/>
            <w:vAlign w:val="center"/>
          </w:tcPr>
          <w:p w14:paraId="632FB7E2">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±0.15</w:t>
            </w:r>
          </w:p>
        </w:tc>
      </w:tr>
      <w:tr w14:paraId="343A1504">
        <w:tblPrEx>
          <w:tblBorders>
            <w:top w:val="single" w:color="auto" w:sz="12" w:space="0"/>
            <w:left w:val="single" w:color="auto" w:sz="12" w:space="0"/>
            <w:bottom w:val="single" w:color="auto" w:sz="12" w:space="0"/>
            <w:right w:val="single" w:color="auto" w:sz="12" w:space="0"/>
            <w:insideH w:val="single" w:color="auto" w:sz="12" w:space="0"/>
            <w:insideV w:val="single" w:color="auto" w:sz="2" w:space="0"/>
          </w:tblBorders>
          <w:tblCellMar>
            <w:top w:w="0" w:type="dxa"/>
            <w:left w:w="108" w:type="dxa"/>
            <w:bottom w:w="0" w:type="dxa"/>
            <w:right w:w="108" w:type="dxa"/>
          </w:tblCellMar>
        </w:tblPrEx>
        <w:trPr>
          <w:trHeight w:val="283" w:hRule="atLeast"/>
          <w:jc w:val="center"/>
        </w:trPr>
        <w:tc>
          <w:tcPr>
            <w:tcW w:w="2009" w:type="dxa"/>
            <w:tcBorders>
              <w:top w:val="single" w:color="000000" w:sz="4" w:space="0"/>
              <w:left w:val="single" w:color="000000" w:sz="4" w:space="0"/>
              <w:bottom w:val="single" w:color="000000" w:sz="4" w:space="0"/>
              <w:right w:val="single" w:color="000000" w:sz="4" w:space="0"/>
            </w:tcBorders>
            <w:noWrap w:val="0"/>
            <w:vAlign w:val="center"/>
          </w:tcPr>
          <w:p w14:paraId="59B16FC2">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lang w:val="en-US"/>
              </w:rPr>
            </w:pPr>
            <w:r>
              <w:rPr>
                <w:rFonts w:hint="eastAsia" w:ascii="Times New Roman" w:hAnsi="Times New Roman" w:cs="Times New Roman"/>
                <w:sz w:val="18"/>
                <w:szCs w:val="18"/>
                <w:lang w:val="en-US" w:eastAsia="zh-CN"/>
              </w:rPr>
              <w:t>8</w:t>
            </w:r>
            <w:r>
              <w:rPr>
                <w:rFonts w:hint="default" w:ascii="Times New Roman" w:hAnsi="Times New Roman" w:eastAsia="宋体" w:cs="Times New Roman"/>
                <w:sz w:val="18"/>
                <w:szCs w:val="18"/>
                <w:lang w:val="en-US" w:eastAsia="zh-CN"/>
              </w:rPr>
              <w:t>.</w:t>
            </w:r>
            <w:r>
              <w:rPr>
                <w:rFonts w:hint="eastAsia" w:ascii="Times New Roman" w:hAnsi="Times New Roman" w:cs="Times New Roman"/>
                <w:sz w:val="18"/>
                <w:szCs w:val="18"/>
                <w:lang w:val="en-US" w:eastAsia="zh-CN"/>
              </w:rPr>
              <w:t>0</w:t>
            </w:r>
            <w:r>
              <w:rPr>
                <w:rFonts w:hint="default" w:ascii="Times New Roman" w:hAnsi="Times New Roman" w:eastAsia="宋体" w:cs="Times New Roman"/>
                <w:sz w:val="18"/>
                <w:szCs w:val="18"/>
                <w:lang w:val="en-US" w:eastAsia="zh-CN"/>
              </w:rPr>
              <w:t>0</w:t>
            </w:r>
            <w:r>
              <w:rPr>
                <w:rFonts w:hint="default" w:ascii="Times New Roman" w:hAnsi="Times New Roman" w:eastAsia="宋体" w:cs="Times New Roman"/>
                <w:sz w:val="18"/>
                <w:szCs w:val="18"/>
              </w:rPr>
              <w:t>～</w:t>
            </w:r>
            <w:r>
              <w:rPr>
                <w:rFonts w:hint="default" w:ascii="Times New Roman" w:hAnsi="Times New Roman" w:eastAsia="宋体" w:cs="Times New Roman"/>
                <w:sz w:val="18"/>
                <w:szCs w:val="18"/>
                <w:lang w:val="en-US" w:eastAsia="zh-CN"/>
              </w:rPr>
              <w:t>25</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z w:val="18"/>
                <w:szCs w:val="18"/>
                <w:lang w:val="en-US" w:eastAsia="zh-CN"/>
              </w:rPr>
              <w:t>0</w:t>
            </w:r>
            <w:r>
              <w:rPr>
                <w:rFonts w:hint="eastAsia" w:ascii="Times New Roman" w:hAnsi="Times New Roman" w:cs="Times New Roman"/>
                <w:sz w:val="18"/>
                <w:szCs w:val="18"/>
                <w:lang w:val="en-US" w:eastAsia="zh-CN"/>
              </w:rPr>
              <w:t>0</w:t>
            </w:r>
          </w:p>
        </w:tc>
        <w:tc>
          <w:tcPr>
            <w:tcW w:w="3751" w:type="dxa"/>
            <w:tcBorders>
              <w:top w:val="single" w:color="000000" w:sz="4" w:space="0"/>
              <w:left w:val="single" w:color="000000" w:sz="4" w:space="0"/>
              <w:bottom w:val="single" w:color="000000" w:sz="4" w:space="0"/>
              <w:right w:val="single" w:color="000000" w:sz="4" w:space="0"/>
            </w:tcBorders>
            <w:noWrap w:val="0"/>
            <w:vAlign w:val="center"/>
          </w:tcPr>
          <w:p w14:paraId="42E688E9">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eastAsia" w:ascii="宋体" w:hAnsi="宋体" w:eastAsia="宋体" w:cs="宋体"/>
                <w:snapToGrid w:val="0"/>
                <w:sz w:val="18"/>
                <w:szCs w:val="18"/>
                <w:lang w:val="en-US" w:eastAsia="zh-CN"/>
              </w:rPr>
              <w:t>硬态（H04）</w:t>
            </w:r>
          </w:p>
        </w:tc>
        <w:tc>
          <w:tcPr>
            <w:tcW w:w="3752" w:type="dxa"/>
            <w:tcBorders>
              <w:top w:val="single" w:color="auto" w:sz="4" w:space="0"/>
              <w:left w:val="single" w:color="000000" w:sz="4" w:space="0"/>
              <w:bottom w:val="single" w:color="auto" w:sz="4" w:space="0"/>
            </w:tcBorders>
            <w:noWrap w:val="0"/>
            <w:vAlign w:val="center"/>
          </w:tcPr>
          <w:p w14:paraId="39E2FEEB">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18"/>
                <w:szCs w:val="18"/>
                <w:lang w:val="en-US"/>
              </w:rPr>
            </w:pPr>
            <w:r>
              <w:rPr>
                <w:rFonts w:hint="eastAsia" w:ascii="Times New Roman" w:hAnsi="Times New Roman" w:cs="Times New Roman"/>
                <w:color w:val="auto"/>
                <w:sz w:val="18"/>
                <w:szCs w:val="18"/>
                <w:lang w:val="en-US" w:eastAsia="zh-CN"/>
              </w:rPr>
              <w:t>±0.05</w:t>
            </w:r>
          </w:p>
        </w:tc>
      </w:tr>
      <w:tr w14:paraId="2FA34694">
        <w:tblPrEx>
          <w:tblBorders>
            <w:top w:val="single" w:color="auto" w:sz="12" w:space="0"/>
            <w:left w:val="single" w:color="auto" w:sz="12" w:space="0"/>
            <w:bottom w:val="single" w:color="auto" w:sz="12" w:space="0"/>
            <w:right w:val="single" w:color="auto" w:sz="12" w:space="0"/>
            <w:insideH w:val="single" w:color="auto" w:sz="12" w:space="0"/>
            <w:insideV w:val="single" w:color="auto" w:sz="2" w:space="0"/>
          </w:tblBorders>
          <w:tblCellMar>
            <w:top w:w="0" w:type="dxa"/>
            <w:left w:w="108" w:type="dxa"/>
            <w:bottom w:w="0" w:type="dxa"/>
            <w:right w:w="108" w:type="dxa"/>
          </w:tblCellMar>
        </w:tblPrEx>
        <w:trPr>
          <w:trHeight w:val="283" w:hRule="atLeast"/>
          <w:jc w:val="center"/>
        </w:trPr>
        <w:tc>
          <w:tcPr>
            <w:tcW w:w="9512" w:type="dxa"/>
            <w:gridSpan w:val="3"/>
            <w:tcBorders>
              <w:top w:val="single" w:color="auto" w:sz="4" w:space="0"/>
            </w:tcBorders>
            <w:noWrap w:val="0"/>
            <w:vAlign w:val="center"/>
          </w:tcPr>
          <w:p w14:paraId="0E8085AE">
            <w:pPr>
              <w:keepNext/>
              <w:keepLines/>
              <w:pageBreakBefore w:val="0"/>
              <w:widowControl w:val="0"/>
              <w:kinsoku/>
              <w:wordWrap/>
              <w:overflowPunct/>
              <w:topLinePunct w:val="0"/>
              <w:autoSpaceDE/>
              <w:autoSpaceDN/>
              <w:bidi w:val="0"/>
              <w:adjustRightInd w:val="0"/>
              <w:snapToGrid/>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sz w:val="18"/>
                <w:szCs w:val="18"/>
                <w:vertAlign w:val="superscript"/>
              </w:rPr>
              <w:t>a</w:t>
            </w:r>
            <w:r>
              <w:rPr>
                <w:rFonts w:hint="default" w:ascii="Times New Roman" w:hAnsi="Times New Roman" w:eastAsia="宋体" w:cs="Times New Roman"/>
                <w:sz w:val="18"/>
                <w:szCs w:val="18"/>
              </w:rPr>
              <w:t>需方要求允许偏差全为（+）或（-）单向偏差时，其值为表中数值的两倍。</w:t>
            </w:r>
          </w:p>
        </w:tc>
      </w:tr>
    </w:tbl>
    <w:p w14:paraId="61D6682F">
      <w:pPr>
        <w:pStyle w:val="22"/>
        <w:spacing w:before="156" w:after="156"/>
        <w:rPr>
          <w:rFonts w:hint="eastAsia" w:ascii="黑体" w:hAnsi="黑体" w:eastAsia="黑体" w:cs="黑体"/>
          <w:lang w:val="en-US" w:eastAsia="zh-CN"/>
        </w:rPr>
      </w:pPr>
      <w:r>
        <w:rPr>
          <w:rFonts w:hint="eastAsia" w:ascii="黑体" w:hAnsi="黑体" w:eastAsia="黑体" w:cs="黑体"/>
          <w:lang w:val="en-US" w:eastAsia="zh-CN"/>
        </w:rPr>
        <w:t>2.5.</w:t>
      </w:r>
      <w:r>
        <w:rPr>
          <w:rFonts w:hint="eastAsia" w:ascii="黑体" w:hAnsi="黑体" w:cs="黑体"/>
          <w:lang w:val="en-US" w:eastAsia="zh-CN"/>
        </w:rPr>
        <w:t>2</w:t>
      </w:r>
      <w:r>
        <w:rPr>
          <w:rFonts w:hint="eastAsia" w:ascii="黑体" w:hAnsi="黑体" w:eastAsia="黑体" w:cs="黑体"/>
          <w:lang w:val="en-US" w:eastAsia="zh-CN"/>
        </w:rPr>
        <w:t xml:space="preserve">  </w:t>
      </w:r>
      <w:r>
        <w:rPr>
          <w:rFonts w:hint="eastAsia" w:ascii="黑体" w:hAnsi="黑体" w:cs="黑体"/>
          <w:lang w:val="en-US" w:eastAsia="zh-CN"/>
        </w:rPr>
        <w:t>圆</w:t>
      </w:r>
      <w:r>
        <w:rPr>
          <w:rFonts w:hint="eastAsia" w:ascii="黑体" w:hAnsi="黑体" w:eastAsia="黑体" w:cs="黑体"/>
          <w:lang w:val="en-US" w:eastAsia="zh-CN"/>
        </w:rPr>
        <w:t>度</w:t>
      </w:r>
    </w:p>
    <w:p w14:paraId="3B635652">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线坯</w:t>
      </w:r>
      <w:r>
        <w:rPr>
          <w:rFonts w:hint="default" w:ascii="宋体" w:hAnsi="宋体" w:eastAsiaTheme="minorEastAsia" w:cstheme="minorBidi"/>
          <w:color w:val="auto"/>
          <w:kern w:val="2"/>
          <w:sz w:val="21"/>
          <w:szCs w:val="21"/>
          <w:lang w:val="en-US" w:eastAsia="zh-CN" w:bidi="ar-SA"/>
        </w:rPr>
        <w:t>的圆度不应大于直径允许偏差之半</w:t>
      </w:r>
      <w:r>
        <w:rPr>
          <w:rFonts w:hint="eastAsia" w:ascii="宋体" w:hAnsi="宋体" w:eastAsiaTheme="minorEastAsia" w:cstheme="minorBidi"/>
          <w:color w:val="auto"/>
          <w:kern w:val="2"/>
          <w:sz w:val="21"/>
          <w:szCs w:val="21"/>
          <w:lang w:val="en-US" w:eastAsia="zh-CN" w:bidi="ar-SA"/>
        </w:rPr>
        <w:t>。</w:t>
      </w:r>
    </w:p>
    <w:p w14:paraId="2EAA8A1B">
      <w:pPr>
        <w:pStyle w:val="22"/>
        <w:spacing w:before="156" w:after="156"/>
        <w:rPr>
          <w:rFonts w:hint="default"/>
          <w:lang w:val="en-US" w:eastAsia="zh-CN"/>
        </w:rPr>
      </w:pPr>
      <w:r>
        <w:rPr>
          <w:rFonts w:hint="eastAsia" w:ascii="黑体" w:hAnsi="黑体" w:eastAsia="黑体" w:cs="黑体"/>
          <w:lang w:val="en-US" w:eastAsia="zh-CN"/>
        </w:rPr>
        <w:t>2.5.</w:t>
      </w:r>
      <w:r>
        <w:rPr>
          <w:rFonts w:hint="eastAsia" w:ascii="黑体" w:hAnsi="黑体" w:cs="黑体"/>
          <w:lang w:val="en-US" w:eastAsia="zh-CN"/>
        </w:rPr>
        <w:t xml:space="preserve">3 </w:t>
      </w:r>
      <w:r>
        <w:rPr>
          <w:rFonts w:hint="eastAsia" w:ascii="黑体" w:hAnsi="黑体" w:eastAsia="黑体" w:cs="黑体"/>
          <w:kern w:val="0"/>
          <w:szCs w:val="20"/>
          <w:lang w:val="en-US" w:eastAsia="zh-CN"/>
        </w:rPr>
        <w:t xml:space="preserve"> </w:t>
      </w:r>
      <w:r>
        <w:rPr>
          <w:rFonts w:hint="eastAsia" w:ascii="宋体" w:hAnsi="宋体" w:eastAsiaTheme="minorEastAsia" w:cstheme="minorBidi"/>
          <w:color w:val="auto"/>
          <w:kern w:val="2"/>
          <w:sz w:val="21"/>
          <w:szCs w:val="21"/>
          <w:lang w:val="en-US" w:eastAsia="zh-CN" w:bidi="ar-SA"/>
        </w:rPr>
        <w:t>线坯应成卷供应，每卷应为连续一根，不应有接头。</w:t>
      </w:r>
    </w:p>
    <w:p w14:paraId="1E051804">
      <w:pPr>
        <w:pStyle w:val="22"/>
        <w:spacing w:before="156" w:after="156"/>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2.6  力学性能</w:t>
      </w:r>
    </w:p>
    <w:p w14:paraId="7639CA3C">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Times New Roman" w:hAnsi="Times New Roman"/>
        </w:rPr>
      </w:pPr>
      <w:r>
        <w:rPr>
          <w:rFonts w:hint="eastAsia" w:ascii="宋体" w:hAnsi="宋体" w:eastAsiaTheme="minorEastAsia" w:cstheme="minorBidi"/>
          <w:color w:val="auto"/>
          <w:kern w:val="2"/>
          <w:sz w:val="21"/>
          <w:szCs w:val="21"/>
          <w:lang w:val="en-US" w:eastAsia="zh-CN" w:bidi="ar-SA"/>
        </w:rPr>
        <w:t>线坯</w:t>
      </w:r>
      <w:r>
        <w:rPr>
          <w:rFonts w:hint="default" w:ascii="宋体" w:hAnsi="宋体" w:eastAsiaTheme="minorEastAsia" w:cstheme="minorBidi"/>
          <w:color w:val="auto"/>
          <w:kern w:val="2"/>
          <w:sz w:val="21"/>
          <w:szCs w:val="21"/>
          <w:lang w:val="en-US" w:eastAsia="zh-CN" w:bidi="ar-SA"/>
        </w:rPr>
        <w:t>的室温力学性能应符合表</w:t>
      </w:r>
      <w:r>
        <w:rPr>
          <w:rFonts w:hint="eastAsia" w:ascii="宋体" w:hAnsi="宋体" w:eastAsiaTheme="minorEastAsia" w:cstheme="minorBidi"/>
          <w:color w:val="auto"/>
          <w:kern w:val="2"/>
          <w:sz w:val="21"/>
          <w:szCs w:val="21"/>
          <w:lang w:val="en-US" w:eastAsia="zh-CN" w:bidi="ar-SA"/>
        </w:rPr>
        <w:t>5</w:t>
      </w:r>
      <w:r>
        <w:rPr>
          <w:rFonts w:hint="default" w:ascii="宋体" w:hAnsi="宋体" w:eastAsiaTheme="minorEastAsia" w:cstheme="minorBidi"/>
          <w:color w:val="auto"/>
          <w:kern w:val="2"/>
          <w:sz w:val="21"/>
          <w:szCs w:val="21"/>
          <w:lang w:val="en-US" w:eastAsia="zh-CN" w:bidi="ar-SA"/>
        </w:rPr>
        <w:t>的规定。</w:t>
      </w:r>
    </w:p>
    <w:p w14:paraId="5A750766">
      <w:pPr>
        <w:keepNext/>
        <w:keepLines/>
        <w:pageBreakBefore w:val="0"/>
        <w:widowControl w:val="0"/>
        <w:kinsoku/>
        <w:wordWrap/>
        <w:overflowPunct/>
        <w:topLinePunct w:val="0"/>
        <w:autoSpaceDE/>
        <w:autoSpaceDN/>
        <w:bidi w:val="0"/>
        <w:adjustRightInd w:val="0"/>
        <w:snapToGrid w:val="0"/>
        <w:spacing w:before="240" w:beforeLines="100" w:after="240" w:afterLines="100" w:line="240" w:lineRule="auto"/>
        <w:jc w:val="center"/>
        <w:textAlignment w:val="auto"/>
        <w:outlineLvl w:val="1"/>
        <w:rPr>
          <w:rFonts w:hint="eastAsia" w:eastAsia="黑体" w:cs="Times New Roman"/>
          <w:sz w:val="21"/>
          <w:lang w:val="en-US" w:eastAsia="zh-CN"/>
        </w:rPr>
      </w:pPr>
      <w:r>
        <w:rPr>
          <w:rFonts w:hint="eastAsia" w:eastAsia="黑体" w:cs="Times New Roman"/>
          <w:sz w:val="21"/>
          <w:lang w:val="en-US" w:eastAsia="zh-CN"/>
        </w:rPr>
        <w:t>表5线坯的力学性能</w:t>
      </w:r>
    </w:p>
    <w:tbl>
      <w:tblPr>
        <w:tblStyle w:val="10"/>
        <w:tblW w:w="4994"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1701"/>
        <w:gridCol w:w="2628"/>
        <w:gridCol w:w="1526"/>
        <w:gridCol w:w="1401"/>
        <w:gridCol w:w="1296"/>
      </w:tblGrid>
      <w:tr w14:paraId="62B629C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348" w:hRule="atLeast"/>
        </w:trPr>
        <w:tc>
          <w:tcPr>
            <w:tcW w:w="994" w:type="pct"/>
            <w:vMerge w:val="restart"/>
            <w:tcBorders>
              <w:bottom w:val="single" w:color="auto" w:sz="2" w:space="0"/>
              <w:right w:val="single" w:color="auto" w:sz="2" w:space="0"/>
            </w:tcBorders>
            <w:noWrap w:val="0"/>
            <w:vAlign w:val="center"/>
          </w:tcPr>
          <w:p w14:paraId="054ACC04">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牌号</w:t>
            </w:r>
          </w:p>
        </w:tc>
        <w:tc>
          <w:tcPr>
            <w:tcW w:w="1536" w:type="pct"/>
            <w:vMerge w:val="restart"/>
            <w:tcBorders>
              <w:left w:val="single" w:color="auto" w:sz="2" w:space="0"/>
              <w:right w:val="single" w:color="auto" w:sz="4" w:space="0"/>
            </w:tcBorders>
            <w:noWrap w:val="0"/>
            <w:vAlign w:val="center"/>
          </w:tcPr>
          <w:p w14:paraId="4747254F">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状态</w:t>
            </w:r>
          </w:p>
        </w:tc>
        <w:tc>
          <w:tcPr>
            <w:tcW w:w="1711" w:type="pct"/>
            <w:gridSpan w:val="2"/>
            <w:tcBorders>
              <w:left w:val="single" w:color="auto" w:sz="2" w:space="0"/>
              <w:bottom w:val="single" w:color="auto" w:sz="4" w:space="0"/>
              <w:right w:val="single" w:color="auto" w:sz="4" w:space="0"/>
            </w:tcBorders>
            <w:noWrap w:val="0"/>
            <w:vAlign w:val="center"/>
          </w:tcPr>
          <w:p w14:paraId="2C6C7DD6">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拉伸试验</w:t>
            </w:r>
          </w:p>
        </w:tc>
        <w:tc>
          <w:tcPr>
            <w:tcW w:w="757" w:type="pct"/>
            <w:tcBorders>
              <w:left w:val="single" w:color="auto" w:sz="4" w:space="0"/>
              <w:bottom w:val="single" w:color="auto" w:sz="4" w:space="0"/>
            </w:tcBorders>
            <w:noWrap w:val="0"/>
            <w:vAlign w:val="center"/>
          </w:tcPr>
          <w:p w14:paraId="3F4474EE">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硬度</w:t>
            </w:r>
            <w:r>
              <w:rPr>
                <w:rFonts w:hint="default" w:ascii="Times New Roman" w:hAnsi="Times New Roman" w:eastAsia="宋体" w:cs="Times New Roman"/>
                <w:strike w:val="0"/>
                <w:dstrike w:val="0"/>
                <w:color w:val="auto"/>
                <w:sz w:val="18"/>
                <w:szCs w:val="18"/>
              </w:rPr>
              <w:t>试验</w:t>
            </w:r>
          </w:p>
        </w:tc>
      </w:tr>
      <w:tr w14:paraId="0726ED8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66" w:hRule="atLeast"/>
        </w:trPr>
        <w:tc>
          <w:tcPr>
            <w:tcW w:w="994" w:type="pct"/>
            <w:vMerge w:val="continue"/>
            <w:tcBorders>
              <w:top w:val="single" w:color="auto" w:sz="2" w:space="0"/>
              <w:bottom w:val="single" w:color="auto" w:sz="2" w:space="0"/>
              <w:right w:val="single" w:color="auto" w:sz="2" w:space="0"/>
            </w:tcBorders>
            <w:noWrap w:val="0"/>
            <w:vAlign w:val="center"/>
          </w:tcPr>
          <w:p w14:paraId="6585D8E7">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rPr>
            </w:pPr>
          </w:p>
        </w:tc>
        <w:tc>
          <w:tcPr>
            <w:tcW w:w="1536" w:type="pct"/>
            <w:vMerge w:val="continue"/>
            <w:tcBorders>
              <w:left w:val="single" w:color="auto" w:sz="2" w:space="0"/>
              <w:right w:val="single" w:color="auto" w:sz="4" w:space="0"/>
            </w:tcBorders>
            <w:noWrap w:val="0"/>
            <w:vAlign w:val="center"/>
          </w:tcPr>
          <w:p w14:paraId="1C6A3E8B">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rPr>
            </w:pPr>
          </w:p>
        </w:tc>
        <w:tc>
          <w:tcPr>
            <w:tcW w:w="892" w:type="pct"/>
            <w:tcBorders>
              <w:top w:val="single" w:color="auto" w:sz="4" w:space="0"/>
              <w:left w:val="single" w:color="auto" w:sz="2" w:space="0"/>
              <w:bottom w:val="single" w:color="auto" w:sz="4" w:space="0"/>
              <w:right w:val="single" w:color="auto" w:sz="4" w:space="0"/>
            </w:tcBorders>
            <w:noWrap w:val="0"/>
            <w:vAlign w:val="center"/>
          </w:tcPr>
          <w:p w14:paraId="66F3C072">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rPr>
              <w:t>抗拉强度</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i/>
                <w:sz w:val="18"/>
                <w:szCs w:val="18"/>
              </w:rPr>
              <w:t>R</w:t>
            </w:r>
            <w:r>
              <w:rPr>
                <w:rFonts w:hint="default" w:ascii="Times New Roman" w:hAnsi="Times New Roman" w:eastAsia="宋体" w:cs="Times New Roman"/>
                <w:sz w:val="18"/>
                <w:szCs w:val="18"/>
                <w:vertAlign w:val="subscript"/>
              </w:rPr>
              <w:t>m</w:t>
            </w:r>
            <w:r>
              <w:rPr>
                <w:rFonts w:hint="default" w:ascii="Times New Roman" w:hAnsi="Times New Roman" w:eastAsia="宋体" w:cs="Times New Roman"/>
                <w:sz w:val="18"/>
                <w:szCs w:val="18"/>
                <w:vertAlign w:val="baseline"/>
                <w:lang w:eastAsia="zh-CN"/>
              </w:rPr>
              <w:t>）</w:t>
            </w:r>
          </w:p>
          <w:p w14:paraId="4DFB9EE3">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MPa</w:t>
            </w:r>
          </w:p>
        </w:tc>
        <w:tc>
          <w:tcPr>
            <w:tcW w:w="819" w:type="pct"/>
            <w:tcBorders>
              <w:top w:val="single" w:color="auto" w:sz="4" w:space="0"/>
              <w:left w:val="single" w:color="auto" w:sz="4" w:space="0"/>
              <w:bottom w:val="single" w:color="auto" w:sz="4" w:space="0"/>
              <w:right w:val="single" w:color="auto" w:sz="4" w:space="0"/>
            </w:tcBorders>
            <w:noWrap w:val="0"/>
            <w:vAlign w:val="center"/>
          </w:tcPr>
          <w:p w14:paraId="30B2C4FF">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rPr>
              <w:t>断后伸长率</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i/>
                <w:iCs/>
                <w:sz w:val="18"/>
                <w:szCs w:val="18"/>
              </w:rPr>
              <w:t>A</w:t>
            </w:r>
            <w:r>
              <w:rPr>
                <w:rFonts w:hint="default" w:ascii="Times New Roman" w:hAnsi="Times New Roman" w:eastAsia="宋体" w:cs="Times New Roman"/>
                <w:i w:val="0"/>
                <w:iCs w:val="0"/>
                <w:sz w:val="18"/>
                <w:szCs w:val="18"/>
                <w:lang w:eastAsia="zh-CN"/>
              </w:rPr>
              <w:t>）</w:t>
            </w:r>
          </w:p>
          <w:p w14:paraId="69547D49">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757" w:type="pct"/>
            <w:vMerge w:val="restart"/>
            <w:tcBorders>
              <w:top w:val="single" w:color="auto" w:sz="4" w:space="0"/>
              <w:left w:val="single" w:color="auto" w:sz="4" w:space="0"/>
            </w:tcBorders>
            <w:noWrap w:val="0"/>
            <w:vAlign w:val="center"/>
          </w:tcPr>
          <w:p w14:paraId="79DEF4A9">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color w:val="auto"/>
                <w:sz w:val="18"/>
                <w:szCs w:val="18"/>
                <w:lang w:val="en-US" w:eastAsia="zh-CN"/>
              </w:rPr>
              <w:t>维氏硬度</w:t>
            </w:r>
          </w:p>
          <w:p w14:paraId="7DC81AF8">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HV</w:t>
            </w:r>
          </w:p>
        </w:tc>
      </w:tr>
      <w:tr w14:paraId="7341DD7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348" w:hRule="atLeast"/>
        </w:trPr>
        <w:tc>
          <w:tcPr>
            <w:tcW w:w="994" w:type="pct"/>
            <w:vMerge w:val="continue"/>
            <w:tcBorders>
              <w:top w:val="single" w:color="auto" w:sz="2" w:space="0"/>
              <w:bottom w:val="single" w:color="auto" w:sz="12" w:space="0"/>
              <w:right w:val="single" w:color="auto" w:sz="2" w:space="0"/>
            </w:tcBorders>
            <w:noWrap w:val="0"/>
            <w:vAlign w:val="center"/>
          </w:tcPr>
          <w:p w14:paraId="7E5093EE">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rPr>
            </w:pPr>
          </w:p>
        </w:tc>
        <w:tc>
          <w:tcPr>
            <w:tcW w:w="1536" w:type="pct"/>
            <w:vMerge w:val="continue"/>
            <w:tcBorders>
              <w:left w:val="single" w:color="auto" w:sz="2" w:space="0"/>
              <w:bottom w:val="single" w:color="auto" w:sz="12" w:space="0"/>
              <w:right w:val="single" w:color="auto" w:sz="4" w:space="0"/>
            </w:tcBorders>
            <w:noWrap w:val="0"/>
            <w:vAlign w:val="center"/>
          </w:tcPr>
          <w:p w14:paraId="0F16F0DC">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rPr>
            </w:pPr>
          </w:p>
        </w:tc>
        <w:tc>
          <w:tcPr>
            <w:tcW w:w="1711" w:type="pct"/>
            <w:gridSpan w:val="2"/>
            <w:tcBorders>
              <w:top w:val="single" w:color="auto" w:sz="4" w:space="0"/>
              <w:left w:val="single" w:color="auto" w:sz="2" w:space="0"/>
              <w:bottom w:val="single" w:color="auto" w:sz="12" w:space="0"/>
              <w:right w:val="single" w:color="auto" w:sz="4" w:space="0"/>
            </w:tcBorders>
            <w:noWrap w:val="0"/>
            <w:vAlign w:val="center"/>
          </w:tcPr>
          <w:p w14:paraId="774B6432">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不小于</w:t>
            </w:r>
          </w:p>
        </w:tc>
        <w:tc>
          <w:tcPr>
            <w:tcW w:w="757" w:type="pct"/>
            <w:vMerge w:val="continue"/>
            <w:tcBorders>
              <w:left w:val="single" w:color="auto" w:sz="4" w:space="0"/>
              <w:bottom w:val="single" w:color="auto" w:sz="12" w:space="0"/>
            </w:tcBorders>
            <w:noWrap w:val="0"/>
            <w:vAlign w:val="center"/>
          </w:tcPr>
          <w:p w14:paraId="71661E81">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lang w:val="en-US" w:eastAsia="zh-CN"/>
              </w:rPr>
            </w:pPr>
          </w:p>
        </w:tc>
      </w:tr>
      <w:tr w14:paraId="1259AAA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34" w:hRule="atLeast"/>
        </w:trPr>
        <w:tc>
          <w:tcPr>
            <w:tcW w:w="994" w:type="pct"/>
            <w:vMerge w:val="restart"/>
            <w:tcBorders>
              <w:top w:val="single" w:color="auto" w:sz="12" w:space="0"/>
              <w:right w:val="single" w:color="auto" w:sz="4" w:space="0"/>
            </w:tcBorders>
            <w:noWrap w:val="0"/>
            <w:vAlign w:val="center"/>
          </w:tcPr>
          <w:p w14:paraId="4C0D7B80">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TU Ag0.03</w:t>
            </w:r>
          </w:p>
          <w:p w14:paraId="169B61AC">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kern w:val="2"/>
                <w:sz w:val="18"/>
                <w:szCs w:val="18"/>
                <w:highlight w:val="none"/>
                <w:lang w:val="en-US" w:eastAsia="zh-CN" w:bidi="ar-SA"/>
              </w:rPr>
            </w:pPr>
            <w:r>
              <w:rPr>
                <w:rFonts w:hint="eastAsia" w:eastAsia="宋体" w:cs="Times New Roman"/>
                <w:snapToGrid w:val="0"/>
                <w:sz w:val="18"/>
                <w:szCs w:val="18"/>
                <w:lang w:val="en-US" w:eastAsia="zh-CN"/>
              </w:rPr>
              <w:t>TU Ag0.05</w:t>
            </w:r>
          </w:p>
          <w:p w14:paraId="737708A4">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TU Ag0.08</w:t>
            </w:r>
          </w:p>
          <w:p w14:paraId="276EFC7B">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TU Ag0.10</w:t>
            </w:r>
          </w:p>
        </w:tc>
        <w:tc>
          <w:tcPr>
            <w:tcW w:w="1536" w:type="pct"/>
            <w:tcBorders>
              <w:top w:val="single" w:color="auto" w:sz="4" w:space="0"/>
              <w:left w:val="single" w:color="auto" w:sz="4" w:space="0"/>
              <w:right w:val="single" w:color="auto" w:sz="4" w:space="0"/>
            </w:tcBorders>
            <w:noWrap w:val="0"/>
            <w:vAlign w:val="center"/>
          </w:tcPr>
          <w:p w14:paraId="661D2A38">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18"/>
                <w:szCs w:val="18"/>
                <w:highlight w:val="none"/>
                <w:lang w:val="en-US" w:eastAsia="zh-CN"/>
              </w:rPr>
            </w:pPr>
            <w:r>
              <w:rPr>
                <w:rFonts w:hint="eastAsia"/>
                <w:snapToGrid w:val="0"/>
                <w:sz w:val="18"/>
                <w:szCs w:val="18"/>
                <w:lang w:val="en-US" w:eastAsia="zh-CN"/>
              </w:rPr>
              <w:t>M07</w:t>
            </w:r>
          </w:p>
        </w:tc>
        <w:tc>
          <w:tcPr>
            <w:tcW w:w="892" w:type="pct"/>
            <w:tcBorders>
              <w:top w:val="single" w:color="auto" w:sz="4" w:space="0"/>
              <w:left w:val="single" w:color="auto" w:sz="4" w:space="0"/>
              <w:right w:val="single" w:color="auto" w:sz="4" w:space="0"/>
            </w:tcBorders>
            <w:noWrap w:val="0"/>
            <w:vAlign w:val="center"/>
          </w:tcPr>
          <w:p w14:paraId="2F94EE80">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170</w:t>
            </w:r>
          </w:p>
        </w:tc>
        <w:tc>
          <w:tcPr>
            <w:tcW w:w="819" w:type="pct"/>
            <w:tcBorders>
              <w:top w:val="single" w:color="auto" w:sz="4" w:space="0"/>
              <w:left w:val="single" w:color="auto" w:sz="4" w:space="0"/>
              <w:right w:val="single" w:color="auto" w:sz="4" w:space="0"/>
            </w:tcBorders>
            <w:noWrap w:val="0"/>
            <w:vAlign w:val="center"/>
          </w:tcPr>
          <w:p w14:paraId="726F6921">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35</w:t>
            </w:r>
          </w:p>
        </w:tc>
        <w:tc>
          <w:tcPr>
            <w:tcW w:w="757" w:type="pct"/>
            <w:tcBorders>
              <w:top w:val="single" w:color="auto" w:sz="12" w:space="0"/>
              <w:left w:val="single" w:color="auto" w:sz="4" w:space="0"/>
              <w:bottom w:val="single" w:color="auto" w:sz="4" w:space="0"/>
            </w:tcBorders>
            <w:noWrap w:val="0"/>
            <w:vAlign w:val="center"/>
          </w:tcPr>
          <w:p w14:paraId="78DA9399">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kern w:val="2"/>
                <w:sz w:val="18"/>
                <w:szCs w:val="18"/>
                <w:highlight w:val="none"/>
                <w:lang w:val="en-US" w:eastAsia="zh-CN" w:bidi="ar-SA"/>
              </w:rPr>
            </w:pPr>
            <w:r>
              <w:rPr>
                <w:rFonts w:hint="eastAsia" w:ascii="Times New Roman" w:hAnsi="Times New Roman" w:eastAsia="宋体" w:cs="Times New Roman"/>
                <w:sz w:val="18"/>
                <w:szCs w:val="18"/>
                <w:highlight w:val="none"/>
                <w:lang w:val="en-US" w:eastAsia="zh-CN"/>
              </w:rPr>
              <w:t>5</w:t>
            </w:r>
            <w:r>
              <w:rPr>
                <w:rFonts w:hint="default" w:ascii="Times New Roman" w:hAnsi="Times New Roman" w:eastAsia="宋体" w:cs="Times New Roman"/>
                <w:sz w:val="18"/>
                <w:szCs w:val="18"/>
                <w:highlight w:val="none"/>
                <w:lang w:val="en-US" w:eastAsia="zh-CN"/>
              </w:rPr>
              <w:t>5</w:t>
            </w:r>
            <w:r>
              <w:rPr>
                <w:rFonts w:hint="default" w:ascii="Times New Roman" w:hAnsi="Times New Roman" w:eastAsia="宋体" w:cs="Times New Roman"/>
                <w:sz w:val="18"/>
                <w:szCs w:val="18"/>
                <w:highlight w:val="none"/>
              </w:rPr>
              <w:t>～</w:t>
            </w:r>
            <w:r>
              <w:rPr>
                <w:rFonts w:hint="default" w:ascii="Times New Roman" w:hAnsi="Times New Roman" w:eastAsia="宋体" w:cs="Times New Roman"/>
                <w:sz w:val="18"/>
                <w:szCs w:val="18"/>
                <w:highlight w:val="none"/>
                <w:lang w:val="en-US" w:eastAsia="zh-CN"/>
              </w:rPr>
              <w:t>7</w:t>
            </w:r>
            <w:r>
              <w:rPr>
                <w:rFonts w:hint="eastAsia" w:ascii="Times New Roman" w:hAnsi="Times New Roman" w:eastAsia="宋体" w:cs="Times New Roman"/>
                <w:sz w:val="18"/>
                <w:szCs w:val="18"/>
                <w:highlight w:val="none"/>
                <w:lang w:val="en-US" w:eastAsia="zh-CN"/>
              </w:rPr>
              <w:t>5</w:t>
            </w:r>
          </w:p>
        </w:tc>
      </w:tr>
      <w:tr w14:paraId="35A0CB8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34" w:hRule="atLeast"/>
        </w:trPr>
        <w:tc>
          <w:tcPr>
            <w:tcW w:w="994" w:type="pct"/>
            <w:vMerge w:val="continue"/>
            <w:tcBorders>
              <w:bottom w:val="single" w:color="auto" w:sz="12" w:space="0"/>
              <w:right w:val="single" w:color="auto" w:sz="4" w:space="0"/>
            </w:tcBorders>
            <w:noWrap w:val="0"/>
            <w:vAlign w:val="center"/>
          </w:tcPr>
          <w:p w14:paraId="36E5E312">
            <w:pPr>
              <w:keepNext/>
              <w:keepLines/>
              <w:pageBreakBefore w:val="0"/>
              <w:widowControl w:val="0"/>
              <w:kinsoku/>
              <w:wordWrap/>
              <w:overflowPunct/>
              <w:topLinePunct w:val="0"/>
              <w:autoSpaceDE/>
              <w:autoSpaceDN/>
              <w:bidi w:val="0"/>
              <w:adjustRightInd w:val="0"/>
              <w:snapToGrid/>
              <w:spacing w:line="240" w:lineRule="auto"/>
              <w:jc w:val="center"/>
              <w:textAlignment w:val="auto"/>
            </w:pPr>
          </w:p>
        </w:tc>
        <w:tc>
          <w:tcPr>
            <w:tcW w:w="1536" w:type="pct"/>
            <w:tcBorders>
              <w:top w:val="single" w:color="auto" w:sz="4" w:space="0"/>
              <w:left w:val="single" w:color="auto" w:sz="4" w:space="0"/>
              <w:right w:val="single" w:color="auto" w:sz="4" w:space="0"/>
            </w:tcBorders>
            <w:noWrap w:val="0"/>
            <w:vAlign w:val="center"/>
          </w:tcPr>
          <w:p w14:paraId="2271562E">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H0</w:t>
            </w:r>
            <w:r>
              <w:rPr>
                <w:rFonts w:hint="eastAsia" w:ascii="Times New Roman" w:hAnsi="Times New Roman" w:cs="Times New Roman"/>
                <w:color w:val="auto"/>
                <w:sz w:val="18"/>
                <w:szCs w:val="18"/>
                <w:lang w:val="en-US" w:eastAsia="zh-CN"/>
              </w:rPr>
              <w:t>4</w:t>
            </w:r>
          </w:p>
        </w:tc>
        <w:tc>
          <w:tcPr>
            <w:tcW w:w="892" w:type="pct"/>
            <w:tcBorders>
              <w:top w:val="single" w:color="auto" w:sz="4" w:space="0"/>
              <w:left w:val="single" w:color="auto" w:sz="4" w:space="0"/>
              <w:right w:val="single" w:color="auto" w:sz="4" w:space="0"/>
            </w:tcBorders>
            <w:noWrap w:val="0"/>
            <w:vAlign w:val="center"/>
          </w:tcPr>
          <w:p w14:paraId="72438560">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18"/>
                <w:szCs w:val="18"/>
              </w:rPr>
            </w:pPr>
            <w:r>
              <w:rPr>
                <w:rFonts w:hint="eastAsia" w:ascii="Times New Roman" w:hAnsi="Times New Roman" w:cs="Times New Roman"/>
                <w:sz w:val="18"/>
                <w:szCs w:val="18"/>
                <w:highlight w:val="none"/>
                <w:lang w:val="en-US" w:eastAsia="zh-CN"/>
              </w:rPr>
              <w:t>280</w:t>
            </w:r>
          </w:p>
        </w:tc>
        <w:tc>
          <w:tcPr>
            <w:tcW w:w="819" w:type="pct"/>
            <w:tcBorders>
              <w:top w:val="single" w:color="auto" w:sz="4" w:space="0"/>
              <w:left w:val="single" w:color="auto" w:sz="4" w:space="0"/>
              <w:right w:val="single" w:color="auto" w:sz="4" w:space="0"/>
            </w:tcBorders>
            <w:noWrap w:val="0"/>
            <w:vAlign w:val="center"/>
          </w:tcPr>
          <w:p w14:paraId="57FCAF63">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5</w:t>
            </w:r>
          </w:p>
        </w:tc>
        <w:tc>
          <w:tcPr>
            <w:tcW w:w="757" w:type="pct"/>
            <w:tcBorders>
              <w:top w:val="single" w:color="auto" w:sz="4" w:space="0"/>
              <w:left w:val="single" w:color="auto" w:sz="4" w:space="0"/>
            </w:tcBorders>
            <w:noWrap w:val="0"/>
            <w:vAlign w:val="center"/>
          </w:tcPr>
          <w:p w14:paraId="7704D4BA">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18"/>
                <w:szCs w:val="18"/>
              </w:rPr>
            </w:pPr>
            <w:r>
              <w:rPr>
                <w:rFonts w:hint="eastAsia" w:ascii="Times New Roman" w:hAnsi="Times New Roman" w:eastAsia="宋体" w:cs="Times New Roman"/>
                <w:sz w:val="18"/>
                <w:szCs w:val="18"/>
                <w:highlight w:val="none"/>
                <w:lang w:val="en-US" w:eastAsia="zh-CN"/>
              </w:rPr>
              <w:t>9</w:t>
            </w:r>
            <w:r>
              <w:rPr>
                <w:rFonts w:hint="default" w:ascii="Times New Roman" w:hAnsi="Times New Roman" w:eastAsia="宋体" w:cs="Times New Roman"/>
                <w:sz w:val="18"/>
                <w:szCs w:val="18"/>
                <w:highlight w:val="none"/>
                <w:lang w:val="en-US" w:eastAsia="zh-CN"/>
              </w:rPr>
              <w:t>0</w:t>
            </w:r>
            <w:r>
              <w:rPr>
                <w:rFonts w:hint="default" w:ascii="Times New Roman" w:hAnsi="Times New Roman" w:eastAsia="宋体" w:cs="Times New Roman"/>
                <w:sz w:val="18"/>
                <w:szCs w:val="18"/>
                <w:highlight w:val="none"/>
              </w:rPr>
              <w:t>～</w:t>
            </w:r>
            <w:r>
              <w:rPr>
                <w:rFonts w:hint="eastAsia" w:ascii="Times New Roman" w:hAnsi="Times New Roman" w:eastAsia="宋体" w:cs="Times New Roman"/>
                <w:sz w:val="18"/>
                <w:szCs w:val="18"/>
                <w:highlight w:val="none"/>
                <w:lang w:val="en-US" w:eastAsia="zh-CN"/>
              </w:rPr>
              <w:t>120</w:t>
            </w:r>
          </w:p>
        </w:tc>
      </w:tr>
    </w:tbl>
    <w:p w14:paraId="6476EC76">
      <w:pPr>
        <w:pStyle w:val="22"/>
        <w:spacing w:before="156" w:after="156"/>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2.7 电性能</w:t>
      </w:r>
    </w:p>
    <w:p w14:paraId="37E44652">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default" w:ascii="宋体" w:hAnsi="宋体" w:eastAsiaTheme="minorEastAsia" w:cstheme="minorBidi"/>
          <w:color w:val="auto"/>
          <w:kern w:val="2"/>
          <w:sz w:val="21"/>
          <w:szCs w:val="21"/>
          <w:lang w:val="en-US" w:eastAsia="zh-CN" w:bidi="ar-SA"/>
        </w:rPr>
        <w:t>在20℃的温度下测试，</w:t>
      </w:r>
      <w:r>
        <w:rPr>
          <w:rFonts w:hint="eastAsia" w:ascii="宋体" w:hAnsi="宋体" w:eastAsiaTheme="minorEastAsia" w:cstheme="minorBidi"/>
          <w:color w:val="auto"/>
          <w:kern w:val="2"/>
          <w:sz w:val="21"/>
          <w:szCs w:val="21"/>
          <w:lang w:val="en-US" w:eastAsia="zh-CN" w:bidi="ar-SA"/>
        </w:rPr>
        <w:t>线坯</w:t>
      </w:r>
      <w:r>
        <w:rPr>
          <w:rFonts w:hint="default" w:ascii="宋体" w:hAnsi="宋体" w:eastAsiaTheme="minorEastAsia" w:cstheme="minorBidi"/>
          <w:color w:val="auto"/>
          <w:kern w:val="2"/>
          <w:sz w:val="21"/>
          <w:szCs w:val="21"/>
          <w:lang w:val="en-US" w:eastAsia="zh-CN" w:bidi="ar-SA"/>
        </w:rPr>
        <w:t>的电性能应符合表</w:t>
      </w:r>
      <w:r>
        <w:rPr>
          <w:rFonts w:hint="eastAsia" w:ascii="宋体" w:hAnsi="宋体" w:eastAsiaTheme="minorEastAsia" w:cstheme="minorBidi"/>
          <w:color w:val="auto"/>
          <w:kern w:val="2"/>
          <w:sz w:val="21"/>
          <w:szCs w:val="21"/>
          <w:lang w:val="en-US" w:eastAsia="zh-CN" w:bidi="ar-SA"/>
        </w:rPr>
        <w:t>6</w:t>
      </w:r>
      <w:r>
        <w:rPr>
          <w:rFonts w:hint="default" w:ascii="宋体" w:hAnsi="宋体" w:eastAsiaTheme="minorEastAsia" w:cstheme="minorBidi"/>
          <w:color w:val="auto"/>
          <w:kern w:val="2"/>
          <w:sz w:val="21"/>
          <w:szCs w:val="21"/>
          <w:lang w:val="en-US" w:eastAsia="zh-CN" w:bidi="ar-SA"/>
        </w:rPr>
        <w:t>的规定</w:t>
      </w:r>
      <w:r>
        <w:rPr>
          <w:rFonts w:hint="eastAsia" w:ascii="宋体" w:hAnsi="宋体" w:eastAsiaTheme="minorEastAsia" w:cstheme="minorBidi"/>
          <w:color w:val="auto"/>
          <w:kern w:val="2"/>
          <w:sz w:val="21"/>
          <w:szCs w:val="21"/>
          <w:lang w:val="en-US" w:eastAsia="zh-CN" w:bidi="ar-SA"/>
        </w:rPr>
        <w:t>。</w:t>
      </w:r>
    </w:p>
    <w:p w14:paraId="4AD2B383">
      <w:pPr>
        <w:snapToGrid w:val="0"/>
        <w:spacing w:before="240" w:beforeLines="100" w:after="240" w:afterLines="100" w:line="240" w:lineRule="auto"/>
        <w:jc w:val="center"/>
        <w:outlineLvl w:val="1"/>
        <w:rPr>
          <w:rFonts w:hint="eastAsia" w:eastAsia="黑体" w:cs="Times New Roman"/>
          <w:sz w:val="21"/>
          <w:lang w:val="en-US" w:eastAsia="zh-CN"/>
        </w:rPr>
      </w:pPr>
      <w:r>
        <w:rPr>
          <w:rFonts w:hint="eastAsia" w:eastAsia="黑体" w:cs="Times New Roman"/>
          <w:sz w:val="21"/>
          <w:lang w:val="en-US" w:eastAsia="zh-CN"/>
        </w:rPr>
        <w:t>表6 棒材的电性能</w:t>
      </w:r>
    </w:p>
    <w:tbl>
      <w:tblPr>
        <w:tblStyle w:val="10"/>
        <w:tblW w:w="0" w:type="auto"/>
        <w:tblInd w:w="15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3362"/>
        <w:gridCol w:w="1244"/>
        <w:gridCol w:w="2334"/>
        <w:gridCol w:w="2346"/>
      </w:tblGrid>
      <w:tr w14:paraId="4A5681C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62" w:type="dxa"/>
            <w:tcBorders>
              <w:left w:val="single" w:color="auto" w:sz="12" w:space="0"/>
              <w:bottom w:val="single" w:color="auto" w:sz="12" w:space="0"/>
              <w:right w:val="single" w:color="auto" w:sz="2" w:space="0"/>
            </w:tcBorders>
            <w:noWrap w:val="0"/>
            <w:vAlign w:val="center"/>
          </w:tcPr>
          <w:p w14:paraId="313B0B5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牌号</w:t>
            </w:r>
          </w:p>
        </w:tc>
        <w:tc>
          <w:tcPr>
            <w:tcW w:w="1244" w:type="dxa"/>
            <w:tcBorders>
              <w:left w:val="single" w:color="auto" w:sz="2" w:space="0"/>
              <w:bottom w:val="single" w:color="auto" w:sz="12" w:space="0"/>
              <w:right w:val="single" w:color="auto" w:sz="2" w:space="0"/>
            </w:tcBorders>
            <w:noWrap w:val="0"/>
            <w:vAlign w:val="center"/>
          </w:tcPr>
          <w:p w14:paraId="4BA184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状态</w:t>
            </w:r>
          </w:p>
        </w:tc>
        <w:tc>
          <w:tcPr>
            <w:tcW w:w="2334" w:type="dxa"/>
            <w:tcBorders>
              <w:left w:val="single" w:color="auto" w:sz="2" w:space="0"/>
              <w:bottom w:val="single" w:color="auto" w:sz="12" w:space="0"/>
              <w:right w:val="single" w:color="auto" w:sz="2" w:space="0"/>
            </w:tcBorders>
            <w:noWrap w:val="0"/>
            <w:vAlign w:val="center"/>
          </w:tcPr>
          <w:p w14:paraId="36DDA3E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导电率</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i/>
                <w:iCs/>
                <w:color w:val="auto"/>
                <w:kern w:val="0"/>
                <w:sz w:val="18"/>
                <w:szCs w:val="18"/>
              </w:rPr>
              <w:t>C</w:t>
            </w:r>
            <w:r>
              <w:rPr>
                <w:rFonts w:hint="default" w:ascii="Times New Roman" w:hAnsi="Times New Roman" w:eastAsia="宋体" w:cs="Times New Roman"/>
                <w:color w:val="auto"/>
                <w:kern w:val="0"/>
                <w:sz w:val="18"/>
                <w:szCs w:val="18"/>
                <w:vertAlign w:val="subscript"/>
              </w:rPr>
              <w:t>20</w:t>
            </w:r>
            <w:r>
              <w:rPr>
                <w:rFonts w:hint="default" w:ascii="Times New Roman" w:hAnsi="Times New Roman" w:eastAsia="宋体" w:cs="Times New Roman"/>
                <w:color w:val="auto"/>
                <w:kern w:val="0"/>
                <w:sz w:val="18"/>
                <w:szCs w:val="18"/>
                <w:vertAlign w:val="baseline"/>
                <w:lang w:eastAsia="zh-CN"/>
              </w:rPr>
              <w:t>），</w:t>
            </w:r>
            <w:r>
              <w:rPr>
                <w:rFonts w:hint="default" w:ascii="Times New Roman" w:hAnsi="Times New Roman" w:eastAsia="宋体" w:cs="Times New Roman"/>
                <w:color w:val="auto"/>
                <w:kern w:val="0"/>
                <w:sz w:val="18"/>
                <w:szCs w:val="18"/>
                <w:vertAlign w:val="baseline"/>
                <w:lang w:val="en-US" w:eastAsia="zh-CN"/>
              </w:rPr>
              <w:t>不小于</w:t>
            </w:r>
          </w:p>
          <w:p w14:paraId="28101EE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color w:val="auto"/>
                <w:sz w:val="18"/>
                <w:szCs w:val="18"/>
              </w:rPr>
              <w:t>%IACS</w:t>
            </w:r>
          </w:p>
        </w:tc>
        <w:tc>
          <w:tcPr>
            <w:tcW w:w="2346" w:type="dxa"/>
            <w:tcBorders>
              <w:left w:val="single" w:color="auto" w:sz="2" w:space="0"/>
              <w:bottom w:val="single" w:color="auto" w:sz="12" w:space="0"/>
              <w:right w:val="single" w:color="auto" w:sz="12" w:space="0"/>
            </w:tcBorders>
            <w:noWrap w:val="0"/>
            <w:vAlign w:val="center"/>
          </w:tcPr>
          <w:p w14:paraId="083EA6D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trike w:val="0"/>
                <w:dstrike w:val="0"/>
                <w:color w:val="auto"/>
                <w:kern w:val="0"/>
                <w:sz w:val="18"/>
                <w:szCs w:val="18"/>
                <w:lang w:val="en-US" w:eastAsia="zh-CN"/>
              </w:rPr>
            </w:pPr>
            <w:r>
              <w:rPr>
                <w:rFonts w:hint="default" w:ascii="Times New Roman" w:hAnsi="Times New Roman" w:eastAsia="宋体" w:cs="Times New Roman"/>
                <w:strike w:val="0"/>
                <w:dstrike w:val="0"/>
                <w:color w:val="auto"/>
                <w:kern w:val="0"/>
                <w:sz w:val="18"/>
                <w:szCs w:val="18"/>
              </w:rPr>
              <w:t>体积电阻率（</w:t>
            </w:r>
            <w:r>
              <w:rPr>
                <w:rFonts w:hint="default" w:ascii="Times New Roman" w:hAnsi="Times New Roman" w:eastAsia="宋体" w:cs="Times New Roman"/>
                <w:i/>
                <w:iCs/>
                <w:strike w:val="0"/>
                <w:dstrike w:val="0"/>
                <w:color w:val="auto"/>
                <w:kern w:val="0"/>
                <w:sz w:val="18"/>
                <w:szCs w:val="18"/>
              </w:rPr>
              <w:t>ρ</w:t>
            </w:r>
            <w:r>
              <w:rPr>
                <w:rFonts w:hint="default" w:ascii="Times New Roman" w:hAnsi="Times New Roman" w:eastAsia="宋体" w:cs="Times New Roman"/>
                <w:strike w:val="0"/>
                <w:dstrike w:val="0"/>
                <w:color w:val="auto"/>
                <w:kern w:val="0"/>
                <w:sz w:val="18"/>
                <w:szCs w:val="18"/>
                <w:vertAlign w:val="subscript"/>
              </w:rPr>
              <w:t>20</w:t>
            </w:r>
            <w:r>
              <w:rPr>
                <w:rFonts w:hint="default" w:ascii="Times New Roman" w:hAnsi="Times New Roman" w:eastAsia="宋体" w:cs="Times New Roman"/>
                <w:strike w:val="0"/>
                <w:dstrike w:val="0"/>
                <w:color w:val="auto"/>
                <w:kern w:val="0"/>
                <w:sz w:val="18"/>
                <w:szCs w:val="18"/>
              </w:rPr>
              <w:t>）</w:t>
            </w:r>
            <w:r>
              <w:rPr>
                <w:rFonts w:hint="default" w:ascii="Times New Roman" w:hAnsi="Times New Roman" w:eastAsia="宋体" w:cs="Times New Roman"/>
                <w:strike w:val="0"/>
                <w:dstrike w:val="0"/>
                <w:color w:val="auto"/>
                <w:kern w:val="0"/>
                <w:sz w:val="18"/>
                <w:szCs w:val="18"/>
                <w:lang w:eastAsia="zh-CN"/>
              </w:rPr>
              <w:t>，</w:t>
            </w:r>
            <w:r>
              <w:rPr>
                <w:rFonts w:hint="default" w:ascii="Times New Roman" w:hAnsi="Times New Roman" w:eastAsia="宋体" w:cs="Times New Roman"/>
                <w:strike w:val="0"/>
                <w:dstrike w:val="0"/>
                <w:color w:val="auto"/>
                <w:kern w:val="0"/>
                <w:sz w:val="18"/>
                <w:szCs w:val="18"/>
                <w:lang w:val="en-US" w:eastAsia="zh-CN"/>
              </w:rPr>
              <w:t>不大于</w:t>
            </w:r>
          </w:p>
          <w:p w14:paraId="7FF962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trike w:val="0"/>
                <w:dstrike w:val="0"/>
                <w:sz w:val="18"/>
                <w:szCs w:val="18"/>
              </w:rPr>
            </w:pPr>
            <w:r>
              <w:rPr>
                <w:rFonts w:hint="default" w:ascii="Times New Roman" w:hAnsi="Times New Roman" w:eastAsia="宋体" w:cs="Times New Roman"/>
                <w:strike w:val="0"/>
                <w:dstrike w:val="0"/>
                <w:color w:val="auto"/>
                <w:sz w:val="18"/>
                <w:szCs w:val="18"/>
              </w:rPr>
              <w:t>Ω·mm</w:t>
            </w:r>
            <w:r>
              <w:rPr>
                <w:rFonts w:hint="default" w:ascii="Times New Roman" w:hAnsi="Times New Roman" w:eastAsia="宋体" w:cs="Times New Roman"/>
                <w:strike w:val="0"/>
                <w:dstrike w:val="0"/>
                <w:color w:val="auto"/>
                <w:sz w:val="18"/>
                <w:szCs w:val="18"/>
                <w:vertAlign w:val="superscript"/>
              </w:rPr>
              <w:t>2</w:t>
            </w:r>
            <w:r>
              <w:rPr>
                <w:rFonts w:hint="default" w:ascii="Times New Roman" w:hAnsi="Times New Roman" w:eastAsia="宋体" w:cs="Times New Roman"/>
                <w:strike w:val="0"/>
                <w:dstrike w:val="0"/>
                <w:color w:val="auto"/>
                <w:sz w:val="18"/>
                <w:szCs w:val="18"/>
              </w:rPr>
              <w:t>/m</w:t>
            </w:r>
          </w:p>
        </w:tc>
      </w:tr>
      <w:tr w14:paraId="6B76642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62" w:type="dxa"/>
            <w:tcBorders>
              <w:top w:val="single" w:color="auto" w:sz="12" w:space="0"/>
              <w:left w:val="single" w:color="auto" w:sz="12" w:space="0"/>
              <w:bottom w:val="single" w:color="auto" w:sz="4" w:space="0"/>
              <w:right w:val="single" w:color="auto" w:sz="4" w:space="0"/>
            </w:tcBorders>
            <w:noWrap w:val="0"/>
            <w:vAlign w:val="center"/>
          </w:tcPr>
          <w:p w14:paraId="5FDB81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lang w:val="en-US" w:eastAsia="zh-CN"/>
              </w:rPr>
            </w:pPr>
            <w:r>
              <w:rPr>
                <w:rFonts w:hint="eastAsia" w:eastAsia="宋体" w:cs="Times New Roman"/>
                <w:snapToGrid w:val="0"/>
                <w:sz w:val="18"/>
                <w:szCs w:val="18"/>
                <w:lang w:val="en-US" w:eastAsia="zh-CN"/>
              </w:rPr>
              <w:t>TU Ag0.03</w:t>
            </w:r>
          </w:p>
        </w:tc>
        <w:tc>
          <w:tcPr>
            <w:tcW w:w="1244" w:type="dxa"/>
            <w:vMerge w:val="restart"/>
            <w:tcBorders>
              <w:top w:val="single" w:color="auto" w:sz="12" w:space="0"/>
              <w:left w:val="single" w:color="auto" w:sz="4" w:space="0"/>
              <w:right w:val="single" w:color="auto" w:sz="4" w:space="0"/>
            </w:tcBorders>
            <w:noWrap w:val="0"/>
            <w:vAlign w:val="center"/>
          </w:tcPr>
          <w:p w14:paraId="592D8B37">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eastAsia"/>
                <w:snapToGrid w:val="0"/>
                <w:sz w:val="18"/>
                <w:szCs w:val="18"/>
                <w:lang w:val="en-US" w:eastAsia="zh-CN"/>
              </w:rPr>
            </w:pPr>
            <w:r>
              <w:rPr>
                <w:rFonts w:hint="eastAsia"/>
                <w:snapToGrid w:val="0"/>
                <w:sz w:val="18"/>
                <w:szCs w:val="18"/>
                <w:lang w:val="en-US" w:eastAsia="zh-CN"/>
              </w:rPr>
              <w:t>M07</w:t>
            </w:r>
          </w:p>
          <w:p w14:paraId="503626E0">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color w:val="auto"/>
                <w:sz w:val="18"/>
                <w:szCs w:val="18"/>
              </w:rPr>
              <w:t>H0</w:t>
            </w:r>
            <w:r>
              <w:rPr>
                <w:rFonts w:hint="eastAsia" w:ascii="Times New Roman" w:hAnsi="Times New Roman" w:cs="Times New Roman"/>
                <w:color w:val="auto"/>
                <w:sz w:val="18"/>
                <w:szCs w:val="18"/>
                <w:lang w:val="en-US" w:eastAsia="zh-CN"/>
              </w:rPr>
              <w:t>4</w:t>
            </w:r>
          </w:p>
        </w:tc>
        <w:tc>
          <w:tcPr>
            <w:tcW w:w="2334" w:type="dxa"/>
            <w:vMerge w:val="restart"/>
            <w:tcBorders>
              <w:top w:val="single" w:color="auto" w:sz="12" w:space="0"/>
              <w:left w:val="single" w:color="auto" w:sz="4" w:space="0"/>
              <w:right w:val="single" w:color="auto" w:sz="4" w:space="0"/>
            </w:tcBorders>
            <w:noWrap w:val="0"/>
            <w:vAlign w:val="center"/>
          </w:tcPr>
          <w:p w14:paraId="2AA3B9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kern w:val="2"/>
                <w:sz w:val="18"/>
                <w:szCs w:val="18"/>
                <w:highlight w:val="yellow"/>
                <w:lang w:val="en-US" w:eastAsia="zh-CN" w:bidi="ar-SA"/>
              </w:rPr>
            </w:pPr>
            <w:r>
              <w:rPr>
                <w:rFonts w:hint="default" w:ascii="Times New Roman" w:hAnsi="Times New Roman" w:eastAsia="宋体" w:cs="Times New Roman"/>
                <w:kern w:val="2"/>
                <w:sz w:val="18"/>
                <w:szCs w:val="18"/>
                <w:highlight w:val="none"/>
                <w:lang w:val="en-US" w:eastAsia="zh-CN" w:bidi="ar-SA"/>
              </w:rPr>
              <w:t>98</w:t>
            </w:r>
          </w:p>
        </w:tc>
        <w:tc>
          <w:tcPr>
            <w:tcW w:w="2346" w:type="dxa"/>
            <w:vMerge w:val="restart"/>
            <w:tcBorders>
              <w:top w:val="single" w:color="auto" w:sz="12" w:space="0"/>
              <w:left w:val="single" w:color="auto" w:sz="4" w:space="0"/>
              <w:right w:val="single" w:color="auto" w:sz="12" w:space="0"/>
            </w:tcBorders>
            <w:noWrap w:val="0"/>
            <w:vAlign w:val="center"/>
          </w:tcPr>
          <w:p w14:paraId="0908A3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trike w:val="0"/>
                <w:dstrike w:val="0"/>
                <w:color w:val="auto"/>
                <w:kern w:val="2"/>
                <w:sz w:val="18"/>
                <w:szCs w:val="18"/>
                <w:highlight w:val="none"/>
                <w:lang w:val="en-US" w:eastAsia="zh-CN" w:bidi="ar-SA"/>
              </w:rPr>
            </w:pPr>
            <w:r>
              <w:rPr>
                <w:rFonts w:hint="default" w:ascii="Times New Roman" w:hAnsi="Times New Roman" w:eastAsia="宋体" w:cs="Times New Roman"/>
                <w:sz w:val="18"/>
                <w:szCs w:val="18"/>
                <w:highlight w:val="none"/>
                <w:lang w:val="en-US" w:eastAsia="zh-CN"/>
              </w:rPr>
              <w:t>0.0175</w:t>
            </w:r>
            <w:r>
              <w:rPr>
                <w:rFonts w:hint="eastAsia" w:ascii="Times New Roman" w:hAnsi="Times New Roman" w:cs="Times New Roman"/>
                <w:sz w:val="18"/>
                <w:szCs w:val="18"/>
                <w:highlight w:val="none"/>
                <w:lang w:val="en-US" w:eastAsia="zh-CN"/>
              </w:rPr>
              <w:t>93</w:t>
            </w:r>
          </w:p>
        </w:tc>
      </w:tr>
      <w:tr w14:paraId="1D8FC4D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62" w:type="dxa"/>
            <w:tcBorders>
              <w:top w:val="single" w:color="auto" w:sz="4" w:space="0"/>
              <w:left w:val="single" w:color="auto" w:sz="12" w:space="0"/>
              <w:bottom w:val="single" w:color="auto" w:sz="4" w:space="0"/>
              <w:right w:val="single" w:color="auto" w:sz="4" w:space="0"/>
            </w:tcBorders>
            <w:noWrap w:val="0"/>
            <w:vAlign w:val="center"/>
          </w:tcPr>
          <w:p w14:paraId="57D77C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highlight w:val="none"/>
              </w:rPr>
            </w:pPr>
            <w:r>
              <w:rPr>
                <w:rFonts w:hint="eastAsia" w:eastAsia="宋体" w:cs="Times New Roman"/>
                <w:snapToGrid w:val="0"/>
                <w:sz w:val="18"/>
                <w:szCs w:val="18"/>
                <w:lang w:val="en-US" w:eastAsia="zh-CN"/>
              </w:rPr>
              <w:t>TU Ag0.05</w:t>
            </w:r>
          </w:p>
        </w:tc>
        <w:tc>
          <w:tcPr>
            <w:tcW w:w="1244" w:type="dxa"/>
            <w:vMerge w:val="continue"/>
            <w:tcBorders>
              <w:left w:val="single" w:color="auto" w:sz="4" w:space="0"/>
              <w:right w:val="single" w:color="auto" w:sz="4" w:space="0"/>
            </w:tcBorders>
            <w:noWrap w:val="0"/>
            <w:vAlign w:val="center"/>
          </w:tcPr>
          <w:p w14:paraId="345A3130">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kern w:val="2"/>
                <w:sz w:val="18"/>
                <w:szCs w:val="18"/>
                <w:lang w:val="en-US" w:eastAsia="zh-CN" w:bidi="ar-SA"/>
              </w:rPr>
            </w:pPr>
          </w:p>
        </w:tc>
        <w:tc>
          <w:tcPr>
            <w:tcW w:w="2334" w:type="dxa"/>
            <w:vMerge w:val="continue"/>
            <w:tcBorders>
              <w:left w:val="single" w:color="auto" w:sz="4" w:space="0"/>
              <w:right w:val="single" w:color="auto" w:sz="4" w:space="0"/>
            </w:tcBorders>
            <w:noWrap w:val="0"/>
            <w:vAlign w:val="center"/>
          </w:tcPr>
          <w:p w14:paraId="09F04C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kern w:val="2"/>
                <w:sz w:val="18"/>
                <w:szCs w:val="18"/>
                <w:highlight w:val="yellow"/>
                <w:lang w:val="en-US" w:eastAsia="zh-CN" w:bidi="ar-SA"/>
              </w:rPr>
            </w:pPr>
          </w:p>
        </w:tc>
        <w:tc>
          <w:tcPr>
            <w:tcW w:w="2346" w:type="dxa"/>
            <w:vMerge w:val="continue"/>
            <w:tcBorders>
              <w:left w:val="single" w:color="auto" w:sz="4" w:space="0"/>
              <w:right w:val="single" w:color="auto" w:sz="12" w:space="0"/>
            </w:tcBorders>
            <w:noWrap w:val="0"/>
            <w:vAlign w:val="center"/>
          </w:tcPr>
          <w:p w14:paraId="2DDAE5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trike w:val="0"/>
                <w:dstrike w:val="0"/>
                <w:color w:val="auto"/>
                <w:kern w:val="2"/>
                <w:sz w:val="18"/>
                <w:szCs w:val="18"/>
                <w:highlight w:val="none"/>
                <w:lang w:val="en-US" w:eastAsia="zh-CN" w:bidi="ar-SA"/>
              </w:rPr>
            </w:pPr>
          </w:p>
        </w:tc>
      </w:tr>
      <w:tr w14:paraId="7900D89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62" w:type="dxa"/>
            <w:tcBorders>
              <w:top w:val="single" w:color="auto" w:sz="4" w:space="0"/>
              <w:left w:val="single" w:color="auto" w:sz="12" w:space="0"/>
              <w:bottom w:val="single" w:color="auto" w:sz="4" w:space="0"/>
              <w:right w:val="single" w:color="auto" w:sz="4" w:space="0"/>
            </w:tcBorders>
            <w:noWrap w:val="0"/>
            <w:vAlign w:val="center"/>
          </w:tcPr>
          <w:p w14:paraId="612CE85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eastAsia="宋体" w:cs="Times New Roman"/>
                <w:snapToGrid w:val="0"/>
                <w:sz w:val="18"/>
                <w:szCs w:val="18"/>
                <w:lang w:val="en-US" w:eastAsia="zh-CN"/>
              </w:rPr>
            </w:pPr>
            <w:r>
              <w:rPr>
                <w:rFonts w:hint="eastAsia" w:eastAsia="宋体" w:cs="Times New Roman"/>
                <w:snapToGrid w:val="0"/>
                <w:sz w:val="18"/>
                <w:szCs w:val="18"/>
                <w:lang w:val="en-US" w:eastAsia="zh-CN"/>
              </w:rPr>
              <w:t>TU Ag0.08</w:t>
            </w:r>
          </w:p>
        </w:tc>
        <w:tc>
          <w:tcPr>
            <w:tcW w:w="1244" w:type="dxa"/>
            <w:vMerge w:val="continue"/>
            <w:tcBorders>
              <w:left w:val="single" w:color="auto" w:sz="4" w:space="0"/>
              <w:right w:val="single" w:color="auto" w:sz="4" w:space="0"/>
            </w:tcBorders>
            <w:noWrap w:val="0"/>
            <w:vAlign w:val="center"/>
          </w:tcPr>
          <w:p w14:paraId="0FF2C7C9">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18"/>
                <w:szCs w:val="18"/>
              </w:rPr>
            </w:pPr>
          </w:p>
        </w:tc>
        <w:tc>
          <w:tcPr>
            <w:tcW w:w="2334" w:type="dxa"/>
            <w:vMerge w:val="continue"/>
            <w:tcBorders>
              <w:left w:val="single" w:color="auto" w:sz="4" w:space="0"/>
              <w:bottom w:val="single" w:color="auto" w:sz="4" w:space="0"/>
              <w:right w:val="single" w:color="auto" w:sz="4" w:space="0"/>
            </w:tcBorders>
            <w:noWrap w:val="0"/>
            <w:vAlign w:val="center"/>
          </w:tcPr>
          <w:p w14:paraId="42DCD0B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kern w:val="2"/>
                <w:sz w:val="18"/>
                <w:szCs w:val="18"/>
                <w:highlight w:val="none"/>
                <w:lang w:val="en-US" w:eastAsia="zh-CN" w:bidi="ar-SA"/>
              </w:rPr>
            </w:pPr>
          </w:p>
        </w:tc>
        <w:tc>
          <w:tcPr>
            <w:tcW w:w="2346" w:type="dxa"/>
            <w:vMerge w:val="continue"/>
            <w:tcBorders>
              <w:left w:val="single" w:color="auto" w:sz="4" w:space="0"/>
              <w:bottom w:val="single" w:color="auto" w:sz="4" w:space="0"/>
              <w:right w:val="single" w:color="auto" w:sz="12" w:space="0"/>
            </w:tcBorders>
            <w:noWrap w:val="0"/>
            <w:vAlign w:val="center"/>
          </w:tcPr>
          <w:p w14:paraId="098E68B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highlight w:val="none"/>
                <w:lang w:val="en-US" w:eastAsia="zh-CN"/>
              </w:rPr>
            </w:pPr>
          </w:p>
        </w:tc>
      </w:tr>
      <w:tr w14:paraId="4AF1E5F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62" w:type="dxa"/>
            <w:tcBorders>
              <w:top w:val="single" w:color="auto" w:sz="4" w:space="0"/>
              <w:left w:val="single" w:color="auto" w:sz="12" w:space="0"/>
              <w:bottom w:val="single" w:color="auto" w:sz="12" w:space="0"/>
              <w:right w:val="single" w:color="auto" w:sz="4" w:space="0"/>
            </w:tcBorders>
            <w:noWrap w:val="0"/>
            <w:vAlign w:val="center"/>
          </w:tcPr>
          <w:p w14:paraId="065AB0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eastAsia="宋体" w:cs="Times New Roman"/>
                <w:snapToGrid w:val="0"/>
                <w:sz w:val="18"/>
                <w:szCs w:val="18"/>
                <w:lang w:val="en-US" w:eastAsia="zh-CN"/>
              </w:rPr>
            </w:pPr>
            <w:r>
              <w:rPr>
                <w:rFonts w:hint="eastAsia" w:eastAsia="宋体" w:cs="Times New Roman"/>
                <w:snapToGrid w:val="0"/>
                <w:sz w:val="18"/>
                <w:szCs w:val="18"/>
                <w:lang w:val="en-US" w:eastAsia="zh-CN"/>
              </w:rPr>
              <w:t>TU Ag0.10</w:t>
            </w:r>
          </w:p>
        </w:tc>
        <w:tc>
          <w:tcPr>
            <w:tcW w:w="1244" w:type="dxa"/>
            <w:vMerge w:val="continue"/>
            <w:tcBorders>
              <w:left w:val="single" w:color="auto" w:sz="4" w:space="0"/>
              <w:bottom w:val="single" w:color="auto" w:sz="12" w:space="0"/>
              <w:right w:val="single" w:color="auto" w:sz="4" w:space="0"/>
            </w:tcBorders>
            <w:noWrap w:val="0"/>
            <w:vAlign w:val="center"/>
          </w:tcPr>
          <w:p w14:paraId="35839147">
            <w:pPr>
              <w:keepNext/>
              <w:keepLines/>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18"/>
                <w:szCs w:val="18"/>
              </w:rPr>
            </w:pPr>
          </w:p>
        </w:tc>
        <w:tc>
          <w:tcPr>
            <w:tcW w:w="2334" w:type="dxa"/>
            <w:tcBorders>
              <w:top w:val="single" w:color="auto" w:sz="4" w:space="0"/>
              <w:left w:val="single" w:color="auto" w:sz="4" w:space="0"/>
              <w:bottom w:val="single" w:color="auto" w:sz="12" w:space="0"/>
              <w:right w:val="single" w:color="auto" w:sz="4" w:space="0"/>
            </w:tcBorders>
            <w:noWrap w:val="0"/>
            <w:vAlign w:val="center"/>
          </w:tcPr>
          <w:p w14:paraId="5AE81EE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kern w:val="2"/>
                <w:sz w:val="18"/>
                <w:szCs w:val="18"/>
                <w:highlight w:val="none"/>
                <w:lang w:val="en-US" w:eastAsia="zh-CN" w:bidi="ar-SA"/>
              </w:rPr>
            </w:pPr>
            <w:r>
              <w:rPr>
                <w:rFonts w:hint="eastAsia" w:ascii="Times New Roman" w:hAnsi="Times New Roman" w:cs="Times New Roman"/>
                <w:kern w:val="2"/>
                <w:sz w:val="18"/>
                <w:szCs w:val="18"/>
                <w:highlight w:val="none"/>
                <w:lang w:val="en-US" w:eastAsia="zh-CN" w:bidi="ar-SA"/>
              </w:rPr>
              <w:t>96</w:t>
            </w:r>
          </w:p>
        </w:tc>
        <w:tc>
          <w:tcPr>
            <w:tcW w:w="2346" w:type="dxa"/>
            <w:tcBorders>
              <w:top w:val="single" w:color="auto" w:sz="4" w:space="0"/>
              <w:left w:val="single" w:color="auto" w:sz="4" w:space="0"/>
              <w:bottom w:val="single" w:color="auto" w:sz="12" w:space="0"/>
              <w:right w:val="single" w:color="auto" w:sz="12" w:space="0"/>
            </w:tcBorders>
            <w:noWrap w:val="0"/>
            <w:vAlign w:val="center"/>
          </w:tcPr>
          <w:p w14:paraId="32ADCFE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0.017959</w:t>
            </w:r>
          </w:p>
        </w:tc>
      </w:tr>
    </w:tbl>
    <w:p w14:paraId="36BE6472">
      <w:pPr>
        <w:pStyle w:val="22"/>
        <w:spacing w:before="156" w:after="156"/>
        <w:rPr>
          <w:rFonts w:hint="eastAsia" w:ascii="Times New Roman" w:hAnsi="Times New Roman" w:eastAsia="宋体" w:cs="Times New Roman"/>
          <w:color w:val="auto"/>
          <w:kern w:val="2"/>
          <w:sz w:val="21"/>
          <w:szCs w:val="21"/>
          <w:lang w:val="en-US" w:eastAsia="zh-CN" w:bidi="ar-SA"/>
        </w:rPr>
      </w:pPr>
      <w:r>
        <w:rPr>
          <w:rFonts w:hint="eastAsia" w:eastAsia="宋体" w:cs="Times New Roman"/>
          <w:color w:val="auto"/>
          <w:kern w:val="2"/>
          <w:sz w:val="21"/>
          <w:szCs w:val="21"/>
          <w:lang w:val="en-US" w:eastAsia="zh-CN" w:bidi="ar-SA"/>
        </w:rPr>
        <w:t xml:space="preserve">2.8 </w:t>
      </w:r>
      <w:r>
        <w:rPr>
          <w:rFonts w:hint="eastAsia" w:ascii="Times New Roman" w:hAnsi="Times New Roman" w:eastAsia="宋体" w:cs="Times New Roman"/>
          <w:color w:val="auto"/>
          <w:kern w:val="2"/>
          <w:sz w:val="21"/>
          <w:szCs w:val="21"/>
          <w:lang w:val="en-US" w:eastAsia="zh-CN" w:bidi="ar-SA"/>
        </w:rPr>
        <w:t>氢脆试验</w:t>
      </w:r>
    </w:p>
    <w:p w14:paraId="7C85B3C9">
      <w:pPr>
        <w:spacing w:line="320" w:lineRule="exact"/>
        <w:ind w:firstLine="420" w:firstLineChars="200"/>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线坯</w:t>
      </w:r>
      <w:r>
        <w:rPr>
          <w:rFonts w:hint="default" w:ascii="宋体" w:hAnsi="宋体" w:eastAsiaTheme="minorEastAsia" w:cstheme="minorBidi"/>
          <w:color w:val="auto"/>
          <w:kern w:val="2"/>
          <w:sz w:val="21"/>
          <w:szCs w:val="21"/>
          <w:lang w:val="en-US" w:eastAsia="zh-CN" w:bidi="ar-SA"/>
        </w:rPr>
        <w:t>可进行氢脆试验，采用闭合弯曲法试验</w:t>
      </w:r>
      <w:r>
        <w:rPr>
          <w:rFonts w:hint="eastAsia" w:ascii="宋体" w:hAnsi="宋体" w:eastAsiaTheme="minorEastAsia" w:cstheme="minorBidi"/>
          <w:color w:val="auto"/>
          <w:kern w:val="2"/>
          <w:sz w:val="21"/>
          <w:szCs w:val="21"/>
          <w:lang w:val="en-US" w:eastAsia="zh-CN" w:bidi="ar-SA"/>
        </w:rPr>
        <w:t>，在常温下反复弯曲10次后</w:t>
      </w:r>
      <w:r>
        <w:rPr>
          <w:rFonts w:hint="default" w:ascii="宋体" w:hAnsi="宋体" w:eastAsiaTheme="minorEastAsia" w:cstheme="minorBidi"/>
          <w:color w:val="auto"/>
          <w:kern w:val="2"/>
          <w:sz w:val="21"/>
          <w:szCs w:val="21"/>
          <w:lang w:val="en-US" w:eastAsia="zh-CN" w:bidi="ar-SA"/>
        </w:rPr>
        <w:t>，试样的外侧面不应出现裂纹。</w:t>
      </w:r>
    </w:p>
    <w:p w14:paraId="1FBA6AEB">
      <w:pPr>
        <w:pStyle w:val="22"/>
        <w:spacing w:before="156" w:after="156"/>
        <w:rPr>
          <w:rFonts w:hint="eastAsia" w:eastAsia="宋体" w:cs="Times New Roman"/>
          <w:color w:val="auto"/>
          <w:kern w:val="2"/>
          <w:sz w:val="21"/>
          <w:szCs w:val="21"/>
          <w:lang w:val="en-US" w:eastAsia="zh-CN" w:bidi="ar-SA"/>
        </w:rPr>
      </w:pPr>
      <w:r>
        <w:rPr>
          <w:rFonts w:hint="eastAsia" w:eastAsia="宋体" w:cs="Times New Roman"/>
          <w:color w:val="auto"/>
          <w:kern w:val="2"/>
          <w:sz w:val="21"/>
          <w:szCs w:val="21"/>
          <w:lang w:val="en-US" w:eastAsia="zh-CN" w:bidi="ar-SA"/>
        </w:rPr>
        <w:t>2.9 表面质量</w:t>
      </w:r>
    </w:p>
    <w:p w14:paraId="61FF7331">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线坯的表面应清洁,不应有影响使用的有害缺陷。</w:t>
      </w:r>
    </w:p>
    <w:p w14:paraId="3233DC95">
      <w:pPr>
        <w:pStyle w:val="22"/>
        <w:spacing w:before="156" w:after="156"/>
        <w:rPr>
          <w:rFonts w:hint="eastAsia" w:eastAsia="宋体" w:cs="Times New Roman"/>
          <w:color w:val="auto"/>
          <w:kern w:val="2"/>
          <w:sz w:val="21"/>
          <w:szCs w:val="21"/>
          <w:lang w:val="en-US" w:eastAsia="zh-CN" w:bidi="ar-SA"/>
        </w:rPr>
      </w:pPr>
      <w:r>
        <w:rPr>
          <w:rFonts w:hint="eastAsia" w:eastAsia="宋体" w:cs="Times New Roman"/>
          <w:color w:val="auto"/>
          <w:kern w:val="2"/>
          <w:sz w:val="21"/>
          <w:szCs w:val="21"/>
          <w:lang w:val="en-US" w:eastAsia="zh-CN" w:bidi="ar-SA"/>
        </w:rPr>
        <w:t>2.10 晶粒度</w:t>
      </w:r>
    </w:p>
    <w:p w14:paraId="1D7E0FB6">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线坯的平均晶粒度应在0.010 mm～0.030 mm的范围内。</w:t>
      </w:r>
    </w:p>
    <w:p w14:paraId="0DD94DF3">
      <w:pPr>
        <w:pStyle w:val="22"/>
        <w:spacing w:before="156" w:after="156"/>
        <w:rPr>
          <w:rFonts w:hint="eastAsia" w:eastAsia="宋体" w:cs="Times New Roman"/>
          <w:color w:val="auto"/>
          <w:kern w:val="2"/>
          <w:sz w:val="21"/>
          <w:szCs w:val="21"/>
          <w:lang w:val="en-US" w:eastAsia="zh-CN" w:bidi="ar-SA"/>
        </w:rPr>
      </w:pPr>
      <w:r>
        <w:rPr>
          <w:rFonts w:hint="eastAsia" w:eastAsia="宋体" w:cs="Times New Roman"/>
          <w:color w:val="auto"/>
          <w:kern w:val="2"/>
          <w:sz w:val="21"/>
          <w:szCs w:val="21"/>
          <w:lang w:val="en-US" w:eastAsia="zh-CN" w:bidi="ar-SA"/>
        </w:rPr>
        <w:t>2.11 扭转试验</w:t>
      </w:r>
    </w:p>
    <w:p w14:paraId="2701956F">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M07线坯进行6（正向）×6（逆向）圈扭转后，不应出现影响使用的起皮、裂边和皱边现象。</w:t>
      </w:r>
    </w:p>
    <w:p w14:paraId="6FEE09B2">
      <w:pPr>
        <w:pStyle w:val="3"/>
        <w:numPr>
          <w:ilvl w:val="0"/>
          <w:numId w:val="3"/>
        </w:numPr>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修订前后技术内容的对比</w:t>
      </w:r>
    </w:p>
    <w:p w14:paraId="204E2409">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 xml:space="preserve">3.1 </w:t>
      </w:r>
      <w:r>
        <w:rPr>
          <w:rFonts w:hint="eastAsia" w:ascii="宋体" w:hAnsi="宋体" w:eastAsiaTheme="minorEastAsia" w:cstheme="minorBidi"/>
          <w:color w:val="auto"/>
          <w:kern w:val="2"/>
          <w:sz w:val="21"/>
          <w:szCs w:val="21"/>
          <w:lang w:val="en-US" w:eastAsia="zh-CN" w:bidi="ar-SA"/>
        </w:rPr>
        <w:t>更改了银无氧铜线坯的直径范围</w:t>
      </w:r>
    </w:p>
    <w:p w14:paraId="30797914">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原标准适用于直径为8 mm～20 mm的银无氧铜线坯。本次修订将直径适用范围扩大至8 mm～30 mm。</w:t>
      </w:r>
    </w:p>
    <w:p w14:paraId="10B24313">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修改依据：GB/T 33882-2017自2017年发布实施以来，随着换向器产品向大型化、高功率方向发展，下游电机及换向器制造企业对直径20 mm以上线坯的需求日益增加。特别是大功率直流电机、新能源汽车驱动电机等应用场景，对更大直径规格的银无氧铜线坯提出了明确需求。近年来国内银无氧铜线坯生产企业通过工艺优化和设备升级，已具备稳定生产直径30 mm银无氧铜线坯的技术能力。起草工作组对国内主要生产企业和下游用户的调研表明，直径20 mm至30 mm规格的线坯市场需求增长迅速，扩大标准的适用范围有利于更好地满足市场多样化需求，提升标准的产业覆盖面。</w:t>
      </w:r>
    </w:p>
    <w:p w14:paraId="272D1C42">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 xml:space="preserve">3.2 </w:t>
      </w:r>
      <w:r>
        <w:rPr>
          <w:rFonts w:hint="eastAsia" w:ascii="宋体" w:hAnsi="宋体" w:eastAsiaTheme="minorEastAsia" w:cstheme="minorBidi"/>
          <w:color w:val="auto"/>
          <w:kern w:val="2"/>
          <w:sz w:val="21"/>
          <w:szCs w:val="21"/>
          <w:lang w:val="en-US" w:eastAsia="zh-CN" w:bidi="ar-SA"/>
        </w:rPr>
        <w:t>增加了两种牌号</w:t>
      </w:r>
    </w:p>
    <w:p w14:paraId="2E9E1F07">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原标准仅规定了TU Ag0.05和</w:t>
      </w:r>
      <w:r>
        <w:rPr>
          <w:rFonts w:hint="eastAsia" w:ascii="宋体" w:hAnsi="宋体" w:cstheme="minorBidi"/>
          <w:color w:val="auto"/>
          <w:kern w:val="2"/>
          <w:sz w:val="21"/>
          <w:szCs w:val="21"/>
          <w:lang w:val="en-US" w:eastAsia="zh-CN" w:bidi="ar-SA"/>
        </w:rPr>
        <w:t>TU Ag0.10</w:t>
      </w:r>
      <w:r>
        <w:rPr>
          <w:rFonts w:hint="eastAsia" w:ascii="宋体" w:hAnsi="宋体" w:eastAsiaTheme="minorEastAsia" w:cstheme="minorBidi"/>
          <w:color w:val="auto"/>
          <w:kern w:val="2"/>
          <w:sz w:val="21"/>
          <w:szCs w:val="21"/>
          <w:lang w:val="en-US" w:eastAsia="zh-CN" w:bidi="ar-SA"/>
        </w:rPr>
        <w:t>两个牌号。本次修订在原有牌号基础上，增加了TU Ag0.03（代号T10500）和TU Ag0.08（代号C10700）两个牌号。</w:t>
      </w:r>
    </w:p>
    <w:p w14:paraId="0B207568">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修改依据：原标准仅规定了两种银含量规格，难以全面覆盖下游应用对材料性能的差异化需求。根据换向器行业实际应用场景，不同银含量的银无氧铜线坯对应不同的工况要求。TU Ag0.03牌号的银含量不低于0.035%，银含量相对较低，导电性能更优，适用于对导电率要求较高但对耐热性要求一般的普通电机换向器场景。TU Ag0.08牌号的银含量不低于0.085%，银含量较高，抗高温软化和抗蠕变性能更为出色，尤其适用于新能源汽车驱动电机、大功率直流电机、电动工具等高温、高负载工况下的换向器制造。增加这两个牌号有利于细化产品分级、精准匹配用户需求，同时与GB/T 5231《加工铜及铜合金牌号和化学成分》中的牌号体系保持一致。</w:t>
      </w:r>
    </w:p>
    <w:p w14:paraId="515033F0">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 xml:space="preserve">3.3 </w:t>
      </w:r>
      <w:r>
        <w:rPr>
          <w:rFonts w:hint="eastAsia" w:ascii="宋体" w:hAnsi="宋体" w:eastAsiaTheme="minorEastAsia" w:cstheme="minorBidi"/>
          <w:color w:val="auto"/>
          <w:kern w:val="2"/>
          <w:sz w:val="21"/>
          <w:szCs w:val="21"/>
          <w:lang w:val="en-US" w:eastAsia="zh-CN" w:bidi="ar-SA"/>
        </w:rPr>
        <w:t>更改了线坯直径允许偏差</w:t>
      </w:r>
    </w:p>
    <w:p w14:paraId="744CE182">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原标准规定连续铸造（M07）状态直径为12.5 mm～20 mm的线坯允许偏差为±0.2 mm，硬态（H04）状态直径为8 mm～17 mm的线坯允许偏差为±0.05 mm。本次修订将连续铸造状态的直径范围扩大为12.5 mm～30 mm，同时将允许偏差收严至±0.15 mm；硬态状态适用的直径范围扩大至8 mm～25 mm，允许偏差±0.05 mm维持不变。</w:t>
      </w:r>
    </w:p>
    <w:p w14:paraId="58C01358">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修改依据：连续铸造状态直径允许偏差的收严是基于近年来连续铸造工艺控制精度显著提升的产业现实。国内主要生产企业通过采用先进的在线测量与反馈控制系统、优化结晶器和冷却制度，已能将直径偏差稳定控制在±0.15 mm以内。收严偏差有利于提高产品尺寸一致性，为下游客户的高速冲压和自动化装配提供更高质量的坯料。硬态状态±0.05 mm的允许偏差经多年产业实践证明合理可行，该精度要求是保证下游换向器精密加工的关键，维持原有指标有利于保持标准的延续性。硬态直径范围扩大至25 mm则与标准总体直径范围的扩大相适应。</w:t>
      </w:r>
    </w:p>
    <w:p w14:paraId="0657293F">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 xml:space="preserve">3.4 </w:t>
      </w:r>
      <w:r>
        <w:rPr>
          <w:rFonts w:hint="eastAsia" w:ascii="宋体" w:hAnsi="宋体" w:eastAsiaTheme="minorEastAsia" w:cstheme="minorBidi"/>
          <w:color w:val="auto"/>
          <w:kern w:val="2"/>
          <w:sz w:val="21"/>
          <w:szCs w:val="21"/>
          <w:lang w:val="en-US" w:eastAsia="zh-CN" w:bidi="ar-SA"/>
        </w:rPr>
        <w:t>增加了线坯圆度的要求</w:t>
      </w:r>
    </w:p>
    <w:p w14:paraId="4FA3576E">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本次修订新增了线坯圆度的要求，规定线坯的圆度不应大于直径允许偏差之半。</w:t>
      </w:r>
    </w:p>
    <w:p w14:paraId="581AF445">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修改依据：原标准对线坯的截面形状未作任何几何规定。圆度是衡量线坯截面形状精度的重要参数，线坯圆度超标会导致后续拉拔或轧制加工时变形不均匀，影响换向器成品的尺寸精度和质量一致性。增加圆度要求是基于下游客户对原材料几何精度日益提高的现实需求，也填补了原标准在几何精度控制方面的空白。圆度指标与直径允许偏差挂钩的设定方式，使两项几何精度的控制水平相互匹配，便于企业检测和判定。</w:t>
      </w:r>
    </w:p>
    <w:p w14:paraId="522B09D8">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3.5</w:t>
      </w:r>
      <w:r>
        <w:rPr>
          <w:rFonts w:hint="eastAsia" w:ascii="宋体" w:hAnsi="宋体" w:eastAsiaTheme="minorEastAsia" w:cstheme="minorBidi"/>
          <w:color w:val="auto"/>
          <w:kern w:val="2"/>
          <w:sz w:val="21"/>
          <w:szCs w:val="21"/>
          <w:lang w:val="en-US" w:eastAsia="zh-CN" w:bidi="ar-SA"/>
        </w:rPr>
        <w:t>更改了线坯的力学性能要求</w:t>
      </w:r>
    </w:p>
    <w:p w14:paraId="0476D913">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原标准仅对连续铸造（M07）状态的抗拉强度和断后伸长率作出了规定，对硬态（H04）状态未作明确规定。本次修订对两种状态均作出了全面规定。连续铸造状态抗拉强度由原标准的≥175 MPa调整为≥170 MPa，断后伸长率由≥30%提高至≥35%；硬态状态新增了抗拉强度≥280 MPa、断后伸长率≥5%的要求。</w:t>
      </w:r>
    </w:p>
    <w:p w14:paraId="297DFCCB">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修改依据：根据起草工作组收集的国内主要生产企业大量实测数据的统计分析，连铸态产品的抗拉强度普遍在170 MPa以上、断后伸长率普遍在35%以上，本次调整后的指标更加科学合理地反映了连铸态产品的实际力学性能水平。对于硬态状态，原标准未对抗拉强度和断后伸长率作出明确规定，导致供需双方在实际交易中缺乏统一的判定依据。本次修订新增了明确的力学性能要求，为硬态产品的验收提供了统一的技术依据，有利于规范市场秩序。</w:t>
      </w:r>
    </w:p>
    <w:p w14:paraId="3BB2BB81">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3.6</w:t>
      </w:r>
      <w:r>
        <w:rPr>
          <w:rFonts w:hint="eastAsia" w:ascii="宋体" w:hAnsi="宋体" w:eastAsiaTheme="minorEastAsia" w:cstheme="minorBidi"/>
          <w:color w:val="auto"/>
          <w:kern w:val="2"/>
          <w:sz w:val="21"/>
          <w:szCs w:val="21"/>
          <w:lang w:val="en-US" w:eastAsia="zh-CN" w:bidi="ar-SA"/>
        </w:rPr>
        <w:t>增加了线坯维氏硬度试验要求</w:t>
      </w:r>
    </w:p>
    <w:p w14:paraId="03714AAE">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本次修订新增了维氏硬度试验要求，规定连续铸造态的维氏硬度为55 HV～75 HV，硬态为90 HV～120 HV。</w:t>
      </w:r>
    </w:p>
    <w:p w14:paraId="18022AC9">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修改依据：维氏硬度试验按照GB/T 4340.1《金属材料 维氏硬度试验 第1部分：试验方法》进行，具有操作简便、制样快捷、对产品无损或微损的特点，非常适用于生产线上的快速质量检测。增加硬度要求后，企业可以在生产过程中通过检测维氏硬度对产品力学性能进行快速判断和过程监控，与拉伸试验形成互补。</w:t>
      </w:r>
    </w:p>
    <w:p w14:paraId="450E5C37">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3.7</w:t>
      </w:r>
      <w:r>
        <w:rPr>
          <w:rFonts w:hint="eastAsia" w:ascii="宋体" w:hAnsi="宋体" w:eastAsiaTheme="minorEastAsia" w:cstheme="minorBidi"/>
          <w:color w:val="auto"/>
          <w:kern w:val="2"/>
          <w:sz w:val="21"/>
          <w:szCs w:val="21"/>
          <w:lang w:val="en-US" w:eastAsia="zh-CN" w:bidi="ar-SA"/>
        </w:rPr>
        <w:t>增加了线坯的晶粒度指标</w:t>
      </w:r>
    </w:p>
    <w:p w14:paraId="7DE86188">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本次修订新增了线坯平均晶粒度应在0.010 mm～0.030 mm范围内的要求。</w:t>
      </w:r>
    </w:p>
    <w:p w14:paraId="4F9EF27C">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修改依据：原标准对线坯的显微组织未作任何规定。晶粒度是反映材料内部显微组织状态的核心参数，按照YS/T 347《铜及铜合金平均晶粒度测定方法》进行检测，直接关系到材料的力学性能和后续加工行为。晶粒过粗会降低材料的强度和韧性，晶粒过细则会增加加工硬化速率、降低塑性变形能力。0.010 mm～0.030 mm的晶粒度范围是通过对国内优质产品显微组织的系统分析总结得出的合理区间，在该范围内材料能够获得良好的综合力学性能和加工性能。国内领先企业通过优化铸造温度、拉铸速度和冷却制度等工艺参数，已能稳定将晶粒度控制在这一范围内，该指标的增设具有充分的技术可行性。</w:t>
      </w:r>
    </w:p>
    <w:p w14:paraId="3B95347E">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3.8</w:t>
      </w:r>
      <w:r>
        <w:rPr>
          <w:rFonts w:hint="eastAsia" w:ascii="宋体" w:hAnsi="宋体" w:eastAsiaTheme="minorEastAsia" w:cstheme="minorBidi"/>
          <w:color w:val="auto"/>
          <w:kern w:val="2"/>
          <w:sz w:val="21"/>
          <w:szCs w:val="21"/>
          <w:lang w:val="en-US" w:eastAsia="zh-CN" w:bidi="ar-SA"/>
        </w:rPr>
        <w:t>增加了线坯的扭转试验</w:t>
      </w:r>
    </w:p>
    <w:p w14:paraId="766A471E">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本次修订新增了对连续铸造线坯的扭转试验要求，规定进行6圈正向和6圈逆向的扭转后，线坯不应出现影响使用的起皮、裂边和皱边现象。</w:t>
      </w:r>
    </w:p>
    <w:p w14:paraId="0B82045B">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修改依据：原标准未将扭转试验作为线坯的质量控制手段。扭转试验按照GB/T 4909.4《裸电线试验方法 第4部分：扭转试验》进行，是一种有效评价线坯塑性和内部质量的试验方法，能够通过扭转过程中线坯表面和断口的变化，检测线坯内部是否存在裂纹、夹杂、缩孔、偏析等冶金缺陷。这些缺陷在常规的外形尺寸检查和力学性能试验中往往难以被充分发现，但会在后续的下游加工或换向器服役过程中引发质量问题。增加扭转试验填补了原标准在内部质量检测手段方面的不足，为连续铸造线坯的质量控制提供了更全面的技术保障。</w:t>
      </w:r>
    </w:p>
    <w:p w14:paraId="2B82CE35">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3.9</w:t>
      </w:r>
      <w:r>
        <w:rPr>
          <w:rFonts w:hint="eastAsia" w:ascii="宋体" w:hAnsi="宋体" w:eastAsiaTheme="minorEastAsia" w:cstheme="minorBidi"/>
          <w:color w:val="auto"/>
          <w:kern w:val="2"/>
          <w:sz w:val="21"/>
          <w:szCs w:val="21"/>
          <w:lang w:val="en-US" w:eastAsia="zh-CN" w:bidi="ar-SA"/>
        </w:rPr>
        <w:t>未作修改的主要条款说明</w:t>
      </w:r>
    </w:p>
    <w:p w14:paraId="1A0FC69C">
      <w:p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除上述条款外，原标准中以下条款的规定经实践证明科学合理、切实可行，本次修订未作实质性修改：</w:t>
      </w:r>
    </w:p>
    <w:p w14:paraId="7D79C756">
      <w:pPr>
        <w:numPr>
          <w:ilvl w:val="0"/>
          <w:numId w:val="4"/>
        </w:num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在化学成分方面，除新增牌号外，所有元素的含量要求均维持原标准不变，包括Cu+Ag含量（≥99.960%）、氧含量（≤0.0010%）以及各杂质元素（P、Bi、Sb、As、Fe、Ni、Pb、Sn、Zn）的限量要求。这些指标经过六年多的产业实践证明科学合理、切实可行，能够有效保证产品质量。</w:t>
      </w:r>
    </w:p>
    <w:p w14:paraId="5E0DDFCB">
      <w:pPr>
        <w:numPr>
          <w:ilvl w:val="0"/>
          <w:numId w:val="4"/>
        </w:numPr>
        <w:spacing w:line="320" w:lineRule="exact"/>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在电性能方面，原标准对TU Ag0.05和</w:t>
      </w:r>
      <w:r>
        <w:rPr>
          <w:rFonts w:hint="eastAsia" w:ascii="宋体" w:hAnsi="宋体" w:cstheme="minorBidi"/>
          <w:color w:val="auto"/>
          <w:kern w:val="2"/>
          <w:sz w:val="21"/>
          <w:szCs w:val="21"/>
          <w:lang w:val="en-US" w:eastAsia="zh-CN" w:bidi="ar-SA"/>
        </w:rPr>
        <w:t>TU Ag0.10</w:t>
      </w:r>
      <w:r>
        <w:rPr>
          <w:rFonts w:hint="eastAsia" w:ascii="宋体" w:hAnsi="宋体" w:eastAsiaTheme="minorEastAsia" w:cstheme="minorBidi"/>
          <w:color w:val="auto"/>
          <w:kern w:val="2"/>
          <w:sz w:val="21"/>
          <w:szCs w:val="21"/>
          <w:lang w:val="en-US" w:eastAsia="zh-CN" w:bidi="ar-SA"/>
        </w:rPr>
        <w:t>两个牌号的导电率和体积电阻率的规定，本次修订在维持原有指标的基础上将TU Ag0.03和TU Ag0.08归入相应的导电率类别。经多年产业实践证明，98% IACS和96% IACS的导电率指标设定合理可行。</w:t>
      </w:r>
    </w:p>
    <w:p w14:paraId="56A4B17D">
      <w:pPr>
        <w:numPr>
          <w:ilvl w:val="0"/>
          <w:numId w:val="4"/>
        </w:numPr>
        <w:spacing w:line="320" w:lineRule="exact"/>
        <w:ind w:firstLine="420" w:firstLineChars="200"/>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在氢脆试验方面，原标准已包含相关要求，本次修订仅对试验方法表述进行了优化，技术要求未作实质性改变。</w:t>
      </w:r>
    </w:p>
    <w:p w14:paraId="36B640C1">
      <w:pPr>
        <w:numPr>
          <w:ilvl w:val="0"/>
          <w:numId w:val="4"/>
        </w:numPr>
        <w:spacing w:line="320" w:lineRule="exact"/>
        <w:ind w:firstLine="420" w:firstLineChars="200"/>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在成卷要求、表面质量要求、检验规则的基本框架、标志、包装、运输、贮存、质量证明书以及订货单内容等方面，各项规定经实践证明合理可行，本次修订均予以保留。</w:t>
      </w:r>
    </w:p>
    <w:tbl>
      <w:tblPr>
        <w:tblStyle w:val="10"/>
        <w:tblW w:w="0" w:type="auto"/>
        <w:tblInd w:w="-40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804"/>
        <w:gridCol w:w="920"/>
        <w:gridCol w:w="1943"/>
        <w:gridCol w:w="4243"/>
        <w:gridCol w:w="1081"/>
      </w:tblGrid>
      <w:tr w14:paraId="6F87E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trPr>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200252C0">
            <w:pPr>
              <w:keepNext w:val="0"/>
              <w:keepLines w:val="0"/>
              <w:widowControl/>
              <w:suppressLineNumbers w:val="0"/>
              <w:spacing w:line="375" w:lineRule="atLeast"/>
              <w:jc w:val="left"/>
              <w:rPr>
                <w:rFonts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序号</w:t>
            </w:r>
          </w:p>
        </w:tc>
        <w:tc>
          <w:tcPr>
            <w:tcW w:w="92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C65160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对比项目</w:t>
            </w:r>
          </w:p>
        </w:tc>
        <w:tc>
          <w:tcPr>
            <w:tcW w:w="19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A06715A">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GB/T 33882-2017</w:t>
            </w:r>
          </w:p>
        </w:tc>
        <w:tc>
          <w:tcPr>
            <w:tcW w:w="42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7991B9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本次修订</w:t>
            </w:r>
          </w:p>
        </w:tc>
        <w:tc>
          <w:tcPr>
            <w:tcW w:w="1081"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BBCB4E1">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变化类型</w:t>
            </w:r>
          </w:p>
        </w:tc>
      </w:tr>
      <w:tr w14:paraId="0AD11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1295315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1</w:t>
            </w:r>
          </w:p>
        </w:tc>
        <w:tc>
          <w:tcPr>
            <w:tcW w:w="92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67543F4">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直径适用范围</w:t>
            </w:r>
          </w:p>
        </w:tc>
        <w:tc>
          <w:tcPr>
            <w:tcW w:w="19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8D092A6">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8 mm～20 mm</w:t>
            </w:r>
          </w:p>
        </w:tc>
        <w:tc>
          <w:tcPr>
            <w:tcW w:w="42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D43C251">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8 mm～30 mm</w:t>
            </w:r>
          </w:p>
        </w:tc>
        <w:tc>
          <w:tcPr>
            <w:tcW w:w="1081"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14DA1D6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扩大</w:t>
            </w:r>
          </w:p>
        </w:tc>
      </w:tr>
      <w:tr w14:paraId="4CD13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7BBB68C7">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2</w:t>
            </w:r>
          </w:p>
        </w:tc>
        <w:tc>
          <w:tcPr>
            <w:tcW w:w="92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EDB38CD">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牌号数量</w:t>
            </w:r>
          </w:p>
        </w:tc>
        <w:tc>
          <w:tcPr>
            <w:tcW w:w="19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BC9F3C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lang w:val="en-US"/>
              </w:rPr>
            </w:pPr>
            <w:r>
              <w:rPr>
                <w:rFonts w:hint="default" w:ascii="Segoe UI" w:hAnsi="Segoe UI" w:eastAsia="Segoe UI" w:cs="Segoe UI"/>
                <w:i w:val="0"/>
                <w:iCs w:val="0"/>
                <w:caps w:val="0"/>
                <w:color w:val="0F1115"/>
                <w:spacing w:val="0"/>
                <w:kern w:val="0"/>
                <w:sz w:val="22"/>
                <w:szCs w:val="22"/>
                <w:lang w:val="en-US" w:eastAsia="zh-CN" w:bidi="ar"/>
              </w:rPr>
              <w:t>TU Ag0.05、TU Ag0.1</w:t>
            </w:r>
            <w:r>
              <w:rPr>
                <w:rFonts w:hint="eastAsia" w:ascii="Segoe UI" w:hAnsi="Segoe UI" w:eastAsia="Segoe UI" w:cs="Segoe UI"/>
                <w:i w:val="0"/>
                <w:iCs w:val="0"/>
                <w:caps w:val="0"/>
                <w:color w:val="0F1115"/>
                <w:spacing w:val="0"/>
                <w:kern w:val="0"/>
                <w:sz w:val="22"/>
                <w:szCs w:val="22"/>
                <w:lang w:val="en-US" w:eastAsia="zh-CN" w:bidi="ar"/>
              </w:rPr>
              <w:t>0</w:t>
            </w:r>
          </w:p>
        </w:tc>
        <w:tc>
          <w:tcPr>
            <w:tcW w:w="42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6D25BE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lang w:val="en-US"/>
              </w:rPr>
            </w:pPr>
            <w:r>
              <w:rPr>
                <w:rFonts w:hint="default" w:ascii="Segoe UI" w:hAnsi="Segoe UI" w:eastAsia="Segoe UI" w:cs="Segoe UI"/>
                <w:i w:val="0"/>
                <w:iCs w:val="0"/>
                <w:caps w:val="0"/>
                <w:color w:val="0F1115"/>
                <w:spacing w:val="0"/>
                <w:kern w:val="0"/>
                <w:sz w:val="22"/>
                <w:szCs w:val="22"/>
                <w:lang w:val="en-US" w:eastAsia="zh-CN" w:bidi="ar"/>
              </w:rPr>
              <w:t>TU Ag0.03、TU Ag0.05、TU Ag0.08、TU Ag0.1</w:t>
            </w:r>
            <w:r>
              <w:rPr>
                <w:rFonts w:hint="eastAsia" w:ascii="Segoe UI" w:hAnsi="Segoe UI" w:eastAsia="Segoe UI" w:cs="Segoe UI"/>
                <w:i w:val="0"/>
                <w:iCs w:val="0"/>
                <w:caps w:val="0"/>
                <w:color w:val="0F1115"/>
                <w:spacing w:val="0"/>
                <w:kern w:val="0"/>
                <w:sz w:val="22"/>
                <w:szCs w:val="22"/>
                <w:lang w:val="en-US" w:eastAsia="zh-CN" w:bidi="ar"/>
              </w:rPr>
              <w:t>0</w:t>
            </w:r>
          </w:p>
        </w:tc>
        <w:tc>
          <w:tcPr>
            <w:tcW w:w="1081"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433B249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增加</w:t>
            </w:r>
          </w:p>
        </w:tc>
      </w:tr>
      <w:tr w14:paraId="33311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42072FF5">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3</w:t>
            </w:r>
          </w:p>
        </w:tc>
        <w:tc>
          <w:tcPr>
            <w:tcW w:w="92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D560EF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M07直径允许偏差</w:t>
            </w:r>
          </w:p>
        </w:tc>
        <w:tc>
          <w:tcPr>
            <w:tcW w:w="19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CF7C67D">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±0.2 mm（12.5～20 mm）</w:t>
            </w:r>
          </w:p>
        </w:tc>
        <w:tc>
          <w:tcPr>
            <w:tcW w:w="42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DD88851">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±0.15 mm（12.5～30 mm）</w:t>
            </w:r>
          </w:p>
        </w:tc>
        <w:tc>
          <w:tcPr>
            <w:tcW w:w="1081"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273847A4">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收严</w:t>
            </w:r>
          </w:p>
        </w:tc>
      </w:tr>
      <w:tr w14:paraId="6B369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7F0B98ED">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4</w:t>
            </w:r>
          </w:p>
        </w:tc>
        <w:tc>
          <w:tcPr>
            <w:tcW w:w="92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A9119A3">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H04直径范围</w:t>
            </w:r>
          </w:p>
        </w:tc>
        <w:tc>
          <w:tcPr>
            <w:tcW w:w="19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C608585">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8 mm～17 mm</w:t>
            </w:r>
          </w:p>
        </w:tc>
        <w:tc>
          <w:tcPr>
            <w:tcW w:w="42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12260B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8 mm～25 mm</w:t>
            </w:r>
          </w:p>
        </w:tc>
        <w:tc>
          <w:tcPr>
            <w:tcW w:w="1081"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25D57C6D">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扩大</w:t>
            </w:r>
          </w:p>
        </w:tc>
      </w:tr>
      <w:tr w14:paraId="3E72B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3FA3D9B4">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5</w:t>
            </w:r>
          </w:p>
        </w:tc>
        <w:tc>
          <w:tcPr>
            <w:tcW w:w="92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000EEC5">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圆度要求</w:t>
            </w:r>
          </w:p>
        </w:tc>
        <w:tc>
          <w:tcPr>
            <w:tcW w:w="19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CE5CA44">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无</w:t>
            </w:r>
          </w:p>
        </w:tc>
        <w:tc>
          <w:tcPr>
            <w:tcW w:w="42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B168095">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不应大于直径允许偏差之半</w:t>
            </w:r>
          </w:p>
        </w:tc>
        <w:tc>
          <w:tcPr>
            <w:tcW w:w="1081"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55512493">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新增</w:t>
            </w:r>
          </w:p>
        </w:tc>
      </w:tr>
      <w:tr w14:paraId="61EE1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3DACF223">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6</w:t>
            </w:r>
          </w:p>
        </w:tc>
        <w:tc>
          <w:tcPr>
            <w:tcW w:w="92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451BD0A">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M07抗拉强度</w:t>
            </w:r>
          </w:p>
        </w:tc>
        <w:tc>
          <w:tcPr>
            <w:tcW w:w="19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C9F79F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≥175 MPa</w:t>
            </w:r>
          </w:p>
        </w:tc>
        <w:tc>
          <w:tcPr>
            <w:tcW w:w="42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E640A1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≥170 MPa</w:t>
            </w:r>
          </w:p>
        </w:tc>
        <w:tc>
          <w:tcPr>
            <w:tcW w:w="1081"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6F1BB8F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调整</w:t>
            </w:r>
          </w:p>
        </w:tc>
      </w:tr>
      <w:tr w14:paraId="216FB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1B197E2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7</w:t>
            </w:r>
          </w:p>
        </w:tc>
        <w:tc>
          <w:tcPr>
            <w:tcW w:w="92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FF364B4">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M07断后伸长率</w:t>
            </w:r>
          </w:p>
        </w:tc>
        <w:tc>
          <w:tcPr>
            <w:tcW w:w="19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C5B4B78">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≥30%</w:t>
            </w:r>
          </w:p>
        </w:tc>
        <w:tc>
          <w:tcPr>
            <w:tcW w:w="42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BEC7E43">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≥35%</w:t>
            </w:r>
          </w:p>
        </w:tc>
        <w:tc>
          <w:tcPr>
            <w:tcW w:w="1081"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3E9261BA">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提高</w:t>
            </w:r>
          </w:p>
        </w:tc>
      </w:tr>
      <w:tr w14:paraId="569D3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00251C5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8</w:t>
            </w:r>
          </w:p>
        </w:tc>
        <w:tc>
          <w:tcPr>
            <w:tcW w:w="92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4BEB77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H04力学性能</w:t>
            </w:r>
          </w:p>
        </w:tc>
        <w:tc>
          <w:tcPr>
            <w:tcW w:w="19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C6EA7E2">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未明确规定</w:t>
            </w:r>
          </w:p>
        </w:tc>
        <w:tc>
          <w:tcPr>
            <w:tcW w:w="42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F50A48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≥280 MPa（抗拉）、≥5%（伸长率）</w:t>
            </w:r>
          </w:p>
        </w:tc>
        <w:tc>
          <w:tcPr>
            <w:tcW w:w="1081"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7601A73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新增</w:t>
            </w:r>
          </w:p>
        </w:tc>
      </w:tr>
      <w:tr w14:paraId="7A99D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7CC4A83A">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9</w:t>
            </w:r>
          </w:p>
        </w:tc>
        <w:tc>
          <w:tcPr>
            <w:tcW w:w="92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E20EFE1">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维氏硬度</w:t>
            </w:r>
          </w:p>
        </w:tc>
        <w:tc>
          <w:tcPr>
            <w:tcW w:w="19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D0BE91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无</w:t>
            </w:r>
          </w:p>
        </w:tc>
        <w:tc>
          <w:tcPr>
            <w:tcW w:w="42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02FBC56">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M07：55 HV～75 HV；H04：90 HV</w:t>
            </w:r>
            <w:r>
              <w:rPr>
                <w:rFonts w:hint="eastAsia" w:ascii="Segoe UI" w:hAnsi="Segoe UI" w:eastAsia="Segoe UI" w:cs="Segoe UI"/>
                <w:i w:val="0"/>
                <w:iCs w:val="0"/>
                <w:caps w:val="0"/>
                <w:color w:val="0F1115"/>
                <w:spacing w:val="0"/>
                <w:kern w:val="0"/>
                <w:sz w:val="22"/>
                <w:szCs w:val="22"/>
                <w:lang w:val="en-US" w:eastAsia="zh-CN" w:bidi="ar"/>
              </w:rPr>
              <w:t>-</w:t>
            </w:r>
            <w:r>
              <w:rPr>
                <w:rFonts w:hint="default" w:ascii="Segoe UI" w:hAnsi="Segoe UI" w:eastAsia="Segoe UI" w:cs="Segoe UI"/>
                <w:i w:val="0"/>
                <w:iCs w:val="0"/>
                <w:caps w:val="0"/>
                <w:color w:val="0F1115"/>
                <w:spacing w:val="0"/>
                <w:kern w:val="0"/>
                <w:sz w:val="22"/>
                <w:szCs w:val="22"/>
                <w:lang w:val="en-US" w:eastAsia="zh-CN" w:bidi="ar"/>
              </w:rPr>
              <w:t>120 HV</w:t>
            </w:r>
          </w:p>
        </w:tc>
        <w:tc>
          <w:tcPr>
            <w:tcW w:w="1081"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3FA57EF8">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新增</w:t>
            </w:r>
          </w:p>
        </w:tc>
      </w:tr>
      <w:tr w14:paraId="2F374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37402958">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10</w:t>
            </w:r>
          </w:p>
        </w:tc>
        <w:tc>
          <w:tcPr>
            <w:tcW w:w="92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4A717D2">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晶粒度</w:t>
            </w:r>
          </w:p>
        </w:tc>
        <w:tc>
          <w:tcPr>
            <w:tcW w:w="19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DE65E4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无</w:t>
            </w:r>
          </w:p>
        </w:tc>
        <w:tc>
          <w:tcPr>
            <w:tcW w:w="42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5B7B307">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0.010 mm～0.030 mm</w:t>
            </w:r>
          </w:p>
        </w:tc>
        <w:tc>
          <w:tcPr>
            <w:tcW w:w="1081"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491CCCF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新增</w:t>
            </w:r>
          </w:p>
        </w:tc>
      </w:tr>
      <w:tr w14:paraId="65AFC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04"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52FDED5F">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11</w:t>
            </w:r>
          </w:p>
        </w:tc>
        <w:tc>
          <w:tcPr>
            <w:tcW w:w="92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6C697E1">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扭转试验</w:t>
            </w:r>
          </w:p>
        </w:tc>
        <w:tc>
          <w:tcPr>
            <w:tcW w:w="19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1DCBC2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无</w:t>
            </w:r>
          </w:p>
        </w:tc>
        <w:tc>
          <w:tcPr>
            <w:tcW w:w="4243"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919E8F8">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M07：6正×6逆，无起皮、裂边、皱边</w:t>
            </w:r>
          </w:p>
        </w:tc>
        <w:tc>
          <w:tcPr>
            <w:tcW w:w="1081"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72C21123">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新增</w:t>
            </w:r>
          </w:p>
        </w:tc>
      </w:tr>
    </w:tbl>
    <w:p w14:paraId="075EFE8C">
      <w:pPr>
        <w:pStyle w:val="9"/>
        <w:keepNext w:val="0"/>
        <w:keepLines w:val="0"/>
        <w:pageBreakBefore w:val="0"/>
        <w:numPr>
          <w:ilvl w:val="0"/>
          <w:numId w:val="5"/>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试验验证分析、综述报告、技术经济论证、预期达到的经济效益、社会效益和生态效益</w:t>
      </w:r>
    </w:p>
    <w:p w14:paraId="178BE281">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default" w:ascii="黑体" w:eastAsia="黑体" w:cs="Arial"/>
          <w:color w:val="auto"/>
          <w:sz w:val="21"/>
          <w:szCs w:val="21"/>
          <w:lang w:val="en-US" w:eastAsia="zh-CN"/>
        </w:rPr>
      </w:pPr>
      <w:r>
        <w:rPr>
          <w:rFonts w:hint="eastAsia" w:ascii="黑体" w:eastAsia="黑体" w:cs="Arial"/>
          <w:color w:val="auto"/>
          <w:sz w:val="21"/>
          <w:szCs w:val="21"/>
          <w:lang w:val="en-US" w:eastAsia="zh-CN"/>
        </w:rPr>
        <w:t>1、试验验证分析和综述报告</w:t>
      </w:r>
    </w:p>
    <w:p w14:paraId="522A9624">
      <w:pPr>
        <w:pStyle w:val="3"/>
        <w:numPr>
          <w:ilvl w:val="0"/>
          <w:numId w:val="6"/>
        </w:numPr>
        <w:rPr>
          <w:rFonts w:hint="eastAsia"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项目的必要性阐述</w:t>
      </w:r>
    </w:p>
    <w:p w14:paraId="190C672B">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 xml:space="preserve"> 对接绿色发展与双碳目标： 标准修订可增加对材料寿命、回收利用友好性等方面的考量，通过提升产品耐久性来减少资源消耗与废弃物产生，符合国家绿色制造和可持续发展的战略方向。满足经济社会和产业发展的迫切需求</w:t>
      </w:r>
    </w:p>
    <w:p w14:paraId="1819F41F">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（1）市场规模持续增长： 随着全球经济的复苏和工业化进程的加速，电机、电动工具、自动化设备等领域的市场需求持续增长。2023年全球换向器市场规模已达到137.4亿元，预计2025年将增长至146.1亿元。作为换向器的核心原材料，现行标准已实施超过六年，其技术指标难以充分满足当前高端市场对产品一致性、可靠性和寿命的更高要求。</w:t>
      </w:r>
    </w:p>
    <w:p w14:paraId="2354B387">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（2）新能源汽车产业的强劲驱动： 新能源汽车是换向器应用的核心增长极。其在启动电机、ABS电机、EPS电机、各类泵机等数十个关键部位中不可或缺。《关于支持新能源汽车贸易合作健康发展单位的意见》明确提出要构建“共建共享的产业链供应链体系”。修订标准，提升材料性能（如抗软化温度、导电率、强度），是直接响应国家号召，支撑新能源汽车产业链自主可控、高质量发展的重要基础。</w:t>
      </w:r>
    </w:p>
    <w:p w14:paraId="1AD299EF">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（3）应对技术迭代与市场竞争： 无刷电机的挑战迫使有刷电机及换向器必须向高性能、长寿命方向发展。现行标准中的成分、力学性能等指标已显得保守，无法充分发挥银无氧铜材料的潜力。通过修订标准，引导材料升级，是帮助国内企业在全球市场中保持并提升竞争力的关键。</w:t>
      </w:r>
    </w:p>
    <w:p w14:paraId="33419AC2">
      <w:pPr>
        <w:pStyle w:val="3"/>
        <w:numPr>
          <w:ilvl w:val="0"/>
          <w:numId w:val="6"/>
        </w:numPr>
        <w:rPr>
          <w:rFonts w:hint="default"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项目的可行性阐述</w:t>
      </w:r>
    </w:p>
    <w:p w14:paraId="7132C036">
      <w:pPr>
        <w:pStyle w:val="3"/>
        <w:numPr>
          <w:ilvl w:val="0"/>
          <w:numId w:val="7"/>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产业发展情况</w:t>
      </w:r>
    </w:p>
    <w:p w14:paraId="68E05601">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产业链条完整，市场需求明确：中国是全球最大的铜材加工国和消费国，已形成从铜冶炼、合金化到精深加工的完整产业链。换向器作为电机核心部件，其上游材料——银无氧铜线坯的产业基础雄厚。随着新能源汽车、智能家居、高端电动工具等产业的飞速发展，对高性能、高一致性换向器的需求持续增长，为本次标准修订提供了明确的市场导向和广阔的产业承接空间。</w:t>
      </w:r>
    </w:p>
    <w:p w14:paraId="16564575">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2）产业升级内在驱动：当前，国内换向器及材料产业正处于从“量”到“质”的转型升级关键期。下游行业对电机的效率、功率密度和可靠性要求不断提升，倒逼上游材料标准升级。修订更严格、更先进的国家标准，正是响应产业内生需求，引导行业摆脱同质化低价竞争，走向高质量发展的重要举措。</w:t>
      </w:r>
    </w:p>
    <w:p w14:paraId="1E841749">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2、 有关技术的成熟度和经济性分析</w:t>
      </w:r>
    </w:p>
    <w:p w14:paraId="3F90A571">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2.1技术成熟度</w:t>
      </w:r>
    </w:p>
    <w:p w14:paraId="3832D0D6">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核心工艺成熟可靠：技术指标提升，如更严格的氧含量控制（≤0.0005%）、新增的晶粒度、维氏硬度和扭转性能要求，并非脱离实际的技术突破。国内领先企业通过真空熔炼、上引连铸、精密轧制等成熟工艺，并结合过程精密控制，已能稳定生产达到或接近要求的产品。检测方法均有据可依，各项性能指标的检测方法（如维氏硬度、晶粒度、扭转试验）均引用了现行有效的国家标准（GB/T）或行业标准（YS/T），检测技术成熟，实验室复现性强，为标准的有效实施提供了坚实的技术保障。</w:t>
      </w:r>
    </w:p>
    <w:p w14:paraId="54A617AA">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2.2经济性分析</w:t>
      </w:r>
    </w:p>
    <w:p w14:paraId="6B9ECF7A">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（1）增量成本：实施新标准可能会带来一定的成本增加，主要来源于：① 使用更高纯度的阴极铜原料；② 为达到更低的氧含量和更稳定的性能，需要更精细的工艺控制和更严格的在线监测，可能导致能耗和品控成本微升；③ 新增的检验项目会增加部分测试成本。</w:t>
      </w:r>
    </w:p>
    <w:p w14:paraId="259E1B27">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（2）综合成本效益与价值创造：</w:t>
      </w:r>
    </w:p>
    <w:p w14:paraId="02133C8C">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a）产品附加值提升：高性能材料可以支撑更高的产品定价，帮助企业进入特斯拉、比亚迪、博世等高端客户的供应链，获取溢价，抵消成本增加。</w:t>
      </w:r>
    </w:p>
    <w:p w14:paraId="4E09D8E3">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b）生产效率与良率提升：标准对尺寸精度、圆度、表面质量的加严，有助于提升下游客户在高速冲压、自动化装配等环节的生产效率和产品良率，为整个产业链降本增效，其创造的综合价值远高于材料本身的成本增加。</w:t>
      </w:r>
    </w:p>
    <w:p w14:paraId="4A1BDD7D">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c）全生命周期成本优化：对于终端用户（如新能源汽车厂），使用高性能换向器带来的电机效率提升和故障率降低，能够显著减少售后维修成本和品牌信誉损失，具有极佳的全生命周期经济性。</w:t>
      </w:r>
    </w:p>
    <w:p w14:paraId="3D972942">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结论：虽然新标准的实施会带来一定的成本压力，但通过技术和管理优化可以消化大部分影响。从产业链整体和长期效益来看，其带来的质量提升、效率提高和品牌增值效益远大于成本的增量，经济上完全可行。</w:t>
      </w:r>
    </w:p>
    <w:p w14:paraId="745C401D">
      <w:pPr>
        <w:pStyle w:val="3"/>
        <w:numPr>
          <w:ilvl w:val="0"/>
          <w:numId w:val="6"/>
        </w:numPr>
        <w:ind w:left="0" w:leftChars="0" w:firstLine="0" w:firstLineChars="0"/>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试验验证分析</w:t>
      </w:r>
    </w:p>
    <w:p w14:paraId="1A024C20">
      <w:pPr>
        <w:pStyle w:val="3"/>
        <w:numPr>
          <w:ilvl w:val="0"/>
          <w:numId w:val="0"/>
        </w:numPr>
        <w:ind w:leftChars="0"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针对主要内容的确定，具体说明试验结果对技术指标或实验方法的支撑情况，分析报告和综述性报告宜作为附件。产品标准各指标的确定至少有来自不同单位的一百组数据进行分析。</w:t>
      </w:r>
    </w:p>
    <w:p w14:paraId="7A8585F2">
      <w:pPr>
        <w:pStyle w:val="3"/>
        <w:numPr>
          <w:ilvl w:val="0"/>
          <w:numId w:val="6"/>
        </w:numPr>
        <w:ind w:left="0" w:leftChars="0" w:firstLine="0" w:firstLineChars="0"/>
        <w:rPr>
          <w:rFonts w:hint="eastAsia"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标准的先进性、创新性、标准实施后预期产生的经济效益和社会效益</w:t>
      </w:r>
    </w:p>
    <w:p w14:paraId="1514DCBD">
      <w:pPr>
        <w:pStyle w:val="3"/>
        <w:numPr>
          <w:ilvl w:val="0"/>
          <w:numId w:val="0"/>
        </w:numPr>
        <w:ind w:firstLine="422" w:firstLineChars="200"/>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4.1先进性、创新性</w:t>
      </w:r>
    </w:p>
    <w:p w14:paraId="2FA3C226">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本次标准修订将直径适用范围从8 mm-20 mm扩大至8 mm-30 mm，牌号从2个增加至4个，并新增了圆度、维氏硬度、晶粒度、扭转试验等多项关键技术要求，构建了从化学成分、几何尺寸、力学性能到显微组织、内部质量的多维度质量控制体系，技术水平达到国内领先。标准的实施将有力支撑《有色金属行业稳增长工作方案》《“十四五”原材料工业发展规划》等国家产业政策的落地，通过提升换向器基础材料的技术指标门槛，引导行业淘汰落后产能，推动银无氧铜线坯产品在尺寸精度、力学性能、导电率等核心指标上达到国际先进水平，满足新能源汽车驱动电机、高端电动工具等高端制造业对高性能基础原材料的迫切需求，在高性能换向器领域逐步实现对进口材料的替代；同时，标准将扩大高附加值铜材的国内市场空间，有效消化有色金属过剩产能，并通过统一技术要求和验收规则规范市场秩序，促进换向器及电机产业链的协同升级和健康发展，为我国从制造大国迈向制造强国在基础材料领域提供坚实的技术支撑。</w:t>
      </w:r>
    </w:p>
    <w:p w14:paraId="50AF659D">
      <w:pPr>
        <w:pStyle w:val="3"/>
        <w:numPr>
          <w:ilvl w:val="0"/>
          <w:numId w:val="0"/>
        </w:numPr>
        <w:ind w:firstLine="422" w:firstLineChars="200"/>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4.2经济效益</w:t>
      </w:r>
    </w:p>
    <w:p w14:paraId="6382ECCD">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提升后的标准将直接促使换向器产品在新能源汽车等苛刻工况下具有更长的使用寿命和更高的可靠性，降低整车故障率和售后成本。同时，高性能材料有助于国内企业打破国外技术壁垒，进军全球高端供应链，创造显著的经济价值。</w:t>
      </w:r>
    </w:p>
    <w:p w14:paraId="3C8228E5">
      <w:pPr>
        <w:pStyle w:val="3"/>
        <w:numPr>
          <w:ilvl w:val="0"/>
          <w:numId w:val="0"/>
        </w:numPr>
        <w:ind w:firstLine="422" w:firstLineChars="200"/>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4.3社会效益</w:t>
      </w:r>
    </w:p>
    <w:p w14:paraId="5A75A6EE">
      <w:pPr>
        <w:pStyle w:val="3"/>
        <w:numPr>
          <w:ilvl w:val="0"/>
          <w:numId w:val="0"/>
        </w:numPr>
        <w:ind w:firstLine="420" w:firstLineChars="200"/>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标准的修订将统一并提升行业技术门槛，淘汰落后产能，促进产业链整体技术升级，为我国从“制造大国”向“制造强国”转型提供微观层面的标准支撑。</w:t>
      </w:r>
    </w:p>
    <w:p w14:paraId="14F14ECF">
      <w:pPr>
        <w:pStyle w:val="3"/>
        <w:numPr>
          <w:ilvl w:val="0"/>
          <w:numId w:val="0"/>
        </w:numPr>
        <w:ind w:firstLine="422" w:firstLineChars="200"/>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4.4 生态效益</w:t>
      </w:r>
    </w:p>
    <w:p w14:paraId="26A48607">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通过优化合金成分设计，可以减少对稀有或有害元素的依赖。同时，鼓励长寿命、高可靠产品，本质上就是从源头减少资源浪费和电子垃圾，符合生态环保要求。</w:t>
      </w:r>
    </w:p>
    <w:p w14:paraId="73918671">
      <w:pPr>
        <w:pStyle w:val="3"/>
        <w:numPr>
          <w:ilvl w:val="0"/>
          <w:numId w:val="0"/>
        </w:numPr>
        <w:rPr>
          <w:rFonts w:hint="default" w:ascii="黑体" w:hAnsi="宋体" w:eastAsia="黑体" w:cs="宋体"/>
          <w:bCs/>
          <w:color w:val="auto"/>
          <w:sz w:val="21"/>
          <w:szCs w:val="21"/>
          <w:lang w:val="en-US"/>
        </w:rPr>
      </w:pPr>
      <w:r>
        <w:rPr>
          <w:rFonts w:hint="eastAsia" w:ascii="黑体" w:hAnsi="宋体" w:eastAsia="黑体" w:cs="宋体"/>
          <w:bCs/>
          <w:color w:val="auto"/>
          <w:sz w:val="21"/>
          <w:szCs w:val="21"/>
          <w:lang w:val="en-US" w:eastAsia="zh-CN"/>
        </w:rPr>
        <w:t>四、与国际标准和国外先进标准技术内容的对比</w:t>
      </w:r>
    </w:p>
    <w:p w14:paraId="031A850F">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相关国内标准包括YS/T 1350-2020“电机换向器用银无氧铜异形坯料”，扩展到非圆形型材 (例如梯形)。与拟议标准的关系是层级性的：GB/T 33882-20XX基于2017年的框架，解决精度差距 (例如硬态直径偏差±0.03 mm) 以支持先进EV电机，而YS/T 1350-2020作为异形变体的补充，确保换向器制造中的无缝集成。GB/T 5231-2022“加工铜及铜合金牌号和化学成分”提供基础合金牌号如T10510 (TU Ag0.05)，在修订中参考用于可选扩展。JB/T 8987-1999 《换向器用银铜合金线材 技术条件》：这是一项机械行业标准，定义了如TUY03等牌号。本文件（草案）作为国家标准，在技术指标上（如含氧量、尺寸精度）更为先进，旨在整合并提升行业内的技术门槛，取代部分老旧行业标准的技术引领作用。拟制定的修订标准与国内现有标准体系协调一致，是对现有国家标准的技术迭代，对基础标准的应用延伸，并对行业及企业先进技术的总结与升华。</w:t>
      </w:r>
    </w:p>
    <w:p w14:paraId="6B25A153">
      <w:pPr>
        <w:pStyle w:val="3"/>
        <w:numPr>
          <w:ilvl w:val="0"/>
          <w:numId w:val="0"/>
        </w:numPr>
        <w:ind w:firstLine="420" w:firstLineChars="200"/>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相关国际标准包括ISO/TC 26（铜与铜合金）：ISO体系中有如ISO 431:1981《电阻用铜线》 等基础标准，但未发现专门针对“换向器用银无氧铜线坯”的产品标准。国际上的技术要求多融合在电机、电器产品的整体规范中，或由材料供应商与下游制造商通过技术协议约定。欧盟标准（EN）：有诸如EN 13600:2013《铜与铜合金——用于电子器件的无氧铜》 等标准。该标准规定了Cu-OFE等牌号，对导电率（可达101% IACS）和氧含量有严格要求。虽然未特指“换向器用”，但其对高导电无氧铜的技术要求为本文件草案提供了重要的国际对标参考。</w:t>
      </w:r>
    </w:p>
    <w:p w14:paraId="10CA4146">
      <w:pPr>
        <w:keepNext w:val="0"/>
        <w:keepLines w:val="0"/>
        <w:pageBreakBefore w:val="0"/>
        <w:numPr>
          <w:ilvl w:val="0"/>
          <w:numId w:val="8"/>
        </w:numPr>
        <w:kinsoku/>
        <w:wordWrap/>
        <w:overflowPunct/>
        <w:topLinePunct w:val="0"/>
        <w:bidi w:val="0"/>
        <w:snapToGrid/>
        <w:spacing w:beforeLines="50" w:afterLines="50" w:line="440" w:lineRule="exact"/>
        <w:textAlignment w:val="auto"/>
      </w:pPr>
      <w:r>
        <w:rPr>
          <w:rFonts w:hint="eastAsia" w:ascii="黑体" w:hAnsi="宋体" w:eastAsia="黑体" w:cs="宋体"/>
          <w:bCs/>
          <w:color w:val="auto"/>
          <w:sz w:val="21"/>
          <w:szCs w:val="21"/>
          <w:lang w:val="en-US" w:eastAsia="zh-CN"/>
        </w:rPr>
        <w:t>以国际标准为基础的起草情况以及是否合规采用国际国外标准、未采用国际标准的原因</w:t>
      </w:r>
    </w:p>
    <w:p w14:paraId="3C0D027B">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标准颁布后应用于中国国内。</w:t>
      </w:r>
    </w:p>
    <w:p w14:paraId="5EDE5AA9">
      <w:pPr>
        <w:keepNext w:val="0"/>
        <w:keepLines w:val="0"/>
        <w:pageBreakBefore w:val="0"/>
        <w:numPr>
          <w:ilvl w:val="0"/>
          <w:numId w:val="8"/>
        </w:numPr>
        <w:kinsoku/>
        <w:wordWrap/>
        <w:overflowPunct/>
        <w:topLinePunct w:val="0"/>
        <w:bidi w:val="0"/>
        <w:snapToGrid/>
        <w:spacing w:beforeLines="50" w:afterLines="50" w:line="440" w:lineRule="exact"/>
        <w:textAlignment w:val="auto"/>
        <w:rPr>
          <w:rFonts w:ascii="黑体" w:hAnsi="宋体" w:eastAsia="黑体" w:cs="宋体"/>
          <w:bCs/>
          <w:color w:val="auto"/>
          <w:sz w:val="21"/>
          <w:szCs w:val="21"/>
        </w:rPr>
      </w:pPr>
      <w:r>
        <w:rPr>
          <w:rFonts w:hint="eastAsia" w:ascii="黑体" w:hAnsi="宋体" w:eastAsia="黑体" w:cs="宋体"/>
          <w:bCs/>
          <w:color w:val="auto"/>
          <w:sz w:val="21"/>
          <w:szCs w:val="21"/>
        </w:rPr>
        <w:t>与</w:t>
      </w:r>
      <w:r>
        <w:rPr>
          <w:rFonts w:hint="eastAsia" w:ascii="黑体" w:hAnsi="宋体" w:eastAsia="黑体" w:cs="宋体"/>
          <w:bCs/>
          <w:color w:val="auto"/>
          <w:sz w:val="21"/>
          <w:szCs w:val="21"/>
          <w:lang w:val="en-US" w:eastAsia="zh-CN"/>
        </w:rPr>
        <w:t>有关</w:t>
      </w:r>
      <w:r>
        <w:rPr>
          <w:rFonts w:hint="eastAsia" w:ascii="黑体" w:hAnsi="宋体" w:eastAsia="黑体" w:cs="宋体"/>
          <w:bCs/>
          <w:color w:val="auto"/>
          <w:sz w:val="21"/>
          <w:szCs w:val="21"/>
        </w:rPr>
        <w:t>法律、</w:t>
      </w:r>
      <w:r>
        <w:rPr>
          <w:rFonts w:hint="eastAsia" w:ascii="黑体" w:hAnsi="宋体" w:eastAsia="黑体" w:cs="宋体"/>
          <w:bCs/>
          <w:color w:val="auto"/>
          <w:sz w:val="21"/>
          <w:szCs w:val="21"/>
          <w:lang w:val="en-US" w:eastAsia="zh-CN"/>
        </w:rPr>
        <w:t>行政</w:t>
      </w:r>
      <w:r>
        <w:rPr>
          <w:rFonts w:hint="eastAsia" w:ascii="黑体" w:hAnsi="宋体" w:eastAsia="黑体" w:cs="宋体"/>
          <w:bCs/>
          <w:color w:val="auto"/>
          <w:sz w:val="21"/>
          <w:szCs w:val="21"/>
        </w:rPr>
        <w:t>法规及相关标准</w:t>
      </w:r>
      <w:r>
        <w:rPr>
          <w:rFonts w:hint="eastAsia" w:ascii="黑体" w:hAnsi="宋体" w:eastAsia="黑体" w:cs="宋体"/>
          <w:bCs/>
          <w:color w:val="auto"/>
          <w:sz w:val="21"/>
          <w:szCs w:val="21"/>
          <w:lang w:val="en-US" w:eastAsia="zh-CN"/>
        </w:rPr>
        <w:t>的关系</w:t>
      </w:r>
    </w:p>
    <w:p w14:paraId="5DDE9058">
      <w:pPr>
        <w:pStyle w:val="2"/>
        <w:keepNext w:val="0"/>
        <w:keepLines w:val="0"/>
        <w:pageBreakBefore w:val="0"/>
        <w:kinsoku/>
        <w:wordWrap/>
        <w:overflowPunct/>
        <w:topLinePunct w:val="0"/>
        <w:bidi w:val="0"/>
        <w:snapToGrid/>
        <w:spacing w:line="440" w:lineRule="exact"/>
        <w:ind w:firstLine="420" w:firstLineChars="200"/>
        <w:textAlignment w:val="auto"/>
        <w:rPr>
          <w:rFonts w:hint="eastAsia" w:eastAsia="宋体"/>
          <w:color w:val="auto"/>
          <w:sz w:val="21"/>
          <w:szCs w:val="21"/>
          <w:lang w:eastAsia="zh-CN"/>
        </w:rPr>
      </w:pPr>
      <w:r>
        <w:rPr>
          <w:rFonts w:hint="eastAsia"/>
          <w:color w:val="auto"/>
          <w:sz w:val="21"/>
          <w:szCs w:val="21"/>
          <w:lang w:eastAsia="zh-CN"/>
        </w:rPr>
        <w:t>【</w:t>
      </w:r>
      <w:r>
        <w:rPr>
          <w:rFonts w:hint="eastAsia"/>
          <w:color w:val="auto"/>
          <w:sz w:val="21"/>
          <w:szCs w:val="21"/>
          <w:lang w:val="en-US" w:eastAsia="zh-CN"/>
        </w:rPr>
        <w:t>与现行标准的配套情况</w:t>
      </w:r>
      <w:r>
        <w:rPr>
          <w:rFonts w:hint="eastAsia"/>
          <w:color w:val="auto"/>
          <w:sz w:val="21"/>
          <w:szCs w:val="21"/>
          <w:lang w:eastAsia="zh-CN"/>
        </w:rPr>
        <w:t>】</w:t>
      </w:r>
    </w:p>
    <w:p w14:paraId="6E528D9E">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本标准符合现行法律、法规的要求，并与其他同类国家标准、行业标准无冲突、重叠和不协调之处。</w:t>
      </w:r>
    </w:p>
    <w:p w14:paraId="323C04FC">
      <w:pPr>
        <w:tabs>
          <w:tab w:val="left" w:pos="0"/>
        </w:tabs>
        <w:spacing w:before="156" w:beforeLines="50" w:after="156" w:afterLines="50" w:line="360" w:lineRule="exact"/>
        <w:rPr>
          <w:rFonts w:ascii="黑体" w:hAnsi="黑体" w:eastAsia="黑体" w:cs="黑体"/>
        </w:rPr>
      </w:pPr>
      <w:r>
        <w:rPr>
          <w:rFonts w:hint="eastAsia" w:ascii="黑体" w:hAnsi="黑体" w:eastAsia="黑体" w:cs="黑体"/>
        </w:rPr>
        <w:t>七、与现行相关法律、法规、规章及相关标准，特别是强制性标准的协调性情况</w:t>
      </w:r>
    </w:p>
    <w:p w14:paraId="511A5358">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本标准的制定过程 、技术指标的选定、检验项目的设置符合现行法律、法规和强制性国家标准的规定，与其他同类国家标准、行业标准无冲突、重叠和不协调之处。</w:t>
      </w:r>
    </w:p>
    <w:p w14:paraId="287D6A00">
      <w:pPr>
        <w:tabs>
          <w:tab w:val="left" w:pos="0"/>
        </w:tabs>
        <w:spacing w:before="156" w:beforeLines="50" w:after="156" w:afterLines="50" w:line="360" w:lineRule="exact"/>
        <w:rPr>
          <w:rFonts w:ascii="黑体" w:hAnsi="黑体" w:eastAsia="黑体" w:cs="黑体"/>
        </w:rPr>
      </w:pPr>
      <w:r>
        <w:rPr>
          <w:rFonts w:hint="eastAsia" w:ascii="黑体" w:hAnsi="黑体" w:eastAsia="黑体" w:cs="黑体"/>
        </w:rPr>
        <w:t>八、重大分歧意见的处理经过和依据</w:t>
      </w:r>
    </w:p>
    <w:p w14:paraId="25A1BFB8">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无。</w:t>
      </w:r>
    </w:p>
    <w:p w14:paraId="2B04C704">
      <w:pPr>
        <w:tabs>
          <w:tab w:val="left" w:pos="0"/>
        </w:tabs>
        <w:spacing w:before="156" w:beforeLines="50" w:after="156" w:afterLines="50" w:line="360" w:lineRule="exact"/>
        <w:rPr>
          <w:rFonts w:ascii="黑体" w:hAnsi="黑体" w:eastAsia="黑体" w:cs="黑体"/>
        </w:rPr>
      </w:pPr>
      <w:r>
        <w:rPr>
          <w:rFonts w:hint="eastAsia" w:ascii="黑体" w:hAnsi="黑体" w:eastAsia="黑体" w:cs="黑体"/>
        </w:rPr>
        <w:t>九、作为强制性或推荐性国家标准的建议</w:t>
      </w:r>
    </w:p>
    <w:p w14:paraId="55F63C6D">
      <w:pPr>
        <w:pStyle w:val="3"/>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本标准建议不作为强制性标准，建议作为推荐性标准。</w:t>
      </w:r>
    </w:p>
    <w:p w14:paraId="3D3594FB">
      <w:pPr>
        <w:tabs>
          <w:tab w:val="left" w:pos="0"/>
        </w:tabs>
        <w:spacing w:before="156" w:beforeLines="50" w:after="156" w:afterLines="50" w:line="360" w:lineRule="exact"/>
        <w:rPr>
          <w:rFonts w:ascii="黑体" w:hAnsi="黑体" w:eastAsia="黑体" w:cs="黑体"/>
        </w:rPr>
      </w:pPr>
      <w:r>
        <w:rPr>
          <w:rFonts w:hint="eastAsia" w:ascii="黑体" w:hAnsi="黑体" w:eastAsia="黑体" w:cs="黑体"/>
        </w:rPr>
        <w:t>十、贯彻标准的要求和措施建议</w:t>
      </w:r>
    </w:p>
    <w:p w14:paraId="64A4E56A">
      <w:pPr>
        <w:pStyle w:val="3"/>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本标准是以换向器用银无氧铜线坯实际生产现状为基础，结合国内、外订货合同要求，标准覆盖了的技术要求，建议相关单位组织专项标准宣贯会进行系统学习。本标准发布后，各相关企业应及时进行宣贯，并采用新标准进行生产和销售，以保证产品质量，满足国内外市场及用户的需求。</w:t>
      </w:r>
    </w:p>
    <w:p w14:paraId="1306ABA2">
      <w:pPr>
        <w:tabs>
          <w:tab w:val="left" w:pos="0"/>
        </w:tabs>
        <w:spacing w:before="156" w:beforeLines="50" w:after="156" w:afterLines="50" w:line="360" w:lineRule="exact"/>
        <w:rPr>
          <w:rFonts w:ascii="黑体" w:hAnsi="黑体" w:eastAsia="黑体" w:cs="黑体"/>
        </w:rPr>
      </w:pPr>
      <w:r>
        <w:rPr>
          <w:rFonts w:hint="eastAsia" w:ascii="黑体" w:hAnsi="黑体" w:eastAsia="黑体" w:cs="黑体"/>
        </w:rPr>
        <w:t>十一、废止现行有关标准的建议</w:t>
      </w:r>
    </w:p>
    <w:p w14:paraId="5D4E1CA6">
      <w:pPr>
        <w:pStyle w:val="3"/>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本标准发布实施之日起，代替GB/T33882-2017《换向器用银无氧铜线坯》。</w:t>
      </w:r>
    </w:p>
    <w:p w14:paraId="21157AC2">
      <w:pPr>
        <w:tabs>
          <w:tab w:val="left" w:pos="0"/>
        </w:tabs>
        <w:spacing w:before="156" w:beforeLines="50" w:after="156" w:afterLines="50" w:line="360" w:lineRule="exact"/>
        <w:rPr>
          <w:rFonts w:ascii="黑体" w:hAnsi="黑体" w:eastAsia="黑体" w:cs="黑体"/>
        </w:rPr>
      </w:pPr>
      <w:r>
        <w:rPr>
          <w:rFonts w:hint="eastAsia" w:ascii="黑体" w:hAnsi="黑体" w:eastAsia="黑体" w:cs="黑体"/>
        </w:rPr>
        <w:t>十二、其他主要内容的解释和其他需要说明的事项</w:t>
      </w:r>
    </w:p>
    <w:p w14:paraId="42178AB5">
      <w:pPr>
        <w:pStyle w:val="3"/>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无。</w:t>
      </w:r>
    </w:p>
    <w:p w14:paraId="55607B84">
      <w:pPr>
        <w:keepNext w:val="0"/>
        <w:keepLines w:val="0"/>
        <w:pageBreakBefore w:val="0"/>
        <w:kinsoku/>
        <w:wordWrap/>
        <w:overflowPunct/>
        <w:topLinePunct w:val="0"/>
        <w:bidi w:val="0"/>
        <w:snapToGrid/>
        <w:spacing w:line="440" w:lineRule="exact"/>
        <w:jc w:val="right"/>
        <w:textAlignment w:val="auto"/>
        <w:rPr>
          <w:rFonts w:ascii="宋体" w:hAnsi="宋体" w:eastAsia="宋体"/>
          <w:color w:val="auto"/>
          <w:sz w:val="21"/>
          <w:szCs w:val="21"/>
        </w:rPr>
      </w:pPr>
      <w:r>
        <w:rPr>
          <w:rFonts w:hint="eastAsia"/>
          <w:color w:val="auto"/>
          <w:sz w:val="21"/>
          <w:szCs w:val="21"/>
        </w:rPr>
        <w:t xml:space="preserve">                             </w:t>
      </w:r>
      <w:r>
        <w:rPr>
          <w:rFonts w:hint="eastAsia"/>
          <w:color w:val="auto"/>
          <w:sz w:val="21"/>
          <w:szCs w:val="21"/>
          <w:lang w:val="en-US" w:eastAsia="zh-CN"/>
        </w:rPr>
        <w:t>标准编制组</w:t>
      </w:r>
    </w:p>
    <w:p w14:paraId="5EDE8193">
      <w:pPr>
        <w:keepNext w:val="0"/>
        <w:keepLines w:val="0"/>
        <w:pageBreakBefore w:val="0"/>
        <w:kinsoku/>
        <w:wordWrap/>
        <w:overflowPunct/>
        <w:topLinePunct w:val="0"/>
        <w:bidi w:val="0"/>
        <w:snapToGrid/>
        <w:spacing w:beforeLines="100" w:line="440" w:lineRule="exact"/>
        <w:jc w:val="right"/>
        <w:textAlignment w:val="auto"/>
        <w:rPr>
          <w:rFonts w:hint="default" w:ascii="宋体" w:hAnsi="宋体" w:eastAsia="宋体"/>
          <w:color w:val="auto"/>
          <w:sz w:val="21"/>
          <w:szCs w:val="21"/>
          <w:lang w:val="en-US" w:eastAsia="zh-CN"/>
        </w:rPr>
      </w:pPr>
      <w:r>
        <w:rPr>
          <w:rFonts w:hint="eastAsia" w:ascii="宋体" w:hAnsi="宋体" w:eastAsia="宋体"/>
          <w:color w:val="auto"/>
          <w:sz w:val="21"/>
          <w:szCs w:val="21"/>
        </w:rPr>
        <w:t xml:space="preserve">                             20</w:t>
      </w:r>
      <w:r>
        <w:rPr>
          <w:rFonts w:hint="eastAsia" w:ascii="宋体" w:hAnsi="宋体" w:eastAsia="宋体"/>
          <w:color w:val="auto"/>
          <w:sz w:val="21"/>
          <w:szCs w:val="21"/>
          <w:lang w:val="en-US" w:eastAsia="zh-CN"/>
        </w:rPr>
        <w:t>26</w:t>
      </w:r>
      <w:r>
        <w:rPr>
          <w:rFonts w:hint="eastAsia" w:ascii="宋体" w:hAnsi="宋体" w:eastAsia="宋体"/>
          <w:color w:val="auto"/>
          <w:sz w:val="21"/>
          <w:szCs w:val="21"/>
        </w:rPr>
        <w:t>年</w:t>
      </w:r>
      <w:r>
        <w:rPr>
          <w:rFonts w:hint="eastAsia" w:ascii="宋体" w:hAnsi="宋体" w:eastAsia="宋体"/>
          <w:color w:val="auto"/>
          <w:sz w:val="21"/>
          <w:szCs w:val="21"/>
          <w:lang w:val="en-US" w:eastAsia="zh-CN"/>
        </w:rPr>
        <w:t>5</w:t>
      </w:r>
      <w:r>
        <w:rPr>
          <w:rFonts w:hint="eastAsia" w:ascii="宋体" w:hAnsi="宋体" w:eastAsia="宋体"/>
          <w:color w:val="auto"/>
          <w:sz w:val="21"/>
          <w:szCs w:val="21"/>
        </w:rPr>
        <w:t>月</w:t>
      </w:r>
    </w:p>
    <w:sectPr>
      <w:pgSz w:w="11906" w:h="16838"/>
      <w:pgMar w:top="1440" w:right="1780" w:bottom="1440" w:left="17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汉仪大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0F0CE8"/>
    <w:multiLevelType w:val="singleLevel"/>
    <w:tmpl w:val="B40F0CE8"/>
    <w:lvl w:ilvl="0" w:tentative="0">
      <w:start w:val="1"/>
      <w:numFmt w:val="decimal"/>
      <w:lvlText w:val="%1."/>
      <w:lvlJc w:val="left"/>
      <w:pPr>
        <w:tabs>
          <w:tab w:val="left" w:pos="312"/>
        </w:tabs>
      </w:pPr>
    </w:lvl>
  </w:abstractNum>
  <w:abstractNum w:abstractNumId="1">
    <w:nsid w:val="DA9F0784"/>
    <w:multiLevelType w:val="singleLevel"/>
    <w:tmpl w:val="DA9F0784"/>
    <w:lvl w:ilvl="0" w:tentative="0">
      <w:start w:val="5"/>
      <w:numFmt w:val="chineseCounting"/>
      <w:suff w:val="nothing"/>
      <w:lvlText w:val="%1、"/>
      <w:lvlJc w:val="left"/>
      <w:rPr>
        <w:rFonts w:hint="eastAsia"/>
      </w:rPr>
    </w:lvl>
  </w:abstractNum>
  <w:abstractNum w:abstractNumId="2">
    <w:nsid w:val="DABAC7B0"/>
    <w:multiLevelType w:val="singleLevel"/>
    <w:tmpl w:val="DABAC7B0"/>
    <w:lvl w:ilvl="0" w:tentative="0">
      <w:start w:val="1"/>
      <w:numFmt w:val="decimal"/>
      <w:suff w:val="nothing"/>
      <w:lvlText w:val="（%1）"/>
      <w:lvlJc w:val="left"/>
    </w:lvl>
  </w:abstractNum>
  <w:abstractNum w:abstractNumId="3">
    <w:nsid w:val="F0A33305"/>
    <w:multiLevelType w:val="singleLevel"/>
    <w:tmpl w:val="F0A33305"/>
    <w:lvl w:ilvl="0" w:tentative="0">
      <w:start w:val="1"/>
      <w:numFmt w:val="decimal"/>
      <w:suff w:val="nothing"/>
      <w:lvlText w:val="（%1）"/>
      <w:lvlJc w:val="left"/>
    </w:lvl>
  </w:abstractNum>
  <w:abstractNum w:abstractNumId="4">
    <w:nsid w:val="F116BB8D"/>
    <w:multiLevelType w:val="singleLevel"/>
    <w:tmpl w:val="F116BB8D"/>
    <w:lvl w:ilvl="0" w:tentative="0">
      <w:start w:val="1"/>
      <w:numFmt w:val="chineseCounting"/>
      <w:suff w:val="nothing"/>
      <w:lvlText w:val="（%1）"/>
      <w:lvlJc w:val="left"/>
      <w:rPr>
        <w:rFonts w:hint="eastAsia"/>
      </w:rPr>
    </w:lvl>
  </w:abstractNum>
  <w:abstractNum w:abstractNumId="5">
    <w:nsid w:val="3ADC06DB"/>
    <w:multiLevelType w:val="singleLevel"/>
    <w:tmpl w:val="3ADC06DB"/>
    <w:lvl w:ilvl="0" w:tentative="0">
      <w:start w:val="1"/>
      <w:numFmt w:val="chineseCounting"/>
      <w:suff w:val="nothing"/>
      <w:lvlText w:val="（%1）"/>
      <w:lvlJc w:val="left"/>
      <w:pPr>
        <w:ind w:left="0" w:firstLine="420"/>
      </w:pPr>
      <w:rPr>
        <w:rFonts w:hint="eastAsia"/>
      </w:rPr>
    </w:lvl>
  </w:abstractNum>
  <w:abstractNum w:abstractNumId="6">
    <w:nsid w:val="4916F4FC"/>
    <w:multiLevelType w:val="singleLevel"/>
    <w:tmpl w:val="4916F4FC"/>
    <w:lvl w:ilvl="0" w:tentative="0">
      <w:start w:val="3"/>
      <w:numFmt w:val="chineseCounting"/>
      <w:suff w:val="nothing"/>
      <w:lvlText w:val="%1、"/>
      <w:lvlJc w:val="left"/>
      <w:rPr>
        <w:rFonts w:hint="eastAsia"/>
      </w:rPr>
    </w:lvl>
  </w:abstractNum>
  <w:abstractNum w:abstractNumId="7">
    <w:nsid w:val="75657C17"/>
    <w:multiLevelType w:val="singleLevel"/>
    <w:tmpl w:val="75657C17"/>
    <w:lvl w:ilvl="0" w:tentative="0">
      <w:start w:val="3"/>
      <w:numFmt w:val="decimal"/>
      <w:suff w:val="nothing"/>
      <w:lvlText w:val="%1、"/>
      <w:lvlJc w:val="left"/>
    </w:lvl>
  </w:abstractNum>
  <w:num w:numId="1">
    <w:abstractNumId w:val="5"/>
  </w:num>
  <w:num w:numId="2">
    <w:abstractNumId w:val="3"/>
  </w:num>
  <w:num w:numId="3">
    <w:abstractNumId w:val="7"/>
  </w:num>
  <w:num w:numId="4">
    <w:abstractNumId w:val="2"/>
  </w:num>
  <w:num w:numId="5">
    <w:abstractNumId w:val="6"/>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xNGEzNDk1ZjY1ZDdlOWU3ZmFiZDlhOTM4NTZhMjEifQ=="/>
  </w:docVars>
  <w:rsids>
    <w:rsidRoot w:val="0049152D"/>
    <w:rsid w:val="00000899"/>
    <w:rsid w:val="00002C81"/>
    <w:rsid w:val="0000483E"/>
    <w:rsid w:val="0000533A"/>
    <w:rsid w:val="00006069"/>
    <w:rsid w:val="00007345"/>
    <w:rsid w:val="0000734E"/>
    <w:rsid w:val="000119A5"/>
    <w:rsid w:val="00011F52"/>
    <w:rsid w:val="0001287D"/>
    <w:rsid w:val="00013051"/>
    <w:rsid w:val="00013700"/>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958"/>
    <w:rsid w:val="00033C9E"/>
    <w:rsid w:val="00035A30"/>
    <w:rsid w:val="000362EA"/>
    <w:rsid w:val="0003648A"/>
    <w:rsid w:val="000370C9"/>
    <w:rsid w:val="000376FC"/>
    <w:rsid w:val="00041459"/>
    <w:rsid w:val="000425E5"/>
    <w:rsid w:val="00043943"/>
    <w:rsid w:val="00047256"/>
    <w:rsid w:val="00047897"/>
    <w:rsid w:val="00047C97"/>
    <w:rsid w:val="000538E0"/>
    <w:rsid w:val="00053978"/>
    <w:rsid w:val="000543AE"/>
    <w:rsid w:val="00056B2E"/>
    <w:rsid w:val="00057549"/>
    <w:rsid w:val="00060E9C"/>
    <w:rsid w:val="00061A95"/>
    <w:rsid w:val="00061BAC"/>
    <w:rsid w:val="00062BA9"/>
    <w:rsid w:val="000630E4"/>
    <w:rsid w:val="0006311A"/>
    <w:rsid w:val="000632D5"/>
    <w:rsid w:val="000634E4"/>
    <w:rsid w:val="00063E72"/>
    <w:rsid w:val="000647B0"/>
    <w:rsid w:val="000647D1"/>
    <w:rsid w:val="000648D5"/>
    <w:rsid w:val="00064F0E"/>
    <w:rsid w:val="0006509C"/>
    <w:rsid w:val="000661DC"/>
    <w:rsid w:val="0006634E"/>
    <w:rsid w:val="00067F99"/>
    <w:rsid w:val="0007025D"/>
    <w:rsid w:val="0007113B"/>
    <w:rsid w:val="00072938"/>
    <w:rsid w:val="00072B7E"/>
    <w:rsid w:val="00073823"/>
    <w:rsid w:val="000738A3"/>
    <w:rsid w:val="00073EA4"/>
    <w:rsid w:val="00074BD0"/>
    <w:rsid w:val="00075228"/>
    <w:rsid w:val="00076905"/>
    <w:rsid w:val="00083504"/>
    <w:rsid w:val="00083671"/>
    <w:rsid w:val="0008539E"/>
    <w:rsid w:val="0008748A"/>
    <w:rsid w:val="00087579"/>
    <w:rsid w:val="00090932"/>
    <w:rsid w:val="0009564E"/>
    <w:rsid w:val="000956AA"/>
    <w:rsid w:val="00095716"/>
    <w:rsid w:val="00095B00"/>
    <w:rsid w:val="000968E7"/>
    <w:rsid w:val="000A25DA"/>
    <w:rsid w:val="000A2674"/>
    <w:rsid w:val="000A46E3"/>
    <w:rsid w:val="000A68B0"/>
    <w:rsid w:val="000A68DC"/>
    <w:rsid w:val="000B0288"/>
    <w:rsid w:val="000B12AD"/>
    <w:rsid w:val="000B20BA"/>
    <w:rsid w:val="000C2E3D"/>
    <w:rsid w:val="000C4435"/>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98"/>
    <w:rsid w:val="000E7492"/>
    <w:rsid w:val="000E75F6"/>
    <w:rsid w:val="000F0726"/>
    <w:rsid w:val="000F21CD"/>
    <w:rsid w:val="000F2931"/>
    <w:rsid w:val="000F60BA"/>
    <w:rsid w:val="000F7EE8"/>
    <w:rsid w:val="0010164F"/>
    <w:rsid w:val="00103B79"/>
    <w:rsid w:val="00103F5A"/>
    <w:rsid w:val="001043C6"/>
    <w:rsid w:val="0011080B"/>
    <w:rsid w:val="00112E27"/>
    <w:rsid w:val="001133B5"/>
    <w:rsid w:val="0011342C"/>
    <w:rsid w:val="00115E89"/>
    <w:rsid w:val="001169BC"/>
    <w:rsid w:val="001172DB"/>
    <w:rsid w:val="0011791C"/>
    <w:rsid w:val="0011799D"/>
    <w:rsid w:val="00117A27"/>
    <w:rsid w:val="00120FE8"/>
    <w:rsid w:val="001215B6"/>
    <w:rsid w:val="00122E35"/>
    <w:rsid w:val="00123CA5"/>
    <w:rsid w:val="00125817"/>
    <w:rsid w:val="00125CAC"/>
    <w:rsid w:val="00126111"/>
    <w:rsid w:val="001268D7"/>
    <w:rsid w:val="00130CC9"/>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3F"/>
    <w:rsid w:val="00161FB3"/>
    <w:rsid w:val="00162FCD"/>
    <w:rsid w:val="00164041"/>
    <w:rsid w:val="00164320"/>
    <w:rsid w:val="0016453D"/>
    <w:rsid w:val="00165B11"/>
    <w:rsid w:val="00167FF7"/>
    <w:rsid w:val="001710BE"/>
    <w:rsid w:val="001728AD"/>
    <w:rsid w:val="00173330"/>
    <w:rsid w:val="00175F20"/>
    <w:rsid w:val="0017788A"/>
    <w:rsid w:val="00180F34"/>
    <w:rsid w:val="00181FDF"/>
    <w:rsid w:val="00183DBE"/>
    <w:rsid w:val="00183F8C"/>
    <w:rsid w:val="00184A11"/>
    <w:rsid w:val="00185294"/>
    <w:rsid w:val="00186327"/>
    <w:rsid w:val="001866BE"/>
    <w:rsid w:val="001868B2"/>
    <w:rsid w:val="0019074F"/>
    <w:rsid w:val="001909E7"/>
    <w:rsid w:val="0019306C"/>
    <w:rsid w:val="001936E4"/>
    <w:rsid w:val="001945B5"/>
    <w:rsid w:val="00194AB3"/>
    <w:rsid w:val="00195204"/>
    <w:rsid w:val="0019675D"/>
    <w:rsid w:val="00196900"/>
    <w:rsid w:val="00196D91"/>
    <w:rsid w:val="0019747E"/>
    <w:rsid w:val="001976D2"/>
    <w:rsid w:val="00197920"/>
    <w:rsid w:val="001A0EA6"/>
    <w:rsid w:val="001A2F17"/>
    <w:rsid w:val="001A577D"/>
    <w:rsid w:val="001B1F37"/>
    <w:rsid w:val="001B2EA2"/>
    <w:rsid w:val="001B548E"/>
    <w:rsid w:val="001B6C1B"/>
    <w:rsid w:val="001B7E54"/>
    <w:rsid w:val="001C010F"/>
    <w:rsid w:val="001C1800"/>
    <w:rsid w:val="001C1A61"/>
    <w:rsid w:val="001C1C7F"/>
    <w:rsid w:val="001C3BD9"/>
    <w:rsid w:val="001C3C44"/>
    <w:rsid w:val="001C5F5B"/>
    <w:rsid w:val="001C63FA"/>
    <w:rsid w:val="001C6400"/>
    <w:rsid w:val="001C64E2"/>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4570"/>
    <w:rsid w:val="001F64BD"/>
    <w:rsid w:val="001F7AA9"/>
    <w:rsid w:val="001F7D16"/>
    <w:rsid w:val="001F7D87"/>
    <w:rsid w:val="002007E1"/>
    <w:rsid w:val="00201957"/>
    <w:rsid w:val="002028F6"/>
    <w:rsid w:val="00202F21"/>
    <w:rsid w:val="00203916"/>
    <w:rsid w:val="00204E1B"/>
    <w:rsid w:val="00205696"/>
    <w:rsid w:val="00210806"/>
    <w:rsid w:val="00210D97"/>
    <w:rsid w:val="00211DAA"/>
    <w:rsid w:val="00212C2F"/>
    <w:rsid w:val="00213C05"/>
    <w:rsid w:val="00213CB8"/>
    <w:rsid w:val="002149D3"/>
    <w:rsid w:val="00215CF2"/>
    <w:rsid w:val="00217EB2"/>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E80"/>
    <w:rsid w:val="002653CB"/>
    <w:rsid w:val="002662BE"/>
    <w:rsid w:val="00267B20"/>
    <w:rsid w:val="00271A24"/>
    <w:rsid w:val="002727E2"/>
    <w:rsid w:val="002727F2"/>
    <w:rsid w:val="00276418"/>
    <w:rsid w:val="002766E1"/>
    <w:rsid w:val="00277D55"/>
    <w:rsid w:val="00277DE9"/>
    <w:rsid w:val="00280742"/>
    <w:rsid w:val="00281A43"/>
    <w:rsid w:val="002870F4"/>
    <w:rsid w:val="002931B8"/>
    <w:rsid w:val="00293432"/>
    <w:rsid w:val="00293797"/>
    <w:rsid w:val="002A119B"/>
    <w:rsid w:val="002A1596"/>
    <w:rsid w:val="002A39FC"/>
    <w:rsid w:val="002A477A"/>
    <w:rsid w:val="002A52DB"/>
    <w:rsid w:val="002A5373"/>
    <w:rsid w:val="002A61D8"/>
    <w:rsid w:val="002A7451"/>
    <w:rsid w:val="002B0BEE"/>
    <w:rsid w:val="002B12B9"/>
    <w:rsid w:val="002B1C35"/>
    <w:rsid w:val="002B2BCB"/>
    <w:rsid w:val="002B33F4"/>
    <w:rsid w:val="002B351D"/>
    <w:rsid w:val="002B45E4"/>
    <w:rsid w:val="002B4A70"/>
    <w:rsid w:val="002B6C88"/>
    <w:rsid w:val="002C11C3"/>
    <w:rsid w:val="002C33FD"/>
    <w:rsid w:val="002C3F54"/>
    <w:rsid w:val="002C6308"/>
    <w:rsid w:val="002C7E20"/>
    <w:rsid w:val="002D16DB"/>
    <w:rsid w:val="002D29B7"/>
    <w:rsid w:val="002D6F42"/>
    <w:rsid w:val="002D75D7"/>
    <w:rsid w:val="002E22A3"/>
    <w:rsid w:val="002E34A8"/>
    <w:rsid w:val="002E3C9C"/>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4AE0"/>
    <w:rsid w:val="003058A9"/>
    <w:rsid w:val="00306204"/>
    <w:rsid w:val="00310C92"/>
    <w:rsid w:val="00311726"/>
    <w:rsid w:val="00311A03"/>
    <w:rsid w:val="00311EF2"/>
    <w:rsid w:val="00311F46"/>
    <w:rsid w:val="00321BF3"/>
    <w:rsid w:val="003222DE"/>
    <w:rsid w:val="00323A14"/>
    <w:rsid w:val="00326E25"/>
    <w:rsid w:val="00327C26"/>
    <w:rsid w:val="0033114F"/>
    <w:rsid w:val="00332590"/>
    <w:rsid w:val="0033375D"/>
    <w:rsid w:val="003341F6"/>
    <w:rsid w:val="00334FD6"/>
    <w:rsid w:val="0033778F"/>
    <w:rsid w:val="00337C4B"/>
    <w:rsid w:val="00340915"/>
    <w:rsid w:val="00340C08"/>
    <w:rsid w:val="00340C89"/>
    <w:rsid w:val="0034101B"/>
    <w:rsid w:val="00341EAD"/>
    <w:rsid w:val="0034335F"/>
    <w:rsid w:val="0034452B"/>
    <w:rsid w:val="00344AA8"/>
    <w:rsid w:val="00345E08"/>
    <w:rsid w:val="00350386"/>
    <w:rsid w:val="003520BC"/>
    <w:rsid w:val="003530CC"/>
    <w:rsid w:val="00353342"/>
    <w:rsid w:val="00353EE8"/>
    <w:rsid w:val="0035503B"/>
    <w:rsid w:val="00357AB2"/>
    <w:rsid w:val="0036126F"/>
    <w:rsid w:val="0036236D"/>
    <w:rsid w:val="0036516E"/>
    <w:rsid w:val="0036648C"/>
    <w:rsid w:val="0036699F"/>
    <w:rsid w:val="00366FD6"/>
    <w:rsid w:val="00370D90"/>
    <w:rsid w:val="00371730"/>
    <w:rsid w:val="0037462A"/>
    <w:rsid w:val="00376214"/>
    <w:rsid w:val="003764C4"/>
    <w:rsid w:val="00376D7D"/>
    <w:rsid w:val="0038013C"/>
    <w:rsid w:val="0038064F"/>
    <w:rsid w:val="003807E6"/>
    <w:rsid w:val="003829D3"/>
    <w:rsid w:val="003854A7"/>
    <w:rsid w:val="003859E4"/>
    <w:rsid w:val="00387C73"/>
    <w:rsid w:val="00390678"/>
    <w:rsid w:val="003907CF"/>
    <w:rsid w:val="00395D8B"/>
    <w:rsid w:val="003966FD"/>
    <w:rsid w:val="003A004A"/>
    <w:rsid w:val="003A0A71"/>
    <w:rsid w:val="003A0D28"/>
    <w:rsid w:val="003A0E43"/>
    <w:rsid w:val="003A0F8D"/>
    <w:rsid w:val="003A226A"/>
    <w:rsid w:val="003A3735"/>
    <w:rsid w:val="003A3C95"/>
    <w:rsid w:val="003B0813"/>
    <w:rsid w:val="003B159B"/>
    <w:rsid w:val="003B1D01"/>
    <w:rsid w:val="003B2710"/>
    <w:rsid w:val="003B30B6"/>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6715"/>
    <w:rsid w:val="003D697A"/>
    <w:rsid w:val="003D70CD"/>
    <w:rsid w:val="003D763B"/>
    <w:rsid w:val="003D77DA"/>
    <w:rsid w:val="003E0B81"/>
    <w:rsid w:val="003E1850"/>
    <w:rsid w:val="003E28B7"/>
    <w:rsid w:val="003E29D5"/>
    <w:rsid w:val="003E57D1"/>
    <w:rsid w:val="003E6ADF"/>
    <w:rsid w:val="003E6EF7"/>
    <w:rsid w:val="003F49C6"/>
    <w:rsid w:val="003F555E"/>
    <w:rsid w:val="003F614E"/>
    <w:rsid w:val="003F7502"/>
    <w:rsid w:val="003F7BA1"/>
    <w:rsid w:val="00406567"/>
    <w:rsid w:val="0040765C"/>
    <w:rsid w:val="004076E2"/>
    <w:rsid w:val="0040773D"/>
    <w:rsid w:val="00407C11"/>
    <w:rsid w:val="00410088"/>
    <w:rsid w:val="004116FB"/>
    <w:rsid w:val="00412931"/>
    <w:rsid w:val="00414A71"/>
    <w:rsid w:val="004153B6"/>
    <w:rsid w:val="00416FB1"/>
    <w:rsid w:val="00417CE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40278"/>
    <w:rsid w:val="004405DE"/>
    <w:rsid w:val="0044264F"/>
    <w:rsid w:val="00442AA5"/>
    <w:rsid w:val="0044332E"/>
    <w:rsid w:val="00444E84"/>
    <w:rsid w:val="0044667C"/>
    <w:rsid w:val="00446C4C"/>
    <w:rsid w:val="004514C8"/>
    <w:rsid w:val="00451F87"/>
    <w:rsid w:val="00452906"/>
    <w:rsid w:val="004529DD"/>
    <w:rsid w:val="00452DAC"/>
    <w:rsid w:val="00453850"/>
    <w:rsid w:val="00454EB1"/>
    <w:rsid w:val="004565BC"/>
    <w:rsid w:val="004576A5"/>
    <w:rsid w:val="00460FA1"/>
    <w:rsid w:val="00462143"/>
    <w:rsid w:val="0046322F"/>
    <w:rsid w:val="004666E1"/>
    <w:rsid w:val="0046734F"/>
    <w:rsid w:val="004720CB"/>
    <w:rsid w:val="004728DF"/>
    <w:rsid w:val="00473AA0"/>
    <w:rsid w:val="0047455F"/>
    <w:rsid w:val="00474C54"/>
    <w:rsid w:val="004765D1"/>
    <w:rsid w:val="004767A9"/>
    <w:rsid w:val="00476BD5"/>
    <w:rsid w:val="00480137"/>
    <w:rsid w:val="00480F80"/>
    <w:rsid w:val="00480FD3"/>
    <w:rsid w:val="00481581"/>
    <w:rsid w:val="0048184E"/>
    <w:rsid w:val="00482782"/>
    <w:rsid w:val="004840FC"/>
    <w:rsid w:val="00486195"/>
    <w:rsid w:val="004863ED"/>
    <w:rsid w:val="00486436"/>
    <w:rsid w:val="004869D0"/>
    <w:rsid w:val="00487974"/>
    <w:rsid w:val="004900F7"/>
    <w:rsid w:val="0049152D"/>
    <w:rsid w:val="00494307"/>
    <w:rsid w:val="004943AB"/>
    <w:rsid w:val="00495C7F"/>
    <w:rsid w:val="00496CFF"/>
    <w:rsid w:val="00497207"/>
    <w:rsid w:val="004A1953"/>
    <w:rsid w:val="004A28E4"/>
    <w:rsid w:val="004A2B95"/>
    <w:rsid w:val="004B0F1A"/>
    <w:rsid w:val="004B12D0"/>
    <w:rsid w:val="004C37E3"/>
    <w:rsid w:val="004C5DDC"/>
    <w:rsid w:val="004C639B"/>
    <w:rsid w:val="004C7324"/>
    <w:rsid w:val="004D0ACA"/>
    <w:rsid w:val="004D29DA"/>
    <w:rsid w:val="004D3777"/>
    <w:rsid w:val="004E166F"/>
    <w:rsid w:val="004E1E35"/>
    <w:rsid w:val="004E353D"/>
    <w:rsid w:val="004E4B54"/>
    <w:rsid w:val="004E5227"/>
    <w:rsid w:val="004E555F"/>
    <w:rsid w:val="004E6E7F"/>
    <w:rsid w:val="004F40C5"/>
    <w:rsid w:val="004F4C96"/>
    <w:rsid w:val="004F69A5"/>
    <w:rsid w:val="004F76C2"/>
    <w:rsid w:val="00500130"/>
    <w:rsid w:val="00504978"/>
    <w:rsid w:val="0050730B"/>
    <w:rsid w:val="00511BD6"/>
    <w:rsid w:val="0051428E"/>
    <w:rsid w:val="005147F3"/>
    <w:rsid w:val="00515D70"/>
    <w:rsid w:val="00517579"/>
    <w:rsid w:val="005176CE"/>
    <w:rsid w:val="005200E9"/>
    <w:rsid w:val="00522BD3"/>
    <w:rsid w:val="00523E5C"/>
    <w:rsid w:val="00524C16"/>
    <w:rsid w:val="005254B4"/>
    <w:rsid w:val="00525782"/>
    <w:rsid w:val="005267EB"/>
    <w:rsid w:val="00526A34"/>
    <w:rsid w:val="00526AAF"/>
    <w:rsid w:val="005276A6"/>
    <w:rsid w:val="00531DC8"/>
    <w:rsid w:val="00532265"/>
    <w:rsid w:val="00533A74"/>
    <w:rsid w:val="0053413C"/>
    <w:rsid w:val="00534433"/>
    <w:rsid w:val="00535449"/>
    <w:rsid w:val="00535487"/>
    <w:rsid w:val="00536839"/>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61B33"/>
    <w:rsid w:val="00563071"/>
    <w:rsid w:val="005652D7"/>
    <w:rsid w:val="00573390"/>
    <w:rsid w:val="005757B3"/>
    <w:rsid w:val="0057757C"/>
    <w:rsid w:val="0058145D"/>
    <w:rsid w:val="00582510"/>
    <w:rsid w:val="00582834"/>
    <w:rsid w:val="005829BF"/>
    <w:rsid w:val="00582FD9"/>
    <w:rsid w:val="00583048"/>
    <w:rsid w:val="00583845"/>
    <w:rsid w:val="00583960"/>
    <w:rsid w:val="005849A6"/>
    <w:rsid w:val="005859AF"/>
    <w:rsid w:val="00590E7B"/>
    <w:rsid w:val="00591422"/>
    <w:rsid w:val="005940E3"/>
    <w:rsid w:val="005946AF"/>
    <w:rsid w:val="005947B8"/>
    <w:rsid w:val="0059508E"/>
    <w:rsid w:val="00595137"/>
    <w:rsid w:val="00595729"/>
    <w:rsid w:val="00596591"/>
    <w:rsid w:val="005A0829"/>
    <w:rsid w:val="005A0EB2"/>
    <w:rsid w:val="005A1119"/>
    <w:rsid w:val="005A264C"/>
    <w:rsid w:val="005A3477"/>
    <w:rsid w:val="005A366C"/>
    <w:rsid w:val="005A3B0F"/>
    <w:rsid w:val="005A3B3F"/>
    <w:rsid w:val="005B1210"/>
    <w:rsid w:val="005B15F5"/>
    <w:rsid w:val="005B2378"/>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566E"/>
    <w:rsid w:val="005D069C"/>
    <w:rsid w:val="005D179F"/>
    <w:rsid w:val="005D1EDE"/>
    <w:rsid w:val="005D489F"/>
    <w:rsid w:val="005D6DF8"/>
    <w:rsid w:val="005E200B"/>
    <w:rsid w:val="005E2355"/>
    <w:rsid w:val="005E3A3E"/>
    <w:rsid w:val="005E6CA1"/>
    <w:rsid w:val="005E702C"/>
    <w:rsid w:val="005E73C2"/>
    <w:rsid w:val="005E7C44"/>
    <w:rsid w:val="005F197A"/>
    <w:rsid w:val="005F2927"/>
    <w:rsid w:val="005F2DF7"/>
    <w:rsid w:val="005F3007"/>
    <w:rsid w:val="005F304B"/>
    <w:rsid w:val="005F5F6F"/>
    <w:rsid w:val="005F698A"/>
    <w:rsid w:val="00600538"/>
    <w:rsid w:val="00605CDD"/>
    <w:rsid w:val="00605EA7"/>
    <w:rsid w:val="0060674D"/>
    <w:rsid w:val="00606A00"/>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904"/>
    <w:rsid w:val="00644F62"/>
    <w:rsid w:val="006451CB"/>
    <w:rsid w:val="00645383"/>
    <w:rsid w:val="00646E4E"/>
    <w:rsid w:val="0064758B"/>
    <w:rsid w:val="0064769A"/>
    <w:rsid w:val="00650546"/>
    <w:rsid w:val="006518DC"/>
    <w:rsid w:val="006519D0"/>
    <w:rsid w:val="00652836"/>
    <w:rsid w:val="0065321E"/>
    <w:rsid w:val="006533FD"/>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C20"/>
    <w:rsid w:val="00673DCE"/>
    <w:rsid w:val="006749E5"/>
    <w:rsid w:val="00675C9D"/>
    <w:rsid w:val="00675DA5"/>
    <w:rsid w:val="00676165"/>
    <w:rsid w:val="00676CB1"/>
    <w:rsid w:val="00686291"/>
    <w:rsid w:val="00686FA4"/>
    <w:rsid w:val="00691E65"/>
    <w:rsid w:val="00691EA1"/>
    <w:rsid w:val="00693886"/>
    <w:rsid w:val="00694BE9"/>
    <w:rsid w:val="00696114"/>
    <w:rsid w:val="0069667F"/>
    <w:rsid w:val="00696D4A"/>
    <w:rsid w:val="006974AF"/>
    <w:rsid w:val="00697728"/>
    <w:rsid w:val="006A03C8"/>
    <w:rsid w:val="006A07EB"/>
    <w:rsid w:val="006A1279"/>
    <w:rsid w:val="006A1CD6"/>
    <w:rsid w:val="006A362D"/>
    <w:rsid w:val="006A5E39"/>
    <w:rsid w:val="006A615E"/>
    <w:rsid w:val="006A641C"/>
    <w:rsid w:val="006B048C"/>
    <w:rsid w:val="006B210C"/>
    <w:rsid w:val="006B2C4A"/>
    <w:rsid w:val="006B2D1C"/>
    <w:rsid w:val="006B35DA"/>
    <w:rsid w:val="006B53F6"/>
    <w:rsid w:val="006B655F"/>
    <w:rsid w:val="006C11BE"/>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58C8"/>
    <w:rsid w:val="006E669A"/>
    <w:rsid w:val="006E7C7B"/>
    <w:rsid w:val="006F1F44"/>
    <w:rsid w:val="006F2ADA"/>
    <w:rsid w:val="006F2AE7"/>
    <w:rsid w:val="006F2D52"/>
    <w:rsid w:val="006F3591"/>
    <w:rsid w:val="006F7B7C"/>
    <w:rsid w:val="0070002A"/>
    <w:rsid w:val="00700DAE"/>
    <w:rsid w:val="007015A1"/>
    <w:rsid w:val="0070297A"/>
    <w:rsid w:val="00704090"/>
    <w:rsid w:val="00706102"/>
    <w:rsid w:val="00711461"/>
    <w:rsid w:val="0071373D"/>
    <w:rsid w:val="00713758"/>
    <w:rsid w:val="00715907"/>
    <w:rsid w:val="00720307"/>
    <w:rsid w:val="00722D85"/>
    <w:rsid w:val="007236C0"/>
    <w:rsid w:val="00724361"/>
    <w:rsid w:val="00724564"/>
    <w:rsid w:val="007255E3"/>
    <w:rsid w:val="007265F0"/>
    <w:rsid w:val="007269E3"/>
    <w:rsid w:val="00732460"/>
    <w:rsid w:val="00733D7B"/>
    <w:rsid w:val="00735881"/>
    <w:rsid w:val="00735F13"/>
    <w:rsid w:val="007364A0"/>
    <w:rsid w:val="007408D5"/>
    <w:rsid w:val="0074154C"/>
    <w:rsid w:val="00741FDE"/>
    <w:rsid w:val="00742757"/>
    <w:rsid w:val="007430B3"/>
    <w:rsid w:val="007453E5"/>
    <w:rsid w:val="00746363"/>
    <w:rsid w:val="007464AF"/>
    <w:rsid w:val="00746C27"/>
    <w:rsid w:val="00750371"/>
    <w:rsid w:val="00750941"/>
    <w:rsid w:val="00750BF7"/>
    <w:rsid w:val="0075108D"/>
    <w:rsid w:val="007557DC"/>
    <w:rsid w:val="00760148"/>
    <w:rsid w:val="007611F3"/>
    <w:rsid w:val="00762451"/>
    <w:rsid w:val="007656EE"/>
    <w:rsid w:val="00766B87"/>
    <w:rsid w:val="00767F5A"/>
    <w:rsid w:val="00771493"/>
    <w:rsid w:val="00771A62"/>
    <w:rsid w:val="0077338A"/>
    <w:rsid w:val="00773A59"/>
    <w:rsid w:val="00774701"/>
    <w:rsid w:val="007771DC"/>
    <w:rsid w:val="00777F89"/>
    <w:rsid w:val="00782574"/>
    <w:rsid w:val="007831CE"/>
    <w:rsid w:val="0078347B"/>
    <w:rsid w:val="00784F06"/>
    <w:rsid w:val="00790B45"/>
    <w:rsid w:val="0079220D"/>
    <w:rsid w:val="00792719"/>
    <w:rsid w:val="00792749"/>
    <w:rsid w:val="007928CE"/>
    <w:rsid w:val="00792ADA"/>
    <w:rsid w:val="00793ECE"/>
    <w:rsid w:val="00796E22"/>
    <w:rsid w:val="0079778C"/>
    <w:rsid w:val="00797E1A"/>
    <w:rsid w:val="007A35C4"/>
    <w:rsid w:val="007A3CC4"/>
    <w:rsid w:val="007A4418"/>
    <w:rsid w:val="007A45F1"/>
    <w:rsid w:val="007A56FF"/>
    <w:rsid w:val="007A5B54"/>
    <w:rsid w:val="007A766F"/>
    <w:rsid w:val="007B1B31"/>
    <w:rsid w:val="007B2921"/>
    <w:rsid w:val="007B392C"/>
    <w:rsid w:val="007B4388"/>
    <w:rsid w:val="007B45BA"/>
    <w:rsid w:val="007B49CE"/>
    <w:rsid w:val="007B4E9A"/>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11F4"/>
    <w:rsid w:val="007F2366"/>
    <w:rsid w:val="007F2A06"/>
    <w:rsid w:val="007F4F74"/>
    <w:rsid w:val="007F5A11"/>
    <w:rsid w:val="007F62FA"/>
    <w:rsid w:val="007F6887"/>
    <w:rsid w:val="00801520"/>
    <w:rsid w:val="008020B9"/>
    <w:rsid w:val="0080321B"/>
    <w:rsid w:val="008057DB"/>
    <w:rsid w:val="00807805"/>
    <w:rsid w:val="00810C47"/>
    <w:rsid w:val="00810DC1"/>
    <w:rsid w:val="008122E0"/>
    <w:rsid w:val="0081279E"/>
    <w:rsid w:val="008139A3"/>
    <w:rsid w:val="008139C1"/>
    <w:rsid w:val="00813A79"/>
    <w:rsid w:val="0081473C"/>
    <w:rsid w:val="0081684A"/>
    <w:rsid w:val="00816BB8"/>
    <w:rsid w:val="00817F38"/>
    <w:rsid w:val="00820E4E"/>
    <w:rsid w:val="0082207A"/>
    <w:rsid w:val="00823429"/>
    <w:rsid w:val="008309E3"/>
    <w:rsid w:val="008314BA"/>
    <w:rsid w:val="00832337"/>
    <w:rsid w:val="00832B7B"/>
    <w:rsid w:val="00832FFA"/>
    <w:rsid w:val="008347F7"/>
    <w:rsid w:val="008353FC"/>
    <w:rsid w:val="00837C2E"/>
    <w:rsid w:val="00837FDA"/>
    <w:rsid w:val="00841543"/>
    <w:rsid w:val="00841833"/>
    <w:rsid w:val="008418E3"/>
    <w:rsid w:val="00842E49"/>
    <w:rsid w:val="00843D2B"/>
    <w:rsid w:val="00843FE0"/>
    <w:rsid w:val="00844357"/>
    <w:rsid w:val="008443F9"/>
    <w:rsid w:val="00844C65"/>
    <w:rsid w:val="00845862"/>
    <w:rsid w:val="00846311"/>
    <w:rsid w:val="008470F0"/>
    <w:rsid w:val="008473F7"/>
    <w:rsid w:val="00847750"/>
    <w:rsid w:val="008478D1"/>
    <w:rsid w:val="00850C3C"/>
    <w:rsid w:val="00851A9C"/>
    <w:rsid w:val="0085300C"/>
    <w:rsid w:val="008608E6"/>
    <w:rsid w:val="00860B78"/>
    <w:rsid w:val="00860BCC"/>
    <w:rsid w:val="00861880"/>
    <w:rsid w:val="0086195A"/>
    <w:rsid w:val="00861B47"/>
    <w:rsid w:val="0086229E"/>
    <w:rsid w:val="00862CED"/>
    <w:rsid w:val="0086480A"/>
    <w:rsid w:val="00864CD8"/>
    <w:rsid w:val="00867F87"/>
    <w:rsid w:val="00870279"/>
    <w:rsid w:val="00870603"/>
    <w:rsid w:val="0087096F"/>
    <w:rsid w:val="008755BA"/>
    <w:rsid w:val="00881208"/>
    <w:rsid w:val="00884FC6"/>
    <w:rsid w:val="0089080C"/>
    <w:rsid w:val="00890C8E"/>
    <w:rsid w:val="00895D8D"/>
    <w:rsid w:val="008A172E"/>
    <w:rsid w:val="008A1F51"/>
    <w:rsid w:val="008A2695"/>
    <w:rsid w:val="008A33D5"/>
    <w:rsid w:val="008A45E8"/>
    <w:rsid w:val="008A5D75"/>
    <w:rsid w:val="008A7719"/>
    <w:rsid w:val="008A7A9A"/>
    <w:rsid w:val="008B0AFD"/>
    <w:rsid w:val="008B3B41"/>
    <w:rsid w:val="008B44DA"/>
    <w:rsid w:val="008B4D42"/>
    <w:rsid w:val="008B5CA8"/>
    <w:rsid w:val="008B6FB0"/>
    <w:rsid w:val="008C1AB9"/>
    <w:rsid w:val="008C32CD"/>
    <w:rsid w:val="008C4891"/>
    <w:rsid w:val="008C64BD"/>
    <w:rsid w:val="008C7A4C"/>
    <w:rsid w:val="008C7F9B"/>
    <w:rsid w:val="008D1583"/>
    <w:rsid w:val="008D38F1"/>
    <w:rsid w:val="008D509B"/>
    <w:rsid w:val="008D53A8"/>
    <w:rsid w:val="008D716B"/>
    <w:rsid w:val="008E047F"/>
    <w:rsid w:val="008E0678"/>
    <w:rsid w:val="008E110C"/>
    <w:rsid w:val="008E11F8"/>
    <w:rsid w:val="008E4D3C"/>
    <w:rsid w:val="008E4E14"/>
    <w:rsid w:val="008E7F39"/>
    <w:rsid w:val="008F0A69"/>
    <w:rsid w:val="008F102D"/>
    <w:rsid w:val="008F14A2"/>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41C1D"/>
    <w:rsid w:val="00941EF0"/>
    <w:rsid w:val="009423AA"/>
    <w:rsid w:val="009423AC"/>
    <w:rsid w:val="00943218"/>
    <w:rsid w:val="009453A2"/>
    <w:rsid w:val="00946AB1"/>
    <w:rsid w:val="009504B8"/>
    <w:rsid w:val="009517F6"/>
    <w:rsid w:val="00953281"/>
    <w:rsid w:val="00953B8E"/>
    <w:rsid w:val="00956565"/>
    <w:rsid w:val="00957FDC"/>
    <w:rsid w:val="009601AB"/>
    <w:rsid w:val="00960D92"/>
    <w:rsid w:val="00961947"/>
    <w:rsid w:val="00962C7C"/>
    <w:rsid w:val="00962F2C"/>
    <w:rsid w:val="0096331D"/>
    <w:rsid w:val="00963579"/>
    <w:rsid w:val="00963C26"/>
    <w:rsid w:val="00963D08"/>
    <w:rsid w:val="00963E4F"/>
    <w:rsid w:val="00965CA7"/>
    <w:rsid w:val="00966160"/>
    <w:rsid w:val="009672AC"/>
    <w:rsid w:val="00967EDD"/>
    <w:rsid w:val="00971910"/>
    <w:rsid w:val="00972B8E"/>
    <w:rsid w:val="00973A55"/>
    <w:rsid w:val="00974C45"/>
    <w:rsid w:val="00975A1E"/>
    <w:rsid w:val="00975C75"/>
    <w:rsid w:val="00980B13"/>
    <w:rsid w:val="00980F6D"/>
    <w:rsid w:val="00982E2D"/>
    <w:rsid w:val="00982F94"/>
    <w:rsid w:val="00983EDA"/>
    <w:rsid w:val="00985422"/>
    <w:rsid w:val="009867CF"/>
    <w:rsid w:val="00986DCF"/>
    <w:rsid w:val="00991021"/>
    <w:rsid w:val="00992A6C"/>
    <w:rsid w:val="00992B39"/>
    <w:rsid w:val="00996DF4"/>
    <w:rsid w:val="009A02E4"/>
    <w:rsid w:val="009A0A3D"/>
    <w:rsid w:val="009A1442"/>
    <w:rsid w:val="009A1C7C"/>
    <w:rsid w:val="009A2D3A"/>
    <w:rsid w:val="009A3F87"/>
    <w:rsid w:val="009A4F82"/>
    <w:rsid w:val="009A5325"/>
    <w:rsid w:val="009A659A"/>
    <w:rsid w:val="009A67B4"/>
    <w:rsid w:val="009A7570"/>
    <w:rsid w:val="009B475F"/>
    <w:rsid w:val="009B4A1E"/>
    <w:rsid w:val="009C0E14"/>
    <w:rsid w:val="009C1DA6"/>
    <w:rsid w:val="009C32A2"/>
    <w:rsid w:val="009C3472"/>
    <w:rsid w:val="009C6B17"/>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230A8"/>
    <w:rsid w:val="00A246A8"/>
    <w:rsid w:val="00A2660D"/>
    <w:rsid w:val="00A2730C"/>
    <w:rsid w:val="00A27CF3"/>
    <w:rsid w:val="00A30BC4"/>
    <w:rsid w:val="00A30C4E"/>
    <w:rsid w:val="00A32843"/>
    <w:rsid w:val="00A33131"/>
    <w:rsid w:val="00A40C00"/>
    <w:rsid w:val="00A4126E"/>
    <w:rsid w:val="00A42D32"/>
    <w:rsid w:val="00A43BE4"/>
    <w:rsid w:val="00A46A63"/>
    <w:rsid w:val="00A47F91"/>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5BF2"/>
    <w:rsid w:val="00A824D5"/>
    <w:rsid w:val="00A8270A"/>
    <w:rsid w:val="00A86745"/>
    <w:rsid w:val="00A928A8"/>
    <w:rsid w:val="00A93F20"/>
    <w:rsid w:val="00A94AAE"/>
    <w:rsid w:val="00A94C7E"/>
    <w:rsid w:val="00A9692C"/>
    <w:rsid w:val="00A97F66"/>
    <w:rsid w:val="00AA324F"/>
    <w:rsid w:val="00AA539D"/>
    <w:rsid w:val="00AA56B6"/>
    <w:rsid w:val="00AA763A"/>
    <w:rsid w:val="00AA7A54"/>
    <w:rsid w:val="00AB046D"/>
    <w:rsid w:val="00AB074C"/>
    <w:rsid w:val="00AB1416"/>
    <w:rsid w:val="00AB29C1"/>
    <w:rsid w:val="00AB50CF"/>
    <w:rsid w:val="00AC0055"/>
    <w:rsid w:val="00AC007F"/>
    <w:rsid w:val="00AC0677"/>
    <w:rsid w:val="00AC2558"/>
    <w:rsid w:val="00AC2F81"/>
    <w:rsid w:val="00AC3B25"/>
    <w:rsid w:val="00AC4DB2"/>
    <w:rsid w:val="00AC5119"/>
    <w:rsid w:val="00AC59E2"/>
    <w:rsid w:val="00AC6BA8"/>
    <w:rsid w:val="00AC711A"/>
    <w:rsid w:val="00AD046A"/>
    <w:rsid w:val="00AD258F"/>
    <w:rsid w:val="00AD3BBA"/>
    <w:rsid w:val="00AD3C09"/>
    <w:rsid w:val="00AD3C7F"/>
    <w:rsid w:val="00AD48C6"/>
    <w:rsid w:val="00AD4B16"/>
    <w:rsid w:val="00AD528D"/>
    <w:rsid w:val="00AD6C53"/>
    <w:rsid w:val="00AE433E"/>
    <w:rsid w:val="00AF1E7D"/>
    <w:rsid w:val="00AF26BD"/>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39A7"/>
    <w:rsid w:val="00B245DB"/>
    <w:rsid w:val="00B26620"/>
    <w:rsid w:val="00B27045"/>
    <w:rsid w:val="00B27C98"/>
    <w:rsid w:val="00B300F4"/>
    <w:rsid w:val="00B30765"/>
    <w:rsid w:val="00B31DD6"/>
    <w:rsid w:val="00B32630"/>
    <w:rsid w:val="00B34CAA"/>
    <w:rsid w:val="00B412DC"/>
    <w:rsid w:val="00B41CD9"/>
    <w:rsid w:val="00B41DD3"/>
    <w:rsid w:val="00B426B4"/>
    <w:rsid w:val="00B46CCD"/>
    <w:rsid w:val="00B5039F"/>
    <w:rsid w:val="00B51FC9"/>
    <w:rsid w:val="00B5314F"/>
    <w:rsid w:val="00B54DDA"/>
    <w:rsid w:val="00B54F3A"/>
    <w:rsid w:val="00B567B2"/>
    <w:rsid w:val="00B56A7D"/>
    <w:rsid w:val="00B571FF"/>
    <w:rsid w:val="00B60946"/>
    <w:rsid w:val="00B6558E"/>
    <w:rsid w:val="00B67193"/>
    <w:rsid w:val="00B67D35"/>
    <w:rsid w:val="00B67E9F"/>
    <w:rsid w:val="00B70F4B"/>
    <w:rsid w:val="00B718C4"/>
    <w:rsid w:val="00B71B75"/>
    <w:rsid w:val="00B74F18"/>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C02C5"/>
    <w:rsid w:val="00BC2CDB"/>
    <w:rsid w:val="00BC371D"/>
    <w:rsid w:val="00BC4A6E"/>
    <w:rsid w:val="00BC548D"/>
    <w:rsid w:val="00BC6356"/>
    <w:rsid w:val="00BC6621"/>
    <w:rsid w:val="00BC6D78"/>
    <w:rsid w:val="00BD0BA6"/>
    <w:rsid w:val="00BD1290"/>
    <w:rsid w:val="00BD1A8F"/>
    <w:rsid w:val="00BD24D4"/>
    <w:rsid w:val="00BD4E7A"/>
    <w:rsid w:val="00BD5E18"/>
    <w:rsid w:val="00BD6E7A"/>
    <w:rsid w:val="00BE01B3"/>
    <w:rsid w:val="00BE09B6"/>
    <w:rsid w:val="00BE3B1F"/>
    <w:rsid w:val="00BE4F7B"/>
    <w:rsid w:val="00BE5598"/>
    <w:rsid w:val="00BE5A42"/>
    <w:rsid w:val="00BE6C70"/>
    <w:rsid w:val="00BE6DA3"/>
    <w:rsid w:val="00BE7612"/>
    <w:rsid w:val="00BF109A"/>
    <w:rsid w:val="00BF3586"/>
    <w:rsid w:val="00C03BA0"/>
    <w:rsid w:val="00C078B4"/>
    <w:rsid w:val="00C07D37"/>
    <w:rsid w:val="00C1073D"/>
    <w:rsid w:val="00C123A9"/>
    <w:rsid w:val="00C131D6"/>
    <w:rsid w:val="00C13379"/>
    <w:rsid w:val="00C13F24"/>
    <w:rsid w:val="00C15DA6"/>
    <w:rsid w:val="00C165DE"/>
    <w:rsid w:val="00C214C2"/>
    <w:rsid w:val="00C25ED7"/>
    <w:rsid w:val="00C26002"/>
    <w:rsid w:val="00C26983"/>
    <w:rsid w:val="00C274C9"/>
    <w:rsid w:val="00C30622"/>
    <w:rsid w:val="00C31586"/>
    <w:rsid w:val="00C31ADD"/>
    <w:rsid w:val="00C3339F"/>
    <w:rsid w:val="00C34EA3"/>
    <w:rsid w:val="00C3551D"/>
    <w:rsid w:val="00C35FC9"/>
    <w:rsid w:val="00C3704C"/>
    <w:rsid w:val="00C377C5"/>
    <w:rsid w:val="00C43BE1"/>
    <w:rsid w:val="00C44DBD"/>
    <w:rsid w:val="00C461DC"/>
    <w:rsid w:val="00C46671"/>
    <w:rsid w:val="00C46E46"/>
    <w:rsid w:val="00C50BA4"/>
    <w:rsid w:val="00C52F3F"/>
    <w:rsid w:val="00C55615"/>
    <w:rsid w:val="00C57FA6"/>
    <w:rsid w:val="00C60DFE"/>
    <w:rsid w:val="00C611F1"/>
    <w:rsid w:val="00C616EE"/>
    <w:rsid w:val="00C63123"/>
    <w:rsid w:val="00C640E1"/>
    <w:rsid w:val="00C6449E"/>
    <w:rsid w:val="00C64727"/>
    <w:rsid w:val="00C655DD"/>
    <w:rsid w:val="00C668FA"/>
    <w:rsid w:val="00C72066"/>
    <w:rsid w:val="00C74A04"/>
    <w:rsid w:val="00C81BE8"/>
    <w:rsid w:val="00C825D1"/>
    <w:rsid w:val="00C82BDE"/>
    <w:rsid w:val="00C84386"/>
    <w:rsid w:val="00C84DA9"/>
    <w:rsid w:val="00C8690B"/>
    <w:rsid w:val="00C872CC"/>
    <w:rsid w:val="00C875A8"/>
    <w:rsid w:val="00C8771D"/>
    <w:rsid w:val="00C87997"/>
    <w:rsid w:val="00C9040C"/>
    <w:rsid w:val="00C904F3"/>
    <w:rsid w:val="00C91D12"/>
    <w:rsid w:val="00C9646E"/>
    <w:rsid w:val="00CA164D"/>
    <w:rsid w:val="00CA3BD2"/>
    <w:rsid w:val="00CA429B"/>
    <w:rsid w:val="00CA6B0F"/>
    <w:rsid w:val="00CA7768"/>
    <w:rsid w:val="00CA792E"/>
    <w:rsid w:val="00CA7EF2"/>
    <w:rsid w:val="00CB162D"/>
    <w:rsid w:val="00CB1736"/>
    <w:rsid w:val="00CB5EF9"/>
    <w:rsid w:val="00CB77E9"/>
    <w:rsid w:val="00CC0327"/>
    <w:rsid w:val="00CC1E9D"/>
    <w:rsid w:val="00CC3C57"/>
    <w:rsid w:val="00CC4EE1"/>
    <w:rsid w:val="00CC6124"/>
    <w:rsid w:val="00CC671A"/>
    <w:rsid w:val="00CC72F2"/>
    <w:rsid w:val="00CC76BC"/>
    <w:rsid w:val="00CD01B1"/>
    <w:rsid w:val="00CD07D4"/>
    <w:rsid w:val="00CD12BB"/>
    <w:rsid w:val="00CD6611"/>
    <w:rsid w:val="00CD6966"/>
    <w:rsid w:val="00CE11ED"/>
    <w:rsid w:val="00CE1291"/>
    <w:rsid w:val="00CE2583"/>
    <w:rsid w:val="00CE289E"/>
    <w:rsid w:val="00CE3A9F"/>
    <w:rsid w:val="00CE3C02"/>
    <w:rsid w:val="00CE587F"/>
    <w:rsid w:val="00CE5A82"/>
    <w:rsid w:val="00CE6ED1"/>
    <w:rsid w:val="00CE72FB"/>
    <w:rsid w:val="00CE7DF7"/>
    <w:rsid w:val="00CF16E4"/>
    <w:rsid w:val="00CF31CB"/>
    <w:rsid w:val="00CF44DA"/>
    <w:rsid w:val="00D003B0"/>
    <w:rsid w:val="00D029DE"/>
    <w:rsid w:val="00D03BD1"/>
    <w:rsid w:val="00D06D79"/>
    <w:rsid w:val="00D10277"/>
    <w:rsid w:val="00D107FE"/>
    <w:rsid w:val="00D10961"/>
    <w:rsid w:val="00D14AB0"/>
    <w:rsid w:val="00D1521D"/>
    <w:rsid w:val="00D169BB"/>
    <w:rsid w:val="00D212C5"/>
    <w:rsid w:val="00D2148D"/>
    <w:rsid w:val="00D22C7B"/>
    <w:rsid w:val="00D23904"/>
    <w:rsid w:val="00D23B55"/>
    <w:rsid w:val="00D24065"/>
    <w:rsid w:val="00D24DCE"/>
    <w:rsid w:val="00D256AC"/>
    <w:rsid w:val="00D26994"/>
    <w:rsid w:val="00D320AC"/>
    <w:rsid w:val="00D3304B"/>
    <w:rsid w:val="00D359BF"/>
    <w:rsid w:val="00D36DB4"/>
    <w:rsid w:val="00D371D3"/>
    <w:rsid w:val="00D37299"/>
    <w:rsid w:val="00D4083C"/>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78D6"/>
    <w:rsid w:val="00D60251"/>
    <w:rsid w:val="00D61BA1"/>
    <w:rsid w:val="00D61EC4"/>
    <w:rsid w:val="00D63B93"/>
    <w:rsid w:val="00D644F7"/>
    <w:rsid w:val="00D64D43"/>
    <w:rsid w:val="00D6533E"/>
    <w:rsid w:val="00D66304"/>
    <w:rsid w:val="00D66B6B"/>
    <w:rsid w:val="00D675A8"/>
    <w:rsid w:val="00D67794"/>
    <w:rsid w:val="00D7004B"/>
    <w:rsid w:val="00D7190C"/>
    <w:rsid w:val="00D7207F"/>
    <w:rsid w:val="00D72152"/>
    <w:rsid w:val="00D72F0A"/>
    <w:rsid w:val="00D75AFF"/>
    <w:rsid w:val="00D75EC4"/>
    <w:rsid w:val="00D7634D"/>
    <w:rsid w:val="00D830F3"/>
    <w:rsid w:val="00D84245"/>
    <w:rsid w:val="00D84264"/>
    <w:rsid w:val="00D85B2B"/>
    <w:rsid w:val="00D86727"/>
    <w:rsid w:val="00D941C7"/>
    <w:rsid w:val="00D94661"/>
    <w:rsid w:val="00D94930"/>
    <w:rsid w:val="00D95A89"/>
    <w:rsid w:val="00D95D4E"/>
    <w:rsid w:val="00D966A4"/>
    <w:rsid w:val="00D966F4"/>
    <w:rsid w:val="00D97FC7"/>
    <w:rsid w:val="00DA1558"/>
    <w:rsid w:val="00DA1891"/>
    <w:rsid w:val="00DA31A6"/>
    <w:rsid w:val="00DA3763"/>
    <w:rsid w:val="00DA6543"/>
    <w:rsid w:val="00DB0A43"/>
    <w:rsid w:val="00DB6BA8"/>
    <w:rsid w:val="00DB7F50"/>
    <w:rsid w:val="00DC0AFF"/>
    <w:rsid w:val="00DC0D5D"/>
    <w:rsid w:val="00DC0F59"/>
    <w:rsid w:val="00DC1118"/>
    <w:rsid w:val="00DC1B4D"/>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E06BD"/>
    <w:rsid w:val="00DE1107"/>
    <w:rsid w:val="00DE2848"/>
    <w:rsid w:val="00DE3511"/>
    <w:rsid w:val="00DE3CCF"/>
    <w:rsid w:val="00DE403C"/>
    <w:rsid w:val="00DE459E"/>
    <w:rsid w:val="00DE5FE8"/>
    <w:rsid w:val="00DE66E7"/>
    <w:rsid w:val="00DE7104"/>
    <w:rsid w:val="00DF2795"/>
    <w:rsid w:val="00DF4176"/>
    <w:rsid w:val="00DF4C0F"/>
    <w:rsid w:val="00DF5045"/>
    <w:rsid w:val="00DF5BB3"/>
    <w:rsid w:val="00DF62F9"/>
    <w:rsid w:val="00DF7057"/>
    <w:rsid w:val="00DF7937"/>
    <w:rsid w:val="00E0023D"/>
    <w:rsid w:val="00E0111A"/>
    <w:rsid w:val="00E01169"/>
    <w:rsid w:val="00E02E01"/>
    <w:rsid w:val="00E04563"/>
    <w:rsid w:val="00E07309"/>
    <w:rsid w:val="00E07C98"/>
    <w:rsid w:val="00E1281A"/>
    <w:rsid w:val="00E14896"/>
    <w:rsid w:val="00E1628E"/>
    <w:rsid w:val="00E208B5"/>
    <w:rsid w:val="00E20BEE"/>
    <w:rsid w:val="00E21947"/>
    <w:rsid w:val="00E21C42"/>
    <w:rsid w:val="00E225FB"/>
    <w:rsid w:val="00E22E25"/>
    <w:rsid w:val="00E22F70"/>
    <w:rsid w:val="00E2655E"/>
    <w:rsid w:val="00E32CEB"/>
    <w:rsid w:val="00E337BC"/>
    <w:rsid w:val="00E34B24"/>
    <w:rsid w:val="00E35CAB"/>
    <w:rsid w:val="00E35CAD"/>
    <w:rsid w:val="00E37145"/>
    <w:rsid w:val="00E40019"/>
    <w:rsid w:val="00E40492"/>
    <w:rsid w:val="00E4058F"/>
    <w:rsid w:val="00E40F2A"/>
    <w:rsid w:val="00E42948"/>
    <w:rsid w:val="00E42DC1"/>
    <w:rsid w:val="00E44814"/>
    <w:rsid w:val="00E44FFF"/>
    <w:rsid w:val="00E4610E"/>
    <w:rsid w:val="00E4738F"/>
    <w:rsid w:val="00E51633"/>
    <w:rsid w:val="00E5245D"/>
    <w:rsid w:val="00E549AA"/>
    <w:rsid w:val="00E54B99"/>
    <w:rsid w:val="00E55819"/>
    <w:rsid w:val="00E560F1"/>
    <w:rsid w:val="00E6161B"/>
    <w:rsid w:val="00E61FCC"/>
    <w:rsid w:val="00E62057"/>
    <w:rsid w:val="00E6290C"/>
    <w:rsid w:val="00E62ED4"/>
    <w:rsid w:val="00E6334B"/>
    <w:rsid w:val="00E651D0"/>
    <w:rsid w:val="00E653C7"/>
    <w:rsid w:val="00E67634"/>
    <w:rsid w:val="00E701CD"/>
    <w:rsid w:val="00E731A1"/>
    <w:rsid w:val="00E81BCB"/>
    <w:rsid w:val="00E82AD6"/>
    <w:rsid w:val="00E82E2C"/>
    <w:rsid w:val="00E8477B"/>
    <w:rsid w:val="00E84C73"/>
    <w:rsid w:val="00E91F16"/>
    <w:rsid w:val="00EA0835"/>
    <w:rsid w:val="00EA12F8"/>
    <w:rsid w:val="00EA219D"/>
    <w:rsid w:val="00EA2B7E"/>
    <w:rsid w:val="00EA6CBC"/>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CD"/>
    <w:rsid w:val="00EC454B"/>
    <w:rsid w:val="00EC4D79"/>
    <w:rsid w:val="00EC511E"/>
    <w:rsid w:val="00EC5F37"/>
    <w:rsid w:val="00ED1496"/>
    <w:rsid w:val="00ED187D"/>
    <w:rsid w:val="00ED27CB"/>
    <w:rsid w:val="00ED3B99"/>
    <w:rsid w:val="00ED5530"/>
    <w:rsid w:val="00ED67F0"/>
    <w:rsid w:val="00ED7DAF"/>
    <w:rsid w:val="00ED7F88"/>
    <w:rsid w:val="00EE3498"/>
    <w:rsid w:val="00EE3BB1"/>
    <w:rsid w:val="00EE50B9"/>
    <w:rsid w:val="00EE5257"/>
    <w:rsid w:val="00EE7488"/>
    <w:rsid w:val="00EE7EA8"/>
    <w:rsid w:val="00EF04A1"/>
    <w:rsid w:val="00EF1488"/>
    <w:rsid w:val="00EF1E76"/>
    <w:rsid w:val="00EF3FF1"/>
    <w:rsid w:val="00EF4571"/>
    <w:rsid w:val="00EF564A"/>
    <w:rsid w:val="00EF778C"/>
    <w:rsid w:val="00F02D20"/>
    <w:rsid w:val="00F03EAC"/>
    <w:rsid w:val="00F0584C"/>
    <w:rsid w:val="00F05FB0"/>
    <w:rsid w:val="00F10080"/>
    <w:rsid w:val="00F113B0"/>
    <w:rsid w:val="00F1264C"/>
    <w:rsid w:val="00F1534B"/>
    <w:rsid w:val="00F16179"/>
    <w:rsid w:val="00F17F04"/>
    <w:rsid w:val="00F20246"/>
    <w:rsid w:val="00F22756"/>
    <w:rsid w:val="00F233D8"/>
    <w:rsid w:val="00F25618"/>
    <w:rsid w:val="00F2761F"/>
    <w:rsid w:val="00F312FC"/>
    <w:rsid w:val="00F31D7C"/>
    <w:rsid w:val="00F31EB6"/>
    <w:rsid w:val="00F34DC7"/>
    <w:rsid w:val="00F358A8"/>
    <w:rsid w:val="00F363B9"/>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ED"/>
    <w:rsid w:val="00F60856"/>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68B"/>
    <w:rsid w:val="00F742F1"/>
    <w:rsid w:val="00F74832"/>
    <w:rsid w:val="00F759F4"/>
    <w:rsid w:val="00F7660E"/>
    <w:rsid w:val="00F77803"/>
    <w:rsid w:val="00F77947"/>
    <w:rsid w:val="00F805C2"/>
    <w:rsid w:val="00F810C0"/>
    <w:rsid w:val="00F81430"/>
    <w:rsid w:val="00F818E2"/>
    <w:rsid w:val="00F86DAF"/>
    <w:rsid w:val="00F90F78"/>
    <w:rsid w:val="00F92C1F"/>
    <w:rsid w:val="00F93877"/>
    <w:rsid w:val="00F93EB8"/>
    <w:rsid w:val="00F93EF3"/>
    <w:rsid w:val="00F945CD"/>
    <w:rsid w:val="00F96986"/>
    <w:rsid w:val="00FA27DF"/>
    <w:rsid w:val="00FA33A5"/>
    <w:rsid w:val="00FA4826"/>
    <w:rsid w:val="00FA4EE7"/>
    <w:rsid w:val="00FA74C7"/>
    <w:rsid w:val="00FA7CC4"/>
    <w:rsid w:val="00FB3C03"/>
    <w:rsid w:val="00FB65AE"/>
    <w:rsid w:val="00FC060E"/>
    <w:rsid w:val="00FC159E"/>
    <w:rsid w:val="00FC1EFA"/>
    <w:rsid w:val="00FC2CB8"/>
    <w:rsid w:val="00FC3698"/>
    <w:rsid w:val="00FC3E35"/>
    <w:rsid w:val="00FC429E"/>
    <w:rsid w:val="00FC42D5"/>
    <w:rsid w:val="00FC661B"/>
    <w:rsid w:val="00FC7C0C"/>
    <w:rsid w:val="00FC7FD0"/>
    <w:rsid w:val="00FD0408"/>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5BB4"/>
    <w:rsid w:val="016E044A"/>
    <w:rsid w:val="070B5632"/>
    <w:rsid w:val="0C482343"/>
    <w:rsid w:val="0FC35B5B"/>
    <w:rsid w:val="16D05547"/>
    <w:rsid w:val="181D46CC"/>
    <w:rsid w:val="18704CB4"/>
    <w:rsid w:val="18D85379"/>
    <w:rsid w:val="192E28F8"/>
    <w:rsid w:val="217F311B"/>
    <w:rsid w:val="21867A05"/>
    <w:rsid w:val="22C80A1D"/>
    <w:rsid w:val="234A45D7"/>
    <w:rsid w:val="28E92B74"/>
    <w:rsid w:val="2AF42FD1"/>
    <w:rsid w:val="2CF17ED9"/>
    <w:rsid w:val="2D491F9E"/>
    <w:rsid w:val="2DD6396D"/>
    <w:rsid w:val="2EE3075D"/>
    <w:rsid w:val="2F20599A"/>
    <w:rsid w:val="2FE50BA9"/>
    <w:rsid w:val="317F0BCA"/>
    <w:rsid w:val="32832A04"/>
    <w:rsid w:val="32B61BAD"/>
    <w:rsid w:val="391C28EE"/>
    <w:rsid w:val="3A6C3919"/>
    <w:rsid w:val="3B7A0F58"/>
    <w:rsid w:val="3C672EE2"/>
    <w:rsid w:val="42E3660E"/>
    <w:rsid w:val="45252F0E"/>
    <w:rsid w:val="488C32A4"/>
    <w:rsid w:val="48960B41"/>
    <w:rsid w:val="493733B5"/>
    <w:rsid w:val="49EC224C"/>
    <w:rsid w:val="4B6E2770"/>
    <w:rsid w:val="4C4C62F7"/>
    <w:rsid w:val="4E197011"/>
    <w:rsid w:val="4E4242CC"/>
    <w:rsid w:val="4FD37F56"/>
    <w:rsid w:val="50CE10DD"/>
    <w:rsid w:val="5D7D79F9"/>
    <w:rsid w:val="6B3E697D"/>
    <w:rsid w:val="6E3C6504"/>
    <w:rsid w:val="6F3335BA"/>
    <w:rsid w:val="70951216"/>
    <w:rsid w:val="76A76695"/>
    <w:rsid w:val="76E521D9"/>
    <w:rsid w:val="799C4845"/>
    <w:rsid w:val="7A241826"/>
    <w:rsid w:val="7B8239A1"/>
    <w:rsid w:val="7CAF41D8"/>
    <w:rsid w:val="7EE13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qFormat/>
    <w:uiPriority w:val="0"/>
    <w:pPr>
      <w:spacing w:line="360" w:lineRule="auto"/>
      <w:jc w:val="left"/>
    </w:pPr>
    <w:rPr>
      <w:rFonts w:ascii="宋体" w:hAnsi="宋体" w:eastAsia="宋体" w:cs="Times New Roman"/>
      <w:szCs w:val="24"/>
    </w:rPr>
  </w:style>
  <w:style w:type="paragraph" w:styleId="3">
    <w:name w:val="Body Text"/>
    <w:basedOn w:val="1"/>
    <w:unhideWhenUsed/>
    <w:qFormat/>
    <w:uiPriority w:val="99"/>
    <w:pPr>
      <w:spacing w:after="120"/>
    </w:pPr>
    <w:rPr>
      <w:rFonts w:eastAsia="仿宋_GB2312"/>
    </w:rPr>
  </w:style>
  <w:style w:type="paragraph" w:styleId="4">
    <w:name w:val="Body Text Indent"/>
    <w:basedOn w:val="1"/>
    <w:link w:val="17"/>
    <w:qFormat/>
    <w:uiPriority w:val="0"/>
    <w:pPr>
      <w:ind w:firstLine="420"/>
    </w:pPr>
    <w:rPr>
      <w:rFonts w:ascii="Times New Roman" w:hAnsi="Times New Roman" w:eastAsia="宋体" w:cs="Times New Roman"/>
      <w:sz w:val="24"/>
      <w:szCs w:val="24"/>
    </w:rPr>
  </w:style>
  <w:style w:type="paragraph" w:styleId="5">
    <w:name w:val="endnote text"/>
    <w:basedOn w:val="1"/>
    <w:unhideWhenUsed/>
    <w:qFormat/>
    <w:uiPriority w:val="99"/>
    <w:pPr>
      <w:snapToGrid w:val="0"/>
    </w:pPr>
    <w:rPr>
      <w:rFonts w:ascii="Calibri" w:hAnsi="Calibri"/>
    </w:rPr>
  </w:style>
  <w:style w:type="paragraph" w:styleId="6">
    <w:name w:val="Balloon Text"/>
    <w:basedOn w:val="1"/>
    <w:link w:val="13"/>
    <w:semiHidden/>
    <w:unhideWhenUsed/>
    <w:qFormat/>
    <w:uiPriority w:val="99"/>
    <w:rPr>
      <w:sz w:val="18"/>
      <w:szCs w:val="18"/>
    </w:rPr>
  </w:style>
  <w:style w:type="paragraph" w:styleId="7">
    <w:name w:val="footer"/>
    <w:basedOn w:val="1"/>
    <w:link w:val="15"/>
    <w:semiHidden/>
    <w:unhideWhenUsed/>
    <w:qFormat/>
    <w:uiPriority w:val="99"/>
    <w:pPr>
      <w:tabs>
        <w:tab w:val="center" w:pos="4153"/>
        <w:tab w:val="right" w:pos="8306"/>
      </w:tabs>
      <w:snapToGrid w:val="0"/>
      <w:jc w:val="left"/>
    </w:pPr>
    <w:rPr>
      <w:sz w:val="18"/>
      <w:szCs w:val="18"/>
    </w:rPr>
  </w:style>
  <w:style w:type="paragraph" w:styleId="8">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3">
    <w:name w:val="批注框文本 Char"/>
    <w:basedOn w:val="12"/>
    <w:link w:val="6"/>
    <w:semiHidden/>
    <w:qFormat/>
    <w:uiPriority w:val="99"/>
    <w:rPr>
      <w:sz w:val="18"/>
      <w:szCs w:val="18"/>
    </w:rPr>
  </w:style>
  <w:style w:type="character" w:customStyle="1" w:styleId="14">
    <w:name w:val="页眉 Char"/>
    <w:basedOn w:val="12"/>
    <w:link w:val="8"/>
    <w:semiHidden/>
    <w:qFormat/>
    <w:uiPriority w:val="99"/>
    <w:rPr>
      <w:sz w:val="18"/>
      <w:szCs w:val="18"/>
    </w:rPr>
  </w:style>
  <w:style w:type="character" w:customStyle="1" w:styleId="15">
    <w:name w:val="页脚 Char"/>
    <w:basedOn w:val="12"/>
    <w:link w:val="7"/>
    <w:semiHidden/>
    <w:qFormat/>
    <w:uiPriority w:val="99"/>
    <w:rPr>
      <w:sz w:val="18"/>
      <w:szCs w:val="18"/>
    </w:rPr>
  </w:style>
  <w:style w:type="paragraph" w:customStyle="1" w:styleId="16">
    <w:name w:val="章标题"/>
    <w:next w:val="1"/>
    <w:qFormat/>
    <w:uiPriority w:val="0"/>
    <w:pPr>
      <w:spacing w:beforeLines="50" w:afterLines="50"/>
      <w:jc w:val="both"/>
      <w:outlineLvl w:val="1"/>
    </w:pPr>
    <w:rPr>
      <w:rFonts w:ascii="黑体" w:hAnsi="Times New Roman" w:eastAsia="黑体" w:cs="Times New Roman"/>
      <w:kern w:val="0"/>
      <w:sz w:val="21"/>
      <w:szCs w:val="20"/>
      <w:lang w:val="en-US" w:eastAsia="zh-CN" w:bidi="ar-SA"/>
    </w:rPr>
  </w:style>
  <w:style w:type="character" w:customStyle="1" w:styleId="17">
    <w:name w:val="正文文本缩进 Char"/>
    <w:basedOn w:val="12"/>
    <w:link w:val="4"/>
    <w:qFormat/>
    <w:uiPriority w:val="0"/>
    <w:rPr>
      <w:rFonts w:ascii="Times New Roman" w:hAnsi="Times New Roman" w:eastAsia="宋体" w:cs="Times New Roman"/>
      <w:sz w:val="24"/>
      <w:szCs w:val="24"/>
    </w:rPr>
  </w:style>
  <w:style w:type="character" w:customStyle="1" w:styleId="18">
    <w:name w:val="批注文字 Char"/>
    <w:basedOn w:val="12"/>
    <w:link w:val="2"/>
    <w:qFormat/>
    <w:uiPriority w:val="0"/>
    <w:rPr>
      <w:rFonts w:ascii="宋体" w:hAnsi="宋体" w:eastAsia="宋体" w:cs="Times New Roman"/>
      <w:szCs w:val="24"/>
    </w:rPr>
  </w:style>
  <w:style w:type="paragraph" w:styleId="19">
    <w:name w:val="List Paragraph"/>
    <w:basedOn w:val="1"/>
    <w:qFormat/>
    <w:uiPriority w:val="34"/>
    <w:pPr>
      <w:ind w:firstLine="420" w:firstLineChars="200"/>
    </w:pPr>
  </w:style>
  <w:style w:type="paragraph" w:customStyle="1" w:styleId="20">
    <w:name w:val="段"/>
    <w:link w:val="21"/>
    <w:qFormat/>
    <w:uiPriority w:val="0"/>
    <w:pPr>
      <w:autoSpaceDE w:val="0"/>
      <w:autoSpaceDN w:val="0"/>
      <w:ind w:firstLine="200" w:firstLineChars="200"/>
      <w:jc w:val="both"/>
    </w:pPr>
    <w:rPr>
      <w:rFonts w:ascii="宋体" w:hAnsi="Times New Roman" w:eastAsia="宋体" w:cs="Times New Roman"/>
      <w:kern w:val="0"/>
      <w:sz w:val="21"/>
      <w:szCs w:val="22"/>
      <w:lang w:val="en-US" w:eastAsia="zh-CN" w:bidi="ar-SA"/>
    </w:rPr>
  </w:style>
  <w:style w:type="character" w:customStyle="1" w:styleId="21">
    <w:name w:val="段 Char"/>
    <w:link w:val="20"/>
    <w:qFormat/>
    <w:uiPriority w:val="0"/>
    <w:rPr>
      <w:rFonts w:ascii="宋体" w:hAnsi="Times New Roman" w:eastAsia="宋体" w:cs="Times New Roman"/>
      <w:kern w:val="0"/>
    </w:rPr>
  </w:style>
  <w:style w:type="paragraph" w:customStyle="1" w:styleId="22">
    <w:name w:val="标准文件_一级条标题"/>
    <w:basedOn w:val="23"/>
    <w:next w:val="24"/>
    <w:qFormat/>
    <w:uiPriority w:val="0"/>
    <w:pPr>
      <w:spacing w:before="50" w:beforeLines="50" w:after="50" w:afterLines="50"/>
      <w:outlineLvl w:val="1"/>
    </w:pPr>
  </w:style>
  <w:style w:type="paragraph" w:customStyle="1" w:styleId="23">
    <w:name w:val="标准文件_章标题"/>
    <w:next w:val="24"/>
    <w:qFormat/>
    <w:uiPriority w:val="0"/>
    <w:pPr>
      <w:spacing w:before="312" w:beforeLines="100" w:after="312" w:afterLines="100"/>
      <w:jc w:val="both"/>
      <w:outlineLvl w:val="0"/>
    </w:pPr>
    <w:rPr>
      <w:rFonts w:ascii="Times New Roman" w:hAnsi="Times New Roman" w:eastAsia="黑体" w:cs="Times New Roman"/>
      <w:sz w:val="21"/>
      <w:lang w:val="en-US" w:eastAsia="zh-CN" w:bidi="ar-SA"/>
    </w:rPr>
  </w:style>
  <w:style w:type="paragraph" w:customStyle="1" w:styleId="24">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2C55B-7085-467F-ABDB-CBEB33EA7829}">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17</Pages>
  <Words>6282</Words>
  <Characters>7264</Characters>
  <Lines>68</Lines>
  <Paragraphs>19</Paragraphs>
  <TotalTime>6</TotalTime>
  <ScaleCrop>false</ScaleCrop>
  <LinksUpToDate>false</LinksUpToDate>
  <CharactersWithSpaces>7415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2022-08-03T02:17:00Z</dcterms:created>
  <dc:creator>Sky123.Org</dc:creator>
  <cp:lastModifiedBy>shwshwhw</cp:lastModifiedBy>
  <dcterms:modified xsi:type="dcterms:W3CDTF">2026-07-06T05:12:47Z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658DC23EB83647C489A2F5BABE865BC3_13</vt:lpwstr>
  </property>
  <property fmtid="{D5CDD505-2E9C-101B-9397-08002B2CF9AE}" pid="4" name="KSOTemplateDocerSaveRecord">
    <vt:lpwstr>eyJoZGlkIjoiZmMwMDBhYWUyMTE5ODgyOTcyZjZhMmRjMjcxYWQ3NTMiLCJ1c2VySWQiOiI0ODk4NjMwMTAifQ==</vt:lpwstr>
  </property>
</Properties>
</file>