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8A4E33">
      <w:pPr>
        <w:jc w:val="center"/>
        <w:rPr>
          <w:rFonts w:hint="eastAsia" w:eastAsia="黑体"/>
          <w:color w:val="auto"/>
          <w:sz w:val="32"/>
          <w:szCs w:val="32"/>
          <w:lang w:val="en-US" w:eastAsia="zh-CN"/>
        </w:rPr>
      </w:pPr>
    </w:p>
    <w:p w14:paraId="43B6A713">
      <w:pPr>
        <w:jc w:val="center"/>
        <w:rPr>
          <w:rFonts w:hint="eastAsia" w:eastAsia="黑体"/>
          <w:color w:val="auto"/>
          <w:sz w:val="32"/>
          <w:szCs w:val="32"/>
          <w:lang w:val="en-US" w:eastAsia="zh-CN"/>
        </w:rPr>
      </w:pPr>
    </w:p>
    <w:p w14:paraId="077F43BF">
      <w:pPr>
        <w:jc w:val="center"/>
        <w:rPr>
          <w:rFonts w:hint="eastAsia" w:eastAsia="黑体"/>
          <w:color w:val="auto"/>
          <w:sz w:val="32"/>
          <w:szCs w:val="32"/>
          <w:lang w:val="en-US" w:eastAsia="zh-CN"/>
        </w:rPr>
      </w:pPr>
    </w:p>
    <w:p w14:paraId="53969195">
      <w:pPr>
        <w:jc w:val="center"/>
        <w:rPr>
          <w:rFonts w:hint="eastAsia" w:eastAsia="黑体"/>
          <w:color w:val="auto"/>
          <w:sz w:val="32"/>
          <w:szCs w:val="32"/>
          <w:lang w:val="en-US" w:eastAsia="zh-CN"/>
        </w:rPr>
      </w:pPr>
    </w:p>
    <w:p w14:paraId="49B2B3D8">
      <w:pPr>
        <w:jc w:val="center"/>
        <w:rPr>
          <w:rFonts w:hint="eastAsia" w:eastAsia="黑体"/>
          <w:color w:val="auto"/>
          <w:sz w:val="32"/>
          <w:szCs w:val="32"/>
          <w:lang w:val="en-US" w:eastAsia="zh-CN"/>
        </w:rPr>
      </w:pPr>
    </w:p>
    <w:p w14:paraId="68A45F7A">
      <w:pPr>
        <w:jc w:val="center"/>
        <w:rPr>
          <w:rFonts w:hint="eastAsia" w:eastAsia="黑体"/>
          <w:color w:val="auto"/>
          <w:sz w:val="44"/>
          <w:szCs w:val="44"/>
          <w:lang w:val="en-US" w:eastAsia="zh-CN"/>
        </w:rPr>
      </w:pPr>
    </w:p>
    <w:p w14:paraId="00AE9882">
      <w:pPr>
        <w:jc w:val="center"/>
        <w:rPr>
          <w:rFonts w:hint="eastAsia" w:eastAsia="黑体"/>
          <w:color w:val="auto"/>
          <w:sz w:val="44"/>
          <w:szCs w:val="44"/>
          <w:lang w:val="en-US" w:eastAsia="zh-CN"/>
        </w:rPr>
      </w:pPr>
      <w:r>
        <w:rPr>
          <w:rFonts w:hint="eastAsia" w:eastAsia="黑体"/>
          <w:color w:val="auto"/>
          <w:sz w:val="44"/>
          <w:szCs w:val="44"/>
          <w:lang w:val="en-US" w:eastAsia="zh-CN"/>
        </w:rPr>
        <w:t>国家标准《电工用铜线坯》编制说明</w:t>
      </w:r>
    </w:p>
    <w:p w14:paraId="2B0E82A0">
      <w:pPr>
        <w:pStyle w:val="4"/>
        <w:rPr>
          <w:rFonts w:hint="eastAsia"/>
          <w:lang w:val="en-US" w:eastAsia="zh-CN"/>
        </w:rPr>
      </w:pPr>
    </w:p>
    <w:p w14:paraId="6FD979E8">
      <w:pPr>
        <w:jc w:val="center"/>
        <w:rPr>
          <w:rFonts w:hint="eastAsia" w:eastAsia="黑体"/>
          <w:color w:val="auto"/>
          <w:sz w:val="32"/>
          <w:szCs w:val="32"/>
          <w:lang w:val="en-US" w:eastAsia="zh-CN"/>
        </w:rPr>
      </w:pPr>
      <w:r>
        <w:rPr>
          <w:rFonts w:hint="eastAsia" w:eastAsia="黑体"/>
          <w:color w:val="auto"/>
          <w:sz w:val="32"/>
          <w:szCs w:val="32"/>
          <w:lang w:val="en-US" w:eastAsia="zh-CN"/>
        </w:rPr>
        <w:t>（讨论稿）</w:t>
      </w:r>
    </w:p>
    <w:p w14:paraId="083AF3D4">
      <w:pPr>
        <w:jc w:val="center"/>
        <w:rPr>
          <w:rFonts w:hint="eastAsia" w:eastAsia="黑体"/>
          <w:color w:val="auto"/>
          <w:sz w:val="28"/>
          <w:szCs w:val="28"/>
          <w:lang w:val="en-US" w:eastAsia="zh-CN"/>
        </w:rPr>
      </w:pPr>
    </w:p>
    <w:p w14:paraId="67D435A6">
      <w:pPr>
        <w:jc w:val="center"/>
        <w:rPr>
          <w:rFonts w:hint="eastAsia" w:eastAsia="黑体"/>
          <w:color w:val="auto"/>
          <w:sz w:val="28"/>
          <w:szCs w:val="28"/>
          <w:lang w:val="en-US" w:eastAsia="zh-CN"/>
        </w:rPr>
      </w:pPr>
    </w:p>
    <w:p w14:paraId="4D5E62B0">
      <w:pPr>
        <w:jc w:val="center"/>
        <w:rPr>
          <w:rFonts w:hint="eastAsia" w:eastAsia="黑体"/>
          <w:color w:val="auto"/>
          <w:sz w:val="28"/>
          <w:szCs w:val="28"/>
          <w:lang w:val="en-US" w:eastAsia="zh-CN"/>
        </w:rPr>
      </w:pPr>
    </w:p>
    <w:p w14:paraId="15B73921">
      <w:pPr>
        <w:jc w:val="center"/>
        <w:rPr>
          <w:rFonts w:hint="eastAsia" w:eastAsia="黑体"/>
          <w:color w:val="auto"/>
          <w:sz w:val="28"/>
          <w:szCs w:val="28"/>
          <w:lang w:val="en-US" w:eastAsia="zh-CN"/>
        </w:rPr>
      </w:pPr>
    </w:p>
    <w:p w14:paraId="4AE6AF22">
      <w:pPr>
        <w:jc w:val="center"/>
        <w:rPr>
          <w:rFonts w:hint="eastAsia" w:eastAsia="黑体"/>
          <w:color w:val="auto"/>
          <w:sz w:val="28"/>
          <w:szCs w:val="28"/>
          <w:lang w:val="en-US" w:eastAsia="zh-CN"/>
        </w:rPr>
      </w:pPr>
    </w:p>
    <w:p w14:paraId="65CCCD6A">
      <w:pPr>
        <w:jc w:val="center"/>
        <w:rPr>
          <w:rFonts w:hint="eastAsia" w:eastAsia="黑体"/>
          <w:color w:val="auto"/>
          <w:sz w:val="28"/>
          <w:szCs w:val="28"/>
          <w:lang w:val="en-US" w:eastAsia="zh-CN"/>
        </w:rPr>
      </w:pPr>
    </w:p>
    <w:p w14:paraId="00909E4C">
      <w:pPr>
        <w:jc w:val="center"/>
        <w:rPr>
          <w:rFonts w:hint="eastAsia" w:eastAsia="黑体"/>
          <w:color w:val="auto"/>
          <w:sz w:val="28"/>
          <w:szCs w:val="28"/>
          <w:lang w:val="en-US" w:eastAsia="zh-CN"/>
        </w:rPr>
      </w:pPr>
    </w:p>
    <w:p w14:paraId="07B79163">
      <w:pPr>
        <w:jc w:val="center"/>
        <w:rPr>
          <w:rFonts w:hint="eastAsia" w:eastAsia="黑体"/>
          <w:color w:val="auto"/>
          <w:sz w:val="28"/>
          <w:szCs w:val="28"/>
          <w:lang w:val="en-US" w:eastAsia="zh-CN"/>
        </w:rPr>
      </w:pPr>
      <w:r>
        <w:rPr>
          <w:rFonts w:hint="eastAsia" w:eastAsia="黑体"/>
          <w:color w:val="auto"/>
          <w:sz w:val="28"/>
          <w:szCs w:val="28"/>
          <w:lang w:val="en-US" w:eastAsia="zh-CN"/>
        </w:rPr>
        <w:t>江西铜业股份有限公司</w:t>
      </w:r>
    </w:p>
    <w:p w14:paraId="23FDA1D1">
      <w:pPr>
        <w:jc w:val="center"/>
        <w:rPr>
          <w:rFonts w:hint="default" w:eastAsia="黑体"/>
          <w:color w:val="auto"/>
          <w:sz w:val="28"/>
          <w:szCs w:val="28"/>
          <w:lang w:val="en-US" w:eastAsia="zh-CN"/>
        </w:rPr>
      </w:pPr>
      <w:r>
        <w:rPr>
          <w:rFonts w:hint="eastAsia" w:eastAsia="黑体"/>
          <w:color w:val="auto"/>
          <w:sz w:val="28"/>
          <w:szCs w:val="28"/>
          <w:lang w:val="en-US" w:eastAsia="zh-CN"/>
        </w:rPr>
        <w:t>2026年3月</w:t>
      </w:r>
      <w:r>
        <w:rPr>
          <w:rFonts w:hint="eastAsia" w:eastAsia="黑体"/>
          <w:color w:val="auto"/>
          <w:sz w:val="28"/>
          <w:szCs w:val="28"/>
          <w:lang w:val="en-US" w:eastAsia="zh-CN"/>
        </w:rPr>
        <w:br w:type="page"/>
      </w:r>
    </w:p>
    <w:p w14:paraId="28BBC161">
      <w:pPr>
        <w:jc w:val="center"/>
        <w:rPr>
          <w:rFonts w:hint="eastAsia" w:eastAsia="黑体"/>
          <w:color w:val="auto"/>
          <w:sz w:val="44"/>
          <w:szCs w:val="44"/>
          <w:lang w:val="en-US" w:eastAsia="zh-CN"/>
        </w:rPr>
      </w:pPr>
      <w:r>
        <w:rPr>
          <w:rFonts w:hint="eastAsia" w:eastAsia="黑体"/>
          <w:color w:val="auto"/>
          <w:sz w:val="44"/>
          <w:szCs w:val="44"/>
          <w:lang w:val="en-US" w:eastAsia="zh-CN"/>
        </w:rPr>
        <w:t>国家标准《电工用铜线坯》编制说明</w:t>
      </w:r>
    </w:p>
    <w:p w14:paraId="6E03AA90">
      <w:pPr>
        <w:jc w:val="center"/>
        <w:rPr>
          <w:rFonts w:hint="eastAsia" w:eastAsia="黑体"/>
          <w:color w:val="auto"/>
          <w:sz w:val="44"/>
          <w:szCs w:val="44"/>
          <w:lang w:val="en-US" w:eastAsia="zh-CN"/>
        </w:rPr>
      </w:pPr>
      <w:r>
        <w:rPr>
          <w:rFonts w:hint="eastAsia" w:eastAsia="黑体"/>
          <w:color w:val="auto"/>
          <w:sz w:val="44"/>
          <w:szCs w:val="44"/>
          <w:lang w:val="en-US" w:eastAsia="zh-CN"/>
        </w:rPr>
        <w:t>（讨论稿）</w:t>
      </w:r>
    </w:p>
    <w:p w14:paraId="5229526A">
      <w:pPr>
        <w:pStyle w:val="9"/>
        <w:keepNext w:val="0"/>
        <w:keepLines w:val="0"/>
        <w:pageBreakBefore w:val="0"/>
        <w:kinsoku/>
        <w:wordWrap/>
        <w:overflowPunct/>
        <w:topLinePunct w:val="0"/>
        <w:autoSpaceDE/>
        <w:autoSpaceDN/>
        <w:bidi w:val="0"/>
        <w:adjustRightInd/>
        <w:snapToGrid/>
        <w:spacing w:before="0" w:beforeAutospacing="0" w:after="0" w:afterAutospacing="0" w:line="360" w:lineRule="auto"/>
        <w:jc w:val="both"/>
        <w:textAlignment w:val="auto"/>
        <w:rPr>
          <w:rFonts w:ascii="黑体" w:eastAsia="黑体" w:cs="Arial"/>
          <w:color w:val="auto"/>
          <w:sz w:val="21"/>
          <w:szCs w:val="21"/>
        </w:rPr>
      </w:pPr>
      <w:r>
        <w:rPr>
          <w:rFonts w:hint="eastAsia" w:ascii="黑体" w:eastAsia="黑体" w:cs="Arial"/>
          <w:color w:val="auto"/>
          <w:sz w:val="21"/>
          <w:szCs w:val="21"/>
        </w:rPr>
        <w:t>一、工作简况</w:t>
      </w:r>
    </w:p>
    <w:p w14:paraId="7889C107">
      <w:pPr>
        <w:pStyle w:val="9"/>
        <w:keepNext w:val="0"/>
        <w:keepLines w:val="0"/>
        <w:pageBreakBefore w:val="0"/>
        <w:kinsoku/>
        <w:wordWrap/>
        <w:overflowPunct/>
        <w:topLinePunct w:val="0"/>
        <w:autoSpaceDE/>
        <w:autoSpaceDN/>
        <w:bidi w:val="0"/>
        <w:adjustRightInd/>
        <w:snapToGrid/>
        <w:spacing w:before="0" w:beforeAutospacing="0" w:after="0" w:afterAutospacing="0" w:line="360" w:lineRule="auto"/>
        <w:jc w:val="both"/>
        <w:textAlignment w:val="auto"/>
        <w:rPr>
          <w:rFonts w:ascii="黑体" w:eastAsia="黑体" w:cs="Arial"/>
          <w:color w:val="auto"/>
          <w:sz w:val="21"/>
          <w:szCs w:val="21"/>
        </w:rPr>
      </w:pPr>
      <w:r>
        <w:rPr>
          <w:rFonts w:hint="eastAsia" w:ascii="黑体" w:eastAsia="黑体" w:cs="Arial"/>
          <w:color w:val="auto"/>
          <w:sz w:val="21"/>
          <w:szCs w:val="21"/>
        </w:rPr>
        <w:t>1.1任务来源</w:t>
      </w:r>
    </w:p>
    <w:p w14:paraId="517C176B">
      <w:pPr>
        <w:pStyle w:val="18"/>
        <w:keepNext w:val="0"/>
        <w:keepLines w:val="0"/>
        <w:pageBreakBefore w:val="0"/>
        <w:kinsoku/>
        <w:wordWrap/>
        <w:overflowPunct/>
        <w:topLinePunct w:val="0"/>
        <w:autoSpaceDE/>
        <w:autoSpaceDN/>
        <w:bidi w:val="0"/>
        <w:adjustRightInd/>
        <w:snapToGrid/>
        <w:spacing w:beforeLines="0" w:afterLines="0" w:line="360" w:lineRule="auto"/>
        <w:ind w:firstLine="420" w:firstLineChars="200"/>
        <w:textAlignment w:val="auto"/>
        <w:outlineLvl w:val="9"/>
        <w:rPr>
          <w:rFonts w:hint="eastAsia" w:ascii="方正楷体简体" w:hAnsi="方正楷体简体" w:eastAsia="方正楷体简体" w:cs="方正楷体简体"/>
          <w:color w:val="000000" w:themeColor="text1"/>
          <w:kern w:val="2"/>
          <w:sz w:val="21"/>
          <w:szCs w:val="21"/>
          <w:lang w:val="en-US" w:eastAsia="zh-CN" w:bidi="ar-SA"/>
          <w14:textFill>
            <w14:solidFill>
              <w14:schemeClr w14:val="tx1"/>
            </w14:solidFill>
          </w14:textFill>
        </w:rPr>
      </w:pPr>
      <w:r>
        <w:rPr>
          <w:rFonts w:hint="eastAsia" w:ascii="方正楷体简体" w:hAnsi="方正楷体简体" w:eastAsia="方正楷体简体" w:cs="方正楷体简体"/>
          <w:color w:val="000000" w:themeColor="text1"/>
          <w:kern w:val="2"/>
          <w:sz w:val="21"/>
          <w:szCs w:val="21"/>
          <w:lang w:val="en-US" w:eastAsia="zh-CN" w:bidi="ar-SA"/>
          <w14:textFill>
            <w14:solidFill>
              <w14:schemeClr w14:val="tx1"/>
            </w14:solidFill>
          </w14:textFill>
        </w:rPr>
        <w:t>项目是根据国家标准化管理委员会关于下达2026年第X批推荐性国家标准计划和相关推荐性国家标准外文版计划(国标委发(202X)X号)，计划编号:X，项目名称:《电工用铜线坯》。标准性质:推荐性国家标准:制修订:修订，项目周期:18个月。计划应完成时间:2027年X月。</w:t>
      </w:r>
    </w:p>
    <w:p w14:paraId="78559F10">
      <w:pPr>
        <w:pStyle w:val="18"/>
        <w:keepNext w:val="0"/>
        <w:keepLines w:val="0"/>
        <w:pageBreakBefore w:val="0"/>
        <w:kinsoku/>
        <w:wordWrap/>
        <w:overflowPunct/>
        <w:topLinePunct w:val="0"/>
        <w:autoSpaceDE/>
        <w:autoSpaceDN/>
        <w:bidi w:val="0"/>
        <w:adjustRightInd/>
        <w:snapToGrid/>
        <w:spacing w:beforeLines="0" w:afterLines="0" w:line="360" w:lineRule="auto"/>
        <w:textAlignment w:val="auto"/>
        <w:outlineLvl w:val="9"/>
        <w:rPr>
          <w:rFonts w:hint="eastAsia" w:hAnsi="黑体" w:cs="黑体"/>
          <w:color w:val="auto"/>
          <w:sz w:val="21"/>
          <w:szCs w:val="21"/>
        </w:rPr>
      </w:pPr>
      <w:r>
        <w:rPr>
          <w:rFonts w:hint="eastAsia" w:hAnsi="黑体" w:cs="黑体"/>
          <w:color w:val="auto"/>
          <w:sz w:val="21"/>
          <w:szCs w:val="21"/>
        </w:rPr>
        <w:t>1.2立项目的和意义</w:t>
      </w:r>
    </w:p>
    <w:p w14:paraId="04A1FA1C">
      <w:pPr>
        <w:keepNext w:val="0"/>
        <w:keepLines w:val="0"/>
        <w:pageBreakBefore w:val="0"/>
        <w:wordWrap/>
        <w:topLinePunct w:val="0"/>
        <w:bidi w:val="0"/>
        <w:snapToGrid/>
        <w:spacing w:line="360" w:lineRule="auto"/>
        <w:textAlignment w:val="auto"/>
        <w:rPr>
          <w:rFonts w:hint="default" w:ascii="方正楷体简体" w:hAnsi="方正楷体简体" w:eastAsia="方正楷体简体" w:cs="方正楷体简体"/>
          <w:color w:val="000000" w:themeColor="text1"/>
          <w:sz w:val="21"/>
          <w:szCs w:val="21"/>
          <w:lang w:val="en-US" w:eastAsia="zh-CN"/>
          <w14:textFill>
            <w14:solidFill>
              <w14:schemeClr w14:val="tx1"/>
            </w14:solidFill>
          </w14:textFill>
        </w:rPr>
      </w:pPr>
      <w:r>
        <w:rPr>
          <w:rFonts w:hint="eastAsia" w:ascii="方正楷体简体" w:hAnsi="方正楷体简体" w:eastAsia="方正楷体简体" w:cs="方正楷体简体"/>
          <w:color w:val="000000" w:themeColor="text1"/>
          <w:sz w:val="21"/>
          <w:szCs w:val="21"/>
          <w:lang w:val="en-US" w:eastAsia="zh-CN"/>
          <w14:textFill>
            <w14:solidFill>
              <w14:schemeClr w14:val="tx1"/>
            </w14:solidFill>
          </w14:textFill>
        </w:rPr>
        <w:t>1.2.1 立项目的</w:t>
      </w:r>
    </w:p>
    <w:p w14:paraId="4E241F12">
      <w:pPr>
        <w:keepNext w:val="0"/>
        <w:keepLines w:val="0"/>
        <w:pageBreakBefore w:val="0"/>
        <w:wordWrap/>
        <w:topLinePunct w:val="0"/>
        <w:bidi w:val="0"/>
        <w:snapToGrid/>
        <w:spacing w:line="360" w:lineRule="auto"/>
        <w:ind w:firstLine="420" w:firstLineChars="200"/>
        <w:textAlignment w:val="auto"/>
        <w:rPr>
          <w:rFonts w:hint="eastAsia" w:ascii="方正楷体简体" w:hAnsi="方正楷体简体" w:eastAsia="方正楷体简体" w:cs="方正楷体简体"/>
          <w:color w:val="000000" w:themeColor="text1"/>
          <w:sz w:val="21"/>
          <w:szCs w:val="21"/>
          <w14:textFill>
            <w14:solidFill>
              <w14:schemeClr w14:val="tx1"/>
            </w14:solidFill>
          </w14:textFill>
        </w:rPr>
      </w:pPr>
      <w:r>
        <w:rPr>
          <w:rFonts w:hint="eastAsia" w:ascii="方正楷体简体" w:hAnsi="方正楷体简体" w:eastAsia="方正楷体简体" w:cs="方正楷体简体"/>
          <w:color w:val="000000" w:themeColor="text1"/>
          <w:sz w:val="21"/>
          <w:szCs w:val="21"/>
          <w14:textFill>
            <w14:solidFill>
              <w14:schemeClr w14:val="tx1"/>
            </w14:solidFill>
          </w14:textFill>
        </w:rPr>
        <w:t>随着电力、电子、通信等行业的快速发展，对电工用铜线坯的需求日益增长，对其质量和性能也提出了更高要求。现行国家标准《电工用铜线坯》（GB/T 3952 - 2016 ）在指导生产和规范市场方面发挥了重要作用，但面对行业技术的不断进步以及新的应用场景，标准中的部分内容已难以满足实际需求，亟待修订完善。</w:t>
      </w:r>
    </w:p>
    <w:p w14:paraId="01517F04">
      <w:pPr>
        <w:keepNext w:val="0"/>
        <w:keepLines w:val="0"/>
        <w:pageBreakBefore w:val="0"/>
        <w:numPr>
          <w:ilvl w:val="0"/>
          <w:numId w:val="2"/>
        </w:numPr>
        <w:wordWrap/>
        <w:topLinePunct w:val="0"/>
        <w:bidi w:val="0"/>
        <w:snapToGrid/>
        <w:spacing w:line="360" w:lineRule="auto"/>
        <w:ind w:firstLine="420" w:firstLineChars="200"/>
        <w:textAlignment w:val="auto"/>
        <w:rPr>
          <w:rFonts w:hint="eastAsia" w:ascii="方正楷体简体" w:hAnsi="方正楷体简体" w:eastAsia="方正楷体简体" w:cs="方正楷体简体"/>
          <w:color w:val="000000" w:themeColor="text1"/>
          <w:sz w:val="21"/>
          <w:szCs w:val="21"/>
          <w:lang w:val="en-US" w:eastAsia="zh-CN"/>
          <w14:textFill>
            <w14:solidFill>
              <w14:schemeClr w14:val="tx1"/>
            </w14:solidFill>
          </w14:textFill>
        </w:rPr>
      </w:pPr>
      <w:r>
        <w:rPr>
          <w:rFonts w:hint="eastAsia" w:ascii="方正楷体简体" w:hAnsi="方正楷体简体" w:eastAsia="方正楷体简体" w:cs="方正楷体简体"/>
          <w:color w:val="000000" w:themeColor="text1"/>
          <w:sz w:val="21"/>
          <w:szCs w:val="21"/>
          <w:lang w:val="en-US" w:eastAsia="zh-CN"/>
          <w14:textFill>
            <w14:solidFill>
              <w14:schemeClr w14:val="tx1"/>
            </w14:solidFill>
          </w14:textFill>
        </w:rPr>
        <w:t>近年来新能源行业的迅猛发展，电磁线作为新能源行业的主要材料，2023年全国总产能约280万吨，是铜杆使用巨头。但是电磁线和漆包线用铜杆性能指标远高于国标，如电磁线龙头行业金杯电工、福建大通、江西铜业等生产企业均要求铜粉含量不大于5mg/250mm，且对其他如扭转、电阻率、氧化膜等指标要求均严于国标。</w:t>
      </w:r>
    </w:p>
    <w:p w14:paraId="7C9F212F">
      <w:pPr>
        <w:keepNext w:val="0"/>
        <w:keepLines w:val="0"/>
        <w:pageBreakBefore w:val="0"/>
        <w:numPr>
          <w:ilvl w:val="0"/>
          <w:numId w:val="2"/>
        </w:numPr>
        <w:wordWrap/>
        <w:topLinePunct w:val="0"/>
        <w:bidi w:val="0"/>
        <w:snapToGrid/>
        <w:spacing w:line="360" w:lineRule="auto"/>
        <w:ind w:left="0" w:leftChars="0" w:firstLine="420" w:firstLineChars="200"/>
        <w:textAlignment w:val="auto"/>
        <w:rPr>
          <w:rFonts w:hint="eastAsia" w:ascii="方正楷体简体" w:hAnsi="方正楷体简体" w:eastAsia="方正楷体简体" w:cs="方正楷体简体"/>
          <w:color w:val="000000" w:themeColor="text1"/>
          <w:sz w:val="21"/>
          <w:szCs w:val="21"/>
          <w:lang w:val="en-US" w:eastAsia="zh-CN"/>
          <w14:textFill>
            <w14:solidFill>
              <w14:schemeClr w14:val="tx1"/>
            </w14:solidFill>
          </w14:textFill>
        </w:rPr>
      </w:pPr>
      <w:r>
        <w:rPr>
          <w:rFonts w:hint="eastAsia" w:ascii="方正楷体简体" w:hAnsi="方正楷体简体" w:eastAsia="方正楷体简体" w:cs="方正楷体简体"/>
          <w:color w:val="000000" w:themeColor="text1"/>
          <w:sz w:val="21"/>
          <w:szCs w:val="21"/>
          <w:lang w:val="en-US" w:eastAsia="zh-CN"/>
          <w14:textFill>
            <w14:solidFill>
              <w14:schemeClr w14:val="tx1"/>
            </w14:solidFill>
          </w14:textFill>
        </w:rPr>
        <w:t>传统拉丝行业随着设备升级也逐渐由单头拉丝转化为多头连拉连退设备，相比于单头拉丝机，多头拉具有生产效率高、产品质量稳定、自动化程度高等优点，但是高性能设备对原材料要求更是严格，T1牌号电工用铜线坯部分指标无法满足生产需求。</w:t>
      </w:r>
    </w:p>
    <w:p w14:paraId="7D201AE2">
      <w:pPr>
        <w:keepNext w:val="0"/>
        <w:keepLines w:val="0"/>
        <w:pageBreakBefore w:val="0"/>
        <w:numPr>
          <w:ilvl w:val="0"/>
          <w:numId w:val="0"/>
        </w:numPr>
        <w:wordWrap/>
        <w:topLinePunct w:val="0"/>
        <w:bidi w:val="0"/>
        <w:snapToGrid/>
        <w:spacing w:line="360" w:lineRule="auto"/>
        <w:ind w:firstLine="420" w:firstLineChars="200"/>
        <w:textAlignment w:val="auto"/>
        <w:rPr>
          <w:rFonts w:hint="default" w:ascii="方正楷体简体" w:hAnsi="方正楷体简体" w:eastAsia="方正楷体简体" w:cs="方正楷体简体"/>
          <w:color w:val="000000" w:themeColor="text1"/>
          <w:sz w:val="21"/>
          <w:szCs w:val="21"/>
          <w:lang w:val="en-US" w:eastAsia="zh-CN"/>
          <w14:textFill>
            <w14:solidFill>
              <w14:schemeClr w14:val="tx1"/>
            </w14:solidFill>
          </w14:textFill>
        </w:rPr>
      </w:pPr>
      <w:r>
        <w:rPr>
          <w:rFonts w:hint="eastAsia" w:ascii="方正楷体简体" w:hAnsi="方正楷体简体" w:eastAsia="方正楷体简体" w:cs="方正楷体简体"/>
          <w:color w:val="000000" w:themeColor="text1"/>
          <w:sz w:val="21"/>
          <w:szCs w:val="21"/>
          <w:lang w:val="en-US" w:eastAsia="zh-CN"/>
          <w14:textFill>
            <w14:solidFill>
              <w14:schemeClr w14:val="tx1"/>
            </w14:solidFill>
          </w14:textFill>
        </w:rPr>
        <w:t>另</w:t>
      </w:r>
      <w:r>
        <w:rPr>
          <w:rFonts w:hint="eastAsia" w:ascii="方正楷体简体" w:hAnsi="方正楷体简体" w:eastAsia="方正楷体简体" w:cs="方正楷体简体"/>
          <w:color w:val="000000" w:themeColor="text1"/>
          <w:sz w:val="21"/>
          <w:szCs w:val="21"/>
          <w14:textFill>
            <w14:solidFill>
              <w14:schemeClr w14:val="tx1"/>
            </w14:solidFill>
          </w14:textFill>
        </w:rPr>
        <w:t>据上海有色网（SMM）统计，2023年中国精铜制杆设备产能约为1545万吨，再生铜制杆设备产能约为681万吨，全国铜杆设备产能共计约2226万吨</w:t>
      </w:r>
      <w:r>
        <w:rPr>
          <w:rFonts w:hint="eastAsia" w:ascii="方正楷体简体" w:hAnsi="方正楷体简体" w:eastAsia="方正楷体简体" w:cs="方正楷体简体"/>
          <w:color w:val="000000" w:themeColor="text1"/>
          <w:sz w:val="21"/>
          <w:szCs w:val="21"/>
          <w:lang w:eastAsia="zh-CN"/>
          <w14:textFill>
            <w14:solidFill>
              <w14:schemeClr w14:val="tx1"/>
            </w14:solidFill>
          </w14:textFill>
        </w:rPr>
        <w:t>，</w:t>
      </w:r>
      <w:r>
        <w:rPr>
          <w:rFonts w:hint="eastAsia" w:ascii="方正楷体简体" w:hAnsi="方正楷体简体" w:eastAsia="方正楷体简体" w:cs="方正楷体简体"/>
          <w:color w:val="000000" w:themeColor="text1"/>
          <w:sz w:val="21"/>
          <w:szCs w:val="21"/>
          <w:lang w:val="en-US" w:eastAsia="zh-CN"/>
          <w14:textFill>
            <w14:solidFill>
              <w14:schemeClr w14:val="tx1"/>
            </w14:solidFill>
          </w14:textFill>
        </w:rPr>
        <w:t>但2023年全国铜杆产量只在1200多万吨，其中精铜杆产量约900多万吨，整个行业存在严重产能过剩。虽然铜杆行业产能过剩，但高质量铜杆供不应求。针对铜扁线市场需求，江西铜业股份有限公司自行研发了一种新工艺无氧铜杆产品，具有等轴晶占比大，低含氧量、高延伸、高扭转、高导电、低铜粉等优良性能，目前年产能已达到2万吨，受到了广大市场好评，其指标远远高于TU1标准，但目前的国家标准对此类产品的指导还是一片空白。</w:t>
      </w:r>
    </w:p>
    <w:p w14:paraId="27A696D8">
      <w:pPr>
        <w:keepNext w:val="0"/>
        <w:keepLines w:val="0"/>
        <w:pageBreakBefore w:val="0"/>
        <w:wordWrap/>
        <w:topLinePunct w:val="0"/>
        <w:bidi w:val="0"/>
        <w:snapToGrid/>
        <w:spacing w:line="360" w:lineRule="auto"/>
        <w:ind w:firstLine="420" w:firstLineChars="200"/>
        <w:textAlignment w:val="auto"/>
        <w:rPr>
          <w:rFonts w:hint="eastAsia" w:ascii="方正楷体简体" w:hAnsi="方正楷体简体" w:eastAsia="方正楷体简体" w:cs="方正楷体简体"/>
          <w:color w:val="000000" w:themeColor="text1"/>
          <w:sz w:val="21"/>
          <w:szCs w:val="21"/>
          <w:lang w:val="en-US" w:eastAsia="zh-CN"/>
          <w14:textFill>
            <w14:solidFill>
              <w14:schemeClr w14:val="tx1"/>
            </w14:solidFill>
          </w14:textFill>
        </w:rPr>
      </w:pPr>
      <w:r>
        <w:rPr>
          <w:rFonts w:hint="eastAsia" w:ascii="方正楷体简体" w:hAnsi="方正楷体简体" w:eastAsia="方正楷体简体" w:cs="方正楷体简体"/>
          <w:color w:val="000000" w:themeColor="text1"/>
          <w:sz w:val="21"/>
          <w:szCs w:val="21"/>
          <w:lang w:val="en-US" w:eastAsia="zh-CN"/>
          <w14:textFill>
            <w14:solidFill>
              <w14:schemeClr w14:val="tx1"/>
            </w14:solidFill>
          </w14:textFill>
        </w:rPr>
        <w:t>依据《“十四五”推动高质量发展的国家标准体系建设规划》《进-步提高产品、工程和服务质量行动方案(2022-2025年)》文件精神指示。建议对</w:t>
      </w:r>
      <w:r>
        <w:rPr>
          <w:rFonts w:hint="eastAsia" w:ascii="方正楷体简体" w:hAnsi="方正楷体简体" w:eastAsia="方正楷体简体" w:cs="方正楷体简体"/>
          <w:color w:val="000000" w:themeColor="text1"/>
          <w:sz w:val="21"/>
          <w:szCs w:val="21"/>
          <w14:textFill>
            <w14:solidFill>
              <w14:schemeClr w14:val="tx1"/>
            </w14:solidFill>
          </w14:textFill>
        </w:rPr>
        <w:t>国家标准《电工用铜线坯》（GB/T 3952 - 2016 ）</w:t>
      </w:r>
      <w:r>
        <w:rPr>
          <w:rFonts w:hint="eastAsia" w:ascii="方正楷体简体" w:hAnsi="方正楷体简体" w:eastAsia="方正楷体简体" w:cs="方正楷体简体"/>
          <w:color w:val="000000" w:themeColor="text1"/>
          <w:sz w:val="21"/>
          <w:szCs w:val="21"/>
          <w:lang w:val="en-US" w:eastAsia="zh-CN"/>
          <w14:textFill>
            <w14:solidFill>
              <w14:schemeClr w14:val="tx1"/>
            </w14:solidFill>
          </w14:textFill>
        </w:rPr>
        <w:t>进行修订。</w:t>
      </w:r>
    </w:p>
    <w:p w14:paraId="6C9FD91D">
      <w:pPr>
        <w:keepNext w:val="0"/>
        <w:keepLines w:val="0"/>
        <w:pageBreakBefore w:val="0"/>
        <w:wordWrap/>
        <w:topLinePunct w:val="0"/>
        <w:bidi w:val="0"/>
        <w:snapToGrid/>
        <w:spacing w:line="360" w:lineRule="auto"/>
        <w:textAlignment w:val="auto"/>
        <w:rPr>
          <w:rFonts w:hint="eastAsia" w:ascii="方正楷体简体" w:hAnsi="方正楷体简体" w:eastAsia="方正楷体简体" w:cs="方正楷体简体"/>
          <w:color w:val="000000" w:themeColor="text1"/>
          <w:sz w:val="21"/>
          <w:szCs w:val="21"/>
          <w:lang w:val="en-US" w:eastAsia="zh-CN"/>
          <w14:textFill>
            <w14:solidFill>
              <w14:schemeClr w14:val="tx1"/>
            </w14:solidFill>
          </w14:textFill>
        </w:rPr>
      </w:pPr>
      <w:r>
        <w:rPr>
          <w:rFonts w:hint="eastAsia" w:ascii="方正楷体简体" w:hAnsi="方正楷体简体" w:eastAsia="方正楷体简体" w:cs="方正楷体简体"/>
          <w:color w:val="000000" w:themeColor="text1"/>
          <w:sz w:val="21"/>
          <w:szCs w:val="21"/>
          <w:lang w:val="en-US" w:eastAsia="zh-CN"/>
          <w14:textFill>
            <w14:solidFill>
              <w14:schemeClr w14:val="tx1"/>
            </w14:solidFill>
          </w14:textFill>
        </w:rPr>
        <w:t>1.2.2 立项意义</w:t>
      </w:r>
    </w:p>
    <w:p w14:paraId="43B39DF1">
      <w:pPr>
        <w:keepNext w:val="0"/>
        <w:keepLines w:val="0"/>
        <w:pageBreakBefore w:val="0"/>
        <w:wordWrap/>
        <w:topLinePunct w:val="0"/>
        <w:bidi w:val="0"/>
        <w:snapToGrid/>
        <w:spacing w:line="360" w:lineRule="auto"/>
        <w:ind w:firstLine="420" w:firstLineChars="200"/>
        <w:textAlignment w:val="auto"/>
        <w:rPr>
          <w:rFonts w:hint="eastAsia" w:ascii="方正楷体简体" w:hAnsi="方正楷体简体" w:eastAsia="方正楷体简体" w:cs="方正楷体简体"/>
          <w:color w:val="000000" w:themeColor="text1"/>
          <w:sz w:val="21"/>
          <w:szCs w:val="21"/>
          <w:lang w:val="en-US" w:eastAsia="zh-CN"/>
          <w14:textFill>
            <w14:solidFill>
              <w14:schemeClr w14:val="tx1"/>
            </w14:solidFill>
          </w14:textFill>
        </w:rPr>
      </w:pPr>
      <w:r>
        <w:rPr>
          <w:rFonts w:hint="eastAsia" w:ascii="方正楷体简体" w:hAnsi="方正楷体简体" w:eastAsia="方正楷体简体" w:cs="方正楷体简体"/>
          <w:color w:val="000000" w:themeColor="text1"/>
          <w:sz w:val="21"/>
          <w:szCs w:val="21"/>
          <w:lang w:val="en-US" w:eastAsia="zh-CN"/>
          <w14:textFill>
            <w14:solidFill>
              <w14:schemeClr w14:val="tx1"/>
            </w14:solidFill>
          </w14:textFill>
        </w:rPr>
        <w:t>1.适应行业发展需求：修订标准能够使电工用铜线坯更好地满足电力传输、新能源、智能电网等领域对高性能导线材料的需求，推动行业技术升级。</w:t>
      </w:r>
    </w:p>
    <w:p w14:paraId="7DC81335">
      <w:pPr>
        <w:keepNext w:val="0"/>
        <w:keepLines w:val="0"/>
        <w:pageBreakBefore w:val="0"/>
        <w:wordWrap/>
        <w:topLinePunct w:val="0"/>
        <w:bidi w:val="0"/>
        <w:snapToGrid/>
        <w:spacing w:line="360" w:lineRule="auto"/>
        <w:ind w:firstLine="420" w:firstLineChars="200"/>
        <w:textAlignment w:val="auto"/>
        <w:rPr>
          <w:rFonts w:hint="eastAsia" w:ascii="方正楷体简体" w:hAnsi="方正楷体简体" w:eastAsia="方正楷体简体" w:cs="方正楷体简体"/>
          <w:color w:val="000000" w:themeColor="text1"/>
          <w:sz w:val="21"/>
          <w:szCs w:val="21"/>
          <w:lang w:val="en-US" w:eastAsia="zh-CN"/>
          <w14:textFill>
            <w14:solidFill>
              <w14:schemeClr w14:val="tx1"/>
            </w14:solidFill>
          </w14:textFill>
        </w:rPr>
      </w:pPr>
      <w:r>
        <w:rPr>
          <w:rFonts w:hint="eastAsia" w:ascii="方正楷体简体" w:hAnsi="方正楷体简体" w:eastAsia="方正楷体简体" w:cs="方正楷体简体"/>
          <w:color w:val="000000" w:themeColor="text1"/>
          <w:sz w:val="21"/>
          <w:szCs w:val="21"/>
          <w:lang w:val="en-US" w:eastAsia="zh-CN"/>
          <w14:textFill>
            <w14:solidFill>
              <w14:schemeClr w14:val="tx1"/>
            </w14:solidFill>
          </w14:textFill>
        </w:rPr>
        <w:t>2.提升产品质量和竞争力：明确更严格的质量和性能指标，促使企业改进生产工艺和质量控制，提高我国电工用铜线坯在国际市场的竞争力。</w:t>
      </w:r>
    </w:p>
    <w:p w14:paraId="2A6A473D">
      <w:pPr>
        <w:keepNext w:val="0"/>
        <w:keepLines w:val="0"/>
        <w:pageBreakBefore w:val="0"/>
        <w:wordWrap/>
        <w:topLinePunct w:val="0"/>
        <w:bidi w:val="0"/>
        <w:snapToGrid/>
        <w:spacing w:line="360" w:lineRule="auto"/>
        <w:ind w:firstLine="420" w:firstLineChars="200"/>
        <w:textAlignment w:val="auto"/>
        <w:rPr>
          <w:rFonts w:hint="default" w:ascii="方正楷体简体" w:hAnsi="方正楷体简体" w:eastAsia="方正楷体简体" w:cs="方正楷体简体"/>
          <w:color w:val="000000" w:themeColor="text1"/>
          <w:sz w:val="21"/>
          <w:szCs w:val="21"/>
          <w:lang w:val="en-US" w:eastAsia="zh-CN"/>
          <w14:textFill>
            <w14:solidFill>
              <w14:schemeClr w14:val="tx1"/>
            </w14:solidFill>
          </w14:textFill>
        </w:rPr>
      </w:pPr>
      <w:r>
        <w:rPr>
          <w:rFonts w:hint="eastAsia" w:ascii="方正楷体简体" w:hAnsi="方正楷体简体" w:eastAsia="方正楷体简体" w:cs="方正楷体简体"/>
          <w:color w:val="000000" w:themeColor="text1"/>
          <w:sz w:val="21"/>
          <w:szCs w:val="21"/>
          <w:lang w:val="en-US" w:eastAsia="zh-CN"/>
          <w14:textFill>
            <w14:solidFill>
              <w14:schemeClr w14:val="tx1"/>
            </w14:solidFill>
          </w14:textFill>
        </w:rPr>
        <w:t>3.规范市场秩序：统一的标准有助于规范市场，减少劣质产品流通，保障用户权益，促进市场健康有序发展。</w:t>
      </w:r>
    </w:p>
    <w:p w14:paraId="57437CB9">
      <w:pPr>
        <w:pStyle w:val="18"/>
        <w:keepNext w:val="0"/>
        <w:keepLines w:val="0"/>
        <w:pageBreakBefore w:val="0"/>
        <w:kinsoku/>
        <w:wordWrap/>
        <w:overflowPunct/>
        <w:topLinePunct w:val="0"/>
        <w:autoSpaceDE/>
        <w:autoSpaceDN/>
        <w:bidi w:val="0"/>
        <w:adjustRightInd/>
        <w:snapToGrid/>
        <w:spacing w:beforeLines="0" w:afterLines="0" w:line="360" w:lineRule="auto"/>
        <w:textAlignment w:val="auto"/>
        <w:outlineLvl w:val="9"/>
        <w:rPr>
          <w:rFonts w:hint="eastAsia" w:hAnsi="黑体" w:cs="黑体"/>
          <w:color w:val="auto"/>
          <w:sz w:val="21"/>
          <w:szCs w:val="21"/>
          <w:lang w:val="en-US" w:eastAsia="zh-CN"/>
        </w:rPr>
      </w:pPr>
      <w:r>
        <w:rPr>
          <w:rFonts w:hint="eastAsia" w:hAnsi="黑体" w:cs="黑体"/>
          <w:color w:val="auto"/>
          <w:sz w:val="21"/>
          <w:szCs w:val="21"/>
        </w:rPr>
        <w:t>1.3</w:t>
      </w:r>
      <w:r>
        <w:rPr>
          <w:rFonts w:hint="eastAsia" w:hAnsi="黑体" w:cs="黑体"/>
          <w:color w:val="auto"/>
          <w:sz w:val="21"/>
          <w:szCs w:val="21"/>
          <w:lang w:val="en-US" w:eastAsia="zh-CN"/>
        </w:rPr>
        <w:t>主要参加单位和工作成员所作的工作</w:t>
      </w:r>
    </w:p>
    <w:p w14:paraId="56A7259B">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default" w:hAnsi="宋体"/>
          <w:kern w:val="2"/>
          <w:sz w:val="21"/>
          <w:szCs w:val="21"/>
        </w:rPr>
      </w:pPr>
      <w:r>
        <w:rPr>
          <w:rFonts w:hint="default" w:hAnsi="宋体"/>
          <w:kern w:val="2"/>
          <w:sz w:val="21"/>
          <w:szCs w:val="21"/>
        </w:rPr>
        <w:t>江西铜业股份有限公司</w:t>
      </w:r>
      <w:r>
        <w:rPr>
          <w:rFonts w:hAnsi="宋体"/>
          <w:kern w:val="2"/>
          <w:sz w:val="21"/>
          <w:szCs w:val="21"/>
        </w:rPr>
        <w:t>在标准的编制过程中，能积极主动收集国内外的相关标准，对一些有代表性企业进行调研并收集数据，带领编制组成员单位认真细致修改标准文本，征求多家企业的修改意见，最终带领编制组完成标准的编制工作。</w:t>
      </w:r>
    </w:p>
    <w:p w14:paraId="1EDCBEBA">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2"/>
        <w:rPr>
          <w:rFonts w:hint="default" w:hAnsi="宋体"/>
          <w:kern w:val="2"/>
          <w:sz w:val="21"/>
          <w:szCs w:val="21"/>
        </w:rPr>
      </w:pPr>
      <w:r>
        <w:rPr>
          <w:rFonts w:hAnsi="宋体"/>
          <w:kern w:val="2"/>
          <w:sz w:val="21"/>
          <w:szCs w:val="21"/>
        </w:rPr>
        <w:t>2、主要工作成员所负责的工作情况</w:t>
      </w:r>
    </w:p>
    <w:p w14:paraId="446973DC">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default" w:hAnsi="宋体"/>
          <w:color w:val="0000FF"/>
          <w:kern w:val="2"/>
          <w:sz w:val="21"/>
          <w:szCs w:val="21"/>
        </w:rPr>
      </w:pPr>
      <w:r>
        <w:rPr>
          <w:rFonts w:hAnsi="宋体"/>
          <w:kern w:val="2"/>
          <w:sz w:val="21"/>
          <w:szCs w:val="21"/>
        </w:rPr>
        <w:t>本标准主要起草人及工作职责见表1。</w:t>
      </w:r>
    </w:p>
    <w:p w14:paraId="597B0F94">
      <w:pPr>
        <w:pStyle w:val="4"/>
        <w:keepNext w:val="0"/>
        <w:keepLines w:val="0"/>
        <w:pageBreakBefore w:val="0"/>
        <w:kinsoku w:val="0"/>
        <w:wordWrap/>
        <w:overflowPunct w:val="0"/>
        <w:topLinePunct w:val="0"/>
        <w:bidi w:val="0"/>
        <w:snapToGrid/>
        <w:spacing w:beforeLines="50" w:afterLines="50" w:line="360" w:lineRule="auto"/>
        <w:jc w:val="center"/>
        <w:textAlignment w:val="auto"/>
        <w:rPr>
          <w:rFonts w:hint="default" w:ascii="Times New Roman" w:eastAsia="黑体" w:cs="Times New Roman"/>
          <w:sz w:val="21"/>
          <w:szCs w:val="21"/>
        </w:rPr>
      </w:pPr>
      <w:r>
        <w:rPr>
          <w:rFonts w:hint="default" w:ascii="Times New Roman" w:eastAsia="黑体" w:cs="Times New Roman"/>
          <w:sz w:val="21"/>
          <w:szCs w:val="21"/>
        </w:rPr>
        <w:t>表</w:t>
      </w:r>
      <w:r>
        <w:rPr>
          <w:rFonts w:ascii="Times New Roman" w:eastAsia="黑体" w:cs="Times New Roman"/>
          <w:sz w:val="21"/>
          <w:szCs w:val="21"/>
        </w:rPr>
        <w:t>1</w:t>
      </w:r>
      <w:r>
        <w:rPr>
          <w:rFonts w:hint="default" w:ascii="Times New Roman" w:eastAsia="黑体" w:cs="Times New Roman"/>
          <w:sz w:val="21"/>
          <w:szCs w:val="21"/>
        </w:rPr>
        <w:t xml:space="preserve"> 主要起草人及工作职责</w:t>
      </w:r>
    </w:p>
    <w:tbl>
      <w:tblPr>
        <w:tblStyle w:val="12"/>
        <w:tblW w:w="412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4"/>
        <w:gridCol w:w="3118"/>
        <w:gridCol w:w="3338"/>
      </w:tblGrid>
      <w:tr w14:paraId="5D97E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428" w:type="pct"/>
            <w:shd w:val="clear" w:color="auto" w:fill="auto"/>
            <w:vAlign w:val="center"/>
          </w:tcPr>
          <w:p w14:paraId="23E975BD">
            <w:pPr>
              <w:keepNext w:val="0"/>
              <w:keepLines w:val="0"/>
              <w:pageBreakBefore w:val="0"/>
              <w:wordWrap/>
              <w:topLinePunct w:val="0"/>
              <w:bidi w:val="0"/>
              <w:snapToGrid/>
              <w:spacing w:line="360" w:lineRule="auto"/>
              <w:jc w:val="center"/>
              <w:textAlignment w:val="auto"/>
              <w:rPr>
                <w:rFonts w:hint="default" w:hAnsi="宋体"/>
                <w:sz w:val="18"/>
                <w:szCs w:val="18"/>
              </w:rPr>
            </w:pPr>
            <w:r>
              <w:rPr>
                <w:rFonts w:hAnsi="宋体"/>
                <w:sz w:val="18"/>
                <w:szCs w:val="18"/>
              </w:rPr>
              <w:t>序号</w:t>
            </w:r>
          </w:p>
        </w:tc>
        <w:tc>
          <w:tcPr>
            <w:tcW w:w="2208" w:type="pct"/>
            <w:shd w:val="clear" w:color="auto" w:fill="auto"/>
            <w:vAlign w:val="center"/>
          </w:tcPr>
          <w:p w14:paraId="4AE012A1">
            <w:pPr>
              <w:keepNext w:val="0"/>
              <w:keepLines w:val="0"/>
              <w:pageBreakBefore w:val="0"/>
              <w:wordWrap/>
              <w:topLinePunct w:val="0"/>
              <w:bidi w:val="0"/>
              <w:snapToGrid/>
              <w:spacing w:line="360" w:lineRule="auto"/>
              <w:jc w:val="center"/>
              <w:textAlignment w:val="auto"/>
              <w:rPr>
                <w:rFonts w:hint="default" w:hAnsi="宋体"/>
                <w:sz w:val="18"/>
                <w:szCs w:val="18"/>
              </w:rPr>
            </w:pPr>
            <w:r>
              <w:rPr>
                <w:rFonts w:hAnsi="宋体"/>
                <w:sz w:val="18"/>
                <w:szCs w:val="18"/>
              </w:rPr>
              <w:t>姓名</w:t>
            </w:r>
          </w:p>
        </w:tc>
        <w:tc>
          <w:tcPr>
            <w:tcW w:w="2363" w:type="pct"/>
            <w:shd w:val="clear" w:color="auto" w:fill="auto"/>
            <w:vAlign w:val="center"/>
          </w:tcPr>
          <w:p w14:paraId="6C3299DE">
            <w:pPr>
              <w:keepNext w:val="0"/>
              <w:keepLines w:val="0"/>
              <w:pageBreakBefore w:val="0"/>
              <w:wordWrap/>
              <w:topLinePunct w:val="0"/>
              <w:bidi w:val="0"/>
              <w:snapToGrid/>
              <w:spacing w:line="360" w:lineRule="auto"/>
              <w:jc w:val="center"/>
              <w:textAlignment w:val="auto"/>
              <w:rPr>
                <w:rFonts w:hint="default" w:hAnsi="宋体"/>
                <w:sz w:val="18"/>
                <w:szCs w:val="18"/>
              </w:rPr>
            </w:pPr>
            <w:r>
              <w:rPr>
                <w:rFonts w:hAnsi="宋体"/>
                <w:sz w:val="18"/>
                <w:szCs w:val="18"/>
              </w:rPr>
              <w:t>组内职责</w:t>
            </w:r>
          </w:p>
        </w:tc>
      </w:tr>
      <w:tr w14:paraId="6B6CF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428" w:type="pct"/>
            <w:vAlign w:val="center"/>
          </w:tcPr>
          <w:p w14:paraId="4C8B89B0">
            <w:pPr>
              <w:keepNext w:val="0"/>
              <w:keepLines w:val="0"/>
              <w:pageBreakBefore w:val="0"/>
              <w:wordWrap/>
              <w:topLinePunct w:val="0"/>
              <w:bidi w:val="0"/>
              <w:snapToGrid/>
              <w:spacing w:line="360" w:lineRule="auto"/>
              <w:jc w:val="center"/>
              <w:textAlignment w:val="auto"/>
              <w:rPr>
                <w:rFonts w:hint="default" w:hAnsi="宋体"/>
                <w:sz w:val="18"/>
                <w:szCs w:val="18"/>
              </w:rPr>
            </w:pPr>
            <w:r>
              <w:rPr>
                <w:rFonts w:hAnsi="宋体"/>
                <w:sz w:val="18"/>
                <w:szCs w:val="18"/>
              </w:rPr>
              <w:t>1</w:t>
            </w:r>
          </w:p>
        </w:tc>
        <w:tc>
          <w:tcPr>
            <w:tcW w:w="2208" w:type="pct"/>
            <w:vAlign w:val="center"/>
          </w:tcPr>
          <w:p w14:paraId="5AF49552">
            <w:pPr>
              <w:keepNext w:val="0"/>
              <w:keepLines w:val="0"/>
              <w:pageBreakBefore w:val="0"/>
              <w:wordWrap/>
              <w:topLinePunct w:val="0"/>
              <w:bidi w:val="0"/>
              <w:snapToGrid/>
              <w:spacing w:line="360" w:lineRule="auto"/>
              <w:jc w:val="center"/>
              <w:textAlignment w:val="auto"/>
              <w:rPr>
                <w:rFonts w:hint="default" w:hAnsi="宋体" w:eastAsia="宋体"/>
                <w:sz w:val="18"/>
                <w:szCs w:val="18"/>
                <w:lang w:val="en-US" w:eastAsia="zh-CN"/>
              </w:rPr>
            </w:pPr>
          </w:p>
        </w:tc>
        <w:tc>
          <w:tcPr>
            <w:tcW w:w="2363" w:type="pct"/>
            <w:vAlign w:val="center"/>
          </w:tcPr>
          <w:p w14:paraId="1119B5A1">
            <w:pPr>
              <w:keepNext w:val="0"/>
              <w:keepLines w:val="0"/>
              <w:pageBreakBefore w:val="0"/>
              <w:wordWrap/>
              <w:topLinePunct w:val="0"/>
              <w:bidi w:val="0"/>
              <w:snapToGrid/>
              <w:spacing w:line="360" w:lineRule="auto"/>
              <w:jc w:val="center"/>
              <w:textAlignment w:val="auto"/>
              <w:rPr>
                <w:rFonts w:hint="default" w:hAnsi="宋体"/>
                <w:sz w:val="18"/>
                <w:szCs w:val="18"/>
              </w:rPr>
            </w:pPr>
          </w:p>
        </w:tc>
      </w:tr>
      <w:tr w14:paraId="5A7DF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428" w:type="pct"/>
            <w:vAlign w:val="center"/>
          </w:tcPr>
          <w:p w14:paraId="5EAB4792">
            <w:pPr>
              <w:keepNext w:val="0"/>
              <w:keepLines w:val="0"/>
              <w:pageBreakBefore w:val="0"/>
              <w:wordWrap/>
              <w:topLinePunct w:val="0"/>
              <w:bidi w:val="0"/>
              <w:snapToGrid/>
              <w:spacing w:line="360" w:lineRule="auto"/>
              <w:jc w:val="center"/>
              <w:textAlignment w:val="auto"/>
              <w:rPr>
                <w:rFonts w:hint="default" w:hAnsi="宋体"/>
                <w:sz w:val="18"/>
                <w:szCs w:val="18"/>
              </w:rPr>
            </w:pPr>
            <w:r>
              <w:rPr>
                <w:rFonts w:hAnsi="宋体"/>
                <w:sz w:val="18"/>
                <w:szCs w:val="18"/>
              </w:rPr>
              <w:t>2</w:t>
            </w:r>
          </w:p>
        </w:tc>
        <w:tc>
          <w:tcPr>
            <w:tcW w:w="2208" w:type="pct"/>
            <w:vAlign w:val="center"/>
          </w:tcPr>
          <w:p w14:paraId="4DC3111C">
            <w:pPr>
              <w:keepNext w:val="0"/>
              <w:keepLines w:val="0"/>
              <w:pageBreakBefore w:val="0"/>
              <w:wordWrap/>
              <w:topLinePunct w:val="0"/>
              <w:bidi w:val="0"/>
              <w:snapToGrid/>
              <w:spacing w:line="360" w:lineRule="auto"/>
              <w:jc w:val="center"/>
              <w:textAlignment w:val="auto"/>
              <w:rPr>
                <w:rFonts w:hint="default" w:hAnsi="宋体" w:eastAsia="宋体"/>
                <w:sz w:val="18"/>
                <w:szCs w:val="18"/>
                <w:lang w:val="en-US" w:eastAsia="zh-CN"/>
              </w:rPr>
            </w:pPr>
          </w:p>
        </w:tc>
        <w:tc>
          <w:tcPr>
            <w:tcW w:w="2363" w:type="pct"/>
            <w:shd w:val="clear" w:color="auto" w:fill="auto"/>
            <w:vAlign w:val="center"/>
          </w:tcPr>
          <w:p w14:paraId="7AA9FBDD">
            <w:pPr>
              <w:keepNext w:val="0"/>
              <w:keepLines w:val="0"/>
              <w:pageBreakBefore w:val="0"/>
              <w:wordWrap/>
              <w:topLinePunct w:val="0"/>
              <w:bidi w:val="0"/>
              <w:snapToGrid/>
              <w:spacing w:line="360" w:lineRule="auto"/>
              <w:jc w:val="center"/>
              <w:textAlignment w:val="auto"/>
              <w:rPr>
                <w:rFonts w:hint="default" w:ascii="宋体" w:hAnsi="宋体" w:eastAsia="宋体" w:cs="宋体"/>
                <w:sz w:val="18"/>
                <w:szCs w:val="18"/>
                <w:lang w:val="en-US" w:eastAsia="zh-CN" w:bidi="ar-SA"/>
              </w:rPr>
            </w:pPr>
          </w:p>
        </w:tc>
      </w:tr>
    </w:tbl>
    <w:p w14:paraId="6656F860">
      <w:pPr>
        <w:pStyle w:val="18"/>
        <w:keepNext w:val="0"/>
        <w:keepLines w:val="0"/>
        <w:pageBreakBefore w:val="0"/>
        <w:kinsoku/>
        <w:wordWrap/>
        <w:overflowPunct/>
        <w:topLinePunct w:val="0"/>
        <w:autoSpaceDE/>
        <w:autoSpaceDN/>
        <w:bidi w:val="0"/>
        <w:adjustRightInd/>
        <w:snapToGrid/>
        <w:spacing w:beforeLines="0" w:afterLines="0" w:line="360" w:lineRule="auto"/>
        <w:textAlignment w:val="auto"/>
        <w:outlineLvl w:val="9"/>
        <w:rPr>
          <w:rFonts w:hint="eastAsia"/>
        </w:rPr>
      </w:pPr>
      <w:r>
        <w:rPr>
          <w:rFonts w:hint="eastAsia" w:hAnsi="黑体" w:cs="黑体"/>
          <w:color w:val="auto"/>
          <w:sz w:val="21"/>
          <w:szCs w:val="21"/>
        </w:rPr>
        <w:t>1.4 主要工作过程</w:t>
      </w:r>
    </w:p>
    <w:p w14:paraId="71E1FD77">
      <w:pPr>
        <w:keepNext w:val="0"/>
        <w:keepLines w:val="0"/>
        <w:pageBreakBefore w:val="0"/>
        <w:wordWrap/>
        <w:topLinePunct w:val="0"/>
        <w:bidi w:val="0"/>
        <w:snapToGrid/>
        <w:spacing w:line="360" w:lineRule="auto"/>
        <w:textAlignment w:val="auto"/>
        <w:rPr>
          <w:rFonts w:hint="eastAsia" w:ascii="黑体" w:hAnsi="黑体" w:eastAsia="黑体" w:cs="黑体"/>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1.4.1预研阶段</w:t>
      </w:r>
    </w:p>
    <w:p w14:paraId="6F2DA90C">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hAnsi="黑体" w:cs="黑体"/>
          <w:color w:val="auto"/>
          <w:sz w:val="21"/>
          <w:szCs w:val="21"/>
          <w:lang w:val="en-US" w:eastAsia="zh-CN"/>
        </w:rPr>
      </w:pPr>
      <w:r>
        <w:rPr>
          <w:rFonts w:hint="default" w:hAnsi="宋体"/>
          <w:color w:val="FF0000"/>
          <w:kern w:val="2"/>
          <w:sz w:val="21"/>
          <w:szCs w:val="21"/>
        </w:rPr>
        <w:t>2024年</w:t>
      </w:r>
      <w:r>
        <w:rPr>
          <w:rFonts w:hint="eastAsia" w:hAnsi="宋体"/>
          <w:color w:val="FF0000"/>
          <w:kern w:val="2"/>
          <w:sz w:val="21"/>
          <w:szCs w:val="21"/>
          <w:lang w:val="en-US" w:eastAsia="zh-CN"/>
        </w:rPr>
        <w:t>6</w:t>
      </w:r>
      <w:r>
        <w:rPr>
          <w:rFonts w:hint="default" w:hAnsi="宋体"/>
          <w:color w:val="FF0000"/>
          <w:kern w:val="2"/>
          <w:sz w:val="21"/>
          <w:szCs w:val="21"/>
        </w:rPr>
        <w:t>月</w:t>
      </w:r>
      <w:r>
        <w:rPr>
          <w:rFonts w:hint="default" w:hAnsi="宋体"/>
          <w:kern w:val="2"/>
          <w:sz w:val="21"/>
          <w:szCs w:val="21"/>
        </w:rPr>
        <w:t>，调研</w:t>
      </w:r>
      <w:r>
        <w:rPr>
          <w:rFonts w:hint="eastAsia" w:hAnsi="宋体"/>
          <w:kern w:val="2"/>
          <w:sz w:val="21"/>
          <w:szCs w:val="21"/>
          <w:lang w:val="en-US" w:eastAsia="zh-CN"/>
        </w:rPr>
        <w:t>电工用铜线坯</w:t>
      </w:r>
      <w:r>
        <w:rPr>
          <w:rFonts w:hint="default" w:hAnsi="宋体"/>
          <w:kern w:val="2"/>
          <w:sz w:val="21"/>
          <w:szCs w:val="21"/>
        </w:rPr>
        <w:t>主要应用范围及使用情况</w:t>
      </w:r>
      <w:r>
        <w:rPr>
          <w:rFonts w:hAnsi="宋体"/>
          <w:kern w:val="2"/>
          <w:sz w:val="21"/>
          <w:szCs w:val="21"/>
        </w:rPr>
        <w:t>，与</w:t>
      </w:r>
      <w:r>
        <w:rPr>
          <w:rFonts w:hint="default" w:hAnsi="宋体"/>
          <w:kern w:val="2"/>
          <w:sz w:val="21"/>
          <w:szCs w:val="21"/>
        </w:rPr>
        <w:t>行业内相关单位的技术人员进行充分沟通和交流，通过查阅大量的文献，比较国内厂家</w:t>
      </w:r>
      <w:r>
        <w:rPr>
          <w:rFonts w:hint="eastAsia" w:hAnsi="宋体"/>
          <w:kern w:val="2"/>
          <w:sz w:val="21"/>
          <w:szCs w:val="21"/>
          <w:lang w:val="en-US" w:eastAsia="zh-CN"/>
        </w:rPr>
        <w:t>电工用铜线坯</w:t>
      </w:r>
      <w:r>
        <w:rPr>
          <w:rFonts w:hint="default" w:hAnsi="宋体"/>
          <w:kern w:val="2"/>
          <w:sz w:val="21"/>
          <w:szCs w:val="21"/>
        </w:rPr>
        <w:t>的品质状况，调研和调查相关客户的质量要求，</w:t>
      </w:r>
      <w:r>
        <w:rPr>
          <w:rFonts w:hint="eastAsia" w:hAnsi="宋体"/>
          <w:kern w:val="2"/>
          <w:sz w:val="21"/>
          <w:szCs w:val="21"/>
          <w:lang w:val="en-US" w:eastAsia="zh-CN"/>
        </w:rPr>
        <w:t>并不断收集有关单位意见，对电工用铜线坯国家标准申请修订</w:t>
      </w:r>
    </w:p>
    <w:p w14:paraId="6F6A1AFA">
      <w:pPr>
        <w:keepNext w:val="0"/>
        <w:keepLines w:val="0"/>
        <w:pageBreakBefore w:val="0"/>
        <w:wordWrap/>
        <w:topLinePunct w:val="0"/>
        <w:bidi w:val="0"/>
        <w:snapToGrid/>
        <w:spacing w:line="360" w:lineRule="auto"/>
        <w:textAlignment w:val="auto"/>
        <w:rPr>
          <w:rFonts w:hint="eastAsia" w:ascii="黑体" w:hAnsi="黑体" w:eastAsia="黑体" w:cs="黑体"/>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1.4.2标准立项</w:t>
      </w:r>
    </w:p>
    <w:p w14:paraId="1AB1BF9A">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default" w:hAnsi="宋体"/>
          <w:kern w:val="2"/>
          <w:sz w:val="21"/>
          <w:szCs w:val="21"/>
        </w:rPr>
      </w:pPr>
      <w:r>
        <w:rPr>
          <w:rFonts w:hint="default" w:hAnsi="宋体"/>
          <w:color w:val="FF0000"/>
          <w:kern w:val="2"/>
          <w:sz w:val="21"/>
          <w:szCs w:val="21"/>
        </w:rPr>
        <w:t>202</w:t>
      </w:r>
      <w:r>
        <w:rPr>
          <w:rFonts w:hint="eastAsia" w:hAnsi="宋体"/>
          <w:color w:val="FF0000"/>
          <w:kern w:val="2"/>
          <w:sz w:val="21"/>
          <w:szCs w:val="21"/>
          <w:lang w:val="en-US" w:eastAsia="zh-CN"/>
        </w:rPr>
        <w:t>5</w:t>
      </w:r>
      <w:r>
        <w:rPr>
          <w:rFonts w:hint="default" w:hAnsi="宋体"/>
          <w:color w:val="FF0000"/>
          <w:kern w:val="2"/>
          <w:sz w:val="21"/>
          <w:szCs w:val="21"/>
        </w:rPr>
        <w:t>年</w:t>
      </w:r>
      <w:r>
        <w:rPr>
          <w:rFonts w:hint="eastAsia" w:hAnsi="宋体"/>
          <w:color w:val="FF0000"/>
          <w:kern w:val="2"/>
          <w:sz w:val="21"/>
          <w:szCs w:val="21"/>
          <w:lang w:val="en-US" w:eastAsia="zh-CN"/>
        </w:rPr>
        <w:t>*</w:t>
      </w:r>
      <w:r>
        <w:rPr>
          <w:rFonts w:hint="default" w:hAnsi="宋体"/>
          <w:color w:val="FF0000"/>
          <w:kern w:val="2"/>
          <w:sz w:val="21"/>
          <w:szCs w:val="21"/>
        </w:rPr>
        <w:t>月</w:t>
      </w:r>
      <w:r>
        <w:rPr>
          <w:rFonts w:hint="default" w:hAnsi="宋体"/>
          <w:kern w:val="2"/>
          <w:sz w:val="21"/>
          <w:szCs w:val="21"/>
        </w:rPr>
        <w:t>，江西铜业股份有限公司向有色金属标准化全体委员年会会议提交了《</w:t>
      </w:r>
      <w:r>
        <w:rPr>
          <w:rFonts w:hint="eastAsia" w:hAnsi="宋体"/>
          <w:kern w:val="2"/>
          <w:sz w:val="21"/>
          <w:szCs w:val="21"/>
          <w:lang w:val="en-US" w:eastAsia="zh-CN"/>
        </w:rPr>
        <w:t>电工用铜线坯</w:t>
      </w:r>
      <w:r>
        <w:rPr>
          <w:rFonts w:hint="default" w:hAnsi="宋体"/>
          <w:kern w:val="2"/>
          <w:sz w:val="21"/>
          <w:szCs w:val="21"/>
        </w:rPr>
        <w:t>》（修订）的推荐性国家标准项目建议书、标准草案</w:t>
      </w:r>
      <w:r>
        <w:rPr>
          <w:rFonts w:hAnsi="宋体"/>
          <w:kern w:val="2"/>
          <w:sz w:val="21"/>
          <w:szCs w:val="21"/>
        </w:rPr>
        <w:t>及标准立项说明</w:t>
      </w:r>
      <w:r>
        <w:rPr>
          <w:rFonts w:hint="default" w:hAnsi="宋体"/>
          <w:kern w:val="2"/>
          <w:sz w:val="21"/>
          <w:szCs w:val="21"/>
        </w:rPr>
        <w:t>等材料，全体委员会议论证结论为同意修订国家标准立项，提出了相应的要求</w:t>
      </w:r>
      <w:r>
        <w:rPr>
          <w:rFonts w:hAnsi="宋体"/>
          <w:kern w:val="2"/>
          <w:sz w:val="21"/>
          <w:szCs w:val="21"/>
        </w:rPr>
        <w:t>。</w:t>
      </w:r>
    </w:p>
    <w:p w14:paraId="1AA890DC">
      <w:pPr>
        <w:pStyle w:val="4"/>
        <w:keepNext w:val="0"/>
        <w:keepLines w:val="0"/>
        <w:pageBreakBefore w:val="0"/>
        <w:wordWrap/>
        <w:topLinePunct w:val="0"/>
        <w:bidi w:val="0"/>
        <w:snapToGrid/>
        <w:spacing w:line="360" w:lineRule="auto"/>
        <w:textAlignment w:val="auto"/>
        <w:rPr>
          <w:rFonts w:hint="eastAsia" w:ascii="黑体" w:hAnsi="黑体" w:eastAsia="黑体" w:cs="黑体"/>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1.4.3起草阶段</w:t>
      </w:r>
    </w:p>
    <w:p w14:paraId="5D3F634D">
      <w:pPr>
        <w:pStyle w:val="4"/>
        <w:keepNext w:val="0"/>
        <w:keepLines w:val="0"/>
        <w:pageBreakBefore w:val="0"/>
        <w:wordWrap/>
        <w:topLinePunct w:val="0"/>
        <w:bidi w:val="0"/>
        <w:snapToGrid/>
        <w:spacing w:line="360" w:lineRule="auto"/>
        <w:textAlignment w:val="auto"/>
        <w:rPr>
          <w:rFonts w:hint="eastAsia" w:ascii="黑体" w:hAnsi="黑体" w:eastAsia="黑体" w:cs="黑体"/>
          <w:color w:val="auto"/>
          <w:kern w:val="0"/>
          <w:sz w:val="21"/>
          <w:szCs w:val="21"/>
          <w:lang w:val="en-US" w:eastAsia="zh-CN" w:bidi="ar-SA"/>
        </w:rPr>
      </w:pPr>
    </w:p>
    <w:p w14:paraId="0A33DB53">
      <w:pPr>
        <w:pStyle w:val="4"/>
        <w:keepNext w:val="0"/>
        <w:keepLines w:val="0"/>
        <w:pageBreakBefore w:val="0"/>
        <w:wordWrap/>
        <w:topLinePunct w:val="0"/>
        <w:bidi w:val="0"/>
        <w:snapToGrid/>
        <w:spacing w:line="360" w:lineRule="auto"/>
        <w:textAlignment w:val="auto"/>
        <w:rPr>
          <w:rFonts w:hint="eastAsia" w:ascii="黑体" w:hAnsi="黑体" w:eastAsia="黑体" w:cs="黑体"/>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1.4.4征求意见阶段</w:t>
      </w:r>
    </w:p>
    <w:p w14:paraId="64EDC2FE">
      <w:pPr>
        <w:pStyle w:val="4"/>
        <w:keepNext w:val="0"/>
        <w:keepLines w:val="0"/>
        <w:pageBreakBefore w:val="0"/>
        <w:wordWrap/>
        <w:topLinePunct w:val="0"/>
        <w:bidi w:val="0"/>
        <w:snapToGrid/>
        <w:spacing w:line="360" w:lineRule="auto"/>
        <w:textAlignment w:val="auto"/>
        <w:rPr>
          <w:rFonts w:hint="eastAsia" w:hAnsi="黑体" w:cs="黑体"/>
          <w:color w:val="C00000"/>
          <w:sz w:val="21"/>
          <w:szCs w:val="21"/>
          <w:lang w:val="en-US" w:eastAsia="zh-CN"/>
        </w:rPr>
      </w:pPr>
    </w:p>
    <w:p w14:paraId="37F66EE5">
      <w:pPr>
        <w:pStyle w:val="4"/>
        <w:keepNext w:val="0"/>
        <w:keepLines w:val="0"/>
        <w:pageBreakBefore w:val="0"/>
        <w:wordWrap/>
        <w:topLinePunct w:val="0"/>
        <w:bidi w:val="0"/>
        <w:snapToGrid/>
        <w:spacing w:line="360" w:lineRule="auto"/>
        <w:textAlignment w:val="auto"/>
        <w:rPr>
          <w:rFonts w:hint="eastAsia" w:ascii="黑体" w:hAnsi="黑体" w:eastAsia="黑体" w:cs="黑体"/>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1.4.5审查阶段</w:t>
      </w:r>
    </w:p>
    <w:p w14:paraId="6FD70979">
      <w:pPr>
        <w:pStyle w:val="4"/>
        <w:keepNext w:val="0"/>
        <w:keepLines w:val="0"/>
        <w:pageBreakBefore w:val="0"/>
        <w:wordWrap/>
        <w:topLinePunct w:val="0"/>
        <w:bidi w:val="0"/>
        <w:snapToGrid/>
        <w:spacing w:line="360" w:lineRule="auto"/>
        <w:textAlignment w:val="auto"/>
        <w:rPr>
          <w:rFonts w:hint="eastAsia" w:ascii="黑体" w:hAnsi="黑体" w:eastAsia="黑体" w:cs="黑体"/>
          <w:color w:val="auto"/>
          <w:kern w:val="0"/>
          <w:sz w:val="21"/>
          <w:szCs w:val="21"/>
          <w:lang w:val="en-US" w:eastAsia="zh-CN" w:bidi="ar-SA"/>
        </w:rPr>
      </w:pPr>
    </w:p>
    <w:p w14:paraId="07E8B0DD">
      <w:pPr>
        <w:pStyle w:val="4"/>
        <w:keepNext w:val="0"/>
        <w:keepLines w:val="0"/>
        <w:pageBreakBefore w:val="0"/>
        <w:wordWrap/>
        <w:topLinePunct w:val="0"/>
        <w:bidi w:val="0"/>
        <w:snapToGrid/>
        <w:spacing w:line="360" w:lineRule="auto"/>
        <w:textAlignment w:val="auto"/>
        <w:rPr>
          <w:rFonts w:hint="eastAsia" w:ascii="黑体" w:hAnsi="黑体" w:eastAsia="黑体" w:cs="黑体"/>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1.4.6报批阶段</w:t>
      </w:r>
    </w:p>
    <w:p w14:paraId="76E2D1DB">
      <w:pPr>
        <w:pStyle w:val="9"/>
        <w:keepNext w:val="0"/>
        <w:keepLines w:val="0"/>
        <w:pageBreakBefore w:val="0"/>
        <w:kinsoku/>
        <w:wordWrap/>
        <w:overflowPunct/>
        <w:topLinePunct w:val="0"/>
        <w:autoSpaceDE/>
        <w:autoSpaceDN/>
        <w:bidi w:val="0"/>
        <w:adjustRightInd/>
        <w:snapToGrid/>
        <w:spacing w:before="0" w:beforeAutospacing="0" w:after="0" w:afterAutospacing="0" w:line="360" w:lineRule="auto"/>
        <w:jc w:val="both"/>
        <w:textAlignment w:val="auto"/>
        <w:rPr>
          <w:rFonts w:hint="default" w:ascii="黑体" w:eastAsia="黑体" w:cs="Arial"/>
          <w:color w:val="auto"/>
          <w:sz w:val="21"/>
          <w:szCs w:val="21"/>
          <w:lang w:val="en-US" w:eastAsia="zh-CN"/>
        </w:rPr>
      </w:pPr>
      <w:r>
        <w:rPr>
          <w:rFonts w:hint="eastAsia" w:ascii="黑体" w:eastAsia="黑体" w:cs="Arial"/>
          <w:color w:val="auto"/>
          <w:sz w:val="21"/>
          <w:szCs w:val="21"/>
        </w:rPr>
        <w:t>二、编制原则</w:t>
      </w:r>
      <w:r>
        <w:rPr>
          <w:rFonts w:hint="eastAsia" w:ascii="黑体" w:eastAsia="黑体" w:cs="Arial"/>
          <w:color w:val="auto"/>
          <w:sz w:val="21"/>
          <w:szCs w:val="21"/>
          <w:lang w:eastAsia="zh-CN"/>
        </w:rPr>
        <w:t>、</w:t>
      </w:r>
      <w:r>
        <w:rPr>
          <w:rFonts w:hint="eastAsia" w:ascii="黑体" w:eastAsia="黑体" w:cs="Arial"/>
          <w:color w:val="auto"/>
          <w:sz w:val="21"/>
          <w:szCs w:val="21"/>
          <w:lang w:val="en-US" w:eastAsia="zh-CN"/>
        </w:rPr>
        <w:t>主要内容及其确定依据、</w:t>
      </w:r>
      <w:r>
        <w:rPr>
          <w:rFonts w:hint="eastAsia" w:ascii="黑体" w:eastAsia="黑体" w:cs="Arial"/>
          <w:color w:val="0000FF"/>
          <w:sz w:val="21"/>
          <w:szCs w:val="21"/>
          <w:lang w:val="en-US" w:eastAsia="zh-CN"/>
        </w:rPr>
        <w:t>修订前后技术内容的对比</w:t>
      </w:r>
    </w:p>
    <w:p w14:paraId="677447D3">
      <w:pPr>
        <w:pStyle w:val="9"/>
        <w:keepNext w:val="0"/>
        <w:keepLines w:val="0"/>
        <w:pageBreakBefore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黑体" w:eastAsia="黑体" w:cs="Arial"/>
          <w:color w:val="auto"/>
          <w:sz w:val="21"/>
          <w:szCs w:val="21"/>
          <w:lang w:val="en-US" w:eastAsia="zh-CN"/>
        </w:rPr>
      </w:pPr>
      <w:bookmarkStart w:id="0" w:name="OLE_LINK7"/>
      <w:r>
        <w:rPr>
          <w:rFonts w:hint="eastAsia" w:ascii="黑体" w:eastAsia="黑体" w:cs="Arial"/>
          <w:color w:val="auto"/>
          <w:sz w:val="21"/>
          <w:szCs w:val="21"/>
          <w:lang w:val="en-US" w:eastAsia="zh-CN"/>
        </w:rPr>
        <w:t>1、编制原则</w:t>
      </w:r>
    </w:p>
    <w:bookmarkEnd w:id="0"/>
    <w:p w14:paraId="04C9872B">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lang w:val="en-US" w:eastAsia="zh-CN"/>
        </w:rPr>
      </w:pPr>
      <w:r>
        <w:rPr>
          <w:rFonts w:hint="eastAsia"/>
          <w:color w:val="auto"/>
          <w:sz w:val="21"/>
          <w:szCs w:val="21"/>
          <w:lang w:val="en-US" w:eastAsia="zh-CN"/>
        </w:rPr>
        <w:t>本标准按照</w:t>
      </w:r>
      <w:r>
        <w:rPr>
          <w:rFonts w:hint="default" w:ascii="Times New Roman" w:hAnsi="Times New Roman" w:cs="Times New Roman"/>
          <w:color w:val="auto"/>
          <w:sz w:val="21"/>
          <w:szCs w:val="21"/>
          <w:lang w:val="en-US" w:eastAsia="zh-CN"/>
        </w:rPr>
        <w:t xml:space="preserve"> GB/T 1.1-2020《</w:t>
      </w:r>
      <w:r>
        <w:rPr>
          <w:rFonts w:hint="eastAsia"/>
          <w:color w:val="auto"/>
          <w:sz w:val="21"/>
          <w:szCs w:val="21"/>
          <w:lang w:val="en-US" w:eastAsia="zh-CN"/>
        </w:rPr>
        <w:t>标准化工作导则 第</w:t>
      </w:r>
      <w:r>
        <w:rPr>
          <w:rFonts w:hint="default" w:ascii="Times New Roman" w:hAnsi="Times New Roman" w:cs="Times New Roman"/>
          <w:color w:val="auto"/>
          <w:sz w:val="21"/>
          <w:szCs w:val="21"/>
          <w:lang w:val="en-US" w:eastAsia="zh-CN"/>
        </w:rPr>
        <w:t>1</w:t>
      </w:r>
      <w:r>
        <w:rPr>
          <w:rFonts w:hint="eastAsia"/>
          <w:color w:val="auto"/>
          <w:sz w:val="21"/>
          <w:szCs w:val="21"/>
          <w:lang w:val="en-US" w:eastAsia="zh-CN"/>
        </w:rPr>
        <w:t>部分：标准化文件的结构和起草规则》的规定编写，并考虑如下内容：</w:t>
      </w:r>
    </w:p>
    <w:p w14:paraId="236038FF">
      <w:pPr>
        <w:keepNext w:val="0"/>
        <w:keepLines w:val="0"/>
        <w:pageBreakBefore w:val="0"/>
        <w:widowControl w:val="0"/>
        <w:numPr>
          <w:ilvl w:val="1"/>
          <w:numId w:val="3"/>
        </w:numPr>
        <w:kinsoku/>
        <w:wordWrap/>
        <w:overflowPunct/>
        <w:topLinePunct w:val="0"/>
        <w:autoSpaceDE/>
        <w:autoSpaceDN/>
        <w:bidi w:val="0"/>
        <w:adjustRightInd/>
        <w:snapToGrid/>
        <w:spacing w:line="360" w:lineRule="auto"/>
        <w:jc w:val="both"/>
        <w:textAlignment w:val="auto"/>
        <w:rPr>
          <w:rFonts w:hint="eastAsia" w:hAnsi="宋体"/>
          <w:lang w:val="en-US" w:eastAsia="zh-CN"/>
        </w:rPr>
      </w:pPr>
      <w:r>
        <w:rPr>
          <w:rFonts w:hint="eastAsia" w:hAnsi="宋体"/>
          <w:kern w:val="2"/>
          <w:sz w:val="21"/>
          <w:szCs w:val="21"/>
          <w:lang w:val="en-US" w:eastAsia="zh-CN"/>
        </w:rPr>
        <w:t xml:space="preserve"> 承接阴极铜标准修订，对电工用铜线坯成分要求进行修订。</w:t>
      </w:r>
    </w:p>
    <w:p w14:paraId="5973749A">
      <w:pPr>
        <w:keepNext w:val="0"/>
        <w:keepLines w:val="0"/>
        <w:pageBreakBefore w:val="0"/>
        <w:widowControl w:val="0"/>
        <w:numPr>
          <w:ilvl w:val="1"/>
          <w:numId w:val="3"/>
        </w:numPr>
        <w:kinsoku/>
        <w:wordWrap/>
        <w:overflowPunct/>
        <w:topLinePunct w:val="0"/>
        <w:autoSpaceDE/>
        <w:autoSpaceDN/>
        <w:bidi w:val="0"/>
        <w:adjustRightInd/>
        <w:snapToGrid/>
        <w:spacing w:line="360" w:lineRule="auto"/>
        <w:jc w:val="both"/>
        <w:textAlignment w:val="auto"/>
        <w:rPr>
          <w:rFonts w:hint="eastAsia" w:hAnsi="宋体"/>
          <w:lang w:val="en-US" w:eastAsia="zh-CN"/>
        </w:rPr>
      </w:pPr>
      <w:r>
        <w:rPr>
          <w:rFonts w:hint="eastAsia" w:hAnsi="宋体"/>
          <w:lang w:val="en-US" w:eastAsia="zh-CN"/>
        </w:rPr>
        <w:t xml:space="preserve"> 细化</w:t>
      </w:r>
      <w:r>
        <w:rPr>
          <w:rFonts w:hint="eastAsia" w:hAnsi="宋体"/>
          <w:kern w:val="2"/>
          <w:sz w:val="21"/>
          <w:szCs w:val="21"/>
          <w:lang w:val="en-US" w:eastAsia="zh-CN"/>
        </w:rPr>
        <w:t>各项指标要求</w:t>
      </w:r>
      <w:r>
        <w:rPr>
          <w:rFonts w:hAnsi="宋体"/>
          <w:kern w:val="2"/>
          <w:sz w:val="21"/>
          <w:szCs w:val="21"/>
        </w:rPr>
        <w:t>，</w:t>
      </w:r>
      <w:r>
        <w:rPr>
          <w:rFonts w:hint="eastAsia" w:hAnsi="宋体"/>
          <w:lang w:val="en-US" w:eastAsia="zh-CN"/>
        </w:rPr>
        <w:t>明确更严格的质量和性能指标，促使企业改进生产工艺和质量控制，提高我国电工用铜线坯在国际市场的竞争力。同时规范市场，减少劣质产品流通，保障用户权益，促进市场健康有序发展。</w:t>
      </w:r>
    </w:p>
    <w:p w14:paraId="74535F2E">
      <w:pPr>
        <w:keepNext w:val="0"/>
        <w:keepLines w:val="0"/>
        <w:pageBreakBefore w:val="0"/>
        <w:widowControl w:val="0"/>
        <w:numPr>
          <w:ilvl w:val="1"/>
          <w:numId w:val="3"/>
        </w:numPr>
        <w:kinsoku/>
        <w:wordWrap/>
        <w:overflowPunct/>
        <w:topLinePunct w:val="0"/>
        <w:autoSpaceDE/>
        <w:autoSpaceDN/>
        <w:bidi w:val="0"/>
        <w:adjustRightInd/>
        <w:snapToGrid/>
        <w:spacing w:line="360" w:lineRule="auto"/>
        <w:jc w:val="both"/>
        <w:textAlignment w:val="auto"/>
        <w:rPr>
          <w:rFonts w:hint="eastAsia" w:ascii="黑体" w:eastAsia="黑体" w:cs="Arial"/>
          <w:color w:val="auto"/>
          <w:sz w:val="21"/>
          <w:szCs w:val="21"/>
          <w:lang w:val="en-US" w:eastAsia="zh-CN"/>
        </w:rPr>
      </w:pPr>
      <w:r>
        <w:rPr>
          <w:rFonts w:hint="eastAsia" w:hAnsi="宋体"/>
          <w:kern w:val="2"/>
          <w:sz w:val="21"/>
          <w:szCs w:val="21"/>
          <w:lang w:val="en-US" w:eastAsia="zh-CN"/>
        </w:rPr>
        <w:t>适应新能源汽车发展需求。近年来新能源行业的迅猛发展，作为电机的核心电磁线需满足包括其形状、规格、能短时和长期在高温下工作，以及承受某些场合中的强烈振动和高速下的离心力，高电压下的耐受电晕和击穿，特殊气氛下的耐化学腐蚀等;且包括绕制和嵌线时经受拉伸、弯曲和磨损的要求，以及浸渍和烘干过程中的溶胀、侵蚀作用等。目前传统的电工用铜线坯已无法满足要求，在此情况下，增加TU0牌号，以满足新能源汽车用铜线坯要求。</w:t>
      </w:r>
    </w:p>
    <w:p w14:paraId="4EA27452">
      <w:pPr>
        <w:pStyle w:val="9"/>
        <w:keepNext w:val="0"/>
        <w:keepLines w:val="0"/>
        <w:pageBreakBefore w:val="0"/>
        <w:numPr>
          <w:ilvl w:val="0"/>
          <w:numId w:val="4"/>
        </w:numPr>
        <w:kinsoku/>
        <w:wordWrap/>
        <w:overflowPunct/>
        <w:topLinePunct w:val="0"/>
        <w:autoSpaceDE/>
        <w:autoSpaceDN/>
        <w:bidi w:val="0"/>
        <w:adjustRightInd/>
        <w:snapToGrid/>
        <w:spacing w:before="0" w:beforeAutospacing="0" w:after="0" w:afterAutospacing="0" w:line="360" w:lineRule="auto"/>
        <w:jc w:val="both"/>
        <w:textAlignment w:val="auto"/>
        <w:rPr>
          <w:rFonts w:hint="eastAsia" w:ascii="黑体" w:eastAsia="黑体" w:cs="Arial"/>
          <w:color w:val="auto"/>
          <w:sz w:val="21"/>
          <w:szCs w:val="21"/>
          <w:lang w:val="en-US" w:eastAsia="zh-CN"/>
        </w:rPr>
      </w:pPr>
      <w:r>
        <w:rPr>
          <w:rFonts w:hint="eastAsia" w:ascii="黑体" w:eastAsia="黑体" w:cs="Arial"/>
          <w:color w:val="auto"/>
          <w:sz w:val="21"/>
          <w:szCs w:val="21"/>
        </w:rPr>
        <w:t>标准主要技术内容</w:t>
      </w:r>
      <w:r>
        <w:rPr>
          <w:rFonts w:hint="eastAsia" w:ascii="黑体" w:eastAsia="黑体" w:cs="Arial"/>
          <w:color w:val="auto"/>
          <w:sz w:val="21"/>
          <w:szCs w:val="21"/>
          <w:lang w:val="en-US" w:eastAsia="zh-CN"/>
        </w:rPr>
        <w:t>的确定依据</w:t>
      </w:r>
    </w:p>
    <w:p w14:paraId="7CCBB2C2">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default" w:hAnsi="宋体" w:eastAsiaTheme="minorEastAsia"/>
          <w:kern w:val="2"/>
          <w:sz w:val="21"/>
          <w:szCs w:val="21"/>
          <w:lang w:val="en-US" w:eastAsia="zh-CN"/>
        </w:rPr>
      </w:pPr>
      <w:r>
        <w:rPr>
          <w:rFonts w:hint="eastAsia" w:hAnsi="宋体"/>
          <w:kern w:val="2"/>
          <w:sz w:val="21"/>
          <w:szCs w:val="21"/>
          <w:lang w:val="en-US" w:eastAsia="zh-CN"/>
        </w:rPr>
        <w:t>根据市场需求、技术发展以及标委会和同行业企业建议</w:t>
      </w:r>
      <w:r>
        <w:rPr>
          <w:rFonts w:hint="default" w:hAnsi="宋体"/>
          <w:kern w:val="2"/>
          <w:sz w:val="21"/>
          <w:szCs w:val="21"/>
        </w:rPr>
        <w:t>，编制工作组查找相关资料，</w:t>
      </w:r>
      <w:r>
        <w:rPr>
          <w:rFonts w:hint="eastAsia" w:hAnsi="宋体"/>
          <w:kern w:val="2"/>
          <w:sz w:val="21"/>
          <w:szCs w:val="21"/>
          <w:lang w:val="en-US" w:eastAsia="zh-CN"/>
        </w:rPr>
        <w:t>向相关企业持续调研，</w:t>
      </w:r>
      <w:r>
        <w:rPr>
          <w:rFonts w:hint="default" w:hAnsi="宋体"/>
          <w:kern w:val="2"/>
          <w:sz w:val="21"/>
          <w:szCs w:val="21"/>
        </w:rPr>
        <w:t>对</w:t>
      </w:r>
      <w:r>
        <w:rPr>
          <w:rFonts w:hint="eastAsia" w:hAnsi="宋体"/>
          <w:kern w:val="2"/>
          <w:sz w:val="21"/>
          <w:szCs w:val="21"/>
          <w:lang w:val="en-US" w:eastAsia="zh-CN"/>
        </w:rPr>
        <w:t>**</w:t>
      </w:r>
      <w:r>
        <w:rPr>
          <w:rFonts w:hAnsi="宋体"/>
          <w:color w:val="0000FF"/>
          <w:kern w:val="2"/>
          <w:sz w:val="21"/>
          <w:szCs w:val="21"/>
        </w:rPr>
        <w:t>等</w:t>
      </w:r>
      <w:r>
        <w:rPr>
          <w:rFonts w:hint="default" w:hAnsi="宋体"/>
          <w:color w:val="0000FF"/>
          <w:kern w:val="2"/>
          <w:sz w:val="21"/>
          <w:szCs w:val="21"/>
        </w:rPr>
        <w:t>家企业开展了调研，</w:t>
      </w:r>
      <w:r>
        <w:rPr>
          <w:rFonts w:hint="default" w:hAnsi="宋体"/>
          <w:kern w:val="2"/>
          <w:sz w:val="21"/>
          <w:szCs w:val="21"/>
        </w:rPr>
        <w:t>并根据调研结果对标准</w:t>
      </w:r>
      <w:r>
        <w:rPr>
          <w:rFonts w:hint="eastAsia" w:hAnsi="宋体"/>
          <w:kern w:val="2"/>
          <w:sz w:val="21"/>
          <w:szCs w:val="21"/>
          <w:lang w:val="en-US" w:eastAsia="zh-CN"/>
        </w:rPr>
        <w:t>进行修订。</w:t>
      </w:r>
    </w:p>
    <w:p w14:paraId="735B4716">
      <w:pPr>
        <w:pStyle w:val="9"/>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360" w:lineRule="auto"/>
        <w:ind w:firstLine="420" w:firstLineChars="200"/>
        <w:jc w:val="both"/>
        <w:textAlignment w:val="auto"/>
      </w:pPr>
      <w:r>
        <w:rPr>
          <w:rFonts w:hint="eastAsia" w:hAnsi="宋体"/>
          <w:kern w:val="2"/>
          <w:sz w:val="21"/>
          <w:szCs w:val="21"/>
          <w:lang w:val="en-US" w:eastAsia="zh-CN"/>
        </w:rPr>
        <w:t>本标准分为正文和附录两部分。正文包括6个章节，本标准的主要内容包括范围、规范性引用文件、要求、试验方法、检验规则及标志、包装、运输、贮存和质量证明书六大部分。</w:t>
      </w:r>
    </w:p>
    <w:p w14:paraId="34F9360D">
      <w:pPr>
        <w:keepNext w:val="0"/>
        <w:keepLines w:val="0"/>
        <w:pageBreakBefore w:val="0"/>
        <w:numPr>
          <w:ilvl w:val="0"/>
          <w:numId w:val="0"/>
        </w:numPr>
        <w:wordWrap/>
        <w:topLinePunct w:val="0"/>
        <w:bidi w:val="0"/>
        <w:snapToGrid/>
        <w:spacing w:line="360" w:lineRule="auto"/>
        <w:textAlignment w:val="auto"/>
        <w:rPr>
          <w:rFonts w:hint="default" w:ascii="宋体" w:hAnsi="宋体" w:eastAsia="宋体"/>
          <w:szCs w:val="21"/>
          <w:highlight w:val="none"/>
          <w:lang w:val="en-US" w:eastAsia="zh-CN"/>
        </w:rPr>
      </w:pPr>
    </w:p>
    <w:p w14:paraId="6FEE09B2">
      <w:pPr>
        <w:pStyle w:val="4"/>
        <w:keepNext w:val="0"/>
        <w:keepLines w:val="0"/>
        <w:pageBreakBefore w:val="0"/>
        <w:numPr>
          <w:ilvl w:val="0"/>
          <w:numId w:val="5"/>
        </w:numPr>
        <w:wordWrap/>
        <w:topLinePunct w:val="0"/>
        <w:bidi w:val="0"/>
        <w:snapToGrid/>
        <w:spacing w:line="360" w:lineRule="auto"/>
        <w:textAlignment w:val="auto"/>
        <w:rPr>
          <w:rFonts w:hint="eastAsia" w:ascii="黑体" w:eastAsia="黑体" w:cs="Arial"/>
          <w:color w:val="0000FF"/>
          <w:sz w:val="21"/>
          <w:szCs w:val="21"/>
          <w:lang w:val="en-US" w:eastAsia="zh-CN"/>
        </w:rPr>
      </w:pPr>
      <w:r>
        <w:rPr>
          <w:rFonts w:hint="eastAsia" w:ascii="黑体" w:eastAsia="黑体" w:cs="Arial"/>
          <w:color w:val="0000FF"/>
          <w:sz w:val="21"/>
          <w:szCs w:val="21"/>
          <w:lang w:val="en-US" w:eastAsia="zh-CN"/>
        </w:rPr>
        <w:t>修订前后技术内容的对比</w:t>
      </w:r>
    </w:p>
    <w:p w14:paraId="4D808F8D">
      <w:pPr>
        <w:pStyle w:val="10"/>
        <w:keepNext w:val="0"/>
        <w:keepLines w:val="0"/>
        <w:pageBreakBefore w:val="0"/>
        <w:numPr>
          <w:ilvl w:val="0"/>
          <w:numId w:val="0"/>
        </w:numPr>
        <w:wordWrap/>
        <w:topLinePunct w:val="0"/>
        <w:bidi w:val="0"/>
        <w:snapToGrid/>
        <w:spacing w:line="360" w:lineRule="auto"/>
        <w:ind w:leftChars="0"/>
        <w:jc w:val="both"/>
        <w:textAlignment w:val="auto"/>
        <w:rPr>
          <w:rFonts w:hint="default" w:ascii="黑体" w:eastAsia="黑体" w:cs="Arial"/>
          <w:color w:val="auto"/>
          <w:sz w:val="21"/>
          <w:szCs w:val="21"/>
          <w:lang w:val="en-US" w:eastAsia="zh-CN"/>
        </w:rPr>
      </w:pPr>
      <w:r>
        <w:rPr>
          <w:rFonts w:hint="eastAsia" w:ascii="黑体" w:eastAsia="黑体" w:cs="Arial"/>
          <w:color w:val="auto"/>
          <w:sz w:val="21"/>
          <w:szCs w:val="21"/>
          <w:lang w:val="en-US" w:eastAsia="zh-CN"/>
        </w:rPr>
        <w:t>3.1新增TU0牌号及相关指标要求</w:t>
      </w:r>
    </w:p>
    <w:p w14:paraId="21E7F0BA">
      <w:pPr>
        <w:keepNext w:val="0"/>
        <w:keepLines w:val="0"/>
        <w:pageBreakBefore w:val="0"/>
        <w:numPr>
          <w:ilvl w:val="0"/>
          <w:numId w:val="0"/>
        </w:numPr>
        <w:wordWrap/>
        <w:topLinePunct w:val="0"/>
        <w:bidi w:val="0"/>
        <w:snapToGrid/>
        <w:spacing w:line="360" w:lineRule="auto"/>
        <w:textAlignment w:val="auto"/>
        <w:rPr>
          <w:rFonts w:hint="default"/>
          <w:lang w:val="en-US" w:eastAsia="zh-CN"/>
        </w:rPr>
      </w:pPr>
      <w:r>
        <w:rPr>
          <w:rFonts w:hint="eastAsia"/>
          <w:lang w:val="en-US" w:eastAsia="zh-CN"/>
        </w:rPr>
        <w:t>3.1.1新增的TU0牌号如下表</w:t>
      </w:r>
    </w:p>
    <w:tbl>
      <w:tblPr>
        <w:tblStyle w:val="1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7"/>
        <w:gridCol w:w="2866"/>
        <w:gridCol w:w="2706"/>
      </w:tblGrid>
      <w:tr w14:paraId="379B5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2767" w:type="dxa"/>
            <w:noWrap w:val="0"/>
            <w:vAlign w:val="top"/>
          </w:tcPr>
          <w:p w14:paraId="129F5691">
            <w:pPr>
              <w:keepNext w:val="0"/>
              <w:keepLines w:val="0"/>
              <w:pageBreakBefore w:val="0"/>
              <w:wordWrap/>
              <w:topLinePunct w:val="0"/>
              <w:bidi w:val="0"/>
              <w:snapToGrid/>
              <w:spacing w:line="360" w:lineRule="auto"/>
              <w:jc w:val="center"/>
              <w:textAlignment w:val="auto"/>
              <w:rPr>
                <w:rFonts w:hint="eastAsia" w:ascii="宋体" w:hAnsi="宋体"/>
                <w:bCs/>
                <w:color w:val="auto"/>
                <w:szCs w:val="21"/>
              </w:rPr>
            </w:pPr>
            <w:r>
              <w:rPr>
                <w:rFonts w:hint="eastAsia" w:ascii="宋体" w:hAnsi="宋体"/>
                <w:bCs/>
                <w:color w:val="auto"/>
                <w:szCs w:val="21"/>
              </w:rPr>
              <w:t>牌号</w:t>
            </w:r>
          </w:p>
        </w:tc>
        <w:tc>
          <w:tcPr>
            <w:tcW w:w="2866" w:type="dxa"/>
            <w:noWrap w:val="0"/>
            <w:vAlign w:val="top"/>
          </w:tcPr>
          <w:p w14:paraId="2470CE3C">
            <w:pPr>
              <w:keepNext w:val="0"/>
              <w:keepLines w:val="0"/>
              <w:pageBreakBefore w:val="0"/>
              <w:wordWrap/>
              <w:topLinePunct w:val="0"/>
              <w:bidi w:val="0"/>
              <w:snapToGrid/>
              <w:spacing w:line="360" w:lineRule="auto"/>
              <w:jc w:val="center"/>
              <w:textAlignment w:val="auto"/>
              <w:rPr>
                <w:rFonts w:hint="eastAsia" w:ascii="宋体" w:hAnsi="宋体"/>
                <w:bCs/>
                <w:color w:val="auto"/>
                <w:szCs w:val="21"/>
              </w:rPr>
            </w:pPr>
            <w:r>
              <w:rPr>
                <w:rFonts w:hint="eastAsia" w:ascii="宋体" w:hAnsi="宋体"/>
                <w:bCs/>
                <w:color w:val="auto"/>
                <w:szCs w:val="21"/>
              </w:rPr>
              <w:t>状态</w:t>
            </w:r>
          </w:p>
        </w:tc>
        <w:tc>
          <w:tcPr>
            <w:tcW w:w="2706" w:type="dxa"/>
            <w:noWrap w:val="0"/>
            <w:vAlign w:val="top"/>
          </w:tcPr>
          <w:p w14:paraId="48EE255B">
            <w:pPr>
              <w:keepNext w:val="0"/>
              <w:keepLines w:val="0"/>
              <w:pageBreakBefore w:val="0"/>
              <w:wordWrap/>
              <w:topLinePunct w:val="0"/>
              <w:bidi w:val="0"/>
              <w:snapToGrid/>
              <w:spacing w:line="360" w:lineRule="auto"/>
              <w:jc w:val="center"/>
              <w:textAlignment w:val="auto"/>
              <w:rPr>
                <w:rFonts w:hint="eastAsia" w:ascii="宋体" w:hAnsi="宋体"/>
                <w:bCs/>
                <w:color w:val="auto"/>
                <w:szCs w:val="21"/>
              </w:rPr>
            </w:pPr>
            <w:r>
              <w:rPr>
                <w:rFonts w:hint="eastAsia" w:ascii="宋体" w:hAnsi="宋体"/>
                <w:bCs/>
                <w:color w:val="auto"/>
                <w:szCs w:val="21"/>
              </w:rPr>
              <w:t>直径 / mm</w:t>
            </w:r>
          </w:p>
        </w:tc>
      </w:tr>
      <w:tr w14:paraId="1F38C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2767" w:type="dxa"/>
            <w:noWrap w:val="0"/>
            <w:vAlign w:val="top"/>
          </w:tcPr>
          <w:p w14:paraId="1985A250">
            <w:pPr>
              <w:keepNext w:val="0"/>
              <w:keepLines w:val="0"/>
              <w:pageBreakBefore w:val="0"/>
              <w:wordWrap/>
              <w:topLinePunct w:val="0"/>
              <w:bidi w:val="0"/>
              <w:snapToGrid/>
              <w:spacing w:line="360" w:lineRule="auto"/>
              <w:jc w:val="center"/>
              <w:textAlignment w:val="auto"/>
              <w:rPr>
                <w:rFonts w:hint="eastAsia" w:ascii="宋体" w:hAnsi="宋体"/>
                <w:bCs/>
                <w:color w:val="auto"/>
                <w:szCs w:val="21"/>
              </w:rPr>
            </w:pPr>
            <w:r>
              <w:rPr>
                <w:rFonts w:hint="eastAsia" w:ascii="宋体" w:hAnsi="宋体"/>
                <w:bCs/>
                <w:color w:val="auto"/>
                <w:szCs w:val="21"/>
                <w:lang w:val="en-US" w:eastAsia="zh-CN"/>
              </w:rPr>
              <w:t>T1,</w:t>
            </w:r>
            <w:r>
              <w:rPr>
                <w:rFonts w:hint="eastAsia" w:ascii="宋体" w:hAnsi="宋体"/>
                <w:bCs/>
                <w:color w:val="auto"/>
                <w:szCs w:val="21"/>
              </w:rPr>
              <w:t>T2</w:t>
            </w:r>
            <w:r>
              <w:rPr>
                <w:rFonts w:hint="eastAsia" w:ascii="宋体" w:hAnsi="宋体"/>
                <w:bCs/>
                <w:color w:val="auto"/>
                <w:szCs w:val="21"/>
                <w:lang w:val="en-US" w:eastAsia="zh-CN"/>
              </w:rPr>
              <w:t>,</w:t>
            </w:r>
            <w:r>
              <w:rPr>
                <w:rFonts w:hint="eastAsia" w:ascii="宋体" w:hAnsi="宋体"/>
                <w:bCs/>
                <w:color w:val="auto"/>
                <w:szCs w:val="21"/>
              </w:rPr>
              <w:t>T3</w:t>
            </w:r>
          </w:p>
        </w:tc>
        <w:tc>
          <w:tcPr>
            <w:tcW w:w="2866" w:type="dxa"/>
            <w:noWrap w:val="0"/>
            <w:vAlign w:val="top"/>
          </w:tcPr>
          <w:p w14:paraId="2278DE81">
            <w:pPr>
              <w:keepNext w:val="0"/>
              <w:keepLines w:val="0"/>
              <w:pageBreakBefore w:val="0"/>
              <w:wordWrap/>
              <w:topLinePunct w:val="0"/>
              <w:bidi w:val="0"/>
              <w:snapToGrid/>
              <w:spacing w:line="360" w:lineRule="auto"/>
              <w:jc w:val="center"/>
              <w:textAlignment w:val="auto"/>
              <w:rPr>
                <w:rFonts w:hint="eastAsia" w:ascii="宋体" w:hAnsi="宋体"/>
                <w:bCs/>
                <w:color w:val="auto"/>
                <w:szCs w:val="21"/>
              </w:rPr>
            </w:pPr>
            <w:r>
              <w:rPr>
                <w:rFonts w:hint="eastAsia" w:ascii="宋体" w:hAnsi="宋体"/>
                <w:bCs/>
                <w:color w:val="auto"/>
                <w:szCs w:val="21"/>
                <w:lang w:val="en-US" w:eastAsia="zh-CN"/>
              </w:rPr>
              <w:t>热轧</w:t>
            </w:r>
            <w:r>
              <w:rPr>
                <w:rFonts w:hint="eastAsia" w:ascii="宋体" w:hAnsi="宋体"/>
                <w:bCs/>
                <w:color w:val="auto"/>
                <w:szCs w:val="21"/>
              </w:rPr>
              <w:t>（M</w:t>
            </w:r>
            <w:r>
              <w:rPr>
                <w:rFonts w:hint="eastAsia" w:ascii="宋体" w:hAnsi="宋体"/>
                <w:bCs/>
                <w:color w:val="auto"/>
                <w:szCs w:val="21"/>
                <w:lang w:val="en-US" w:eastAsia="zh-CN"/>
              </w:rPr>
              <w:t>20</w:t>
            </w:r>
            <w:r>
              <w:rPr>
                <w:rFonts w:hint="eastAsia" w:ascii="宋体" w:hAnsi="宋体"/>
                <w:bCs/>
                <w:color w:val="auto"/>
                <w:szCs w:val="21"/>
              </w:rPr>
              <w:t>）</w:t>
            </w:r>
          </w:p>
        </w:tc>
        <w:tc>
          <w:tcPr>
            <w:tcW w:w="2706" w:type="dxa"/>
            <w:vMerge w:val="restart"/>
            <w:noWrap w:val="0"/>
            <w:vAlign w:val="center"/>
          </w:tcPr>
          <w:p w14:paraId="75338B99">
            <w:pPr>
              <w:keepNext w:val="0"/>
              <w:keepLines w:val="0"/>
              <w:pageBreakBefore w:val="0"/>
              <w:wordWrap/>
              <w:topLinePunct w:val="0"/>
              <w:bidi w:val="0"/>
              <w:snapToGrid/>
              <w:spacing w:line="360" w:lineRule="auto"/>
              <w:jc w:val="center"/>
              <w:textAlignment w:val="auto"/>
              <w:rPr>
                <w:rFonts w:hint="eastAsia" w:ascii="宋体" w:hAnsi="宋体"/>
                <w:bCs/>
                <w:color w:val="auto"/>
                <w:szCs w:val="21"/>
              </w:rPr>
            </w:pPr>
            <w:r>
              <w:rPr>
                <w:rFonts w:hint="eastAsia" w:ascii="宋体" w:hAnsi="宋体"/>
                <w:bCs/>
                <w:color w:val="auto"/>
                <w:szCs w:val="21"/>
              </w:rPr>
              <w:t>6.0～35.0</w:t>
            </w:r>
          </w:p>
        </w:tc>
      </w:tr>
      <w:tr w14:paraId="2D89B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2767" w:type="dxa"/>
            <w:vMerge w:val="restart"/>
            <w:noWrap w:val="0"/>
            <w:vAlign w:val="center"/>
          </w:tcPr>
          <w:p w14:paraId="7E757D97">
            <w:pPr>
              <w:keepNext w:val="0"/>
              <w:keepLines w:val="0"/>
              <w:pageBreakBefore w:val="0"/>
              <w:wordWrap/>
              <w:topLinePunct w:val="0"/>
              <w:bidi w:val="0"/>
              <w:snapToGrid/>
              <w:spacing w:line="360" w:lineRule="auto"/>
              <w:jc w:val="center"/>
              <w:textAlignment w:val="auto"/>
              <w:rPr>
                <w:rFonts w:hint="eastAsia" w:ascii="宋体" w:hAnsi="宋体"/>
                <w:bCs/>
                <w:color w:val="auto"/>
                <w:szCs w:val="21"/>
              </w:rPr>
            </w:pPr>
            <w:r>
              <w:rPr>
                <w:rFonts w:hint="eastAsia" w:ascii="宋体" w:hAnsi="宋体"/>
                <w:bCs/>
                <w:color w:val="FF0000"/>
                <w:szCs w:val="21"/>
                <w:lang w:val="en-US" w:eastAsia="zh-CN"/>
              </w:rPr>
              <w:t>TU0,</w:t>
            </w:r>
            <w:r>
              <w:rPr>
                <w:rFonts w:hint="eastAsia" w:ascii="宋体" w:hAnsi="宋体"/>
                <w:bCs/>
                <w:color w:val="auto"/>
                <w:szCs w:val="21"/>
              </w:rPr>
              <w:t>TU1，TU2</w:t>
            </w:r>
          </w:p>
        </w:tc>
        <w:tc>
          <w:tcPr>
            <w:tcW w:w="2866" w:type="dxa"/>
            <w:noWrap w:val="0"/>
            <w:vAlign w:val="center"/>
          </w:tcPr>
          <w:p w14:paraId="2E992D0D">
            <w:pPr>
              <w:keepNext w:val="0"/>
              <w:keepLines w:val="0"/>
              <w:pageBreakBefore w:val="0"/>
              <w:wordWrap/>
              <w:topLinePunct w:val="0"/>
              <w:bidi w:val="0"/>
              <w:snapToGrid/>
              <w:spacing w:line="360" w:lineRule="auto"/>
              <w:jc w:val="center"/>
              <w:textAlignment w:val="auto"/>
              <w:rPr>
                <w:rFonts w:hint="eastAsia" w:ascii="宋体" w:hAnsi="宋体"/>
                <w:bCs/>
                <w:color w:val="auto"/>
                <w:szCs w:val="21"/>
              </w:rPr>
            </w:pPr>
            <w:r>
              <w:rPr>
                <w:rFonts w:hint="eastAsia" w:ascii="宋体" w:hAnsi="宋体"/>
                <w:bCs/>
                <w:color w:val="auto"/>
                <w:szCs w:val="21"/>
                <w:lang w:val="en-US" w:eastAsia="zh-CN"/>
              </w:rPr>
              <w:t>铸</w:t>
            </w:r>
            <w:r>
              <w:rPr>
                <w:rFonts w:hint="eastAsia" w:ascii="宋体" w:hAnsi="宋体"/>
                <w:bCs/>
                <w:color w:val="auto"/>
                <w:szCs w:val="21"/>
              </w:rPr>
              <w:t>造（M</w:t>
            </w:r>
            <w:r>
              <w:rPr>
                <w:rFonts w:hint="eastAsia" w:ascii="宋体" w:hAnsi="宋体"/>
                <w:bCs/>
                <w:color w:val="auto"/>
                <w:szCs w:val="21"/>
                <w:lang w:val="en-US" w:eastAsia="zh-CN"/>
              </w:rPr>
              <w:t>07</w:t>
            </w:r>
            <w:r>
              <w:rPr>
                <w:rFonts w:hint="eastAsia" w:ascii="宋体" w:hAnsi="宋体"/>
                <w:bCs/>
                <w:color w:val="auto"/>
                <w:szCs w:val="21"/>
              </w:rPr>
              <w:t>）</w:t>
            </w:r>
          </w:p>
        </w:tc>
        <w:tc>
          <w:tcPr>
            <w:tcW w:w="2706" w:type="dxa"/>
            <w:vMerge w:val="continue"/>
            <w:noWrap w:val="0"/>
            <w:vAlign w:val="center"/>
          </w:tcPr>
          <w:p w14:paraId="1D887125">
            <w:pPr>
              <w:keepNext w:val="0"/>
              <w:keepLines w:val="0"/>
              <w:pageBreakBefore w:val="0"/>
              <w:wordWrap/>
              <w:topLinePunct w:val="0"/>
              <w:bidi w:val="0"/>
              <w:snapToGrid/>
              <w:spacing w:line="360" w:lineRule="auto"/>
              <w:jc w:val="center"/>
              <w:textAlignment w:val="auto"/>
              <w:rPr>
                <w:rFonts w:hint="eastAsia" w:ascii="宋体" w:hAnsi="宋体"/>
                <w:bCs/>
                <w:color w:val="auto"/>
                <w:szCs w:val="21"/>
              </w:rPr>
            </w:pPr>
          </w:p>
        </w:tc>
      </w:tr>
      <w:tr w14:paraId="77FB1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2767" w:type="dxa"/>
            <w:vMerge w:val="continue"/>
            <w:noWrap w:val="0"/>
            <w:vAlign w:val="center"/>
          </w:tcPr>
          <w:p w14:paraId="24BF7CFB">
            <w:pPr>
              <w:keepNext w:val="0"/>
              <w:keepLines w:val="0"/>
              <w:pageBreakBefore w:val="0"/>
              <w:wordWrap/>
              <w:topLinePunct w:val="0"/>
              <w:bidi w:val="0"/>
              <w:snapToGrid/>
              <w:spacing w:line="360" w:lineRule="auto"/>
              <w:jc w:val="center"/>
              <w:textAlignment w:val="auto"/>
              <w:rPr>
                <w:rFonts w:hint="eastAsia" w:ascii="宋体" w:hAnsi="宋体"/>
                <w:bCs/>
                <w:color w:val="auto"/>
                <w:szCs w:val="21"/>
              </w:rPr>
            </w:pPr>
          </w:p>
        </w:tc>
        <w:tc>
          <w:tcPr>
            <w:tcW w:w="2866" w:type="dxa"/>
            <w:noWrap w:val="0"/>
            <w:vAlign w:val="center"/>
          </w:tcPr>
          <w:p w14:paraId="2270D873">
            <w:pPr>
              <w:keepNext w:val="0"/>
              <w:keepLines w:val="0"/>
              <w:pageBreakBefore w:val="0"/>
              <w:wordWrap/>
              <w:topLinePunct w:val="0"/>
              <w:bidi w:val="0"/>
              <w:snapToGrid/>
              <w:spacing w:line="360" w:lineRule="auto"/>
              <w:jc w:val="center"/>
              <w:textAlignment w:val="auto"/>
              <w:rPr>
                <w:rFonts w:hint="eastAsia" w:ascii="宋体" w:hAnsi="宋体"/>
                <w:bCs/>
                <w:color w:val="auto"/>
                <w:szCs w:val="21"/>
              </w:rPr>
            </w:pPr>
            <w:r>
              <w:rPr>
                <w:rFonts w:hint="eastAsia" w:ascii="宋体" w:hAnsi="宋体"/>
                <w:bCs/>
                <w:color w:val="auto"/>
                <w:szCs w:val="21"/>
                <w:lang w:val="en-US" w:eastAsia="zh-CN"/>
              </w:rPr>
              <w:t>拉拔硬</w:t>
            </w:r>
            <w:r>
              <w:rPr>
                <w:rFonts w:hint="eastAsia" w:ascii="宋体" w:hAnsi="宋体"/>
                <w:bCs/>
                <w:color w:val="auto"/>
                <w:szCs w:val="21"/>
              </w:rPr>
              <w:t>（H</w:t>
            </w:r>
            <w:r>
              <w:rPr>
                <w:rFonts w:hint="eastAsia" w:ascii="宋体" w:hAnsi="宋体"/>
                <w:bCs/>
                <w:color w:val="auto"/>
                <w:szCs w:val="21"/>
                <w:lang w:val="en-US" w:eastAsia="zh-CN"/>
              </w:rPr>
              <w:t>80</w:t>
            </w:r>
            <w:r>
              <w:rPr>
                <w:rFonts w:hint="eastAsia" w:ascii="宋体" w:hAnsi="宋体"/>
                <w:bCs/>
                <w:color w:val="auto"/>
                <w:szCs w:val="21"/>
              </w:rPr>
              <w:t>）</w:t>
            </w:r>
          </w:p>
        </w:tc>
        <w:tc>
          <w:tcPr>
            <w:tcW w:w="2706" w:type="dxa"/>
            <w:noWrap w:val="0"/>
            <w:vAlign w:val="top"/>
          </w:tcPr>
          <w:p w14:paraId="3EE7C66A">
            <w:pPr>
              <w:keepNext w:val="0"/>
              <w:keepLines w:val="0"/>
              <w:pageBreakBefore w:val="0"/>
              <w:wordWrap/>
              <w:topLinePunct w:val="0"/>
              <w:bidi w:val="0"/>
              <w:snapToGrid/>
              <w:spacing w:line="360" w:lineRule="auto"/>
              <w:jc w:val="center"/>
              <w:textAlignment w:val="auto"/>
              <w:rPr>
                <w:rFonts w:hint="eastAsia" w:ascii="宋体" w:hAnsi="宋体"/>
                <w:bCs/>
                <w:color w:val="auto"/>
                <w:szCs w:val="21"/>
              </w:rPr>
            </w:pPr>
            <w:r>
              <w:rPr>
                <w:rFonts w:hint="eastAsia" w:ascii="宋体" w:hAnsi="宋体"/>
                <w:bCs/>
                <w:color w:val="auto"/>
                <w:szCs w:val="21"/>
              </w:rPr>
              <w:t>6.0～12.0</w:t>
            </w:r>
          </w:p>
        </w:tc>
      </w:tr>
    </w:tbl>
    <w:p w14:paraId="4DC44868">
      <w:pPr>
        <w:keepNext w:val="0"/>
        <w:keepLines w:val="0"/>
        <w:pageBreakBefore w:val="0"/>
        <w:wordWrap/>
        <w:topLinePunct w:val="0"/>
        <w:bidi w:val="0"/>
        <w:snapToGrid/>
        <w:spacing w:line="360" w:lineRule="auto"/>
        <w:textAlignment w:val="auto"/>
        <w:rPr>
          <w:rFonts w:hint="eastAsia"/>
          <w:lang w:val="en-US" w:eastAsia="zh-CN"/>
        </w:rPr>
      </w:pPr>
    </w:p>
    <w:p w14:paraId="08C6354C">
      <w:pPr>
        <w:keepNext w:val="0"/>
        <w:keepLines w:val="0"/>
        <w:pageBreakBefore w:val="0"/>
        <w:numPr>
          <w:ilvl w:val="0"/>
          <w:numId w:val="0"/>
        </w:numPr>
        <w:wordWrap/>
        <w:topLinePunct w:val="0"/>
        <w:bidi w:val="0"/>
        <w:snapToGrid/>
        <w:spacing w:line="360" w:lineRule="auto"/>
        <w:textAlignment w:val="auto"/>
        <w:rPr>
          <w:rFonts w:hint="default"/>
          <w:color w:val="auto"/>
          <w:lang w:val="en-US" w:eastAsia="zh-CN"/>
        </w:rPr>
      </w:pPr>
      <w:r>
        <w:rPr>
          <w:rFonts w:hint="eastAsia"/>
          <w:color w:val="auto"/>
          <w:lang w:val="en-US" w:eastAsia="zh-CN"/>
        </w:rPr>
        <w:t>3.1.2 新增TU0牌号成分要求</w:t>
      </w:r>
    </w:p>
    <w:p w14:paraId="2291A372">
      <w:pPr>
        <w:keepNext w:val="0"/>
        <w:keepLines w:val="0"/>
        <w:pageBreakBefore w:val="0"/>
        <w:tabs>
          <w:tab w:val="center" w:pos="1620"/>
          <w:tab w:val="center" w:pos="5124"/>
          <w:tab w:val="center" w:pos="5760"/>
        </w:tabs>
        <w:wordWrap/>
        <w:topLinePunct w:val="0"/>
        <w:bidi w:val="0"/>
        <w:snapToGrid/>
        <w:spacing w:line="360" w:lineRule="auto"/>
        <w:ind w:firstLine="420" w:firstLineChars="200"/>
        <w:textAlignment w:val="auto"/>
        <w:rPr>
          <w:rFonts w:hint="eastAsia"/>
          <w:color w:val="auto"/>
          <w:lang w:val="en-US" w:eastAsia="zh-CN"/>
        </w:rPr>
      </w:pPr>
      <w:r>
        <w:rPr>
          <w:rFonts w:hint="eastAsia" w:ascii="宋体" w:hAnsi="宋体"/>
          <w:bCs/>
          <w:color w:val="000000"/>
          <w:szCs w:val="21"/>
          <w:lang w:val="en-US" w:eastAsia="zh-CN"/>
        </w:rPr>
        <w:t>T1</w:t>
      </w:r>
      <w:r>
        <w:rPr>
          <w:rFonts w:hint="eastAsia" w:ascii="宋体" w:hAnsi="宋体"/>
          <w:bCs/>
          <w:color w:val="000000"/>
          <w:kern w:val="0"/>
          <w:szCs w:val="21"/>
          <w:lang w:val="en-US" w:eastAsia="zh-CN"/>
        </w:rPr>
        <w:t>、</w:t>
      </w:r>
      <w:r>
        <w:rPr>
          <w:rFonts w:hint="eastAsia" w:ascii="宋体" w:hAnsi="宋体"/>
          <w:bCs/>
          <w:color w:val="FF0000"/>
          <w:szCs w:val="21"/>
          <w:lang w:val="en-US" w:eastAsia="zh-CN"/>
        </w:rPr>
        <w:t>TU0、</w:t>
      </w:r>
      <w:r>
        <w:rPr>
          <w:rFonts w:hint="eastAsia" w:ascii="宋体" w:hAnsi="宋体"/>
          <w:bCs/>
          <w:color w:val="auto"/>
          <w:kern w:val="0"/>
          <w:szCs w:val="21"/>
        </w:rPr>
        <w:t>TU1牌号铜线坯的化学成分应符合表2的规定,并且</w:t>
      </w:r>
      <w:r>
        <w:rPr>
          <w:rFonts w:hint="eastAsia" w:ascii="宋体" w:hAnsi="宋体"/>
          <w:bCs/>
          <w:color w:val="000000"/>
          <w:kern w:val="0"/>
          <w:szCs w:val="21"/>
        </w:rPr>
        <w:t>T1</w:t>
      </w:r>
      <w:r>
        <w:rPr>
          <w:rFonts w:ascii="宋体" w:hAnsi="宋体"/>
          <w:bCs/>
          <w:color w:val="auto"/>
          <w:szCs w:val="21"/>
        </w:rPr>
        <w:t>的氧含量应不大于0.040</w:t>
      </w:r>
      <w:r>
        <w:rPr>
          <w:rFonts w:hint="eastAsia" w:ascii="宋体" w:hAnsi="宋体"/>
          <w:bCs/>
          <w:color w:val="auto"/>
          <w:szCs w:val="21"/>
        </w:rPr>
        <w:t>%,</w:t>
      </w:r>
      <w:r>
        <w:rPr>
          <w:rFonts w:hint="eastAsia" w:ascii="宋体" w:hAnsi="宋体"/>
          <w:bCs/>
          <w:color w:val="FF0000"/>
          <w:szCs w:val="21"/>
          <w:lang w:val="en-US" w:eastAsia="zh-CN"/>
        </w:rPr>
        <w:t>TU0的氧含量应不大于0.0005%</w:t>
      </w:r>
      <w:r>
        <w:rPr>
          <w:rFonts w:hint="eastAsia" w:ascii="宋体" w:hAnsi="宋体"/>
          <w:bCs/>
          <w:color w:val="auto"/>
          <w:szCs w:val="21"/>
          <w:lang w:val="en-US" w:eastAsia="zh-CN"/>
        </w:rPr>
        <w:t>，</w:t>
      </w:r>
      <w:r>
        <w:rPr>
          <w:rFonts w:ascii="宋体" w:hAnsi="宋体"/>
          <w:bCs/>
          <w:color w:val="auto"/>
          <w:szCs w:val="21"/>
        </w:rPr>
        <w:t>TU1的氧含量应不大于0.0010</w:t>
      </w:r>
      <w:r>
        <w:rPr>
          <w:rFonts w:hint="eastAsia" w:ascii="宋体" w:hAnsi="宋体"/>
          <w:bCs/>
          <w:color w:val="auto"/>
          <w:szCs w:val="21"/>
        </w:rPr>
        <w:t>%。</w:t>
      </w:r>
    </w:p>
    <w:p w14:paraId="7952788C">
      <w:pPr>
        <w:keepNext w:val="0"/>
        <w:keepLines w:val="0"/>
        <w:pageBreakBefore w:val="0"/>
        <w:numPr>
          <w:ilvl w:val="0"/>
          <w:numId w:val="0"/>
        </w:numPr>
        <w:wordWrap/>
        <w:topLinePunct w:val="0"/>
        <w:bidi w:val="0"/>
        <w:snapToGrid/>
        <w:spacing w:line="360" w:lineRule="auto"/>
        <w:textAlignment w:val="auto"/>
        <w:rPr>
          <w:rFonts w:hint="eastAsia"/>
          <w:color w:val="auto"/>
          <w:lang w:val="en-US" w:eastAsia="zh-CN"/>
        </w:rPr>
      </w:pPr>
      <w:r>
        <w:rPr>
          <w:rFonts w:hint="eastAsia"/>
          <w:color w:val="auto"/>
          <w:lang w:val="en-US" w:eastAsia="zh-CN"/>
        </w:rPr>
        <w:t>3.1.3 新增TU0牌号电工用铜线坯力学性能</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6"/>
        <w:gridCol w:w="1258"/>
        <w:gridCol w:w="2153"/>
        <w:gridCol w:w="1731"/>
        <w:gridCol w:w="1700"/>
      </w:tblGrid>
      <w:tr w14:paraId="37DE1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716" w:type="dxa"/>
            <w:noWrap w:val="0"/>
            <w:vAlign w:val="center"/>
          </w:tcPr>
          <w:p w14:paraId="6018C9D1">
            <w:pPr>
              <w:keepNext w:val="0"/>
              <w:keepLines w:val="0"/>
              <w:pageBreakBefore w:val="0"/>
              <w:wordWrap/>
              <w:topLinePunct w:val="0"/>
              <w:bidi w:val="0"/>
              <w:snapToGrid/>
              <w:spacing w:line="360" w:lineRule="auto"/>
              <w:jc w:val="center"/>
              <w:textAlignment w:val="auto"/>
              <w:rPr>
                <w:rFonts w:hint="eastAsia" w:ascii="宋体" w:hAnsi="宋体"/>
                <w:bCs/>
                <w:color w:val="auto"/>
                <w:szCs w:val="21"/>
              </w:rPr>
            </w:pPr>
            <w:r>
              <w:rPr>
                <w:rFonts w:hint="eastAsia" w:ascii="宋体" w:hAnsi="宋体"/>
                <w:bCs/>
                <w:color w:val="auto"/>
                <w:szCs w:val="21"/>
              </w:rPr>
              <w:t>牌   号</w:t>
            </w:r>
          </w:p>
        </w:tc>
        <w:tc>
          <w:tcPr>
            <w:tcW w:w="1258" w:type="dxa"/>
            <w:noWrap w:val="0"/>
            <w:vAlign w:val="center"/>
          </w:tcPr>
          <w:p w14:paraId="6A97CC98">
            <w:pPr>
              <w:keepNext w:val="0"/>
              <w:keepLines w:val="0"/>
              <w:pageBreakBefore w:val="0"/>
              <w:wordWrap/>
              <w:topLinePunct w:val="0"/>
              <w:bidi w:val="0"/>
              <w:snapToGrid/>
              <w:spacing w:line="360" w:lineRule="auto"/>
              <w:jc w:val="center"/>
              <w:textAlignment w:val="auto"/>
              <w:rPr>
                <w:rFonts w:hint="eastAsia" w:ascii="宋体" w:hAnsi="宋体"/>
                <w:bCs/>
                <w:color w:val="auto"/>
                <w:szCs w:val="21"/>
              </w:rPr>
            </w:pPr>
            <w:r>
              <w:rPr>
                <w:rFonts w:hint="eastAsia" w:ascii="宋体" w:hAnsi="宋体"/>
                <w:bCs/>
                <w:color w:val="auto"/>
                <w:szCs w:val="21"/>
              </w:rPr>
              <w:t>状 态</w:t>
            </w:r>
          </w:p>
        </w:tc>
        <w:tc>
          <w:tcPr>
            <w:tcW w:w="2153" w:type="dxa"/>
            <w:noWrap w:val="0"/>
            <w:vAlign w:val="center"/>
          </w:tcPr>
          <w:p w14:paraId="34330A39">
            <w:pPr>
              <w:keepNext w:val="0"/>
              <w:keepLines w:val="0"/>
              <w:pageBreakBefore w:val="0"/>
              <w:wordWrap/>
              <w:topLinePunct w:val="0"/>
              <w:bidi w:val="0"/>
              <w:snapToGrid/>
              <w:spacing w:line="360" w:lineRule="auto"/>
              <w:jc w:val="center"/>
              <w:textAlignment w:val="auto"/>
              <w:rPr>
                <w:rFonts w:hint="eastAsia" w:ascii="宋体" w:hAnsi="宋体"/>
                <w:bCs/>
                <w:color w:val="auto"/>
                <w:szCs w:val="21"/>
              </w:rPr>
            </w:pPr>
            <w:r>
              <w:rPr>
                <w:rFonts w:hint="eastAsia" w:ascii="宋体" w:hAnsi="宋体"/>
                <w:bCs/>
                <w:color w:val="auto"/>
                <w:szCs w:val="21"/>
              </w:rPr>
              <w:t>直径 / mm</w:t>
            </w:r>
          </w:p>
        </w:tc>
        <w:tc>
          <w:tcPr>
            <w:tcW w:w="1731" w:type="dxa"/>
            <w:noWrap w:val="0"/>
            <w:vAlign w:val="center"/>
          </w:tcPr>
          <w:p w14:paraId="48B25871">
            <w:pPr>
              <w:keepNext w:val="0"/>
              <w:keepLines w:val="0"/>
              <w:pageBreakBefore w:val="0"/>
              <w:wordWrap/>
              <w:topLinePunct w:val="0"/>
              <w:bidi w:val="0"/>
              <w:snapToGrid/>
              <w:spacing w:line="360" w:lineRule="auto"/>
              <w:jc w:val="center"/>
              <w:textAlignment w:val="auto"/>
              <w:rPr>
                <w:rFonts w:hint="eastAsia" w:ascii="宋体" w:hAnsi="宋体"/>
                <w:bCs/>
                <w:color w:val="auto"/>
                <w:szCs w:val="21"/>
              </w:rPr>
            </w:pPr>
            <w:r>
              <w:rPr>
                <w:rFonts w:hint="eastAsia" w:ascii="宋体" w:hAnsi="宋体"/>
                <w:bCs/>
                <w:color w:val="auto"/>
                <w:szCs w:val="21"/>
              </w:rPr>
              <w:t>抗拉强度/（N/mm</w:t>
            </w:r>
            <w:r>
              <w:rPr>
                <w:rFonts w:hint="eastAsia" w:ascii="宋体" w:hAnsi="宋体"/>
                <w:bCs/>
                <w:color w:val="auto"/>
                <w:szCs w:val="21"/>
                <w:vertAlign w:val="superscript"/>
              </w:rPr>
              <w:t>2</w:t>
            </w:r>
            <w:r>
              <w:rPr>
                <w:rFonts w:hint="eastAsia" w:ascii="宋体" w:hAnsi="宋体"/>
                <w:bCs/>
                <w:color w:val="auto"/>
                <w:szCs w:val="21"/>
              </w:rPr>
              <w:t>）不小于</w:t>
            </w:r>
          </w:p>
        </w:tc>
        <w:tc>
          <w:tcPr>
            <w:tcW w:w="1700" w:type="dxa"/>
            <w:noWrap w:val="0"/>
            <w:vAlign w:val="center"/>
          </w:tcPr>
          <w:p w14:paraId="1F89DF0B">
            <w:pPr>
              <w:keepNext w:val="0"/>
              <w:keepLines w:val="0"/>
              <w:pageBreakBefore w:val="0"/>
              <w:wordWrap/>
              <w:topLinePunct w:val="0"/>
              <w:bidi w:val="0"/>
              <w:snapToGrid/>
              <w:spacing w:line="360" w:lineRule="auto"/>
              <w:jc w:val="center"/>
              <w:textAlignment w:val="auto"/>
              <w:rPr>
                <w:rFonts w:hint="eastAsia" w:ascii="宋体" w:hAnsi="宋体"/>
                <w:bCs/>
                <w:color w:val="auto"/>
                <w:szCs w:val="21"/>
              </w:rPr>
            </w:pPr>
            <w:r>
              <w:rPr>
                <w:rFonts w:hint="eastAsia" w:ascii="宋体" w:hAnsi="宋体"/>
                <w:bCs/>
                <w:color w:val="auto"/>
                <w:szCs w:val="21"/>
              </w:rPr>
              <w:t>伸长率 / ％</w:t>
            </w:r>
          </w:p>
          <w:p w14:paraId="2B095164">
            <w:pPr>
              <w:keepNext w:val="0"/>
              <w:keepLines w:val="0"/>
              <w:pageBreakBefore w:val="0"/>
              <w:wordWrap/>
              <w:topLinePunct w:val="0"/>
              <w:bidi w:val="0"/>
              <w:snapToGrid/>
              <w:spacing w:line="360" w:lineRule="auto"/>
              <w:jc w:val="center"/>
              <w:textAlignment w:val="auto"/>
              <w:rPr>
                <w:rFonts w:hint="eastAsia" w:ascii="宋体" w:hAnsi="宋体"/>
                <w:bCs/>
                <w:color w:val="auto"/>
                <w:szCs w:val="21"/>
              </w:rPr>
            </w:pPr>
            <w:r>
              <w:rPr>
                <w:rFonts w:hint="eastAsia" w:ascii="宋体" w:hAnsi="宋体"/>
                <w:bCs/>
                <w:color w:val="auto"/>
                <w:szCs w:val="21"/>
              </w:rPr>
              <w:t>不小于</w:t>
            </w:r>
          </w:p>
        </w:tc>
      </w:tr>
      <w:tr w14:paraId="7D8C3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1716" w:type="dxa"/>
            <w:noWrap w:val="0"/>
            <w:vAlign w:val="center"/>
          </w:tcPr>
          <w:p w14:paraId="21BCFF6B">
            <w:pPr>
              <w:keepNext w:val="0"/>
              <w:keepLines w:val="0"/>
              <w:pageBreakBefore w:val="0"/>
              <w:wordWrap/>
              <w:topLinePunct w:val="0"/>
              <w:bidi w:val="0"/>
              <w:snapToGrid/>
              <w:spacing w:line="360" w:lineRule="auto"/>
              <w:jc w:val="center"/>
              <w:textAlignment w:val="auto"/>
              <w:rPr>
                <w:rFonts w:hint="default" w:ascii="宋体" w:hAnsi="宋体" w:eastAsia="宋体"/>
                <w:bCs/>
                <w:color w:val="auto"/>
                <w:szCs w:val="21"/>
                <w:lang w:val="en-US" w:eastAsia="zh-CN"/>
              </w:rPr>
            </w:pPr>
            <w:r>
              <w:rPr>
                <w:rFonts w:hint="eastAsia" w:ascii="宋体" w:hAnsi="宋体"/>
                <w:bCs/>
                <w:color w:val="FF0000"/>
                <w:szCs w:val="21"/>
                <w:lang w:val="en-US" w:eastAsia="zh-CN"/>
              </w:rPr>
              <w:t>TU0</w:t>
            </w:r>
          </w:p>
        </w:tc>
        <w:tc>
          <w:tcPr>
            <w:tcW w:w="1258" w:type="dxa"/>
            <w:noWrap w:val="0"/>
            <w:vAlign w:val="center"/>
          </w:tcPr>
          <w:p w14:paraId="456E18F7">
            <w:pPr>
              <w:keepNext w:val="0"/>
              <w:keepLines w:val="0"/>
              <w:pageBreakBefore w:val="0"/>
              <w:wordWrap/>
              <w:topLinePunct w:val="0"/>
              <w:bidi w:val="0"/>
              <w:snapToGrid/>
              <w:spacing w:line="360" w:lineRule="auto"/>
              <w:jc w:val="center"/>
              <w:textAlignment w:val="auto"/>
              <w:rPr>
                <w:rFonts w:hint="eastAsia" w:ascii="宋体" w:hAnsi="宋体" w:eastAsia="宋体"/>
                <w:bCs/>
                <w:color w:val="auto"/>
                <w:szCs w:val="21"/>
                <w:lang w:val="en-US" w:eastAsia="zh-CN"/>
              </w:rPr>
            </w:pPr>
            <w:r>
              <w:rPr>
                <w:rFonts w:hint="eastAsia" w:ascii="宋体" w:hAnsi="宋体"/>
                <w:bCs/>
                <w:color w:val="auto"/>
                <w:szCs w:val="21"/>
                <w:lang w:val="en-US" w:eastAsia="zh-CN"/>
              </w:rPr>
              <w:t>铸造（M07）</w:t>
            </w:r>
          </w:p>
        </w:tc>
        <w:tc>
          <w:tcPr>
            <w:tcW w:w="2153" w:type="dxa"/>
            <w:noWrap w:val="0"/>
            <w:vAlign w:val="center"/>
          </w:tcPr>
          <w:p w14:paraId="27798823">
            <w:pPr>
              <w:keepNext w:val="0"/>
              <w:keepLines w:val="0"/>
              <w:pageBreakBefore w:val="0"/>
              <w:wordWrap/>
              <w:topLinePunct w:val="0"/>
              <w:bidi w:val="0"/>
              <w:snapToGrid/>
              <w:spacing w:line="360" w:lineRule="auto"/>
              <w:jc w:val="center"/>
              <w:textAlignment w:val="auto"/>
              <w:rPr>
                <w:rFonts w:hint="eastAsia" w:ascii="宋体" w:hAnsi="宋体"/>
                <w:bCs/>
                <w:color w:val="auto"/>
                <w:szCs w:val="21"/>
              </w:rPr>
            </w:pPr>
            <w:r>
              <w:rPr>
                <w:rFonts w:hint="eastAsia" w:ascii="宋体" w:hAnsi="宋体"/>
                <w:bCs/>
                <w:color w:val="auto"/>
                <w:szCs w:val="21"/>
              </w:rPr>
              <w:t>6.0～35</w:t>
            </w:r>
          </w:p>
        </w:tc>
        <w:tc>
          <w:tcPr>
            <w:tcW w:w="1731" w:type="dxa"/>
            <w:noWrap w:val="0"/>
            <w:vAlign w:val="center"/>
          </w:tcPr>
          <w:p w14:paraId="31AF9BD7">
            <w:pPr>
              <w:keepNext w:val="0"/>
              <w:keepLines w:val="0"/>
              <w:pageBreakBefore w:val="0"/>
              <w:wordWrap/>
              <w:topLinePunct w:val="0"/>
              <w:bidi w:val="0"/>
              <w:snapToGrid/>
              <w:spacing w:line="360" w:lineRule="auto"/>
              <w:jc w:val="center"/>
              <w:textAlignment w:val="auto"/>
              <w:rPr>
                <w:rFonts w:hint="eastAsia" w:ascii="宋体" w:hAnsi="宋体"/>
                <w:bCs/>
                <w:color w:val="auto"/>
                <w:szCs w:val="21"/>
              </w:rPr>
            </w:pPr>
            <w:r>
              <w:rPr>
                <w:rFonts w:hint="eastAsia" w:ascii="宋体" w:hAnsi="宋体"/>
                <w:bCs/>
                <w:color w:val="auto"/>
                <w:szCs w:val="21"/>
              </w:rPr>
              <w:t>—</w:t>
            </w:r>
          </w:p>
        </w:tc>
        <w:tc>
          <w:tcPr>
            <w:tcW w:w="1700" w:type="dxa"/>
            <w:noWrap w:val="0"/>
            <w:vAlign w:val="center"/>
          </w:tcPr>
          <w:p w14:paraId="198D2CFF">
            <w:pPr>
              <w:keepNext w:val="0"/>
              <w:keepLines w:val="0"/>
              <w:pageBreakBefore w:val="0"/>
              <w:wordWrap/>
              <w:topLinePunct w:val="0"/>
              <w:bidi w:val="0"/>
              <w:snapToGrid/>
              <w:spacing w:line="360" w:lineRule="auto"/>
              <w:jc w:val="center"/>
              <w:textAlignment w:val="auto"/>
              <w:rPr>
                <w:rFonts w:hint="default" w:ascii="宋体" w:hAnsi="宋体" w:eastAsia="宋体"/>
                <w:bCs/>
                <w:color w:val="auto"/>
                <w:szCs w:val="21"/>
                <w:lang w:val="en-US" w:eastAsia="zh-CN"/>
              </w:rPr>
            </w:pPr>
            <w:r>
              <w:rPr>
                <w:rFonts w:hint="eastAsia" w:ascii="宋体" w:hAnsi="宋体"/>
                <w:bCs/>
                <w:color w:val="FF0000"/>
                <w:szCs w:val="21"/>
                <w:lang w:val="en-US" w:eastAsia="zh-CN"/>
              </w:rPr>
              <w:t>42</w:t>
            </w:r>
          </w:p>
        </w:tc>
      </w:tr>
    </w:tbl>
    <w:p w14:paraId="320514D6">
      <w:pPr>
        <w:keepNext w:val="0"/>
        <w:keepLines w:val="0"/>
        <w:pageBreakBefore w:val="0"/>
        <w:numPr>
          <w:ilvl w:val="0"/>
          <w:numId w:val="0"/>
        </w:numPr>
        <w:wordWrap/>
        <w:topLinePunct w:val="0"/>
        <w:bidi w:val="0"/>
        <w:snapToGrid/>
        <w:spacing w:line="360" w:lineRule="auto"/>
        <w:textAlignment w:val="auto"/>
        <w:rPr>
          <w:rFonts w:hint="eastAsia"/>
          <w:color w:val="auto"/>
          <w:lang w:val="en-US" w:eastAsia="zh-CN"/>
        </w:rPr>
      </w:pPr>
      <w:r>
        <w:rPr>
          <w:rFonts w:hint="eastAsia"/>
          <w:color w:val="auto"/>
          <w:lang w:val="en-US" w:eastAsia="zh-CN"/>
        </w:rPr>
        <w:t>3.1.3 新增TU0牌号电工用铜线坯扭转性能</w:t>
      </w:r>
    </w:p>
    <w:tbl>
      <w:tblPr>
        <w:tblStyle w:val="11"/>
        <w:tblW w:w="88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8"/>
        <w:gridCol w:w="1500"/>
        <w:gridCol w:w="2159"/>
        <w:gridCol w:w="3631"/>
      </w:tblGrid>
      <w:tr w14:paraId="3BC1F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08" w:type="dxa"/>
            <w:noWrap w:val="0"/>
            <w:vAlign w:val="center"/>
          </w:tcPr>
          <w:p w14:paraId="24E7F86E">
            <w:pPr>
              <w:keepNext w:val="0"/>
              <w:keepLines w:val="0"/>
              <w:pageBreakBefore w:val="0"/>
              <w:wordWrap/>
              <w:topLinePunct w:val="0"/>
              <w:bidi w:val="0"/>
              <w:snapToGrid/>
              <w:spacing w:line="360" w:lineRule="auto"/>
              <w:jc w:val="center"/>
              <w:textAlignment w:val="auto"/>
              <w:rPr>
                <w:rFonts w:hint="eastAsia" w:ascii="宋体" w:hAnsi="宋体"/>
                <w:bCs/>
                <w:color w:val="auto"/>
                <w:szCs w:val="21"/>
              </w:rPr>
            </w:pPr>
            <w:r>
              <w:rPr>
                <w:rFonts w:hint="eastAsia" w:ascii="宋体" w:hAnsi="宋体"/>
                <w:bCs/>
                <w:color w:val="auto"/>
                <w:szCs w:val="21"/>
              </w:rPr>
              <w:t>牌   号</w:t>
            </w:r>
          </w:p>
        </w:tc>
        <w:tc>
          <w:tcPr>
            <w:tcW w:w="1500" w:type="dxa"/>
            <w:noWrap w:val="0"/>
            <w:vAlign w:val="center"/>
          </w:tcPr>
          <w:p w14:paraId="2F2AA711">
            <w:pPr>
              <w:keepNext w:val="0"/>
              <w:keepLines w:val="0"/>
              <w:pageBreakBefore w:val="0"/>
              <w:wordWrap/>
              <w:topLinePunct w:val="0"/>
              <w:bidi w:val="0"/>
              <w:snapToGrid/>
              <w:spacing w:line="360" w:lineRule="auto"/>
              <w:jc w:val="center"/>
              <w:textAlignment w:val="auto"/>
              <w:rPr>
                <w:rFonts w:hint="eastAsia" w:ascii="宋体" w:hAnsi="宋体"/>
                <w:bCs/>
                <w:color w:val="auto"/>
                <w:szCs w:val="21"/>
              </w:rPr>
            </w:pPr>
            <w:r>
              <w:rPr>
                <w:rFonts w:hint="eastAsia" w:ascii="宋体" w:hAnsi="宋体"/>
                <w:bCs/>
                <w:color w:val="auto"/>
                <w:szCs w:val="21"/>
              </w:rPr>
              <w:t>状 态</w:t>
            </w:r>
          </w:p>
        </w:tc>
        <w:tc>
          <w:tcPr>
            <w:tcW w:w="2159" w:type="dxa"/>
            <w:noWrap w:val="0"/>
            <w:vAlign w:val="center"/>
          </w:tcPr>
          <w:p w14:paraId="03DC7996">
            <w:pPr>
              <w:keepNext w:val="0"/>
              <w:keepLines w:val="0"/>
              <w:pageBreakBefore w:val="0"/>
              <w:wordWrap/>
              <w:topLinePunct w:val="0"/>
              <w:bidi w:val="0"/>
              <w:snapToGrid/>
              <w:spacing w:line="360" w:lineRule="auto"/>
              <w:jc w:val="center"/>
              <w:textAlignment w:val="auto"/>
              <w:rPr>
                <w:rFonts w:hint="eastAsia" w:ascii="宋体" w:hAnsi="宋体"/>
                <w:bCs/>
                <w:color w:val="auto"/>
                <w:szCs w:val="21"/>
              </w:rPr>
            </w:pPr>
            <w:r>
              <w:rPr>
                <w:rFonts w:hint="eastAsia" w:ascii="宋体" w:hAnsi="宋体"/>
                <w:bCs/>
                <w:color w:val="auto"/>
                <w:szCs w:val="21"/>
              </w:rPr>
              <w:t>正转转数</w:t>
            </w:r>
          </w:p>
        </w:tc>
        <w:tc>
          <w:tcPr>
            <w:tcW w:w="3631" w:type="dxa"/>
            <w:noWrap w:val="0"/>
            <w:vAlign w:val="center"/>
          </w:tcPr>
          <w:p w14:paraId="27512A1C">
            <w:pPr>
              <w:keepNext w:val="0"/>
              <w:keepLines w:val="0"/>
              <w:pageBreakBefore w:val="0"/>
              <w:wordWrap/>
              <w:topLinePunct w:val="0"/>
              <w:bidi w:val="0"/>
              <w:snapToGrid/>
              <w:spacing w:line="360" w:lineRule="auto"/>
              <w:jc w:val="center"/>
              <w:textAlignment w:val="auto"/>
              <w:rPr>
                <w:rFonts w:hint="eastAsia" w:ascii="宋体" w:hAnsi="宋体"/>
                <w:bCs/>
                <w:color w:val="auto"/>
                <w:szCs w:val="21"/>
              </w:rPr>
            </w:pPr>
            <w:r>
              <w:rPr>
                <w:rFonts w:hint="eastAsia" w:ascii="宋体" w:hAnsi="宋体"/>
                <w:bCs/>
                <w:color w:val="auto"/>
                <w:szCs w:val="21"/>
              </w:rPr>
              <w:t>反转至断裂的转数，不少于</w:t>
            </w:r>
          </w:p>
        </w:tc>
      </w:tr>
      <w:tr w14:paraId="27116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1608" w:type="dxa"/>
            <w:noWrap w:val="0"/>
            <w:vAlign w:val="center"/>
          </w:tcPr>
          <w:p w14:paraId="650903D2">
            <w:pPr>
              <w:keepNext w:val="0"/>
              <w:keepLines w:val="0"/>
              <w:pageBreakBefore w:val="0"/>
              <w:wordWrap/>
              <w:topLinePunct w:val="0"/>
              <w:bidi w:val="0"/>
              <w:snapToGrid/>
              <w:spacing w:line="360" w:lineRule="auto"/>
              <w:jc w:val="center"/>
              <w:textAlignment w:val="auto"/>
              <w:rPr>
                <w:rFonts w:hint="eastAsia" w:ascii="宋体" w:hAnsi="宋体" w:eastAsia="宋体"/>
                <w:bCs/>
                <w:color w:val="auto"/>
                <w:szCs w:val="21"/>
                <w:lang w:val="en-US" w:eastAsia="zh-CN"/>
              </w:rPr>
            </w:pPr>
            <w:r>
              <w:rPr>
                <w:rFonts w:hint="eastAsia" w:ascii="宋体" w:hAnsi="宋体"/>
                <w:bCs/>
                <w:color w:val="FF0000"/>
                <w:szCs w:val="21"/>
              </w:rPr>
              <w:t>TU</w:t>
            </w:r>
            <w:r>
              <w:rPr>
                <w:rFonts w:hint="eastAsia" w:ascii="宋体" w:hAnsi="宋体"/>
                <w:bCs/>
                <w:color w:val="FF0000"/>
                <w:szCs w:val="21"/>
                <w:lang w:val="en-US" w:eastAsia="zh-CN"/>
              </w:rPr>
              <w:t>0</w:t>
            </w:r>
          </w:p>
        </w:tc>
        <w:tc>
          <w:tcPr>
            <w:tcW w:w="1500" w:type="dxa"/>
            <w:noWrap w:val="0"/>
            <w:vAlign w:val="center"/>
          </w:tcPr>
          <w:p w14:paraId="27A747C7">
            <w:pPr>
              <w:keepNext w:val="0"/>
              <w:keepLines w:val="0"/>
              <w:pageBreakBefore w:val="0"/>
              <w:wordWrap/>
              <w:topLinePunct w:val="0"/>
              <w:bidi w:val="0"/>
              <w:snapToGrid/>
              <w:spacing w:line="360" w:lineRule="auto"/>
              <w:jc w:val="center"/>
              <w:textAlignment w:val="auto"/>
              <w:rPr>
                <w:rFonts w:hint="eastAsia" w:ascii="宋体" w:hAnsi="宋体" w:eastAsia="宋体"/>
                <w:bCs/>
                <w:color w:val="auto"/>
                <w:szCs w:val="21"/>
                <w:lang w:val="en-US" w:eastAsia="zh-CN"/>
              </w:rPr>
            </w:pPr>
            <w:r>
              <w:rPr>
                <w:rFonts w:hint="eastAsia" w:ascii="宋体" w:hAnsi="宋体"/>
                <w:bCs/>
                <w:color w:val="auto"/>
                <w:szCs w:val="21"/>
                <w:lang w:val="en-US" w:eastAsia="zh-CN"/>
              </w:rPr>
              <w:t>铸造(M07）</w:t>
            </w:r>
          </w:p>
        </w:tc>
        <w:tc>
          <w:tcPr>
            <w:tcW w:w="2159" w:type="dxa"/>
            <w:noWrap w:val="0"/>
            <w:vAlign w:val="center"/>
          </w:tcPr>
          <w:p w14:paraId="557231B0">
            <w:pPr>
              <w:keepNext w:val="0"/>
              <w:keepLines w:val="0"/>
              <w:pageBreakBefore w:val="0"/>
              <w:wordWrap/>
              <w:topLinePunct w:val="0"/>
              <w:bidi w:val="0"/>
              <w:snapToGrid/>
              <w:spacing w:line="360" w:lineRule="auto"/>
              <w:jc w:val="center"/>
              <w:textAlignment w:val="auto"/>
              <w:rPr>
                <w:rFonts w:hint="eastAsia" w:ascii="宋体" w:hAnsi="宋体"/>
                <w:bCs/>
                <w:color w:val="FF0000"/>
                <w:szCs w:val="21"/>
              </w:rPr>
            </w:pPr>
            <w:r>
              <w:rPr>
                <w:rFonts w:hint="eastAsia" w:ascii="宋体" w:hAnsi="宋体"/>
                <w:bCs/>
                <w:color w:val="auto"/>
                <w:szCs w:val="21"/>
              </w:rPr>
              <w:t>25</w:t>
            </w:r>
          </w:p>
        </w:tc>
        <w:tc>
          <w:tcPr>
            <w:tcW w:w="3631" w:type="dxa"/>
            <w:noWrap w:val="0"/>
            <w:vAlign w:val="center"/>
          </w:tcPr>
          <w:p w14:paraId="5F1FD835">
            <w:pPr>
              <w:keepNext w:val="0"/>
              <w:keepLines w:val="0"/>
              <w:pageBreakBefore w:val="0"/>
              <w:wordWrap/>
              <w:topLinePunct w:val="0"/>
              <w:bidi w:val="0"/>
              <w:snapToGrid/>
              <w:spacing w:line="360" w:lineRule="auto"/>
              <w:jc w:val="center"/>
              <w:textAlignment w:val="auto"/>
              <w:rPr>
                <w:rFonts w:hint="default" w:ascii="宋体" w:hAnsi="宋体" w:eastAsia="宋体"/>
                <w:bCs/>
                <w:color w:val="FF0000"/>
                <w:szCs w:val="21"/>
                <w:lang w:val="en-US" w:eastAsia="zh-CN"/>
              </w:rPr>
            </w:pPr>
            <w:r>
              <w:rPr>
                <w:rFonts w:hint="eastAsia" w:ascii="宋体" w:hAnsi="宋体" w:eastAsia="宋体"/>
                <w:bCs/>
                <w:color w:val="FF0000"/>
                <w:szCs w:val="21"/>
                <w:lang w:val="en-US" w:eastAsia="zh-CN"/>
              </w:rPr>
              <w:t>50</w:t>
            </w:r>
          </w:p>
        </w:tc>
      </w:tr>
    </w:tbl>
    <w:p w14:paraId="0A3DCDFB">
      <w:pPr>
        <w:keepNext w:val="0"/>
        <w:keepLines w:val="0"/>
        <w:pageBreakBefore w:val="0"/>
        <w:numPr>
          <w:ilvl w:val="0"/>
          <w:numId w:val="0"/>
        </w:numPr>
        <w:wordWrap/>
        <w:topLinePunct w:val="0"/>
        <w:bidi w:val="0"/>
        <w:snapToGrid/>
        <w:spacing w:line="360" w:lineRule="auto"/>
        <w:textAlignment w:val="auto"/>
        <w:rPr>
          <w:rFonts w:hint="eastAsia"/>
          <w:color w:val="auto"/>
          <w:lang w:val="en-US" w:eastAsia="zh-CN"/>
        </w:rPr>
      </w:pPr>
      <w:r>
        <w:rPr>
          <w:rFonts w:hint="eastAsia"/>
          <w:color w:val="auto"/>
          <w:lang w:val="en-US" w:eastAsia="zh-CN"/>
        </w:rPr>
        <w:t>3.1.4 新曾TU0牌号电工用铜线坯电阻率</w:t>
      </w:r>
    </w:p>
    <w:tbl>
      <w:tblPr>
        <w:tblStyle w:val="11"/>
        <w:tblW w:w="86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7"/>
        <w:gridCol w:w="1134"/>
        <w:gridCol w:w="2939"/>
        <w:gridCol w:w="2939"/>
      </w:tblGrid>
      <w:tr w14:paraId="2C4DC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627" w:type="dxa"/>
            <w:noWrap w:val="0"/>
            <w:vAlign w:val="center"/>
          </w:tcPr>
          <w:p w14:paraId="2E6A8FFD">
            <w:pPr>
              <w:keepNext w:val="0"/>
              <w:keepLines w:val="0"/>
              <w:pageBreakBefore w:val="0"/>
              <w:wordWrap/>
              <w:topLinePunct w:val="0"/>
              <w:bidi w:val="0"/>
              <w:snapToGrid/>
              <w:spacing w:line="360" w:lineRule="auto"/>
              <w:jc w:val="center"/>
              <w:textAlignment w:val="auto"/>
              <w:rPr>
                <w:rFonts w:hint="eastAsia" w:ascii="宋体" w:hAnsi="宋体"/>
                <w:bCs/>
                <w:color w:val="auto"/>
                <w:szCs w:val="21"/>
              </w:rPr>
            </w:pPr>
            <w:r>
              <w:rPr>
                <w:rFonts w:hint="eastAsia" w:ascii="宋体" w:hAnsi="宋体"/>
                <w:bCs/>
                <w:color w:val="auto"/>
                <w:szCs w:val="21"/>
              </w:rPr>
              <w:t>牌   号</w:t>
            </w:r>
          </w:p>
        </w:tc>
        <w:tc>
          <w:tcPr>
            <w:tcW w:w="1134" w:type="dxa"/>
            <w:noWrap w:val="0"/>
            <w:vAlign w:val="center"/>
          </w:tcPr>
          <w:p w14:paraId="0E7E9C8C">
            <w:pPr>
              <w:keepNext w:val="0"/>
              <w:keepLines w:val="0"/>
              <w:pageBreakBefore w:val="0"/>
              <w:wordWrap/>
              <w:topLinePunct w:val="0"/>
              <w:bidi w:val="0"/>
              <w:snapToGrid/>
              <w:spacing w:line="360" w:lineRule="auto"/>
              <w:jc w:val="center"/>
              <w:textAlignment w:val="auto"/>
              <w:rPr>
                <w:rFonts w:hint="eastAsia" w:ascii="宋体" w:hAnsi="宋体"/>
                <w:bCs/>
                <w:color w:val="auto"/>
                <w:szCs w:val="21"/>
              </w:rPr>
            </w:pPr>
            <w:r>
              <w:rPr>
                <w:rFonts w:hint="eastAsia" w:ascii="宋体" w:hAnsi="宋体"/>
                <w:bCs/>
                <w:color w:val="auto"/>
                <w:szCs w:val="21"/>
              </w:rPr>
              <w:t>状 态</w:t>
            </w:r>
          </w:p>
        </w:tc>
        <w:tc>
          <w:tcPr>
            <w:tcW w:w="2939" w:type="dxa"/>
            <w:noWrap w:val="0"/>
            <w:vAlign w:val="center"/>
          </w:tcPr>
          <w:p w14:paraId="3940C0CB">
            <w:pPr>
              <w:keepNext w:val="0"/>
              <w:keepLines w:val="0"/>
              <w:pageBreakBefore w:val="0"/>
              <w:wordWrap/>
              <w:topLinePunct w:val="0"/>
              <w:bidi w:val="0"/>
              <w:snapToGrid/>
              <w:spacing w:line="360" w:lineRule="auto"/>
              <w:jc w:val="center"/>
              <w:textAlignment w:val="auto"/>
              <w:rPr>
                <w:rFonts w:hint="eastAsia" w:ascii="宋体" w:hAnsi="宋体"/>
                <w:bCs/>
                <w:color w:val="auto"/>
                <w:szCs w:val="21"/>
              </w:rPr>
            </w:pPr>
            <w:r>
              <w:rPr>
                <w:rFonts w:hint="eastAsia" w:ascii="宋体" w:hAnsi="宋体"/>
                <w:bCs/>
                <w:color w:val="auto"/>
                <w:szCs w:val="21"/>
              </w:rPr>
              <w:t>质量电阻率ρ</w:t>
            </w:r>
            <w:r>
              <w:rPr>
                <w:rFonts w:hint="eastAsia" w:ascii="宋体" w:hAnsi="宋体"/>
                <w:bCs/>
                <w:color w:val="auto"/>
                <w:szCs w:val="21"/>
                <w:vertAlign w:val="subscript"/>
              </w:rPr>
              <w:t>20°</w:t>
            </w:r>
          </w:p>
          <w:p w14:paraId="305CA336">
            <w:pPr>
              <w:keepNext w:val="0"/>
              <w:keepLines w:val="0"/>
              <w:pageBreakBefore w:val="0"/>
              <w:wordWrap/>
              <w:topLinePunct w:val="0"/>
              <w:bidi w:val="0"/>
              <w:snapToGrid/>
              <w:spacing w:line="360" w:lineRule="auto"/>
              <w:jc w:val="center"/>
              <w:textAlignment w:val="auto"/>
              <w:rPr>
                <w:rFonts w:hint="eastAsia" w:ascii="宋体" w:hAnsi="宋体"/>
                <w:bCs/>
                <w:color w:val="auto"/>
                <w:szCs w:val="21"/>
              </w:rPr>
            </w:pPr>
            <w:r>
              <w:rPr>
                <w:rFonts w:hint="eastAsia" w:ascii="宋体" w:hAnsi="宋体"/>
                <w:bCs/>
                <w:color w:val="auto"/>
                <w:szCs w:val="21"/>
              </w:rPr>
              <w:t>Ω·g/m</w:t>
            </w:r>
            <w:r>
              <w:rPr>
                <w:rFonts w:hint="eastAsia" w:ascii="宋体" w:hAnsi="宋体"/>
                <w:bCs/>
                <w:color w:val="auto"/>
                <w:szCs w:val="21"/>
                <w:vertAlign w:val="superscript"/>
              </w:rPr>
              <w:t>2</w:t>
            </w:r>
            <w:r>
              <w:rPr>
                <w:rFonts w:hint="eastAsia" w:ascii="宋体" w:hAnsi="宋体"/>
                <w:bCs/>
                <w:color w:val="auto"/>
                <w:szCs w:val="21"/>
              </w:rPr>
              <w:t>，不大于</w:t>
            </w:r>
          </w:p>
        </w:tc>
        <w:tc>
          <w:tcPr>
            <w:tcW w:w="2939" w:type="dxa"/>
            <w:noWrap w:val="0"/>
            <w:vAlign w:val="center"/>
          </w:tcPr>
          <w:p w14:paraId="3894C035">
            <w:pPr>
              <w:keepNext w:val="0"/>
              <w:keepLines w:val="0"/>
              <w:pageBreakBefore w:val="0"/>
              <w:widowControl/>
              <w:wordWrap/>
              <w:topLinePunct w:val="0"/>
              <w:bidi w:val="0"/>
              <w:snapToGrid/>
              <w:spacing w:line="360" w:lineRule="auto"/>
              <w:jc w:val="center"/>
              <w:textAlignment w:val="auto"/>
              <w:rPr>
                <w:rFonts w:hint="eastAsia" w:ascii="宋体" w:hAnsi="宋体"/>
                <w:bCs/>
                <w:color w:val="auto"/>
                <w:szCs w:val="21"/>
              </w:rPr>
            </w:pPr>
            <w:r>
              <w:rPr>
                <w:rFonts w:hint="eastAsia" w:ascii="宋体" w:hAnsi="宋体"/>
                <w:bCs/>
                <w:color w:val="auto"/>
                <w:szCs w:val="21"/>
              </w:rPr>
              <w:t>体积电阻率ρ</w:t>
            </w:r>
            <w:r>
              <w:rPr>
                <w:rFonts w:hint="eastAsia" w:ascii="宋体" w:hAnsi="宋体"/>
                <w:bCs/>
                <w:color w:val="auto"/>
                <w:szCs w:val="21"/>
                <w:vertAlign w:val="subscript"/>
              </w:rPr>
              <w:t>20°</w:t>
            </w:r>
          </w:p>
          <w:p w14:paraId="5A651709">
            <w:pPr>
              <w:keepNext w:val="0"/>
              <w:keepLines w:val="0"/>
              <w:pageBreakBefore w:val="0"/>
              <w:wordWrap/>
              <w:topLinePunct w:val="0"/>
              <w:bidi w:val="0"/>
              <w:snapToGrid/>
              <w:spacing w:line="360" w:lineRule="auto"/>
              <w:jc w:val="center"/>
              <w:textAlignment w:val="auto"/>
              <w:rPr>
                <w:rFonts w:hint="eastAsia" w:ascii="宋体" w:hAnsi="宋体"/>
                <w:bCs/>
                <w:color w:val="auto"/>
                <w:szCs w:val="21"/>
              </w:rPr>
            </w:pPr>
            <w:r>
              <w:rPr>
                <w:rFonts w:hint="eastAsia" w:ascii="宋体" w:hAnsi="宋体"/>
                <w:bCs/>
                <w:color w:val="auto"/>
                <w:szCs w:val="21"/>
              </w:rPr>
              <w:t>Ω·mm</w:t>
            </w:r>
            <w:r>
              <w:rPr>
                <w:rFonts w:hint="eastAsia" w:ascii="宋体" w:hAnsi="宋体"/>
                <w:bCs/>
                <w:color w:val="auto"/>
                <w:szCs w:val="21"/>
                <w:vertAlign w:val="superscript"/>
              </w:rPr>
              <w:t>2</w:t>
            </w:r>
            <w:r>
              <w:rPr>
                <w:rFonts w:hint="eastAsia" w:ascii="宋体" w:hAnsi="宋体"/>
                <w:bCs/>
                <w:color w:val="auto"/>
                <w:szCs w:val="21"/>
              </w:rPr>
              <w:t>/m，不大于</w:t>
            </w:r>
          </w:p>
        </w:tc>
      </w:tr>
      <w:tr w14:paraId="1E17C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1627" w:type="dxa"/>
            <w:noWrap w:val="0"/>
            <w:vAlign w:val="center"/>
          </w:tcPr>
          <w:p w14:paraId="5A087F07">
            <w:pPr>
              <w:keepNext w:val="0"/>
              <w:keepLines w:val="0"/>
              <w:pageBreakBefore w:val="0"/>
              <w:wordWrap/>
              <w:topLinePunct w:val="0"/>
              <w:bidi w:val="0"/>
              <w:snapToGrid/>
              <w:spacing w:line="360" w:lineRule="auto"/>
              <w:jc w:val="center"/>
              <w:textAlignment w:val="auto"/>
              <w:rPr>
                <w:rFonts w:hint="eastAsia" w:ascii="宋体" w:hAnsi="宋体" w:eastAsia="宋体"/>
                <w:bCs/>
                <w:color w:val="auto"/>
                <w:szCs w:val="21"/>
                <w:lang w:val="en-US" w:eastAsia="zh-CN"/>
              </w:rPr>
            </w:pPr>
            <w:r>
              <w:rPr>
                <w:rFonts w:hint="eastAsia" w:ascii="宋体" w:hAnsi="宋体"/>
                <w:bCs/>
                <w:color w:val="FF0000"/>
                <w:szCs w:val="21"/>
              </w:rPr>
              <w:t>TU</w:t>
            </w:r>
            <w:r>
              <w:rPr>
                <w:rFonts w:hint="eastAsia" w:ascii="宋体" w:hAnsi="宋体"/>
                <w:bCs/>
                <w:color w:val="FF0000"/>
                <w:szCs w:val="21"/>
                <w:lang w:val="en-US" w:eastAsia="zh-CN"/>
              </w:rPr>
              <w:t>0</w:t>
            </w:r>
          </w:p>
        </w:tc>
        <w:tc>
          <w:tcPr>
            <w:tcW w:w="1134" w:type="dxa"/>
            <w:noWrap w:val="0"/>
            <w:vAlign w:val="center"/>
          </w:tcPr>
          <w:p w14:paraId="725254AE">
            <w:pPr>
              <w:keepNext w:val="0"/>
              <w:keepLines w:val="0"/>
              <w:pageBreakBefore w:val="0"/>
              <w:wordWrap/>
              <w:topLinePunct w:val="0"/>
              <w:bidi w:val="0"/>
              <w:snapToGrid/>
              <w:spacing w:line="360" w:lineRule="auto"/>
              <w:jc w:val="center"/>
              <w:textAlignment w:val="auto"/>
              <w:rPr>
                <w:rFonts w:hint="eastAsia" w:ascii="宋体" w:hAnsi="宋体" w:eastAsia="宋体"/>
                <w:bCs/>
                <w:color w:val="auto"/>
                <w:szCs w:val="21"/>
                <w:lang w:eastAsia="zh-CN"/>
              </w:rPr>
            </w:pPr>
            <w:r>
              <w:rPr>
                <w:rFonts w:hint="eastAsia" w:ascii="宋体" w:hAnsi="宋体"/>
                <w:bCs/>
                <w:color w:val="auto"/>
                <w:szCs w:val="21"/>
                <w:lang w:val="en-US" w:eastAsia="zh-CN"/>
              </w:rPr>
              <w:t>铸造（M07</w:t>
            </w:r>
            <w:r>
              <w:rPr>
                <w:rFonts w:hint="eastAsia" w:ascii="宋体" w:hAnsi="宋体"/>
                <w:bCs/>
                <w:color w:val="auto"/>
                <w:szCs w:val="21"/>
                <w:lang w:eastAsia="zh-CN"/>
              </w:rPr>
              <w:t>）</w:t>
            </w:r>
          </w:p>
        </w:tc>
        <w:tc>
          <w:tcPr>
            <w:tcW w:w="2939" w:type="dxa"/>
            <w:noWrap w:val="0"/>
            <w:vAlign w:val="center"/>
          </w:tcPr>
          <w:p w14:paraId="309EA620">
            <w:pPr>
              <w:keepNext w:val="0"/>
              <w:keepLines w:val="0"/>
              <w:pageBreakBefore w:val="0"/>
              <w:wordWrap/>
              <w:topLinePunct w:val="0"/>
              <w:bidi w:val="0"/>
              <w:snapToGrid/>
              <w:spacing w:line="360" w:lineRule="auto"/>
              <w:jc w:val="center"/>
              <w:textAlignment w:val="auto"/>
              <w:rPr>
                <w:rFonts w:hint="default" w:ascii="宋体" w:hAnsi="宋体"/>
                <w:bCs/>
                <w:color w:val="auto"/>
                <w:szCs w:val="21"/>
                <w:lang w:val="en-US"/>
              </w:rPr>
            </w:pPr>
            <w:r>
              <w:rPr>
                <w:rFonts w:hint="eastAsia" w:ascii="宋体" w:hAnsi="宋体"/>
                <w:bCs/>
                <w:color w:val="FF0000"/>
                <w:szCs w:val="21"/>
                <w:lang w:val="en-US" w:eastAsia="zh-CN"/>
              </w:rPr>
              <w:t>0.15114</w:t>
            </w:r>
          </w:p>
        </w:tc>
        <w:tc>
          <w:tcPr>
            <w:tcW w:w="2939" w:type="dxa"/>
            <w:noWrap w:val="0"/>
            <w:vAlign w:val="center"/>
          </w:tcPr>
          <w:p w14:paraId="5FF93227">
            <w:pPr>
              <w:keepNext w:val="0"/>
              <w:keepLines w:val="0"/>
              <w:pageBreakBefore w:val="0"/>
              <w:wordWrap/>
              <w:topLinePunct w:val="0"/>
              <w:bidi w:val="0"/>
              <w:snapToGrid/>
              <w:spacing w:line="360" w:lineRule="auto"/>
              <w:jc w:val="center"/>
              <w:textAlignment w:val="auto"/>
              <w:rPr>
                <w:rFonts w:hint="eastAsia" w:ascii="宋体" w:hAnsi="宋体"/>
                <w:bCs/>
                <w:color w:val="auto"/>
                <w:szCs w:val="21"/>
              </w:rPr>
            </w:pPr>
            <w:r>
              <w:rPr>
                <w:rFonts w:hint="eastAsia" w:ascii="宋体" w:hAnsi="宋体"/>
                <w:bCs/>
                <w:color w:val="FF0000"/>
                <w:szCs w:val="21"/>
                <w:lang w:val="en-US" w:eastAsia="zh-CN"/>
              </w:rPr>
              <w:t>0.01700</w:t>
            </w:r>
          </w:p>
        </w:tc>
      </w:tr>
    </w:tbl>
    <w:p w14:paraId="3886AA9B">
      <w:pPr>
        <w:keepNext w:val="0"/>
        <w:keepLines w:val="0"/>
        <w:pageBreakBefore w:val="0"/>
        <w:numPr>
          <w:ilvl w:val="0"/>
          <w:numId w:val="0"/>
        </w:numPr>
        <w:wordWrap/>
        <w:topLinePunct w:val="0"/>
        <w:bidi w:val="0"/>
        <w:snapToGrid/>
        <w:spacing w:line="360" w:lineRule="auto"/>
        <w:textAlignment w:val="auto"/>
        <w:rPr>
          <w:rFonts w:hint="eastAsia"/>
          <w:lang w:val="en-US" w:eastAsia="zh-CN"/>
        </w:rPr>
      </w:pPr>
      <w:r>
        <w:rPr>
          <w:rFonts w:hint="eastAsia"/>
          <w:lang w:val="en-US" w:eastAsia="zh-CN"/>
        </w:rPr>
        <w:t>3.1.5 修订的依据</w:t>
      </w:r>
    </w:p>
    <w:p w14:paraId="2C8447B1">
      <w:pPr>
        <w:keepNext w:val="0"/>
        <w:keepLines w:val="0"/>
        <w:pageBreakBefore w:val="0"/>
        <w:numPr>
          <w:ilvl w:val="0"/>
          <w:numId w:val="0"/>
        </w:numPr>
        <w:wordWrap/>
        <w:topLinePunct w:val="0"/>
        <w:bidi w:val="0"/>
        <w:snapToGrid/>
        <w:spacing w:line="360" w:lineRule="auto"/>
        <w:ind w:firstLine="420" w:firstLineChars="200"/>
        <w:textAlignment w:val="auto"/>
        <w:rPr>
          <w:color w:val="auto"/>
        </w:rPr>
      </w:pPr>
      <w:r>
        <w:rPr>
          <w:rFonts w:hint="eastAsia"/>
          <w:color w:val="auto"/>
          <w:lang w:val="en-US" w:eastAsia="zh-CN"/>
        </w:rPr>
        <w:t>随着国家双碳战略的制定，节能减排也就成为了汽车行业政策的重点，汽车行业开始转向大力推广新能源汽车产业和绿色制造项目</w:t>
      </w:r>
      <w:r>
        <w:rPr>
          <w:color w:val="auto"/>
        </w:rPr>
        <w:t>，国内车企及零部件供应商纷纷大规模进入新能源扁线电机领域。</w:t>
      </w:r>
      <w:r>
        <w:rPr>
          <w:rFonts w:hint="eastAsia"/>
          <w:color w:val="auto"/>
          <w:lang w:val="en-US" w:eastAsia="zh-CN"/>
        </w:rPr>
        <w:t>虽然</w:t>
      </w:r>
      <w:r>
        <w:rPr>
          <w:color w:val="auto"/>
        </w:rPr>
        <w:t>国内扁线电机总体处于起步阶段</w:t>
      </w:r>
      <w:r>
        <w:rPr>
          <w:rFonts w:hint="eastAsia"/>
          <w:color w:val="auto"/>
          <w:lang w:eastAsia="zh-CN"/>
        </w:rPr>
        <w:t>，</w:t>
      </w:r>
      <w:r>
        <w:rPr>
          <w:rFonts w:hint="eastAsia" w:ascii="Times New Roman" w:hAnsi="Times New Roman" w:eastAsia="宋体" w:cs="Times New Roman"/>
          <w:color w:val="auto"/>
          <w:lang w:val="en-US" w:eastAsia="zh-CN"/>
        </w:rPr>
        <w:t>但</w:t>
      </w:r>
      <w:r>
        <w:rPr>
          <w:rFonts w:ascii="Times New Roman" w:hAnsi="Times New Roman" w:eastAsia="宋体" w:cs="Times New Roman"/>
          <w:color w:val="auto"/>
        </w:rPr>
        <w:t>扁线</w:t>
      </w:r>
      <w:r>
        <w:rPr>
          <w:rFonts w:hint="eastAsia" w:ascii="Times New Roman" w:hAnsi="Times New Roman" w:eastAsia="宋体" w:cs="Times New Roman"/>
          <w:color w:val="auto"/>
          <w:lang w:val="en-US" w:eastAsia="zh-CN"/>
        </w:rPr>
        <w:t>较传统圆线</w:t>
      </w:r>
      <w:r>
        <w:rPr>
          <w:rFonts w:ascii="Times New Roman" w:hAnsi="Times New Roman" w:eastAsia="宋体" w:cs="Times New Roman"/>
          <w:color w:val="auto"/>
        </w:rPr>
        <w:t>有利于电机槽满率的提升，</w:t>
      </w:r>
      <w:r>
        <w:rPr>
          <w:rFonts w:hint="eastAsia" w:ascii="Times New Roman" w:hAnsi="Times New Roman" w:eastAsia="宋体" w:cs="Times New Roman"/>
          <w:color w:val="auto"/>
          <w:lang w:val="en-US" w:eastAsia="zh-CN"/>
        </w:rPr>
        <w:t>且</w:t>
      </w:r>
      <w:r>
        <w:rPr>
          <w:rFonts w:ascii="Times New Roman" w:hAnsi="Times New Roman" w:eastAsia="宋体" w:cs="Times New Roman"/>
          <w:color w:val="auto"/>
        </w:rPr>
        <w:t>扁线之间接触面积大，热导性能更好，温升更低。另外，扁线电机还可以通过节省端部铜材的方式提升铜线利用率，从而达到降低成本的目的。</w:t>
      </w:r>
      <w:r>
        <w:rPr>
          <w:rFonts w:hint="eastAsia"/>
          <w:color w:val="auto"/>
          <w:lang w:val="en-US" w:eastAsia="zh-CN"/>
        </w:rPr>
        <w:t>但</w:t>
      </w:r>
      <w:r>
        <w:rPr>
          <w:color w:val="auto"/>
        </w:rPr>
        <w:t>基于扁线电机进行产品开发的公司和项目为数不少，并且更多公司都已开始紧锣密鼓地进行调研，后续会研发更多基于扁线电机的项目。另有报告显示，根据国内主机厂和电机企业的研发进度来看，国内扁线电机</w:t>
      </w:r>
      <w:r>
        <w:rPr>
          <w:rFonts w:hint="eastAsia"/>
          <w:color w:val="auto"/>
          <w:lang w:val="en-US" w:eastAsia="zh-CN"/>
        </w:rPr>
        <w:t>在</w:t>
      </w:r>
      <w:r>
        <w:rPr>
          <w:color w:val="auto"/>
        </w:rPr>
        <w:t>2025年市场渗透率有望达到</w:t>
      </w:r>
      <w:r>
        <w:rPr>
          <w:rFonts w:hint="eastAsia"/>
          <w:color w:val="auto"/>
          <w:lang w:val="en-US" w:eastAsia="zh-CN"/>
        </w:rPr>
        <w:t>90</w:t>
      </w:r>
      <w:r>
        <w:rPr>
          <w:color w:val="auto"/>
        </w:rPr>
        <w:t>%</w:t>
      </w:r>
      <w:r>
        <w:rPr>
          <w:rFonts w:hint="eastAsia"/>
          <w:color w:val="auto"/>
          <w:lang w:val="en-US" w:eastAsia="zh-CN"/>
        </w:rPr>
        <w:t>以上</w:t>
      </w:r>
      <w:r>
        <w:rPr>
          <w:color w:val="auto"/>
        </w:rPr>
        <w:t>。尽管从长期来看，扁线电机是未来驱动电机的发展方向。在具备诸多优势的同时，也同样存在劣势，比如设计难度、工艺制造难度、专业制造设备等关键技术难以解决，而</w:t>
      </w:r>
      <w:r>
        <w:rPr>
          <w:rFonts w:hint="eastAsia"/>
          <w:color w:val="auto"/>
          <w:lang w:eastAsia="zh-CN"/>
        </w:rPr>
        <w:t>其中</w:t>
      </w:r>
      <w:r>
        <w:rPr>
          <w:color w:val="auto"/>
        </w:rPr>
        <w:t>最为关键的原材料成为了扁线电机产业化的壁垒，也成为我国扁线电机技术的“卡脖子”问题，这也是其国内尚未实现大规模应用的主要原因。</w:t>
      </w:r>
    </w:p>
    <w:p w14:paraId="4849356D">
      <w:pPr>
        <w:keepNext w:val="0"/>
        <w:keepLines w:val="0"/>
        <w:pageBreakBefore w:val="0"/>
        <w:numPr>
          <w:ilvl w:val="0"/>
          <w:numId w:val="0"/>
        </w:numPr>
        <w:wordWrap/>
        <w:topLinePunct w:val="0"/>
        <w:bidi w:val="0"/>
        <w:snapToGrid/>
        <w:spacing w:line="360" w:lineRule="auto"/>
        <w:ind w:firstLine="630" w:firstLineChars="300"/>
        <w:textAlignment w:val="auto"/>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rPr>
        <w:t>作为电机的核心电磁线需满足包括其形状、规格、能短时和长期在高温下工作，以及承受某些场合中的强烈振动和高速下的离心力，高电压下的耐受电晕和击穿，特殊气氛下的耐化学腐蚀等;且包括绕制和嵌线时经受拉伸、弯曲和磨损的要求，以及浸渍和烘干过程中的溶胀、侵蚀作用等。新能源汽车驱动电机扁线主要采用Ф</w:t>
      </w:r>
      <w:r>
        <w:rPr>
          <w:rFonts w:ascii="Times New Roman" w:hAnsi="Times New Roman" w:eastAsia="宋体" w:cs="Times New Roman"/>
          <w:color w:val="auto"/>
        </w:rPr>
        <w:t>8</w:t>
      </w:r>
      <w:r>
        <w:rPr>
          <w:rFonts w:hint="eastAsia" w:ascii="Times New Roman" w:hAnsi="Times New Roman" w:eastAsia="宋体" w:cs="Times New Roman"/>
          <w:color w:val="auto"/>
        </w:rPr>
        <w:t>.0</w:t>
      </w:r>
      <w:r>
        <w:rPr>
          <w:rFonts w:ascii="Times New Roman" w:hAnsi="Times New Roman" w:eastAsia="宋体" w:cs="Times New Roman"/>
          <w:color w:val="auto"/>
        </w:rPr>
        <w:t>mm</w:t>
      </w:r>
      <w:r>
        <w:rPr>
          <w:rFonts w:hint="eastAsia" w:ascii="Times New Roman" w:hAnsi="Times New Roman" w:eastAsia="宋体" w:cs="Times New Roman"/>
          <w:color w:val="auto"/>
        </w:rPr>
        <w:t>纯铜杆坯经过多道次拉拔制造而成，其对铜杆坯的技术难点主要有</w:t>
      </w:r>
      <w:r>
        <w:rPr>
          <w:rFonts w:hint="eastAsia" w:ascii="Times New Roman" w:hAnsi="Times New Roman" w:eastAsia="宋体" w:cs="Times New Roman"/>
          <w:color w:val="auto"/>
          <w:lang w:val="en-US" w:eastAsia="zh-CN"/>
        </w:rPr>
        <w:t>三</w:t>
      </w:r>
      <w:r>
        <w:rPr>
          <w:rFonts w:hint="eastAsia" w:ascii="Times New Roman" w:hAnsi="Times New Roman" w:eastAsia="宋体" w:cs="Times New Roman"/>
          <w:color w:val="auto"/>
        </w:rPr>
        <w:t>个，一是成分控制，保证氧含量低于</w:t>
      </w:r>
      <w:r>
        <w:rPr>
          <w:rFonts w:hint="eastAsia" w:ascii="Times New Roman" w:hAnsi="Times New Roman" w:eastAsia="宋体" w:cs="Times New Roman"/>
          <w:color w:val="auto"/>
          <w:lang w:val="en-US" w:eastAsia="zh-CN"/>
        </w:rPr>
        <w:t>5</w:t>
      </w:r>
      <w:r>
        <w:rPr>
          <w:rFonts w:ascii="Times New Roman" w:hAnsi="Times New Roman" w:eastAsia="宋体" w:cs="Times New Roman"/>
          <w:color w:val="auto"/>
        </w:rPr>
        <w:t>ppm</w:t>
      </w:r>
      <w:r>
        <w:rPr>
          <w:rFonts w:hint="eastAsia" w:ascii="Times New Roman" w:hAnsi="Times New Roman" w:eastAsia="宋体" w:cs="Times New Roman"/>
          <w:color w:val="auto"/>
        </w:rPr>
        <w:t>，二是扭转性能，</w:t>
      </w:r>
      <w:r>
        <w:rPr>
          <w:rFonts w:hint="eastAsia" w:ascii="Times New Roman" w:hAnsi="Times New Roman" w:eastAsia="宋体" w:cs="Times New Roman"/>
          <w:color w:val="auto"/>
          <w:lang w:val="en-US" w:eastAsia="zh-CN"/>
        </w:rPr>
        <w:t>为保证在加工过程中足够的韧性及可塑性，确保新能源汽车驱动扁线R角不开裂及可拉新，铜杆坯</w:t>
      </w:r>
      <w:r>
        <w:rPr>
          <w:rFonts w:hint="eastAsia" w:ascii="Times New Roman" w:hAnsi="Times New Roman" w:eastAsia="宋体" w:cs="Times New Roman"/>
          <w:color w:val="auto"/>
        </w:rPr>
        <w:t>扭转反断指标≥</w:t>
      </w:r>
      <w:r>
        <w:rPr>
          <w:rFonts w:ascii="Times New Roman" w:hAnsi="Times New Roman" w:eastAsia="宋体" w:cs="Times New Roman"/>
          <w:color w:val="auto"/>
        </w:rPr>
        <w:t>50</w:t>
      </w:r>
      <w:r>
        <w:rPr>
          <w:rFonts w:hint="eastAsia" w:ascii="Times New Roman" w:hAnsi="Times New Roman" w:eastAsia="宋体" w:cs="Times New Roman"/>
          <w:color w:val="auto"/>
        </w:rPr>
        <w:t>转</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延伸率</w:t>
      </w:r>
      <w:r>
        <w:rPr>
          <w:rFonts w:hint="eastAsia" w:ascii="Times New Roman" w:hAnsi="Times New Roman" w:eastAsia="宋体" w:cs="Times New Roman"/>
          <w:color w:val="auto"/>
        </w:rPr>
        <w:t>≥</w:t>
      </w:r>
      <w:r>
        <w:rPr>
          <w:rFonts w:hint="eastAsia" w:ascii="Times New Roman" w:hAnsi="Times New Roman" w:eastAsia="宋体" w:cs="Times New Roman"/>
          <w:color w:val="auto"/>
          <w:lang w:val="en-US" w:eastAsia="zh-CN"/>
        </w:rPr>
        <w:t>42%,</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三是电阻率决定导电效率与能耗，新能源电机对电阻率的要求，本质上是 “导体求低、绝缘求高” 的对立统一。既要让电流高效通过绕组，又要严防高压电对外壳或轴承泄漏。</w:t>
      </w:r>
    </w:p>
    <w:p w14:paraId="48F7D0B7">
      <w:pPr>
        <w:keepNext w:val="0"/>
        <w:keepLines w:val="0"/>
        <w:pageBreakBefore w:val="0"/>
        <w:numPr>
          <w:ilvl w:val="0"/>
          <w:numId w:val="0"/>
        </w:numPr>
        <w:wordWrap/>
        <w:topLinePunct w:val="0"/>
        <w:bidi w:val="0"/>
        <w:snapToGrid/>
        <w:spacing w:line="360" w:lineRule="auto"/>
        <w:ind w:firstLine="630" w:firstLineChars="300"/>
        <w:textAlignment w:val="auto"/>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因此，新增TUO牌号电工用铜线坯符合新能源汽车行业的发展需求，响应了国家相关政策需要。</w:t>
      </w:r>
    </w:p>
    <w:p w14:paraId="09079A67">
      <w:pPr>
        <w:pStyle w:val="4"/>
        <w:keepNext w:val="0"/>
        <w:keepLines w:val="0"/>
        <w:pageBreakBefore w:val="0"/>
        <w:numPr>
          <w:ilvl w:val="0"/>
          <w:numId w:val="0"/>
        </w:numPr>
        <w:wordWrap/>
        <w:topLinePunct w:val="0"/>
        <w:bidi w:val="0"/>
        <w:snapToGrid/>
        <w:spacing w:line="360" w:lineRule="auto"/>
        <w:textAlignment w:val="auto"/>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3.2 修订了漆包线用铜线坯氧化膜厚度</w:t>
      </w:r>
    </w:p>
    <w:p w14:paraId="115DB6F8">
      <w:pPr>
        <w:pStyle w:val="4"/>
        <w:keepNext w:val="0"/>
        <w:keepLines w:val="0"/>
        <w:pageBreakBefore w:val="0"/>
        <w:numPr>
          <w:ilvl w:val="0"/>
          <w:numId w:val="0"/>
        </w:numPr>
        <w:wordWrap/>
        <w:topLinePunct w:val="0"/>
        <w:bidi w:val="0"/>
        <w:snapToGrid/>
        <w:spacing w:line="360" w:lineRule="auto"/>
        <w:ind w:firstLine="420" w:firstLineChars="200"/>
        <w:textAlignment w:val="auto"/>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 xml:space="preserve"> 原3952-2016中3.4.3 用于漆包线的铜线坯，表面质量由供需双方协商，并在合同中注明，氧化膜厚度应不大于75 nm。</w:t>
      </w:r>
    </w:p>
    <w:p w14:paraId="4E02570B">
      <w:pPr>
        <w:pStyle w:val="4"/>
        <w:keepNext w:val="0"/>
        <w:keepLines w:val="0"/>
        <w:pageBreakBefore w:val="0"/>
        <w:numPr>
          <w:ilvl w:val="0"/>
          <w:numId w:val="0"/>
        </w:numPr>
        <w:wordWrap/>
        <w:topLinePunct w:val="0"/>
        <w:bidi w:val="0"/>
        <w:snapToGrid/>
        <w:spacing w:line="360" w:lineRule="auto"/>
        <w:ind w:firstLine="420" w:firstLineChars="200"/>
        <w:textAlignment w:val="auto"/>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 xml:space="preserve"> 修订为：用于漆包线的铜线坯，表面质量由供需双方协商，并在合同中注明，氧化膜厚度应不大于40 nm。</w:t>
      </w:r>
    </w:p>
    <w:p w14:paraId="37E08137">
      <w:pPr>
        <w:pStyle w:val="4"/>
        <w:keepNext w:val="0"/>
        <w:keepLines w:val="0"/>
        <w:pageBreakBefore w:val="0"/>
        <w:numPr>
          <w:ilvl w:val="0"/>
          <w:numId w:val="0"/>
        </w:numPr>
        <w:wordWrap/>
        <w:topLinePunct w:val="0"/>
        <w:bidi w:val="0"/>
        <w:snapToGrid/>
        <w:spacing w:line="360" w:lineRule="auto"/>
        <w:ind w:firstLine="420" w:firstLineChars="200"/>
        <w:textAlignment w:val="auto"/>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 xml:space="preserve"> 修订的依据：在漆包线制造中，铜线坯氧化膜的影响更为严苛，客户要求越来越高。因为漆包线需经历高温烘焙、高速拉伸及高压电场的极端工况，氧化膜的质量直接决定了漆包工艺的成败。其重要性主要体现在以下四个维度：</w:t>
      </w:r>
    </w:p>
    <w:p w14:paraId="0803F5FC">
      <w:pPr>
        <w:pStyle w:val="4"/>
        <w:keepNext w:val="0"/>
        <w:keepLines w:val="0"/>
        <w:pageBreakBefore w:val="0"/>
        <w:numPr>
          <w:ilvl w:val="0"/>
          <w:numId w:val="0"/>
        </w:numPr>
        <w:wordWrap/>
        <w:topLinePunct w:val="0"/>
        <w:bidi w:val="0"/>
        <w:snapToGrid/>
        <w:spacing w:line="360" w:lineRule="auto"/>
        <w:ind w:firstLine="420" w:firstLineChars="200"/>
        <w:textAlignment w:val="auto"/>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（1）决定漆膜的附着性与柔韧性</w:t>
      </w:r>
    </w:p>
    <w:p w14:paraId="649C04CF">
      <w:pPr>
        <w:pStyle w:val="4"/>
        <w:keepNext w:val="0"/>
        <w:keepLines w:val="0"/>
        <w:pageBreakBefore w:val="0"/>
        <w:numPr>
          <w:ilvl w:val="0"/>
          <w:numId w:val="0"/>
        </w:numPr>
        <w:wordWrap/>
        <w:topLinePunct w:val="0"/>
        <w:bidi w:val="0"/>
        <w:snapToGrid/>
        <w:spacing w:line="360" w:lineRule="auto"/>
        <w:ind w:firstLine="420" w:firstLineChars="200"/>
        <w:textAlignment w:val="auto"/>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漆包工艺要求铜导体与绝缘漆（如聚酯亚胺、聚氨酯）形成牢固的“化学键合”或物理锚点。过厚或疏松的氧化膜：黑色氧化铜（CuO）结构疏松，在涂漆前的退火工序中若无法被还原，会导致漆膜无法直接接触铜基体。漆包线在绕制线圈时，导体受拉伸弯曲，漆膜极易因附着力差而开裂或脱落，引发匝间短路。 无氧铜基体：优质铜杆表面通常为极薄且致密的氧化亚铜（Cu₂O），在退火时易被保护气体（如氮气、氢气）还原，露出纯净铜表面，确保漆膜的最佳附着力。</w:t>
      </w:r>
    </w:p>
    <w:p w14:paraId="66380AAC">
      <w:pPr>
        <w:pStyle w:val="4"/>
        <w:keepNext w:val="0"/>
        <w:keepLines w:val="0"/>
        <w:pageBreakBefore w:val="0"/>
        <w:numPr>
          <w:ilvl w:val="0"/>
          <w:numId w:val="0"/>
        </w:numPr>
        <w:wordWrap/>
        <w:topLinePunct w:val="0"/>
        <w:bidi w:val="0"/>
        <w:snapToGrid/>
        <w:spacing w:line="360" w:lineRule="auto"/>
        <w:ind w:firstLine="420" w:firstLineChars="200"/>
        <w:textAlignment w:val="auto"/>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（2）影响漆膜的表面质量与连续性</w:t>
      </w:r>
    </w:p>
    <w:p w14:paraId="66872F7B">
      <w:pPr>
        <w:pStyle w:val="4"/>
        <w:keepNext w:val="0"/>
        <w:keepLines w:val="0"/>
        <w:pageBreakBefore w:val="0"/>
        <w:numPr>
          <w:ilvl w:val="0"/>
          <w:numId w:val="0"/>
        </w:numPr>
        <w:wordWrap/>
        <w:topLinePunct w:val="0"/>
        <w:bidi w:val="0"/>
        <w:snapToGrid/>
        <w:spacing w:line="360" w:lineRule="auto"/>
        <w:ind w:firstLine="420" w:firstLineChars="200"/>
        <w:textAlignment w:val="auto"/>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铜杆表面的氧化皮或嵌入的氧化物颗粒，在拉丝至微细线（如0.1mm以下）时会被拉长或剥离，形成毛刺。在涂漆时，这些微小凸起会刺破液态漆膜，导致针孔缺陷。在高频高压应用（如变频电机）中，针孔处易发生局部放电，迅速击穿绝缘层。</w:t>
      </w:r>
    </w:p>
    <w:p w14:paraId="4F1597F6">
      <w:pPr>
        <w:pStyle w:val="4"/>
        <w:keepNext w:val="0"/>
        <w:keepLines w:val="0"/>
        <w:pageBreakBefore w:val="0"/>
        <w:numPr>
          <w:ilvl w:val="0"/>
          <w:numId w:val="0"/>
        </w:numPr>
        <w:wordWrap/>
        <w:topLinePunct w:val="0"/>
        <w:bidi w:val="0"/>
        <w:snapToGrid/>
        <w:spacing w:line="360" w:lineRule="auto"/>
        <w:ind w:firstLine="420" w:firstLineChars="200"/>
        <w:textAlignment w:val="auto"/>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（3）加速绝缘漆的热老化与催化降解</w:t>
      </w:r>
    </w:p>
    <w:p w14:paraId="5714BA0A">
      <w:pPr>
        <w:pStyle w:val="4"/>
        <w:keepNext w:val="0"/>
        <w:keepLines w:val="0"/>
        <w:pageBreakBefore w:val="0"/>
        <w:numPr>
          <w:ilvl w:val="0"/>
          <w:numId w:val="0"/>
        </w:numPr>
        <w:wordWrap/>
        <w:topLinePunct w:val="0"/>
        <w:bidi w:val="0"/>
        <w:snapToGrid/>
        <w:spacing w:line="360" w:lineRule="auto"/>
        <w:ind w:firstLine="420" w:firstLineChars="200"/>
        <w:textAlignment w:val="auto"/>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铜表面残留的氧化物（尤其是氧化铜）在高温下具有催化活性。 当漆包线在高温环境（如电机过载）运行时，氧化膜会催化绝缘漆中的有机高分子链（如聚酯、聚酰亚胺）发生热氧裂解，显著降低漆包线的热寿命。业界常通过“热冲试验”来检验这一点——氧化膜不合格的样品，在热老化后漆膜弹性会迅速丧失。</w:t>
      </w:r>
    </w:p>
    <w:p w14:paraId="22203D36">
      <w:pPr>
        <w:pStyle w:val="4"/>
        <w:keepNext w:val="0"/>
        <w:keepLines w:val="0"/>
        <w:pageBreakBefore w:val="0"/>
        <w:numPr>
          <w:ilvl w:val="0"/>
          <w:numId w:val="0"/>
        </w:numPr>
        <w:wordWrap/>
        <w:topLinePunct w:val="0"/>
        <w:bidi w:val="0"/>
        <w:snapToGrid/>
        <w:spacing w:line="360" w:lineRule="auto"/>
        <w:ind w:firstLine="420" w:firstLineChars="200"/>
        <w:textAlignment w:val="auto"/>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（4）影响退火与涂漆工艺的稳定性</w:t>
      </w:r>
    </w:p>
    <w:p w14:paraId="0A592187">
      <w:pPr>
        <w:pStyle w:val="4"/>
        <w:keepNext w:val="0"/>
        <w:keepLines w:val="0"/>
        <w:pageBreakBefore w:val="0"/>
        <w:numPr>
          <w:ilvl w:val="0"/>
          <w:numId w:val="0"/>
        </w:numPr>
        <w:wordWrap/>
        <w:topLinePunct w:val="0"/>
        <w:bidi w:val="0"/>
        <w:snapToGrid/>
        <w:spacing w:line="360" w:lineRule="auto"/>
        <w:ind w:firstLine="420" w:firstLineChars="200"/>
        <w:textAlignment w:val="auto"/>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高端漆包线生产采用连续退火工艺。如果铜杆原始氧化膜厚度不均：会导致退火后铜线软硬不一（延伸率波动），影响涂漆时线径的稳定性。若氧化膜含有残留的乳化液或硫化物（来自拉丝润滑），在退火时可能生成难以去除的碳化物或硫化亚铜，造成后续涂漆出现缩 孔、漏铜等外观缺陷。</w:t>
      </w:r>
    </w:p>
    <w:p w14:paraId="23107B07">
      <w:pPr>
        <w:pStyle w:val="4"/>
        <w:keepNext w:val="0"/>
        <w:keepLines w:val="0"/>
        <w:pageBreakBefore w:val="0"/>
        <w:numPr>
          <w:ilvl w:val="0"/>
          <w:numId w:val="0"/>
        </w:numPr>
        <w:wordWrap/>
        <w:topLinePunct w:val="0"/>
        <w:bidi w:val="0"/>
        <w:snapToGrid/>
        <w:spacing w:line="360" w:lineRule="auto"/>
        <w:ind w:firstLine="420" w:firstLineChars="200"/>
        <w:textAlignment w:val="auto"/>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3.3 修订了电工用铜线坯扭转性能</w:t>
      </w:r>
    </w:p>
    <w:p w14:paraId="46E76094">
      <w:pPr>
        <w:pStyle w:val="4"/>
        <w:keepNext w:val="0"/>
        <w:keepLines w:val="0"/>
        <w:pageBreakBefore w:val="0"/>
        <w:numPr>
          <w:ilvl w:val="0"/>
          <w:numId w:val="0"/>
        </w:numPr>
        <w:wordWrap/>
        <w:topLinePunct w:val="0"/>
        <w:bidi w:val="0"/>
        <w:snapToGrid/>
        <w:spacing w:line="360" w:lineRule="auto"/>
        <w:ind w:firstLine="420" w:firstLineChars="200"/>
        <w:textAlignment w:val="auto"/>
        <w:rPr>
          <w:rFonts w:hint="default"/>
          <w:lang w:val="en-US" w:eastAsia="zh-CN"/>
        </w:rPr>
      </w:pPr>
      <w:r>
        <w:rPr>
          <w:rFonts w:hint="eastAsia" w:ascii="宋体" w:hAnsi="宋体" w:eastAsiaTheme="minorEastAsia" w:cstheme="minorBidi"/>
          <w:color w:val="auto"/>
          <w:kern w:val="2"/>
          <w:sz w:val="21"/>
          <w:szCs w:val="21"/>
          <w:lang w:val="en-US" w:eastAsia="zh-CN" w:bidi="ar-SA"/>
        </w:rPr>
        <w:t xml:space="preserve"> 对各牌号扭转性能进行了修订。</w:t>
      </w:r>
    </w:p>
    <w:tbl>
      <w:tblPr>
        <w:tblStyle w:val="11"/>
        <w:tblW w:w="84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8"/>
        <w:gridCol w:w="1566"/>
        <w:gridCol w:w="1386"/>
        <w:gridCol w:w="1923"/>
        <w:gridCol w:w="1868"/>
      </w:tblGrid>
      <w:tr w14:paraId="30357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noWrap w:val="0"/>
            <w:vAlign w:val="center"/>
          </w:tcPr>
          <w:p w14:paraId="2D01B33D">
            <w:pPr>
              <w:keepNext w:val="0"/>
              <w:keepLines w:val="0"/>
              <w:pageBreakBefore w:val="0"/>
              <w:wordWrap/>
              <w:topLinePunct w:val="0"/>
              <w:bidi w:val="0"/>
              <w:snapToGrid/>
              <w:spacing w:line="360" w:lineRule="auto"/>
              <w:jc w:val="center"/>
              <w:textAlignment w:val="auto"/>
              <w:rPr>
                <w:rFonts w:hint="eastAsia" w:ascii="宋体" w:hAnsi="宋体"/>
                <w:bCs/>
                <w:color w:val="auto"/>
                <w:szCs w:val="21"/>
              </w:rPr>
            </w:pPr>
            <w:r>
              <w:rPr>
                <w:rFonts w:hint="eastAsia" w:ascii="宋体" w:hAnsi="宋体"/>
                <w:bCs/>
                <w:color w:val="auto"/>
                <w:szCs w:val="21"/>
              </w:rPr>
              <w:t>牌   号</w:t>
            </w:r>
          </w:p>
        </w:tc>
        <w:tc>
          <w:tcPr>
            <w:tcW w:w="1566" w:type="dxa"/>
            <w:noWrap w:val="0"/>
            <w:vAlign w:val="center"/>
          </w:tcPr>
          <w:p w14:paraId="62BE3A9C">
            <w:pPr>
              <w:keepNext w:val="0"/>
              <w:keepLines w:val="0"/>
              <w:pageBreakBefore w:val="0"/>
              <w:wordWrap/>
              <w:topLinePunct w:val="0"/>
              <w:bidi w:val="0"/>
              <w:snapToGrid/>
              <w:spacing w:line="360" w:lineRule="auto"/>
              <w:jc w:val="center"/>
              <w:textAlignment w:val="auto"/>
              <w:rPr>
                <w:rFonts w:hint="eastAsia" w:ascii="宋体" w:hAnsi="宋体"/>
                <w:bCs/>
                <w:color w:val="auto"/>
                <w:szCs w:val="21"/>
              </w:rPr>
            </w:pPr>
            <w:r>
              <w:rPr>
                <w:rFonts w:hint="eastAsia" w:ascii="宋体" w:hAnsi="宋体"/>
                <w:bCs/>
                <w:color w:val="auto"/>
                <w:szCs w:val="21"/>
              </w:rPr>
              <w:t>状 态</w:t>
            </w:r>
          </w:p>
        </w:tc>
        <w:tc>
          <w:tcPr>
            <w:tcW w:w="1386" w:type="dxa"/>
            <w:noWrap w:val="0"/>
            <w:vAlign w:val="center"/>
          </w:tcPr>
          <w:p w14:paraId="1FC7DA8E">
            <w:pPr>
              <w:keepNext w:val="0"/>
              <w:keepLines w:val="0"/>
              <w:pageBreakBefore w:val="0"/>
              <w:wordWrap/>
              <w:topLinePunct w:val="0"/>
              <w:bidi w:val="0"/>
              <w:snapToGrid/>
              <w:spacing w:line="360" w:lineRule="auto"/>
              <w:jc w:val="center"/>
              <w:textAlignment w:val="auto"/>
              <w:rPr>
                <w:rFonts w:hint="eastAsia" w:ascii="宋体" w:hAnsi="宋体"/>
                <w:bCs/>
                <w:color w:val="auto"/>
                <w:szCs w:val="21"/>
              </w:rPr>
            </w:pPr>
            <w:r>
              <w:rPr>
                <w:rFonts w:hint="eastAsia" w:ascii="宋体" w:hAnsi="宋体"/>
                <w:bCs/>
                <w:color w:val="auto"/>
                <w:szCs w:val="21"/>
              </w:rPr>
              <w:t>正转转数</w:t>
            </w:r>
          </w:p>
        </w:tc>
        <w:tc>
          <w:tcPr>
            <w:tcW w:w="1923" w:type="dxa"/>
            <w:noWrap w:val="0"/>
            <w:vAlign w:val="center"/>
          </w:tcPr>
          <w:p w14:paraId="441F543D">
            <w:pPr>
              <w:keepNext w:val="0"/>
              <w:keepLines w:val="0"/>
              <w:pageBreakBefore w:val="0"/>
              <w:wordWrap/>
              <w:topLinePunct w:val="0"/>
              <w:bidi w:val="0"/>
              <w:snapToGrid/>
              <w:spacing w:line="360" w:lineRule="auto"/>
              <w:jc w:val="center"/>
              <w:textAlignment w:val="auto"/>
              <w:rPr>
                <w:rFonts w:hint="eastAsia" w:ascii="宋体" w:hAnsi="宋体" w:eastAsiaTheme="minorEastAsia"/>
                <w:bCs/>
                <w:color w:val="auto"/>
                <w:szCs w:val="21"/>
                <w:lang w:eastAsia="zh-CN"/>
              </w:rPr>
            </w:pPr>
            <w:r>
              <w:rPr>
                <w:rFonts w:hint="eastAsia" w:ascii="宋体" w:hAnsi="宋体"/>
                <w:bCs/>
                <w:color w:val="FF0000"/>
                <w:szCs w:val="21"/>
              </w:rPr>
              <w:t>反转至断裂的转数，不少于</w:t>
            </w:r>
            <w:r>
              <w:rPr>
                <w:rFonts w:hint="eastAsia" w:ascii="宋体" w:hAnsi="宋体"/>
                <w:bCs/>
                <w:color w:val="FF0000"/>
                <w:szCs w:val="21"/>
                <w:lang w:eastAsia="zh-CN"/>
              </w:rPr>
              <w:t>（</w:t>
            </w:r>
            <w:r>
              <w:rPr>
                <w:rFonts w:hint="eastAsia" w:ascii="宋体" w:hAnsi="宋体"/>
                <w:bCs/>
                <w:color w:val="FF0000"/>
                <w:szCs w:val="21"/>
                <w:lang w:val="en-US" w:eastAsia="zh-CN"/>
              </w:rPr>
              <w:t>原标准</w:t>
            </w:r>
            <w:r>
              <w:rPr>
                <w:rFonts w:hint="eastAsia" w:ascii="宋体" w:hAnsi="宋体"/>
                <w:bCs/>
                <w:color w:val="FF0000"/>
                <w:szCs w:val="21"/>
                <w:lang w:eastAsia="zh-CN"/>
              </w:rPr>
              <w:t>）</w:t>
            </w:r>
          </w:p>
        </w:tc>
        <w:tc>
          <w:tcPr>
            <w:tcW w:w="1868" w:type="dxa"/>
            <w:noWrap w:val="0"/>
            <w:vAlign w:val="center"/>
          </w:tcPr>
          <w:p w14:paraId="7EDC9165">
            <w:pPr>
              <w:keepNext w:val="0"/>
              <w:keepLines w:val="0"/>
              <w:pageBreakBefore w:val="0"/>
              <w:wordWrap/>
              <w:topLinePunct w:val="0"/>
              <w:bidi w:val="0"/>
              <w:snapToGrid/>
              <w:spacing w:line="360" w:lineRule="auto"/>
              <w:jc w:val="center"/>
              <w:textAlignment w:val="auto"/>
              <w:rPr>
                <w:rFonts w:hint="eastAsia" w:ascii="宋体" w:hAnsi="宋体"/>
                <w:bCs/>
                <w:color w:val="auto"/>
                <w:szCs w:val="21"/>
              </w:rPr>
            </w:pPr>
            <w:r>
              <w:rPr>
                <w:rFonts w:hint="eastAsia" w:ascii="宋体" w:hAnsi="宋体"/>
                <w:bCs/>
                <w:color w:val="FF0000"/>
                <w:szCs w:val="21"/>
              </w:rPr>
              <w:t>反转至断裂的转数，不少于</w:t>
            </w:r>
            <w:r>
              <w:rPr>
                <w:rFonts w:hint="eastAsia" w:ascii="宋体" w:hAnsi="宋体"/>
                <w:bCs/>
                <w:color w:val="FF0000"/>
                <w:szCs w:val="21"/>
                <w:lang w:eastAsia="zh-CN"/>
              </w:rPr>
              <w:t>（</w:t>
            </w:r>
            <w:r>
              <w:rPr>
                <w:rFonts w:hint="eastAsia" w:ascii="宋体" w:hAnsi="宋体"/>
                <w:bCs/>
                <w:color w:val="FF0000"/>
                <w:szCs w:val="21"/>
                <w:lang w:val="en-US" w:eastAsia="zh-CN"/>
              </w:rPr>
              <w:t>修改为）</w:t>
            </w:r>
          </w:p>
        </w:tc>
      </w:tr>
      <w:tr w14:paraId="7BC1B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noWrap w:val="0"/>
            <w:vAlign w:val="center"/>
          </w:tcPr>
          <w:p w14:paraId="0A96766E">
            <w:pPr>
              <w:keepNext w:val="0"/>
              <w:keepLines w:val="0"/>
              <w:pageBreakBefore w:val="0"/>
              <w:wordWrap/>
              <w:topLinePunct w:val="0"/>
              <w:bidi w:val="0"/>
              <w:snapToGrid/>
              <w:spacing w:line="360" w:lineRule="auto"/>
              <w:jc w:val="center"/>
              <w:textAlignment w:val="auto"/>
              <w:rPr>
                <w:rFonts w:hint="default" w:ascii="宋体" w:hAnsi="宋体" w:eastAsia="宋体"/>
                <w:bCs/>
                <w:color w:val="auto"/>
                <w:szCs w:val="21"/>
                <w:lang w:val="en-US" w:eastAsia="zh-CN"/>
              </w:rPr>
            </w:pPr>
            <w:r>
              <w:rPr>
                <w:rFonts w:hint="eastAsia" w:ascii="宋体" w:hAnsi="宋体"/>
                <w:bCs/>
                <w:color w:val="auto"/>
                <w:szCs w:val="21"/>
                <w:lang w:val="en-US" w:eastAsia="zh-CN"/>
              </w:rPr>
              <w:t>T1</w:t>
            </w:r>
          </w:p>
        </w:tc>
        <w:tc>
          <w:tcPr>
            <w:tcW w:w="1566" w:type="dxa"/>
            <w:vMerge w:val="restart"/>
            <w:noWrap w:val="0"/>
            <w:vAlign w:val="center"/>
          </w:tcPr>
          <w:p w14:paraId="7B1B15AD">
            <w:pPr>
              <w:keepNext w:val="0"/>
              <w:keepLines w:val="0"/>
              <w:pageBreakBefore w:val="0"/>
              <w:wordWrap/>
              <w:topLinePunct w:val="0"/>
              <w:bidi w:val="0"/>
              <w:snapToGrid/>
              <w:spacing w:line="360" w:lineRule="auto"/>
              <w:jc w:val="center"/>
              <w:textAlignment w:val="auto"/>
              <w:rPr>
                <w:rFonts w:hint="default" w:ascii="宋体" w:hAnsi="宋体" w:eastAsia="宋体"/>
                <w:bCs/>
                <w:color w:val="auto"/>
                <w:szCs w:val="21"/>
                <w:lang w:val="en-US" w:eastAsia="zh-CN"/>
              </w:rPr>
            </w:pPr>
            <w:r>
              <w:rPr>
                <w:rFonts w:hint="eastAsia" w:ascii="宋体" w:hAnsi="宋体"/>
                <w:bCs/>
                <w:color w:val="auto"/>
                <w:szCs w:val="21"/>
                <w:lang w:val="en-US" w:eastAsia="zh-CN"/>
              </w:rPr>
              <w:t>热轧（</w:t>
            </w:r>
            <w:r>
              <w:rPr>
                <w:rFonts w:hint="eastAsia" w:ascii="宋体" w:hAnsi="宋体"/>
                <w:bCs/>
                <w:color w:val="auto"/>
                <w:szCs w:val="21"/>
              </w:rPr>
              <w:t>M</w:t>
            </w:r>
            <w:r>
              <w:rPr>
                <w:rFonts w:hint="eastAsia" w:ascii="宋体" w:hAnsi="宋体"/>
                <w:bCs/>
                <w:color w:val="auto"/>
                <w:szCs w:val="21"/>
                <w:lang w:val="en-US" w:eastAsia="zh-CN"/>
              </w:rPr>
              <w:t>20）</w:t>
            </w:r>
          </w:p>
        </w:tc>
        <w:tc>
          <w:tcPr>
            <w:tcW w:w="1386" w:type="dxa"/>
            <w:noWrap w:val="0"/>
            <w:vAlign w:val="center"/>
          </w:tcPr>
          <w:p w14:paraId="3A200598">
            <w:pPr>
              <w:keepNext w:val="0"/>
              <w:keepLines w:val="0"/>
              <w:pageBreakBefore w:val="0"/>
              <w:wordWrap/>
              <w:topLinePunct w:val="0"/>
              <w:bidi w:val="0"/>
              <w:snapToGrid/>
              <w:spacing w:line="360" w:lineRule="auto"/>
              <w:jc w:val="center"/>
              <w:textAlignment w:val="auto"/>
              <w:rPr>
                <w:rFonts w:hint="default" w:ascii="宋体" w:hAnsi="宋体" w:eastAsia="宋体"/>
                <w:bCs/>
                <w:color w:val="auto"/>
                <w:szCs w:val="21"/>
                <w:lang w:val="en-US" w:eastAsia="zh-CN"/>
              </w:rPr>
            </w:pPr>
            <w:r>
              <w:rPr>
                <w:rFonts w:hint="eastAsia" w:ascii="宋体" w:hAnsi="宋体"/>
                <w:bCs/>
                <w:color w:val="auto"/>
                <w:szCs w:val="21"/>
                <w:lang w:val="en-US" w:eastAsia="zh-CN"/>
              </w:rPr>
              <w:t>25</w:t>
            </w:r>
          </w:p>
        </w:tc>
        <w:tc>
          <w:tcPr>
            <w:tcW w:w="1923" w:type="dxa"/>
            <w:noWrap w:val="0"/>
            <w:vAlign w:val="center"/>
          </w:tcPr>
          <w:p w14:paraId="42E5BEDD">
            <w:pPr>
              <w:keepNext w:val="0"/>
              <w:keepLines w:val="0"/>
              <w:pageBreakBefore w:val="0"/>
              <w:wordWrap/>
              <w:topLinePunct w:val="0"/>
              <w:bidi w:val="0"/>
              <w:snapToGrid/>
              <w:spacing w:line="360" w:lineRule="auto"/>
              <w:jc w:val="center"/>
              <w:textAlignment w:val="auto"/>
              <w:rPr>
                <w:rFonts w:hint="default" w:ascii="宋体" w:hAnsi="宋体" w:eastAsia="宋体"/>
                <w:bCs/>
                <w:color w:val="FF0000"/>
                <w:szCs w:val="21"/>
                <w:lang w:val="en-US" w:eastAsia="zh-CN"/>
              </w:rPr>
            </w:pPr>
            <w:r>
              <w:rPr>
                <w:rFonts w:hint="eastAsia" w:ascii="宋体" w:hAnsi="宋体" w:eastAsia="宋体"/>
                <w:bCs/>
                <w:color w:val="FF0000"/>
                <w:szCs w:val="21"/>
                <w:lang w:val="en-US" w:eastAsia="zh-CN"/>
              </w:rPr>
              <w:t>25</w:t>
            </w:r>
          </w:p>
        </w:tc>
        <w:tc>
          <w:tcPr>
            <w:tcW w:w="1868" w:type="dxa"/>
            <w:noWrap w:val="0"/>
            <w:vAlign w:val="center"/>
          </w:tcPr>
          <w:p w14:paraId="71CAA3B8">
            <w:pPr>
              <w:keepNext w:val="0"/>
              <w:keepLines w:val="0"/>
              <w:pageBreakBefore w:val="0"/>
              <w:wordWrap/>
              <w:topLinePunct w:val="0"/>
              <w:bidi w:val="0"/>
              <w:snapToGrid/>
              <w:spacing w:line="360" w:lineRule="auto"/>
              <w:jc w:val="center"/>
              <w:textAlignment w:val="auto"/>
              <w:rPr>
                <w:rFonts w:hint="eastAsia" w:ascii="宋体" w:hAnsi="宋体" w:eastAsia="宋体"/>
                <w:bCs/>
                <w:color w:val="FF0000"/>
                <w:szCs w:val="21"/>
                <w:lang w:val="en-US" w:eastAsia="zh-CN"/>
              </w:rPr>
            </w:pPr>
            <w:r>
              <w:rPr>
                <w:rFonts w:hint="eastAsia" w:ascii="宋体" w:hAnsi="宋体" w:eastAsia="宋体"/>
                <w:bCs/>
                <w:color w:val="FF0000"/>
                <w:szCs w:val="21"/>
                <w:lang w:val="en-US" w:eastAsia="zh-CN"/>
              </w:rPr>
              <w:t>28</w:t>
            </w:r>
          </w:p>
        </w:tc>
      </w:tr>
      <w:tr w14:paraId="0F33F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noWrap w:val="0"/>
            <w:vAlign w:val="center"/>
          </w:tcPr>
          <w:p w14:paraId="345454D5">
            <w:pPr>
              <w:keepNext w:val="0"/>
              <w:keepLines w:val="0"/>
              <w:pageBreakBefore w:val="0"/>
              <w:wordWrap/>
              <w:topLinePunct w:val="0"/>
              <w:bidi w:val="0"/>
              <w:snapToGrid/>
              <w:spacing w:line="360" w:lineRule="auto"/>
              <w:jc w:val="center"/>
              <w:textAlignment w:val="auto"/>
              <w:rPr>
                <w:rFonts w:hint="default" w:ascii="宋体" w:hAnsi="宋体"/>
                <w:bCs/>
                <w:color w:val="auto"/>
                <w:szCs w:val="21"/>
                <w:lang w:val="en-US" w:eastAsia="zh-CN"/>
              </w:rPr>
            </w:pPr>
            <w:r>
              <w:rPr>
                <w:rFonts w:hint="eastAsia" w:ascii="宋体" w:hAnsi="宋体"/>
                <w:bCs/>
                <w:color w:val="auto"/>
                <w:szCs w:val="21"/>
                <w:lang w:val="en-US" w:eastAsia="zh-CN"/>
              </w:rPr>
              <w:t>T2</w:t>
            </w:r>
          </w:p>
        </w:tc>
        <w:tc>
          <w:tcPr>
            <w:tcW w:w="1566" w:type="dxa"/>
            <w:vMerge w:val="continue"/>
            <w:noWrap w:val="0"/>
            <w:vAlign w:val="center"/>
          </w:tcPr>
          <w:p w14:paraId="68382AAB">
            <w:pPr>
              <w:keepNext w:val="0"/>
              <w:keepLines w:val="0"/>
              <w:pageBreakBefore w:val="0"/>
              <w:wordWrap/>
              <w:topLinePunct w:val="0"/>
              <w:bidi w:val="0"/>
              <w:snapToGrid/>
              <w:spacing w:line="360" w:lineRule="auto"/>
              <w:jc w:val="center"/>
              <w:textAlignment w:val="auto"/>
              <w:rPr>
                <w:rFonts w:hint="eastAsia" w:ascii="宋体" w:hAnsi="宋体"/>
                <w:bCs/>
                <w:color w:val="auto"/>
                <w:szCs w:val="21"/>
              </w:rPr>
            </w:pPr>
          </w:p>
        </w:tc>
        <w:tc>
          <w:tcPr>
            <w:tcW w:w="1386" w:type="dxa"/>
            <w:noWrap w:val="0"/>
            <w:vAlign w:val="center"/>
          </w:tcPr>
          <w:p w14:paraId="11922B0A">
            <w:pPr>
              <w:keepNext w:val="0"/>
              <w:keepLines w:val="0"/>
              <w:pageBreakBefore w:val="0"/>
              <w:wordWrap/>
              <w:topLinePunct w:val="0"/>
              <w:bidi w:val="0"/>
              <w:snapToGrid/>
              <w:spacing w:line="360" w:lineRule="auto"/>
              <w:jc w:val="center"/>
              <w:textAlignment w:val="auto"/>
              <w:rPr>
                <w:rFonts w:hint="default" w:ascii="宋体" w:hAnsi="宋体"/>
                <w:bCs/>
                <w:color w:val="auto"/>
                <w:szCs w:val="21"/>
                <w:lang w:val="en-US" w:eastAsia="zh-CN"/>
              </w:rPr>
            </w:pPr>
            <w:r>
              <w:rPr>
                <w:rFonts w:hint="eastAsia" w:ascii="宋体" w:hAnsi="宋体"/>
                <w:bCs/>
                <w:color w:val="auto"/>
                <w:szCs w:val="21"/>
                <w:lang w:val="en-US" w:eastAsia="zh-CN"/>
              </w:rPr>
              <w:t>25</w:t>
            </w:r>
          </w:p>
        </w:tc>
        <w:tc>
          <w:tcPr>
            <w:tcW w:w="1923" w:type="dxa"/>
            <w:noWrap w:val="0"/>
            <w:vAlign w:val="center"/>
          </w:tcPr>
          <w:p w14:paraId="03403B73">
            <w:pPr>
              <w:keepNext w:val="0"/>
              <w:keepLines w:val="0"/>
              <w:pageBreakBefore w:val="0"/>
              <w:wordWrap/>
              <w:topLinePunct w:val="0"/>
              <w:bidi w:val="0"/>
              <w:snapToGrid/>
              <w:spacing w:line="360" w:lineRule="auto"/>
              <w:jc w:val="center"/>
              <w:textAlignment w:val="auto"/>
              <w:rPr>
                <w:rFonts w:hint="default" w:ascii="宋体" w:hAnsi="宋体"/>
                <w:bCs/>
                <w:color w:val="FF0000"/>
                <w:szCs w:val="21"/>
                <w:lang w:val="en-US" w:eastAsia="zh-CN"/>
              </w:rPr>
            </w:pPr>
            <w:r>
              <w:rPr>
                <w:rFonts w:hint="eastAsia" w:ascii="宋体" w:hAnsi="宋体"/>
                <w:bCs/>
                <w:color w:val="FF0000"/>
                <w:szCs w:val="21"/>
                <w:lang w:val="en-US" w:eastAsia="zh-CN"/>
              </w:rPr>
              <w:t>20</w:t>
            </w:r>
          </w:p>
        </w:tc>
        <w:tc>
          <w:tcPr>
            <w:tcW w:w="1868" w:type="dxa"/>
            <w:noWrap w:val="0"/>
            <w:vAlign w:val="center"/>
          </w:tcPr>
          <w:p w14:paraId="41243504">
            <w:pPr>
              <w:keepNext w:val="0"/>
              <w:keepLines w:val="0"/>
              <w:pageBreakBefore w:val="0"/>
              <w:wordWrap/>
              <w:topLinePunct w:val="0"/>
              <w:bidi w:val="0"/>
              <w:snapToGrid/>
              <w:spacing w:line="360" w:lineRule="auto"/>
              <w:jc w:val="center"/>
              <w:textAlignment w:val="auto"/>
              <w:rPr>
                <w:rFonts w:hint="eastAsia" w:ascii="宋体" w:hAnsi="宋体"/>
                <w:bCs/>
                <w:color w:val="FF0000"/>
                <w:szCs w:val="21"/>
                <w:lang w:val="en-US" w:eastAsia="zh-CN"/>
              </w:rPr>
            </w:pPr>
            <w:r>
              <w:rPr>
                <w:rFonts w:hint="eastAsia" w:ascii="宋体" w:hAnsi="宋体"/>
                <w:bCs/>
                <w:color w:val="FF0000"/>
                <w:szCs w:val="21"/>
                <w:lang w:val="en-US" w:eastAsia="zh-CN"/>
              </w:rPr>
              <w:t>23</w:t>
            </w:r>
          </w:p>
        </w:tc>
      </w:tr>
      <w:tr w14:paraId="4020A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noWrap w:val="0"/>
            <w:vAlign w:val="center"/>
          </w:tcPr>
          <w:p w14:paraId="1BF63E02">
            <w:pPr>
              <w:keepNext w:val="0"/>
              <w:keepLines w:val="0"/>
              <w:pageBreakBefore w:val="0"/>
              <w:wordWrap/>
              <w:topLinePunct w:val="0"/>
              <w:bidi w:val="0"/>
              <w:snapToGrid/>
              <w:spacing w:line="360" w:lineRule="auto"/>
              <w:jc w:val="center"/>
              <w:textAlignment w:val="auto"/>
              <w:rPr>
                <w:rFonts w:hint="default" w:ascii="宋体" w:hAnsi="宋体" w:eastAsia="宋体"/>
                <w:bCs/>
                <w:color w:val="auto"/>
                <w:szCs w:val="21"/>
                <w:lang w:val="en-US" w:eastAsia="zh-CN"/>
              </w:rPr>
            </w:pPr>
            <w:r>
              <w:rPr>
                <w:rFonts w:hint="eastAsia" w:ascii="宋体" w:hAnsi="宋体"/>
                <w:bCs/>
                <w:color w:val="auto"/>
                <w:szCs w:val="21"/>
                <w:lang w:val="en-US" w:eastAsia="zh-CN"/>
              </w:rPr>
              <w:t>T3</w:t>
            </w:r>
          </w:p>
        </w:tc>
        <w:tc>
          <w:tcPr>
            <w:tcW w:w="1566" w:type="dxa"/>
            <w:vMerge w:val="continue"/>
            <w:noWrap w:val="0"/>
            <w:vAlign w:val="center"/>
          </w:tcPr>
          <w:p w14:paraId="6ECE88B3">
            <w:pPr>
              <w:keepNext w:val="0"/>
              <w:keepLines w:val="0"/>
              <w:pageBreakBefore w:val="0"/>
              <w:wordWrap/>
              <w:topLinePunct w:val="0"/>
              <w:bidi w:val="0"/>
              <w:snapToGrid/>
              <w:spacing w:line="360" w:lineRule="auto"/>
              <w:jc w:val="center"/>
              <w:textAlignment w:val="auto"/>
              <w:rPr>
                <w:rFonts w:hint="eastAsia" w:ascii="宋体" w:hAnsi="宋体"/>
                <w:bCs/>
                <w:color w:val="auto"/>
                <w:szCs w:val="21"/>
              </w:rPr>
            </w:pPr>
          </w:p>
        </w:tc>
        <w:tc>
          <w:tcPr>
            <w:tcW w:w="1386" w:type="dxa"/>
            <w:noWrap w:val="0"/>
            <w:vAlign w:val="center"/>
          </w:tcPr>
          <w:p w14:paraId="1B49A868">
            <w:pPr>
              <w:keepNext w:val="0"/>
              <w:keepLines w:val="0"/>
              <w:pageBreakBefore w:val="0"/>
              <w:wordWrap/>
              <w:topLinePunct w:val="0"/>
              <w:bidi w:val="0"/>
              <w:snapToGrid/>
              <w:spacing w:line="360" w:lineRule="auto"/>
              <w:jc w:val="center"/>
              <w:textAlignment w:val="auto"/>
              <w:rPr>
                <w:rFonts w:hint="eastAsia" w:ascii="宋体" w:hAnsi="宋体"/>
                <w:bCs/>
                <w:color w:val="auto"/>
                <w:szCs w:val="21"/>
              </w:rPr>
            </w:pPr>
            <w:r>
              <w:rPr>
                <w:rFonts w:hint="eastAsia" w:ascii="宋体" w:hAnsi="宋体"/>
                <w:bCs/>
                <w:color w:val="auto"/>
                <w:szCs w:val="21"/>
              </w:rPr>
              <w:t>25</w:t>
            </w:r>
          </w:p>
        </w:tc>
        <w:tc>
          <w:tcPr>
            <w:tcW w:w="1923" w:type="dxa"/>
            <w:noWrap w:val="0"/>
            <w:vAlign w:val="center"/>
          </w:tcPr>
          <w:p w14:paraId="0BC74ACE">
            <w:pPr>
              <w:keepNext w:val="0"/>
              <w:keepLines w:val="0"/>
              <w:pageBreakBefore w:val="0"/>
              <w:wordWrap/>
              <w:topLinePunct w:val="0"/>
              <w:bidi w:val="0"/>
              <w:snapToGrid/>
              <w:spacing w:line="360" w:lineRule="auto"/>
              <w:jc w:val="center"/>
              <w:textAlignment w:val="auto"/>
              <w:rPr>
                <w:rFonts w:hint="default" w:ascii="宋体" w:hAnsi="宋体" w:eastAsia="宋体"/>
                <w:bCs/>
                <w:color w:val="FF0000"/>
                <w:szCs w:val="21"/>
                <w:lang w:val="en-US" w:eastAsia="zh-CN"/>
              </w:rPr>
            </w:pPr>
            <w:r>
              <w:rPr>
                <w:rFonts w:hint="eastAsia" w:ascii="宋体" w:hAnsi="宋体" w:eastAsia="宋体"/>
                <w:bCs/>
                <w:color w:val="FF0000"/>
                <w:szCs w:val="21"/>
                <w:lang w:val="en-US" w:eastAsia="zh-CN"/>
              </w:rPr>
              <w:t>17</w:t>
            </w:r>
          </w:p>
        </w:tc>
        <w:tc>
          <w:tcPr>
            <w:tcW w:w="1868" w:type="dxa"/>
            <w:noWrap w:val="0"/>
            <w:vAlign w:val="center"/>
          </w:tcPr>
          <w:p w14:paraId="2538290B">
            <w:pPr>
              <w:keepNext w:val="0"/>
              <w:keepLines w:val="0"/>
              <w:pageBreakBefore w:val="0"/>
              <w:wordWrap/>
              <w:topLinePunct w:val="0"/>
              <w:bidi w:val="0"/>
              <w:snapToGrid/>
              <w:spacing w:line="360" w:lineRule="auto"/>
              <w:jc w:val="center"/>
              <w:textAlignment w:val="auto"/>
              <w:rPr>
                <w:rFonts w:hint="eastAsia" w:ascii="宋体" w:hAnsi="宋体" w:eastAsia="宋体"/>
                <w:bCs/>
                <w:color w:val="FF0000"/>
                <w:szCs w:val="21"/>
                <w:lang w:val="en-US" w:eastAsia="zh-CN"/>
              </w:rPr>
            </w:pPr>
            <w:r>
              <w:rPr>
                <w:rFonts w:hint="eastAsia" w:ascii="宋体" w:hAnsi="宋体" w:eastAsia="宋体"/>
                <w:bCs/>
                <w:color w:val="FF0000"/>
                <w:szCs w:val="21"/>
                <w:lang w:val="en-US" w:eastAsia="zh-CN"/>
              </w:rPr>
              <w:t>20</w:t>
            </w:r>
          </w:p>
        </w:tc>
      </w:tr>
      <w:tr w14:paraId="5384D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noWrap w:val="0"/>
            <w:vAlign w:val="center"/>
          </w:tcPr>
          <w:p w14:paraId="676E4330">
            <w:pPr>
              <w:keepNext w:val="0"/>
              <w:keepLines w:val="0"/>
              <w:pageBreakBefore w:val="0"/>
              <w:wordWrap/>
              <w:topLinePunct w:val="0"/>
              <w:bidi w:val="0"/>
              <w:snapToGrid/>
              <w:spacing w:line="360" w:lineRule="auto"/>
              <w:jc w:val="center"/>
              <w:textAlignment w:val="auto"/>
              <w:rPr>
                <w:rFonts w:hint="default" w:ascii="宋体" w:hAnsi="宋体" w:eastAsia="宋体"/>
                <w:bCs/>
                <w:color w:val="auto"/>
                <w:szCs w:val="21"/>
                <w:lang w:val="en-US" w:eastAsia="zh-CN"/>
              </w:rPr>
            </w:pPr>
            <w:r>
              <w:rPr>
                <w:rFonts w:hint="eastAsia" w:ascii="宋体" w:hAnsi="宋体"/>
                <w:bCs/>
                <w:color w:val="auto"/>
                <w:szCs w:val="21"/>
                <w:lang w:val="en-US" w:eastAsia="zh-CN"/>
              </w:rPr>
              <w:t>TU1</w:t>
            </w:r>
          </w:p>
        </w:tc>
        <w:tc>
          <w:tcPr>
            <w:tcW w:w="1566" w:type="dxa"/>
            <w:noWrap w:val="0"/>
            <w:vAlign w:val="center"/>
          </w:tcPr>
          <w:p w14:paraId="42F7B4F5">
            <w:pPr>
              <w:keepNext w:val="0"/>
              <w:keepLines w:val="0"/>
              <w:pageBreakBefore w:val="0"/>
              <w:wordWrap/>
              <w:topLinePunct w:val="0"/>
              <w:bidi w:val="0"/>
              <w:snapToGrid/>
              <w:spacing w:line="360" w:lineRule="auto"/>
              <w:jc w:val="center"/>
              <w:textAlignment w:val="auto"/>
              <w:rPr>
                <w:rFonts w:hint="eastAsia" w:ascii="宋体" w:hAnsi="宋体"/>
                <w:bCs/>
                <w:color w:val="auto"/>
                <w:szCs w:val="21"/>
              </w:rPr>
            </w:pPr>
            <w:r>
              <w:rPr>
                <w:rFonts w:hint="eastAsia" w:ascii="宋体" w:hAnsi="宋体"/>
                <w:bCs/>
                <w:color w:val="auto"/>
                <w:szCs w:val="21"/>
                <w:lang w:val="en-US" w:eastAsia="zh-CN"/>
              </w:rPr>
              <w:t>铸造(M07）</w:t>
            </w:r>
          </w:p>
        </w:tc>
        <w:tc>
          <w:tcPr>
            <w:tcW w:w="1386" w:type="dxa"/>
            <w:noWrap w:val="0"/>
            <w:vAlign w:val="center"/>
          </w:tcPr>
          <w:p w14:paraId="0E7A3D9D">
            <w:pPr>
              <w:keepNext w:val="0"/>
              <w:keepLines w:val="0"/>
              <w:pageBreakBefore w:val="0"/>
              <w:wordWrap/>
              <w:topLinePunct w:val="0"/>
              <w:bidi w:val="0"/>
              <w:snapToGrid/>
              <w:spacing w:line="360" w:lineRule="auto"/>
              <w:jc w:val="center"/>
              <w:textAlignment w:val="auto"/>
              <w:rPr>
                <w:rFonts w:hint="eastAsia" w:ascii="宋体" w:hAnsi="宋体"/>
                <w:bCs/>
                <w:color w:val="auto"/>
                <w:szCs w:val="21"/>
              </w:rPr>
            </w:pPr>
            <w:r>
              <w:rPr>
                <w:rFonts w:hint="eastAsia" w:ascii="宋体" w:hAnsi="宋体"/>
                <w:bCs/>
                <w:color w:val="auto"/>
                <w:szCs w:val="21"/>
              </w:rPr>
              <w:t>25</w:t>
            </w:r>
          </w:p>
        </w:tc>
        <w:tc>
          <w:tcPr>
            <w:tcW w:w="1923" w:type="dxa"/>
            <w:noWrap w:val="0"/>
            <w:vAlign w:val="center"/>
          </w:tcPr>
          <w:p w14:paraId="541ECB3B">
            <w:pPr>
              <w:keepNext w:val="0"/>
              <w:keepLines w:val="0"/>
              <w:pageBreakBefore w:val="0"/>
              <w:wordWrap/>
              <w:topLinePunct w:val="0"/>
              <w:bidi w:val="0"/>
              <w:snapToGrid/>
              <w:spacing w:line="360" w:lineRule="auto"/>
              <w:jc w:val="center"/>
              <w:textAlignment w:val="auto"/>
              <w:rPr>
                <w:rFonts w:hint="default" w:ascii="宋体" w:hAnsi="宋体" w:eastAsia="宋体"/>
                <w:bCs/>
                <w:color w:val="FF0000"/>
                <w:szCs w:val="21"/>
                <w:lang w:val="en-US" w:eastAsia="zh-CN"/>
              </w:rPr>
            </w:pPr>
            <w:r>
              <w:rPr>
                <w:rFonts w:hint="eastAsia" w:ascii="宋体" w:hAnsi="宋体" w:eastAsia="宋体"/>
                <w:bCs/>
                <w:color w:val="FF0000"/>
                <w:szCs w:val="21"/>
                <w:lang w:val="en-US" w:eastAsia="zh-CN"/>
              </w:rPr>
              <w:t>25</w:t>
            </w:r>
          </w:p>
        </w:tc>
        <w:tc>
          <w:tcPr>
            <w:tcW w:w="1868" w:type="dxa"/>
            <w:noWrap w:val="0"/>
            <w:vAlign w:val="center"/>
          </w:tcPr>
          <w:p w14:paraId="199928B7">
            <w:pPr>
              <w:keepNext w:val="0"/>
              <w:keepLines w:val="0"/>
              <w:pageBreakBefore w:val="0"/>
              <w:wordWrap/>
              <w:topLinePunct w:val="0"/>
              <w:bidi w:val="0"/>
              <w:snapToGrid/>
              <w:spacing w:line="360" w:lineRule="auto"/>
              <w:jc w:val="center"/>
              <w:textAlignment w:val="auto"/>
              <w:rPr>
                <w:rFonts w:hint="eastAsia" w:ascii="宋体" w:hAnsi="宋体" w:eastAsia="宋体"/>
                <w:bCs/>
                <w:color w:val="FF0000"/>
                <w:szCs w:val="21"/>
                <w:lang w:val="en-US" w:eastAsia="zh-CN"/>
              </w:rPr>
            </w:pPr>
            <w:r>
              <w:rPr>
                <w:rFonts w:hint="eastAsia" w:ascii="宋体" w:hAnsi="宋体" w:eastAsia="宋体"/>
                <w:bCs/>
                <w:color w:val="FF0000"/>
                <w:szCs w:val="21"/>
                <w:lang w:val="en-US" w:eastAsia="zh-CN"/>
              </w:rPr>
              <w:t>28</w:t>
            </w:r>
          </w:p>
        </w:tc>
      </w:tr>
      <w:tr w14:paraId="3C39E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noWrap w:val="0"/>
            <w:vAlign w:val="center"/>
          </w:tcPr>
          <w:p w14:paraId="2D0E8F4F">
            <w:pPr>
              <w:keepNext w:val="0"/>
              <w:keepLines w:val="0"/>
              <w:pageBreakBefore w:val="0"/>
              <w:wordWrap/>
              <w:topLinePunct w:val="0"/>
              <w:bidi w:val="0"/>
              <w:snapToGrid/>
              <w:spacing w:line="360" w:lineRule="auto"/>
              <w:jc w:val="center"/>
              <w:textAlignment w:val="auto"/>
              <w:rPr>
                <w:rFonts w:hint="default" w:ascii="宋体" w:hAnsi="宋体" w:eastAsia="宋体"/>
                <w:bCs/>
                <w:color w:val="auto"/>
                <w:szCs w:val="21"/>
                <w:lang w:val="en-US" w:eastAsia="zh-CN"/>
              </w:rPr>
            </w:pPr>
            <w:r>
              <w:rPr>
                <w:rFonts w:hint="eastAsia" w:ascii="宋体" w:hAnsi="宋体"/>
                <w:bCs/>
                <w:color w:val="auto"/>
                <w:szCs w:val="21"/>
                <w:lang w:val="en-US" w:eastAsia="zh-CN"/>
              </w:rPr>
              <w:t>TU2</w:t>
            </w:r>
          </w:p>
        </w:tc>
        <w:tc>
          <w:tcPr>
            <w:tcW w:w="1566" w:type="dxa"/>
            <w:noWrap w:val="0"/>
            <w:vAlign w:val="center"/>
          </w:tcPr>
          <w:p w14:paraId="418B3FB2">
            <w:pPr>
              <w:keepNext w:val="0"/>
              <w:keepLines w:val="0"/>
              <w:pageBreakBefore w:val="0"/>
              <w:wordWrap/>
              <w:topLinePunct w:val="0"/>
              <w:bidi w:val="0"/>
              <w:snapToGrid/>
              <w:spacing w:line="360" w:lineRule="auto"/>
              <w:jc w:val="center"/>
              <w:textAlignment w:val="auto"/>
              <w:rPr>
                <w:rFonts w:hint="eastAsia" w:ascii="宋体" w:hAnsi="宋体"/>
                <w:bCs/>
                <w:color w:val="auto"/>
                <w:szCs w:val="21"/>
              </w:rPr>
            </w:pPr>
          </w:p>
        </w:tc>
        <w:tc>
          <w:tcPr>
            <w:tcW w:w="1386" w:type="dxa"/>
            <w:noWrap w:val="0"/>
            <w:vAlign w:val="center"/>
          </w:tcPr>
          <w:p w14:paraId="4EEB56F9">
            <w:pPr>
              <w:keepNext w:val="0"/>
              <w:keepLines w:val="0"/>
              <w:pageBreakBefore w:val="0"/>
              <w:wordWrap/>
              <w:topLinePunct w:val="0"/>
              <w:bidi w:val="0"/>
              <w:snapToGrid/>
              <w:spacing w:line="360" w:lineRule="auto"/>
              <w:jc w:val="center"/>
              <w:textAlignment w:val="auto"/>
              <w:rPr>
                <w:rFonts w:hint="default" w:ascii="宋体" w:hAnsi="宋体" w:eastAsia="宋体"/>
                <w:bCs/>
                <w:color w:val="auto"/>
                <w:szCs w:val="21"/>
                <w:lang w:val="en-US" w:eastAsia="zh-CN"/>
              </w:rPr>
            </w:pPr>
            <w:r>
              <w:rPr>
                <w:rFonts w:hint="eastAsia" w:ascii="宋体" w:hAnsi="宋体"/>
                <w:bCs/>
                <w:color w:val="auto"/>
                <w:szCs w:val="21"/>
                <w:lang w:val="en-US" w:eastAsia="zh-CN"/>
              </w:rPr>
              <w:t>25</w:t>
            </w:r>
          </w:p>
        </w:tc>
        <w:tc>
          <w:tcPr>
            <w:tcW w:w="1923" w:type="dxa"/>
            <w:noWrap w:val="0"/>
            <w:vAlign w:val="center"/>
          </w:tcPr>
          <w:p w14:paraId="4DDB9E60">
            <w:pPr>
              <w:keepNext w:val="0"/>
              <w:keepLines w:val="0"/>
              <w:pageBreakBefore w:val="0"/>
              <w:wordWrap/>
              <w:topLinePunct w:val="0"/>
              <w:bidi w:val="0"/>
              <w:snapToGrid/>
              <w:spacing w:line="360" w:lineRule="auto"/>
              <w:jc w:val="center"/>
              <w:textAlignment w:val="auto"/>
              <w:rPr>
                <w:rFonts w:hint="default" w:ascii="宋体" w:hAnsi="宋体" w:eastAsia="宋体"/>
                <w:bCs/>
                <w:color w:val="FF0000"/>
                <w:szCs w:val="21"/>
                <w:lang w:val="en-US" w:eastAsia="zh-CN"/>
              </w:rPr>
            </w:pPr>
            <w:r>
              <w:rPr>
                <w:rFonts w:hint="eastAsia" w:ascii="宋体" w:hAnsi="宋体"/>
                <w:bCs/>
                <w:color w:val="FF0000"/>
                <w:szCs w:val="21"/>
                <w:lang w:val="en-US" w:eastAsia="zh-CN"/>
              </w:rPr>
              <w:t>20</w:t>
            </w:r>
          </w:p>
        </w:tc>
        <w:tc>
          <w:tcPr>
            <w:tcW w:w="1868" w:type="dxa"/>
            <w:noWrap w:val="0"/>
            <w:vAlign w:val="center"/>
          </w:tcPr>
          <w:p w14:paraId="6F4DD04E">
            <w:pPr>
              <w:keepNext w:val="0"/>
              <w:keepLines w:val="0"/>
              <w:pageBreakBefore w:val="0"/>
              <w:wordWrap/>
              <w:topLinePunct w:val="0"/>
              <w:bidi w:val="0"/>
              <w:snapToGrid/>
              <w:spacing w:line="360" w:lineRule="auto"/>
              <w:jc w:val="center"/>
              <w:textAlignment w:val="auto"/>
              <w:rPr>
                <w:rFonts w:hint="eastAsia" w:ascii="宋体" w:hAnsi="宋体"/>
                <w:bCs/>
                <w:color w:val="FF0000"/>
                <w:szCs w:val="21"/>
                <w:lang w:val="en-US" w:eastAsia="zh-CN"/>
              </w:rPr>
            </w:pPr>
            <w:r>
              <w:rPr>
                <w:rFonts w:hint="eastAsia" w:ascii="宋体" w:hAnsi="宋体"/>
                <w:bCs/>
                <w:color w:val="FF0000"/>
                <w:szCs w:val="21"/>
                <w:lang w:val="en-US" w:eastAsia="zh-CN"/>
              </w:rPr>
              <w:t>23</w:t>
            </w:r>
          </w:p>
        </w:tc>
      </w:tr>
    </w:tbl>
    <w:p w14:paraId="0688983D">
      <w:pPr>
        <w:pStyle w:val="4"/>
        <w:keepNext w:val="0"/>
        <w:keepLines w:val="0"/>
        <w:pageBreakBefore w:val="0"/>
        <w:numPr>
          <w:ilvl w:val="0"/>
          <w:numId w:val="0"/>
        </w:numPr>
        <w:wordWrap/>
        <w:topLinePunct w:val="0"/>
        <w:bidi w:val="0"/>
        <w:snapToGrid/>
        <w:spacing w:line="360" w:lineRule="auto"/>
        <w:ind w:firstLine="420" w:firstLineChars="200"/>
        <w:textAlignment w:val="auto"/>
        <w:rPr>
          <w:rFonts w:hint="eastAsia" w:ascii="宋体" w:hAnsi="宋体" w:eastAsiaTheme="minorEastAsia" w:cstheme="minorBidi"/>
          <w:color w:val="auto"/>
          <w:kern w:val="2"/>
          <w:sz w:val="21"/>
          <w:szCs w:val="21"/>
          <w:lang w:val="en-US" w:eastAsia="zh-CN" w:bidi="ar-SA"/>
        </w:rPr>
      </w:pPr>
      <w:r>
        <w:rPr>
          <w:rFonts w:hint="eastAsia"/>
          <w:lang w:val="en-US" w:eastAsia="zh-CN"/>
        </w:rPr>
        <w:t xml:space="preserve">  </w:t>
      </w:r>
      <w:r>
        <w:rPr>
          <w:rFonts w:hint="eastAsia" w:ascii="宋体" w:hAnsi="宋体" w:eastAsiaTheme="minorEastAsia" w:cstheme="minorBidi"/>
          <w:color w:val="auto"/>
          <w:kern w:val="2"/>
          <w:sz w:val="21"/>
          <w:szCs w:val="21"/>
          <w:lang w:val="en-US" w:eastAsia="zh-CN" w:bidi="ar-SA"/>
        </w:rPr>
        <w:t>修订依据：铜杆的扭断性能是评估其冶金质量和后续加工性能的一项核心指标。简单来说，它直接反映了铜杆在承受扭转变形时抵抗断裂的能力，重要性主要体现在以下方面：评估内部冶金质量：扭转测试是一种快速有效的“体检”手段。它能暴露铜杆的内部缺陷（如裂纹、气孔）、杂质富集（如Fe、Ni等引起的应力集中）以及微观结构不均（如中心与边部晶粒尺寸、硬度差异大）；预测后续加工表现：扭转性能不佳（扭转次数少）的铜杆，在后续拉丝、绞合等冷加工中极易断裂。扭转次数越多，通常表明其韧性越好，能适应更苛刻的加工。；影响最终产品质量：扭转性能差的铜杆制成的电线电缆，在使用中受弯曲、扭转时更易断裂失效，直接影响产品寿命与安全。目前，客户对铜杆入厂检验反断越来越高，大部分客户对于T1、TU1铜杆反断要求已达到30转以上，老标准已无法满足客户需求，因此修订有必要。</w:t>
      </w:r>
    </w:p>
    <w:p w14:paraId="7E4F13E3">
      <w:pPr>
        <w:pStyle w:val="4"/>
        <w:keepNext w:val="0"/>
        <w:keepLines w:val="0"/>
        <w:pageBreakBefore w:val="0"/>
        <w:numPr>
          <w:ilvl w:val="0"/>
          <w:numId w:val="0"/>
        </w:numPr>
        <w:wordWrap/>
        <w:topLinePunct w:val="0"/>
        <w:bidi w:val="0"/>
        <w:snapToGrid/>
        <w:spacing w:line="360" w:lineRule="auto"/>
        <w:ind w:firstLine="420" w:firstLineChars="200"/>
        <w:textAlignment w:val="auto"/>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 xml:space="preserve">   3.4 修订了铜线坯的其他要求中的铜粉量</w:t>
      </w:r>
    </w:p>
    <w:p w14:paraId="5DC5B185">
      <w:pPr>
        <w:pStyle w:val="4"/>
        <w:keepNext w:val="0"/>
        <w:keepLines w:val="0"/>
        <w:pageBreakBefore w:val="0"/>
        <w:numPr>
          <w:ilvl w:val="0"/>
          <w:numId w:val="0"/>
        </w:numPr>
        <w:wordWrap/>
        <w:topLinePunct w:val="0"/>
        <w:bidi w:val="0"/>
        <w:snapToGrid/>
        <w:spacing w:line="360" w:lineRule="auto"/>
        <w:ind w:firstLine="420" w:firstLineChars="200"/>
        <w:textAlignment w:val="auto"/>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 xml:space="preserve"> 原3952-2016中3.8.1 用连铸连轧法生产的低氧光亮铜线坯，若用户有要求，并在合同中注明，参照附录A的方法进行铜粉量测试（仅适用于φ8mm）。对于漆包线用铜线坯，铜粉量应不大于8mg/250mm；其他用铜线坯应不大于15mg/250mm。</w:t>
      </w:r>
    </w:p>
    <w:p w14:paraId="2E53B8C0">
      <w:pPr>
        <w:pStyle w:val="4"/>
        <w:keepNext w:val="0"/>
        <w:keepLines w:val="0"/>
        <w:pageBreakBefore w:val="0"/>
        <w:numPr>
          <w:ilvl w:val="0"/>
          <w:numId w:val="0"/>
        </w:numPr>
        <w:wordWrap/>
        <w:topLinePunct w:val="0"/>
        <w:bidi w:val="0"/>
        <w:snapToGrid/>
        <w:spacing w:line="360" w:lineRule="auto"/>
        <w:ind w:firstLine="420" w:firstLineChars="200"/>
        <w:textAlignment w:val="auto"/>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修订为：用连铸连轧法生产的低氧光亮铜线坯，若用户有要求，并在合同中注明，参照附录A的方法进行铜粉量测试（仅适用于φ8mm）。对于漆包线用铜线坯，铜粉量应不大于6mg/250mm；其他用铜线坯应不大于10mg/250mm。</w:t>
      </w:r>
    </w:p>
    <w:p w14:paraId="75685744">
      <w:pPr>
        <w:pStyle w:val="4"/>
        <w:keepNext w:val="0"/>
        <w:keepLines w:val="0"/>
        <w:pageBreakBefore w:val="0"/>
        <w:numPr>
          <w:ilvl w:val="0"/>
          <w:numId w:val="0"/>
        </w:numPr>
        <w:wordWrap/>
        <w:topLinePunct w:val="0"/>
        <w:bidi w:val="0"/>
        <w:snapToGrid/>
        <w:spacing w:line="360" w:lineRule="auto"/>
        <w:ind w:firstLine="420" w:firstLineChars="200"/>
        <w:textAlignment w:val="auto"/>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修订依据：铜杆扭断铜粉量之所以是核心指标，它决定拉丝效率，铜粉量高意味着铜杆表面脆弱。在高速拉丝时，脱落的粉末会剧烈摩擦并堵塞模具，导致频繁的“断线”停机。这是下游生产厂家最头疼的问题，直接影响产能。对于漆包线用户，铜粉量的高低直接决定了上漆质量，如同氧化膜对漆包线质量的影响，高端漆包线用户对于铜粉要求更加严格，有的甚至要求铜粉量小于4mg。因此，修订铜粉量要求能提升客户的拉丝效率并且提高其质量。</w:t>
      </w:r>
    </w:p>
    <w:p w14:paraId="7E1D67A1">
      <w:pPr>
        <w:pStyle w:val="10"/>
        <w:keepNext w:val="0"/>
        <w:keepLines w:val="0"/>
        <w:pageBreakBefore w:val="0"/>
        <w:wordWrap/>
        <w:topLinePunct w:val="0"/>
        <w:bidi w:val="0"/>
        <w:snapToGrid/>
        <w:spacing w:line="360" w:lineRule="auto"/>
        <w:jc w:val="both"/>
        <w:textAlignment w:val="auto"/>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3.5 增加氢脆要求</w:t>
      </w:r>
    </w:p>
    <w:p w14:paraId="0D871850">
      <w:pPr>
        <w:keepNext w:val="0"/>
        <w:keepLines w:val="0"/>
        <w:pageBreakBefore w:val="0"/>
        <w:wordWrap/>
        <w:topLinePunct w:val="0"/>
        <w:bidi w:val="0"/>
        <w:snapToGrid/>
        <w:spacing w:line="360" w:lineRule="auto"/>
        <w:ind w:firstLine="420"/>
        <w:textAlignment w:val="auto"/>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增加TU0牌号氢脆实验。</w:t>
      </w:r>
    </w:p>
    <w:p w14:paraId="61DE7FB8">
      <w:pPr>
        <w:keepNext w:val="0"/>
        <w:keepLines w:val="0"/>
        <w:pageBreakBefore w:val="0"/>
        <w:wordWrap/>
        <w:topLinePunct w:val="0"/>
        <w:bidi w:val="0"/>
        <w:snapToGrid/>
        <w:spacing w:line="360" w:lineRule="auto"/>
        <w:ind w:firstLine="420"/>
        <w:textAlignment w:val="auto"/>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修订依据：因增加了TU0牌号，故增加氢脆要求。</w:t>
      </w:r>
    </w:p>
    <w:p w14:paraId="5B1E10E8">
      <w:pPr>
        <w:numPr>
          <w:ilvl w:val="0"/>
          <w:numId w:val="0"/>
        </w:numPr>
        <w:spacing w:line="360" w:lineRule="auto"/>
        <w:ind w:firstLine="420" w:firstLineChars="200"/>
        <w:rPr>
          <w:rFonts w:hint="eastAsia" w:ascii="方正楷体简体" w:hAnsi="方正楷体简体" w:eastAsia="方正楷体简体" w:cs="方正楷体简体"/>
          <w:color w:val="000000" w:themeColor="text1"/>
          <w:sz w:val="21"/>
          <w:szCs w:val="21"/>
          <w:lang w:val="en-US" w:eastAsia="zh-CN"/>
          <w14:textFill>
            <w14:solidFill>
              <w14:schemeClr w14:val="tx1"/>
            </w14:solidFill>
          </w14:textFill>
        </w:rPr>
      </w:pPr>
      <w:r>
        <w:rPr>
          <w:rFonts w:hint="eastAsia" w:ascii="宋体" w:hAnsi="宋体" w:cstheme="minorBidi"/>
          <w:color w:val="auto"/>
          <w:kern w:val="2"/>
          <w:sz w:val="21"/>
          <w:szCs w:val="21"/>
          <w:lang w:val="en-US" w:eastAsia="zh-CN" w:bidi="ar-SA"/>
        </w:rPr>
        <w:t>3.6 对</w:t>
      </w:r>
      <w:r>
        <w:rPr>
          <w:rFonts w:hint="eastAsia" w:ascii="方正楷体简体" w:hAnsi="方正楷体简体" w:eastAsia="方正楷体简体" w:cs="方正楷体简体"/>
          <w:color w:val="000000" w:themeColor="text1"/>
          <w:sz w:val="21"/>
          <w:szCs w:val="21"/>
          <w:lang w:val="en-US" w:eastAsia="zh-CN"/>
          <w14:textFill>
            <w14:solidFill>
              <w14:schemeClr w14:val="tx1"/>
            </w14:solidFill>
          </w14:textFill>
        </w:rPr>
        <w:t>电工用铜线坯TU0、TU1、T1化学成分进行修改</w:t>
      </w:r>
    </w:p>
    <w:p w14:paraId="06707A11">
      <w:pPr>
        <w:tabs>
          <w:tab w:val="center" w:pos="1620"/>
          <w:tab w:val="center" w:pos="5124"/>
          <w:tab w:val="center" w:pos="5760"/>
        </w:tabs>
        <w:ind w:right="70"/>
        <w:jc w:val="center"/>
        <w:rPr>
          <w:rFonts w:hint="eastAsia" w:ascii="宋体" w:hAnsi="宋体"/>
          <w:bCs/>
          <w:color w:val="auto"/>
          <w:kern w:val="0"/>
          <w:szCs w:val="21"/>
        </w:rPr>
      </w:pPr>
      <w:r>
        <w:rPr>
          <w:rFonts w:hint="eastAsia" w:ascii="宋体" w:hAnsi="宋体"/>
          <w:bCs/>
          <w:color w:val="auto"/>
          <w:kern w:val="0"/>
          <w:szCs w:val="21"/>
        </w:rPr>
        <w:t xml:space="preserve"> </w:t>
      </w:r>
      <w:r>
        <w:rPr>
          <w:rFonts w:hint="eastAsia" w:ascii="宋体" w:hAnsi="宋体"/>
          <w:bCs/>
          <w:color w:val="auto"/>
          <w:kern w:val="0"/>
          <w:szCs w:val="21"/>
          <w:lang w:val="en-US" w:eastAsia="zh-CN"/>
        </w:rPr>
        <w:t>TU0</w:t>
      </w:r>
      <w:r>
        <w:rPr>
          <w:rFonts w:hint="eastAsia" w:ascii="宋体" w:hAnsi="宋体"/>
          <w:bCs/>
          <w:color w:val="auto"/>
          <w:kern w:val="0"/>
          <w:szCs w:val="21"/>
        </w:rPr>
        <w:t>、T1、TU1牌号铜线坯的化学成分</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6"/>
        <w:gridCol w:w="1883"/>
        <w:gridCol w:w="1925"/>
        <w:gridCol w:w="1681"/>
        <w:gridCol w:w="1797"/>
      </w:tblGrid>
      <w:tr w14:paraId="3CA4F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0" w:hRule="atLeast"/>
          <w:jc w:val="center"/>
        </w:trPr>
        <w:tc>
          <w:tcPr>
            <w:tcW w:w="1375" w:type="dxa"/>
            <w:noWrap w:val="0"/>
            <w:vAlign w:val="center"/>
          </w:tcPr>
          <w:p w14:paraId="61573452">
            <w:pPr>
              <w:spacing w:line="240" w:lineRule="atLeast"/>
              <w:jc w:val="center"/>
              <w:rPr>
                <w:rFonts w:hint="eastAsia" w:ascii="宋体" w:hAnsi="宋体"/>
                <w:bCs/>
                <w:color w:val="auto"/>
                <w:szCs w:val="21"/>
              </w:rPr>
            </w:pPr>
            <w:bookmarkStart w:id="1" w:name="OLE_LINK1"/>
            <w:r>
              <w:rPr>
                <w:rFonts w:hint="eastAsia" w:ascii="宋体" w:hAnsi="宋体"/>
                <w:bCs/>
                <w:color w:val="auto"/>
                <w:szCs w:val="21"/>
              </w:rPr>
              <w:t>元素组</w:t>
            </w:r>
          </w:p>
        </w:tc>
        <w:tc>
          <w:tcPr>
            <w:tcW w:w="2051" w:type="dxa"/>
            <w:noWrap w:val="0"/>
            <w:vAlign w:val="top"/>
          </w:tcPr>
          <w:p w14:paraId="75816B63">
            <w:pPr>
              <w:spacing w:line="240" w:lineRule="atLeast"/>
              <w:jc w:val="center"/>
              <w:rPr>
                <w:rFonts w:hint="eastAsia" w:ascii="宋体" w:hAnsi="宋体"/>
                <w:bCs/>
                <w:color w:val="auto"/>
                <w:szCs w:val="21"/>
              </w:rPr>
            </w:pPr>
            <w:r>
              <w:rPr>
                <w:rFonts w:hint="eastAsia" w:ascii="宋体" w:hAnsi="宋体"/>
                <w:bCs/>
                <w:color w:val="auto"/>
                <w:szCs w:val="21"/>
              </w:rPr>
              <w:t>杂质元素</w:t>
            </w:r>
          </w:p>
        </w:tc>
        <w:tc>
          <w:tcPr>
            <w:tcW w:w="2050" w:type="dxa"/>
            <w:noWrap w:val="0"/>
            <w:vAlign w:val="center"/>
          </w:tcPr>
          <w:p w14:paraId="70E90D50">
            <w:pPr>
              <w:spacing w:line="240" w:lineRule="atLeast"/>
              <w:jc w:val="center"/>
              <w:rPr>
                <w:rFonts w:hint="eastAsia"/>
                <w:bCs/>
                <w:color w:val="auto"/>
                <w:szCs w:val="21"/>
              </w:rPr>
            </w:pPr>
            <w:r>
              <w:rPr>
                <w:rFonts w:hint="eastAsia"/>
                <w:bCs/>
                <w:color w:val="auto"/>
                <w:szCs w:val="21"/>
              </w:rPr>
              <w:t>质量分数，不大于</w:t>
            </w:r>
          </w:p>
          <w:p w14:paraId="45157E5F">
            <w:pPr>
              <w:spacing w:line="240" w:lineRule="atLeast"/>
              <w:jc w:val="center"/>
              <w:rPr>
                <w:rFonts w:hint="eastAsia"/>
                <w:bCs/>
                <w:color w:val="auto"/>
                <w:szCs w:val="21"/>
              </w:rPr>
            </w:pPr>
            <w:r>
              <w:rPr>
                <w:rFonts w:hint="eastAsia"/>
                <w:bCs/>
                <w:color w:val="auto"/>
                <w:szCs w:val="21"/>
              </w:rPr>
              <w:t xml:space="preserve"> %</w:t>
            </w:r>
          </w:p>
        </w:tc>
        <w:tc>
          <w:tcPr>
            <w:tcW w:w="3694" w:type="dxa"/>
            <w:gridSpan w:val="2"/>
            <w:noWrap w:val="0"/>
            <w:vAlign w:val="center"/>
          </w:tcPr>
          <w:p w14:paraId="3F75100F">
            <w:pPr>
              <w:spacing w:line="240" w:lineRule="atLeast"/>
              <w:jc w:val="center"/>
              <w:rPr>
                <w:rFonts w:hint="eastAsia"/>
                <w:bCs/>
                <w:color w:val="auto"/>
                <w:szCs w:val="21"/>
              </w:rPr>
            </w:pPr>
            <w:r>
              <w:rPr>
                <w:rFonts w:hint="eastAsia"/>
                <w:bCs/>
                <w:color w:val="auto"/>
                <w:szCs w:val="21"/>
              </w:rPr>
              <w:t>元素组总质量分数，不大于</w:t>
            </w:r>
          </w:p>
          <w:p w14:paraId="07412AFD">
            <w:pPr>
              <w:spacing w:line="240" w:lineRule="atLeast"/>
              <w:jc w:val="center"/>
              <w:rPr>
                <w:rFonts w:hint="eastAsia"/>
                <w:bCs/>
                <w:color w:val="auto"/>
                <w:szCs w:val="21"/>
              </w:rPr>
            </w:pPr>
            <w:r>
              <w:rPr>
                <w:rFonts w:hint="eastAsia"/>
                <w:bCs/>
                <w:color w:val="auto"/>
                <w:szCs w:val="21"/>
              </w:rPr>
              <w:t>%</w:t>
            </w:r>
          </w:p>
        </w:tc>
      </w:tr>
      <w:tr w14:paraId="7CBD7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0" w:hRule="atLeast"/>
          <w:jc w:val="center"/>
        </w:trPr>
        <w:tc>
          <w:tcPr>
            <w:tcW w:w="1375" w:type="dxa"/>
            <w:vMerge w:val="restart"/>
            <w:noWrap w:val="0"/>
            <w:vAlign w:val="center"/>
          </w:tcPr>
          <w:p w14:paraId="523A4546">
            <w:pPr>
              <w:pStyle w:val="9"/>
              <w:keepNext w:val="0"/>
              <w:keepLines w:val="0"/>
              <w:widowControl/>
              <w:suppressLineNumbers w:val="0"/>
              <w:kinsoku/>
              <w:wordWrap/>
              <w:overflowPunct/>
              <w:spacing w:beforeAutospacing="1" w:afterAutospacing="1"/>
              <w:jc w:val="center"/>
              <w:rPr>
                <w:rFonts w:hint="eastAsia" w:ascii="宋体" w:hAnsi="宋体"/>
                <w:bCs/>
                <w:color w:val="auto"/>
                <w:szCs w:val="21"/>
              </w:rPr>
            </w:pPr>
            <w:r>
              <w:rPr>
                <w:rFonts w:hint="eastAsia" w:ascii="宋体" w:hAnsi="宋体" w:eastAsia="宋体" w:cs="宋体"/>
                <w:b w:val="0"/>
                <w:bCs w:val="0"/>
                <w:color w:val="000000"/>
                <w:sz w:val="18"/>
                <w:szCs w:val="18"/>
              </w:rPr>
              <w:t>1</w:t>
            </w:r>
          </w:p>
        </w:tc>
        <w:tc>
          <w:tcPr>
            <w:tcW w:w="2051" w:type="dxa"/>
            <w:noWrap w:val="0"/>
            <w:vAlign w:val="center"/>
          </w:tcPr>
          <w:p w14:paraId="7C23CB62">
            <w:pPr>
              <w:pStyle w:val="9"/>
              <w:keepNext w:val="0"/>
              <w:keepLines w:val="0"/>
              <w:widowControl/>
              <w:suppressLineNumbers w:val="0"/>
              <w:kinsoku/>
              <w:wordWrap/>
              <w:overflowPunct/>
              <w:spacing w:beforeAutospacing="1" w:afterAutospacing="1"/>
              <w:jc w:val="center"/>
              <w:rPr>
                <w:rFonts w:hint="eastAsia" w:ascii="宋体" w:hAnsi="宋体"/>
                <w:bCs/>
                <w:color w:val="auto"/>
                <w:szCs w:val="21"/>
              </w:rPr>
            </w:pPr>
            <w:r>
              <w:rPr>
                <w:rFonts w:hint="eastAsia" w:ascii="宋体" w:hAnsi="宋体" w:eastAsia="宋体" w:cs="宋体"/>
                <w:b w:val="0"/>
                <w:bCs w:val="0"/>
                <w:color w:val="000000"/>
                <w:sz w:val="18"/>
                <w:szCs w:val="18"/>
              </w:rPr>
              <w:t>Se</w:t>
            </w:r>
          </w:p>
        </w:tc>
        <w:tc>
          <w:tcPr>
            <w:tcW w:w="2050" w:type="dxa"/>
            <w:noWrap w:val="0"/>
            <w:vAlign w:val="center"/>
          </w:tcPr>
          <w:p w14:paraId="60E1B2CC">
            <w:pPr>
              <w:pStyle w:val="9"/>
              <w:keepNext w:val="0"/>
              <w:keepLines w:val="0"/>
              <w:widowControl/>
              <w:suppressLineNumbers w:val="0"/>
              <w:kinsoku/>
              <w:wordWrap/>
              <w:overflowPunct/>
              <w:spacing w:beforeAutospacing="1" w:afterAutospacing="1"/>
              <w:jc w:val="center"/>
              <w:rPr>
                <w:rFonts w:ascii="宋体" w:hAnsi="宋体"/>
                <w:bCs/>
                <w:color w:val="auto"/>
                <w:szCs w:val="21"/>
              </w:rPr>
            </w:pPr>
            <w:r>
              <w:rPr>
                <w:rFonts w:hint="eastAsia" w:ascii="宋体" w:hAnsi="宋体" w:eastAsia="宋体" w:cs="宋体"/>
                <w:b w:val="0"/>
                <w:bCs w:val="0"/>
                <w:color w:val="000000"/>
                <w:sz w:val="18"/>
                <w:szCs w:val="18"/>
              </w:rPr>
              <w:t>0.00020</w:t>
            </w:r>
          </w:p>
        </w:tc>
        <w:tc>
          <w:tcPr>
            <w:tcW w:w="1777" w:type="dxa"/>
            <w:vMerge w:val="restart"/>
            <w:noWrap w:val="0"/>
            <w:vAlign w:val="center"/>
          </w:tcPr>
          <w:p w14:paraId="2EB8B3CF">
            <w:pPr>
              <w:pStyle w:val="9"/>
              <w:keepNext w:val="0"/>
              <w:keepLines w:val="0"/>
              <w:widowControl/>
              <w:suppressLineNumbers w:val="0"/>
              <w:kinsoku/>
              <w:wordWrap/>
              <w:overflowPunct/>
              <w:spacing w:beforeAutospacing="1" w:afterAutospacing="1"/>
              <w:jc w:val="center"/>
              <w:rPr>
                <w:rFonts w:hint="eastAsia" w:ascii="宋体" w:hAnsi="宋体" w:eastAsia="宋体"/>
                <w:bCs/>
                <w:color w:val="auto"/>
                <w:szCs w:val="21"/>
                <w:lang w:val="en-US" w:eastAsia="zh-CN"/>
              </w:rPr>
            </w:pPr>
            <w:r>
              <w:rPr>
                <w:rFonts w:hint="eastAsia" w:ascii="宋体" w:hAnsi="宋体" w:eastAsia="宋体" w:cs="宋体"/>
                <w:b w:val="0"/>
                <w:bCs w:val="0"/>
                <w:color w:val="000000"/>
                <w:sz w:val="18"/>
                <w:szCs w:val="18"/>
              </w:rPr>
              <w:t>0.00030</w:t>
            </w:r>
          </w:p>
        </w:tc>
        <w:tc>
          <w:tcPr>
            <w:tcW w:w="1917" w:type="dxa"/>
            <w:vMerge w:val="restart"/>
            <w:noWrap w:val="0"/>
            <w:vAlign w:val="center"/>
          </w:tcPr>
          <w:p w14:paraId="2D4008B2">
            <w:pPr>
              <w:pStyle w:val="9"/>
              <w:keepNext w:val="0"/>
              <w:keepLines w:val="0"/>
              <w:widowControl/>
              <w:suppressLineNumbers w:val="0"/>
              <w:kinsoku/>
              <w:wordWrap/>
              <w:overflowPunct/>
              <w:spacing w:beforeAutospacing="1" w:afterAutospacing="1"/>
              <w:jc w:val="center"/>
              <w:rPr>
                <w:rFonts w:ascii="宋体" w:hAnsi="宋体"/>
                <w:bCs/>
                <w:color w:val="auto"/>
                <w:szCs w:val="21"/>
              </w:rPr>
            </w:pPr>
            <w:r>
              <w:rPr>
                <w:rFonts w:hint="eastAsia" w:ascii="宋体" w:hAnsi="宋体" w:eastAsia="宋体" w:cs="宋体"/>
                <w:b w:val="0"/>
                <w:bCs w:val="0"/>
                <w:color w:val="000000"/>
                <w:sz w:val="18"/>
                <w:szCs w:val="18"/>
              </w:rPr>
              <w:t>0.0003</w:t>
            </w:r>
          </w:p>
        </w:tc>
      </w:tr>
      <w:tr w14:paraId="63996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6" w:hRule="atLeast"/>
          <w:jc w:val="center"/>
        </w:trPr>
        <w:tc>
          <w:tcPr>
            <w:tcW w:w="1375" w:type="dxa"/>
            <w:vMerge w:val="continue"/>
            <w:noWrap w:val="0"/>
            <w:vAlign w:val="center"/>
          </w:tcPr>
          <w:p w14:paraId="6840C350">
            <w:pPr>
              <w:rPr>
                <w:rFonts w:hint="eastAsia" w:ascii="宋体" w:hAnsi="宋体"/>
                <w:bCs/>
                <w:color w:val="auto"/>
                <w:szCs w:val="21"/>
              </w:rPr>
            </w:pPr>
          </w:p>
        </w:tc>
        <w:tc>
          <w:tcPr>
            <w:tcW w:w="2051" w:type="dxa"/>
            <w:noWrap w:val="0"/>
            <w:vAlign w:val="center"/>
          </w:tcPr>
          <w:p w14:paraId="39238CB8">
            <w:pPr>
              <w:pStyle w:val="9"/>
              <w:keepNext w:val="0"/>
              <w:keepLines w:val="0"/>
              <w:widowControl/>
              <w:suppressLineNumbers w:val="0"/>
              <w:kinsoku/>
              <w:wordWrap/>
              <w:overflowPunct/>
              <w:spacing w:beforeAutospacing="1" w:afterAutospacing="1"/>
              <w:jc w:val="center"/>
              <w:rPr>
                <w:rFonts w:hint="eastAsia" w:ascii="宋体" w:hAnsi="宋体"/>
                <w:bCs/>
                <w:color w:val="auto"/>
                <w:szCs w:val="21"/>
              </w:rPr>
            </w:pPr>
            <w:r>
              <w:rPr>
                <w:rFonts w:hint="eastAsia" w:ascii="宋体" w:hAnsi="宋体" w:eastAsia="宋体" w:cs="宋体"/>
                <w:b w:val="0"/>
                <w:bCs w:val="0"/>
                <w:color w:val="000000"/>
                <w:sz w:val="18"/>
                <w:szCs w:val="18"/>
              </w:rPr>
              <w:t>Te</w:t>
            </w:r>
          </w:p>
        </w:tc>
        <w:tc>
          <w:tcPr>
            <w:tcW w:w="2050" w:type="dxa"/>
            <w:noWrap w:val="0"/>
            <w:vAlign w:val="center"/>
          </w:tcPr>
          <w:p w14:paraId="2249B3AE">
            <w:pPr>
              <w:pStyle w:val="9"/>
              <w:keepNext w:val="0"/>
              <w:keepLines w:val="0"/>
              <w:widowControl/>
              <w:suppressLineNumbers w:val="0"/>
              <w:kinsoku/>
              <w:wordWrap/>
              <w:overflowPunct/>
              <w:spacing w:beforeAutospacing="1" w:afterAutospacing="1"/>
              <w:jc w:val="center"/>
              <w:rPr>
                <w:rFonts w:ascii="宋体" w:hAnsi="宋体"/>
                <w:bCs/>
                <w:color w:val="auto"/>
                <w:szCs w:val="21"/>
              </w:rPr>
            </w:pPr>
            <w:r>
              <w:rPr>
                <w:rFonts w:hint="eastAsia" w:ascii="宋体" w:hAnsi="宋体" w:eastAsia="宋体" w:cs="宋体"/>
                <w:b w:val="0"/>
                <w:bCs w:val="0"/>
                <w:color w:val="000000"/>
                <w:sz w:val="18"/>
                <w:szCs w:val="18"/>
              </w:rPr>
              <w:t>0.00020</w:t>
            </w:r>
          </w:p>
        </w:tc>
        <w:tc>
          <w:tcPr>
            <w:tcW w:w="1777" w:type="dxa"/>
            <w:vMerge w:val="continue"/>
            <w:noWrap w:val="0"/>
            <w:vAlign w:val="center"/>
          </w:tcPr>
          <w:p w14:paraId="748630D4">
            <w:pPr>
              <w:rPr>
                <w:rFonts w:ascii="宋体" w:hAnsi="宋体"/>
                <w:bCs/>
                <w:color w:val="auto"/>
                <w:szCs w:val="21"/>
              </w:rPr>
            </w:pPr>
          </w:p>
        </w:tc>
        <w:tc>
          <w:tcPr>
            <w:tcW w:w="1917" w:type="dxa"/>
            <w:vMerge w:val="continue"/>
            <w:noWrap w:val="0"/>
            <w:vAlign w:val="center"/>
          </w:tcPr>
          <w:p w14:paraId="04E96C0F">
            <w:pPr>
              <w:rPr>
                <w:rFonts w:ascii="宋体" w:hAnsi="宋体"/>
                <w:bCs/>
                <w:color w:val="auto"/>
                <w:szCs w:val="21"/>
              </w:rPr>
            </w:pPr>
          </w:p>
        </w:tc>
      </w:tr>
      <w:tr w14:paraId="0115F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6" w:hRule="atLeast"/>
          <w:jc w:val="center"/>
        </w:trPr>
        <w:tc>
          <w:tcPr>
            <w:tcW w:w="1375" w:type="dxa"/>
            <w:vMerge w:val="continue"/>
            <w:noWrap w:val="0"/>
            <w:vAlign w:val="center"/>
          </w:tcPr>
          <w:p w14:paraId="0EA48299">
            <w:pPr>
              <w:rPr>
                <w:rFonts w:hint="eastAsia" w:ascii="宋体" w:hAnsi="宋体"/>
                <w:bCs/>
                <w:color w:val="auto"/>
                <w:szCs w:val="21"/>
              </w:rPr>
            </w:pPr>
          </w:p>
        </w:tc>
        <w:tc>
          <w:tcPr>
            <w:tcW w:w="2051" w:type="dxa"/>
            <w:noWrap w:val="0"/>
            <w:vAlign w:val="center"/>
          </w:tcPr>
          <w:p w14:paraId="41E1809D">
            <w:pPr>
              <w:pStyle w:val="9"/>
              <w:keepNext w:val="0"/>
              <w:keepLines w:val="0"/>
              <w:widowControl/>
              <w:suppressLineNumbers w:val="0"/>
              <w:kinsoku/>
              <w:wordWrap/>
              <w:overflowPunct/>
              <w:spacing w:beforeAutospacing="1" w:afterAutospacing="1"/>
              <w:jc w:val="center"/>
              <w:rPr>
                <w:rFonts w:hint="eastAsia" w:ascii="宋体" w:hAnsi="宋体"/>
                <w:bCs/>
                <w:color w:val="auto"/>
                <w:szCs w:val="21"/>
              </w:rPr>
            </w:pPr>
            <w:r>
              <w:rPr>
                <w:rFonts w:hint="eastAsia" w:ascii="宋体" w:hAnsi="宋体" w:eastAsia="宋体" w:cs="宋体"/>
                <w:b w:val="0"/>
                <w:bCs w:val="0"/>
                <w:color w:val="000000"/>
                <w:sz w:val="18"/>
                <w:szCs w:val="18"/>
              </w:rPr>
              <w:t>Bi</w:t>
            </w:r>
          </w:p>
        </w:tc>
        <w:tc>
          <w:tcPr>
            <w:tcW w:w="2050" w:type="dxa"/>
            <w:noWrap w:val="0"/>
            <w:vAlign w:val="center"/>
          </w:tcPr>
          <w:p w14:paraId="67B14881">
            <w:pPr>
              <w:pStyle w:val="9"/>
              <w:keepNext w:val="0"/>
              <w:keepLines w:val="0"/>
              <w:widowControl/>
              <w:suppressLineNumbers w:val="0"/>
              <w:kinsoku/>
              <w:wordWrap/>
              <w:overflowPunct/>
              <w:spacing w:beforeAutospacing="1" w:afterAutospacing="1"/>
              <w:jc w:val="center"/>
              <w:rPr>
                <w:rFonts w:ascii="宋体" w:hAnsi="宋体"/>
                <w:bCs/>
                <w:color w:val="auto"/>
                <w:szCs w:val="21"/>
              </w:rPr>
            </w:pPr>
            <w:r>
              <w:rPr>
                <w:rFonts w:hint="eastAsia" w:ascii="宋体" w:hAnsi="宋体" w:eastAsia="宋体" w:cs="宋体"/>
                <w:b w:val="0"/>
                <w:bCs w:val="0"/>
                <w:color w:val="FF0000"/>
                <w:sz w:val="18"/>
                <w:szCs w:val="18"/>
              </w:rPr>
              <w:t>0.00010</w:t>
            </w:r>
          </w:p>
        </w:tc>
        <w:tc>
          <w:tcPr>
            <w:tcW w:w="1777" w:type="dxa"/>
            <w:noWrap w:val="0"/>
            <w:vAlign w:val="center"/>
          </w:tcPr>
          <w:p w14:paraId="7735C130">
            <w:pPr>
              <w:pStyle w:val="9"/>
              <w:keepNext w:val="0"/>
              <w:keepLines w:val="0"/>
              <w:widowControl/>
              <w:suppressLineNumbers w:val="0"/>
              <w:kinsoku/>
              <w:wordWrap/>
              <w:overflowPunct/>
              <w:spacing w:beforeAutospacing="1" w:afterAutospacing="1"/>
              <w:jc w:val="center"/>
              <w:rPr>
                <w:rFonts w:ascii="宋体" w:hAnsi="宋体"/>
                <w:bCs/>
                <w:color w:val="auto"/>
                <w:szCs w:val="21"/>
              </w:rPr>
            </w:pPr>
          </w:p>
        </w:tc>
        <w:tc>
          <w:tcPr>
            <w:tcW w:w="1917" w:type="dxa"/>
            <w:vMerge w:val="continue"/>
            <w:noWrap w:val="0"/>
            <w:vAlign w:val="center"/>
          </w:tcPr>
          <w:p w14:paraId="51C55631">
            <w:pPr>
              <w:rPr>
                <w:rFonts w:ascii="宋体" w:hAnsi="宋体"/>
                <w:bCs/>
                <w:color w:val="auto"/>
                <w:szCs w:val="21"/>
              </w:rPr>
            </w:pPr>
          </w:p>
        </w:tc>
      </w:tr>
      <w:tr w14:paraId="77B03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0" w:hRule="atLeast"/>
          <w:jc w:val="center"/>
        </w:trPr>
        <w:tc>
          <w:tcPr>
            <w:tcW w:w="1375" w:type="dxa"/>
            <w:vMerge w:val="restart"/>
            <w:noWrap w:val="0"/>
            <w:vAlign w:val="center"/>
          </w:tcPr>
          <w:p w14:paraId="2F4E1A34">
            <w:pPr>
              <w:pStyle w:val="9"/>
              <w:keepNext w:val="0"/>
              <w:keepLines w:val="0"/>
              <w:widowControl/>
              <w:suppressLineNumbers w:val="0"/>
              <w:kinsoku/>
              <w:wordWrap/>
              <w:overflowPunct/>
              <w:spacing w:beforeAutospacing="1" w:afterAutospacing="1"/>
              <w:jc w:val="center"/>
              <w:rPr>
                <w:rFonts w:hint="eastAsia" w:ascii="宋体" w:hAnsi="宋体"/>
                <w:bCs/>
                <w:color w:val="auto"/>
                <w:szCs w:val="21"/>
              </w:rPr>
            </w:pPr>
            <w:r>
              <w:rPr>
                <w:rFonts w:hint="eastAsia" w:ascii="宋体" w:hAnsi="宋体" w:eastAsia="宋体" w:cs="宋体"/>
                <w:b w:val="0"/>
                <w:bCs w:val="0"/>
                <w:color w:val="000000"/>
                <w:sz w:val="18"/>
                <w:szCs w:val="18"/>
              </w:rPr>
              <w:t>2</w:t>
            </w:r>
          </w:p>
        </w:tc>
        <w:tc>
          <w:tcPr>
            <w:tcW w:w="2051" w:type="dxa"/>
            <w:noWrap w:val="0"/>
            <w:vAlign w:val="center"/>
          </w:tcPr>
          <w:p w14:paraId="1BD75E3D">
            <w:pPr>
              <w:pStyle w:val="9"/>
              <w:keepNext w:val="0"/>
              <w:keepLines w:val="0"/>
              <w:widowControl/>
              <w:suppressLineNumbers w:val="0"/>
              <w:kinsoku/>
              <w:wordWrap/>
              <w:overflowPunct/>
              <w:spacing w:beforeAutospacing="1" w:afterAutospacing="1"/>
              <w:jc w:val="center"/>
              <w:rPr>
                <w:rFonts w:hint="eastAsia" w:ascii="宋体" w:hAnsi="宋体"/>
                <w:bCs/>
                <w:color w:val="auto"/>
                <w:szCs w:val="21"/>
              </w:rPr>
            </w:pPr>
            <w:r>
              <w:rPr>
                <w:rFonts w:hint="eastAsia" w:ascii="宋体" w:hAnsi="宋体" w:eastAsia="宋体" w:cs="宋体"/>
                <w:b w:val="0"/>
                <w:bCs w:val="0"/>
                <w:color w:val="000000"/>
                <w:sz w:val="18"/>
                <w:szCs w:val="18"/>
              </w:rPr>
              <w:t>Cr</w:t>
            </w:r>
          </w:p>
        </w:tc>
        <w:tc>
          <w:tcPr>
            <w:tcW w:w="2050" w:type="dxa"/>
            <w:noWrap w:val="0"/>
            <w:vAlign w:val="center"/>
          </w:tcPr>
          <w:p w14:paraId="76CAD515">
            <w:pPr>
              <w:pStyle w:val="9"/>
              <w:keepNext w:val="0"/>
              <w:keepLines w:val="0"/>
              <w:widowControl/>
              <w:suppressLineNumbers w:val="0"/>
              <w:kinsoku/>
              <w:wordWrap/>
              <w:overflowPunct/>
              <w:spacing w:beforeAutospacing="1" w:afterAutospacing="1"/>
              <w:jc w:val="center"/>
              <w:rPr>
                <w:rFonts w:ascii="宋体" w:hAnsi="宋体"/>
                <w:bCs/>
                <w:color w:val="auto"/>
                <w:szCs w:val="21"/>
              </w:rPr>
            </w:pPr>
            <w:r>
              <w:rPr>
                <w:rFonts w:hint="eastAsia" w:ascii="宋体" w:hAnsi="宋体" w:eastAsia="宋体" w:cs="宋体"/>
                <w:b w:val="0"/>
                <w:bCs w:val="0"/>
                <w:color w:val="000000"/>
                <w:sz w:val="18"/>
                <w:szCs w:val="18"/>
                <w:lang w:val="en-US" w:eastAsia="zh-CN"/>
              </w:rPr>
              <w:t>-</w:t>
            </w:r>
          </w:p>
        </w:tc>
        <w:tc>
          <w:tcPr>
            <w:tcW w:w="3694" w:type="dxa"/>
            <w:gridSpan w:val="2"/>
            <w:vMerge w:val="restart"/>
            <w:noWrap w:val="0"/>
            <w:vAlign w:val="center"/>
          </w:tcPr>
          <w:p w14:paraId="0397B603">
            <w:pPr>
              <w:pStyle w:val="9"/>
              <w:keepNext w:val="0"/>
              <w:keepLines w:val="0"/>
              <w:widowControl/>
              <w:suppressLineNumbers w:val="0"/>
              <w:kinsoku/>
              <w:wordWrap/>
              <w:overflowPunct/>
              <w:spacing w:beforeAutospacing="1" w:afterAutospacing="1"/>
              <w:jc w:val="center"/>
              <w:rPr>
                <w:rFonts w:hint="eastAsia" w:ascii="宋体" w:hAnsi="宋体"/>
                <w:bCs/>
                <w:color w:val="auto"/>
                <w:szCs w:val="21"/>
              </w:rPr>
            </w:pPr>
            <w:r>
              <w:rPr>
                <w:rFonts w:hint="eastAsia" w:ascii="宋体" w:hAnsi="宋体" w:eastAsia="宋体" w:cs="宋体"/>
                <w:b w:val="0"/>
                <w:bCs w:val="0"/>
                <w:color w:val="FF0000"/>
                <w:sz w:val="18"/>
                <w:szCs w:val="18"/>
              </w:rPr>
              <w:t>0.00</w:t>
            </w:r>
            <w:r>
              <w:rPr>
                <w:rFonts w:hint="eastAsia" w:ascii="宋体" w:hAnsi="宋体" w:eastAsia="宋体" w:cs="宋体"/>
                <w:b w:val="0"/>
                <w:bCs w:val="0"/>
                <w:color w:val="FF0000"/>
                <w:sz w:val="18"/>
                <w:szCs w:val="18"/>
                <w:lang w:val="en-US" w:eastAsia="zh-CN"/>
              </w:rPr>
              <w:t>10</w:t>
            </w:r>
          </w:p>
        </w:tc>
      </w:tr>
      <w:tr w14:paraId="47CF0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6" w:hRule="atLeast"/>
          <w:jc w:val="center"/>
        </w:trPr>
        <w:tc>
          <w:tcPr>
            <w:tcW w:w="1375" w:type="dxa"/>
            <w:vMerge w:val="continue"/>
            <w:noWrap w:val="0"/>
            <w:vAlign w:val="center"/>
          </w:tcPr>
          <w:p w14:paraId="5C7B0EFF">
            <w:pPr>
              <w:rPr>
                <w:rFonts w:hint="eastAsia" w:ascii="宋体" w:hAnsi="宋体"/>
                <w:bCs/>
                <w:color w:val="auto"/>
                <w:szCs w:val="21"/>
              </w:rPr>
            </w:pPr>
          </w:p>
        </w:tc>
        <w:tc>
          <w:tcPr>
            <w:tcW w:w="2051" w:type="dxa"/>
            <w:noWrap w:val="0"/>
            <w:vAlign w:val="center"/>
          </w:tcPr>
          <w:p w14:paraId="28F994C6">
            <w:pPr>
              <w:pStyle w:val="9"/>
              <w:keepNext w:val="0"/>
              <w:keepLines w:val="0"/>
              <w:widowControl/>
              <w:suppressLineNumbers w:val="0"/>
              <w:kinsoku/>
              <w:wordWrap/>
              <w:overflowPunct/>
              <w:spacing w:beforeAutospacing="1" w:afterAutospacing="1"/>
              <w:jc w:val="center"/>
              <w:rPr>
                <w:rFonts w:hint="eastAsia" w:ascii="宋体" w:hAnsi="宋体"/>
                <w:bCs/>
                <w:color w:val="auto"/>
                <w:szCs w:val="21"/>
              </w:rPr>
            </w:pPr>
            <w:r>
              <w:rPr>
                <w:rFonts w:hint="eastAsia" w:ascii="宋体" w:hAnsi="宋体" w:eastAsia="宋体" w:cs="宋体"/>
                <w:b w:val="0"/>
                <w:bCs w:val="0"/>
                <w:color w:val="000000"/>
                <w:sz w:val="18"/>
                <w:szCs w:val="18"/>
              </w:rPr>
              <w:t>Mn</w:t>
            </w:r>
          </w:p>
        </w:tc>
        <w:tc>
          <w:tcPr>
            <w:tcW w:w="2050" w:type="dxa"/>
            <w:noWrap w:val="0"/>
            <w:vAlign w:val="center"/>
          </w:tcPr>
          <w:p w14:paraId="3DF6589F">
            <w:pPr>
              <w:pStyle w:val="9"/>
              <w:keepNext w:val="0"/>
              <w:keepLines w:val="0"/>
              <w:widowControl/>
              <w:suppressLineNumbers w:val="0"/>
              <w:kinsoku/>
              <w:wordWrap/>
              <w:overflowPunct/>
              <w:spacing w:beforeAutospacing="1" w:afterAutospacing="1"/>
              <w:jc w:val="center"/>
              <w:rPr>
                <w:rFonts w:ascii="宋体" w:hAnsi="宋体"/>
                <w:bCs/>
                <w:color w:val="auto"/>
                <w:szCs w:val="21"/>
              </w:rPr>
            </w:pPr>
            <w:r>
              <w:rPr>
                <w:rFonts w:hint="eastAsia" w:ascii="宋体" w:hAnsi="宋体" w:eastAsia="宋体" w:cs="宋体"/>
                <w:b w:val="0"/>
                <w:bCs w:val="0"/>
                <w:color w:val="000000"/>
                <w:sz w:val="18"/>
                <w:szCs w:val="18"/>
                <w:lang w:val="en-US" w:eastAsia="zh-CN"/>
              </w:rPr>
              <w:t>-</w:t>
            </w:r>
          </w:p>
        </w:tc>
        <w:tc>
          <w:tcPr>
            <w:tcW w:w="3694" w:type="dxa"/>
            <w:gridSpan w:val="2"/>
            <w:vMerge w:val="continue"/>
            <w:noWrap w:val="0"/>
            <w:vAlign w:val="center"/>
          </w:tcPr>
          <w:p w14:paraId="12123812">
            <w:pPr>
              <w:rPr>
                <w:rFonts w:ascii="宋体" w:hAnsi="宋体"/>
                <w:bCs/>
                <w:color w:val="auto"/>
                <w:szCs w:val="21"/>
              </w:rPr>
            </w:pPr>
          </w:p>
        </w:tc>
      </w:tr>
      <w:tr w14:paraId="042C2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6" w:hRule="atLeast"/>
          <w:jc w:val="center"/>
        </w:trPr>
        <w:tc>
          <w:tcPr>
            <w:tcW w:w="1375" w:type="dxa"/>
            <w:vMerge w:val="continue"/>
            <w:noWrap w:val="0"/>
            <w:vAlign w:val="center"/>
          </w:tcPr>
          <w:p w14:paraId="16F3B23F">
            <w:pPr>
              <w:rPr>
                <w:rFonts w:hint="eastAsia" w:ascii="宋体" w:hAnsi="宋体"/>
                <w:bCs/>
                <w:color w:val="auto"/>
                <w:szCs w:val="21"/>
              </w:rPr>
            </w:pPr>
          </w:p>
        </w:tc>
        <w:tc>
          <w:tcPr>
            <w:tcW w:w="2051" w:type="dxa"/>
            <w:noWrap w:val="0"/>
            <w:vAlign w:val="center"/>
          </w:tcPr>
          <w:p w14:paraId="4F0C9FB9">
            <w:pPr>
              <w:pStyle w:val="9"/>
              <w:keepNext w:val="0"/>
              <w:keepLines w:val="0"/>
              <w:widowControl/>
              <w:suppressLineNumbers w:val="0"/>
              <w:kinsoku/>
              <w:wordWrap/>
              <w:overflowPunct/>
              <w:spacing w:beforeAutospacing="1" w:afterAutospacing="1"/>
              <w:jc w:val="center"/>
              <w:rPr>
                <w:rFonts w:hint="eastAsia" w:ascii="宋体" w:hAnsi="宋体"/>
                <w:bCs/>
                <w:color w:val="auto"/>
                <w:szCs w:val="21"/>
              </w:rPr>
            </w:pPr>
            <w:r>
              <w:rPr>
                <w:rFonts w:hint="eastAsia" w:ascii="宋体" w:hAnsi="宋体" w:eastAsia="宋体" w:cs="宋体"/>
                <w:b w:val="0"/>
                <w:bCs w:val="0"/>
                <w:color w:val="000000"/>
                <w:sz w:val="18"/>
                <w:szCs w:val="18"/>
              </w:rPr>
              <w:t>Sb</w:t>
            </w:r>
          </w:p>
        </w:tc>
        <w:tc>
          <w:tcPr>
            <w:tcW w:w="2050" w:type="dxa"/>
            <w:noWrap w:val="0"/>
            <w:vAlign w:val="center"/>
          </w:tcPr>
          <w:p w14:paraId="3A4E1CF4">
            <w:pPr>
              <w:pStyle w:val="9"/>
              <w:keepNext w:val="0"/>
              <w:keepLines w:val="0"/>
              <w:widowControl/>
              <w:suppressLineNumbers w:val="0"/>
              <w:kinsoku/>
              <w:wordWrap/>
              <w:overflowPunct/>
              <w:spacing w:beforeAutospacing="1" w:afterAutospacing="1"/>
              <w:jc w:val="center"/>
              <w:rPr>
                <w:rFonts w:ascii="宋体" w:hAnsi="宋体"/>
                <w:bCs/>
                <w:color w:val="auto"/>
                <w:szCs w:val="21"/>
              </w:rPr>
            </w:pPr>
            <w:r>
              <w:rPr>
                <w:rFonts w:hint="eastAsia" w:ascii="宋体" w:hAnsi="宋体" w:eastAsia="宋体" w:cs="宋体"/>
                <w:b w:val="0"/>
                <w:bCs w:val="0"/>
                <w:color w:val="000000"/>
                <w:sz w:val="18"/>
                <w:szCs w:val="18"/>
              </w:rPr>
              <w:t>0.0004</w:t>
            </w:r>
          </w:p>
        </w:tc>
        <w:tc>
          <w:tcPr>
            <w:tcW w:w="3694" w:type="dxa"/>
            <w:gridSpan w:val="2"/>
            <w:vMerge w:val="continue"/>
            <w:noWrap w:val="0"/>
            <w:vAlign w:val="center"/>
          </w:tcPr>
          <w:p w14:paraId="68DCDFE3">
            <w:pPr>
              <w:rPr>
                <w:rFonts w:ascii="宋体" w:hAnsi="宋体"/>
                <w:bCs/>
                <w:color w:val="auto"/>
                <w:szCs w:val="21"/>
              </w:rPr>
            </w:pPr>
          </w:p>
        </w:tc>
      </w:tr>
      <w:tr w14:paraId="551FC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6" w:hRule="atLeast"/>
          <w:jc w:val="center"/>
        </w:trPr>
        <w:tc>
          <w:tcPr>
            <w:tcW w:w="1375" w:type="dxa"/>
            <w:vMerge w:val="continue"/>
            <w:noWrap w:val="0"/>
            <w:vAlign w:val="center"/>
          </w:tcPr>
          <w:p w14:paraId="47A7BF6E">
            <w:pPr>
              <w:rPr>
                <w:rFonts w:hint="eastAsia" w:ascii="宋体" w:hAnsi="宋体"/>
                <w:bCs/>
                <w:color w:val="auto"/>
                <w:szCs w:val="21"/>
              </w:rPr>
            </w:pPr>
          </w:p>
        </w:tc>
        <w:tc>
          <w:tcPr>
            <w:tcW w:w="2051" w:type="dxa"/>
            <w:noWrap w:val="0"/>
            <w:vAlign w:val="center"/>
          </w:tcPr>
          <w:p w14:paraId="364663C9">
            <w:pPr>
              <w:pStyle w:val="9"/>
              <w:keepNext w:val="0"/>
              <w:keepLines w:val="0"/>
              <w:widowControl/>
              <w:suppressLineNumbers w:val="0"/>
              <w:kinsoku/>
              <w:wordWrap/>
              <w:overflowPunct/>
              <w:spacing w:beforeAutospacing="1" w:afterAutospacing="1"/>
              <w:jc w:val="center"/>
              <w:rPr>
                <w:rFonts w:hint="eastAsia" w:ascii="宋体" w:hAnsi="宋体"/>
                <w:bCs/>
                <w:color w:val="auto"/>
                <w:szCs w:val="21"/>
              </w:rPr>
            </w:pPr>
            <w:r>
              <w:rPr>
                <w:rFonts w:hint="eastAsia" w:ascii="宋体" w:hAnsi="宋体" w:eastAsia="宋体" w:cs="宋体"/>
                <w:b w:val="0"/>
                <w:bCs w:val="0"/>
                <w:color w:val="000000"/>
                <w:sz w:val="18"/>
                <w:szCs w:val="18"/>
              </w:rPr>
              <w:t>Cd</w:t>
            </w:r>
          </w:p>
        </w:tc>
        <w:tc>
          <w:tcPr>
            <w:tcW w:w="2050" w:type="dxa"/>
            <w:noWrap w:val="0"/>
            <w:vAlign w:val="center"/>
          </w:tcPr>
          <w:p w14:paraId="72AF0285">
            <w:pPr>
              <w:pStyle w:val="9"/>
              <w:keepNext w:val="0"/>
              <w:keepLines w:val="0"/>
              <w:widowControl/>
              <w:suppressLineNumbers w:val="0"/>
              <w:kinsoku/>
              <w:wordWrap/>
              <w:overflowPunct/>
              <w:spacing w:beforeAutospacing="1" w:afterAutospacing="1"/>
              <w:jc w:val="center"/>
              <w:rPr>
                <w:rFonts w:ascii="宋体" w:hAnsi="宋体"/>
                <w:bCs/>
                <w:color w:val="auto"/>
                <w:szCs w:val="21"/>
              </w:rPr>
            </w:pPr>
            <w:r>
              <w:rPr>
                <w:rFonts w:hint="eastAsia" w:ascii="宋体" w:hAnsi="宋体" w:eastAsia="宋体" w:cs="宋体"/>
                <w:b w:val="0"/>
                <w:bCs w:val="0"/>
                <w:color w:val="000000"/>
                <w:sz w:val="18"/>
                <w:szCs w:val="18"/>
                <w:lang w:val="en-US" w:eastAsia="zh-CN"/>
              </w:rPr>
              <w:t>-</w:t>
            </w:r>
          </w:p>
        </w:tc>
        <w:tc>
          <w:tcPr>
            <w:tcW w:w="3694" w:type="dxa"/>
            <w:gridSpan w:val="2"/>
            <w:vMerge w:val="continue"/>
            <w:noWrap w:val="0"/>
            <w:vAlign w:val="center"/>
          </w:tcPr>
          <w:p w14:paraId="69B7FC50">
            <w:pPr>
              <w:rPr>
                <w:rFonts w:ascii="宋体" w:hAnsi="宋体"/>
                <w:bCs/>
                <w:color w:val="auto"/>
                <w:szCs w:val="21"/>
              </w:rPr>
            </w:pPr>
          </w:p>
        </w:tc>
      </w:tr>
      <w:tr w14:paraId="3979A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6" w:hRule="atLeast"/>
          <w:jc w:val="center"/>
        </w:trPr>
        <w:tc>
          <w:tcPr>
            <w:tcW w:w="1375" w:type="dxa"/>
            <w:vMerge w:val="continue"/>
            <w:noWrap w:val="0"/>
            <w:vAlign w:val="center"/>
          </w:tcPr>
          <w:p w14:paraId="716524B8">
            <w:pPr>
              <w:rPr>
                <w:rFonts w:hint="eastAsia" w:ascii="宋体" w:hAnsi="宋体"/>
                <w:bCs/>
                <w:color w:val="auto"/>
                <w:szCs w:val="21"/>
              </w:rPr>
            </w:pPr>
          </w:p>
        </w:tc>
        <w:tc>
          <w:tcPr>
            <w:tcW w:w="2051" w:type="dxa"/>
            <w:noWrap w:val="0"/>
            <w:vAlign w:val="center"/>
          </w:tcPr>
          <w:p w14:paraId="5AD7CF1C">
            <w:pPr>
              <w:pStyle w:val="9"/>
              <w:keepNext w:val="0"/>
              <w:keepLines w:val="0"/>
              <w:widowControl/>
              <w:suppressLineNumbers w:val="0"/>
              <w:kinsoku/>
              <w:wordWrap/>
              <w:overflowPunct/>
              <w:spacing w:beforeAutospacing="1" w:afterAutospacing="1"/>
              <w:jc w:val="center"/>
              <w:rPr>
                <w:rFonts w:hint="eastAsia" w:ascii="宋体" w:hAnsi="宋体"/>
                <w:bCs/>
                <w:color w:val="auto"/>
                <w:szCs w:val="21"/>
              </w:rPr>
            </w:pPr>
            <w:r>
              <w:rPr>
                <w:rFonts w:hint="eastAsia" w:ascii="宋体" w:hAnsi="宋体" w:eastAsia="宋体" w:cs="宋体"/>
                <w:b w:val="0"/>
                <w:bCs w:val="0"/>
                <w:color w:val="000000"/>
                <w:sz w:val="18"/>
                <w:szCs w:val="18"/>
              </w:rPr>
              <w:t>As</w:t>
            </w:r>
          </w:p>
        </w:tc>
        <w:tc>
          <w:tcPr>
            <w:tcW w:w="2050" w:type="dxa"/>
            <w:noWrap w:val="0"/>
            <w:vAlign w:val="center"/>
          </w:tcPr>
          <w:p w14:paraId="3C101768">
            <w:pPr>
              <w:pStyle w:val="9"/>
              <w:keepNext w:val="0"/>
              <w:keepLines w:val="0"/>
              <w:widowControl/>
              <w:suppressLineNumbers w:val="0"/>
              <w:kinsoku/>
              <w:wordWrap/>
              <w:overflowPunct/>
              <w:spacing w:beforeAutospacing="1" w:afterAutospacing="1"/>
              <w:jc w:val="center"/>
              <w:rPr>
                <w:rFonts w:ascii="宋体" w:hAnsi="宋体"/>
                <w:bCs/>
                <w:color w:val="auto"/>
                <w:szCs w:val="21"/>
              </w:rPr>
            </w:pPr>
            <w:r>
              <w:rPr>
                <w:rFonts w:hint="eastAsia" w:ascii="宋体" w:hAnsi="宋体" w:eastAsia="宋体" w:cs="宋体"/>
                <w:b w:val="0"/>
                <w:bCs w:val="0"/>
                <w:color w:val="000000"/>
                <w:sz w:val="18"/>
                <w:szCs w:val="18"/>
              </w:rPr>
              <w:t>0.0005</w:t>
            </w:r>
          </w:p>
        </w:tc>
        <w:tc>
          <w:tcPr>
            <w:tcW w:w="3694" w:type="dxa"/>
            <w:gridSpan w:val="2"/>
            <w:vMerge w:val="continue"/>
            <w:noWrap w:val="0"/>
            <w:vAlign w:val="center"/>
          </w:tcPr>
          <w:p w14:paraId="027DDDFF">
            <w:pPr>
              <w:rPr>
                <w:rFonts w:ascii="宋体" w:hAnsi="宋体"/>
                <w:bCs/>
                <w:color w:val="auto"/>
                <w:szCs w:val="21"/>
              </w:rPr>
            </w:pPr>
          </w:p>
        </w:tc>
      </w:tr>
      <w:tr w14:paraId="5A7A6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6" w:hRule="atLeast"/>
          <w:jc w:val="center"/>
        </w:trPr>
        <w:tc>
          <w:tcPr>
            <w:tcW w:w="1375" w:type="dxa"/>
            <w:vMerge w:val="continue"/>
            <w:noWrap w:val="0"/>
            <w:vAlign w:val="center"/>
          </w:tcPr>
          <w:p w14:paraId="07853C36">
            <w:pPr>
              <w:rPr>
                <w:rFonts w:hint="eastAsia" w:ascii="宋体" w:hAnsi="宋体"/>
                <w:bCs/>
                <w:color w:val="auto"/>
                <w:szCs w:val="21"/>
              </w:rPr>
            </w:pPr>
          </w:p>
        </w:tc>
        <w:tc>
          <w:tcPr>
            <w:tcW w:w="2051" w:type="dxa"/>
            <w:noWrap w:val="0"/>
            <w:vAlign w:val="center"/>
          </w:tcPr>
          <w:p w14:paraId="52B0AA7F">
            <w:pPr>
              <w:pStyle w:val="9"/>
              <w:keepNext w:val="0"/>
              <w:keepLines w:val="0"/>
              <w:widowControl/>
              <w:suppressLineNumbers w:val="0"/>
              <w:kinsoku/>
              <w:wordWrap/>
              <w:overflowPunct/>
              <w:spacing w:beforeAutospacing="1" w:afterAutospacing="1"/>
              <w:jc w:val="center"/>
              <w:rPr>
                <w:rFonts w:hint="eastAsia" w:ascii="宋体" w:hAnsi="宋体"/>
                <w:bCs/>
                <w:color w:val="auto"/>
                <w:szCs w:val="21"/>
              </w:rPr>
            </w:pPr>
            <w:r>
              <w:rPr>
                <w:rFonts w:hint="eastAsia" w:ascii="宋体" w:hAnsi="宋体" w:eastAsia="宋体" w:cs="宋体"/>
                <w:b w:val="0"/>
                <w:bCs w:val="0"/>
                <w:color w:val="000000"/>
                <w:sz w:val="18"/>
                <w:szCs w:val="18"/>
              </w:rPr>
              <w:t>P</w:t>
            </w:r>
          </w:p>
        </w:tc>
        <w:tc>
          <w:tcPr>
            <w:tcW w:w="2050" w:type="dxa"/>
            <w:noWrap w:val="0"/>
            <w:vAlign w:val="center"/>
          </w:tcPr>
          <w:p w14:paraId="67B1F908">
            <w:pPr>
              <w:pStyle w:val="9"/>
              <w:keepNext w:val="0"/>
              <w:keepLines w:val="0"/>
              <w:widowControl/>
              <w:suppressLineNumbers w:val="0"/>
              <w:kinsoku/>
              <w:wordWrap/>
              <w:overflowPunct/>
              <w:spacing w:beforeAutospacing="1" w:afterAutospacing="1"/>
              <w:jc w:val="center"/>
              <w:rPr>
                <w:rFonts w:ascii="宋体" w:hAnsi="宋体"/>
                <w:bCs/>
                <w:color w:val="auto"/>
                <w:szCs w:val="21"/>
              </w:rPr>
            </w:pPr>
            <w:r>
              <w:rPr>
                <w:rFonts w:hint="eastAsia" w:ascii="宋体" w:hAnsi="宋体" w:eastAsia="宋体" w:cs="宋体"/>
                <w:b w:val="0"/>
                <w:bCs w:val="0"/>
                <w:color w:val="FF0000"/>
                <w:sz w:val="18"/>
                <w:szCs w:val="18"/>
              </w:rPr>
              <w:t>0.0001</w:t>
            </w:r>
            <w:r>
              <w:rPr>
                <w:rFonts w:hint="eastAsia" w:ascii="宋体" w:hAnsi="宋体" w:eastAsia="宋体" w:cs="宋体"/>
                <w:b w:val="0"/>
                <w:bCs w:val="0"/>
                <w:color w:val="FF0000"/>
                <w:sz w:val="18"/>
                <w:szCs w:val="18"/>
                <w:lang w:val="en-US" w:eastAsia="zh-CN"/>
              </w:rPr>
              <w:t>0</w:t>
            </w:r>
          </w:p>
        </w:tc>
        <w:tc>
          <w:tcPr>
            <w:tcW w:w="3694" w:type="dxa"/>
            <w:gridSpan w:val="2"/>
            <w:vMerge w:val="continue"/>
            <w:noWrap w:val="0"/>
            <w:vAlign w:val="center"/>
          </w:tcPr>
          <w:p w14:paraId="0A5F8772">
            <w:pPr>
              <w:rPr>
                <w:rFonts w:ascii="宋体" w:hAnsi="宋体"/>
                <w:bCs/>
                <w:color w:val="auto"/>
                <w:szCs w:val="21"/>
              </w:rPr>
            </w:pPr>
          </w:p>
        </w:tc>
      </w:tr>
      <w:tr w14:paraId="2DBFE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0" w:hRule="atLeast"/>
          <w:jc w:val="center"/>
        </w:trPr>
        <w:tc>
          <w:tcPr>
            <w:tcW w:w="1375" w:type="dxa"/>
            <w:noWrap w:val="0"/>
            <w:vAlign w:val="center"/>
          </w:tcPr>
          <w:p w14:paraId="2BCC885D">
            <w:pPr>
              <w:pStyle w:val="9"/>
              <w:keepNext w:val="0"/>
              <w:keepLines w:val="0"/>
              <w:widowControl/>
              <w:suppressLineNumbers w:val="0"/>
              <w:kinsoku/>
              <w:wordWrap/>
              <w:overflowPunct/>
              <w:spacing w:beforeAutospacing="1" w:afterAutospacing="1"/>
              <w:jc w:val="center"/>
              <w:rPr>
                <w:rFonts w:hint="eastAsia" w:ascii="宋体" w:hAnsi="宋体"/>
                <w:bCs/>
                <w:color w:val="auto"/>
                <w:szCs w:val="21"/>
              </w:rPr>
            </w:pPr>
            <w:r>
              <w:rPr>
                <w:rFonts w:hint="eastAsia" w:ascii="宋体" w:hAnsi="宋体" w:eastAsia="宋体" w:cs="宋体"/>
                <w:b w:val="0"/>
                <w:bCs w:val="0"/>
                <w:color w:val="000000"/>
                <w:sz w:val="18"/>
                <w:szCs w:val="18"/>
              </w:rPr>
              <w:t>3</w:t>
            </w:r>
          </w:p>
        </w:tc>
        <w:tc>
          <w:tcPr>
            <w:tcW w:w="2051" w:type="dxa"/>
            <w:noWrap w:val="0"/>
            <w:vAlign w:val="center"/>
          </w:tcPr>
          <w:p w14:paraId="2996E7B0">
            <w:pPr>
              <w:pStyle w:val="9"/>
              <w:keepNext w:val="0"/>
              <w:keepLines w:val="0"/>
              <w:widowControl/>
              <w:suppressLineNumbers w:val="0"/>
              <w:kinsoku/>
              <w:wordWrap/>
              <w:overflowPunct/>
              <w:spacing w:beforeAutospacing="1" w:afterAutospacing="1"/>
              <w:jc w:val="center"/>
              <w:rPr>
                <w:rFonts w:hint="eastAsia" w:ascii="宋体" w:hAnsi="宋体"/>
                <w:bCs/>
                <w:color w:val="auto"/>
                <w:szCs w:val="21"/>
              </w:rPr>
            </w:pPr>
            <w:r>
              <w:rPr>
                <w:rFonts w:hint="eastAsia" w:ascii="宋体" w:hAnsi="宋体" w:eastAsia="宋体" w:cs="宋体"/>
                <w:b w:val="0"/>
                <w:bCs w:val="0"/>
                <w:color w:val="000000"/>
                <w:sz w:val="18"/>
                <w:szCs w:val="18"/>
              </w:rPr>
              <w:t>Pb</w:t>
            </w:r>
          </w:p>
        </w:tc>
        <w:tc>
          <w:tcPr>
            <w:tcW w:w="2050" w:type="dxa"/>
            <w:noWrap w:val="0"/>
            <w:vAlign w:val="center"/>
          </w:tcPr>
          <w:p w14:paraId="25B937D4">
            <w:pPr>
              <w:pStyle w:val="9"/>
              <w:keepNext w:val="0"/>
              <w:keepLines w:val="0"/>
              <w:widowControl/>
              <w:suppressLineNumbers w:val="0"/>
              <w:kinsoku/>
              <w:wordWrap/>
              <w:overflowPunct/>
              <w:spacing w:beforeAutospacing="1" w:afterAutospacing="1"/>
              <w:jc w:val="center"/>
              <w:rPr>
                <w:rFonts w:ascii="宋体" w:hAnsi="宋体"/>
                <w:bCs/>
                <w:color w:val="auto"/>
                <w:szCs w:val="21"/>
              </w:rPr>
            </w:pPr>
            <w:r>
              <w:rPr>
                <w:rFonts w:hint="eastAsia" w:ascii="宋体" w:hAnsi="宋体" w:eastAsia="宋体" w:cs="宋体"/>
                <w:b w:val="0"/>
                <w:bCs w:val="0"/>
                <w:color w:val="000000"/>
                <w:sz w:val="18"/>
                <w:szCs w:val="18"/>
              </w:rPr>
              <w:t>0.0005</w:t>
            </w:r>
          </w:p>
        </w:tc>
        <w:tc>
          <w:tcPr>
            <w:tcW w:w="3694" w:type="dxa"/>
            <w:gridSpan w:val="2"/>
            <w:noWrap w:val="0"/>
            <w:vAlign w:val="center"/>
          </w:tcPr>
          <w:p w14:paraId="2F75339F">
            <w:pPr>
              <w:pStyle w:val="9"/>
              <w:keepNext w:val="0"/>
              <w:keepLines w:val="0"/>
              <w:widowControl/>
              <w:suppressLineNumbers w:val="0"/>
              <w:kinsoku/>
              <w:wordWrap/>
              <w:overflowPunct/>
              <w:spacing w:beforeAutospacing="1" w:afterAutospacing="1"/>
              <w:jc w:val="center"/>
              <w:rPr>
                <w:rFonts w:ascii="宋体" w:hAnsi="宋体"/>
                <w:bCs/>
                <w:color w:val="auto"/>
                <w:szCs w:val="21"/>
              </w:rPr>
            </w:pPr>
            <w:r>
              <w:rPr>
                <w:rFonts w:hint="eastAsia" w:ascii="宋体" w:hAnsi="宋体" w:eastAsia="宋体" w:cs="宋体"/>
                <w:b w:val="0"/>
                <w:bCs w:val="0"/>
                <w:color w:val="000000"/>
                <w:sz w:val="18"/>
                <w:szCs w:val="18"/>
              </w:rPr>
              <w:t>0.0005</w:t>
            </w:r>
          </w:p>
        </w:tc>
      </w:tr>
      <w:tr w14:paraId="50207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5" w:hRule="atLeast"/>
          <w:jc w:val="center"/>
        </w:trPr>
        <w:tc>
          <w:tcPr>
            <w:tcW w:w="1375" w:type="dxa"/>
            <w:noWrap w:val="0"/>
            <w:vAlign w:val="center"/>
          </w:tcPr>
          <w:p w14:paraId="60CB2D2E">
            <w:pPr>
              <w:pStyle w:val="9"/>
              <w:keepNext w:val="0"/>
              <w:keepLines w:val="0"/>
              <w:widowControl/>
              <w:suppressLineNumbers w:val="0"/>
              <w:kinsoku/>
              <w:wordWrap/>
              <w:overflowPunct/>
              <w:spacing w:beforeAutospacing="1" w:afterAutospacing="1"/>
              <w:jc w:val="center"/>
              <w:rPr>
                <w:rFonts w:hint="eastAsia" w:ascii="宋体" w:hAnsi="宋体"/>
                <w:bCs/>
                <w:color w:val="auto"/>
                <w:szCs w:val="21"/>
              </w:rPr>
            </w:pPr>
            <w:r>
              <w:rPr>
                <w:rFonts w:hint="eastAsia" w:ascii="宋体" w:hAnsi="宋体" w:eastAsia="宋体" w:cs="宋体"/>
                <w:b w:val="0"/>
                <w:bCs w:val="0"/>
                <w:color w:val="000000"/>
                <w:sz w:val="18"/>
                <w:szCs w:val="18"/>
              </w:rPr>
              <w:t>4</w:t>
            </w:r>
          </w:p>
        </w:tc>
        <w:tc>
          <w:tcPr>
            <w:tcW w:w="2051" w:type="dxa"/>
            <w:noWrap w:val="0"/>
            <w:vAlign w:val="center"/>
          </w:tcPr>
          <w:p w14:paraId="4B7DD960">
            <w:pPr>
              <w:pStyle w:val="9"/>
              <w:keepNext w:val="0"/>
              <w:keepLines w:val="0"/>
              <w:widowControl/>
              <w:suppressLineNumbers w:val="0"/>
              <w:kinsoku/>
              <w:wordWrap/>
              <w:overflowPunct/>
              <w:spacing w:beforeAutospacing="1" w:afterAutospacing="1"/>
              <w:jc w:val="center"/>
              <w:rPr>
                <w:rFonts w:hint="eastAsia" w:ascii="宋体" w:hAnsi="宋体"/>
                <w:bCs/>
                <w:color w:val="auto"/>
                <w:szCs w:val="21"/>
              </w:rPr>
            </w:pPr>
            <w:r>
              <w:rPr>
                <w:rFonts w:hint="eastAsia" w:ascii="宋体" w:hAnsi="宋体" w:eastAsia="宋体" w:cs="宋体"/>
                <w:b w:val="0"/>
                <w:bCs w:val="0"/>
                <w:color w:val="000000"/>
                <w:sz w:val="18"/>
                <w:szCs w:val="18"/>
              </w:rPr>
              <w:t>S</w:t>
            </w:r>
          </w:p>
        </w:tc>
        <w:tc>
          <w:tcPr>
            <w:tcW w:w="2050" w:type="dxa"/>
            <w:noWrap w:val="0"/>
            <w:vAlign w:val="center"/>
          </w:tcPr>
          <w:p w14:paraId="6F8B8378">
            <w:pPr>
              <w:pStyle w:val="9"/>
              <w:keepNext w:val="0"/>
              <w:keepLines w:val="0"/>
              <w:widowControl/>
              <w:suppressLineNumbers w:val="0"/>
              <w:kinsoku/>
              <w:wordWrap/>
              <w:overflowPunct/>
              <w:spacing w:beforeAutospacing="1" w:afterAutospacing="1"/>
              <w:jc w:val="center"/>
              <w:rPr>
                <w:rFonts w:ascii="宋体" w:hAnsi="宋体"/>
                <w:bCs/>
                <w:color w:val="auto"/>
                <w:szCs w:val="21"/>
              </w:rPr>
            </w:pPr>
            <w:r>
              <w:rPr>
                <w:rFonts w:hint="eastAsia" w:ascii="宋体" w:hAnsi="宋体" w:eastAsia="宋体" w:cs="宋体"/>
                <w:b w:val="0"/>
                <w:bCs w:val="0"/>
                <w:color w:val="FF0000"/>
                <w:sz w:val="18"/>
                <w:szCs w:val="18"/>
              </w:rPr>
              <w:t>0.001</w:t>
            </w:r>
            <w:r>
              <w:rPr>
                <w:rFonts w:hint="eastAsia" w:ascii="宋体" w:hAnsi="宋体" w:eastAsia="宋体" w:cs="宋体"/>
                <w:b w:val="0"/>
                <w:bCs w:val="0"/>
                <w:color w:val="FF0000"/>
                <w:sz w:val="18"/>
                <w:szCs w:val="18"/>
                <w:lang w:val="en-US" w:eastAsia="zh-CN"/>
              </w:rPr>
              <w:t>0</w:t>
            </w:r>
          </w:p>
        </w:tc>
        <w:tc>
          <w:tcPr>
            <w:tcW w:w="3694" w:type="dxa"/>
            <w:gridSpan w:val="2"/>
            <w:tcBorders>
              <w:bottom w:val="single" w:color="auto" w:sz="4" w:space="0"/>
            </w:tcBorders>
            <w:noWrap w:val="0"/>
            <w:vAlign w:val="center"/>
          </w:tcPr>
          <w:p w14:paraId="7BFC2A09">
            <w:pPr>
              <w:pStyle w:val="9"/>
              <w:keepNext w:val="0"/>
              <w:keepLines w:val="0"/>
              <w:widowControl/>
              <w:suppressLineNumbers w:val="0"/>
              <w:kinsoku/>
              <w:wordWrap/>
              <w:overflowPunct/>
              <w:spacing w:beforeAutospacing="1" w:afterAutospacing="1"/>
              <w:jc w:val="center"/>
              <w:rPr>
                <w:rFonts w:ascii="宋体" w:hAnsi="宋体"/>
                <w:bCs/>
                <w:color w:val="auto"/>
                <w:szCs w:val="21"/>
              </w:rPr>
            </w:pPr>
            <w:r>
              <w:rPr>
                <w:rFonts w:hint="eastAsia" w:ascii="宋体" w:hAnsi="宋体" w:eastAsia="宋体" w:cs="宋体"/>
                <w:b w:val="0"/>
                <w:bCs w:val="0"/>
                <w:color w:val="FF0000"/>
                <w:sz w:val="18"/>
                <w:szCs w:val="18"/>
              </w:rPr>
              <w:t>0.00</w:t>
            </w:r>
            <w:r>
              <w:rPr>
                <w:rFonts w:hint="eastAsia" w:ascii="宋体" w:hAnsi="宋体" w:eastAsia="宋体" w:cs="宋体"/>
                <w:b w:val="0"/>
                <w:bCs w:val="0"/>
                <w:color w:val="FF0000"/>
                <w:sz w:val="18"/>
                <w:szCs w:val="18"/>
                <w:lang w:val="en-US" w:eastAsia="zh-CN"/>
              </w:rPr>
              <w:t>10</w:t>
            </w:r>
          </w:p>
        </w:tc>
      </w:tr>
      <w:tr w14:paraId="68C28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 w:hRule="atLeast"/>
          <w:jc w:val="center"/>
        </w:trPr>
        <w:tc>
          <w:tcPr>
            <w:tcW w:w="1375" w:type="dxa"/>
            <w:vMerge w:val="restart"/>
            <w:noWrap w:val="0"/>
            <w:vAlign w:val="center"/>
          </w:tcPr>
          <w:p w14:paraId="661CCF3E">
            <w:pPr>
              <w:pStyle w:val="9"/>
              <w:keepNext w:val="0"/>
              <w:keepLines w:val="0"/>
              <w:widowControl/>
              <w:suppressLineNumbers w:val="0"/>
              <w:kinsoku/>
              <w:wordWrap/>
              <w:overflowPunct/>
              <w:spacing w:beforeAutospacing="1" w:afterAutospacing="1"/>
              <w:jc w:val="center"/>
              <w:rPr>
                <w:rFonts w:hint="eastAsia" w:ascii="宋体" w:hAnsi="宋体"/>
                <w:bCs/>
                <w:color w:val="auto"/>
                <w:szCs w:val="21"/>
              </w:rPr>
            </w:pPr>
            <w:r>
              <w:rPr>
                <w:rFonts w:hint="eastAsia" w:ascii="宋体" w:hAnsi="宋体" w:eastAsia="宋体" w:cs="宋体"/>
                <w:b w:val="0"/>
                <w:bCs w:val="0"/>
                <w:color w:val="000000"/>
                <w:sz w:val="18"/>
                <w:szCs w:val="18"/>
              </w:rPr>
              <w:t>5</w:t>
            </w:r>
          </w:p>
        </w:tc>
        <w:tc>
          <w:tcPr>
            <w:tcW w:w="2051" w:type="dxa"/>
            <w:noWrap w:val="0"/>
            <w:vAlign w:val="center"/>
          </w:tcPr>
          <w:p w14:paraId="08CD61AE">
            <w:pPr>
              <w:pStyle w:val="9"/>
              <w:keepNext w:val="0"/>
              <w:keepLines w:val="0"/>
              <w:widowControl/>
              <w:suppressLineNumbers w:val="0"/>
              <w:kinsoku/>
              <w:wordWrap/>
              <w:overflowPunct/>
              <w:spacing w:beforeAutospacing="1" w:afterAutospacing="1"/>
              <w:jc w:val="center"/>
              <w:rPr>
                <w:rFonts w:hint="eastAsia" w:ascii="宋体" w:hAnsi="宋体"/>
                <w:bCs/>
                <w:color w:val="auto"/>
                <w:szCs w:val="21"/>
              </w:rPr>
            </w:pPr>
            <w:r>
              <w:rPr>
                <w:rFonts w:hint="eastAsia" w:ascii="宋体" w:hAnsi="宋体" w:eastAsia="宋体" w:cs="宋体"/>
                <w:b w:val="0"/>
                <w:bCs w:val="0"/>
                <w:color w:val="000000"/>
                <w:sz w:val="18"/>
                <w:szCs w:val="18"/>
              </w:rPr>
              <w:t>Sn</w:t>
            </w:r>
          </w:p>
        </w:tc>
        <w:tc>
          <w:tcPr>
            <w:tcW w:w="2050" w:type="dxa"/>
            <w:noWrap w:val="0"/>
            <w:vAlign w:val="center"/>
          </w:tcPr>
          <w:p w14:paraId="0FA9926B">
            <w:pPr>
              <w:pStyle w:val="9"/>
              <w:keepNext w:val="0"/>
              <w:keepLines w:val="0"/>
              <w:widowControl/>
              <w:suppressLineNumbers w:val="0"/>
              <w:kinsoku/>
              <w:wordWrap/>
              <w:overflowPunct/>
              <w:spacing w:beforeAutospacing="1" w:afterAutospacing="1"/>
              <w:jc w:val="center"/>
              <w:rPr>
                <w:rFonts w:ascii="宋体" w:hAnsi="宋体"/>
                <w:bCs/>
                <w:color w:val="auto"/>
                <w:szCs w:val="21"/>
              </w:rPr>
            </w:pPr>
            <w:r>
              <w:rPr>
                <w:rFonts w:hint="eastAsia" w:ascii="宋体" w:hAnsi="宋体" w:eastAsia="宋体" w:cs="宋体"/>
                <w:b w:val="0"/>
                <w:bCs w:val="0"/>
                <w:color w:val="auto"/>
                <w:sz w:val="18"/>
                <w:szCs w:val="18"/>
                <w:lang w:val="en-US" w:eastAsia="zh-CN"/>
              </w:rPr>
              <w:t>-</w:t>
            </w:r>
          </w:p>
        </w:tc>
        <w:tc>
          <w:tcPr>
            <w:tcW w:w="3694" w:type="dxa"/>
            <w:gridSpan w:val="2"/>
            <w:vMerge w:val="restart"/>
            <w:tcBorders>
              <w:top w:val="single" w:color="auto" w:sz="4" w:space="0"/>
            </w:tcBorders>
            <w:noWrap w:val="0"/>
            <w:vAlign w:val="center"/>
          </w:tcPr>
          <w:p w14:paraId="717BF2D6">
            <w:pPr>
              <w:pStyle w:val="9"/>
              <w:keepNext w:val="0"/>
              <w:keepLines w:val="0"/>
              <w:widowControl/>
              <w:suppressLineNumbers w:val="0"/>
              <w:kinsoku/>
              <w:wordWrap/>
              <w:overflowPunct/>
              <w:spacing w:beforeAutospacing="1" w:afterAutospacing="1"/>
              <w:jc w:val="center"/>
              <w:rPr>
                <w:rFonts w:ascii="宋体" w:hAnsi="宋体"/>
                <w:bCs/>
                <w:color w:val="auto"/>
                <w:szCs w:val="21"/>
              </w:rPr>
            </w:pPr>
            <w:r>
              <w:rPr>
                <w:rFonts w:hint="eastAsia" w:ascii="宋体" w:hAnsi="宋体" w:eastAsia="宋体" w:cs="宋体"/>
                <w:b w:val="0"/>
                <w:bCs w:val="0"/>
                <w:color w:val="FF0000"/>
                <w:sz w:val="18"/>
                <w:szCs w:val="18"/>
              </w:rPr>
              <w:t>0.00</w:t>
            </w:r>
            <w:r>
              <w:rPr>
                <w:rFonts w:hint="eastAsia" w:ascii="宋体" w:hAnsi="宋体" w:eastAsia="宋体" w:cs="宋体"/>
                <w:b w:val="0"/>
                <w:bCs w:val="0"/>
                <w:color w:val="FF0000"/>
                <w:sz w:val="18"/>
                <w:szCs w:val="18"/>
                <w:lang w:eastAsia="zh-CN"/>
              </w:rPr>
              <w:t>1</w:t>
            </w:r>
            <w:r>
              <w:rPr>
                <w:rFonts w:hint="eastAsia" w:ascii="宋体" w:hAnsi="宋体" w:eastAsia="宋体" w:cs="宋体"/>
                <w:b w:val="0"/>
                <w:bCs w:val="0"/>
                <w:color w:val="FF0000"/>
                <w:sz w:val="18"/>
                <w:szCs w:val="18"/>
                <w:lang w:val="en-US" w:eastAsia="zh-CN"/>
              </w:rPr>
              <w:t>5</w:t>
            </w:r>
          </w:p>
        </w:tc>
      </w:tr>
      <w:tr w14:paraId="4FE78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6" w:hRule="atLeast"/>
          <w:jc w:val="center"/>
        </w:trPr>
        <w:tc>
          <w:tcPr>
            <w:tcW w:w="1375" w:type="dxa"/>
            <w:vMerge w:val="continue"/>
            <w:noWrap w:val="0"/>
            <w:vAlign w:val="center"/>
          </w:tcPr>
          <w:p w14:paraId="710EF437">
            <w:pPr>
              <w:rPr>
                <w:rFonts w:hint="eastAsia" w:ascii="宋体" w:hAnsi="宋体"/>
                <w:bCs/>
                <w:color w:val="auto"/>
                <w:szCs w:val="21"/>
              </w:rPr>
            </w:pPr>
          </w:p>
        </w:tc>
        <w:tc>
          <w:tcPr>
            <w:tcW w:w="2051" w:type="dxa"/>
            <w:noWrap w:val="0"/>
            <w:vAlign w:val="center"/>
          </w:tcPr>
          <w:p w14:paraId="1BC841B8">
            <w:pPr>
              <w:pStyle w:val="9"/>
              <w:keepNext w:val="0"/>
              <w:keepLines w:val="0"/>
              <w:widowControl/>
              <w:suppressLineNumbers w:val="0"/>
              <w:kinsoku/>
              <w:wordWrap/>
              <w:overflowPunct/>
              <w:spacing w:beforeAutospacing="1" w:afterAutospacing="1"/>
              <w:jc w:val="center"/>
              <w:rPr>
                <w:rFonts w:hint="eastAsia" w:ascii="宋体" w:hAnsi="宋体"/>
                <w:bCs/>
                <w:color w:val="auto"/>
                <w:szCs w:val="21"/>
              </w:rPr>
            </w:pPr>
            <w:r>
              <w:rPr>
                <w:rFonts w:hint="eastAsia" w:ascii="宋体" w:hAnsi="宋体" w:eastAsia="宋体" w:cs="宋体"/>
                <w:b w:val="0"/>
                <w:bCs w:val="0"/>
                <w:color w:val="000000"/>
                <w:sz w:val="18"/>
                <w:szCs w:val="18"/>
              </w:rPr>
              <w:t>Ni</w:t>
            </w:r>
          </w:p>
        </w:tc>
        <w:tc>
          <w:tcPr>
            <w:tcW w:w="2050" w:type="dxa"/>
            <w:noWrap w:val="0"/>
            <w:vAlign w:val="center"/>
          </w:tcPr>
          <w:p w14:paraId="7F8215DB">
            <w:pPr>
              <w:pStyle w:val="9"/>
              <w:keepNext w:val="0"/>
              <w:keepLines w:val="0"/>
              <w:widowControl/>
              <w:suppressLineNumbers w:val="0"/>
              <w:kinsoku/>
              <w:wordWrap/>
              <w:overflowPunct/>
              <w:spacing w:beforeAutospacing="1" w:afterAutospacing="1"/>
              <w:jc w:val="center"/>
              <w:rPr>
                <w:rFonts w:ascii="宋体" w:hAnsi="宋体"/>
                <w:bCs/>
                <w:color w:val="auto"/>
                <w:szCs w:val="21"/>
              </w:rPr>
            </w:pPr>
            <w:r>
              <w:rPr>
                <w:rFonts w:hint="eastAsia" w:ascii="宋体" w:hAnsi="宋体" w:eastAsia="宋体" w:cs="宋体"/>
                <w:b w:val="0"/>
                <w:bCs w:val="0"/>
                <w:color w:val="auto"/>
                <w:sz w:val="18"/>
                <w:szCs w:val="18"/>
                <w:lang w:val="en-US" w:eastAsia="zh-CN"/>
              </w:rPr>
              <w:t>-</w:t>
            </w:r>
          </w:p>
        </w:tc>
        <w:tc>
          <w:tcPr>
            <w:tcW w:w="3694" w:type="dxa"/>
            <w:gridSpan w:val="2"/>
            <w:vMerge w:val="continue"/>
            <w:noWrap w:val="0"/>
            <w:vAlign w:val="center"/>
          </w:tcPr>
          <w:p w14:paraId="734E89DD">
            <w:pPr>
              <w:rPr>
                <w:rFonts w:ascii="宋体" w:hAnsi="宋体"/>
                <w:bCs/>
                <w:color w:val="auto"/>
                <w:szCs w:val="21"/>
              </w:rPr>
            </w:pPr>
          </w:p>
        </w:tc>
      </w:tr>
      <w:tr w14:paraId="43C25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6" w:hRule="atLeast"/>
          <w:jc w:val="center"/>
        </w:trPr>
        <w:tc>
          <w:tcPr>
            <w:tcW w:w="1375" w:type="dxa"/>
            <w:vMerge w:val="continue"/>
            <w:noWrap w:val="0"/>
            <w:vAlign w:val="center"/>
          </w:tcPr>
          <w:p w14:paraId="056ADAC3">
            <w:pPr>
              <w:rPr>
                <w:rFonts w:hint="eastAsia" w:ascii="宋体" w:hAnsi="宋体"/>
                <w:bCs/>
                <w:color w:val="auto"/>
                <w:szCs w:val="21"/>
              </w:rPr>
            </w:pPr>
          </w:p>
        </w:tc>
        <w:tc>
          <w:tcPr>
            <w:tcW w:w="2051" w:type="dxa"/>
            <w:noWrap w:val="0"/>
            <w:vAlign w:val="center"/>
          </w:tcPr>
          <w:p w14:paraId="18F7D89C">
            <w:pPr>
              <w:pStyle w:val="9"/>
              <w:keepNext w:val="0"/>
              <w:keepLines w:val="0"/>
              <w:widowControl/>
              <w:suppressLineNumbers w:val="0"/>
              <w:kinsoku/>
              <w:wordWrap/>
              <w:overflowPunct/>
              <w:spacing w:beforeAutospacing="1" w:afterAutospacing="1"/>
              <w:jc w:val="center"/>
              <w:rPr>
                <w:rFonts w:hint="eastAsia" w:ascii="宋体" w:hAnsi="宋体"/>
                <w:bCs/>
                <w:color w:val="auto"/>
                <w:szCs w:val="21"/>
              </w:rPr>
            </w:pPr>
            <w:r>
              <w:rPr>
                <w:rFonts w:hint="eastAsia" w:ascii="宋体" w:hAnsi="宋体" w:eastAsia="宋体" w:cs="宋体"/>
                <w:b w:val="0"/>
                <w:bCs w:val="0"/>
                <w:color w:val="000000"/>
                <w:sz w:val="18"/>
                <w:szCs w:val="18"/>
              </w:rPr>
              <w:t>Fe</w:t>
            </w:r>
          </w:p>
        </w:tc>
        <w:tc>
          <w:tcPr>
            <w:tcW w:w="2050" w:type="dxa"/>
            <w:noWrap w:val="0"/>
            <w:vAlign w:val="center"/>
          </w:tcPr>
          <w:p w14:paraId="282ED784">
            <w:pPr>
              <w:pStyle w:val="9"/>
              <w:keepNext w:val="0"/>
              <w:keepLines w:val="0"/>
              <w:widowControl/>
              <w:suppressLineNumbers w:val="0"/>
              <w:kinsoku/>
              <w:wordWrap/>
              <w:overflowPunct/>
              <w:spacing w:beforeAutospacing="1" w:afterAutospacing="1"/>
              <w:jc w:val="center"/>
              <w:rPr>
                <w:rFonts w:ascii="宋体" w:hAnsi="宋体"/>
                <w:bCs/>
                <w:color w:val="auto"/>
                <w:szCs w:val="21"/>
              </w:rPr>
            </w:pPr>
            <w:r>
              <w:rPr>
                <w:rFonts w:hint="eastAsia" w:ascii="宋体" w:hAnsi="宋体" w:eastAsia="宋体" w:cs="宋体"/>
                <w:b w:val="0"/>
                <w:bCs w:val="0"/>
                <w:color w:val="auto"/>
                <w:sz w:val="18"/>
                <w:szCs w:val="18"/>
              </w:rPr>
              <w:t xml:space="preserve">0.0010 </w:t>
            </w:r>
          </w:p>
        </w:tc>
        <w:tc>
          <w:tcPr>
            <w:tcW w:w="3694" w:type="dxa"/>
            <w:gridSpan w:val="2"/>
            <w:vMerge w:val="continue"/>
            <w:noWrap w:val="0"/>
            <w:vAlign w:val="center"/>
          </w:tcPr>
          <w:p w14:paraId="2185F79B">
            <w:pPr>
              <w:rPr>
                <w:rFonts w:ascii="宋体" w:hAnsi="宋体"/>
                <w:bCs/>
                <w:color w:val="auto"/>
                <w:szCs w:val="21"/>
              </w:rPr>
            </w:pPr>
          </w:p>
        </w:tc>
      </w:tr>
      <w:tr w14:paraId="1743A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6" w:hRule="atLeast"/>
          <w:jc w:val="center"/>
        </w:trPr>
        <w:tc>
          <w:tcPr>
            <w:tcW w:w="1375" w:type="dxa"/>
            <w:vMerge w:val="continue"/>
            <w:noWrap w:val="0"/>
            <w:vAlign w:val="center"/>
          </w:tcPr>
          <w:p w14:paraId="25051331">
            <w:pPr>
              <w:rPr>
                <w:rFonts w:hint="eastAsia" w:ascii="宋体" w:hAnsi="宋体"/>
                <w:bCs/>
                <w:color w:val="auto"/>
                <w:szCs w:val="21"/>
              </w:rPr>
            </w:pPr>
          </w:p>
        </w:tc>
        <w:tc>
          <w:tcPr>
            <w:tcW w:w="2051" w:type="dxa"/>
            <w:noWrap w:val="0"/>
            <w:vAlign w:val="center"/>
          </w:tcPr>
          <w:p w14:paraId="58C39B2C">
            <w:pPr>
              <w:pStyle w:val="9"/>
              <w:keepNext w:val="0"/>
              <w:keepLines w:val="0"/>
              <w:widowControl/>
              <w:suppressLineNumbers w:val="0"/>
              <w:kinsoku/>
              <w:wordWrap/>
              <w:overflowPunct/>
              <w:spacing w:beforeAutospacing="1" w:afterAutospacing="1"/>
              <w:jc w:val="center"/>
              <w:rPr>
                <w:rFonts w:hint="eastAsia" w:ascii="宋体" w:hAnsi="宋体"/>
                <w:bCs/>
                <w:color w:val="auto"/>
                <w:szCs w:val="21"/>
              </w:rPr>
            </w:pPr>
            <w:r>
              <w:rPr>
                <w:rFonts w:hint="eastAsia" w:ascii="宋体" w:hAnsi="宋体" w:eastAsia="宋体" w:cs="宋体"/>
                <w:b w:val="0"/>
                <w:bCs w:val="0"/>
                <w:color w:val="000000"/>
                <w:sz w:val="18"/>
                <w:szCs w:val="18"/>
              </w:rPr>
              <w:t>Si</w:t>
            </w:r>
          </w:p>
        </w:tc>
        <w:tc>
          <w:tcPr>
            <w:tcW w:w="2050" w:type="dxa"/>
            <w:noWrap w:val="0"/>
            <w:vAlign w:val="center"/>
          </w:tcPr>
          <w:p w14:paraId="48A0F1FA">
            <w:pPr>
              <w:pStyle w:val="9"/>
              <w:keepNext w:val="0"/>
              <w:keepLines w:val="0"/>
              <w:widowControl/>
              <w:suppressLineNumbers w:val="0"/>
              <w:kinsoku/>
              <w:wordWrap/>
              <w:overflowPunct/>
              <w:spacing w:beforeAutospacing="1" w:afterAutospacing="1"/>
              <w:jc w:val="center"/>
              <w:rPr>
                <w:rFonts w:ascii="宋体" w:hAnsi="宋体"/>
                <w:bCs/>
                <w:color w:val="auto"/>
                <w:szCs w:val="21"/>
              </w:rPr>
            </w:pPr>
            <w:r>
              <w:rPr>
                <w:rFonts w:hint="eastAsia" w:ascii="宋体" w:hAnsi="宋体" w:eastAsia="宋体" w:cs="宋体"/>
                <w:b w:val="0"/>
                <w:bCs w:val="0"/>
                <w:color w:val="auto"/>
                <w:sz w:val="18"/>
                <w:szCs w:val="18"/>
                <w:lang w:val="en-US" w:eastAsia="zh-CN"/>
              </w:rPr>
              <w:t>-</w:t>
            </w:r>
          </w:p>
        </w:tc>
        <w:tc>
          <w:tcPr>
            <w:tcW w:w="3694" w:type="dxa"/>
            <w:gridSpan w:val="2"/>
            <w:vMerge w:val="continue"/>
            <w:noWrap w:val="0"/>
            <w:vAlign w:val="center"/>
          </w:tcPr>
          <w:p w14:paraId="24EA259A">
            <w:pPr>
              <w:rPr>
                <w:rFonts w:ascii="宋体" w:hAnsi="宋体"/>
                <w:bCs/>
                <w:color w:val="auto"/>
                <w:szCs w:val="21"/>
              </w:rPr>
            </w:pPr>
          </w:p>
        </w:tc>
      </w:tr>
      <w:tr w14:paraId="691B0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6" w:hRule="atLeast"/>
          <w:jc w:val="center"/>
        </w:trPr>
        <w:tc>
          <w:tcPr>
            <w:tcW w:w="1375" w:type="dxa"/>
            <w:vMerge w:val="continue"/>
            <w:noWrap w:val="0"/>
            <w:vAlign w:val="center"/>
          </w:tcPr>
          <w:p w14:paraId="7C45582F">
            <w:pPr>
              <w:rPr>
                <w:rFonts w:hint="eastAsia" w:ascii="宋体" w:hAnsi="宋体"/>
                <w:bCs/>
                <w:color w:val="auto"/>
                <w:szCs w:val="21"/>
              </w:rPr>
            </w:pPr>
          </w:p>
        </w:tc>
        <w:tc>
          <w:tcPr>
            <w:tcW w:w="2051" w:type="dxa"/>
            <w:noWrap w:val="0"/>
            <w:vAlign w:val="center"/>
          </w:tcPr>
          <w:p w14:paraId="5C177844">
            <w:pPr>
              <w:pStyle w:val="9"/>
              <w:keepNext w:val="0"/>
              <w:keepLines w:val="0"/>
              <w:widowControl/>
              <w:suppressLineNumbers w:val="0"/>
              <w:kinsoku/>
              <w:wordWrap/>
              <w:overflowPunct/>
              <w:spacing w:beforeAutospacing="1" w:afterAutospacing="1"/>
              <w:jc w:val="center"/>
              <w:rPr>
                <w:rFonts w:hint="eastAsia" w:ascii="宋体" w:hAnsi="宋体"/>
                <w:bCs/>
                <w:color w:val="auto"/>
                <w:szCs w:val="21"/>
              </w:rPr>
            </w:pPr>
            <w:r>
              <w:rPr>
                <w:rFonts w:hint="eastAsia" w:ascii="宋体" w:hAnsi="宋体" w:eastAsia="宋体" w:cs="宋体"/>
                <w:b w:val="0"/>
                <w:bCs w:val="0"/>
                <w:color w:val="000000"/>
                <w:sz w:val="18"/>
                <w:szCs w:val="18"/>
              </w:rPr>
              <w:t>Zn</w:t>
            </w:r>
          </w:p>
        </w:tc>
        <w:tc>
          <w:tcPr>
            <w:tcW w:w="2050" w:type="dxa"/>
            <w:noWrap w:val="0"/>
            <w:vAlign w:val="center"/>
          </w:tcPr>
          <w:p w14:paraId="316DE462">
            <w:pPr>
              <w:pStyle w:val="9"/>
              <w:keepNext w:val="0"/>
              <w:keepLines w:val="0"/>
              <w:widowControl/>
              <w:suppressLineNumbers w:val="0"/>
              <w:kinsoku/>
              <w:wordWrap/>
              <w:overflowPunct/>
              <w:spacing w:beforeAutospacing="1" w:afterAutospacing="1"/>
              <w:jc w:val="center"/>
              <w:rPr>
                <w:rFonts w:ascii="宋体" w:hAnsi="宋体"/>
                <w:bCs/>
                <w:color w:val="auto"/>
                <w:szCs w:val="21"/>
              </w:rPr>
            </w:pPr>
            <w:r>
              <w:rPr>
                <w:rFonts w:hint="eastAsia" w:ascii="宋体" w:hAnsi="宋体" w:eastAsia="宋体" w:cs="宋体"/>
                <w:b w:val="0"/>
                <w:bCs w:val="0"/>
                <w:color w:val="auto"/>
                <w:sz w:val="18"/>
                <w:szCs w:val="18"/>
                <w:lang w:val="en-US" w:eastAsia="zh-CN"/>
              </w:rPr>
              <w:t>-</w:t>
            </w:r>
          </w:p>
        </w:tc>
        <w:tc>
          <w:tcPr>
            <w:tcW w:w="3694" w:type="dxa"/>
            <w:gridSpan w:val="2"/>
            <w:vMerge w:val="continue"/>
            <w:noWrap w:val="0"/>
            <w:vAlign w:val="center"/>
          </w:tcPr>
          <w:p w14:paraId="78BCE9D4">
            <w:pPr>
              <w:rPr>
                <w:rFonts w:ascii="宋体" w:hAnsi="宋体"/>
                <w:bCs/>
                <w:color w:val="auto"/>
                <w:szCs w:val="21"/>
              </w:rPr>
            </w:pPr>
          </w:p>
        </w:tc>
      </w:tr>
      <w:tr w14:paraId="16654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6" w:hRule="atLeast"/>
          <w:jc w:val="center"/>
        </w:trPr>
        <w:tc>
          <w:tcPr>
            <w:tcW w:w="1375" w:type="dxa"/>
            <w:vMerge w:val="continue"/>
            <w:noWrap w:val="0"/>
            <w:vAlign w:val="center"/>
          </w:tcPr>
          <w:p w14:paraId="56080B7E">
            <w:pPr>
              <w:rPr>
                <w:rFonts w:hint="eastAsia" w:ascii="宋体" w:hAnsi="宋体"/>
                <w:bCs/>
                <w:color w:val="auto"/>
                <w:szCs w:val="21"/>
              </w:rPr>
            </w:pPr>
          </w:p>
        </w:tc>
        <w:tc>
          <w:tcPr>
            <w:tcW w:w="2051" w:type="dxa"/>
            <w:noWrap w:val="0"/>
            <w:vAlign w:val="center"/>
          </w:tcPr>
          <w:p w14:paraId="2862D5AC">
            <w:pPr>
              <w:pStyle w:val="9"/>
              <w:keepNext w:val="0"/>
              <w:keepLines w:val="0"/>
              <w:widowControl/>
              <w:suppressLineNumbers w:val="0"/>
              <w:kinsoku/>
              <w:wordWrap/>
              <w:overflowPunct/>
              <w:spacing w:beforeAutospacing="1" w:afterAutospacing="1"/>
              <w:jc w:val="center"/>
              <w:rPr>
                <w:rFonts w:hint="eastAsia" w:ascii="宋体" w:hAnsi="宋体"/>
                <w:bCs/>
                <w:color w:val="auto"/>
                <w:szCs w:val="21"/>
              </w:rPr>
            </w:pPr>
            <w:r>
              <w:rPr>
                <w:rFonts w:hint="eastAsia" w:ascii="宋体" w:hAnsi="宋体" w:eastAsia="宋体" w:cs="宋体"/>
                <w:b w:val="0"/>
                <w:bCs w:val="0"/>
                <w:color w:val="000000"/>
                <w:sz w:val="18"/>
                <w:szCs w:val="18"/>
              </w:rPr>
              <w:t>Co</w:t>
            </w:r>
          </w:p>
        </w:tc>
        <w:tc>
          <w:tcPr>
            <w:tcW w:w="2050" w:type="dxa"/>
            <w:noWrap w:val="0"/>
            <w:vAlign w:val="center"/>
          </w:tcPr>
          <w:p w14:paraId="2688D365">
            <w:pPr>
              <w:pStyle w:val="9"/>
              <w:keepNext w:val="0"/>
              <w:keepLines w:val="0"/>
              <w:widowControl/>
              <w:suppressLineNumbers w:val="0"/>
              <w:kinsoku/>
              <w:wordWrap/>
              <w:overflowPunct/>
              <w:spacing w:beforeAutospacing="1" w:afterAutospacing="1"/>
              <w:jc w:val="center"/>
              <w:rPr>
                <w:rFonts w:ascii="宋体" w:hAnsi="宋体"/>
                <w:bCs/>
                <w:color w:val="auto"/>
                <w:szCs w:val="21"/>
              </w:rPr>
            </w:pPr>
            <w:r>
              <w:rPr>
                <w:rFonts w:hint="eastAsia" w:ascii="宋体" w:hAnsi="宋体" w:eastAsia="宋体" w:cs="宋体"/>
                <w:b w:val="0"/>
                <w:bCs w:val="0"/>
                <w:color w:val="auto"/>
                <w:sz w:val="18"/>
                <w:szCs w:val="18"/>
                <w:lang w:val="en-US" w:eastAsia="zh-CN"/>
              </w:rPr>
              <w:t>-</w:t>
            </w:r>
          </w:p>
        </w:tc>
        <w:tc>
          <w:tcPr>
            <w:tcW w:w="3694" w:type="dxa"/>
            <w:gridSpan w:val="2"/>
            <w:vMerge w:val="continue"/>
            <w:noWrap w:val="0"/>
            <w:vAlign w:val="center"/>
          </w:tcPr>
          <w:p w14:paraId="593E90F5">
            <w:pPr>
              <w:rPr>
                <w:rFonts w:ascii="宋体" w:hAnsi="宋体"/>
                <w:bCs/>
                <w:color w:val="auto"/>
                <w:szCs w:val="21"/>
              </w:rPr>
            </w:pPr>
          </w:p>
        </w:tc>
      </w:tr>
      <w:tr w14:paraId="61120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5" w:hRule="atLeast"/>
          <w:jc w:val="center"/>
        </w:trPr>
        <w:tc>
          <w:tcPr>
            <w:tcW w:w="1375" w:type="dxa"/>
            <w:noWrap w:val="0"/>
            <w:vAlign w:val="center"/>
          </w:tcPr>
          <w:p w14:paraId="32ED198D">
            <w:pPr>
              <w:pStyle w:val="9"/>
              <w:keepNext w:val="0"/>
              <w:keepLines w:val="0"/>
              <w:widowControl/>
              <w:suppressLineNumbers w:val="0"/>
              <w:kinsoku/>
              <w:wordWrap/>
              <w:overflowPunct/>
              <w:spacing w:beforeAutospacing="1" w:afterAutospacing="1"/>
              <w:jc w:val="center"/>
              <w:rPr>
                <w:rFonts w:hint="eastAsia" w:ascii="宋体" w:hAnsi="宋体"/>
                <w:bCs/>
                <w:color w:val="auto"/>
                <w:szCs w:val="21"/>
              </w:rPr>
            </w:pPr>
            <w:r>
              <w:rPr>
                <w:rFonts w:hint="eastAsia" w:ascii="宋体" w:hAnsi="宋体" w:eastAsia="宋体" w:cs="宋体"/>
                <w:b w:val="0"/>
                <w:bCs w:val="0"/>
                <w:color w:val="000000"/>
                <w:sz w:val="18"/>
                <w:szCs w:val="18"/>
              </w:rPr>
              <w:t>6</w:t>
            </w:r>
          </w:p>
        </w:tc>
        <w:tc>
          <w:tcPr>
            <w:tcW w:w="2051" w:type="dxa"/>
            <w:noWrap w:val="0"/>
            <w:vAlign w:val="center"/>
          </w:tcPr>
          <w:p w14:paraId="0E71CC6D">
            <w:pPr>
              <w:pStyle w:val="9"/>
              <w:keepNext w:val="0"/>
              <w:keepLines w:val="0"/>
              <w:widowControl/>
              <w:suppressLineNumbers w:val="0"/>
              <w:kinsoku/>
              <w:wordWrap/>
              <w:overflowPunct/>
              <w:spacing w:beforeAutospacing="1" w:afterAutospacing="1"/>
              <w:jc w:val="center"/>
              <w:rPr>
                <w:rFonts w:hint="eastAsia" w:ascii="宋体" w:hAnsi="宋体"/>
                <w:bCs/>
                <w:color w:val="auto"/>
                <w:szCs w:val="21"/>
              </w:rPr>
            </w:pPr>
            <w:r>
              <w:rPr>
                <w:rFonts w:hint="eastAsia" w:ascii="宋体" w:hAnsi="宋体" w:eastAsia="宋体" w:cs="宋体"/>
                <w:b w:val="0"/>
                <w:bCs w:val="0"/>
                <w:color w:val="000000"/>
                <w:sz w:val="18"/>
                <w:szCs w:val="18"/>
              </w:rPr>
              <w:t>Ag</w:t>
            </w:r>
          </w:p>
        </w:tc>
        <w:tc>
          <w:tcPr>
            <w:tcW w:w="2050" w:type="dxa"/>
            <w:noWrap w:val="0"/>
            <w:vAlign w:val="center"/>
          </w:tcPr>
          <w:p w14:paraId="21A758BE">
            <w:pPr>
              <w:pStyle w:val="9"/>
              <w:keepNext w:val="0"/>
              <w:keepLines w:val="0"/>
              <w:widowControl/>
              <w:suppressLineNumbers w:val="0"/>
              <w:kinsoku/>
              <w:wordWrap/>
              <w:overflowPunct/>
              <w:spacing w:beforeAutospacing="1" w:afterAutospacing="1"/>
              <w:jc w:val="center"/>
              <w:rPr>
                <w:rFonts w:ascii="宋体" w:hAnsi="宋体"/>
                <w:bCs/>
                <w:color w:val="auto"/>
                <w:szCs w:val="21"/>
              </w:rPr>
            </w:pPr>
            <w:r>
              <w:rPr>
                <w:rFonts w:hint="eastAsia" w:ascii="宋体" w:hAnsi="宋体" w:eastAsia="宋体" w:cs="宋体"/>
                <w:b w:val="0"/>
                <w:bCs w:val="0"/>
                <w:color w:val="FF0000"/>
                <w:sz w:val="18"/>
                <w:szCs w:val="18"/>
              </w:rPr>
              <w:t>0.002</w:t>
            </w:r>
            <w:r>
              <w:rPr>
                <w:rFonts w:hint="eastAsia" w:ascii="宋体" w:hAnsi="宋体" w:eastAsia="宋体" w:cs="宋体"/>
                <w:b w:val="0"/>
                <w:bCs w:val="0"/>
                <w:color w:val="FF0000"/>
                <w:sz w:val="18"/>
                <w:szCs w:val="18"/>
                <w:lang w:val="en-US" w:eastAsia="zh-CN"/>
              </w:rPr>
              <w:t>0</w:t>
            </w:r>
          </w:p>
        </w:tc>
        <w:tc>
          <w:tcPr>
            <w:tcW w:w="3694" w:type="dxa"/>
            <w:gridSpan w:val="2"/>
            <w:noWrap w:val="0"/>
            <w:vAlign w:val="center"/>
          </w:tcPr>
          <w:p w14:paraId="17B104A5">
            <w:pPr>
              <w:pStyle w:val="9"/>
              <w:keepNext w:val="0"/>
              <w:keepLines w:val="0"/>
              <w:widowControl/>
              <w:suppressLineNumbers w:val="0"/>
              <w:kinsoku/>
              <w:wordWrap/>
              <w:overflowPunct/>
              <w:spacing w:beforeAutospacing="1" w:afterAutospacing="1"/>
              <w:jc w:val="center"/>
              <w:rPr>
                <w:rFonts w:ascii="宋体" w:hAnsi="宋体"/>
                <w:bCs/>
                <w:color w:val="auto"/>
                <w:szCs w:val="21"/>
              </w:rPr>
            </w:pPr>
            <w:r>
              <w:rPr>
                <w:rFonts w:hint="eastAsia" w:ascii="宋体" w:hAnsi="宋体" w:eastAsia="宋体" w:cs="宋体"/>
                <w:b w:val="0"/>
                <w:bCs w:val="0"/>
                <w:color w:val="FF0000"/>
                <w:sz w:val="18"/>
                <w:szCs w:val="18"/>
              </w:rPr>
              <w:t>0.00</w:t>
            </w:r>
            <w:r>
              <w:rPr>
                <w:rFonts w:hint="eastAsia" w:ascii="宋体" w:hAnsi="宋体" w:eastAsia="宋体" w:cs="宋体"/>
                <w:b w:val="0"/>
                <w:bCs w:val="0"/>
                <w:color w:val="FF0000"/>
                <w:sz w:val="18"/>
                <w:szCs w:val="18"/>
                <w:lang w:val="en-US" w:eastAsia="zh-CN"/>
              </w:rPr>
              <w:t>20</w:t>
            </w:r>
          </w:p>
        </w:tc>
      </w:tr>
      <w:tr w14:paraId="590FC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0" w:hRule="atLeast"/>
          <w:jc w:val="center"/>
        </w:trPr>
        <w:tc>
          <w:tcPr>
            <w:tcW w:w="3426" w:type="dxa"/>
            <w:gridSpan w:val="2"/>
            <w:noWrap w:val="0"/>
            <w:vAlign w:val="center"/>
          </w:tcPr>
          <w:p w14:paraId="352CC675">
            <w:pPr>
              <w:pStyle w:val="9"/>
              <w:keepNext w:val="0"/>
              <w:keepLines w:val="0"/>
              <w:widowControl/>
              <w:suppressLineNumbers w:val="0"/>
              <w:kinsoku/>
              <w:wordWrap/>
              <w:overflowPunct/>
              <w:spacing w:beforeAutospacing="1" w:afterAutospacing="1"/>
              <w:jc w:val="center"/>
              <w:rPr>
                <w:rFonts w:hint="eastAsia" w:ascii="宋体" w:hAnsi="宋体"/>
                <w:bCs/>
                <w:color w:val="auto"/>
                <w:szCs w:val="21"/>
              </w:rPr>
            </w:pPr>
            <w:r>
              <w:rPr>
                <w:rFonts w:hint="eastAsia" w:ascii="宋体" w:hAnsi="宋体" w:eastAsia="宋体" w:cs="Times New Roman"/>
                <w:b w:val="0"/>
                <w:bCs w:val="0"/>
                <w:color w:val="000000"/>
                <w:kern w:val="2"/>
                <w:sz w:val="18"/>
                <w:szCs w:val="18"/>
              </w:rPr>
              <w:t>表中所列杂质元素总含量</w:t>
            </w:r>
          </w:p>
        </w:tc>
        <w:tc>
          <w:tcPr>
            <w:tcW w:w="5744" w:type="dxa"/>
            <w:gridSpan w:val="3"/>
            <w:noWrap w:val="0"/>
            <w:vAlign w:val="center"/>
          </w:tcPr>
          <w:p w14:paraId="12B00D0F">
            <w:pPr>
              <w:pStyle w:val="9"/>
              <w:keepNext w:val="0"/>
              <w:keepLines w:val="0"/>
              <w:widowControl/>
              <w:suppressLineNumbers w:val="0"/>
              <w:kinsoku/>
              <w:wordWrap/>
              <w:overflowPunct/>
              <w:spacing w:beforeAutospacing="1" w:afterAutospacing="1"/>
              <w:jc w:val="center"/>
              <w:rPr>
                <w:rFonts w:ascii="宋体" w:hAnsi="宋体"/>
                <w:bCs/>
                <w:color w:val="auto"/>
                <w:szCs w:val="21"/>
              </w:rPr>
            </w:pPr>
            <w:r>
              <w:rPr>
                <w:rFonts w:hint="eastAsia" w:ascii="宋体" w:hAnsi="宋体" w:eastAsia="宋体" w:cs="宋体"/>
                <w:b w:val="0"/>
                <w:bCs w:val="0"/>
                <w:color w:val="FF0000"/>
                <w:sz w:val="18"/>
                <w:szCs w:val="18"/>
              </w:rPr>
              <w:t>0.00</w:t>
            </w:r>
            <w:r>
              <w:rPr>
                <w:rFonts w:hint="eastAsia" w:ascii="宋体" w:hAnsi="宋体" w:eastAsia="宋体" w:cs="宋体"/>
                <w:b w:val="0"/>
                <w:bCs w:val="0"/>
                <w:color w:val="FF0000"/>
                <w:sz w:val="18"/>
                <w:szCs w:val="18"/>
                <w:lang w:val="en-US" w:eastAsia="zh-CN"/>
              </w:rPr>
              <w:t>50</w:t>
            </w:r>
          </w:p>
        </w:tc>
      </w:tr>
      <w:tr w14:paraId="22421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0" w:hRule="atLeast"/>
          <w:jc w:val="center"/>
        </w:trPr>
        <w:tc>
          <w:tcPr>
            <w:tcW w:w="9170" w:type="dxa"/>
            <w:gridSpan w:val="5"/>
            <w:noWrap w:val="0"/>
            <w:vAlign w:val="top"/>
          </w:tcPr>
          <w:p w14:paraId="5E25922D">
            <w:pPr>
              <w:spacing w:line="240" w:lineRule="atLeast"/>
              <w:jc w:val="left"/>
              <w:rPr>
                <w:rFonts w:ascii="宋体" w:hAnsi="宋体"/>
                <w:bCs/>
                <w:color w:val="auto"/>
                <w:szCs w:val="21"/>
              </w:rPr>
            </w:pPr>
            <w:r>
              <w:rPr>
                <w:rFonts w:hint="eastAsia" w:ascii="宋体" w:hAnsi="宋体"/>
                <w:color w:val="auto"/>
                <w:sz w:val="18"/>
                <w:szCs w:val="18"/>
              </w:rPr>
              <w:t>注：杂质总量为表中所列杂质元素实测值之和。</w:t>
            </w:r>
          </w:p>
        </w:tc>
      </w:tr>
      <w:bookmarkEnd w:id="1"/>
    </w:tbl>
    <w:p w14:paraId="4B3B4C91">
      <w:pPr>
        <w:keepNext w:val="0"/>
        <w:keepLines w:val="0"/>
        <w:pageBreakBefore w:val="0"/>
        <w:wordWrap/>
        <w:topLinePunct w:val="0"/>
        <w:bidi w:val="0"/>
        <w:snapToGrid/>
        <w:spacing w:line="360" w:lineRule="auto"/>
        <w:ind w:firstLine="420"/>
        <w:textAlignment w:val="auto"/>
        <w:rPr>
          <w:rFonts w:hint="default"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修订的依据：因阴极铜国家标准对成分进行了修改。</w:t>
      </w:r>
      <w:bookmarkStart w:id="6" w:name="_GoBack"/>
      <w:bookmarkEnd w:id="6"/>
    </w:p>
    <w:p w14:paraId="075EFE8C">
      <w:pPr>
        <w:pStyle w:val="9"/>
        <w:keepNext w:val="0"/>
        <w:keepLines w:val="0"/>
        <w:pageBreakBefore w:val="0"/>
        <w:numPr>
          <w:ilvl w:val="0"/>
          <w:numId w:val="6"/>
        </w:numPr>
        <w:kinsoku/>
        <w:wordWrap/>
        <w:overflowPunct/>
        <w:topLinePunct w:val="0"/>
        <w:autoSpaceDE/>
        <w:autoSpaceDN/>
        <w:bidi w:val="0"/>
        <w:adjustRightInd/>
        <w:snapToGrid/>
        <w:spacing w:before="0" w:beforeAutospacing="0" w:after="0" w:afterAutospacing="0" w:line="360" w:lineRule="auto"/>
        <w:jc w:val="both"/>
        <w:textAlignment w:val="auto"/>
        <w:rPr>
          <w:rFonts w:hint="eastAsia" w:ascii="黑体" w:eastAsia="黑体" w:cs="Arial"/>
          <w:color w:val="auto"/>
          <w:sz w:val="21"/>
          <w:szCs w:val="21"/>
          <w:lang w:val="en-US" w:eastAsia="zh-CN"/>
        </w:rPr>
      </w:pPr>
      <w:r>
        <w:rPr>
          <w:rFonts w:hint="eastAsia" w:ascii="黑体" w:eastAsia="黑体" w:cs="Arial"/>
          <w:color w:val="auto"/>
          <w:sz w:val="21"/>
          <w:szCs w:val="21"/>
          <w:lang w:val="en-US" w:eastAsia="zh-CN"/>
        </w:rPr>
        <w:t>试验验证分析、综述报告、技术经济论证、预期达到的经济效益、社会效益和生态效益</w:t>
      </w:r>
    </w:p>
    <w:p w14:paraId="178BE281">
      <w:pPr>
        <w:pStyle w:val="9"/>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360" w:lineRule="auto"/>
        <w:jc w:val="both"/>
        <w:textAlignment w:val="auto"/>
        <w:rPr>
          <w:rFonts w:hint="default" w:ascii="黑体" w:eastAsia="黑体" w:cs="Arial"/>
          <w:color w:val="auto"/>
          <w:sz w:val="21"/>
          <w:szCs w:val="21"/>
          <w:lang w:val="en-US" w:eastAsia="zh-CN"/>
        </w:rPr>
      </w:pPr>
      <w:r>
        <w:rPr>
          <w:rFonts w:hint="eastAsia" w:ascii="黑体" w:eastAsia="黑体" w:cs="Arial"/>
          <w:color w:val="auto"/>
          <w:sz w:val="21"/>
          <w:szCs w:val="21"/>
          <w:lang w:val="en-US" w:eastAsia="zh-CN"/>
        </w:rPr>
        <w:t>1、试验验证分析和综述报告</w:t>
      </w:r>
    </w:p>
    <w:p w14:paraId="522A9624">
      <w:pPr>
        <w:pStyle w:val="4"/>
        <w:keepNext w:val="0"/>
        <w:keepLines w:val="0"/>
        <w:pageBreakBefore w:val="0"/>
        <w:numPr>
          <w:ilvl w:val="0"/>
          <w:numId w:val="7"/>
        </w:numPr>
        <w:wordWrap/>
        <w:topLinePunct w:val="0"/>
        <w:bidi w:val="0"/>
        <w:snapToGrid/>
        <w:spacing w:line="360" w:lineRule="auto"/>
        <w:textAlignment w:val="auto"/>
        <w:rPr>
          <w:rFonts w:hint="eastAsia" w:ascii="黑体" w:hAnsi="宋体" w:eastAsia="黑体" w:cs="宋体"/>
          <w:bCs/>
          <w:color w:val="auto"/>
          <w:sz w:val="21"/>
          <w:szCs w:val="21"/>
          <w:lang w:val="en-US" w:eastAsia="zh-CN"/>
        </w:rPr>
      </w:pPr>
      <w:r>
        <w:rPr>
          <w:rFonts w:hint="eastAsia" w:ascii="黑体" w:hAnsi="宋体" w:eastAsia="黑体" w:cs="宋体"/>
          <w:bCs/>
          <w:color w:val="auto"/>
          <w:sz w:val="21"/>
          <w:szCs w:val="21"/>
          <w:lang w:val="en-US" w:eastAsia="zh-CN"/>
        </w:rPr>
        <w:t>项目的必要性阐述</w:t>
      </w:r>
    </w:p>
    <w:p w14:paraId="1AD299EF">
      <w:pPr>
        <w:pStyle w:val="4"/>
        <w:keepNext w:val="0"/>
        <w:keepLines w:val="0"/>
        <w:pageBreakBefore w:val="0"/>
        <w:numPr>
          <w:ilvl w:val="0"/>
          <w:numId w:val="0"/>
        </w:numPr>
        <w:wordWrap/>
        <w:topLinePunct w:val="0"/>
        <w:bidi w:val="0"/>
        <w:snapToGrid/>
        <w:spacing w:line="360" w:lineRule="auto"/>
        <w:ind w:firstLine="420" w:firstLineChars="200"/>
        <w:textAlignment w:val="auto"/>
        <w:rPr>
          <w:rFonts w:hint="eastAsia" w:ascii="宋体" w:hAnsi="宋体" w:eastAsiaTheme="minorEastAsia" w:cstheme="minorBidi"/>
          <w:color w:val="FF0000"/>
          <w:kern w:val="2"/>
          <w:sz w:val="21"/>
          <w:szCs w:val="21"/>
          <w:lang w:val="en-US" w:eastAsia="zh-CN" w:bidi="ar-SA"/>
        </w:rPr>
      </w:pPr>
      <w:r>
        <w:rPr>
          <w:rFonts w:hint="eastAsia" w:ascii="宋体" w:hAnsi="宋体" w:eastAsiaTheme="minorEastAsia" w:cstheme="minorBidi"/>
          <w:color w:val="FF0000"/>
          <w:kern w:val="2"/>
          <w:sz w:val="21"/>
          <w:szCs w:val="21"/>
          <w:lang w:val="en-US" w:eastAsia="zh-CN" w:bidi="ar-SA"/>
        </w:rPr>
        <w:t>是否为国家产业政策、规划、专项等国家重点支持发展的标准项目，重大科技成果转化项目，拟主导制定国际标准的标准项目，社会广泛关注的热点标准项目，以及具有显著社会效益和经济效益的标准项目。属于国家专项重点支持发展的标准项目时应注明：已列入XXXX年XXXX专项《XXXX》中，项目编号XXXX；属于国家产业政策、规划重点支持发展的标准项目时应注明：属于《XX》XXXX号文“XXXX”中的“XXXX”。</w:t>
      </w:r>
    </w:p>
    <w:p w14:paraId="33419AC2">
      <w:pPr>
        <w:pStyle w:val="4"/>
        <w:keepNext w:val="0"/>
        <w:keepLines w:val="0"/>
        <w:pageBreakBefore w:val="0"/>
        <w:numPr>
          <w:ilvl w:val="0"/>
          <w:numId w:val="7"/>
        </w:numPr>
        <w:wordWrap/>
        <w:topLinePunct w:val="0"/>
        <w:bidi w:val="0"/>
        <w:snapToGrid/>
        <w:spacing w:line="360" w:lineRule="auto"/>
        <w:textAlignment w:val="auto"/>
        <w:rPr>
          <w:rFonts w:hint="default" w:ascii="黑体" w:hAnsi="宋体" w:eastAsia="黑体" w:cs="宋体"/>
          <w:bCs/>
          <w:color w:val="auto"/>
          <w:sz w:val="21"/>
          <w:szCs w:val="21"/>
          <w:lang w:val="en-US" w:eastAsia="zh-CN"/>
        </w:rPr>
      </w:pPr>
      <w:r>
        <w:rPr>
          <w:rFonts w:hint="eastAsia" w:ascii="黑体" w:hAnsi="宋体" w:eastAsia="黑体" w:cs="宋体"/>
          <w:bCs/>
          <w:color w:val="auto"/>
          <w:sz w:val="21"/>
          <w:szCs w:val="21"/>
          <w:lang w:val="en-US" w:eastAsia="zh-CN"/>
        </w:rPr>
        <w:t>项目的可行性阐述</w:t>
      </w:r>
    </w:p>
    <w:p w14:paraId="52C7B091">
      <w:pPr>
        <w:pStyle w:val="4"/>
        <w:keepNext w:val="0"/>
        <w:keepLines w:val="0"/>
        <w:pageBreakBefore w:val="0"/>
        <w:numPr>
          <w:ilvl w:val="0"/>
          <w:numId w:val="0"/>
        </w:numPr>
        <w:wordWrap/>
        <w:topLinePunct w:val="0"/>
        <w:bidi w:val="0"/>
        <w:snapToGrid/>
        <w:spacing w:line="360" w:lineRule="auto"/>
        <w:ind w:leftChars="0" w:firstLine="420" w:firstLineChars="200"/>
        <w:textAlignment w:val="auto"/>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1、行业产能规模持续扩大，标准需与产业实际相匹配</w:t>
      </w:r>
    </w:p>
    <w:p w14:paraId="31316D09">
      <w:pPr>
        <w:pStyle w:val="4"/>
        <w:keepNext w:val="0"/>
        <w:keepLines w:val="0"/>
        <w:pageBreakBefore w:val="0"/>
        <w:numPr>
          <w:ilvl w:val="0"/>
          <w:numId w:val="0"/>
        </w:numPr>
        <w:wordWrap/>
        <w:topLinePunct w:val="0"/>
        <w:bidi w:val="0"/>
        <w:snapToGrid/>
        <w:spacing w:line="360" w:lineRule="auto"/>
        <w:ind w:leftChars="0" w:firstLine="630" w:firstLineChars="300"/>
        <w:textAlignment w:val="auto"/>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GB/T 3952-2016实施以来，我国电工用铜线坯产业实现了快速发展。据统计，2025年连铸连轧法生产的电工用铜线坯已达1002万吨，上引法达35万吨，产值接近7000亿元。该标准为统一电工用铜线坯的生产、交易和加工使用发挥了重要作用，为铜杆质量提高提供了方向指引。随着产业规模的持续扩大，标准的技术指标需要根据行业实际生产水平进行动态调整，以保持其先进性和适用性。</w:t>
      </w:r>
    </w:p>
    <w:p w14:paraId="2303707E">
      <w:pPr>
        <w:pStyle w:val="4"/>
        <w:keepNext w:val="0"/>
        <w:keepLines w:val="0"/>
        <w:pageBreakBefore w:val="0"/>
        <w:numPr>
          <w:ilvl w:val="0"/>
          <w:numId w:val="0"/>
        </w:numPr>
        <w:wordWrap/>
        <w:topLinePunct w:val="0"/>
        <w:bidi w:val="0"/>
        <w:snapToGrid/>
        <w:spacing w:line="360" w:lineRule="auto"/>
        <w:ind w:leftChars="0" w:firstLine="420" w:firstLineChars="200"/>
        <w:textAlignment w:val="auto"/>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2、生产技术不断进步，亟须更新技术指标</w:t>
      </w:r>
    </w:p>
    <w:p w14:paraId="46053356">
      <w:pPr>
        <w:pStyle w:val="4"/>
        <w:keepNext w:val="0"/>
        <w:keepLines w:val="0"/>
        <w:pageBreakBefore w:val="0"/>
        <w:numPr>
          <w:ilvl w:val="0"/>
          <w:numId w:val="0"/>
        </w:numPr>
        <w:wordWrap/>
        <w:topLinePunct w:val="0"/>
        <w:bidi w:val="0"/>
        <w:snapToGrid/>
        <w:spacing w:line="360" w:lineRule="auto"/>
        <w:ind w:leftChars="0" w:firstLine="420" w:firstLineChars="200"/>
        <w:textAlignment w:val="auto"/>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近年来，我国电工用铜线坯生产企业在工艺技术和装备水平方面取得了长足进步。自GB/T 3952-2008修订以来，在化学成分控制、氧含量控制、力学性能和电性能等关键技术指标上均有较大提升。现行GB/T 3952-2016在欧盟BS EN1977、美国ASTM B49等相关标准基础上，融合了我国电工用铜线坯生产企业多年积累的先进技术和精湛工艺，在技术内容上多于国际标准、在指标上等同或严于国际标准。这些技术进步为修订更高水平的技术指标提供了产业基础，也要求标准及时吸纳新技术、新工艺，确保标准的先进性和引领性。</w:t>
      </w:r>
    </w:p>
    <w:p w14:paraId="6DD53B70">
      <w:pPr>
        <w:pStyle w:val="4"/>
        <w:keepNext w:val="0"/>
        <w:keepLines w:val="0"/>
        <w:pageBreakBefore w:val="0"/>
        <w:numPr>
          <w:ilvl w:val="0"/>
          <w:numId w:val="0"/>
        </w:numPr>
        <w:wordWrap/>
        <w:topLinePunct w:val="0"/>
        <w:bidi w:val="0"/>
        <w:snapToGrid/>
        <w:spacing w:line="360" w:lineRule="auto"/>
        <w:ind w:leftChars="0" w:firstLine="420" w:firstLineChars="200"/>
        <w:textAlignment w:val="auto"/>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3、新兴应用领域拓展，对产品性能提出新要求</w:t>
      </w:r>
    </w:p>
    <w:p w14:paraId="47B6C8D6">
      <w:pPr>
        <w:pStyle w:val="4"/>
        <w:keepNext w:val="0"/>
        <w:keepLines w:val="0"/>
        <w:pageBreakBefore w:val="0"/>
        <w:numPr>
          <w:ilvl w:val="0"/>
          <w:numId w:val="0"/>
        </w:numPr>
        <w:wordWrap/>
        <w:topLinePunct w:val="0"/>
        <w:bidi w:val="0"/>
        <w:snapToGrid/>
        <w:spacing w:line="360" w:lineRule="auto"/>
        <w:ind w:leftChars="0" w:firstLine="420" w:firstLineChars="200"/>
        <w:textAlignment w:val="auto"/>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随着新能源、智能电网、5G通信和高端制造等新兴产业的崛起，对高导电率、高强度、耐高温、抗腐蚀等特性的特种铜线坯需求持续扩大。铜线坯作为电线电缆、电气设备、汽车制造等行业的基础原材料，其品质直接影响到最终产品的性能和安全性。新兴应用领域对铜线坯的电性能、力学性能、扭转性能等提出了更高要求，现行标准的相关指标需要根据新的应用需求进行补充和完善。</w:t>
      </w:r>
    </w:p>
    <w:p w14:paraId="47EFA2CE">
      <w:pPr>
        <w:pStyle w:val="4"/>
        <w:keepNext w:val="0"/>
        <w:keepLines w:val="0"/>
        <w:pageBreakBefore w:val="0"/>
        <w:numPr>
          <w:ilvl w:val="0"/>
          <w:numId w:val="0"/>
        </w:numPr>
        <w:wordWrap/>
        <w:topLinePunct w:val="0"/>
        <w:bidi w:val="0"/>
        <w:snapToGrid/>
        <w:spacing w:line="360" w:lineRule="auto"/>
        <w:ind w:leftChars="0" w:firstLine="420" w:firstLineChars="200"/>
        <w:textAlignment w:val="auto"/>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4、绿色制造与节能降碳的政策导向</w:t>
      </w:r>
    </w:p>
    <w:p w14:paraId="4F6525DA">
      <w:pPr>
        <w:pStyle w:val="4"/>
        <w:keepNext w:val="0"/>
        <w:keepLines w:val="0"/>
        <w:pageBreakBefore w:val="0"/>
        <w:numPr>
          <w:ilvl w:val="0"/>
          <w:numId w:val="0"/>
        </w:numPr>
        <w:wordWrap/>
        <w:topLinePunct w:val="0"/>
        <w:bidi w:val="0"/>
        <w:snapToGrid/>
        <w:spacing w:line="360" w:lineRule="auto"/>
        <w:ind w:leftChars="0" w:firstLine="420" w:firstLineChars="200"/>
        <w:textAlignment w:val="auto"/>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国家持续推进绿色制造体系建设，对工业产品的能效和环保要求不断提高。GB/T 3952-2016在引领工业绿色发展、提高电工用铜线坯产品绿色原料使用、引导绿色生态供应链方面发挥了积极作用。与此同时，GB 21350-2023《铜及铜合金加工材单位产品能源消耗限额》已整合替代了包括GB 32046-2015《电工用铜线坯单位产品能源消耗限额》在内的多项能耗限额标准。标准修订需要与能耗限额、绿色制造等政策要求相衔接，体现绿色低碳的发展导向。</w:t>
      </w:r>
    </w:p>
    <w:p w14:paraId="745C401D">
      <w:pPr>
        <w:pStyle w:val="4"/>
        <w:keepNext w:val="0"/>
        <w:keepLines w:val="0"/>
        <w:pageBreakBefore w:val="0"/>
        <w:numPr>
          <w:ilvl w:val="0"/>
          <w:numId w:val="7"/>
        </w:numPr>
        <w:wordWrap/>
        <w:topLinePunct w:val="0"/>
        <w:bidi w:val="0"/>
        <w:snapToGrid/>
        <w:spacing w:line="360" w:lineRule="auto"/>
        <w:ind w:left="0" w:leftChars="0" w:firstLine="0" w:firstLineChars="0"/>
        <w:textAlignment w:val="auto"/>
        <w:rPr>
          <w:rFonts w:hint="eastAsia" w:ascii="黑体" w:eastAsia="黑体" w:cs="Arial"/>
          <w:color w:val="auto"/>
          <w:sz w:val="21"/>
          <w:szCs w:val="21"/>
          <w:lang w:val="en-US" w:eastAsia="zh-CN"/>
        </w:rPr>
      </w:pPr>
      <w:r>
        <w:rPr>
          <w:rFonts w:hint="eastAsia" w:ascii="黑体" w:eastAsia="黑体" w:cs="Arial"/>
          <w:color w:val="auto"/>
          <w:sz w:val="21"/>
          <w:szCs w:val="21"/>
          <w:lang w:val="en-US" w:eastAsia="zh-CN"/>
        </w:rPr>
        <w:t>试验验证分析</w:t>
      </w:r>
    </w:p>
    <w:p w14:paraId="73B236BC">
      <w:pPr>
        <w:pStyle w:val="4"/>
        <w:keepNext w:val="0"/>
        <w:keepLines w:val="0"/>
        <w:pageBreakBefore w:val="0"/>
        <w:numPr>
          <w:ilvl w:val="0"/>
          <w:numId w:val="0"/>
        </w:numPr>
        <w:wordWrap/>
        <w:topLinePunct w:val="0"/>
        <w:bidi w:val="0"/>
        <w:snapToGrid/>
        <w:spacing w:line="360" w:lineRule="auto"/>
        <w:ind w:leftChars="0"/>
        <w:textAlignment w:val="auto"/>
        <w:rPr>
          <w:rFonts w:hint="default" w:ascii="黑体" w:eastAsia="黑体" w:cs="Arial"/>
          <w:color w:val="auto"/>
          <w:sz w:val="21"/>
          <w:szCs w:val="21"/>
          <w:lang w:val="en-US" w:eastAsia="zh-CN"/>
        </w:rPr>
      </w:pPr>
      <w:r>
        <w:rPr>
          <w:rFonts w:hint="eastAsia" w:ascii="黑体" w:eastAsia="黑体" w:cs="Arial"/>
          <w:color w:val="auto"/>
          <w:sz w:val="21"/>
          <w:szCs w:val="21"/>
          <w:lang w:val="en-US" w:eastAsia="zh-CN"/>
        </w:rPr>
        <w:t xml:space="preserve">      无</w:t>
      </w:r>
    </w:p>
    <w:p w14:paraId="7A8585F2">
      <w:pPr>
        <w:pStyle w:val="4"/>
        <w:keepNext w:val="0"/>
        <w:keepLines w:val="0"/>
        <w:pageBreakBefore w:val="0"/>
        <w:numPr>
          <w:ilvl w:val="0"/>
          <w:numId w:val="7"/>
        </w:numPr>
        <w:wordWrap/>
        <w:topLinePunct w:val="0"/>
        <w:bidi w:val="0"/>
        <w:snapToGrid/>
        <w:spacing w:line="360" w:lineRule="auto"/>
        <w:ind w:left="0" w:leftChars="0" w:firstLine="0" w:firstLineChars="0"/>
        <w:textAlignment w:val="auto"/>
        <w:rPr>
          <w:rFonts w:hint="eastAsia" w:ascii="黑体" w:hAnsi="宋体" w:eastAsia="黑体" w:cs="宋体"/>
          <w:bCs/>
          <w:color w:val="auto"/>
          <w:sz w:val="21"/>
          <w:szCs w:val="21"/>
          <w:lang w:val="en-US" w:eastAsia="zh-CN"/>
        </w:rPr>
      </w:pPr>
      <w:r>
        <w:rPr>
          <w:rFonts w:hint="eastAsia" w:ascii="黑体" w:hAnsi="宋体" w:eastAsia="黑体" w:cs="宋体"/>
          <w:bCs/>
          <w:color w:val="auto"/>
          <w:sz w:val="21"/>
          <w:szCs w:val="21"/>
          <w:lang w:val="en-US" w:eastAsia="zh-CN"/>
        </w:rPr>
        <w:t>标准的先进性、创新性、标准实施后预期产生的经济效益和社会效益</w:t>
      </w:r>
    </w:p>
    <w:p w14:paraId="46BB62A9">
      <w:pPr>
        <w:pStyle w:val="4"/>
        <w:keepNext w:val="0"/>
        <w:keepLines w:val="0"/>
        <w:pageBreakBefore w:val="0"/>
        <w:numPr>
          <w:ilvl w:val="0"/>
          <w:numId w:val="0"/>
        </w:numPr>
        <w:wordWrap/>
        <w:topLinePunct w:val="0"/>
        <w:bidi w:val="0"/>
        <w:snapToGrid/>
        <w:spacing w:line="360" w:lineRule="auto"/>
        <w:ind w:leftChars="0" w:firstLine="420" w:firstLineChars="200"/>
        <w:textAlignment w:val="auto"/>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1、标准的先进性</w:t>
      </w:r>
    </w:p>
    <w:p w14:paraId="7C34479E">
      <w:pPr>
        <w:pStyle w:val="4"/>
        <w:keepNext w:val="0"/>
        <w:keepLines w:val="0"/>
        <w:pageBreakBefore w:val="0"/>
        <w:numPr>
          <w:ilvl w:val="0"/>
          <w:numId w:val="0"/>
        </w:numPr>
        <w:wordWrap/>
        <w:topLinePunct w:val="0"/>
        <w:bidi w:val="0"/>
        <w:snapToGrid/>
        <w:spacing w:line="360" w:lineRule="auto"/>
        <w:ind w:leftChars="0" w:firstLine="420" w:firstLineChars="200"/>
        <w:textAlignment w:val="auto"/>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1.1 技术指标达到先进水平</w:t>
      </w:r>
    </w:p>
    <w:p w14:paraId="0B4EEA3E">
      <w:pPr>
        <w:pStyle w:val="4"/>
        <w:keepNext w:val="0"/>
        <w:keepLines w:val="0"/>
        <w:pageBreakBefore w:val="0"/>
        <w:numPr>
          <w:ilvl w:val="0"/>
          <w:numId w:val="0"/>
        </w:numPr>
        <w:wordWrap/>
        <w:topLinePunct w:val="0"/>
        <w:bidi w:val="0"/>
        <w:snapToGrid/>
        <w:spacing w:line="360" w:lineRule="auto"/>
        <w:ind w:leftChars="0" w:firstLine="420" w:firstLineChars="200"/>
        <w:textAlignment w:val="auto"/>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修订的标准，对化学成分控制、力学性能、扭转性能和电性能等关键技术指标进行进一步优化提升。。</w:t>
      </w:r>
    </w:p>
    <w:p w14:paraId="4B420770">
      <w:pPr>
        <w:pStyle w:val="4"/>
        <w:keepNext w:val="0"/>
        <w:keepLines w:val="0"/>
        <w:pageBreakBefore w:val="0"/>
        <w:numPr>
          <w:ilvl w:val="0"/>
          <w:numId w:val="0"/>
        </w:numPr>
        <w:wordWrap/>
        <w:topLinePunct w:val="0"/>
        <w:bidi w:val="0"/>
        <w:snapToGrid/>
        <w:spacing w:line="360" w:lineRule="auto"/>
        <w:ind w:leftChars="0" w:firstLine="420" w:firstLineChars="200"/>
        <w:textAlignment w:val="auto"/>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1.2 充分体现行业最新生产水平</w:t>
      </w:r>
    </w:p>
    <w:p w14:paraId="75D8A84E">
      <w:pPr>
        <w:pStyle w:val="4"/>
        <w:keepNext w:val="0"/>
        <w:keepLines w:val="0"/>
        <w:pageBreakBefore w:val="0"/>
        <w:numPr>
          <w:ilvl w:val="0"/>
          <w:numId w:val="0"/>
        </w:numPr>
        <w:wordWrap/>
        <w:topLinePunct w:val="0"/>
        <w:bidi w:val="0"/>
        <w:snapToGrid/>
        <w:spacing w:line="360" w:lineRule="auto"/>
        <w:ind w:leftChars="0" w:firstLine="420" w:firstLineChars="200"/>
        <w:textAlignment w:val="auto"/>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2025年，我国连铸连轧法生产的电工用铜线坯已达1002万吨，上引法达35万吨，产值接近7000亿元。产业规模的持续扩大和自动化水平的不断提升——部分产线日产已达450吨铜杆——为修订更高水平的技术指标提供了坚实的产业基础。本次修订所确定的技术指标，均建立在充分的试验验证和行业实际生产数据基础之上，确保标准既先进合理又切实可行。</w:t>
      </w:r>
    </w:p>
    <w:p w14:paraId="61918F6D">
      <w:pPr>
        <w:pStyle w:val="4"/>
        <w:keepNext w:val="0"/>
        <w:keepLines w:val="0"/>
        <w:pageBreakBefore w:val="0"/>
        <w:numPr>
          <w:ilvl w:val="0"/>
          <w:numId w:val="0"/>
        </w:numPr>
        <w:wordWrap/>
        <w:topLinePunct w:val="0"/>
        <w:bidi w:val="0"/>
        <w:snapToGrid/>
        <w:spacing w:line="360" w:lineRule="auto"/>
        <w:ind w:leftChars="0" w:firstLine="420" w:firstLineChars="200"/>
        <w:textAlignment w:val="auto"/>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1.3 与政策导向和标准体系保持高度协调</w:t>
      </w:r>
    </w:p>
    <w:p w14:paraId="392F0D49">
      <w:pPr>
        <w:pStyle w:val="4"/>
        <w:keepNext w:val="0"/>
        <w:keepLines w:val="0"/>
        <w:pageBreakBefore w:val="0"/>
        <w:numPr>
          <w:ilvl w:val="0"/>
          <w:numId w:val="0"/>
        </w:numPr>
        <w:wordWrap/>
        <w:topLinePunct w:val="0"/>
        <w:bidi w:val="0"/>
        <w:snapToGrid/>
        <w:spacing w:line="360" w:lineRule="auto"/>
        <w:ind w:leftChars="0" w:firstLine="420" w:firstLineChars="200"/>
        <w:textAlignment w:val="auto"/>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本次修订与GB 21350-2023《铜及铜合金加工材单位产品能源消耗限额》等能耗与绿色制造政策要求相衔接，体现了节能降碳、绿色发展的政策导向，形成了完整协调的标准体系。</w:t>
      </w:r>
    </w:p>
    <w:p w14:paraId="16D12DE2">
      <w:pPr>
        <w:pStyle w:val="4"/>
        <w:keepNext w:val="0"/>
        <w:keepLines w:val="0"/>
        <w:pageBreakBefore w:val="0"/>
        <w:numPr>
          <w:ilvl w:val="0"/>
          <w:numId w:val="0"/>
        </w:numPr>
        <w:wordWrap/>
        <w:topLinePunct w:val="0"/>
        <w:bidi w:val="0"/>
        <w:snapToGrid/>
        <w:spacing w:line="360" w:lineRule="auto"/>
        <w:ind w:leftChars="0" w:firstLine="420" w:firstLineChars="200"/>
        <w:textAlignment w:val="auto"/>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2、标准的创新性</w:t>
      </w:r>
    </w:p>
    <w:p w14:paraId="38F5932D">
      <w:pPr>
        <w:pStyle w:val="4"/>
        <w:keepNext w:val="0"/>
        <w:keepLines w:val="0"/>
        <w:pageBreakBefore w:val="0"/>
        <w:numPr>
          <w:ilvl w:val="0"/>
          <w:numId w:val="0"/>
        </w:numPr>
        <w:wordWrap/>
        <w:topLinePunct w:val="0"/>
        <w:bidi w:val="0"/>
        <w:snapToGrid/>
        <w:spacing w:line="360" w:lineRule="auto"/>
        <w:ind w:leftChars="0" w:firstLine="420" w:firstLineChars="200"/>
        <w:textAlignment w:val="auto"/>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2.1修订关键质量指标</w:t>
      </w:r>
    </w:p>
    <w:p w14:paraId="50C22BC5">
      <w:pPr>
        <w:pStyle w:val="4"/>
        <w:keepNext w:val="0"/>
        <w:keepLines w:val="0"/>
        <w:pageBreakBefore w:val="0"/>
        <w:numPr>
          <w:ilvl w:val="0"/>
          <w:numId w:val="0"/>
        </w:numPr>
        <w:wordWrap/>
        <w:topLinePunct w:val="0"/>
        <w:bidi w:val="0"/>
        <w:snapToGrid/>
        <w:spacing w:line="360" w:lineRule="auto"/>
        <w:ind w:leftChars="0" w:firstLine="420" w:firstLineChars="200"/>
        <w:textAlignment w:val="auto"/>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本次修订了力学性能、氧化膜、铜粉等关键指标，针对高性能漆包线、电磁线等高端应用领域的发展需求，为客户的质量、成本管控提供保障。</w:t>
      </w:r>
    </w:p>
    <w:p w14:paraId="516DD125">
      <w:pPr>
        <w:pStyle w:val="4"/>
        <w:keepNext w:val="0"/>
        <w:keepLines w:val="0"/>
        <w:pageBreakBefore w:val="0"/>
        <w:numPr>
          <w:ilvl w:val="0"/>
          <w:numId w:val="0"/>
        </w:numPr>
        <w:wordWrap/>
        <w:topLinePunct w:val="0"/>
        <w:bidi w:val="0"/>
        <w:snapToGrid/>
        <w:spacing w:line="360" w:lineRule="auto"/>
        <w:ind w:leftChars="0" w:firstLine="420" w:firstLineChars="200"/>
        <w:textAlignment w:val="auto"/>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2.2覆盖新兴应用领域的新需求</w:t>
      </w:r>
    </w:p>
    <w:p w14:paraId="2533CE06">
      <w:pPr>
        <w:pStyle w:val="4"/>
        <w:keepNext w:val="0"/>
        <w:keepLines w:val="0"/>
        <w:pageBreakBefore w:val="0"/>
        <w:numPr>
          <w:ilvl w:val="0"/>
          <w:numId w:val="0"/>
        </w:numPr>
        <w:wordWrap/>
        <w:topLinePunct w:val="0"/>
        <w:bidi w:val="0"/>
        <w:snapToGrid/>
        <w:spacing w:line="360" w:lineRule="auto"/>
        <w:ind w:leftChars="0" w:firstLine="420" w:firstLineChars="200"/>
        <w:textAlignment w:val="auto"/>
        <w:rPr>
          <w:rFonts w:hint="default"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随着新能源、智能电网、5G通信和高端制造等新兴产业的崛起，对高导电率、高强度、耐高温、抗腐蚀等特性的特种铜线坯需求持续扩大。本次新增了TU0牌号及其指标，满足可客户需要企业。</w:t>
      </w:r>
    </w:p>
    <w:p w14:paraId="169282A6">
      <w:pPr>
        <w:pStyle w:val="4"/>
        <w:keepNext w:val="0"/>
        <w:keepLines w:val="0"/>
        <w:pageBreakBefore w:val="0"/>
        <w:numPr>
          <w:ilvl w:val="0"/>
          <w:numId w:val="0"/>
        </w:numPr>
        <w:wordWrap/>
        <w:topLinePunct w:val="0"/>
        <w:bidi w:val="0"/>
        <w:snapToGrid/>
        <w:spacing w:line="360" w:lineRule="auto"/>
        <w:ind w:leftChars="0"/>
        <w:textAlignment w:val="auto"/>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3、经济效益</w:t>
      </w:r>
    </w:p>
    <w:p w14:paraId="1B93292F">
      <w:pPr>
        <w:pStyle w:val="4"/>
        <w:keepNext w:val="0"/>
        <w:keepLines w:val="0"/>
        <w:pageBreakBefore w:val="0"/>
        <w:numPr>
          <w:ilvl w:val="0"/>
          <w:numId w:val="0"/>
        </w:numPr>
        <w:wordWrap/>
        <w:topLinePunct w:val="0"/>
        <w:bidi w:val="0"/>
        <w:snapToGrid/>
        <w:spacing w:line="360" w:lineRule="auto"/>
        <w:ind w:leftChars="0" w:firstLine="420" w:firstLineChars="200"/>
        <w:textAlignment w:val="auto"/>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3.1提升产品质量，增强企业盈利能力</w:t>
      </w:r>
    </w:p>
    <w:p w14:paraId="05BABFA2">
      <w:pPr>
        <w:pStyle w:val="4"/>
        <w:keepNext w:val="0"/>
        <w:keepLines w:val="0"/>
        <w:pageBreakBefore w:val="0"/>
        <w:numPr>
          <w:ilvl w:val="0"/>
          <w:numId w:val="0"/>
        </w:numPr>
        <w:wordWrap/>
        <w:topLinePunct w:val="0"/>
        <w:bidi w:val="0"/>
        <w:snapToGrid/>
        <w:spacing w:line="360" w:lineRule="auto"/>
        <w:ind w:leftChars="0"/>
        <w:textAlignment w:val="auto"/>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标准的修订将引导企业进一步提升产品质量和技术水平。更严格的技术指标将推动企业加强工艺控制和技术创新，减少不合格品率，降低质量损失成本。以年产100万吨铜线坯的中型企业为例，若因标准提升使产品合格率提高0.1个百分点，即可减少1000吨不合格品，直接经济效益可达数千万元。</w:t>
      </w:r>
    </w:p>
    <w:p w14:paraId="55E916E8">
      <w:pPr>
        <w:pStyle w:val="4"/>
        <w:keepNext w:val="0"/>
        <w:keepLines w:val="0"/>
        <w:pageBreakBefore w:val="0"/>
        <w:numPr>
          <w:ilvl w:val="0"/>
          <w:numId w:val="0"/>
        </w:numPr>
        <w:wordWrap/>
        <w:topLinePunct w:val="0"/>
        <w:bidi w:val="0"/>
        <w:snapToGrid/>
        <w:spacing w:line="360" w:lineRule="auto"/>
        <w:ind w:leftChars="0" w:firstLine="420" w:firstLineChars="200"/>
        <w:textAlignment w:val="auto"/>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3.2 规范市场秩序，优化资源配置</w:t>
      </w:r>
    </w:p>
    <w:p w14:paraId="44357021">
      <w:pPr>
        <w:pStyle w:val="4"/>
        <w:keepNext w:val="0"/>
        <w:keepLines w:val="0"/>
        <w:pageBreakBefore w:val="0"/>
        <w:numPr>
          <w:ilvl w:val="0"/>
          <w:numId w:val="0"/>
        </w:numPr>
        <w:wordWrap/>
        <w:topLinePunct w:val="0"/>
        <w:bidi w:val="0"/>
        <w:snapToGrid/>
        <w:spacing w:line="360" w:lineRule="auto"/>
        <w:ind w:leftChars="0" w:firstLine="420" w:firstLineChars="200"/>
        <w:textAlignment w:val="auto"/>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标准的修订将进一步规范电工用铜线坯的生产和交易，有效遏制低质量产品的市场冲击，为优质企业创造更加公平的市场环境。这将引导行业资源向技术先进、质量可靠的企业集中，推动行业结构优化和产业升级。</w:t>
      </w:r>
    </w:p>
    <w:p w14:paraId="4ECA9688">
      <w:pPr>
        <w:pStyle w:val="4"/>
        <w:keepNext w:val="0"/>
        <w:keepLines w:val="0"/>
        <w:pageBreakBefore w:val="0"/>
        <w:numPr>
          <w:ilvl w:val="0"/>
          <w:numId w:val="0"/>
        </w:numPr>
        <w:wordWrap/>
        <w:topLinePunct w:val="0"/>
        <w:bidi w:val="0"/>
        <w:snapToGrid/>
        <w:spacing w:line="360" w:lineRule="auto"/>
        <w:ind w:leftChars="0" w:firstLine="420" w:firstLineChars="200"/>
        <w:textAlignment w:val="auto"/>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3.3促进高端产品出口，提升国际竞争力</w:t>
      </w:r>
    </w:p>
    <w:p w14:paraId="4C351CEF">
      <w:pPr>
        <w:pStyle w:val="4"/>
        <w:keepNext w:val="0"/>
        <w:keepLines w:val="0"/>
        <w:pageBreakBefore w:val="0"/>
        <w:numPr>
          <w:ilvl w:val="0"/>
          <w:numId w:val="0"/>
        </w:numPr>
        <w:wordWrap/>
        <w:topLinePunct w:val="0"/>
        <w:bidi w:val="0"/>
        <w:snapToGrid/>
        <w:spacing w:line="360" w:lineRule="auto"/>
        <w:ind w:leftChars="0" w:firstLine="420" w:firstLineChars="200"/>
        <w:textAlignment w:val="auto"/>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修订后的标准在技术指标上持续保持国际先进水平，将进一步提升我国电工用铜线坯产品在国际市场的竞争力和认可度。随着全球高性能铜材市场规模预计突破2000亿元，我国铜线坯产品的出口空间将进一步扩大，为行业带来可观的外汇收入。</w:t>
      </w:r>
    </w:p>
    <w:p w14:paraId="1270BFCB">
      <w:pPr>
        <w:pStyle w:val="4"/>
        <w:keepNext w:val="0"/>
        <w:keepLines w:val="0"/>
        <w:pageBreakBefore w:val="0"/>
        <w:numPr>
          <w:ilvl w:val="0"/>
          <w:numId w:val="5"/>
        </w:numPr>
        <w:wordWrap/>
        <w:topLinePunct w:val="0"/>
        <w:bidi w:val="0"/>
        <w:snapToGrid/>
        <w:spacing w:line="360" w:lineRule="auto"/>
        <w:ind w:left="0" w:leftChars="0" w:firstLine="0" w:firstLineChars="0"/>
        <w:textAlignment w:val="auto"/>
        <w:rPr>
          <w:rFonts w:hint="default"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社会效益</w:t>
      </w:r>
    </w:p>
    <w:p w14:paraId="0FFCB8C6">
      <w:pPr>
        <w:pStyle w:val="4"/>
        <w:keepNext w:val="0"/>
        <w:keepLines w:val="0"/>
        <w:pageBreakBefore w:val="0"/>
        <w:numPr>
          <w:ilvl w:val="0"/>
          <w:numId w:val="0"/>
        </w:numPr>
        <w:wordWrap/>
        <w:topLinePunct w:val="0"/>
        <w:bidi w:val="0"/>
        <w:snapToGrid/>
        <w:spacing w:line="360" w:lineRule="auto"/>
        <w:ind w:firstLine="420" w:firstLineChars="200"/>
        <w:textAlignment w:val="auto"/>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4.1保障国家电力与通信基础设施安全</w:t>
      </w:r>
    </w:p>
    <w:p w14:paraId="48CCE205">
      <w:pPr>
        <w:pStyle w:val="4"/>
        <w:keepNext w:val="0"/>
        <w:keepLines w:val="0"/>
        <w:pageBreakBefore w:val="0"/>
        <w:numPr>
          <w:ilvl w:val="0"/>
          <w:numId w:val="0"/>
        </w:numPr>
        <w:wordWrap/>
        <w:topLinePunct w:val="0"/>
        <w:bidi w:val="0"/>
        <w:snapToGrid/>
        <w:spacing w:line="360" w:lineRule="auto"/>
        <w:ind w:firstLine="420" w:firstLineChars="200"/>
        <w:textAlignment w:val="auto"/>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电工用铜线坯是电线电缆、电气设备等的基础原材料，其质量直接关系到线缆产品的安全性和可靠性。标准的修订将进一步提升铜线坯的产品质量，为电力传输、5G通信、轨道交通等国家基础设施建设提供更加安全可靠的原材料保障，对保障国家能源安全和公共安全具有重要意义。</w:t>
      </w:r>
    </w:p>
    <w:p w14:paraId="472553B9">
      <w:pPr>
        <w:pStyle w:val="4"/>
        <w:keepNext w:val="0"/>
        <w:keepLines w:val="0"/>
        <w:pageBreakBefore w:val="0"/>
        <w:numPr>
          <w:ilvl w:val="0"/>
          <w:numId w:val="0"/>
        </w:numPr>
        <w:wordWrap/>
        <w:topLinePunct w:val="0"/>
        <w:bidi w:val="0"/>
        <w:snapToGrid/>
        <w:spacing w:line="360" w:lineRule="auto"/>
        <w:ind w:firstLine="420" w:firstLineChars="200"/>
        <w:textAlignment w:val="auto"/>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4.2促进高端制造业发展</w:t>
      </w:r>
    </w:p>
    <w:p w14:paraId="35C0C558">
      <w:pPr>
        <w:pStyle w:val="4"/>
        <w:keepNext w:val="0"/>
        <w:keepLines w:val="0"/>
        <w:pageBreakBefore w:val="0"/>
        <w:numPr>
          <w:ilvl w:val="0"/>
          <w:numId w:val="0"/>
        </w:numPr>
        <w:wordWrap/>
        <w:topLinePunct w:val="0"/>
        <w:bidi w:val="0"/>
        <w:snapToGrid/>
        <w:spacing w:line="360" w:lineRule="auto"/>
        <w:ind w:firstLine="420" w:firstLineChars="200"/>
        <w:textAlignment w:val="auto"/>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新能源汽车产量增幅达37.4%，带动高端铜材需求激增。修订后的标准将为新能源汽车、电子信息、人形机器人等新兴领域提供更加优质的基础原材料，支撑我国高端制造业的快速发展。</w:t>
      </w:r>
    </w:p>
    <w:p w14:paraId="73BC9A11">
      <w:pPr>
        <w:pStyle w:val="4"/>
        <w:keepNext w:val="0"/>
        <w:keepLines w:val="0"/>
        <w:pageBreakBefore w:val="0"/>
        <w:numPr>
          <w:ilvl w:val="0"/>
          <w:numId w:val="0"/>
        </w:numPr>
        <w:wordWrap/>
        <w:topLinePunct w:val="0"/>
        <w:bidi w:val="0"/>
        <w:snapToGrid/>
        <w:spacing w:line="360" w:lineRule="auto"/>
        <w:ind w:firstLine="420" w:firstLineChars="200"/>
        <w:textAlignment w:val="auto"/>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4.3促进行业高质量就业与区域经济发展</w:t>
      </w:r>
    </w:p>
    <w:p w14:paraId="65CBBFB7">
      <w:pPr>
        <w:pStyle w:val="4"/>
        <w:keepNext w:val="0"/>
        <w:keepLines w:val="0"/>
        <w:pageBreakBefore w:val="0"/>
        <w:numPr>
          <w:ilvl w:val="0"/>
          <w:numId w:val="0"/>
        </w:numPr>
        <w:wordWrap/>
        <w:topLinePunct w:val="0"/>
        <w:bidi w:val="0"/>
        <w:snapToGrid/>
        <w:spacing w:line="360" w:lineRule="auto"/>
        <w:ind w:firstLine="420" w:firstLineChars="200"/>
        <w:textAlignment w:val="auto"/>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铜加工产业的健康发展对区域经济发展和就业具有重要支撑作用。标准的修订将推动行业向高端化、智能化、绿色化方向发展，创造更多高质量的技术和管理岗位，促进相关地区的经济社会协调发展</w:t>
      </w:r>
    </w:p>
    <w:p w14:paraId="3C8228E5">
      <w:pPr>
        <w:pStyle w:val="4"/>
        <w:keepNext w:val="0"/>
        <w:keepLines w:val="0"/>
        <w:pageBreakBefore w:val="0"/>
        <w:numPr>
          <w:ilvl w:val="0"/>
          <w:numId w:val="5"/>
        </w:numPr>
        <w:wordWrap/>
        <w:topLinePunct w:val="0"/>
        <w:bidi w:val="0"/>
        <w:snapToGrid/>
        <w:spacing w:line="360" w:lineRule="auto"/>
        <w:ind w:left="0" w:leftChars="0" w:firstLine="0" w:firstLineChars="0"/>
        <w:textAlignment w:val="auto"/>
        <w:rPr>
          <w:rFonts w:hint="default"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生态效益</w:t>
      </w:r>
    </w:p>
    <w:p w14:paraId="79CAC680">
      <w:pPr>
        <w:pStyle w:val="4"/>
        <w:keepNext w:val="0"/>
        <w:keepLines w:val="0"/>
        <w:pageBreakBefore w:val="0"/>
        <w:numPr>
          <w:ilvl w:val="0"/>
          <w:numId w:val="0"/>
        </w:numPr>
        <w:wordWrap/>
        <w:topLinePunct w:val="0"/>
        <w:bidi w:val="0"/>
        <w:snapToGrid/>
        <w:spacing w:line="360" w:lineRule="auto"/>
        <w:ind w:firstLine="420" w:firstLineChars="200"/>
        <w:textAlignment w:val="auto"/>
        <w:rPr>
          <w:rFonts w:hint="default"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推动绿色制造和节能降碳标准的修订将引领行业绿色发展，提高电工用铜线坯产品绿色原料的使用比例，对绿色生态供应链建设发挥积极的引导作用。通过与GB 21350-2023《铜及铜合金加工材单位产品能源消耗限额》的衔接，推动企业降低单位产品能耗，减少碳排放，助力国家“双碳”目标的实现。</w:t>
      </w:r>
    </w:p>
    <w:p w14:paraId="73918671">
      <w:pPr>
        <w:pStyle w:val="4"/>
        <w:keepNext w:val="0"/>
        <w:keepLines w:val="0"/>
        <w:pageBreakBefore w:val="0"/>
        <w:numPr>
          <w:ilvl w:val="0"/>
          <w:numId w:val="6"/>
        </w:numPr>
        <w:wordWrap/>
        <w:topLinePunct w:val="0"/>
        <w:bidi w:val="0"/>
        <w:snapToGrid/>
        <w:spacing w:line="360" w:lineRule="auto"/>
        <w:ind w:left="0" w:leftChars="0" w:firstLine="0" w:firstLineChars="0"/>
        <w:textAlignment w:val="auto"/>
        <w:rPr>
          <w:rFonts w:hint="eastAsia" w:ascii="黑体" w:hAnsi="宋体" w:eastAsia="黑体" w:cs="宋体"/>
          <w:bCs/>
          <w:color w:val="auto"/>
          <w:sz w:val="21"/>
          <w:szCs w:val="21"/>
          <w:lang w:val="en-US" w:eastAsia="zh-CN"/>
        </w:rPr>
      </w:pPr>
      <w:r>
        <w:rPr>
          <w:rFonts w:hint="eastAsia" w:ascii="黑体" w:hAnsi="宋体" w:eastAsia="黑体" w:cs="宋体"/>
          <w:bCs/>
          <w:color w:val="auto"/>
          <w:sz w:val="21"/>
          <w:szCs w:val="21"/>
          <w:lang w:val="en-US" w:eastAsia="zh-CN"/>
        </w:rPr>
        <w:t>与国际标准和国外先进标准技术内容的对比</w:t>
      </w:r>
    </w:p>
    <w:p w14:paraId="6B1DAE89">
      <w:pPr>
        <w:pStyle w:val="4"/>
        <w:keepNext w:val="0"/>
        <w:keepLines w:val="0"/>
        <w:pageBreakBefore w:val="0"/>
        <w:numPr>
          <w:ilvl w:val="0"/>
          <w:numId w:val="0"/>
        </w:numPr>
        <w:wordWrap/>
        <w:topLinePunct w:val="0"/>
        <w:bidi w:val="0"/>
        <w:snapToGrid/>
        <w:spacing w:line="360" w:lineRule="auto"/>
        <w:ind w:firstLine="420" w:firstLineChars="200"/>
        <w:textAlignment w:val="auto"/>
        <w:rPr>
          <w:rFonts w:hint="default"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无</w:t>
      </w:r>
    </w:p>
    <w:p w14:paraId="384A44B5">
      <w:pPr>
        <w:keepNext w:val="0"/>
        <w:keepLines w:val="0"/>
        <w:pageBreakBefore w:val="0"/>
        <w:numPr>
          <w:ilvl w:val="0"/>
          <w:numId w:val="8"/>
        </w:numPr>
        <w:kinsoku/>
        <w:wordWrap/>
        <w:overflowPunct/>
        <w:topLinePunct w:val="0"/>
        <w:bidi w:val="0"/>
        <w:snapToGrid/>
        <w:spacing w:beforeLines="50" w:afterLines="50" w:line="360" w:lineRule="auto"/>
        <w:textAlignment w:val="auto"/>
        <w:rPr>
          <w:rFonts w:ascii="黑体" w:hAnsi="宋体" w:eastAsia="黑体" w:cs="宋体"/>
          <w:bCs/>
          <w:color w:val="auto"/>
          <w:sz w:val="21"/>
          <w:szCs w:val="21"/>
        </w:rPr>
      </w:pPr>
      <w:r>
        <w:rPr>
          <w:rFonts w:hint="eastAsia" w:ascii="黑体" w:hAnsi="宋体" w:eastAsia="黑体" w:cs="宋体"/>
          <w:bCs/>
          <w:color w:val="auto"/>
          <w:sz w:val="21"/>
          <w:szCs w:val="21"/>
          <w:lang w:val="en-US" w:eastAsia="zh-CN"/>
        </w:rPr>
        <w:t>以国际标准为基础的起草情况以及是否合规采用国际国外标准、未采用国际标准的原因</w:t>
      </w:r>
    </w:p>
    <w:p w14:paraId="58638DE7">
      <w:pPr>
        <w:keepNext w:val="0"/>
        <w:keepLines w:val="0"/>
        <w:pageBreakBefore w:val="0"/>
        <w:numPr>
          <w:ilvl w:val="0"/>
          <w:numId w:val="0"/>
        </w:numPr>
        <w:kinsoku/>
        <w:wordWrap/>
        <w:overflowPunct/>
        <w:topLinePunct w:val="0"/>
        <w:bidi w:val="0"/>
        <w:snapToGrid/>
        <w:spacing w:beforeLines="50" w:afterLines="50" w:line="360" w:lineRule="auto"/>
        <w:textAlignment w:val="auto"/>
        <w:rPr>
          <w:rFonts w:hint="default" w:ascii="黑体" w:hAnsi="宋体" w:eastAsia="黑体" w:cs="宋体"/>
          <w:bCs/>
          <w:color w:val="auto"/>
          <w:sz w:val="21"/>
          <w:szCs w:val="21"/>
          <w:lang w:val="en-US"/>
        </w:rPr>
      </w:pPr>
      <w:r>
        <w:rPr>
          <w:rFonts w:hint="eastAsia" w:ascii="黑体" w:hAnsi="宋体" w:eastAsia="黑体" w:cs="宋体"/>
          <w:bCs/>
          <w:color w:val="auto"/>
          <w:sz w:val="21"/>
          <w:szCs w:val="21"/>
          <w:lang w:val="en-US" w:eastAsia="zh-CN"/>
        </w:rPr>
        <w:t xml:space="preserve">   </w:t>
      </w:r>
      <w:r>
        <w:rPr>
          <w:rFonts w:hint="eastAsia" w:eastAsia="仿宋_GB2312" w:asciiTheme="minorHAnsi" w:hAnsiTheme="minorHAnsi" w:cstheme="minorBidi"/>
          <w:kern w:val="2"/>
          <w:sz w:val="21"/>
          <w:szCs w:val="22"/>
          <w:lang w:val="en-US" w:eastAsia="zh-CN" w:bidi="ar-SA"/>
        </w:rPr>
        <w:t>符合</w:t>
      </w:r>
    </w:p>
    <w:p w14:paraId="5EDE5AA9">
      <w:pPr>
        <w:keepNext w:val="0"/>
        <w:keepLines w:val="0"/>
        <w:pageBreakBefore w:val="0"/>
        <w:numPr>
          <w:ilvl w:val="0"/>
          <w:numId w:val="8"/>
        </w:numPr>
        <w:kinsoku/>
        <w:wordWrap/>
        <w:overflowPunct/>
        <w:topLinePunct w:val="0"/>
        <w:bidi w:val="0"/>
        <w:snapToGrid/>
        <w:spacing w:beforeLines="50" w:afterLines="50" w:line="360" w:lineRule="auto"/>
        <w:textAlignment w:val="auto"/>
        <w:rPr>
          <w:rFonts w:ascii="黑体" w:hAnsi="宋体" w:eastAsia="黑体" w:cs="宋体"/>
          <w:bCs/>
          <w:color w:val="auto"/>
          <w:sz w:val="21"/>
          <w:szCs w:val="21"/>
        </w:rPr>
      </w:pPr>
      <w:r>
        <w:rPr>
          <w:rFonts w:hint="eastAsia" w:ascii="黑体" w:hAnsi="宋体" w:eastAsia="黑体" w:cs="宋体"/>
          <w:bCs/>
          <w:color w:val="auto"/>
          <w:sz w:val="21"/>
          <w:szCs w:val="21"/>
        </w:rPr>
        <w:t>与</w:t>
      </w:r>
      <w:r>
        <w:rPr>
          <w:rFonts w:hint="eastAsia" w:ascii="黑体" w:hAnsi="宋体" w:eastAsia="黑体" w:cs="宋体"/>
          <w:bCs/>
          <w:color w:val="auto"/>
          <w:sz w:val="21"/>
          <w:szCs w:val="21"/>
          <w:lang w:val="en-US" w:eastAsia="zh-CN"/>
        </w:rPr>
        <w:t>有关</w:t>
      </w:r>
      <w:r>
        <w:rPr>
          <w:rFonts w:hint="eastAsia" w:ascii="黑体" w:hAnsi="宋体" w:eastAsia="黑体" w:cs="宋体"/>
          <w:bCs/>
          <w:color w:val="auto"/>
          <w:sz w:val="21"/>
          <w:szCs w:val="21"/>
        </w:rPr>
        <w:t>法律、</w:t>
      </w:r>
      <w:r>
        <w:rPr>
          <w:rFonts w:hint="eastAsia" w:ascii="黑体" w:hAnsi="宋体" w:eastAsia="黑体" w:cs="宋体"/>
          <w:bCs/>
          <w:color w:val="auto"/>
          <w:sz w:val="21"/>
          <w:szCs w:val="21"/>
          <w:lang w:val="en-US" w:eastAsia="zh-CN"/>
        </w:rPr>
        <w:t>行政</w:t>
      </w:r>
      <w:r>
        <w:rPr>
          <w:rFonts w:hint="eastAsia" w:ascii="黑体" w:hAnsi="宋体" w:eastAsia="黑体" w:cs="宋体"/>
          <w:bCs/>
          <w:color w:val="auto"/>
          <w:sz w:val="21"/>
          <w:szCs w:val="21"/>
        </w:rPr>
        <w:t>法规及相关标准</w:t>
      </w:r>
      <w:r>
        <w:rPr>
          <w:rFonts w:hint="eastAsia" w:ascii="黑体" w:hAnsi="宋体" w:eastAsia="黑体" w:cs="宋体"/>
          <w:bCs/>
          <w:color w:val="auto"/>
          <w:sz w:val="21"/>
          <w:szCs w:val="21"/>
          <w:lang w:val="en-US" w:eastAsia="zh-CN"/>
        </w:rPr>
        <w:t>的关系</w:t>
      </w:r>
    </w:p>
    <w:p w14:paraId="6E528D9E">
      <w:pPr>
        <w:keepNext w:val="0"/>
        <w:keepLines w:val="0"/>
        <w:pageBreakBefore w:val="0"/>
        <w:kinsoku/>
        <w:wordWrap/>
        <w:overflowPunct/>
        <w:topLinePunct w:val="0"/>
        <w:bidi w:val="0"/>
        <w:snapToGrid/>
        <w:spacing w:line="360" w:lineRule="auto"/>
        <w:ind w:firstLine="420" w:firstLineChars="200"/>
        <w:textAlignment w:val="auto"/>
        <w:rPr>
          <w:rFonts w:ascii="宋体" w:hAnsi="宋体"/>
          <w:color w:val="auto"/>
          <w:sz w:val="21"/>
          <w:szCs w:val="21"/>
        </w:rPr>
      </w:pPr>
      <w:r>
        <w:rPr>
          <w:rFonts w:hint="eastAsia" w:ascii="宋体" w:hAnsi="宋体"/>
          <w:color w:val="auto"/>
          <w:sz w:val="21"/>
          <w:szCs w:val="21"/>
        </w:rPr>
        <w:t>本标准符合现行法律、法规的要求，并与其他同类国家标准、国家J用标准、行业标准无冲突、重叠和不协调之处。</w:t>
      </w:r>
    </w:p>
    <w:p w14:paraId="64DA2FDF">
      <w:pPr>
        <w:keepNext w:val="0"/>
        <w:keepLines w:val="0"/>
        <w:pageBreakBefore w:val="0"/>
        <w:numPr>
          <w:ilvl w:val="0"/>
          <w:numId w:val="8"/>
        </w:numPr>
        <w:kinsoku/>
        <w:wordWrap/>
        <w:overflowPunct/>
        <w:topLinePunct w:val="0"/>
        <w:bidi w:val="0"/>
        <w:snapToGrid/>
        <w:spacing w:beforeLines="50" w:afterLines="50" w:line="360" w:lineRule="auto"/>
        <w:ind w:left="0" w:leftChars="0" w:firstLine="0" w:firstLineChars="0"/>
        <w:textAlignment w:val="auto"/>
        <w:rPr>
          <w:rFonts w:hint="eastAsia"/>
          <w:lang w:val="en-US" w:eastAsia="zh-CN"/>
        </w:rPr>
      </w:pPr>
      <w:bookmarkStart w:id="2" w:name="_Toc32100"/>
      <w:r>
        <w:rPr>
          <w:rFonts w:hint="eastAsia" w:ascii="黑体" w:hAnsi="宋体" w:eastAsia="黑体" w:cs="宋体"/>
          <w:bCs/>
          <w:color w:val="auto"/>
          <w:sz w:val="21"/>
          <w:szCs w:val="21"/>
          <w:lang w:val="en-US" w:eastAsia="zh-CN"/>
        </w:rPr>
        <w:t>重大分歧意见的处理经过和依据</w:t>
      </w:r>
    </w:p>
    <w:p w14:paraId="6F080003">
      <w:pPr>
        <w:keepNext w:val="0"/>
        <w:keepLines w:val="0"/>
        <w:pageBreakBefore w:val="0"/>
        <w:kinsoku/>
        <w:wordWrap/>
        <w:overflowPunct/>
        <w:topLinePunct w:val="0"/>
        <w:bidi w:val="0"/>
        <w:snapToGrid/>
        <w:spacing w:line="360" w:lineRule="auto"/>
        <w:ind w:firstLine="420" w:firstLineChars="200"/>
        <w:textAlignment w:val="auto"/>
        <w:rPr>
          <w:rFonts w:hint="eastAsia"/>
          <w:lang w:val="en-US" w:eastAsia="zh-CN"/>
        </w:rPr>
      </w:pPr>
      <w:r>
        <w:rPr>
          <w:rFonts w:hint="eastAsia" w:ascii="宋体" w:hAnsi="宋体"/>
          <w:color w:val="auto"/>
          <w:sz w:val="21"/>
          <w:szCs w:val="21"/>
        </w:rPr>
        <w:t>暂无。</w:t>
      </w:r>
    </w:p>
    <w:p w14:paraId="71C50F35">
      <w:pPr>
        <w:keepNext w:val="0"/>
        <w:keepLines w:val="0"/>
        <w:pageBreakBefore w:val="0"/>
        <w:numPr>
          <w:ilvl w:val="0"/>
          <w:numId w:val="8"/>
        </w:numPr>
        <w:kinsoku/>
        <w:wordWrap/>
        <w:overflowPunct/>
        <w:topLinePunct w:val="0"/>
        <w:bidi w:val="0"/>
        <w:snapToGrid/>
        <w:spacing w:beforeLines="50" w:afterLines="50" w:line="360" w:lineRule="auto"/>
        <w:ind w:left="0" w:leftChars="0" w:firstLine="0" w:firstLineChars="0"/>
        <w:textAlignment w:val="auto"/>
        <w:rPr>
          <w:rFonts w:hint="eastAsia" w:ascii="黑体" w:hAnsi="宋体" w:eastAsia="黑体" w:cs="宋体"/>
          <w:bCs/>
          <w:color w:val="auto"/>
          <w:sz w:val="21"/>
          <w:szCs w:val="21"/>
          <w:lang w:val="en-US" w:eastAsia="zh-CN"/>
        </w:rPr>
      </w:pPr>
      <w:r>
        <w:rPr>
          <w:rFonts w:hint="eastAsia" w:ascii="黑体" w:hAnsi="宋体" w:eastAsia="黑体" w:cs="宋体"/>
          <w:bCs/>
          <w:color w:val="auto"/>
          <w:sz w:val="21"/>
          <w:szCs w:val="21"/>
          <w:lang w:val="en-US" w:eastAsia="zh-CN"/>
        </w:rPr>
        <w:t>涉及专利的有关说明</w:t>
      </w:r>
    </w:p>
    <w:p w14:paraId="121D932E">
      <w:pPr>
        <w:keepNext w:val="0"/>
        <w:keepLines w:val="0"/>
        <w:pageBreakBefore w:val="0"/>
        <w:numPr>
          <w:ilvl w:val="0"/>
          <w:numId w:val="0"/>
        </w:numPr>
        <w:kinsoku/>
        <w:wordWrap/>
        <w:overflowPunct/>
        <w:topLinePunct w:val="0"/>
        <w:bidi w:val="0"/>
        <w:snapToGrid/>
        <w:spacing w:beforeLines="50" w:afterLines="50" w:line="360" w:lineRule="auto"/>
        <w:ind w:leftChars="0"/>
        <w:textAlignment w:val="auto"/>
        <w:rPr>
          <w:rFonts w:hint="default" w:ascii="黑体" w:hAnsi="宋体" w:eastAsia="黑体" w:cs="宋体"/>
          <w:bCs/>
          <w:color w:val="auto"/>
          <w:sz w:val="21"/>
          <w:szCs w:val="21"/>
          <w:lang w:val="en-US" w:eastAsia="zh-CN"/>
        </w:rPr>
      </w:pPr>
      <w:r>
        <w:rPr>
          <w:rFonts w:hint="eastAsia" w:ascii="黑体" w:hAnsi="宋体" w:eastAsia="黑体" w:cs="宋体"/>
          <w:bCs/>
          <w:color w:val="auto"/>
          <w:sz w:val="21"/>
          <w:szCs w:val="21"/>
          <w:lang w:val="en-US" w:eastAsia="zh-CN"/>
        </w:rPr>
        <w:t xml:space="preserve">   无</w:t>
      </w:r>
    </w:p>
    <w:bookmarkEnd w:id="2"/>
    <w:p w14:paraId="108A9374">
      <w:pPr>
        <w:keepNext w:val="0"/>
        <w:keepLines w:val="0"/>
        <w:pageBreakBefore w:val="0"/>
        <w:kinsoku/>
        <w:wordWrap/>
        <w:overflowPunct/>
        <w:topLinePunct w:val="0"/>
        <w:bidi w:val="0"/>
        <w:snapToGrid/>
        <w:spacing w:beforeLines="50" w:afterLines="50" w:line="360" w:lineRule="auto"/>
        <w:textAlignment w:val="auto"/>
        <w:rPr>
          <w:rFonts w:ascii="黑体" w:hAnsi="宋体" w:eastAsia="黑体" w:cs="宋体"/>
          <w:bCs/>
          <w:color w:val="auto"/>
          <w:sz w:val="21"/>
          <w:szCs w:val="21"/>
        </w:rPr>
      </w:pPr>
      <w:bookmarkStart w:id="3" w:name="_Toc15989"/>
      <w:r>
        <w:rPr>
          <w:rFonts w:hint="eastAsia" w:ascii="黑体" w:hAnsi="宋体" w:eastAsia="黑体" w:cs="宋体"/>
          <w:bCs/>
          <w:color w:val="auto"/>
          <w:sz w:val="21"/>
          <w:szCs w:val="21"/>
          <w:lang w:val="en-US" w:eastAsia="zh-CN"/>
        </w:rPr>
        <w:t>九</w:t>
      </w:r>
      <w:r>
        <w:rPr>
          <w:rFonts w:hint="eastAsia" w:ascii="黑体" w:hAnsi="宋体" w:eastAsia="黑体" w:cs="宋体"/>
          <w:bCs/>
          <w:color w:val="auto"/>
          <w:sz w:val="21"/>
          <w:szCs w:val="21"/>
        </w:rPr>
        <w:t>、</w:t>
      </w:r>
      <w:r>
        <w:rPr>
          <w:rFonts w:hint="eastAsia" w:ascii="黑体" w:hAnsi="宋体" w:eastAsia="黑体" w:cs="宋体"/>
          <w:bCs/>
          <w:color w:val="auto"/>
          <w:sz w:val="21"/>
          <w:szCs w:val="21"/>
          <w:lang w:val="en-US" w:eastAsia="zh-CN"/>
        </w:rPr>
        <w:t>实施国家标准的要求以及组织措施、技术措施、过渡期和实施日期的建议等措施建议</w:t>
      </w:r>
      <w:bookmarkEnd w:id="3"/>
    </w:p>
    <w:p w14:paraId="39D8A7C6">
      <w:pPr>
        <w:pStyle w:val="4"/>
        <w:keepNext w:val="0"/>
        <w:keepLines w:val="0"/>
        <w:pageBreakBefore w:val="0"/>
        <w:widowControl w:val="0"/>
        <w:kinsoku w:val="0"/>
        <w:wordWrap/>
        <w:overflowPunct w:val="0"/>
        <w:topLinePunct w:val="0"/>
        <w:autoSpaceDE w:val="0"/>
        <w:autoSpaceDN w:val="0"/>
        <w:bidi w:val="0"/>
        <w:adjustRightInd w:val="0"/>
        <w:snapToGrid/>
        <w:spacing w:line="360" w:lineRule="auto"/>
        <w:ind w:firstLine="420" w:firstLineChars="200"/>
        <w:jc w:val="both"/>
        <w:textAlignment w:val="auto"/>
        <w:rPr>
          <w:rFonts w:hint="default" w:ascii="宋体" w:hAnsi="宋体" w:eastAsiaTheme="minorEastAsia" w:cstheme="minorBidi"/>
          <w:color w:val="auto"/>
          <w:kern w:val="2"/>
          <w:sz w:val="21"/>
          <w:szCs w:val="21"/>
          <w:lang w:val="en-US" w:eastAsia="zh-CN" w:bidi="ar-SA"/>
        </w:rPr>
      </w:pPr>
      <w:bookmarkStart w:id="4" w:name="_Toc22451"/>
      <w:r>
        <w:rPr>
          <w:rFonts w:hint="default" w:ascii="宋体" w:hAnsi="宋体" w:eastAsiaTheme="minorEastAsia" w:cstheme="minorBidi"/>
          <w:color w:val="auto"/>
          <w:kern w:val="2"/>
          <w:sz w:val="21"/>
          <w:szCs w:val="21"/>
          <w:lang w:val="en-US" w:eastAsia="zh-CN" w:bidi="ar-SA"/>
        </w:rPr>
        <w:t>1、首先应在实施前保证标准文本的充足供应，使每个</w:t>
      </w:r>
      <w:r>
        <w:rPr>
          <w:rFonts w:hint="eastAsia" w:ascii="宋体" w:hAnsi="宋体" w:eastAsiaTheme="minorEastAsia" w:cstheme="minorBidi"/>
          <w:color w:val="auto"/>
          <w:kern w:val="2"/>
          <w:sz w:val="21"/>
          <w:szCs w:val="21"/>
          <w:lang w:val="en-US" w:eastAsia="zh-CN" w:bidi="ar-SA"/>
        </w:rPr>
        <w:t>电工用铜线坯生产</w:t>
      </w:r>
      <w:r>
        <w:rPr>
          <w:rFonts w:hint="default" w:ascii="宋体" w:hAnsi="宋体" w:eastAsiaTheme="minorEastAsia" w:cstheme="minorBidi"/>
          <w:color w:val="auto"/>
          <w:kern w:val="2"/>
          <w:sz w:val="21"/>
          <w:szCs w:val="21"/>
          <w:lang w:val="en-US" w:eastAsia="zh-CN" w:bidi="ar-SA"/>
        </w:rPr>
        <w:t>产企业及相关检测机构都能及时获得</w:t>
      </w:r>
      <w:r>
        <w:rPr>
          <w:rFonts w:hint="eastAsia" w:ascii="宋体" w:hAnsi="宋体" w:eastAsiaTheme="minorEastAsia" w:cstheme="minorBidi"/>
          <w:color w:val="auto"/>
          <w:kern w:val="2"/>
          <w:sz w:val="21"/>
          <w:szCs w:val="21"/>
          <w:lang w:val="en-US" w:eastAsia="zh-CN" w:bidi="ar-SA"/>
        </w:rPr>
        <w:t>本文件</w:t>
      </w:r>
      <w:r>
        <w:rPr>
          <w:rFonts w:hint="default" w:ascii="宋体" w:hAnsi="宋体" w:eastAsiaTheme="minorEastAsia" w:cstheme="minorBidi"/>
          <w:color w:val="auto"/>
          <w:kern w:val="2"/>
          <w:sz w:val="21"/>
          <w:szCs w:val="21"/>
          <w:lang w:val="en-US" w:eastAsia="zh-CN" w:bidi="ar-SA"/>
        </w:rPr>
        <w:t>，这是保证新标准贯彻实施的基础。</w:t>
      </w:r>
    </w:p>
    <w:p w14:paraId="7B37A2A9">
      <w:pPr>
        <w:pStyle w:val="4"/>
        <w:keepNext w:val="0"/>
        <w:keepLines w:val="0"/>
        <w:pageBreakBefore w:val="0"/>
        <w:widowControl w:val="0"/>
        <w:kinsoku w:val="0"/>
        <w:wordWrap/>
        <w:overflowPunct w:val="0"/>
        <w:topLinePunct w:val="0"/>
        <w:autoSpaceDE w:val="0"/>
        <w:autoSpaceDN w:val="0"/>
        <w:bidi w:val="0"/>
        <w:adjustRightInd w:val="0"/>
        <w:snapToGrid/>
        <w:spacing w:line="360" w:lineRule="auto"/>
        <w:ind w:firstLine="420" w:firstLineChars="200"/>
        <w:jc w:val="both"/>
        <w:textAlignment w:val="auto"/>
        <w:rPr>
          <w:rFonts w:hint="default" w:ascii="宋体" w:hAnsi="宋体" w:eastAsiaTheme="minorEastAsia" w:cstheme="minorBidi"/>
          <w:color w:val="auto"/>
          <w:kern w:val="2"/>
          <w:sz w:val="21"/>
          <w:szCs w:val="21"/>
          <w:lang w:val="en-US" w:eastAsia="zh-CN" w:bidi="ar-SA"/>
        </w:rPr>
      </w:pPr>
      <w:r>
        <w:rPr>
          <w:rFonts w:hint="default" w:ascii="宋体" w:hAnsi="宋体" w:eastAsiaTheme="minorEastAsia" w:cstheme="minorBidi"/>
          <w:color w:val="auto"/>
          <w:kern w:val="2"/>
          <w:sz w:val="21"/>
          <w:szCs w:val="21"/>
          <w:lang w:val="en-US" w:eastAsia="zh-CN" w:bidi="ar-SA"/>
        </w:rPr>
        <w:t>2、本次修订的《</w:t>
      </w:r>
      <w:r>
        <w:rPr>
          <w:rFonts w:hint="eastAsia" w:ascii="宋体" w:hAnsi="宋体" w:eastAsiaTheme="minorEastAsia" w:cstheme="minorBidi"/>
          <w:color w:val="auto"/>
          <w:kern w:val="2"/>
          <w:sz w:val="21"/>
          <w:szCs w:val="21"/>
          <w:lang w:val="en-US" w:eastAsia="zh-CN" w:bidi="ar-SA"/>
        </w:rPr>
        <w:t>电工用铜线坯</w:t>
      </w:r>
      <w:r>
        <w:rPr>
          <w:rFonts w:hint="default" w:ascii="宋体" w:hAnsi="宋体" w:eastAsiaTheme="minorEastAsia" w:cstheme="minorBidi"/>
          <w:color w:val="auto"/>
          <w:kern w:val="2"/>
          <w:sz w:val="21"/>
          <w:szCs w:val="21"/>
          <w:lang w:val="en-US" w:eastAsia="zh-CN" w:bidi="ar-SA"/>
        </w:rPr>
        <w:t>》标准，与生产企业有关，对于标准使用过程中出现的疑问，起草单位有义务进行解释。</w:t>
      </w:r>
    </w:p>
    <w:p w14:paraId="374AB5BD">
      <w:pPr>
        <w:pStyle w:val="4"/>
        <w:keepNext w:val="0"/>
        <w:keepLines w:val="0"/>
        <w:pageBreakBefore w:val="0"/>
        <w:widowControl w:val="0"/>
        <w:kinsoku w:val="0"/>
        <w:wordWrap/>
        <w:overflowPunct w:val="0"/>
        <w:topLinePunct w:val="0"/>
        <w:autoSpaceDE w:val="0"/>
        <w:autoSpaceDN w:val="0"/>
        <w:bidi w:val="0"/>
        <w:adjustRightInd w:val="0"/>
        <w:snapToGrid/>
        <w:spacing w:line="360" w:lineRule="auto"/>
        <w:ind w:firstLine="420" w:firstLineChars="200"/>
        <w:jc w:val="both"/>
        <w:textAlignment w:val="auto"/>
        <w:rPr>
          <w:rFonts w:hint="default" w:ascii="宋体" w:hAnsi="宋体" w:eastAsiaTheme="minorEastAsia" w:cstheme="minorBidi"/>
          <w:color w:val="auto"/>
          <w:kern w:val="2"/>
          <w:sz w:val="21"/>
          <w:szCs w:val="21"/>
          <w:lang w:val="en-US" w:eastAsia="zh-CN" w:bidi="ar-SA"/>
        </w:rPr>
      </w:pPr>
      <w:r>
        <w:rPr>
          <w:rFonts w:hint="default" w:ascii="宋体" w:hAnsi="宋体" w:eastAsiaTheme="minorEastAsia" w:cstheme="minorBidi"/>
          <w:color w:val="auto"/>
          <w:kern w:val="2"/>
          <w:sz w:val="21"/>
          <w:szCs w:val="21"/>
          <w:lang w:val="en-US" w:eastAsia="zh-CN" w:bidi="ar-SA"/>
        </w:rPr>
        <w:t>3、可以针对标准使用的不同对象，有侧重点的进行标准培训和宣贯，以保证标准的贯彻实施。</w:t>
      </w:r>
    </w:p>
    <w:p w14:paraId="43FA50C3">
      <w:pPr>
        <w:pStyle w:val="4"/>
        <w:keepNext w:val="0"/>
        <w:keepLines w:val="0"/>
        <w:pageBreakBefore w:val="0"/>
        <w:widowControl w:val="0"/>
        <w:kinsoku w:val="0"/>
        <w:wordWrap/>
        <w:overflowPunct w:val="0"/>
        <w:topLinePunct w:val="0"/>
        <w:autoSpaceDE w:val="0"/>
        <w:autoSpaceDN w:val="0"/>
        <w:bidi w:val="0"/>
        <w:adjustRightInd w:val="0"/>
        <w:snapToGrid/>
        <w:spacing w:line="360" w:lineRule="auto"/>
        <w:ind w:firstLine="420" w:firstLineChars="200"/>
        <w:jc w:val="both"/>
        <w:textAlignment w:val="auto"/>
        <w:outlineLvl w:val="1"/>
        <w:rPr>
          <w:rFonts w:hint="default" w:ascii="宋体" w:hAnsi="宋体" w:eastAsiaTheme="minorEastAsia" w:cstheme="minorBidi"/>
          <w:color w:val="auto"/>
          <w:kern w:val="2"/>
          <w:sz w:val="21"/>
          <w:szCs w:val="21"/>
          <w:lang w:val="en-US" w:eastAsia="zh-CN" w:bidi="ar-SA"/>
        </w:rPr>
      </w:pPr>
      <w:bookmarkStart w:id="5" w:name="_Toc16662"/>
      <w:r>
        <w:rPr>
          <w:rFonts w:hint="default" w:ascii="宋体" w:hAnsi="宋体" w:eastAsiaTheme="minorEastAsia" w:cstheme="minorBidi"/>
          <w:color w:val="auto"/>
          <w:kern w:val="2"/>
          <w:sz w:val="21"/>
          <w:szCs w:val="21"/>
          <w:lang w:val="en-US" w:eastAsia="zh-CN" w:bidi="ar-SA"/>
        </w:rPr>
        <w:t>4、建议标准发布后6个月实施。</w:t>
      </w:r>
      <w:bookmarkEnd w:id="5"/>
    </w:p>
    <w:p w14:paraId="6F9810AA">
      <w:pPr>
        <w:keepNext w:val="0"/>
        <w:keepLines w:val="0"/>
        <w:pageBreakBefore w:val="0"/>
        <w:kinsoku/>
        <w:wordWrap/>
        <w:overflowPunct/>
        <w:topLinePunct w:val="0"/>
        <w:bidi w:val="0"/>
        <w:snapToGrid/>
        <w:spacing w:beforeLines="50" w:afterLines="50" w:line="360" w:lineRule="auto"/>
        <w:textAlignment w:val="auto"/>
        <w:rPr>
          <w:rFonts w:ascii="黑体" w:hAnsi="宋体" w:eastAsia="黑体" w:cs="宋体"/>
          <w:bCs/>
          <w:color w:val="auto"/>
          <w:sz w:val="21"/>
          <w:szCs w:val="21"/>
        </w:rPr>
      </w:pPr>
      <w:r>
        <w:rPr>
          <w:rFonts w:hint="eastAsia" w:ascii="黑体" w:hAnsi="宋体" w:eastAsia="黑体" w:cs="宋体"/>
          <w:bCs/>
          <w:color w:val="auto"/>
          <w:sz w:val="21"/>
          <w:szCs w:val="21"/>
        </w:rPr>
        <w:t>十、其他</w:t>
      </w:r>
      <w:r>
        <w:rPr>
          <w:rFonts w:hint="eastAsia" w:ascii="黑体" w:hAnsi="宋体" w:eastAsia="黑体" w:cs="宋体"/>
          <w:bCs/>
          <w:color w:val="auto"/>
          <w:sz w:val="21"/>
          <w:szCs w:val="21"/>
          <w:lang w:val="en-US" w:eastAsia="zh-CN"/>
        </w:rPr>
        <w:t>应当说明的事项</w:t>
      </w:r>
      <w:r>
        <w:rPr>
          <w:rFonts w:hint="eastAsia" w:ascii="黑体" w:hAnsi="宋体" w:eastAsia="黑体" w:cs="宋体"/>
          <w:bCs/>
          <w:color w:val="auto"/>
          <w:sz w:val="21"/>
          <w:szCs w:val="21"/>
        </w:rPr>
        <w:t>。</w:t>
      </w:r>
      <w:bookmarkEnd w:id="4"/>
    </w:p>
    <w:p w14:paraId="091F4987">
      <w:pPr>
        <w:keepNext w:val="0"/>
        <w:keepLines w:val="0"/>
        <w:pageBreakBefore w:val="0"/>
        <w:kinsoku/>
        <w:wordWrap/>
        <w:overflowPunct/>
        <w:topLinePunct w:val="0"/>
        <w:bidi w:val="0"/>
        <w:snapToGrid/>
        <w:spacing w:line="360" w:lineRule="auto"/>
        <w:ind w:firstLine="420" w:firstLineChars="200"/>
        <w:textAlignment w:val="auto"/>
        <w:rPr>
          <w:rFonts w:hint="eastAsia" w:ascii="宋体" w:hAnsi="宋体" w:cs="宋体" w:eastAsiaTheme="minorEastAsia"/>
          <w:color w:val="auto"/>
          <w:sz w:val="21"/>
          <w:szCs w:val="21"/>
          <w:lang w:eastAsia="zh-CN"/>
        </w:rPr>
      </w:pPr>
      <w:r>
        <w:rPr>
          <w:rFonts w:hint="eastAsia" w:ascii="宋体" w:hAnsi="宋体" w:cs="宋体"/>
          <w:color w:val="auto"/>
          <w:sz w:val="21"/>
          <w:szCs w:val="21"/>
        </w:rPr>
        <w:t>无。</w:t>
      </w:r>
    </w:p>
    <w:p w14:paraId="55607B84">
      <w:pPr>
        <w:keepNext w:val="0"/>
        <w:keepLines w:val="0"/>
        <w:pageBreakBefore w:val="0"/>
        <w:kinsoku/>
        <w:wordWrap/>
        <w:overflowPunct/>
        <w:topLinePunct w:val="0"/>
        <w:bidi w:val="0"/>
        <w:snapToGrid/>
        <w:spacing w:line="360" w:lineRule="auto"/>
        <w:jc w:val="right"/>
        <w:textAlignment w:val="auto"/>
        <w:rPr>
          <w:rFonts w:ascii="宋体" w:hAnsi="宋体" w:eastAsia="宋体"/>
          <w:color w:val="auto"/>
          <w:sz w:val="21"/>
          <w:szCs w:val="21"/>
        </w:rPr>
      </w:pPr>
      <w:r>
        <w:rPr>
          <w:rFonts w:hint="eastAsia"/>
          <w:color w:val="auto"/>
          <w:sz w:val="21"/>
          <w:szCs w:val="21"/>
        </w:rPr>
        <w:t xml:space="preserve">                             《</w:t>
      </w:r>
      <w:r>
        <w:rPr>
          <w:rFonts w:hint="eastAsia"/>
          <w:color w:val="auto"/>
          <w:sz w:val="21"/>
          <w:szCs w:val="21"/>
          <w:lang w:val="en-US" w:eastAsia="zh-CN"/>
        </w:rPr>
        <w:t>电工用铜线坯</w:t>
      </w:r>
      <w:r>
        <w:rPr>
          <w:rFonts w:hint="eastAsia"/>
          <w:color w:val="auto"/>
          <w:sz w:val="21"/>
          <w:szCs w:val="21"/>
        </w:rPr>
        <w:t>》</w:t>
      </w:r>
      <w:r>
        <w:rPr>
          <w:rFonts w:hint="eastAsia" w:ascii="宋体" w:hAnsi="宋体" w:eastAsia="宋体"/>
          <w:color w:val="auto"/>
          <w:sz w:val="21"/>
          <w:szCs w:val="21"/>
        </w:rPr>
        <w:t>编制组</w:t>
      </w:r>
    </w:p>
    <w:p w14:paraId="5EDE8193">
      <w:pPr>
        <w:keepNext w:val="0"/>
        <w:keepLines w:val="0"/>
        <w:pageBreakBefore w:val="0"/>
        <w:kinsoku/>
        <w:wordWrap/>
        <w:overflowPunct/>
        <w:topLinePunct w:val="0"/>
        <w:bidi w:val="0"/>
        <w:snapToGrid/>
        <w:spacing w:beforeLines="100" w:line="360" w:lineRule="auto"/>
        <w:jc w:val="right"/>
        <w:textAlignment w:val="auto"/>
        <w:rPr>
          <w:rFonts w:hint="default" w:ascii="宋体" w:hAnsi="宋体" w:eastAsia="宋体"/>
          <w:color w:val="auto"/>
          <w:sz w:val="21"/>
          <w:szCs w:val="21"/>
          <w:lang w:val="en-US" w:eastAsia="zh-CN"/>
        </w:rPr>
      </w:pPr>
      <w:r>
        <w:rPr>
          <w:rFonts w:hint="eastAsia" w:ascii="宋体" w:hAnsi="宋体" w:eastAsia="宋体"/>
          <w:color w:val="auto"/>
          <w:sz w:val="21"/>
          <w:szCs w:val="21"/>
        </w:rPr>
        <w:t xml:space="preserve">                             20</w:t>
      </w:r>
      <w:r>
        <w:rPr>
          <w:rFonts w:hint="eastAsia" w:ascii="宋体" w:hAnsi="宋体" w:eastAsia="宋体"/>
          <w:color w:val="auto"/>
          <w:sz w:val="21"/>
          <w:szCs w:val="21"/>
          <w:lang w:val="en-US" w:eastAsia="zh-CN"/>
        </w:rPr>
        <w:t>xx</w:t>
      </w:r>
      <w:r>
        <w:rPr>
          <w:rFonts w:hint="eastAsia" w:ascii="宋体" w:hAnsi="宋体" w:eastAsia="宋体"/>
          <w:color w:val="auto"/>
          <w:sz w:val="21"/>
          <w:szCs w:val="21"/>
        </w:rPr>
        <w:t>年</w:t>
      </w:r>
      <w:r>
        <w:rPr>
          <w:rFonts w:hint="eastAsia" w:ascii="宋体" w:hAnsi="宋体" w:eastAsia="宋体"/>
          <w:color w:val="auto"/>
          <w:sz w:val="21"/>
          <w:szCs w:val="21"/>
          <w:lang w:val="en-US" w:eastAsia="zh-CN"/>
        </w:rPr>
        <w:t>x</w:t>
      </w:r>
      <w:r>
        <w:rPr>
          <w:rFonts w:hint="eastAsia" w:ascii="宋体" w:hAnsi="宋体" w:eastAsia="宋体"/>
          <w:color w:val="auto"/>
          <w:sz w:val="21"/>
          <w:szCs w:val="21"/>
        </w:rPr>
        <w:t>月</w:t>
      </w:r>
      <w:r>
        <w:rPr>
          <w:rFonts w:hint="eastAsia" w:ascii="宋体" w:hAnsi="宋体" w:eastAsia="宋体"/>
          <w:color w:val="auto"/>
          <w:sz w:val="21"/>
          <w:szCs w:val="21"/>
          <w:lang w:val="en-US" w:eastAsia="zh-CN"/>
        </w:rPr>
        <w:t>xx</w:t>
      </w:r>
      <w:r>
        <w:rPr>
          <w:rFonts w:hint="eastAsia" w:ascii="宋体" w:hAnsi="宋体" w:eastAsia="宋体"/>
          <w:color w:val="auto"/>
          <w:sz w:val="21"/>
          <w:szCs w:val="21"/>
        </w:rPr>
        <w:t>日</w:t>
      </w:r>
      <w:r>
        <w:rPr>
          <w:rFonts w:hint="eastAsia" w:ascii="宋体" w:hAnsi="宋体" w:eastAsia="宋体"/>
          <w:color w:val="auto"/>
          <w:sz w:val="21"/>
          <w:szCs w:val="21"/>
          <w:lang w:val="en-US" w:eastAsia="zh-CN"/>
        </w:rPr>
        <w:t>【报批稿形成之日】</w:t>
      </w:r>
    </w:p>
    <w:sectPr>
      <w:pgSz w:w="11906" w:h="16838"/>
      <w:pgMar w:top="1440" w:right="1780" w:bottom="1440" w:left="17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楷体简体">
    <w:altName w:val="宋体"/>
    <w:panose1 w:val="00000000000000000000"/>
    <w:charset w:val="86"/>
    <w:family w:val="script"/>
    <w:pitch w:val="default"/>
    <w:sig w:usb0="00000000" w:usb1="00000000" w:usb2="00000012" w:usb3="00000000" w:csb0="00040001"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E81D36"/>
    <w:multiLevelType w:val="singleLevel"/>
    <w:tmpl w:val="99E81D36"/>
    <w:lvl w:ilvl="0" w:tentative="0">
      <w:start w:val="1"/>
      <w:numFmt w:val="decimal"/>
      <w:suff w:val="nothing"/>
      <w:lvlText w:val="%1）"/>
      <w:lvlJc w:val="left"/>
    </w:lvl>
  </w:abstractNum>
  <w:abstractNum w:abstractNumId="1">
    <w:nsid w:val="DA9F0784"/>
    <w:multiLevelType w:val="singleLevel"/>
    <w:tmpl w:val="DA9F0784"/>
    <w:lvl w:ilvl="0" w:tentative="0">
      <w:start w:val="5"/>
      <w:numFmt w:val="chineseCounting"/>
      <w:suff w:val="nothing"/>
      <w:lvlText w:val="%1、"/>
      <w:lvlJc w:val="left"/>
      <w:rPr>
        <w:rFonts w:hint="eastAsia"/>
      </w:rPr>
    </w:lvl>
  </w:abstractNum>
  <w:abstractNum w:abstractNumId="2">
    <w:nsid w:val="F116BB8D"/>
    <w:multiLevelType w:val="singleLevel"/>
    <w:tmpl w:val="F116BB8D"/>
    <w:lvl w:ilvl="0" w:tentative="0">
      <w:start w:val="1"/>
      <w:numFmt w:val="chineseCounting"/>
      <w:suff w:val="nothing"/>
      <w:lvlText w:val="（%1）"/>
      <w:lvlJc w:val="left"/>
      <w:rPr>
        <w:rFonts w:hint="eastAsia"/>
      </w:rPr>
    </w:lvl>
  </w:abstractNum>
  <w:abstractNum w:abstractNumId="3">
    <w:nsid w:val="04343AA0"/>
    <w:multiLevelType w:val="singleLevel"/>
    <w:tmpl w:val="04343AA0"/>
    <w:lvl w:ilvl="0" w:tentative="0">
      <w:start w:val="2"/>
      <w:numFmt w:val="decimal"/>
      <w:suff w:val="nothing"/>
      <w:lvlText w:val="%1、"/>
      <w:lvlJc w:val="left"/>
    </w:lvl>
  </w:abstractNum>
  <w:abstractNum w:abstractNumId="4">
    <w:nsid w:val="3D9E48DB"/>
    <w:multiLevelType w:val="multilevel"/>
    <w:tmpl w:val="3D9E48DB"/>
    <w:lvl w:ilvl="0" w:tentative="0">
      <w:start w:val="1"/>
      <w:numFmt w:val="decimal"/>
      <w:suff w:val="space"/>
      <w:lvlText w:val="%1"/>
      <w:lvlJc w:val="left"/>
      <w:pPr>
        <w:ind w:left="0" w:leftChars="0" w:firstLine="0" w:firstLineChars="0"/>
      </w:pPr>
      <w:rPr>
        <w:rFonts w:hint="default"/>
      </w:r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5">
    <w:nsid w:val="44C50F90"/>
    <w:multiLevelType w:val="multilevel"/>
    <w:tmpl w:val="44C50F90"/>
    <w:lvl w:ilvl="0" w:tentative="0">
      <w:start w:val="1"/>
      <w:numFmt w:val="lowerLetter"/>
      <w:pStyle w:val="23"/>
      <w:lvlText w:val="%1)"/>
      <w:lvlJc w:val="left"/>
      <w:pPr>
        <w:tabs>
          <w:tab w:val="left" w:pos="851"/>
        </w:tabs>
        <w:ind w:left="851" w:hanging="426"/>
      </w:pPr>
      <w:rPr>
        <w:rFonts w:hint="eastAsia" w:ascii="宋体" w:hAnsi="Times New Roman" w:eastAsia="宋体"/>
        <w:sz w:val="21"/>
      </w:rPr>
    </w:lvl>
    <w:lvl w:ilvl="1" w:tentative="0">
      <w:start w:val="1"/>
      <w:numFmt w:val="decimal"/>
      <w:lvlText w:val="%2)"/>
      <w:lvlJc w:val="left"/>
      <w:pPr>
        <w:tabs>
          <w:tab w:val="left" w:pos="1276"/>
        </w:tabs>
        <w:ind w:left="1276" w:hanging="425"/>
      </w:pPr>
      <w:rPr>
        <w:rFonts w:hint="eastAsia" w:ascii="宋体" w:hAnsi="Times New Roman" w:eastAsia="宋体"/>
        <w:sz w:val="21"/>
      </w:rPr>
    </w:lvl>
    <w:lvl w:ilvl="2" w:tentative="0">
      <w:start w:val="1"/>
      <w:numFmt w:val="decimal"/>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6">
    <w:nsid w:val="4916F4FC"/>
    <w:multiLevelType w:val="singleLevel"/>
    <w:tmpl w:val="4916F4FC"/>
    <w:lvl w:ilvl="0" w:tentative="0">
      <w:start w:val="3"/>
      <w:numFmt w:val="chineseCounting"/>
      <w:suff w:val="nothing"/>
      <w:lvlText w:val="%1、"/>
      <w:lvlJc w:val="left"/>
      <w:rPr>
        <w:rFonts w:hint="eastAsia"/>
      </w:rPr>
    </w:lvl>
  </w:abstractNum>
  <w:abstractNum w:abstractNumId="7">
    <w:nsid w:val="75657C17"/>
    <w:multiLevelType w:val="singleLevel"/>
    <w:tmpl w:val="75657C17"/>
    <w:lvl w:ilvl="0" w:tentative="0">
      <w:start w:val="3"/>
      <w:numFmt w:val="decimal"/>
      <w:suff w:val="nothing"/>
      <w:lvlText w:val="%1、"/>
      <w:lvlJc w:val="left"/>
    </w:lvl>
  </w:abstractNum>
  <w:num w:numId="1">
    <w:abstractNumId w:val="5"/>
  </w:num>
  <w:num w:numId="2">
    <w:abstractNumId w:val="0"/>
  </w:num>
  <w:num w:numId="3">
    <w:abstractNumId w:val="4"/>
  </w:num>
  <w:num w:numId="4">
    <w:abstractNumId w:val="3"/>
  </w:num>
  <w:num w:numId="5">
    <w:abstractNumId w:val="7"/>
  </w:num>
  <w:num w:numId="6">
    <w:abstractNumId w:val="6"/>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MxNGEzNDk1ZjY1ZDdlOWU3ZmFiZDlhOTM4NTZhMjEifQ=="/>
  </w:docVars>
  <w:rsids>
    <w:rsidRoot w:val="0049152D"/>
    <w:rsid w:val="00000899"/>
    <w:rsid w:val="00002C81"/>
    <w:rsid w:val="0000483E"/>
    <w:rsid w:val="0000533A"/>
    <w:rsid w:val="00006069"/>
    <w:rsid w:val="00007345"/>
    <w:rsid w:val="0000734E"/>
    <w:rsid w:val="000119A5"/>
    <w:rsid w:val="00011F52"/>
    <w:rsid w:val="0001287D"/>
    <w:rsid w:val="00013051"/>
    <w:rsid w:val="00013700"/>
    <w:rsid w:val="00014230"/>
    <w:rsid w:val="000142A3"/>
    <w:rsid w:val="0001434A"/>
    <w:rsid w:val="000146E1"/>
    <w:rsid w:val="00015683"/>
    <w:rsid w:val="00015B66"/>
    <w:rsid w:val="00016452"/>
    <w:rsid w:val="00016C1B"/>
    <w:rsid w:val="000174E9"/>
    <w:rsid w:val="00017703"/>
    <w:rsid w:val="00020B8D"/>
    <w:rsid w:val="00020E6C"/>
    <w:rsid w:val="0002350F"/>
    <w:rsid w:val="00025C36"/>
    <w:rsid w:val="00026B44"/>
    <w:rsid w:val="00026C0C"/>
    <w:rsid w:val="000312D7"/>
    <w:rsid w:val="00032958"/>
    <w:rsid w:val="00033C9E"/>
    <w:rsid w:val="00035A30"/>
    <w:rsid w:val="000362EA"/>
    <w:rsid w:val="0003648A"/>
    <w:rsid w:val="000370C9"/>
    <w:rsid w:val="000376FC"/>
    <w:rsid w:val="00041459"/>
    <w:rsid w:val="000425E5"/>
    <w:rsid w:val="00043943"/>
    <w:rsid w:val="00047256"/>
    <w:rsid w:val="00047897"/>
    <w:rsid w:val="00047C97"/>
    <w:rsid w:val="000538E0"/>
    <w:rsid w:val="00053978"/>
    <w:rsid w:val="000543AE"/>
    <w:rsid w:val="00056B2E"/>
    <w:rsid w:val="00057549"/>
    <w:rsid w:val="00060E9C"/>
    <w:rsid w:val="00061A95"/>
    <w:rsid w:val="00061BAC"/>
    <w:rsid w:val="00062BA9"/>
    <w:rsid w:val="000630E4"/>
    <w:rsid w:val="0006311A"/>
    <w:rsid w:val="000632D5"/>
    <w:rsid w:val="000634E4"/>
    <w:rsid w:val="00063E72"/>
    <w:rsid w:val="000647B0"/>
    <w:rsid w:val="000647D1"/>
    <w:rsid w:val="000648D5"/>
    <w:rsid w:val="00064F0E"/>
    <w:rsid w:val="0006509C"/>
    <w:rsid w:val="000661DC"/>
    <w:rsid w:val="0006634E"/>
    <w:rsid w:val="00067F99"/>
    <w:rsid w:val="0007025D"/>
    <w:rsid w:val="0007113B"/>
    <w:rsid w:val="00072938"/>
    <w:rsid w:val="00072B7E"/>
    <w:rsid w:val="00073823"/>
    <w:rsid w:val="000738A3"/>
    <w:rsid w:val="00073EA4"/>
    <w:rsid w:val="00074BD0"/>
    <w:rsid w:val="00075228"/>
    <w:rsid w:val="00076905"/>
    <w:rsid w:val="00083504"/>
    <w:rsid w:val="00083671"/>
    <w:rsid w:val="0008539E"/>
    <w:rsid w:val="0008748A"/>
    <w:rsid w:val="00087579"/>
    <w:rsid w:val="00090932"/>
    <w:rsid w:val="0009564E"/>
    <w:rsid w:val="000956AA"/>
    <w:rsid w:val="00095716"/>
    <w:rsid w:val="00095B00"/>
    <w:rsid w:val="000968E7"/>
    <w:rsid w:val="000A25DA"/>
    <w:rsid w:val="000A2674"/>
    <w:rsid w:val="000A46E3"/>
    <w:rsid w:val="000A68B0"/>
    <w:rsid w:val="000A68DC"/>
    <w:rsid w:val="000B0288"/>
    <w:rsid w:val="000B12AD"/>
    <w:rsid w:val="000B20BA"/>
    <w:rsid w:val="000C2E3D"/>
    <w:rsid w:val="000C4435"/>
    <w:rsid w:val="000C7BE6"/>
    <w:rsid w:val="000D004B"/>
    <w:rsid w:val="000D146E"/>
    <w:rsid w:val="000D255F"/>
    <w:rsid w:val="000D2968"/>
    <w:rsid w:val="000D3C54"/>
    <w:rsid w:val="000D419A"/>
    <w:rsid w:val="000D6C50"/>
    <w:rsid w:val="000E0E5D"/>
    <w:rsid w:val="000E12A2"/>
    <w:rsid w:val="000E2F2B"/>
    <w:rsid w:val="000E3BE4"/>
    <w:rsid w:val="000E5601"/>
    <w:rsid w:val="000E5B35"/>
    <w:rsid w:val="000E7291"/>
    <w:rsid w:val="000E7398"/>
    <w:rsid w:val="000E7492"/>
    <w:rsid w:val="000E75F6"/>
    <w:rsid w:val="000F0726"/>
    <w:rsid w:val="000F21CD"/>
    <w:rsid w:val="000F2931"/>
    <w:rsid w:val="000F60BA"/>
    <w:rsid w:val="000F7EE8"/>
    <w:rsid w:val="0010164F"/>
    <w:rsid w:val="00103B79"/>
    <w:rsid w:val="00103F5A"/>
    <w:rsid w:val="001043C6"/>
    <w:rsid w:val="0011080B"/>
    <w:rsid w:val="00112E27"/>
    <w:rsid w:val="001133B5"/>
    <w:rsid w:val="0011342C"/>
    <w:rsid w:val="00115E89"/>
    <w:rsid w:val="001169BC"/>
    <w:rsid w:val="001172DB"/>
    <w:rsid w:val="0011791C"/>
    <w:rsid w:val="0011799D"/>
    <w:rsid w:val="00117A27"/>
    <w:rsid w:val="00120FE8"/>
    <w:rsid w:val="001215B6"/>
    <w:rsid w:val="00122E35"/>
    <w:rsid w:val="00123CA5"/>
    <w:rsid w:val="00125817"/>
    <w:rsid w:val="00125CAC"/>
    <w:rsid w:val="00126111"/>
    <w:rsid w:val="001268D7"/>
    <w:rsid w:val="00130CC9"/>
    <w:rsid w:val="0013566C"/>
    <w:rsid w:val="001360C1"/>
    <w:rsid w:val="001421CF"/>
    <w:rsid w:val="00142C75"/>
    <w:rsid w:val="00143A39"/>
    <w:rsid w:val="00144F28"/>
    <w:rsid w:val="00145147"/>
    <w:rsid w:val="00145188"/>
    <w:rsid w:val="001455A0"/>
    <w:rsid w:val="00147858"/>
    <w:rsid w:val="001502D3"/>
    <w:rsid w:val="0015114D"/>
    <w:rsid w:val="001517E4"/>
    <w:rsid w:val="00151DFA"/>
    <w:rsid w:val="00152A50"/>
    <w:rsid w:val="00152CEE"/>
    <w:rsid w:val="00152F27"/>
    <w:rsid w:val="001531DA"/>
    <w:rsid w:val="0016143F"/>
    <w:rsid w:val="00161FB3"/>
    <w:rsid w:val="00162FCD"/>
    <w:rsid w:val="00164041"/>
    <w:rsid w:val="00164320"/>
    <w:rsid w:val="0016453D"/>
    <w:rsid w:val="00165B11"/>
    <w:rsid w:val="00167FF7"/>
    <w:rsid w:val="001710BE"/>
    <w:rsid w:val="001728AD"/>
    <w:rsid w:val="00173330"/>
    <w:rsid w:val="00175F20"/>
    <w:rsid w:val="0017788A"/>
    <w:rsid w:val="00180F34"/>
    <w:rsid w:val="00181FDF"/>
    <w:rsid w:val="00183DBE"/>
    <w:rsid w:val="00183F8C"/>
    <w:rsid w:val="00184A11"/>
    <w:rsid w:val="00185294"/>
    <w:rsid w:val="00186327"/>
    <w:rsid w:val="001866BE"/>
    <w:rsid w:val="001868B2"/>
    <w:rsid w:val="0019074F"/>
    <w:rsid w:val="001909E7"/>
    <w:rsid w:val="0019306C"/>
    <w:rsid w:val="001936E4"/>
    <w:rsid w:val="001945B5"/>
    <w:rsid w:val="00194AB3"/>
    <w:rsid w:val="00195204"/>
    <w:rsid w:val="0019675D"/>
    <w:rsid w:val="00196900"/>
    <w:rsid w:val="00196D91"/>
    <w:rsid w:val="0019747E"/>
    <w:rsid w:val="001976D2"/>
    <w:rsid w:val="00197920"/>
    <w:rsid w:val="001A0EA6"/>
    <w:rsid w:val="001A2F17"/>
    <w:rsid w:val="001A577D"/>
    <w:rsid w:val="001B1F37"/>
    <w:rsid w:val="001B2EA2"/>
    <w:rsid w:val="001B548E"/>
    <w:rsid w:val="001B6C1B"/>
    <w:rsid w:val="001B7E54"/>
    <w:rsid w:val="001C010F"/>
    <w:rsid w:val="001C1800"/>
    <w:rsid w:val="001C1A61"/>
    <w:rsid w:val="001C1C7F"/>
    <w:rsid w:val="001C3BD9"/>
    <w:rsid w:val="001C3C44"/>
    <w:rsid w:val="001C5F5B"/>
    <w:rsid w:val="001C63FA"/>
    <w:rsid w:val="001C6400"/>
    <w:rsid w:val="001C64E2"/>
    <w:rsid w:val="001D1CBF"/>
    <w:rsid w:val="001D29BF"/>
    <w:rsid w:val="001D2E17"/>
    <w:rsid w:val="001D3A88"/>
    <w:rsid w:val="001D4C7B"/>
    <w:rsid w:val="001D50AF"/>
    <w:rsid w:val="001E0750"/>
    <w:rsid w:val="001E1C8D"/>
    <w:rsid w:val="001E2613"/>
    <w:rsid w:val="001E35D2"/>
    <w:rsid w:val="001E5CB5"/>
    <w:rsid w:val="001E7143"/>
    <w:rsid w:val="001E77A0"/>
    <w:rsid w:val="001F0609"/>
    <w:rsid w:val="001F1028"/>
    <w:rsid w:val="001F18F7"/>
    <w:rsid w:val="001F21E5"/>
    <w:rsid w:val="001F3BE7"/>
    <w:rsid w:val="001F4570"/>
    <w:rsid w:val="001F64BD"/>
    <w:rsid w:val="001F7AA9"/>
    <w:rsid w:val="001F7D16"/>
    <w:rsid w:val="001F7D87"/>
    <w:rsid w:val="002007E1"/>
    <w:rsid w:val="00201957"/>
    <w:rsid w:val="002028F6"/>
    <w:rsid w:val="00202F21"/>
    <w:rsid w:val="00203916"/>
    <w:rsid w:val="00204E1B"/>
    <w:rsid w:val="00205696"/>
    <w:rsid w:val="00210806"/>
    <w:rsid w:val="00210D97"/>
    <w:rsid w:val="00211DAA"/>
    <w:rsid w:val="00212C2F"/>
    <w:rsid w:val="00213C05"/>
    <w:rsid w:val="00213CB8"/>
    <w:rsid w:val="002149D3"/>
    <w:rsid w:val="00215CF2"/>
    <w:rsid w:val="00217EB2"/>
    <w:rsid w:val="00221A02"/>
    <w:rsid w:val="00221D88"/>
    <w:rsid w:val="0022398D"/>
    <w:rsid w:val="002252C9"/>
    <w:rsid w:val="00230C35"/>
    <w:rsid w:val="00231422"/>
    <w:rsid w:val="00232045"/>
    <w:rsid w:val="002320C8"/>
    <w:rsid w:val="00233226"/>
    <w:rsid w:val="00233A1C"/>
    <w:rsid w:val="0023455B"/>
    <w:rsid w:val="00234F74"/>
    <w:rsid w:val="00234FE4"/>
    <w:rsid w:val="00235328"/>
    <w:rsid w:val="002356F0"/>
    <w:rsid w:val="00240E23"/>
    <w:rsid w:val="00246A1A"/>
    <w:rsid w:val="00251FCE"/>
    <w:rsid w:val="002531B1"/>
    <w:rsid w:val="0025380C"/>
    <w:rsid w:val="00254BF3"/>
    <w:rsid w:val="002601E8"/>
    <w:rsid w:val="00260A33"/>
    <w:rsid w:val="00260CFE"/>
    <w:rsid w:val="0026166B"/>
    <w:rsid w:val="0026175A"/>
    <w:rsid w:val="00262CCF"/>
    <w:rsid w:val="00262E37"/>
    <w:rsid w:val="0026368F"/>
    <w:rsid w:val="00263946"/>
    <w:rsid w:val="00264E80"/>
    <w:rsid w:val="002653CB"/>
    <w:rsid w:val="002662BE"/>
    <w:rsid w:val="00267B20"/>
    <w:rsid w:val="00271A24"/>
    <w:rsid w:val="002727E2"/>
    <w:rsid w:val="002727F2"/>
    <w:rsid w:val="00276418"/>
    <w:rsid w:val="002766E1"/>
    <w:rsid w:val="00277D55"/>
    <w:rsid w:val="00277DE9"/>
    <w:rsid w:val="00280742"/>
    <w:rsid w:val="00281A43"/>
    <w:rsid w:val="002870F4"/>
    <w:rsid w:val="002931B8"/>
    <w:rsid w:val="00293432"/>
    <w:rsid w:val="00293797"/>
    <w:rsid w:val="002A119B"/>
    <w:rsid w:val="002A1596"/>
    <w:rsid w:val="002A39FC"/>
    <w:rsid w:val="002A477A"/>
    <w:rsid w:val="002A52DB"/>
    <w:rsid w:val="002A5373"/>
    <w:rsid w:val="002A61D8"/>
    <w:rsid w:val="002A7451"/>
    <w:rsid w:val="002B0BEE"/>
    <w:rsid w:val="002B12B9"/>
    <w:rsid w:val="002B1C35"/>
    <w:rsid w:val="002B2BCB"/>
    <w:rsid w:val="002B33F4"/>
    <w:rsid w:val="002B351D"/>
    <w:rsid w:val="002B45E4"/>
    <w:rsid w:val="002B4A70"/>
    <w:rsid w:val="002B6C88"/>
    <w:rsid w:val="002C11C3"/>
    <w:rsid w:val="002C33FD"/>
    <w:rsid w:val="002C3F54"/>
    <w:rsid w:val="002C6308"/>
    <w:rsid w:val="002C7E20"/>
    <w:rsid w:val="002D16DB"/>
    <w:rsid w:val="002D29B7"/>
    <w:rsid w:val="002D6F42"/>
    <w:rsid w:val="002D75D7"/>
    <w:rsid w:val="002E22A3"/>
    <w:rsid w:val="002E34A8"/>
    <w:rsid w:val="002E3C9C"/>
    <w:rsid w:val="002E7402"/>
    <w:rsid w:val="002E743E"/>
    <w:rsid w:val="002F0868"/>
    <w:rsid w:val="002F0A63"/>
    <w:rsid w:val="002F18EC"/>
    <w:rsid w:val="002F3E1F"/>
    <w:rsid w:val="002F3FA9"/>
    <w:rsid w:val="002F4638"/>
    <w:rsid w:val="002F47B1"/>
    <w:rsid w:val="002F56D7"/>
    <w:rsid w:val="002F6351"/>
    <w:rsid w:val="002F6E9F"/>
    <w:rsid w:val="002F7378"/>
    <w:rsid w:val="00300AFD"/>
    <w:rsid w:val="00301047"/>
    <w:rsid w:val="00304AE0"/>
    <w:rsid w:val="003058A9"/>
    <w:rsid w:val="00306204"/>
    <w:rsid w:val="00310C92"/>
    <w:rsid w:val="00311726"/>
    <w:rsid w:val="00311A03"/>
    <w:rsid w:val="00311EF2"/>
    <w:rsid w:val="00311F46"/>
    <w:rsid w:val="00321BF3"/>
    <w:rsid w:val="003222DE"/>
    <w:rsid w:val="00323A14"/>
    <w:rsid w:val="00326E25"/>
    <w:rsid w:val="00327C26"/>
    <w:rsid w:val="0033114F"/>
    <w:rsid w:val="00332590"/>
    <w:rsid w:val="0033375D"/>
    <w:rsid w:val="003341F6"/>
    <w:rsid w:val="00334FD6"/>
    <w:rsid w:val="0033778F"/>
    <w:rsid w:val="00337C4B"/>
    <w:rsid w:val="00340915"/>
    <w:rsid w:val="00340C08"/>
    <w:rsid w:val="00340C89"/>
    <w:rsid w:val="0034101B"/>
    <w:rsid w:val="00341EAD"/>
    <w:rsid w:val="0034335F"/>
    <w:rsid w:val="0034452B"/>
    <w:rsid w:val="00344AA8"/>
    <w:rsid w:val="00345E08"/>
    <w:rsid w:val="00350386"/>
    <w:rsid w:val="003520BC"/>
    <w:rsid w:val="003530CC"/>
    <w:rsid w:val="00353342"/>
    <w:rsid w:val="00353EE8"/>
    <w:rsid w:val="0035503B"/>
    <w:rsid w:val="00357AB2"/>
    <w:rsid w:val="0036126F"/>
    <w:rsid w:val="0036236D"/>
    <w:rsid w:val="0036516E"/>
    <w:rsid w:val="0036648C"/>
    <w:rsid w:val="0036699F"/>
    <w:rsid w:val="00366FD6"/>
    <w:rsid w:val="00370D90"/>
    <w:rsid w:val="00371730"/>
    <w:rsid w:val="0037462A"/>
    <w:rsid w:val="00376214"/>
    <w:rsid w:val="003764C4"/>
    <w:rsid w:val="00376D7D"/>
    <w:rsid w:val="0038013C"/>
    <w:rsid w:val="0038064F"/>
    <w:rsid w:val="003807E6"/>
    <w:rsid w:val="003829D3"/>
    <w:rsid w:val="003854A7"/>
    <w:rsid w:val="003859E4"/>
    <w:rsid w:val="00387C73"/>
    <w:rsid w:val="00390678"/>
    <w:rsid w:val="003907CF"/>
    <w:rsid w:val="00395D8B"/>
    <w:rsid w:val="003966FD"/>
    <w:rsid w:val="003A004A"/>
    <w:rsid w:val="003A0A71"/>
    <w:rsid w:val="003A0D28"/>
    <w:rsid w:val="003A0E43"/>
    <w:rsid w:val="003A0F8D"/>
    <w:rsid w:val="003A226A"/>
    <w:rsid w:val="003A3735"/>
    <w:rsid w:val="003A3C95"/>
    <w:rsid w:val="003B0813"/>
    <w:rsid w:val="003B159B"/>
    <w:rsid w:val="003B1D01"/>
    <w:rsid w:val="003B2710"/>
    <w:rsid w:val="003B30B6"/>
    <w:rsid w:val="003B5DA9"/>
    <w:rsid w:val="003B6FED"/>
    <w:rsid w:val="003C0561"/>
    <w:rsid w:val="003C0C3F"/>
    <w:rsid w:val="003C1DF8"/>
    <w:rsid w:val="003C259D"/>
    <w:rsid w:val="003C4551"/>
    <w:rsid w:val="003C45CD"/>
    <w:rsid w:val="003C5329"/>
    <w:rsid w:val="003D00B3"/>
    <w:rsid w:val="003D078B"/>
    <w:rsid w:val="003D23D7"/>
    <w:rsid w:val="003D2D50"/>
    <w:rsid w:val="003D2E34"/>
    <w:rsid w:val="003D3021"/>
    <w:rsid w:val="003D3613"/>
    <w:rsid w:val="003D6715"/>
    <w:rsid w:val="003D697A"/>
    <w:rsid w:val="003D70CD"/>
    <w:rsid w:val="003D763B"/>
    <w:rsid w:val="003D77DA"/>
    <w:rsid w:val="003E0B81"/>
    <w:rsid w:val="003E1850"/>
    <w:rsid w:val="003E28B7"/>
    <w:rsid w:val="003E29D5"/>
    <w:rsid w:val="003E57D1"/>
    <w:rsid w:val="003E6ADF"/>
    <w:rsid w:val="003E6EF7"/>
    <w:rsid w:val="003F49C6"/>
    <w:rsid w:val="003F555E"/>
    <w:rsid w:val="003F614E"/>
    <w:rsid w:val="003F7502"/>
    <w:rsid w:val="003F7BA1"/>
    <w:rsid w:val="00406567"/>
    <w:rsid w:val="0040765C"/>
    <w:rsid w:val="004076E2"/>
    <w:rsid w:val="0040773D"/>
    <w:rsid w:val="00407C11"/>
    <w:rsid w:val="00410088"/>
    <w:rsid w:val="004116FB"/>
    <w:rsid w:val="00412931"/>
    <w:rsid w:val="00414A71"/>
    <w:rsid w:val="004153B6"/>
    <w:rsid w:val="00416FB1"/>
    <w:rsid w:val="00417CE4"/>
    <w:rsid w:val="00421809"/>
    <w:rsid w:val="00422048"/>
    <w:rsid w:val="00424370"/>
    <w:rsid w:val="00425776"/>
    <w:rsid w:val="00425D82"/>
    <w:rsid w:val="004261BD"/>
    <w:rsid w:val="00427873"/>
    <w:rsid w:val="00430126"/>
    <w:rsid w:val="004301D5"/>
    <w:rsid w:val="004304B8"/>
    <w:rsid w:val="00432144"/>
    <w:rsid w:val="00435E7B"/>
    <w:rsid w:val="0043627F"/>
    <w:rsid w:val="0043704E"/>
    <w:rsid w:val="00440278"/>
    <w:rsid w:val="004405DE"/>
    <w:rsid w:val="0044264F"/>
    <w:rsid w:val="00442AA5"/>
    <w:rsid w:val="0044332E"/>
    <w:rsid w:val="00444E84"/>
    <w:rsid w:val="0044667C"/>
    <w:rsid w:val="00446C4C"/>
    <w:rsid w:val="004514C8"/>
    <w:rsid w:val="00451F87"/>
    <w:rsid w:val="00452906"/>
    <w:rsid w:val="004529DD"/>
    <w:rsid w:val="00452DAC"/>
    <w:rsid w:val="00453850"/>
    <w:rsid w:val="00454EB1"/>
    <w:rsid w:val="004565BC"/>
    <w:rsid w:val="004576A5"/>
    <w:rsid w:val="00460FA1"/>
    <w:rsid w:val="00462143"/>
    <w:rsid w:val="0046322F"/>
    <w:rsid w:val="004666E1"/>
    <w:rsid w:val="0046734F"/>
    <w:rsid w:val="004720CB"/>
    <w:rsid w:val="004728DF"/>
    <w:rsid w:val="00473AA0"/>
    <w:rsid w:val="0047455F"/>
    <w:rsid w:val="00474C54"/>
    <w:rsid w:val="004765D1"/>
    <w:rsid w:val="004767A9"/>
    <w:rsid w:val="00476BD5"/>
    <w:rsid w:val="00480137"/>
    <w:rsid w:val="00480F80"/>
    <w:rsid w:val="00480FD3"/>
    <w:rsid w:val="00481581"/>
    <w:rsid w:val="0048184E"/>
    <w:rsid w:val="00482782"/>
    <w:rsid w:val="004840FC"/>
    <w:rsid w:val="00486195"/>
    <w:rsid w:val="004863ED"/>
    <w:rsid w:val="00486436"/>
    <w:rsid w:val="004869D0"/>
    <w:rsid w:val="00487974"/>
    <w:rsid w:val="004900F7"/>
    <w:rsid w:val="0049152D"/>
    <w:rsid w:val="00494307"/>
    <w:rsid w:val="004943AB"/>
    <w:rsid w:val="00495C7F"/>
    <w:rsid w:val="00496CFF"/>
    <w:rsid w:val="00497207"/>
    <w:rsid w:val="004A1953"/>
    <w:rsid w:val="004A28E4"/>
    <w:rsid w:val="004A2B95"/>
    <w:rsid w:val="004B0F1A"/>
    <w:rsid w:val="004B12D0"/>
    <w:rsid w:val="004C37E3"/>
    <w:rsid w:val="004C5DDC"/>
    <w:rsid w:val="004C639B"/>
    <w:rsid w:val="004C7324"/>
    <w:rsid w:val="004D0ACA"/>
    <w:rsid w:val="004D29DA"/>
    <w:rsid w:val="004D3777"/>
    <w:rsid w:val="004E166F"/>
    <w:rsid w:val="004E1E35"/>
    <w:rsid w:val="004E353D"/>
    <w:rsid w:val="004E4B54"/>
    <w:rsid w:val="004E5227"/>
    <w:rsid w:val="004E555F"/>
    <w:rsid w:val="004E6E7F"/>
    <w:rsid w:val="004F40C5"/>
    <w:rsid w:val="004F4C96"/>
    <w:rsid w:val="004F69A5"/>
    <w:rsid w:val="004F76C2"/>
    <w:rsid w:val="00500130"/>
    <w:rsid w:val="00504978"/>
    <w:rsid w:val="0050730B"/>
    <w:rsid w:val="00511BD6"/>
    <w:rsid w:val="0051428E"/>
    <w:rsid w:val="005147F3"/>
    <w:rsid w:val="00515D70"/>
    <w:rsid w:val="00517579"/>
    <w:rsid w:val="005176CE"/>
    <w:rsid w:val="005200E9"/>
    <w:rsid w:val="00522BD3"/>
    <w:rsid w:val="00523E5C"/>
    <w:rsid w:val="00524C16"/>
    <w:rsid w:val="005254B4"/>
    <w:rsid w:val="00525782"/>
    <w:rsid w:val="005267EB"/>
    <w:rsid w:val="00526A34"/>
    <w:rsid w:val="00526AAF"/>
    <w:rsid w:val="005276A6"/>
    <w:rsid w:val="00531DC8"/>
    <w:rsid w:val="00532265"/>
    <w:rsid w:val="00533A74"/>
    <w:rsid w:val="0053413C"/>
    <w:rsid w:val="00534433"/>
    <w:rsid w:val="00535449"/>
    <w:rsid w:val="00535487"/>
    <w:rsid w:val="00536839"/>
    <w:rsid w:val="00540BF2"/>
    <w:rsid w:val="0054112B"/>
    <w:rsid w:val="0054246B"/>
    <w:rsid w:val="005425CC"/>
    <w:rsid w:val="0054373A"/>
    <w:rsid w:val="005446B5"/>
    <w:rsid w:val="0054479D"/>
    <w:rsid w:val="00544E4C"/>
    <w:rsid w:val="005452B7"/>
    <w:rsid w:val="005464CA"/>
    <w:rsid w:val="00550C8A"/>
    <w:rsid w:val="00550D1E"/>
    <w:rsid w:val="00552199"/>
    <w:rsid w:val="0055331E"/>
    <w:rsid w:val="005562D8"/>
    <w:rsid w:val="00557088"/>
    <w:rsid w:val="00561B33"/>
    <w:rsid w:val="00563071"/>
    <w:rsid w:val="005652D7"/>
    <w:rsid w:val="00573390"/>
    <w:rsid w:val="005757B3"/>
    <w:rsid w:val="0057757C"/>
    <w:rsid w:val="0058145D"/>
    <w:rsid w:val="00582510"/>
    <w:rsid w:val="00582834"/>
    <w:rsid w:val="005829BF"/>
    <w:rsid w:val="00582FD9"/>
    <w:rsid w:val="00583048"/>
    <w:rsid w:val="00583845"/>
    <w:rsid w:val="00583960"/>
    <w:rsid w:val="005849A6"/>
    <w:rsid w:val="005859AF"/>
    <w:rsid w:val="00590E7B"/>
    <w:rsid w:val="00591422"/>
    <w:rsid w:val="005940E3"/>
    <w:rsid w:val="005946AF"/>
    <w:rsid w:val="005947B8"/>
    <w:rsid w:val="0059508E"/>
    <w:rsid w:val="00595137"/>
    <w:rsid w:val="00595729"/>
    <w:rsid w:val="00596591"/>
    <w:rsid w:val="005A0829"/>
    <w:rsid w:val="005A0EB2"/>
    <w:rsid w:val="005A1119"/>
    <w:rsid w:val="005A264C"/>
    <w:rsid w:val="005A3477"/>
    <w:rsid w:val="005A366C"/>
    <w:rsid w:val="005A3B0F"/>
    <w:rsid w:val="005A3B3F"/>
    <w:rsid w:val="005B1210"/>
    <w:rsid w:val="005B15F5"/>
    <w:rsid w:val="005B2378"/>
    <w:rsid w:val="005B58D2"/>
    <w:rsid w:val="005B6AD4"/>
    <w:rsid w:val="005B6B92"/>
    <w:rsid w:val="005B7284"/>
    <w:rsid w:val="005C0088"/>
    <w:rsid w:val="005C0357"/>
    <w:rsid w:val="005C0611"/>
    <w:rsid w:val="005C0980"/>
    <w:rsid w:val="005C0D65"/>
    <w:rsid w:val="005C0EE2"/>
    <w:rsid w:val="005C14A3"/>
    <w:rsid w:val="005C153A"/>
    <w:rsid w:val="005C1E43"/>
    <w:rsid w:val="005C40D0"/>
    <w:rsid w:val="005C566E"/>
    <w:rsid w:val="005D069C"/>
    <w:rsid w:val="005D179F"/>
    <w:rsid w:val="005D1EDE"/>
    <w:rsid w:val="005D489F"/>
    <w:rsid w:val="005D6DF8"/>
    <w:rsid w:val="005E200B"/>
    <w:rsid w:val="005E2355"/>
    <w:rsid w:val="005E3A3E"/>
    <w:rsid w:val="005E6CA1"/>
    <w:rsid w:val="005E702C"/>
    <w:rsid w:val="005E73C2"/>
    <w:rsid w:val="005E7C44"/>
    <w:rsid w:val="005F197A"/>
    <w:rsid w:val="005F2927"/>
    <w:rsid w:val="005F2DF7"/>
    <w:rsid w:val="005F3007"/>
    <w:rsid w:val="005F304B"/>
    <w:rsid w:val="005F5F6F"/>
    <w:rsid w:val="005F698A"/>
    <w:rsid w:val="00600538"/>
    <w:rsid w:val="00605CDD"/>
    <w:rsid w:val="00605EA7"/>
    <w:rsid w:val="0060674D"/>
    <w:rsid w:val="00606A00"/>
    <w:rsid w:val="00607A0D"/>
    <w:rsid w:val="006107CF"/>
    <w:rsid w:val="006110A4"/>
    <w:rsid w:val="0061333F"/>
    <w:rsid w:val="0061335C"/>
    <w:rsid w:val="00613FB1"/>
    <w:rsid w:val="006147B6"/>
    <w:rsid w:val="006155CA"/>
    <w:rsid w:val="0061668E"/>
    <w:rsid w:val="00616F62"/>
    <w:rsid w:val="006170F3"/>
    <w:rsid w:val="0061742C"/>
    <w:rsid w:val="006179B6"/>
    <w:rsid w:val="00621FD6"/>
    <w:rsid w:val="00624E56"/>
    <w:rsid w:val="00625A71"/>
    <w:rsid w:val="00627441"/>
    <w:rsid w:val="006316F9"/>
    <w:rsid w:val="006325B0"/>
    <w:rsid w:val="0063264C"/>
    <w:rsid w:val="006328AF"/>
    <w:rsid w:val="006331CE"/>
    <w:rsid w:val="00633980"/>
    <w:rsid w:val="00633EE8"/>
    <w:rsid w:val="006350C0"/>
    <w:rsid w:val="00636185"/>
    <w:rsid w:val="0063664A"/>
    <w:rsid w:val="0063792B"/>
    <w:rsid w:val="006425BC"/>
    <w:rsid w:val="00644904"/>
    <w:rsid w:val="00644F62"/>
    <w:rsid w:val="006451CB"/>
    <w:rsid w:val="00645383"/>
    <w:rsid w:val="00646E4E"/>
    <w:rsid w:val="0064758B"/>
    <w:rsid w:val="0064769A"/>
    <w:rsid w:val="00650546"/>
    <w:rsid w:val="006518DC"/>
    <w:rsid w:val="006519D0"/>
    <w:rsid w:val="00652836"/>
    <w:rsid w:val="0065321E"/>
    <w:rsid w:val="006533FD"/>
    <w:rsid w:val="00653D6B"/>
    <w:rsid w:val="006550B2"/>
    <w:rsid w:val="0065605D"/>
    <w:rsid w:val="006570C7"/>
    <w:rsid w:val="006577D8"/>
    <w:rsid w:val="00657B29"/>
    <w:rsid w:val="00657B50"/>
    <w:rsid w:val="006602A7"/>
    <w:rsid w:val="00660496"/>
    <w:rsid w:val="00660F14"/>
    <w:rsid w:val="0066162E"/>
    <w:rsid w:val="006617FA"/>
    <w:rsid w:val="00661B7A"/>
    <w:rsid w:val="00663325"/>
    <w:rsid w:val="006636FE"/>
    <w:rsid w:val="00664255"/>
    <w:rsid w:val="00664476"/>
    <w:rsid w:val="00664A10"/>
    <w:rsid w:val="0066541E"/>
    <w:rsid w:val="006654CA"/>
    <w:rsid w:val="00665C20"/>
    <w:rsid w:val="00673DCE"/>
    <w:rsid w:val="006749E5"/>
    <w:rsid w:val="00675C9D"/>
    <w:rsid w:val="00675DA5"/>
    <w:rsid w:val="00676165"/>
    <w:rsid w:val="00676CB1"/>
    <w:rsid w:val="00686291"/>
    <w:rsid w:val="00686FA4"/>
    <w:rsid w:val="00691E65"/>
    <w:rsid w:val="00691EA1"/>
    <w:rsid w:val="00693886"/>
    <w:rsid w:val="00694BE9"/>
    <w:rsid w:val="00696114"/>
    <w:rsid w:val="0069667F"/>
    <w:rsid w:val="00696D4A"/>
    <w:rsid w:val="006974AF"/>
    <w:rsid w:val="00697728"/>
    <w:rsid w:val="006A03C8"/>
    <w:rsid w:val="006A07EB"/>
    <w:rsid w:val="006A1279"/>
    <w:rsid w:val="006A1CD6"/>
    <w:rsid w:val="006A362D"/>
    <w:rsid w:val="006A5E39"/>
    <w:rsid w:val="006A615E"/>
    <w:rsid w:val="006A641C"/>
    <w:rsid w:val="006B048C"/>
    <w:rsid w:val="006B210C"/>
    <w:rsid w:val="006B2C4A"/>
    <w:rsid w:val="006B2D1C"/>
    <w:rsid w:val="006B35DA"/>
    <w:rsid w:val="006B53F6"/>
    <w:rsid w:val="006B655F"/>
    <w:rsid w:val="006C11BE"/>
    <w:rsid w:val="006C1F06"/>
    <w:rsid w:val="006C2DB2"/>
    <w:rsid w:val="006C43B5"/>
    <w:rsid w:val="006C5E78"/>
    <w:rsid w:val="006C615F"/>
    <w:rsid w:val="006C6E2E"/>
    <w:rsid w:val="006C773D"/>
    <w:rsid w:val="006D28A5"/>
    <w:rsid w:val="006D2F81"/>
    <w:rsid w:val="006D3518"/>
    <w:rsid w:val="006D3F0C"/>
    <w:rsid w:val="006D4494"/>
    <w:rsid w:val="006D4AFF"/>
    <w:rsid w:val="006D53EB"/>
    <w:rsid w:val="006D67E7"/>
    <w:rsid w:val="006D6A30"/>
    <w:rsid w:val="006D76DB"/>
    <w:rsid w:val="006E1599"/>
    <w:rsid w:val="006E3F66"/>
    <w:rsid w:val="006E58C8"/>
    <w:rsid w:val="006E669A"/>
    <w:rsid w:val="006E7C7B"/>
    <w:rsid w:val="006F1F44"/>
    <w:rsid w:val="006F2ADA"/>
    <w:rsid w:val="006F2AE7"/>
    <w:rsid w:val="006F2D52"/>
    <w:rsid w:val="006F3591"/>
    <w:rsid w:val="006F7B7C"/>
    <w:rsid w:val="0070002A"/>
    <w:rsid w:val="00700DAE"/>
    <w:rsid w:val="007015A1"/>
    <w:rsid w:val="0070297A"/>
    <w:rsid w:val="00704090"/>
    <w:rsid w:val="00706102"/>
    <w:rsid w:val="00711461"/>
    <w:rsid w:val="0071373D"/>
    <w:rsid w:val="00713758"/>
    <w:rsid w:val="00715907"/>
    <w:rsid w:val="00720307"/>
    <w:rsid w:val="00722D85"/>
    <w:rsid w:val="007236C0"/>
    <w:rsid w:val="00724361"/>
    <w:rsid w:val="00724564"/>
    <w:rsid w:val="007255E3"/>
    <w:rsid w:val="007265F0"/>
    <w:rsid w:val="007269E3"/>
    <w:rsid w:val="00732460"/>
    <w:rsid w:val="00733D7B"/>
    <w:rsid w:val="00735881"/>
    <w:rsid w:val="00735F13"/>
    <w:rsid w:val="007364A0"/>
    <w:rsid w:val="007408D5"/>
    <w:rsid w:val="0074154C"/>
    <w:rsid w:val="00741FDE"/>
    <w:rsid w:val="00742757"/>
    <w:rsid w:val="007430B3"/>
    <w:rsid w:val="007453E5"/>
    <w:rsid w:val="00746363"/>
    <w:rsid w:val="007464AF"/>
    <w:rsid w:val="00746C27"/>
    <w:rsid w:val="00750371"/>
    <w:rsid w:val="00750941"/>
    <w:rsid w:val="00750BF7"/>
    <w:rsid w:val="0075108D"/>
    <w:rsid w:val="007557DC"/>
    <w:rsid w:val="00760148"/>
    <w:rsid w:val="007611F3"/>
    <w:rsid w:val="00762451"/>
    <w:rsid w:val="007656EE"/>
    <w:rsid w:val="00766B87"/>
    <w:rsid w:val="00767F5A"/>
    <w:rsid w:val="00771493"/>
    <w:rsid w:val="00771A62"/>
    <w:rsid w:val="0077338A"/>
    <w:rsid w:val="00773A59"/>
    <w:rsid w:val="00774701"/>
    <w:rsid w:val="007771DC"/>
    <w:rsid w:val="00777F89"/>
    <w:rsid w:val="00782574"/>
    <w:rsid w:val="007831CE"/>
    <w:rsid w:val="0078347B"/>
    <w:rsid w:val="00784F06"/>
    <w:rsid w:val="00790B45"/>
    <w:rsid w:val="0079220D"/>
    <w:rsid w:val="00792719"/>
    <w:rsid w:val="00792749"/>
    <w:rsid w:val="007928CE"/>
    <w:rsid w:val="00792ADA"/>
    <w:rsid w:val="00793ECE"/>
    <w:rsid w:val="00796E22"/>
    <w:rsid w:val="0079778C"/>
    <w:rsid w:val="00797E1A"/>
    <w:rsid w:val="007A35C4"/>
    <w:rsid w:val="007A3CC4"/>
    <w:rsid w:val="007A4418"/>
    <w:rsid w:val="007A45F1"/>
    <w:rsid w:val="007A56FF"/>
    <w:rsid w:val="007A5B54"/>
    <w:rsid w:val="007A766F"/>
    <w:rsid w:val="007B1B31"/>
    <w:rsid w:val="007B2921"/>
    <w:rsid w:val="007B392C"/>
    <w:rsid w:val="007B4388"/>
    <w:rsid w:val="007B45BA"/>
    <w:rsid w:val="007B49CE"/>
    <w:rsid w:val="007B4E9A"/>
    <w:rsid w:val="007B5474"/>
    <w:rsid w:val="007B5E52"/>
    <w:rsid w:val="007B69A9"/>
    <w:rsid w:val="007B79BB"/>
    <w:rsid w:val="007C0298"/>
    <w:rsid w:val="007C08B0"/>
    <w:rsid w:val="007C1163"/>
    <w:rsid w:val="007C1847"/>
    <w:rsid w:val="007C2376"/>
    <w:rsid w:val="007C23F5"/>
    <w:rsid w:val="007C45B1"/>
    <w:rsid w:val="007C482F"/>
    <w:rsid w:val="007C6371"/>
    <w:rsid w:val="007C672B"/>
    <w:rsid w:val="007D2756"/>
    <w:rsid w:val="007D280C"/>
    <w:rsid w:val="007D3C02"/>
    <w:rsid w:val="007D4395"/>
    <w:rsid w:val="007D4964"/>
    <w:rsid w:val="007D49A6"/>
    <w:rsid w:val="007D4B36"/>
    <w:rsid w:val="007D70B2"/>
    <w:rsid w:val="007D7313"/>
    <w:rsid w:val="007E0FC8"/>
    <w:rsid w:val="007E12FA"/>
    <w:rsid w:val="007E1C58"/>
    <w:rsid w:val="007E1D94"/>
    <w:rsid w:val="007E29EB"/>
    <w:rsid w:val="007E2B9F"/>
    <w:rsid w:val="007E4197"/>
    <w:rsid w:val="007E59FE"/>
    <w:rsid w:val="007E5C58"/>
    <w:rsid w:val="007E6320"/>
    <w:rsid w:val="007E640E"/>
    <w:rsid w:val="007E72D7"/>
    <w:rsid w:val="007F11F4"/>
    <w:rsid w:val="007F2366"/>
    <w:rsid w:val="007F2A06"/>
    <w:rsid w:val="007F4F74"/>
    <w:rsid w:val="007F5A11"/>
    <w:rsid w:val="007F62FA"/>
    <w:rsid w:val="007F6887"/>
    <w:rsid w:val="00801520"/>
    <w:rsid w:val="008020B9"/>
    <w:rsid w:val="0080321B"/>
    <w:rsid w:val="008057DB"/>
    <w:rsid w:val="00807805"/>
    <w:rsid w:val="00810C47"/>
    <w:rsid w:val="00810DC1"/>
    <w:rsid w:val="008122E0"/>
    <w:rsid w:val="0081279E"/>
    <w:rsid w:val="008139A3"/>
    <w:rsid w:val="008139C1"/>
    <w:rsid w:val="00813A79"/>
    <w:rsid w:val="0081473C"/>
    <w:rsid w:val="0081684A"/>
    <w:rsid w:val="00816BB8"/>
    <w:rsid w:val="00817F38"/>
    <w:rsid w:val="00820E4E"/>
    <w:rsid w:val="0082207A"/>
    <w:rsid w:val="00823429"/>
    <w:rsid w:val="008309E3"/>
    <w:rsid w:val="008314BA"/>
    <w:rsid w:val="00832337"/>
    <w:rsid w:val="00832B7B"/>
    <w:rsid w:val="00832FFA"/>
    <w:rsid w:val="008347F7"/>
    <w:rsid w:val="008353FC"/>
    <w:rsid w:val="00837C2E"/>
    <w:rsid w:val="00837FDA"/>
    <w:rsid w:val="00841543"/>
    <w:rsid w:val="00841833"/>
    <w:rsid w:val="008418E3"/>
    <w:rsid w:val="00842E49"/>
    <w:rsid w:val="00843D2B"/>
    <w:rsid w:val="00843FE0"/>
    <w:rsid w:val="00844357"/>
    <w:rsid w:val="008443F9"/>
    <w:rsid w:val="00844C65"/>
    <w:rsid w:val="00845862"/>
    <w:rsid w:val="00846311"/>
    <w:rsid w:val="008470F0"/>
    <w:rsid w:val="008473F7"/>
    <w:rsid w:val="00847750"/>
    <w:rsid w:val="008478D1"/>
    <w:rsid w:val="00850C3C"/>
    <w:rsid w:val="00851A9C"/>
    <w:rsid w:val="0085300C"/>
    <w:rsid w:val="008608E6"/>
    <w:rsid w:val="00860B78"/>
    <w:rsid w:val="00860BCC"/>
    <w:rsid w:val="00861880"/>
    <w:rsid w:val="0086195A"/>
    <w:rsid w:val="00861B47"/>
    <w:rsid w:val="0086229E"/>
    <w:rsid w:val="00862CED"/>
    <w:rsid w:val="0086480A"/>
    <w:rsid w:val="00864CD8"/>
    <w:rsid w:val="00867F87"/>
    <w:rsid w:val="00870279"/>
    <w:rsid w:val="00870603"/>
    <w:rsid w:val="0087096F"/>
    <w:rsid w:val="008755BA"/>
    <w:rsid w:val="00881208"/>
    <w:rsid w:val="00884FC6"/>
    <w:rsid w:val="0089080C"/>
    <w:rsid w:val="00890C8E"/>
    <w:rsid w:val="00895D8D"/>
    <w:rsid w:val="008A172E"/>
    <w:rsid w:val="008A1F51"/>
    <w:rsid w:val="008A2695"/>
    <w:rsid w:val="008A33D5"/>
    <w:rsid w:val="008A45E8"/>
    <w:rsid w:val="008A5D75"/>
    <w:rsid w:val="008A7719"/>
    <w:rsid w:val="008A7A9A"/>
    <w:rsid w:val="008B0AFD"/>
    <w:rsid w:val="008B3B41"/>
    <w:rsid w:val="008B44DA"/>
    <w:rsid w:val="008B4D42"/>
    <w:rsid w:val="008B5CA8"/>
    <w:rsid w:val="008B6FB0"/>
    <w:rsid w:val="008C1AB9"/>
    <w:rsid w:val="008C32CD"/>
    <w:rsid w:val="008C4891"/>
    <w:rsid w:val="008C64BD"/>
    <w:rsid w:val="008C7A4C"/>
    <w:rsid w:val="008C7F9B"/>
    <w:rsid w:val="008D1583"/>
    <w:rsid w:val="008D38F1"/>
    <w:rsid w:val="008D509B"/>
    <w:rsid w:val="008D53A8"/>
    <w:rsid w:val="008D716B"/>
    <w:rsid w:val="008E047F"/>
    <w:rsid w:val="008E0678"/>
    <w:rsid w:val="008E110C"/>
    <w:rsid w:val="008E11F8"/>
    <w:rsid w:val="008E4D3C"/>
    <w:rsid w:val="008E4E14"/>
    <w:rsid w:val="008E7F39"/>
    <w:rsid w:val="008F0A69"/>
    <w:rsid w:val="008F102D"/>
    <w:rsid w:val="008F14A2"/>
    <w:rsid w:val="008F4D5D"/>
    <w:rsid w:val="008F7204"/>
    <w:rsid w:val="009047FC"/>
    <w:rsid w:val="0090530E"/>
    <w:rsid w:val="009058EC"/>
    <w:rsid w:val="00905CA5"/>
    <w:rsid w:val="009064C3"/>
    <w:rsid w:val="00906858"/>
    <w:rsid w:val="00906E4E"/>
    <w:rsid w:val="00907177"/>
    <w:rsid w:val="009071AD"/>
    <w:rsid w:val="00907A06"/>
    <w:rsid w:val="00907A43"/>
    <w:rsid w:val="009131C0"/>
    <w:rsid w:val="0091413D"/>
    <w:rsid w:val="009155A6"/>
    <w:rsid w:val="00916FAC"/>
    <w:rsid w:val="009175F1"/>
    <w:rsid w:val="00920DC1"/>
    <w:rsid w:val="00920F09"/>
    <w:rsid w:val="00922FA5"/>
    <w:rsid w:val="00923B5B"/>
    <w:rsid w:val="00923DD8"/>
    <w:rsid w:val="00924FEC"/>
    <w:rsid w:val="009250A2"/>
    <w:rsid w:val="00926375"/>
    <w:rsid w:val="00930551"/>
    <w:rsid w:val="00931EF1"/>
    <w:rsid w:val="00932C17"/>
    <w:rsid w:val="0093307B"/>
    <w:rsid w:val="009331B2"/>
    <w:rsid w:val="009351F3"/>
    <w:rsid w:val="00937229"/>
    <w:rsid w:val="00941C1D"/>
    <w:rsid w:val="00941EF0"/>
    <w:rsid w:val="009423AA"/>
    <w:rsid w:val="009423AC"/>
    <w:rsid w:val="00943218"/>
    <w:rsid w:val="009453A2"/>
    <w:rsid w:val="00946AB1"/>
    <w:rsid w:val="009504B8"/>
    <w:rsid w:val="009517F6"/>
    <w:rsid w:val="00953281"/>
    <w:rsid w:val="00953B8E"/>
    <w:rsid w:val="00956565"/>
    <w:rsid w:val="00957FDC"/>
    <w:rsid w:val="009601AB"/>
    <w:rsid w:val="00960D92"/>
    <w:rsid w:val="00961947"/>
    <w:rsid w:val="00962C7C"/>
    <w:rsid w:val="00962F2C"/>
    <w:rsid w:val="0096331D"/>
    <w:rsid w:val="00963579"/>
    <w:rsid w:val="00963C26"/>
    <w:rsid w:val="00963D08"/>
    <w:rsid w:val="00963E4F"/>
    <w:rsid w:val="00965CA7"/>
    <w:rsid w:val="00966160"/>
    <w:rsid w:val="009672AC"/>
    <w:rsid w:val="00967EDD"/>
    <w:rsid w:val="00971910"/>
    <w:rsid w:val="00972B8E"/>
    <w:rsid w:val="00973A55"/>
    <w:rsid w:val="00974C45"/>
    <w:rsid w:val="00975A1E"/>
    <w:rsid w:val="00975C75"/>
    <w:rsid w:val="00980B13"/>
    <w:rsid w:val="00980F6D"/>
    <w:rsid w:val="00982E2D"/>
    <w:rsid w:val="00982F94"/>
    <w:rsid w:val="00983EDA"/>
    <w:rsid w:val="00985422"/>
    <w:rsid w:val="009867CF"/>
    <w:rsid w:val="00986DCF"/>
    <w:rsid w:val="00991021"/>
    <w:rsid w:val="00992A6C"/>
    <w:rsid w:val="00992B39"/>
    <w:rsid w:val="00996DF4"/>
    <w:rsid w:val="009A02E4"/>
    <w:rsid w:val="009A0A3D"/>
    <w:rsid w:val="009A1442"/>
    <w:rsid w:val="009A1C7C"/>
    <w:rsid w:val="009A2D3A"/>
    <w:rsid w:val="009A3F87"/>
    <w:rsid w:val="009A4F82"/>
    <w:rsid w:val="009A5325"/>
    <w:rsid w:val="009A659A"/>
    <w:rsid w:val="009A67B4"/>
    <w:rsid w:val="009A7570"/>
    <w:rsid w:val="009B475F"/>
    <w:rsid w:val="009B4A1E"/>
    <w:rsid w:val="009C0E14"/>
    <w:rsid w:val="009C1DA6"/>
    <w:rsid w:val="009C32A2"/>
    <w:rsid w:val="009C3472"/>
    <w:rsid w:val="009C6B17"/>
    <w:rsid w:val="009D2013"/>
    <w:rsid w:val="009D203D"/>
    <w:rsid w:val="009D558F"/>
    <w:rsid w:val="009E0477"/>
    <w:rsid w:val="009E0E03"/>
    <w:rsid w:val="009E12AC"/>
    <w:rsid w:val="009E1533"/>
    <w:rsid w:val="009E196E"/>
    <w:rsid w:val="009E1CB5"/>
    <w:rsid w:val="009E32E0"/>
    <w:rsid w:val="009E40D0"/>
    <w:rsid w:val="009E4365"/>
    <w:rsid w:val="009E4C53"/>
    <w:rsid w:val="009E52D8"/>
    <w:rsid w:val="009E5AB1"/>
    <w:rsid w:val="009E5CBB"/>
    <w:rsid w:val="009F096D"/>
    <w:rsid w:val="009F394D"/>
    <w:rsid w:val="009F3CC4"/>
    <w:rsid w:val="009F43BE"/>
    <w:rsid w:val="009F44E0"/>
    <w:rsid w:val="009F571B"/>
    <w:rsid w:val="009F5B90"/>
    <w:rsid w:val="009F6357"/>
    <w:rsid w:val="009F6C02"/>
    <w:rsid w:val="009F74B2"/>
    <w:rsid w:val="009F7D94"/>
    <w:rsid w:val="00A0147C"/>
    <w:rsid w:val="00A01902"/>
    <w:rsid w:val="00A02DC2"/>
    <w:rsid w:val="00A03480"/>
    <w:rsid w:val="00A04AF7"/>
    <w:rsid w:val="00A070B7"/>
    <w:rsid w:val="00A11CA2"/>
    <w:rsid w:val="00A12756"/>
    <w:rsid w:val="00A13D77"/>
    <w:rsid w:val="00A1573B"/>
    <w:rsid w:val="00A15EFB"/>
    <w:rsid w:val="00A230A8"/>
    <w:rsid w:val="00A246A8"/>
    <w:rsid w:val="00A2660D"/>
    <w:rsid w:val="00A2730C"/>
    <w:rsid w:val="00A27CF3"/>
    <w:rsid w:val="00A30BC4"/>
    <w:rsid w:val="00A30C4E"/>
    <w:rsid w:val="00A32843"/>
    <w:rsid w:val="00A33131"/>
    <w:rsid w:val="00A40C00"/>
    <w:rsid w:val="00A4126E"/>
    <w:rsid w:val="00A42D32"/>
    <w:rsid w:val="00A43BE4"/>
    <w:rsid w:val="00A46A63"/>
    <w:rsid w:val="00A47F91"/>
    <w:rsid w:val="00A520A0"/>
    <w:rsid w:val="00A54547"/>
    <w:rsid w:val="00A547CF"/>
    <w:rsid w:val="00A54B05"/>
    <w:rsid w:val="00A55E9E"/>
    <w:rsid w:val="00A56B65"/>
    <w:rsid w:val="00A57154"/>
    <w:rsid w:val="00A574FC"/>
    <w:rsid w:val="00A60A2E"/>
    <w:rsid w:val="00A60D3C"/>
    <w:rsid w:val="00A60F66"/>
    <w:rsid w:val="00A628C6"/>
    <w:rsid w:val="00A62AB4"/>
    <w:rsid w:val="00A63BA4"/>
    <w:rsid w:val="00A653EC"/>
    <w:rsid w:val="00A6711F"/>
    <w:rsid w:val="00A67BD6"/>
    <w:rsid w:val="00A70051"/>
    <w:rsid w:val="00A72527"/>
    <w:rsid w:val="00A727F9"/>
    <w:rsid w:val="00A72AD6"/>
    <w:rsid w:val="00A72EDD"/>
    <w:rsid w:val="00A75BF2"/>
    <w:rsid w:val="00A824D5"/>
    <w:rsid w:val="00A8270A"/>
    <w:rsid w:val="00A86745"/>
    <w:rsid w:val="00A928A8"/>
    <w:rsid w:val="00A93F20"/>
    <w:rsid w:val="00A94AAE"/>
    <w:rsid w:val="00A94C7E"/>
    <w:rsid w:val="00A9692C"/>
    <w:rsid w:val="00A97F66"/>
    <w:rsid w:val="00AA324F"/>
    <w:rsid w:val="00AA539D"/>
    <w:rsid w:val="00AA56B6"/>
    <w:rsid w:val="00AA763A"/>
    <w:rsid w:val="00AA7A54"/>
    <w:rsid w:val="00AB046D"/>
    <w:rsid w:val="00AB074C"/>
    <w:rsid w:val="00AB1416"/>
    <w:rsid w:val="00AB29C1"/>
    <w:rsid w:val="00AB50CF"/>
    <w:rsid w:val="00AC0055"/>
    <w:rsid w:val="00AC007F"/>
    <w:rsid w:val="00AC0677"/>
    <w:rsid w:val="00AC2558"/>
    <w:rsid w:val="00AC2F81"/>
    <w:rsid w:val="00AC3B25"/>
    <w:rsid w:val="00AC4DB2"/>
    <w:rsid w:val="00AC5119"/>
    <w:rsid w:val="00AC59E2"/>
    <w:rsid w:val="00AC6BA8"/>
    <w:rsid w:val="00AC711A"/>
    <w:rsid w:val="00AD046A"/>
    <w:rsid w:val="00AD258F"/>
    <w:rsid w:val="00AD3BBA"/>
    <w:rsid w:val="00AD3C09"/>
    <w:rsid w:val="00AD3C7F"/>
    <w:rsid w:val="00AD48C6"/>
    <w:rsid w:val="00AD4B16"/>
    <w:rsid w:val="00AD528D"/>
    <w:rsid w:val="00AD6C53"/>
    <w:rsid w:val="00AE433E"/>
    <w:rsid w:val="00AF1E7D"/>
    <w:rsid w:val="00AF26BD"/>
    <w:rsid w:val="00AF51F2"/>
    <w:rsid w:val="00B000EC"/>
    <w:rsid w:val="00B017D4"/>
    <w:rsid w:val="00B01EA1"/>
    <w:rsid w:val="00B03376"/>
    <w:rsid w:val="00B043A6"/>
    <w:rsid w:val="00B0560D"/>
    <w:rsid w:val="00B05895"/>
    <w:rsid w:val="00B05FC1"/>
    <w:rsid w:val="00B101C3"/>
    <w:rsid w:val="00B1049D"/>
    <w:rsid w:val="00B112A3"/>
    <w:rsid w:val="00B11A4B"/>
    <w:rsid w:val="00B120FE"/>
    <w:rsid w:val="00B12BC6"/>
    <w:rsid w:val="00B17AF0"/>
    <w:rsid w:val="00B239A7"/>
    <w:rsid w:val="00B245DB"/>
    <w:rsid w:val="00B26620"/>
    <w:rsid w:val="00B27045"/>
    <w:rsid w:val="00B27C98"/>
    <w:rsid w:val="00B300F4"/>
    <w:rsid w:val="00B30765"/>
    <w:rsid w:val="00B31DD6"/>
    <w:rsid w:val="00B32630"/>
    <w:rsid w:val="00B34CAA"/>
    <w:rsid w:val="00B412DC"/>
    <w:rsid w:val="00B41CD9"/>
    <w:rsid w:val="00B41DD3"/>
    <w:rsid w:val="00B426B4"/>
    <w:rsid w:val="00B46CCD"/>
    <w:rsid w:val="00B5039F"/>
    <w:rsid w:val="00B51FC9"/>
    <w:rsid w:val="00B5314F"/>
    <w:rsid w:val="00B54DDA"/>
    <w:rsid w:val="00B54F3A"/>
    <w:rsid w:val="00B567B2"/>
    <w:rsid w:val="00B56A7D"/>
    <w:rsid w:val="00B571FF"/>
    <w:rsid w:val="00B60946"/>
    <w:rsid w:val="00B6558E"/>
    <w:rsid w:val="00B67193"/>
    <w:rsid w:val="00B67D35"/>
    <w:rsid w:val="00B67E9F"/>
    <w:rsid w:val="00B70F4B"/>
    <w:rsid w:val="00B718C4"/>
    <w:rsid w:val="00B71B75"/>
    <w:rsid w:val="00B74F18"/>
    <w:rsid w:val="00B77617"/>
    <w:rsid w:val="00B77CBF"/>
    <w:rsid w:val="00B80F2E"/>
    <w:rsid w:val="00B829AB"/>
    <w:rsid w:val="00B82F45"/>
    <w:rsid w:val="00B83405"/>
    <w:rsid w:val="00B83F20"/>
    <w:rsid w:val="00B84E6B"/>
    <w:rsid w:val="00B86A84"/>
    <w:rsid w:val="00B9018E"/>
    <w:rsid w:val="00B903A5"/>
    <w:rsid w:val="00B905C3"/>
    <w:rsid w:val="00B92054"/>
    <w:rsid w:val="00B920B7"/>
    <w:rsid w:val="00B9478E"/>
    <w:rsid w:val="00B9488C"/>
    <w:rsid w:val="00B95859"/>
    <w:rsid w:val="00B96A70"/>
    <w:rsid w:val="00B97FB6"/>
    <w:rsid w:val="00BA05ED"/>
    <w:rsid w:val="00BA062A"/>
    <w:rsid w:val="00BA46D7"/>
    <w:rsid w:val="00BA48AB"/>
    <w:rsid w:val="00BA5670"/>
    <w:rsid w:val="00BA66CE"/>
    <w:rsid w:val="00BA7712"/>
    <w:rsid w:val="00BA7B09"/>
    <w:rsid w:val="00BB2044"/>
    <w:rsid w:val="00BB432B"/>
    <w:rsid w:val="00BB4DA6"/>
    <w:rsid w:val="00BC02C5"/>
    <w:rsid w:val="00BC2CDB"/>
    <w:rsid w:val="00BC371D"/>
    <w:rsid w:val="00BC4A6E"/>
    <w:rsid w:val="00BC548D"/>
    <w:rsid w:val="00BC6356"/>
    <w:rsid w:val="00BC6621"/>
    <w:rsid w:val="00BC6D78"/>
    <w:rsid w:val="00BD0BA6"/>
    <w:rsid w:val="00BD1290"/>
    <w:rsid w:val="00BD1A8F"/>
    <w:rsid w:val="00BD24D4"/>
    <w:rsid w:val="00BD4E7A"/>
    <w:rsid w:val="00BD5E18"/>
    <w:rsid w:val="00BD6E7A"/>
    <w:rsid w:val="00BE01B3"/>
    <w:rsid w:val="00BE09B6"/>
    <w:rsid w:val="00BE3B1F"/>
    <w:rsid w:val="00BE4F7B"/>
    <w:rsid w:val="00BE5598"/>
    <w:rsid w:val="00BE5A42"/>
    <w:rsid w:val="00BE6C70"/>
    <w:rsid w:val="00BE6DA3"/>
    <w:rsid w:val="00BE7612"/>
    <w:rsid w:val="00BF109A"/>
    <w:rsid w:val="00BF3586"/>
    <w:rsid w:val="00C03BA0"/>
    <w:rsid w:val="00C078B4"/>
    <w:rsid w:val="00C07D37"/>
    <w:rsid w:val="00C1073D"/>
    <w:rsid w:val="00C123A9"/>
    <w:rsid w:val="00C131D6"/>
    <w:rsid w:val="00C13379"/>
    <w:rsid w:val="00C13F24"/>
    <w:rsid w:val="00C15DA6"/>
    <w:rsid w:val="00C165DE"/>
    <w:rsid w:val="00C214C2"/>
    <w:rsid w:val="00C25ED7"/>
    <w:rsid w:val="00C26002"/>
    <w:rsid w:val="00C26983"/>
    <w:rsid w:val="00C274C9"/>
    <w:rsid w:val="00C30622"/>
    <w:rsid w:val="00C31586"/>
    <w:rsid w:val="00C31ADD"/>
    <w:rsid w:val="00C3339F"/>
    <w:rsid w:val="00C34EA3"/>
    <w:rsid w:val="00C3551D"/>
    <w:rsid w:val="00C35FC9"/>
    <w:rsid w:val="00C3704C"/>
    <w:rsid w:val="00C377C5"/>
    <w:rsid w:val="00C43BE1"/>
    <w:rsid w:val="00C44DBD"/>
    <w:rsid w:val="00C461DC"/>
    <w:rsid w:val="00C46671"/>
    <w:rsid w:val="00C46E46"/>
    <w:rsid w:val="00C50BA4"/>
    <w:rsid w:val="00C52F3F"/>
    <w:rsid w:val="00C55615"/>
    <w:rsid w:val="00C57FA6"/>
    <w:rsid w:val="00C60DFE"/>
    <w:rsid w:val="00C611F1"/>
    <w:rsid w:val="00C616EE"/>
    <w:rsid w:val="00C63123"/>
    <w:rsid w:val="00C640E1"/>
    <w:rsid w:val="00C6449E"/>
    <w:rsid w:val="00C64727"/>
    <w:rsid w:val="00C655DD"/>
    <w:rsid w:val="00C668FA"/>
    <w:rsid w:val="00C72066"/>
    <w:rsid w:val="00C74A04"/>
    <w:rsid w:val="00C81BE8"/>
    <w:rsid w:val="00C825D1"/>
    <w:rsid w:val="00C82BDE"/>
    <w:rsid w:val="00C84386"/>
    <w:rsid w:val="00C84DA9"/>
    <w:rsid w:val="00C8690B"/>
    <w:rsid w:val="00C872CC"/>
    <w:rsid w:val="00C875A8"/>
    <w:rsid w:val="00C8771D"/>
    <w:rsid w:val="00C87997"/>
    <w:rsid w:val="00C9040C"/>
    <w:rsid w:val="00C904F3"/>
    <w:rsid w:val="00C91D12"/>
    <w:rsid w:val="00C9646E"/>
    <w:rsid w:val="00CA164D"/>
    <w:rsid w:val="00CA3BD2"/>
    <w:rsid w:val="00CA429B"/>
    <w:rsid w:val="00CA6B0F"/>
    <w:rsid w:val="00CA7768"/>
    <w:rsid w:val="00CA792E"/>
    <w:rsid w:val="00CA7EF2"/>
    <w:rsid w:val="00CB162D"/>
    <w:rsid w:val="00CB1736"/>
    <w:rsid w:val="00CB5EF9"/>
    <w:rsid w:val="00CB77E9"/>
    <w:rsid w:val="00CC0327"/>
    <w:rsid w:val="00CC1E9D"/>
    <w:rsid w:val="00CC3C57"/>
    <w:rsid w:val="00CC4EE1"/>
    <w:rsid w:val="00CC6124"/>
    <w:rsid w:val="00CC671A"/>
    <w:rsid w:val="00CC72F2"/>
    <w:rsid w:val="00CC76BC"/>
    <w:rsid w:val="00CD01B1"/>
    <w:rsid w:val="00CD07D4"/>
    <w:rsid w:val="00CD12BB"/>
    <w:rsid w:val="00CD6611"/>
    <w:rsid w:val="00CD6966"/>
    <w:rsid w:val="00CE11ED"/>
    <w:rsid w:val="00CE1291"/>
    <w:rsid w:val="00CE2583"/>
    <w:rsid w:val="00CE289E"/>
    <w:rsid w:val="00CE3A9F"/>
    <w:rsid w:val="00CE3C02"/>
    <w:rsid w:val="00CE587F"/>
    <w:rsid w:val="00CE5A82"/>
    <w:rsid w:val="00CE6ED1"/>
    <w:rsid w:val="00CE72FB"/>
    <w:rsid w:val="00CE7DF7"/>
    <w:rsid w:val="00CF16E4"/>
    <w:rsid w:val="00CF31CB"/>
    <w:rsid w:val="00CF44DA"/>
    <w:rsid w:val="00D003B0"/>
    <w:rsid w:val="00D029DE"/>
    <w:rsid w:val="00D03BD1"/>
    <w:rsid w:val="00D06D79"/>
    <w:rsid w:val="00D10277"/>
    <w:rsid w:val="00D107FE"/>
    <w:rsid w:val="00D10961"/>
    <w:rsid w:val="00D14AB0"/>
    <w:rsid w:val="00D1521D"/>
    <w:rsid w:val="00D169BB"/>
    <w:rsid w:val="00D212C5"/>
    <w:rsid w:val="00D2148D"/>
    <w:rsid w:val="00D22C7B"/>
    <w:rsid w:val="00D23904"/>
    <w:rsid w:val="00D23B55"/>
    <w:rsid w:val="00D24065"/>
    <w:rsid w:val="00D24DCE"/>
    <w:rsid w:val="00D256AC"/>
    <w:rsid w:val="00D26994"/>
    <w:rsid w:val="00D320AC"/>
    <w:rsid w:val="00D3304B"/>
    <w:rsid w:val="00D359BF"/>
    <w:rsid w:val="00D36DB4"/>
    <w:rsid w:val="00D371D3"/>
    <w:rsid w:val="00D37299"/>
    <w:rsid w:val="00D4083C"/>
    <w:rsid w:val="00D42141"/>
    <w:rsid w:val="00D42448"/>
    <w:rsid w:val="00D42D11"/>
    <w:rsid w:val="00D430A0"/>
    <w:rsid w:val="00D44EEB"/>
    <w:rsid w:val="00D45141"/>
    <w:rsid w:val="00D4564B"/>
    <w:rsid w:val="00D47251"/>
    <w:rsid w:val="00D50B05"/>
    <w:rsid w:val="00D513C2"/>
    <w:rsid w:val="00D51EB8"/>
    <w:rsid w:val="00D53469"/>
    <w:rsid w:val="00D53C4A"/>
    <w:rsid w:val="00D55B61"/>
    <w:rsid w:val="00D56420"/>
    <w:rsid w:val="00D578D6"/>
    <w:rsid w:val="00D60251"/>
    <w:rsid w:val="00D61BA1"/>
    <w:rsid w:val="00D61EC4"/>
    <w:rsid w:val="00D63B93"/>
    <w:rsid w:val="00D644F7"/>
    <w:rsid w:val="00D64D43"/>
    <w:rsid w:val="00D6533E"/>
    <w:rsid w:val="00D66304"/>
    <w:rsid w:val="00D66B6B"/>
    <w:rsid w:val="00D675A8"/>
    <w:rsid w:val="00D67794"/>
    <w:rsid w:val="00D7004B"/>
    <w:rsid w:val="00D7190C"/>
    <w:rsid w:val="00D7207F"/>
    <w:rsid w:val="00D72152"/>
    <w:rsid w:val="00D72F0A"/>
    <w:rsid w:val="00D75AFF"/>
    <w:rsid w:val="00D75EC4"/>
    <w:rsid w:val="00D7634D"/>
    <w:rsid w:val="00D830F3"/>
    <w:rsid w:val="00D84245"/>
    <w:rsid w:val="00D84264"/>
    <w:rsid w:val="00D85B2B"/>
    <w:rsid w:val="00D86727"/>
    <w:rsid w:val="00D941C7"/>
    <w:rsid w:val="00D94661"/>
    <w:rsid w:val="00D94930"/>
    <w:rsid w:val="00D95A89"/>
    <w:rsid w:val="00D95D4E"/>
    <w:rsid w:val="00D966A4"/>
    <w:rsid w:val="00D966F4"/>
    <w:rsid w:val="00D97FC7"/>
    <w:rsid w:val="00DA1558"/>
    <w:rsid w:val="00DA1891"/>
    <w:rsid w:val="00DA31A6"/>
    <w:rsid w:val="00DA3763"/>
    <w:rsid w:val="00DA6543"/>
    <w:rsid w:val="00DB0A43"/>
    <w:rsid w:val="00DB6BA8"/>
    <w:rsid w:val="00DB7F50"/>
    <w:rsid w:val="00DC0AFF"/>
    <w:rsid w:val="00DC0D5D"/>
    <w:rsid w:val="00DC0F59"/>
    <w:rsid w:val="00DC1118"/>
    <w:rsid w:val="00DC1B4D"/>
    <w:rsid w:val="00DC278C"/>
    <w:rsid w:val="00DC315C"/>
    <w:rsid w:val="00DC35F5"/>
    <w:rsid w:val="00DC3D99"/>
    <w:rsid w:val="00DC3E2F"/>
    <w:rsid w:val="00DC5106"/>
    <w:rsid w:val="00DC63B9"/>
    <w:rsid w:val="00DC7379"/>
    <w:rsid w:val="00DD08E9"/>
    <w:rsid w:val="00DD334E"/>
    <w:rsid w:val="00DD4B17"/>
    <w:rsid w:val="00DD53B0"/>
    <w:rsid w:val="00DD5B2C"/>
    <w:rsid w:val="00DD5CAA"/>
    <w:rsid w:val="00DE06BD"/>
    <w:rsid w:val="00DE1107"/>
    <w:rsid w:val="00DE2848"/>
    <w:rsid w:val="00DE3511"/>
    <w:rsid w:val="00DE3CCF"/>
    <w:rsid w:val="00DE403C"/>
    <w:rsid w:val="00DE459E"/>
    <w:rsid w:val="00DE5FE8"/>
    <w:rsid w:val="00DE66E7"/>
    <w:rsid w:val="00DE7104"/>
    <w:rsid w:val="00DF2795"/>
    <w:rsid w:val="00DF4176"/>
    <w:rsid w:val="00DF4C0F"/>
    <w:rsid w:val="00DF5045"/>
    <w:rsid w:val="00DF5BB3"/>
    <w:rsid w:val="00DF62F9"/>
    <w:rsid w:val="00DF7057"/>
    <w:rsid w:val="00DF7937"/>
    <w:rsid w:val="00E0023D"/>
    <w:rsid w:val="00E0111A"/>
    <w:rsid w:val="00E01169"/>
    <w:rsid w:val="00E02E01"/>
    <w:rsid w:val="00E04563"/>
    <w:rsid w:val="00E07309"/>
    <w:rsid w:val="00E07C98"/>
    <w:rsid w:val="00E1281A"/>
    <w:rsid w:val="00E14896"/>
    <w:rsid w:val="00E1628E"/>
    <w:rsid w:val="00E208B5"/>
    <w:rsid w:val="00E20BEE"/>
    <w:rsid w:val="00E21947"/>
    <w:rsid w:val="00E21C42"/>
    <w:rsid w:val="00E225FB"/>
    <w:rsid w:val="00E22E25"/>
    <w:rsid w:val="00E22F70"/>
    <w:rsid w:val="00E2655E"/>
    <w:rsid w:val="00E32CEB"/>
    <w:rsid w:val="00E337BC"/>
    <w:rsid w:val="00E34B24"/>
    <w:rsid w:val="00E35CAB"/>
    <w:rsid w:val="00E35CAD"/>
    <w:rsid w:val="00E37145"/>
    <w:rsid w:val="00E40019"/>
    <w:rsid w:val="00E40492"/>
    <w:rsid w:val="00E4058F"/>
    <w:rsid w:val="00E40F2A"/>
    <w:rsid w:val="00E42948"/>
    <w:rsid w:val="00E42DC1"/>
    <w:rsid w:val="00E44814"/>
    <w:rsid w:val="00E44FFF"/>
    <w:rsid w:val="00E4610E"/>
    <w:rsid w:val="00E4738F"/>
    <w:rsid w:val="00E51633"/>
    <w:rsid w:val="00E5245D"/>
    <w:rsid w:val="00E549AA"/>
    <w:rsid w:val="00E54B99"/>
    <w:rsid w:val="00E55819"/>
    <w:rsid w:val="00E560F1"/>
    <w:rsid w:val="00E6161B"/>
    <w:rsid w:val="00E61FCC"/>
    <w:rsid w:val="00E62057"/>
    <w:rsid w:val="00E6290C"/>
    <w:rsid w:val="00E62ED4"/>
    <w:rsid w:val="00E6334B"/>
    <w:rsid w:val="00E651D0"/>
    <w:rsid w:val="00E653C7"/>
    <w:rsid w:val="00E67634"/>
    <w:rsid w:val="00E701CD"/>
    <w:rsid w:val="00E731A1"/>
    <w:rsid w:val="00E81BCB"/>
    <w:rsid w:val="00E82AD6"/>
    <w:rsid w:val="00E82E2C"/>
    <w:rsid w:val="00E8477B"/>
    <w:rsid w:val="00E84C73"/>
    <w:rsid w:val="00E91F16"/>
    <w:rsid w:val="00EA0835"/>
    <w:rsid w:val="00EA12F8"/>
    <w:rsid w:val="00EA219D"/>
    <w:rsid w:val="00EA2B7E"/>
    <w:rsid w:val="00EA6CBC"/>
    <w:rsid w:val="00EB0229"/>
    <w:rsid w:val="00EB0BA2"/>
    <w:rsid w:val="00EB113C"/>
    <w:rsid w:val="00EB178D"/>
    <w:rsid w:val="00EB2177"/>
    <w:rsid w:val="00EB225D"/>
    <w:rsid w:val="00EB3C97"/>
    <w:rsid w:val="00EB497E"/>
    <w:rsid w:val="00EB658B"/>
    <w:rsid w:val="00EB69C2"/>
    <w:rsid w:val="00EB74C1"/>
    <w:rsid w:val="00EC18F1"/>
    <w:rsid w:val="00EC2B47"/>
    <w:rsid w:val="00EC2C8C"/>
    <w:rsid w:val="00EC3079"/>
    <w:rsid w:val="00EC44CD"/>
    <w:rsid w:val="00EC454B"/>
    <w:rsid w:val="00EC4D79"/>
    <w:rsid w:val="00EC511E"/>
    <w:rsid w:val="00EC5F37"/>
    <w:rsid w:val="00ED1496"/>
    <w:rsid w:val="00ED187D"/>
    <w:rsid w:val="00ED27CB"/>
    <w:rsid w:val="00ED3B99"/>
    <w:rsid w:val="00ED5530"/>
    <w:rsid w:val="00ED67F0"/>
    <w:rsid w:val="00ED7DAF"/>
    <w:rsid w:val="00ED7F88"/>
    <w:rsid w:val="00EE3498"/>
    <w:rsid w:val="00EE3BB1"/>
    <w:rsid w:val="00EE50B9"/>
    <w:rsid w:val="00EE5257"/>
    <w:rsid w:val="00EE7488"/>
    <w:rsid w:val="00EE7EA8"/>
    <w:rsid w:val="00EF04A1"/>
    <w:rsid w:val="00EF1488"/>
    <w:rsid w:val="00EF1E76"/>
    <w:rsid w:val="00EF3FF1"/>
    <w:rsid w:val="00EF4571"/>
    <w:rsid w:val="00EF564A"/>
    <w:rsid w:val="00EF778C"/>
    <w:rsid w:val="00F02D20"/>
    <w:rsid w:val="00F03EAC"/>
    <w:rsid w:val="00F0584C"/>
    <w:rsid w:val="00F05FB0"/>
    <w:rsid w:val="00F10080"/>
    <w:rsid w:val="00F113B0"/>
    <w:rsid w:val="00F1264C"/>
    <w:rsid w:val="00F1534B"/>
    <w:rsid w:val="00F16179"/>
    <w:rsid w:val="00F17F04"/>
    <w:rsid w:val="00F20246"/>
    <w:rsid w:val="00F22756"/>
    <w:rsid w:val="00F233D8"/>
    <w:rsid w:val="00F25618"/>
    <w:rsid w:val="00F2761F"/>
    <w:rsid w:val="00F312FC"/>
    <w:rsid w:val="00F31D7C"/>
    <w:rsid w:val="00F31EB6"/>
    <w:rsid w:val="00F34DC7"/>
    <w:rsid w:val="00F358A8"/>
    <w:rsid w:val="00F363B9"/>
    <w:rsid w:val="00F40BFC"/>
    <w:rsid w:val="00F41101"/>
    <w:rsid w:val="00F42C31"/>
    <w:rsid w:val="00F432B1"/>
    <w:rsid w:val="00F4350A"/>
    <w:rsid w:val="00F44A8B"/>
    <w:rsid w:val="00F45328"/>
    <w:rsid w:val="00F508A3"/>
    <w:rsid w:val="00F51096"/>
    <w:rsid w:val="00F517C3"/>
    <w:rsid w:val="00F51CD7"/>
    <w:rsid w:val="00F52075"/>
    <w:rsid w:val="00F52EEF"/>
    <w:rsid w:val="00F5330E"/>
    <w:rsid w:val="00F551D5"/>
    <w:rsid w:val="00F57548"/>
    <w:rsid w:val="00F605E4"/>
    <w:rsid w:val="00F606ED"/>
    <w:rsid w:val="00F60856"/>
    <w:rsid w:val="00F63CFD"/>
    <w:rsid w:val="00F63D21"/>
    <w:rsid w:val="00F64434"/>
    <w:rsid w:val="00F64482"/>
    <w:rsid w:val="00F64498"/>
    <w:rsid w:val="00F64579"/>
    <w:rsid w:val="00F65568"/>
    <w:rsid w:val="00F65623"/>
    <w:rsid w:val="00F65B8F"/>
    <w:rsid w:val="00F66B71"/>
    <w:rsid w:val="00F67A22"/>
    <w:rsid w:val="00F67D08"/>
    <w:rsid w:val="00F67EFB"/>
    <w:rsid w:val="00F7083B"/>
    <w:rsid w:val="00F70CBA"/>
    <w:rsid w:val="00F7168B"/>
    <w:rsid w:val="00F742F1"/>
    <w:rsid w:val="00F74832"/>
    <w:rsid w:val="00F759F4"/>
    <w:rsid w:val="00F7660E"/>
    <w:rsid w:val="00F77803"/>
    <w:rsid w:val="00F77947"/>
    <w:rsid w:val="00F805C2"/>
    <w:rsid w:val="00F810C0"/>
    <w:rsid w:val="00F81430"/>
    <w:rsid w:val="00F818E2"/>
    <w:rsid w:val="00F86DAF"/>
    <w:rsid w:val="00F90F78"/>
    <w:rsid w:val="00F92C1F"/>
    <w:rsid w:val="00F93877"/>
    <w:rsid w:val="00F93EB8"/>
    <w:rsid w:val="00F93EF3"/>
    <w:rsid w:val="00F945CD"/>
    <w:rsid w:val="00F96986"/>
    <w:rsid w:val="00FA27DF"/>
    <w:rsid w:val="00FA33A5"/>
    <w:rsid w:val="00FA4826"/>
    <w:rsid w:val="00FA4EE7"/>
    <w:rsid w:val="00FA74C7"/>
    <w:rsid w:val="00FA7CC4"/>
    <w:rsid w:val="00FB3C03"/>
    <w:rsid w:val="00FB65AE"/>
    <w:rsid w:val="00FC060E"/>
    <w:rsid w:val="00FC159E"/>
    <w:rsid w:val="00FC1EFA"/>
    <w:rsid w:val="00FC2CB8"/>
    <w:rsid w:val="00FC3698"/>
    <w:rsid w:val="00FC3E35"/>
    <w:rsid w:val="00FC429E"/>
    <w:rsid w:val="00FC42D5"/>
    <w:rsid w:val="00FC661B"/>
    <w:rsid w:val="00FC7C0C"/>
    <w:rsid w:val="00FC7FD0"/>
    <w:rsid w:val="00FD0408"/>
    <w:rsid w:val="00FD1841"/>
    <w:rsid w:val="00FD24FF"/>
    <w:rsid w:val="00FD39DE"/>
    <w:rsid w:val="00FD49D7"/>
    <w:rsid w:val="00FD6082"/>
    <w:rsid w:val="00FD69C9"/>
    <w:rsid w:val="00FD7D68"/>
    <w:rsid w:val="00FE0469"/>
    <w:rsid w:val="00FE0A11"/>
    <w:rsid w:val="00FE0D9F"/>
    <w:rsid w:val="00FE1194"/>
    <w:rsid w:val="00FE1381"/>
    <w:rsid w:val="00FE20C4"/>
    <w:rsid w:val="00FE2AF3"/>
    <w:rsid w:val="00FE3D79"/>
    <w:rsid w:val="00FE4718"/>
    <w:rsid w:val="00FE79C3"/>
    <w:rsid w:val="00FE7A1F"/>
    <w:rsid w:val="00FF1726"/>
    <w:rsid w:val="00FF34B2"/>
    <w:rsid w:val="00FF42EE"/>
    <w:rsid w:val="00FF5BB4"/>
    <w:rsid w:val="016E044A"/>
    <w:rsid w:val="070B5632"/>
    <w:rsid w:val="07666493"/>
    <w:rsid w:val="07994676"/>
    <w:rsid w:val="0C482343"/>
    <w:rsid w:val="0F002C19"/>
    <w:rsid w:val="15065252"/>
    <w:rsid w:val="15C2342E"/>
    <w:rsid w:val="16D05547"/>
    <w:rsid w:val="17391F14"/>
    <w:rsid w:val="18704CB4"/>
    <w:rsid w:val="192E28F8"/>
    <w:rsid w:val="1A0C1968"/>
    <w:rsid w:val="1DA04055"/>
    <w:rsid w:val="204E254B"/>
    <w:rsid w:val="20E12BFB"/>
    <w:rsid w:val="20F354C2"/>
    <w:rsid w:val="22C80A1D"/>
    <w:rsid w:val="23057D46"/>
    <w:rsid w:val="234A45D7"/>
    <w:rsid w:val="234D2D06"/>
    <w:rsid w:val="26E71D38"/>
    <w:rsid w:val="27206206"/>
    <w:rsid w:val="28E92B74"/>
    <w:rsid w:val="29BA015D"/>
    <w:rsid w:val="2AF42FD1"/>
    <w:rsid w:val="2B41160E"/>
    <w:rsid w:val="2CF17ED9"/>
    <w:rsid w:val="2D491F9E"/>
    <w:rsid w:val="2DD6396D"/>
    <w:rsid w:val="2E1B7734"/>
    <w:rsid w:val="2E5754FA"/>
    <w:rsid w:val="2EE3075D"/>
    <w:rsid w:val="2F20599A"/>
    <w:rsid w:val="2FE50BA9"/>
    <w:rsid w:val="305F11DD"/>
    <w:rsid w:val="31450491"/>
    <w:rsid w:val="317F0BCA"/>
    <w:rsid w:val="32832A04"/>
    <w:rsid w:val="33C01B7D"/>
    <w:rsid w:val="34FA6C9F"/>
    <w:rsid w:val="368D2FA7"/>
    <w:rsid w:val="371414E7"/>
    <w:rsid w:val="391C28EE"/>
    <w:rsid w:val="3A6C3919"/>
    <w:rsid w:val="3B760A94"/>
    <w:rsid w:val="3B7A0F58"/>
    <w:rsid w:val="3C672EE2"/>
    <w:rsid w:val="40E02836"/>
    <w:rsid w:val="42320077"/>
    <w:rsid w:val="46C16C66"/>
    <w:rsid w:val="47F44E19"/>
    <w:rsid w:val="485458B8"/>
    <w:rsid w:val="48960B41"/>
    <w:rsid w:val="493733B5"/>
    <w:rsid w:val="49EC224C"/>
    <w:rsid w:val="4B9A5CD8"/>
    <w:rsid w:val="4C4C62F7"/>
    <w:rsid w:val="4FD37F56"/>
    <w:rsid w:val="50CE10DD"/>
    <w:rsid w:val="52181704"/>
    <w:rsid w:val="66E4624D"/>
    <w:rsid w:val="676D377F"/>
    <w:rsid w:val="69744843"/>
    <w:rsid w:val="6B3E697D"/>
    <w:rsid w:val="6B67752D"/>
    <w:rsid w:val="6E3C6504"/>
    <w:rsid w:val="6ED02ACD"/>
    <w:rsid w:val="6F3335BA"/>
    <w:rsid w:val="6FEE7313"/>
    <w:rsid w:val="70BC76E7"/>
    <w:rsid w:val="70F92A2E"/>
    <w:rsid w:val="73C90E73"/>
    <w:rsid w:val="742C1313"/>
    <w:rsid w:val="76A76695"/>
    <w:rsid w:val="76E521D9"/>
    <w:rsid w:val="7A241826"/>
    <w:rsid w:val="7B8239A1"/>
    <w:rsid w:val="7FD34D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before="50" w:beforeLines="50" w:after="50" w:afterLines="50" w:line="360" w:lineRule="auto"/>
      <w:jc w:val="left"/>
      <w:outlineLvl w:val="1"/>
    </w:pPr>
    <w:rPr>
      <w:rFonts w:ascii="Times New Roman" w:hAnsi="Times New Roman" w:eastAsia="宋体" w:cs="Times New Roman"/>
      <w:b/>
      <w:bCs/>
      <w:sz w:val="24"/>
      <w:szCs w:val="30"/>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0"/>
    <w:qFormat/>
    <w:uiPriority w:val="0"/>
    <w:pPr>
      <w:spacing w:line="360" w:lineRule="auto"/>
      <w:jc w:val="left"/>
    </w:pPr>
    <w:rPr>
      <w:rFonts w:ascii="宋体" w:hAnsi="宋体" w:eastAsia="宋体" w:cs="Times New Roman"/>
      <w:szCs w:val="24"/>
    </w:rPr>
  </w:style>
  <w:style w:type="paragraph" w:styleId="4">
    <w:name w:val="Body Text"/>
    <w:basedOn w:val="1"/>
    <w:unhideWhenUsed/>
    <w:qFormat/>
    <w:uiPriority w:val="99"/>
    <w:pPr>
      <w:spacing w:after="120"/>
    </w:pPr>
    <w:rPr>
      <w:rFonts w:eastAsia="仿宋_GB2312"/>
    </w:rPr>
  </w:style>
  <w:style w:type="paragraph" w:styleId="5">
    <w:name w:val="Body Text Indent"/>
    <w:basedOn w:val="1"/>
    <w:link w:val="19"/>
    <w:qFormat/>
    <w:uiPriority w:val="0"/>
    <w:pPr>
      <w:ind w:firstLine="420"/>
    </w:pPr>
    <w:rPr>
      <w:rFonts w:ascii="Times New Roman" w:hAnsi="Times New Roman" w:eastAsia="宋体" w:cs="Times New Roman"/>
      <w:sz w:val="24"/>
      <w:szCs w:val="24"/>
    </w:rPr>
  </w:style>
  <w:style w:type="paragraph" w:styleId="6">
    <w:name w:val="Balloon Text"/>
    <w:basedOn w:val="1"/>
    <w:link w:val="15"/>
    <w:semiHidden/>
    <w:unhideWhenUsed/>
    <w:qFormat/>
    <w:uiPriority w:val="99"/>
    <w:rPr>
      <w:sz w:val="18"/>
      <w:szCs w:val="18"/>
    </w:rPr>
  </w:style>
  <w:style w:type="paragraph" w:styleId="7">
    <w:name w:val="footer"/>
    <w:basedOn w:val="1"/>
    <w:link w:val="17"/>
    <w:semiHidden/>
    <w:unhideWhenUsed/>
    <w:qFormat/>
    <w:uiPriority w:val="99"/>
    <w:pPr>
      <w:tabs>
        <w:tab w:val="center" w:pos="4153"/>
        <w:tab w:val="right" w:pos="8306"/>
      </w:tabs>
      <w:snapToGrid w:val="0"/>
      <w:jc w:val="left"/>
    </w:pPr>
    <w:rPr>
      <w:sz w:val="18"/>
      <w:szCs w:val="18"/>
    </w:rPr>
  </w:style>
  <w:style w:type="paragraph" w:styleId="8">
    <w:name w:val="header"/>
    <w:basedOn w:val="1"/>
    <w:link w:val="16"/>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10">
    <w:name w:val="Title"/>
    <w:next w:val="1"/>
    <w:qFormat/>
    <w:uiPriority w:val="0"/>
    <w:pPr>
      <w:widowControl w:val="0"/>
      <w:spacing w:line="560" w:lineRule="exact"/>
      <w:ind w:firstLine="720" w:firstLineChars="200"/>
      <w:jc w:val="center"/>
      <w:outlineLvl w:val="0"/>
    </w:pPr>
    <w:rPr>
      <w:rFonts w:ascii="方正小标宋_GBK" w:hAnsi="方正小标宋_GBK" w:eastAsia="方正小标宋_GBK" w:cs="方正小标宋_GBK"/>
      <w:kern w:val="2"/>
      <w:sz w:val="44"/>
      <w:szCs w:val="44"/>
      <w:lang w:val="en-US" w:eastAsia="zh-CN" w:bidi="ar-SA"/>
    </w:rPr>
  </w:style>
  <w:style w:type="table" w:styleId="12">
    <w:name w:val="Table Grid"/>
    <w:basedOn w:val="11"/>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14">
    <w:name w:val="List Paragraph"/>
    <w:basedOn w:val="1"/>
    <w:qFormat/>
    <w:uiPriority w:val="34"/>
    <w:pPr>
      <w:ind w:firstLine="420" w:firstLineChars="200"/>
    </w:pPr>
  </w:style>
  <w:style w:type="character" w:customStyle="1" w:styleId="15">
    <w:name w:val="批注框文本 Char"/>
    <w:basedOn w:val="13"/>
    <w:link w:val="6"/>
    <w:semiHidden/>
    <w:qFormat/>
    <w:uiPriority w:val="99"/>
    <w:rPr>
      <w:sz w:val="18"/>
      <w:szCs w:val="18"/>
    </w:rPr>
  </w:style>
  <w:style w:type="character" w:customStyle="1" w:styleId="16">
    <w:name w:val="页眉 Char"/>
    <w:basedOn w:val="13"/>
    <w:link w:val="8"/>
    <w:semiHidden/>
    <w:qFormat/>
    <w:uiPriority w:val="99"/>
    <w:rPr>
      <w:sz w:val="18"/>
      <w:szCs w:val="18"/>
    </w:rPr>
  </w:style>
  <w:style w:type="character" w:customStyle="1" w:styleId="17">
    <w:name w:val="页脚 Char"/>
    <w:basedOn w:val="13"/>
    <w:link w:val="7"/>
    <w:semiHidden/>
    <w:qFormat/>
    <w:uiPriority w:val="99"/>
    <w:rPr>
      <w:sz w:val="18"/>
      <w:szCs w:val="18"/>
    </w:rPr>
  </w:style>
  <w:style w:type="paragraph" w:customStyle="1" w:styleId="18">
    <w:name w:val="章标题"/>
    <w:next w:val="1"/>
    <w:qFormat/>
    <w:uiPriority w:val="0"/>
    <w:pPr>
      <w:spacing w:beforeLines="50" w:afterLines="50"/>
      <w:jc w:val="both"/>
      <w:outlineLvl w:val="1"/>
    </w:pPr>
    <w:rPr>
      <w:rFonts w:ascii="黑体" w:hAnsi="Times New Roman" w:eastAsia="黑体" w:cs="Times New Roman"/>
      <w:kern w:val="0"/>
      <w:sz w:val="21"/>
      <w:szCs w:val="20"/>
      <w:lang w:val="en-US" w:eastAsia="zh-CN" w:bidi="ar-SA"/>
    </w:rPr>
  </w:style>
  <w:style w:type="character" w:customStyle="1" w:styleId="19">
    <w:name w:val="正文文本缩进 Char"/>
    <w:basedOn w:val="13"/>
    <w:link w:val="5"/>
    <w:qFormat/>
    <w:uiPriority w:val="0"/>
    <w:rPr>
      <w:rFonts w:ascii="Times New Roman" w:hAnsi="Times New Roman" w:eastAsia="宋体" w:cs="Times New Roman"/>
      <w:sz w:val="24"/>
      <w:szCs w:val="24"/>
    </w:rPr>
  </w:style>
  <w:style w:type="character" w:customStyle="1" w:styleId="20">
    <w:name w:val="批注文字 Char"/>
    <w:basedOn w:val="13"/>
    <w:link w:val="3"/>
    <w:qFormat/>
    <w:uiPriority w:val="0"/>
    <w:rPr>
      <w:rFonts w:ascii="宋体" w:hAnsi="宋体" w:eastAsia="宋体" w:cs="Times New Roman"/>
      <w:szCs w:val="24"/>
    </w:rPr>
  </w:style>
  <w:style w:type="paragraph" w:customStyle="1" w:styleId="21">
    <w:name w:val="段"/>
    <w:link w:val="22"/>
    <w:qFormat/>
    <w:uiPriority w:val="0"/>
    <w:pPr>
      <w:autoSpaceDE w:val="0"/>
      <w:autoSpaceDN w:val="0"/>
      <w:ind w:firstLine="200" w:firstLineChars="200"/>
      <w:jc w:val="both"/>
    </w:pPr>
    <w:rPr>
      <w:rFonts w:ascii="宋体" w:hAnsi="Times New Roman" w:eastAsia="宋体" w:cs="Times New Roman"/>
      <w:kern w:val="0"/>
      <w:sz w:val="21"/>
      <w:szCs w:val="22"/>
      <w:lang w:val="en-US" w:eastAsia="zh-CN" w:bidi="ar-SA"/>
    </w:rPr>
  </w:style>
  <w:style w:type="character" w:customStyle="1" w:styleId="22">
    <w:name w:val="段 Char"/>
    <w:link w:val="21"/>
    <w:qFormat/>
    <w:uiPriority w:val="0"/>
    <w:rPr>
      <w:rFonts w:ascii="宋体" w:hAnsi="Times New Roman" w:eastAsia="宋体" w:cs="Times New Roman"/>
      <w:kern w:val="0"/>
    </w:rPr>
  </w:style>
  <w:style w:type="paragraph" w:customStyle="1" w:styleId="23">
    <w:name w:val="标准文件_字母编号列项（一级）"/>
    <w:qFormat/>
    <w:uiPriority w:val="0"/>
    <w:pPr>
      <w:numPr>
        <w:ilvl w:val="0"/>
        <w:numId w:val="1"/>
      </w:numPr>
      <w:jc w:val="both"/>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32C55B-7085-467F-ABDB-CBEB33EA7829}">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13</Pages>
  <Words>7808</Words>
  <Characters>8424</Characters>
  <Lines>68</Lines>
  <Paragraphs>19</Paragraphs>
  <TotalTime>0</TotalTime>
  <ScaleCrop>false</ScaleCrop>
  <LinksUpToDate>false</LinksUpToDate>
  <CharactersWithSpaces>8575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2022-08-03T02:17:00Z</dcterms:created>
  <dc:creator>Sky123.Org</dc:creator>
  <cp:lastModifiedBy>未定义</cp:lastModifiedBy>
  <dcterms:modified xsi:type="dcterms:W3CDTF">2026-07-03T01:58:01Z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B4EC3F728DE54E9A967C4E03943CE331_13</vt:lpwstr>
  </property>
  <property fmtid="{D5CDD505-2E9C-101B-9397-08002B2CF9AE}" pid="4" name="KSOTemplateDocerSaveRecord">
    <vt:lpwstr>eyJoZGlkIjoiZDJlM2Y0MWEwYmFmZTA3NmFiYzVjMWI5ZGU4YWJkYWEiLCJ1c2VySWQiOiIxNTg3NDAzOTA5In0=</vt:lpwstr>
  </property>
</Properties>
</file>