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7</w:t>
            </w:r>
            <w:r>
              <w:rPr>
                <w:rFonts w:hint="eastAsia" w:ascii="黑体" w:hAnsi="黑体" w:eastAsia="黑体"/>
                <w:sz w:val="21"/>
                <w:szCs w:val="21"/>
                <w:lang w:val="en-US" w:eastAsia="zh-CN"/>
              </w:rPr>
              <w:t>7.040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H</w:t>
            </w:r>
            <w:r>
              <w:rPr>
                <w:rFonts w:hint="eastAsia" w:ascii="黑体" w:hAnsi="黑体" w:eastAsia="黑体"/>
                <w:sz w:val="21"/>
                <w:szCs w:val="21"/>
                <w:lang w:val="en-US" w:eastAsia="zh-CN"/>
              </w:rPr>
              <w:t>17</w:t>
            </w:r>
            <w:r>
              <w:rPr>
                <w:rFonts w:ascii="黑体" w:hAnsi="黑体" w:eastAsia="黑体"/>
                <w:sz w:val="21"/>
                <w:szCs w:val="21"/>
              </w:rPr>
              <w:fldChar w:fldCharType="end"/>
            </w:r>
            <w:bookmarkEnd w:id="1"/>
          </w:p>
        </w:tc>
      </w:tr>
    </w:tbl>
    <w:tbl>
      <w:tblPr>
        <w:tblStyle w:val="27"/>
        <w:tblpPr w:leftFromText="181" w:rightFromText="181" w:horzAnchor="margin" w:tblpX="3857" w:tblpY="568"/>
        <w:tblW w:w="4990"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99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1128" w:hRule="atLeast"/>
        </w:trPr>
        <w:tc>
          <w:tcPr>
            <w:tcW w:w="4990" w:type="dxa"/>
          </w:tcPr>
          <w:p>
            <w:pPr>
              <w:pStyle w:val="49"/>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YS</w:t>
            </w:r>
            <w:r>
              <w:fldChar w:fldCharType="end"/>
            </w:r>
            <w:bookmarkEnd w:id="3"/>
          </w:p>
        </w:tc>
      </w:tr>
    </w:tbl>
    <w:p>
      <w:pPr>
        <w:pStyle w:val="50"/>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有色金属</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pPr>
        <w:pStyle w:val="195"/>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6"/>
        <w:rPr>
          <w:rFonts w:hint="eastAsia"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hint="eastAsia" w:ascii="黑体" w:hAnsi="黑体" w:eastAsia="黑体"/>
          <w:b w:val="0"/>
          <w:bCs w:val="0"/>
          <w:w w:val="100"/>
          <w:lang w:val="fr-FR"/>
        </w:rPr>
      </w:pPr>
    </w:p>
    <w:p>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硅多晶副产</w:t>
      </w:r>
      <w:r>
        <w:rPr>
          <w:rFonts w:hint="eastAsia"/>
          <w:lang w:eastAsia="zh-CN"/>
        </w:rPr>
        <w:t>硅粉中金属杂质的测定 电感耦合等离子体发射光谱法</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Determination of Metal Impurities in Silicon Powder by-product of Polysilicon Production: Inductively Coupled Plasma Optical Emission Spectrometry</w:t>
      </w:r>
      <w:r>
        <w:rPr>
          <w:rFonts w:eastAsia="黑体"/>
          <w:szCs w:val="28"/>
        </w:rPr>
        <w:t> </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11"/>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中华人民共和国工业和信息化部</w:t>
      </w:r>
      <w:r>
        <w:rPr>
          <w:rFonts w:hAnsi="黑体"/>
          <w:w w:val="100"/>
          <w:sz w:val="28"/>
        </w:rPr>
        <w:fldChar w:fldCharType="end"/>
      </w:r>
      <w:bookmarkEnd w:id="21"/>
      <w:r>
        <w:rPr>
          <w:rFonts w:ascii="Times New Roman"/>
          <w:w w:val="100"/>
          <w:sz w:val="28"/>
          <w:szCs w:val="28"/>
        </w:rPr>
        <w:t>  </w:t>
      </w:r>
      <w:r>
        <w:rPr>
          <w:rStyle w:val="229"/>
          <w:rFonts w:hint="eastAsia" w:hAnsi="黑体"/>
          <w:position w:val="0"/>
        </w:rPr>
        <w:t>发</w:t>
      </w:r>
      <w:r>
        <w:rPr>
          <w:rStyle w:val="229"/>
          <w:rFonts w:hint="eastAsia" w:hAnsi="黑体"/>
          <w:spacing w:val="0"/>
          <w:position w:val="0"/>
        </w:rPr>
        <w:t>布</w:t>
      </w:r>
    </w:p>
    <w:p>
      <w:pPr>
        <w:rPr>
          <w:rFonts w:hint="eastAsia"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89"/>
        <w:keepNext w:val="0"/>
        <w:keepLines w:val="0"/>
        <w:pageBreakBefore w:val="0"/>
        <w:widowControl/>
        <w:kinsoku/>
        <w:wordWrap/>
        <w:overflowPunct/>
        <w:topLinePunct w:val="0"/>
        <w:autoSpaceDE/>
        <w:autoSpaceDN/>
        <w:bidi w:val="0"/>
        <w:adjustRightInd/>
        <w:snapToGrid/>
        <w:spacing w:before="400" w:after="360"/>
        <w:ind w:left="425" w:hanging="425"/>
        <w:textAlignment w:val="auto"/>
      </w:pPr>
      <w:bookmarkStart w:id="22" w:name="BookMark2"/>
      <w:r>
        <w:rPr>
          <w:rFonts w:hint="eastAsia"/>
          <w:spacing w:val="320"/>
        </w:rPr>
        <w:t>前</w:t>
      </w:r>
      <w:r>
        <w:rPr>
          <w:rFonts w:hint="eastAsia"/>
        </w:rPr>
        <w:t>言</w:t>
      </w:r>
    </w:p>
    <w:p>
      <w:pPr>
        <w:pStyle w:val="56"/>
        <w:keepNext w:val="0"/>
        <w:keepLines w:val="0"/>
        <w:pageBreakBefore w:val="0"/>
        <w:kinsoku/>
        <w:wordWrap/>
        <w:overflowPunct/>
        <w:topLinePunct w:val="0"/>
        <w:bidi w:val="0"/>
        <w:snapToGrid/>
        <w:spacing w:line="279" w:lineRule="auto"/>
        <w:ind w:firstLine="420"/>
        <w:textAlignment w:val="auto"/>
      </w:pPr>
      <w:r>
        <w:rPr>
          <w:rFonts w:hint="eastAsia"/>
        </w:rPr>
        <w:t>本文件按照GB/T 1.1—2020《标准化工作导则  第1部分：标准化文件的结构和起草规则》的规定起草。</w:t>
      </w:r>
    </w:p>
    <w:p>
      <w:pPr>
        <w:keepNext w:val="0"/>
        <w:keepLines w:val="0"/>
        <w:pageBreakBefore w:val="0"/>
        <w:kinsoku/>
        <w:wordWrap/>
        <w:overflowPunct/>
        <w:topLinePunct w:val="0"/>
        <w:bidi w:val="0"/>
        <w:snapToGrid/>
        <w:spacing w:line="279" w:lineRule="auto"/>
        <w:ind w:firstLine="420"/>
        <w:textAlignment w:val="auto"/>
        <w:rPr>
          <w:rFonts w:hint="eastAsia" w:ascii="宋体" w:hAnsi="宋体"/>
        </w:rPr>
      </w:pPr>
      <w:r>
        <w:rPr>
          <w:rFonts w:hint="eastAsia"/>
        </w:rPr>
        <w:t>本文件由全国有色金属标准化技术委员会</w:t>
      </w:r>
      <w:r>
        <w:rPr>
          <w:rFonts w:hint="eastAsia" w:ascii="宋体" w:hAnsi="宋体"/>
        </w:rPr>
        <w:t>（SAC/TC243）、全国半导体设备和材料标准化技术委员会材料分技术委员会（SAC/TC203/SC2）提出并归口。</w:t>
      </w:r>
    </w:p>
    <w:p>
      <w:pPr>
        <w:keepNext w:val="0"/>
        <w:keepLines w:val="0"/>
        <w:pageBreakBefore w:val="0"/>
        <w:kinsoku/>
        <w:wordWrap/>
        <w:overflowPunct/>
        <w:topLinePunct w:val="0"/>
        <w:bidi w:val="0"/>
        <w:snapToGrid/>
        <w:spacing w:line="279" w:lineRule="auto"/>
        <w:ind w:firstLine="420"/>
        <w:textAlignment w:val="auto"/>
        <w:rPr>
          <w:rFonts w:hint="eastAsia" w:ascii="宋体" w:hAnsi="宋体"/>
        </w:rPr>
      </w:pPr>
      <w:r>
        <w:rPr>
          <w:rFonts w:hint="eastAsia" w:hAnsi="Times New Roman" w:eastAsia="宋体" w:cs="Times New Roman"/>
        </w:rPr>
        <w:t>请注意本文件的某些内容可能涉及专利。本文件的发布机构不承担识别专利的责任。</w:t>
      </w:r>
    </w:p>
    <w:p>
      <w:pPr>
        <w:pStyle w:val="56"/>
        <w:keepNext w:val="0"/>
        <w:keepLines w:val="0"/>
        <w:pageBreakBefore w:val="0"/>
        <w:kinsoku/>
        <w:wordWrap/>
        <w:overflowPunct/>
        <w:topLinePunct w:val="0"/>
        <w:bidi w:val="0"/>
        <w:snapToGrid/>
        <w:spacing w:line="279" w:lineRule="auto"/>
        <w:ind w:firstLine="420"/>
        <w:textAlignment w:val="auto"/>
        <w:rPr>
          <w:rFonts w:hint="eastAsia" w:eastAsia="宋体"/>
          <w:lang w:val="en-US" w:eastAsia="zh-CN"/>
        </w:rPr>
      </w:pPr>
      <w:r>
        <w:rPr>
          <w:rFonts w:hint="eastAsia"/>
        </w:rPr>
        <w:t>本文件起草单位：</w:t>
      </w:r>
      <w:r>
        <w:rPr>
          <w:rFonts w:hint="eastAsia" w:ascii="Times New Roman" w:hAnsi="Times New Roman" w:eastAsia="宋体" w:cs="Times New Roman"/>
          <w:szCs w:val="21"/>
        </w:rPr>
        <w:t>内蒙通威高纯晶硅有限公司、四川永祥能源科技</w:t>
      </w:r>
      <w:r>
        <w:rPr>
          <w:rFonts w:hint="eastAsia" w:ascii="Times New Roman" w:cs="Times New Roman"/>
          <w:szCs w:val="21"/>
          <w:lang w:val="en-US" w:eastAsia="zh-CN"/>
        </w:rPr>
        <w:t>有限</w:t>
      </w:r>
      <w:r>
        <w:rPr>
          <w:rFonts w:hint="eastAsia" w:ascii="Times New Roman" w:hAnsi="Times New Roman" w:eastAsia="宋体" w:cs="Times New Roman"/>
          <w:szCs w:val="21"/>
        </w:rPr>
        <w:t>公司、内蒙古科技大学化学与化工学院（硅业学院）</w:t>
      </w:r>
      <w:r>
        <w:rPr>
          <w:rFonts w:hint="eastAsia" w:ascii="Times New Roman" w:cs="Times New Roman"/>
          <w:szCs w:val="21"/>
          <w:lang w:eastAsia="zh-CN"/>
        </w:rPr>
        <w:t>、</w:t>
      </w:r>
      <w:r>
        <w:rPr>
          <w:rFonts w:hint="eastAsia" w:ascii="Times New Roman" w:hAnsi="Times New Roman" w:eastAsia="宋体" w:cs="Times New Roman"/>
          <w:szCs w:val="21"/>
        </w:rPr>
        <w:t>江苏中能硅业科技发展有限公司、新特能源股份有限公司、亚洲硅业（青海）股份有限公司、青海芯测科技有限公司。</w:t>
      </w:r>
    </w:p>
    <w:p>
      <w:pPr>
        <w:pStyle w:val="56"/>
        <w:keepNext w:val="0"/>
        <w:keepLines w:val="0"/>
        <w:pageBreakBefore w:val="0"/>
        <w:kinsoku/>
        <w:wordWrap/>
        <w:overflowPunct/>
        <w:topLinePunct w:val="0"/>
        <w:bidi w:val="0"/>
        <w:snapToGrid/>
        <w:spacing w:line="279" w:lineRule="auto"/>
        <w:ind w:firstLine="420"/>
        <w:textAlignment w:val="auto"/>
      </w:pPr>
      <w:r>
        <w:rPr>
          <w:rFonts w:hint="eastAsia"/>
        </w:rPr>
        <w:t>本文件主要起草人：</w:t>
      </w:r>
      <w:bookmarkStart w:id="45" w:name="_GoBack"/>
      <w:bookmarkEnd w:id="45"/>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left="0" w:leftChars="0" w:firstLine="0" w:firstLineChars="0"/>
      </w:pPr>
    </w:p>
    <w:p>
      <w:pPr>
        <w:pStyle w:val="56"/>
        <w:ind w:firstLine="420"/>
      </w:pPr>
    </w:p>
    <w:p>
      <w:pPr>
        <w:pStyle w:val="56"/>
        <w:ind w:firstLine="420"/>
      </w:pPr>
    </w:p>
    <w:p>
      <w:pPr>
        <w:jc w:val="center"/>
        <w:rPr>
          <w:rFonts w:hint="eastAsia" w:ascii="黑体" w:hAnsi="黑体" w:eastAsia="黑体"/>
          <w:kern w:val="0"/>
          <w:sz w:val="32"/>
          <w:szCs w:val="20"/>
          <w:lang w:val="en-US" w:eastAsia="zh-CN"/>
        </w:rPr>
      </w:pPr>
    </w:p>
    <w:p>
      <w:pPr>
        <w:jc w:val="center"/>
        <w:rPr>
          <w:rFonts w:hint="eastAsia" w:ascii="黑体" w:hAnsi="黑体" w:eastAsia="黑体"/>
          <w:kern w:val="0"/>
          <w:sz w:val="32"/>
          <w:szCs w:val="20"/>
          <w:lang w:val="en-US" w:eastAsia="zh-CN"/>
        </w:rPr>
      </w:pPr>
    </w:p>
    <w:p>
      <w:pPr>
        <w:jc w:val="center"/>
        <w:rPr>
          <w:rFonts w:hint="eastAsia" w:ascii="黑体" w:hAnsi="黑体" w:eastAsia="黑体"/>
          <w:kern w:val="0"/>
          <w:sz w:val="32"/>
          <w:szCs w:val="20"/>
          <w:lang w:val="en-US" w:eastAsia="zh-CN"/>
        </w:rPr>
      </w:pPr>
    </w:p>
    <w:p>
      <w:pPr>
        <w:jc w:val="center"/>
        <w:rPr>
          <w:rFonts w:hint="eastAsia" w:ascii="黑体" w:hAnsi="黑体" w:eastAsia="黑体"/>
          <w:kern w:val="0"/>
          <w:sz w:val="32"/>
          <w:szCs w:val="20"/>
          <w:lang w:val="en-US" w:eastAsia="zh-CN"/>
        </w:rPr>
      </w:pPr>
    </w:p>
    <w:p>
      <w:pPr>
        <w:jc w:val="center"/>
        <w:rPr>
          <w:rFonts w:hint="eastAsia" w:ascii="黑体" w:hAnsi="黑体" w:eastAsia="黑体"/>
          <w:kern w:val="0"/>
          <w:sz w:val="32"/>
          <w:szCs w:val="20"/>
          <w:lang w:val="en-US" w:eastAsia="zh-CN"/>
        </w:rPr>
      </w:pPr>
    </w:p>
    <w:p>
      <w:pPr>
        <w:jc w:val="center"/>
        <w:rPr>
          <w:rFonts w:hint="eastAsia" w:ascii="黑体" w:hAnsi="黑体" w:eastAsia="黑体"/>
          <w:kern w:val="0"/>
          <w:sz w:val="32"/>
          <w:szCs w:val="20"/>
          <w:lang w:val="en-US" w:eastAsia="zh-CN"/>
        </w:rPr>
      </w:pPr>
    </w:p>
    <w:p>
      <w:pPr>
        <w:jc w:val="center"/>
        <w:rPr>
          <w:rFonts w:ascii="黑体" w:hAnsi="黑体" w:eastAsia="黑体"/>
          <w:kern w:val="0"/>
          <w:sz w:val="32"/>
          <w:szCs w:val="20"/>
        </w:rPr>
      </w:pPr>
      <w:r>
        <w:rPr>
          <w:rFonts w:hint="eastAsia" w:ascii="黑体" w:hAnsi="黑体" w:eastAsia="黑体"/>
          <w:kern w:val="0"/>
          <w:sz w:val="32"/>
          <w:szCs w:val="20"/>
          <w:lang w:val="en-US" w:eastAsia="zh-CN"/>
        </w:rPr>
        <w:t xml:space="preserve">引    </w:t>
      </w:r>
      <w:r>
        <w:rPr>
          <w:rFonts w:hint="eastAsia" w:ascii="黑体" w:hAnsi="黑体" w:eastAsia="黑体"/>
          <w:kern w:val="0"/>
          <w:sz w:val="32"/>
          <w:szCs w:val="20"/>
        </w:rPr>
        <w:t>言</w:t>
      </w:r>
    </w:p>
    <w:p/>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420" w:firstLineChars="200"/>
        <w:jc w:val="both"/>
        <w:textAlignment w:val="auto"/>
        <w:rPr>
          <w:rFonts w:hint="eastAsia"/>
          <w:color w:val="000000"/>
        </w:rPr>
      </w:pPr>
      <w:r>
        <w:rPr>
          <w:rFonts w:hint="eastAsia"/>
          <w:color w:val="000000"/>
        </w:rPr>
        <w:t>硅多晶是光伏发电和半导体产业的核心原材料，全球需求持续增长。中国作为全球最大生产国，产业规模和技术水平均处于领先地位。在硅多晶冷氢化反应过程中，工业硅粉与氢气、四氯化硅在催化剂作用下进行反应，生成主产物三氯氢硅，部分未完全反应的硅粉排出系统，即硅多晶副产硅粉。副产硅粉中含有大量未反应的有效硅，可以为硅多晶下游厂家作为原料使用，同时还有氯硅烷、金属杂质、等等。副产硅粉在下游厂家使用过程中，其中的金属杂质对工艺及产品有较大影响，因此有必要对副产硅粉中金属杂质含量进行准确测定。</w:t>
      </w: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420" w:firstLineChars="200"/>
        <w:jc w:val="both"/>
        <w:textAlignment w:val="auto"/>
        <w:rPr>
          <w:rFonts w:hint="default" w:eastAsia="宋体" w:cs="Times New Roman"/>
          <w:color w:val="000000"/>
          <w:lang w:val="en-US" w:eastAsia="zh-CN"/>
        </w:rPr>
        <w:sectPr>
          <w:headerReference r:id="rId9" w:type="default"/>
          <w:footerReference r:id="rId10" w:type="default"/>
          <w:pgSz w:w="11906" w:h="16838"/>
          <w:pgMar w:top="567" w:right="1134" w:bottom="1134" w:left="1418" w:header="1418" w:footer="1134" w:gutter="0"/>
          <w:pgBorders>
            <w:top w:val="none" w:sz="0" w:space="0"/>
            <w:left w:val="none" w:sz="0" w:space="0"/>
            <w:bottom w:val="none" w:sz="0" w:space="0"/>
            <w:right w:val="none" w:sz="0" w:space="0"/>
          </w:pgBorders>
          <w:pgNumType w:fmt="upperRoman" w:start="1"/>
          <w:cols w:space="720" w:num="1"/>
          <w:formProt w:val="0"/>
          <w:docGrid w:type="lines" w:linePitch="312" w:charSpace="0"/>
        </w:sectPr>
      </w:pPr>
      <w:r>
        <w:rPr>
          <w:rFonts w:hint="eastAsia"/>
          <w:color w:val="000000"/>
        </w:rPr>
        <w:t>当前硅多晶副产硅粉中金属杂质的检测缺乏统一标准，</w:t>
      </w:r>
      <w:r>
        <w:rPr>
          <w:rFonts w:hint="eastAsia" w:eastAsia="宋体" w:cs="Times New Roman"/>
          <w:color w:val="000000"/>
          <w:lang w:val="en-US" w:eastAsia="zh-CN"/>
        </w:rPr>
        <w:t>本文件的制定将填补硅多晶副产</w:t>
      </w:r>
      <w:r>
        <w:rPr>
          <w:rFonts w:hint="eastAsia" w:cs="Times New Roman"/>
          <w:color w:val="000000"/>
          <w:lang w:val="en-US" w:eastAsia="zh-CN"/>
        </w:rPr>
        <w:t>硅粉</w:t>
      </w:r>
      <w:r>
        <w:rPr>
          <w:rFonts w:hint="eastAsia" w:eastAsia="宋体" w:cs="Times New Roman"/>
          <w:color w:val="000000"/>
          <w:lang w:val="en-US" w:eastAsia="zh-CN"/>
        </w:rPr>
        <w:t>检测领域的空白，对推动副产</w:t>
      </w:r>
      <w:r>
        <w:rPr>
          <w:rFonts w:hint="eastAsia" w:cs="Times New Roman"/>
          <w:color w:val="000000"/>
          <w:lang w:val="en-US" w:eastAsia="zh-CN"/>
        </w:rPr>
        <w:t>硅粉</w:t>
      </w:r>
      <w:r>
        <w:rPr>
          <w:rFonts w:hint="eastAsia" w:eastAsia="宋体" w:cs="Times New Roman"/>
          <w:color w:val="000000"/>
          <w:lang w:val="en-US" w:eastAsia="zh-CN"/>
        </w:rPr>
        <w:t>资源化利用，减少固废排放，具有重要意义。</w:t>
      </w:r>
    </w:p>
    <w:bookmarkEnd w:id="22"/>
    <w:p>
      <w:pPr>
        <w:spacing w:line="20" w:lineRule="exact"/>
        <w:jc w:val="center"/>
        <w:rPr>
          <w:rFonts w:hint="eastAsia" w:ascii="黑体" w:hAnsi="黑体" w:eastAsia="黑体"/>
          <w:sz w:val="32"/>
          <w:szCs w:val="32"/>
        </w:rPr>
      </w:pPr>
      <w:bookmarkStart w:id="23" w:name="BookMark4"/>
    </w:p>
    <w:p>
      <w:pPr>
        <w:spacing w:line="20" w:lineRule="exact"/>
        <w:jc w:val="center"/>
        <w:rPr>
          <w:rFonts w:hint="eastAsia" w:ascii="黑体" w:hAnsi="黑体" w:eastAsia="黑体"/>
          <w:sz w:val="32"/>
          <w:szCs w:val="32"/>
        </w:rPr>
      </w:pPr>
    </w:p>
    <w:sdt>
      <w:sdtPr>
        <w:tag w:val="NEW_STAND_NAME"/>
        <w:id w:val="147456501"/>
        <w:lock w:val="sdtLocked"/>
        <w:placeholder>
          <w:docPart w:val="86756333602E46529BC841B378758719"/>
        </w:placeholder>
      </w:sdtPr>
      <w:sdtContent>
        <w:sdt>
          <w:sdtPr>
            <w:tag w:val="NEW_STAND_NAME"/>
            <w:id w:val="595910757"/>
            <w:lock w:val="sdtLocked"/>
            <w:placeholder>
              <w:docPart w:val="{19b8f935-d2b9-4351-8417-6b01cce4ff32}"/>
            </w:placeholder>
          </w:sdtPr>
          <w:sdtEndPr>
            <w:rPr>
              <w:rFonts w:hint="default" w:ascii="Times New Roman" w:hAnsi="Times New Roman" w:cs="Times New Roman"/>
            </w:rPr>
          </w:sdtEndPr>
          <w:sdtContent>
            <w:p>
              <w:pPr>
                <w:pStyle w:val="177"/>
                <w:keepNext w:val="0"/>
                <w:keepLines w:val="0"/>
                <w:pageBreakBefore w:val="0"/>
                <w:widowControl/>
                <w:kinsoku/>
                <w:wordWrap/>
                <w:overflowPunct/>
                <w:topLinePunct w:val="0"/>
                <w:autoSpaceDE/>
                <w:autoSpaceDN/>
                <w:bidi w:val="0"/>
                <w:adjustRightInd/>
                <w:snapToGrid/>
                <w:spacing w:before="2" w:beforeLines="1" w:after="200"/>
                <w:textAlignment w:val="auto"/>
                <w:rPr>
                  <w:rFonts w:hint="eastAsia" w:ascii="Times New Roman" w:hAnsi="Times New Roman" w:cs="Times New Roman"/>
                  <w:lang w:val="en-US" w:eastAsia="zh-CN"/>
                </w:rPr>
              </w:pPr>
              <w:bookmarkStart w:id="24" w:name="NEW_STAND_NAME"/>
              <w:r>
                <w:rPr>
                  <w:rFonts w:hint="default" w:ascii="Times New Roman" w:hAnsi="Times New Roman" w:cs="Times New Roman"/>
                </w:rPr>
                <w:t>硅多晶副产</w:t>
              </w:r>
              <w:r>
                <w:rPr>
                  <w:rFonts w:hint="eastAsia" w:ascii="Times New Roman" w:hAnsi="Times New Roman" w:cs="Times New Roman"/>
                  <w:lang w:val="en-US" w:eastAsia="zh-CN"/>
                </w:rPr>
                <w:t xml:space="preserve">硅粉中金属杂质的测定 </w:t>
              </w:r>
            </w:p>
            <w:p>
              <w:pPr>
                <w:pStyle w:val="177"/>
                <w:keepNext w:val="0"/>
                <w:keepLines w:val="0"/>
                <w:pageBreakBefore w:val="0"/>
                <w:widowControl/>
                <w:kinsoku/>
                <w:wordWrap/>
                <w:overflowPunct/>
                <w:topLinePunct w:val="0"/>
                <w:autoSpaceDE/>
                <w:autoSpaceDN/>
                <w:bidi w:val="0"/>
                <w:adjustRightInd/>
                <w:snapToGrid/>
                <w:spacing w:before="2" w:beforeLines="1" w:after="200"/>
                <w:textAlignment w:val="auto"/>
                <w:rPr>
                  <w:rFonts w:hint="default" w:ascii="Times New Roman" w:hAnsi="Times New Roman" w:cs="Times New Roman"/>
                </w:rPr>
              </w:pPr>
              <w:r>
                <w:rPr>
                  <w:rFonts w:hint="eastAsia" w:ascii="Times New Roman" w:hAnsi="Times New Roman" w:cs="Times New Roman"/>
                  <w:lang w:val="en-US" w:eastAsia="zh-CN"/>
                </w:rPr>
                <w:t>电感耦合等离子体发射光谱法</w:t>
              </w:r>
            </w:p>
          </w:sdtContent>
        </w:sdt>
        <w:bookmarkEnd w:id="24"/>
        <w:p>
          <w:pPr>
            <w:pStyle w:val="104"/>
            <w:keepNext w:val="0"/>
            <w:keepLines w:val="0"/>
            <w:pageBreakBefore w:val="0"/>
            <w:widowControl/>
            <w:kinsoku/>
            <w:wordWrap/>
            <w:overflowPunct/>
            <w:topLinePunct w:val="0"/>
            <w:autoSpaceDE/>
            <w:autoSpaceDN/>
            <w:bidi w:val="0"/>
            <w:adjustRightInd/>
            <w:snapToGrid/>
            <w:spacing w:before="240" w:after="240"/>
            <w:textAlignment w:val="auto"/>
            <w:rPr>
              <w:rFonts w:hint="default" w:ascii="Times New Roman" w:hAnsi="Times New Roman" w:cs="Times New Roman"/>
            </w:rPr>
          </w:pPr>
          <w:bookmarkStart w:id="25" w:name="_Toc24884218"/>
          <w:bookmarkStart w:id="26" w:name="_Toc26648465"/>
          <w:bookmarkStart w:id="27" w:name="_Toc17233325"/>
          <w:bookmarkStart w:id="28" w:name="_Toc17233333"/>
          <w:bookmarkStart w:id="29" w:name="_Toc97195091"/>
          <w:bookmarkStart w:id="30" w:name="_Toc24884211"/>
          <w:bookmarkStart w:id="31" w:name="_Toc26986530"/>
          <w:bookmarkStart w:id="32" w:name="_Toc26986771"/>
          <w:bookmarkStart w:id="33" w:name="_Toc26718930"/>
          <w:r>
            <w:rPr>
              <w:rFonts w:hint="default" w:ascii="Times New Roman" w:hAnsi="Times New Roman" w:cs="Times New Roman"/>
            </w:rPr>
            <w:t>范围</w:t>
          </w:r>
          <w:bookmarkEnd w:id="25"/>
          <w:bookmarkEnd w:id="26"/>
          <w:bookmarkEnd w:id="27"/>
          <w:bookmarkEnd w:id="28"/>
          <w:bookmarkEnd w:id="29"/>
          <w:bookmarkEnd w:id="30"/>
          <w:bookmarkEnd w:id="31"/>
          <w:bookmarkEnd w:id="32"/>
          <w:bookmarkEnd w:id="33"/>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rPr>
          </w:pPr>
          <w:bookmarkStart w:id="34" w:name="_Toc17233326"/>
          <w:bookmarkStart w:id="35" w:name="_Toc24884212"/>
          <w:bookmarkStart w:id="36" w:name="_Toc26648466"/>
          <w:bookmarkStart w:id="37" w:name="_Toc17233334"/>
          <w:bookmarkStart w:id="38" w:name="_Toc24884219"/>
          <w:r>
            <w:rPr>
              <w:rFonts w:hint="default" w:ascii="Times New Roman" w:hAnsi="Times New Roman" w:cs="Times New Roman"/>
            </w:rPr>
            <w:t>本文件规定了使用</w:t>
          </w:r>
          <w:r>
            <w:rPr>
              <w:rFonts w:hint="eastAsia" w:ascii="Times New Roman" w:cs="Times New Roman"/>
              <w:lang w:val="en-US" w:eastAsia="zh-CN"/>
            </w:rPr>
            <w:t>电感耦合等离子体发射</w:t>
          </w:r>
          <w:r>
            <w:rPr>
              <w:rFonts w:hint="default" w:ascii="Times New Roman" w:hAnsi="Times New Roman" w:cs="Times New Roman"/>
            </w:rPr>
            <w:t>光谱法（</w:t>
          </w:r>
          <w:r>
            <w:rPr>
              <w:rFonts w:hint="eastAsia" w:ascii="Times New Roman" w:cs="Times New Roman"/>
              <w:lang w:val="en-US" w:eastAsia="zh-CN"/>
            </w:rPr>
            <w:t>ICP-OES</w:t>
          </w:r>
          <w:r>
            <w:rPr>
              <w:rFonts w:hint="default" w:ascii="Times New Roman" w:hAnsi="Times New Roman" w:cs="Times New Roman"/>
            </w:rPr>
            <w:t>）测定硅多晶副产</w:t>
          </w:r>
          <w:r>
            <w:rPr>
              <w:rFonts w:hint="eastAsia" w:ascii="Times New Roman" w:cs="Times New Roman"/>
              <w:lang w:eastAsia="zh-CN"/>
            </w:rPr>
            <w:t>硅粉</w:t>
          </w:r>
          <w:r>
            <w:rPr>
              <w:rFonts w:hint="default" w:ascii="Times New Roman" w:hAnsi="Times New Roman" w:cs="Times New Roman"/>
            </w:rPr>
            <w:t>中</w:t>
          </w:r>
          <w:r>
            <w:rPr>
              <w:rFonts w:hint="eastAsia" w:ascii="Times New Roman" w:cs="Times New Roman"/>
              <w:lang w:val="en-US" w:eastAsia="zh-CN"/>
            </w:rPr>
            <w:t>金属杂质</w:t>
          </w:r>
          <w:r>
            <w:rPr>
              <w:rFonts w:hint="default" w:ascii="Times New Roman" w:hAnsi="Times New Roman" w:cs="Times New Roman"/>
            </w:rPr>
            <w:t>的方法。</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rPr>
          </w:pPr>
          <w:r>
            <w:rPr>
              <w:rFonts w:hint="default" w:ascii="Times New Roman" w:hAnsi="Times New Roman" w:cs="Times New Roman"/>
            </w:rPr>
            <w:t>本文件适用于硅多晶副产</w:t>
          </w:r>
          <w:r>
            <w:rPr>
              <w:rFonts w:hint="eastAsia" w:ascii="Times New Roman" w:cs="Times New Roman"/>
              <w:lang w:eastAsia="zh-CN"/>
            </w:rPr>
            <w:t>硅粉</w:t>
          </w:r>
          <w:r>
            <w:rPr>
              <w:rFonts w:hint="default" w:ascii="Times New Roman" w:hAnsi="Times New Roman" w:cs="Times New Roman"/>
            </w:rPr>
            <w:t>中</w:t>
          </w:r>
          <w:r>
            <w:rPr>
              <w:rFonts w:hint="eastAsia" w:ascii="Times New Roman" w:cs="Times New Roman"/>
              <w:lang w:val="en-US" w:eastAsia="zh-CN"/>
            </w:rPr>
            <w:t>金属杂质</w:t>
          </w:r>
          <w:r>
            <w:rPr>
              <w:rFonts w:hint="default" w:ascii="Times New Roman" w:hAnsi="Times New Roman" w:cs="Times New Roman"/>
            </w:rPr>
            <w:t>的测定，测定范围</w:t>
          </w:r>
          <w:r>
            <w:rPr>
              <w:rFonts w:hint="default" w:ascii="Times New Roman" w:hAnsi="Times New Roman" w:cs="Times New Roman"/>
              <w:lang w:eastAsia="zh-CN"/>
            </w:rPr>
            <w:t>（</w:t>
          </w:r>
          <w:r>
            <w:rPr>
              <w:rFonts w:hint="default" w:ascii="Times New Roman" w:hAnsi="Times New Roman" w:cs="Times New Roman"/>
              <w:lang w:val="en-US" w:eastAsia="zh-CN"/>
            </w:rPr>
            <w:t>质量</w:t>
          </w:r>
          <w:r>
            <w:rPr>
              <w:rFonts w:hint="eastAsia" w:ascii="Times New Roman" w:cs="Times New Roman"/>
              <w:lang w:val="en-US" w:eastAsia="zh-CN"/>
            </w:rPr>
            <w:t>浓度</w:t>
          </w:r>
          <w:r>
            <w:rPr>
              <w:rFonts w:hint="default" w:ascii="Times New Roman" w:hAnsi="Times New Roman" w:cs="Times New Roman"/>
              <w:lang w:val="en-US" w:eastAsia="zh-CN"/>
            </w:rPr>
            <w:t>）</w:t>
          </w:r>
          <w:r>
            <w:rPr>
              <w:rFonts w:hint="default" w:ascii="Times New Roman" w:hAnsi="Times New Roman" w:cs="Times New Roman"/>
            </w:rPr>
            <w:t>为</w:t>
          </w:r>
          <w:r>
            <w:rPr>
              <w:rFonts w:hint="default" w:ascii="Times New Roman" w:hAnsi="Times New Roman" w:cs="Times New Roman"/>
              <w:lang w:val="en-US" w:eastAsia="zh-CN"/>
            </w:rPr>
            <w:t>0.01%</w:t>
          </w:r>
          <w:r>
            <w:rPr>
              <w:rFonts w:hint="default" w:ascii="Times New Roman" w:hAnsi="Times New Roman" w:cs="Times New Roman"/>
            </w:rPr>
            <w:t>-</w:t>
          </w:r>
          <w:r>
            <w:rPr>
              <w:rFonts w:hint="eastAsia" w:ascii="Times New Roman" w:hAnsi="Times New Roman" w:cs="Times New Roman"/>
              <w:lang w:val="en-US" w:eastAsia="zh-CN"/>
            </w:rPr>
            <w:t>2</w:t>
          </w:r>
          <w:r>
            <w:rPr>
              <w:rFonts w:hint="default" w:ascii="Times New Roman" w:hAnsi="Times New Roman" w:cs="Times New Roman"/>
              <w:lang w:val="en-US" w:eastAsia="zh-CN"/>
            </w:rPr>
            <w:t>0</w:t>
          </w:r>
          <w:r>
            <w:rPr>
              <w:rFonts w:hint="default" w:ascii="Times New Roman" w:hAnsi="Times New Roman" w:cs="Times New Roman"/>
            </w:rPr>
            <w:t>%。</w:t>
          </w:r>
        </w:p>
        <w:p>
          <w:pPr>
            <w:pStyle w:val="104"/>
            <w:spacing w:before="240" w:after="240"/>
            <w:rPr>
              <w:rFonts w:hint="default" w:ascii="Times New Roman" w:hAnsi="Times New Roman" w:cs="Times New Roman"/>
            </w:rPr>
          </w:pPr>
          <w:bookmarkStart w:id="39" w:name="_Toc97195092"/>
          <w:bookmarkStart w:id="40" w:name="_Toc26986772"/>
          <w:bookmarkStart w:id="41" w:name="_Toc26718931"/>
          <w:bookmarkStart w:id="42" w:name="_Toc26986531"/>
          <w:r>
            <w:rPr>
              <w:rFonts w:hint="default" w:ascii="Times New Roman" w:hAnsi="Times New Roman" w:cs="Times New Roman"/>
            </w:rPr>
            <w:t>规范性引用文件</w:t>
          </w:r>
          <w:bookmarkEnd w:id="34"/>
          <w:bookmarkEnd w:id="35"/>
          <w:bookmarkEnd w:id="36"/>
          <w:bookmarkEnd w:id="37"/>
          <w:bookmarkEnd w:id="38"/>
          <w:bookmarkEnd w:id="39"/>
          <w:bookmarkEnd w:id="40"/>
          <w:bookmarkEnd w:id="41"/>
          <w:bookmarkEnd w:id="42"/>
        </w:p>
        <w:sdt>
          <w:sdtPr>
            <w:rPr>
              <w:rFonts w:hint="default" w:ascii="Times New Roman" w:hAnsi="Times New Roman" w:cs="Times New Roman"/>
            </w:rPr>
            <w:id w:val="715848253"/>
            <w:placeholder>
              <w:docPart w:val="{76b3c2d0-fdaa-4c73-87f1-bf19d2f57a6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default" w:ascii="Times New Roman" w:hAnsi="Times New Roman" w:cs="Times New Roman"/>
            </w:rPr>
          </w:sdtEndPr>
          <w:sdtContent>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rPr>
              </w:pPr>
              <w:r>
                <w:rPr>
                  <w:rFonts w:hint="default" w:ascii="Times New Roman" w:hAnsi="Times New Roman"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rPr>
          </w:pPr>
          <w:bookmarkStart w:id="43" w:name="_Toc97195093"/>
          <w:r>
            <w:rPr>
              <w:rFonts w:hint="default" w:ascii="Times New Roman" w:hAnsi="Times New Roman" w:cs="Times New Roman"/>
            </w:rPr>
            <w:t>GB/T 6682 分析实验室用水规格和试验方法</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rPr>
          </w:pPr>
          <w:r>
            <w:rPr>
              <w:rFonts w:hint="default" w:ascii="Times New Roman" w:hAnsi="Times New Roman" w:cs="Times New Roman"/>
            </w:rPr>
            <w:t>GB</w:t>
          </w:r>
          <w:r>
            <w:rPr>
              <w:rFonts w:hint="eastAsia" w:ascii="Times New Roman" w:cs="Times New Roman"/>
              <w:lang w:val="en-US" w:eastAsia="zh-CN"/>
            </w:rPr>
            <w:t>/</w:t>
          </w:r>
          <w:r>
            <w:rPr>
              <w:rFonts w:hint="default" w:ascii="Times New Roman" w:hAnsi="Times New Roman" w:cs="Times New Roman"/>
            </w:rPr>
            <w:t>T 14849.4-2014 工业硅化学分析方法 第4部分 杂质元素含量的测定 电感耦合等离子体原子发射光谱法</w:t>
          </w:r>
        </w:p>
        <w:p>
          <w:pPr>
            <w:pStyle w:val="104"/>
            <w:spacing w:before="240" w:after="240"/>
            <w:rPr>
              <w:rFonts w:hint="default" w:ascii="Times New Roman" w:hAnsi="Times New Roman" w:cs="Times New Roman"/>
            </w:rPr>
          </w:pPr>
          <w:r>
            <w:rPr>
              <w:rFonts w:hint="default" w:ascii="Times New Roman" w:hAnsi="Times New Roman" w:cs="Times New Roman"/>
              <w:szCs w:val="21"/>
            </w:rPr>
            <w:t>术语和定义</w:t>
          </w:r>
          <w:bookmarkEnd w:id="43"/>
        </w:p>
        <w:sdt>
          <w:sdtPr>
            <w:rPr>
              <w:rFonts w:hint="default" w:ascii="Times New Roman" w:hAnsi="Times New Roman" w:cs="Times New Roman"/>
            </w:rPr>
            <w:id w:val="-1909835108"/>
            <w:placeholder>
              <w:docPart w:val="{c39c05d1-da37-49fb-a5cb-294801ebf3a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cs="Times New Roman"/>
            </w:rPr>
          </w:sdtEndPr>
          <w:sdtContent>
            <w:p>
              <w:pPr>
                <w:pStyle w:val="56"/>
                <w:ind w:firstLine="420"/>
                <w:rPr>
                  <w:rFonts w:hint="default" w:ascii="Times New Roman" w:hAnsi="Times New Roman" w:cs="Times New Roman"/>
                </w:rPr>
              </w:pPr>
              <w:bookmarkStart w:id="44" w:name="_Toc26986532"/>
              <w:bookmarkEnd w:id="44"/>
              <w:r>
                <w:rPr>
                  <w:rFonts w:hint="default" w:ascii="Times New Roman" w:hAnsi="Times New Roman" w:cs="Times New Roman"/>
                </w:rPr>
                <w:t>下列术语和定义适用于本文件。</w:t>
              </w:r>
            </w:p>
          </w:sdtContent>
        </w:sdt>
        <w:p>
          <w:pPr>
            <w:pStyle w:val="105"/>
            <w:spacing w:before="120" w:after="120"/>
            <w:rPr>
              <w:rFonts w:hint="default" w:ascii="Times New Roman" w:hAnsi="Times New Roman" w:cs="Times New Roman"/>
            </w:rPr>
          </w:pPr>
          <w:r>
            <w:rPr>
              <w:rFonts w:hint="default" w:ascii="Times New Roman" w:hAnsi="Times New Roman" w:cs="Times New Roman"/>
            </w:rPr>
            <w:t>硅多晶副产</w:t>
          </w:r>
          <w:r>
            <w:rPr>
              <w:rFonts w:hint="eastAsia" w:ascii="Times New Roman" w:cs="Times New Roman"/>
              <w:lang w:eastAsia="zh-CN"/>
            </w:rPr>
            <w:t>硅粉</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szCs w:val="22"/>
            </w:rPr>
          </w:pPr>
          <w:r>
            <w:rPr>
              <w:rFonts w:hint="default" w:ascii="Times New Roman" w:hAnsi="Times New Roman" w:cs="Times New Roman"/>
              <w:szCs w:val="22"/>
            </w:rPr>
            <w:t>硅多晶生产过程中产生的</w:t>
          </w:r>
          <w:r>
            <w:rPr>
              <w:rFonts w:hint="eastAsia" w:ascii="Times New Roman" w:hAnsi="Times New Roman" w:cs="Times New Roman"/>
              <w:szCs w:val="22"/>
              <w:lang w:eastAsia="zh-CN"/>
            </w:rPr>
            <w:t>硅粉</w:t>
          </w:r>
          <w:r>
            <w:rPr>
              <w:rFonts w:hint="default" w:ascii="Times New Roman" w:hAnsi="Times New Roman" w:cs="Times New Roman"/>
              <w:szCs w:val="22"/>
            </w:rPr>
            <w:t>副产物，</w:t>
          </w:r>
          <w:r>
            <w:rPr>
              <w:rFonts w:hint="eastAsia" w:ascii="Times New Roman" w:hAnsi="Times New Roman" w:cs="Times New Roman"/>
              <w:szCs w:val="22"/>
              <w:lang w:val="en-US" w:eastAsia="zh-CN"/>
            </w:rPr>
            <w:t>主要为</w:t>
          </w:r>
          <w:r>
            <w:rPr>
              <w:rFonts w:hint="default" w:ascii="Times New Roman" w:hAnsi="Times New Roman" w:cs="Times New Roman"/>
              <w:szCs w:val="22"/>
            </w:rPr>
            <w:t>冷氢化工序产生的外排</w:t>
          </w:r>
          <w:r>
            <w:rPr>
              <w:rFonts w:hint="eastAsia" w:ascii="Times New Roman" w:hAnsi="Times New Roman" w:cs="Times New Roman"/>
              <w:szCs w:val="22"/>
              <w:lang w:eastAsia="zh-CN"/>
            </w:rPr>
            <w:t>硅粉，</w:t>
          </w:r>
          <w:r>
            <w:rPr>
              <w:rFonts w:hint="eastAsia" w:ascii="Times New Roman" w:hAnsi="Times New Roman" w:cs="Times New Roman"/>
              <w:szCs w:val="22"/>
              <w:lang w:val="en-US" w:eastAsia="zh-CN"/>
            </w:rPr>
            <w:t>少量</w:t>
          </w:r>
          <w:r>
            <w:rPr>
              <w:rFonts w:hint="default" w:ascii="Times New Roman" w:hAnsi="Times New Roman" w:cs="Times New Roman"/>
              <w:szCs w:val="22"/>
            </w:rPr>
            <w:t>回收工序在尾气回收过程中收集的回收</w:t>
          </w:r>
          <w:r>
            <w:rPr>
              <w:rFonts w:hint="eastAsia" w:ascii="Times New Roman" w:hAnsi="Times New Roman" w:cs="Times New Roman"/>
              <w:szCs w:val="22"/>
              <w:lang w:eastAsia="zh-CN"/>
            </w:rPr>
            <w:t>硅粉</w:t>
          </w:r>
          <w:r>
            <w:rPr>
              <w:rFonts w:hint="default" w:ascii="Times New Roman" w:hAnsi="Times New Roman" w:cs="Times New Roman"/>
              <w:szCs w:val="22"/>
            </w:rPr>
            <w:t>等。</w:t>
          </w:r>
        </w:p>
        <w:p>
          <w:pPr>
            <w:pStyle w:val="105"/>
            <w:spacing w:before="120" w:after="120"/>
            <w:rPr>
              <w:rFonts w:hint="default" w:ascii="Times New Roman" w:hAnsi="Times New Roman" w:cs="Times New Roman"/>
            </w:rPr>
          </w:pPr>
          <w:r>
            <w:rPr>
              <w:rFonts w:hint="eastAsia" w:ascii="Times New Roman" w:cs="Times New Roman"/>
              <w:lang w:val="en-US" w:eastAsia="zh-CN"/>
            </w:rPr>
            <w:t>电感耦合等离子体发射光谱</w:t>
          </w:r>
        </w:p>
        <w:p>
          <w:pPr>
            <w:pStyle w:val="56"/>
            <w:ind w:firstLine="420"/>
            <w:rPr>
              <w:rFonts w:hint="default" w:ascii="Times New Roman" w:hAnsi="Times New Roman" w:cs="Times New Roman"/>
            </w:rPr>
          </w:pPr>
          <w:r>
            <w:rPr>
              <w:rFonts w:hint="eastAsia" w:ascii="Times New Roman" w:cs="Times New Roman"/>
              <w:lang w:val="en-US" w:eastAsia="zh-CN"/>
            </w:rPr>
            <w:t>不同金属元素激发出的特征光谱强度</w:t>
          </w:r>
          <w:r>
            <w:rPr>
              <w:rFonts w:hint="default" w:ascii="Times New Roman" w:hAnsi="Times New Roman" w:cs="Times New Roman"/>
            </w:rPr>
            <w:t>，与</w:t>
          </w:r>
          <w:r>
            <w:rPr>
              <w:rFonts w:hint="eastAsia" w:ascii="Times New Roman" w:cs="Times New Roman"/>
              <w:lang w:val="en-US" w:eastAsia="zh-CN"/>
            </w:rPr>
            <w:t>金属</w:t>
          </w:r>
          <w:r>
            <w:rPr>
              <w:rFonts w:hint="default" w:ascii="Times New Roman" w:hAnsi="Times New Roman" w:cs="Times New Roman"/>
            </w:rPr>
            <w:t>元素含量正相关。</w:t>
          </w:r>
        </w:p>
        <w:p>
          <w:pPr>
            <w:pStyle w:val="104"/>
            <w:spacing w:before="240" w:after="240"/>
            <w:rPr>
              <w:rFonts w:hint="default" w:ascii="Times New Roman" w:hAnsi="Times New Roman" w:cs="Times New Roman"/>
            </w:rPr>
          </w:pPr>
          <w:r>
            <w:rPr>
              <w:rFonts w:hint="default" w:ascii="Times New Roman" w:hAnsi="Times New Roman" w:cs="Times New Roman"/>
            </w:rPr>
            <w:t>测试原理</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szCs w:val="22"/>
            </w:rPr>
          </w:pPr>
          <w:r>
            <w:rPr>
              <w:rFonts w:hint="default" w:ascii="Times New Roman" w:hAnsi="Times New Roman" w:cs="Times New Roman"/>
              <w:szCs w:val="22"/>
            </w:rPr>
            <w:t>待测样品</w:t>
          </w:r>
          <w:r>
            <w:rPr>
              <w:rFonts w:hint="eastAsia" w:ascii="Times New Roman" w:hAnsi="Times New Roman" w:cs="Times New Roman"/>
              <w:szCs w:val="22"/>
              <w:lang w:val="en-US" w:eastAsia="zh-CN"/>
            </w:rPr>
            <w:t>经过酸消解后，试</w:t>
          </w:r>
          <w:r>
            <w:rPr>
              <w:rFonts w:hint="default" w:ascii="Times New Roman" w:hAnsi="Times New Roman" w:cs="Times New Roman"/>
              <w:szCs w:val="22"/>
            </w:rPr>
            <w:t>液经过雾化，被送入高温（约6000-10000 K）的等离子体炬中；样品中的金属元素在等离子体中被充分蒸发、原子化、激发，使得待测元素原子或离子外层电子跃迁到高能级；当这些电子从高能级回到低能级时，会释放出特定波长的光；通过检测这些特征谱线的波长和强度，就可以对元素进行定性鉴定和定量分析。</w:t>
          </w:r>
        </w:p>
        <w:p>
          <w:pPr>
            <w:pStyle w:val="104"/>
            <w:spacing w:before="240" w:after="240"/>
            <w:rPr>
              <w:rFonts w:hint="default" w:ascii="Times New Roman" w:hAnsi="Times New Roman" w:cs="Times New Roman"/>
            </w:rPr>
          </w:pPr>
          <w:r>
            <w:rPr>
              <w:rFonts w:hint="default" w:ascii="Times New Roman" w:hAnsi="Times New Roman" w:cs="Times New Roman"/>
            </w:rPr>
            <w:t>测试环境</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default" w:ascii="Times New Roman" w:hAnsi="Times New Roman" w:cs="Times New Roman"/>
            </w:rPr>
            <w:t>环境温度：15℃</w:t>
          </w:r>
          <w:r>
            <w:rPr>
              <w:rFonts w:hint="default" w:ascii="Times New Roman" w:hAnsi="Times New Roman" w:cs="Times New Roman"/>
              <w:lang w:val="en-US" w:eastAsia="zh-CN"/>
            </w:rPr>
            <w:t>-</w:t>
          </w:r>
          <w:r>
            <w:rPr>
              <w:rFonts w:hint="default" w:ascii="Times New Roman" w:hAnsi="Times New Roman" w:cs="Times New Roman"/>
            </w:rPr>
            <w:t>25℃。</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default" w:ascii="Times New Roman" w:hAnsi="Times New Roman" w:cs="Times New Roman"/>
            </w:rPr>
            <w:t>相对湿度：≤65%RH，防止样品吸潮。</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default" w:ascii="Times New Roman" w:hAnsi="Times New Roman" w:cs="Times New Roman"/>
            </w:rPr>
            <w:t>洁净室等级：满足GB/T 25915.1中定义的ISO 8级及以上的要求。</w:t>
          </w:r>
        </w:p>
        <w:p>
          <w:pPr>
            <w:pStyle w:val="104"/>
            <w:spacing w:before="240" w:after="240"/>
            <w:rPr>
              <w:rFonts w:hint="default"/>
            </w:rPr>
          </w:pPr>
          <w:r>
            <w:rPr>
              <w:rFonts w:hint="default" w:ascii="Times New Roman" w:hAnsi="Times New Roman" w:cs="Times New Roman"/>
            </w:rPr>
            <w:t>试剂和材料</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default"/>
            </w:rPr>
            <w:t>本标准所用试剂和水，在没有注明其他要求时，均指分析纯试剂和 GB/T 6682 规定的三级水。</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eastAsia" w:ascii="Times New Roman" w:cs="Times New Roman"/>
              <w:lang w:val="en-US" w:eastAsia="zh-CN"/>
            </w:rPr>
            <w:t>氢氟酸（49%），硝酸（65%），优级纯</w:t>
          </w:r>
          <w:r>
            <w:rPr>
              <w:rFonts w:hint="default" w:ascii="Times New Roman" w:hAnsi="Times New Roman" w:cs="Times New Roman"/>
            </w:rPr>
            <w:t>。</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eastAsia" w:ascii="Times New Roman" w:cs="Times New Roman"/>
              <w:lang w:val="en-US" w:eastAsia="zh-CN"/>
            </w:rPr>
            <w:t>各金属元素标准溶液</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eastAsia" w:ascii="Times New Roman" w:cs="Times New Roman"/>
              <w:lang w:val="en-US" w:eastAsia="zh-CN"/>
            </w:rPr>
            <w:t>氩</w:t>
          </w:r>
          <w:r>
            <w:rPr>
              <w:rFonts w:hint="default" w:ascii="Times New Roman" w:hAnsi="Times New Roman" w:cs="Times New Roman"/>
            </w:rPr>
            <w:t>气，纯度大于99.999%</w:t>
          </w:r>
          <w:r>
            <w:rPr>
              <w:rFonts w:hint="default" w:ascii="Times New Roman" w:hAnsi="Times New Roman" w:cs="Times New Roman"/>
              <w:lang w:eastAsia="zh-CN"/>
            </w:rPr>
            <w:t>。</w:t>
          </w:r>
        </w:p>
        <w:p>
          <w:pPr>
            <w:pStyle w:val="104"/>
            <w:spacing w:before="240" w:after="240"/>
            <w:rPr>
              <w:rFonts w:hint="default" w:ascii="Times New Roman" w:hAnsi="Times New Roman" w:cs="Times New Roman"/>
            </w:rPr>
          </w:pPr>
          <w:r>
            <w:rPr>
              <w:rFonts w:hint="default" w:ascii="Times New Roman" w:hAnsi="Times New Roman" w:cs="Times New Roman"/>
            </w:rPr>
            <w:t>仪器设备</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default" w:ascii="Times New Roman" w:hAnsi="Times New Roman" w:cs="Times New Roman"/>
            </w:rPr>
            <w:t>电感</w:t>
          </w:r>
          <w:r>
            <w:rPr>
              <w:rFonts w:hint="eastAsia" w:ascii="Times New Roman" w:cs="Times New Roman"/>
              <w:lang w:val="en-US" w:eastAsia="zh-CN"/>
            </w:rPr>
            <w:t>耦</w:t>
          </w:r>
          <w:r>
            <w:rPr>
              <w:rFonts w:hint="default" w:ascii="Times New Roman" w:hAnsi="Times New Roman" w:cs="Times New Roman"/>
            </w:rPr>
            <w:t>合等离子体发射光谱仪。光源</w:t>
          </w:r>
          <w:r>
            <w:rPr>
              <w:rFonts w:hint="default" w:ascii="Times New Roman" w:hAnsi="Times New Roman" w:cs="Times New Roman"/>
              <w:lang w:eastAsia="zh-CN"/>
            </w:rPr>
            <w:t>：</w:t>
          </w:r>
          <w:r>
            <w:rPr>
              <w:rFonts w:hint="default" w:ascii="Times New Roman" w:hAnsi="Times New Roman" w:cs="Times New Roman"/>
            </w:rPr>
            <w:t>等离子体光源，使用功率750 W</w:t>
          </w:r>
          <w:r>
            <w:rPr>
              <w:rFonts w:hint="default" w:ascii="Times New Roman" w:hAnsi="Times New Roman" w:cs="Times New Roman"/>
              <w:lang w:val="en-US" w:eastAsia="zh-CN"/>
            </w:rPr>
            <w:t>-</w:t>
          </w:r>
          <w:r>
            <w:rPr>
              <w:rFonts w:hint="default" w:ascii="Times New Roman" w:hAnsi="Times New Roman" w:cs="Times New Roman"/>
            </w:rPr>
            <w:t>l750 W</w:t>
          </w:r>
          <w:r>
            <w:rPr>
              <w:rFonts w:hint="default" w:ascii="Times New Roman" w:hAnsi="Times New Roman" w:cs="Times New Roman"/>
              <w:lang w:eastAsia="zh-CN"/>
            </w:rPr>
            <w:t>。</w:t>
          </w:r>
        </w:p>
        <w:p>
          <w:pPr>
            <w:pStyle w:val="162"/>
            <w:keepNext w:val="0"/>
            <w:keepLines w:val="0"/>
            <w:pageBreakBefore w:val="0"/>
            <w:widowControl/>
            <w:kinsoku/>
            <w:wordWrap/>
            <w:overflowPunct/>
            <w:topLinePunct w:val="0"/>
            <w:autoSpaceDE/>
            <w:autoSpaceDN/>
            <w:bidi w:val="0"/>
            <w:adjustRightInd/>
            <w:snapToGrid/>
            <w:spacing w:line="279" w:lineRule="auto"/>
            <w:textAlignment w:val="auto"/>
            <w:rPr>
              <w:rFonts w:hint="default" w:ascii="Times New Roman" w:hAnsi="Times New Roman" w:cs="Times New Roman"/>
            </w:rPr>
          </w:pPr>
          <w:r>
            <w:rPr>
              <w:rFonts w:hint="default" w:ascii="Times New Roman" w:hAnsi="Times New Roman" w:cs="Times New Roman"/>
              <w:lang w:val="en-US" w:eastAsia="zh-CN"/>
            </w:rPr>
            <w:t>电子天平，精确到0.0001g</w:t>
          </w:r>
          <w:r>
            <w:rPr>
              <w:rFonts w:hint="eastAsia" w:ascii="Times New Roman" w:cs="Times New Roman"/>
              <w:lang w:val="en-US" w:eastAsia="zh-CN"/>
            </w:rPr>
            <w:t>。</w:t>
          </w:r>
        </w:p>
        <w:p>
          <w:pPr>
            <w:pStyle w:val="104"/>
            <w:spacing w:before="240" w:after="240"/>
          </w:pPr>
          <w:r>
            <w:rPr>
              <w:rFonts w:hint="eastAsia"/>
            </w:rPr>
            <w:t>样品制备</w:t>
          </w:r>
        </w:p>
        <w:p>
          <w:pPr>
            <w:pStyle w:val="105"/>
            <w:spacing w:before="120" w:after="120"/>
          </w:pPr>
          <w:r>
            <w:rPr>
              <w:rFonts w:hint="eastAsia"/>
            </w:rPr>
            <w:t>样品预处理</w:t>
          </w:r>
        </w:p>
        <w:p>
          <w:pPr>
            <w:pStyle w:val="56"/>
            <w:ind w:firstLine="420"/>
            <w:rPr>
              <w:rFonts w:hint="default" w:ascii="Times New Roman" w:hAnsi="Times New Roman" w:cs="Times New Roman"/>
            </w:rPr>
          </w:pPr>
          <w:r>
            <w:rPr>
              <w:rFonts w:hint="default" w:ascii="Times New Roman" w:hAnsi="Times New Roman" w:cs="Times New Roman"/>
            </w:rPr>
            <w:t>样品于140℃加热烘干2h，研磨至全部通过75μm分析筛。</w:t>
          </w:r>
        </w:p>
        <w:p>
          <w:pPr>
            <w:pStyle w:val="105"/>
            <w:spacing w:before="120" w:after="120"/>
            <w:rPr>
              <w:rFonts w:hint="default" w:ascii="Times New Roman" w:hAnsi="Times New Roman" w:cs="Times New Roman"/>
            </w:rPr>
          </w:pPr>
          <w:r>
            <w:rPr>
              <w:rFonts w:hint="default" w:ascii="Times New Roman" w:hAnsi="Times New Roman" w:cs="Times New Roman"/>
            </w:rPr>
            <w:t>制样</w:t>
          </w:r>
        </w:p>
        <w:p>
          <w:pPr>
            <w:pStyle w:val="56"/>
            <w:ind w:firstLine="420"/>
            <w:rPr>
              <w:rFonts w:hint="eastAsia" w:eastAsia="宋体"/>
              <w:lang w:val="en-US" w:eastAsia="zh-CN"/>
            </w:rPr>
          </w:pPr>
          <w:r>
            <w:rPr>
              <w:rFonts w:hint="default" w:ascii="Times New Roman" w:hAnsi="Times New Roman" w:cs="Times New Roman"/>
            </w:rPr>
            <w:t>称取</w:t>
          </w:r>
          <w:r>
            <w:rPr>
              <w:rFonts w:hint="default" w:ascii="Times New Roman" w:hAnsi="Times New Roman" w:cs="Times New Roman"/>
              <w:lang w:val="en-US" w:eastAsia="zh-CN"/>
            </w:rPr>
            <w:t>0.2500</w:t>
          </w:r>
          <w:r>
            <w:rPr>
              <w:rFonts w:hint="default" w:ascii="Times New Roman" w:hAnsi="Times New Roman" w:cs="Times New Roman"/>
            </w:rPr>
            <w:t>g（±0.</w:t>
          </w:r>
          <w:r>
            <w:rPr>
              <w:rFonts w:hint="default" w:ascii="Times New Roman" w:hAnsi="Times New Roman" w:cs="Times New Roman"/>
              <w:lang w:val="en-US" w:eastAsia="zh-CN"/>
            </w:rPr>
            <w:t>0100</w:t>
          </w:r>
          <w:r>
            <w:rPr>
              <w:rFonts w:hint="default" w:ascii="Times New Roman" w:hAnsi="Times New Roman" w:cs="Times New Roman"/>
            </w:rPr>
            <w:t>g）试样</w:t>
          </w:r>
          <w:r>
            <w:rPr>
              <w:rFonts w:hint="default" w:ascii="Times New Roman" w:hAnsi="Times New Roman" w:cs="Times New Roman"/>
              <w:lang w:val="en-US" w:eastAsia="zh-CN"/>
            </w:rPr>
            <w:t>,使用氢氟酸、硝酸（</w:t>
          </w:r>
          <w:r>
            <w:rPr>
              <w:rFonts w:hint="eastAsia" w:ascii="Times New Roman" w:cs="Times New Roman"/>
              <w:lang w:val="en-US" w:eastAsia="zh-CN"/>
            </w:rPr>
            <w:t>体积</w:t>
          </w:r>
          <w:r>
            <w:rPr>
              <w:rFonts w:hint="default" w:ascii="Times New Roman" w:hAnsi="Times New Roman" w:cs="Times New Roman"/>
              <w:lang w:val="en-US" w:eastAsia="zh-CN"/>
            </w:rPr>
            <w:t>比3:1）消解，样品消解完全后定容至100ml。</w:t>
          </w:r>
        </w:p>
        <w:p>
          <w:pPr>
            <w:pStyle w:val="104"/>
            <w:spacing w:before="240" w:after="240"/>
          </w:pPr>
          <w:r>
            <w:rPr>
              <w:rFonts w:hint="eastAsia"/>
            </w:rPr>
            <w:t>测定</w:t>
          </w:r>
        </w:p>
        <w:p>
          <w:pPr>
            <w:pStyle w:val="105"/>
            <w:spacing w:before="120" w:after="120"/>
          </w:pPr>
          <w:r>
            <w:rPr>
              <w:rFonts w:hint="eastAsia"/>
              <w:lang w:val="en-US" w:eastAsia="zh-CN"/>
            </w:rPr>
            <w:t>系列标准溶液的配制</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lang w:val="en-US" w:eastAsia="zh-CN"/>
            </w:rPr>
          </w:pPr>
          <w:r>
            <w:rPr>
              <w:rFonts w:hint="eastAsia"/>
              <w:lang w:val="en-US" w:eastAsia="zh-CN"/>
            </w:rPr>
            <w:t>在4组100mL容量瓶中加入准确计算好用量的标准溶液</w:t>
          </w:r>
          <w:r>
            <w:rPr>
              <w:rFonts w:hint="default" w:ascii="Times New Roman" w:hAnsi="Times New Roman" w:cs="Times New Roman"/>
              <w:lang w:val="en-US" w:eastAsia="zh-CN"/>
            </w:rPr>
            <w:t>（6.3）</w:t>
          </w:r>
          <w:r>
            <w:rPr>
              <w:rFonts w:hint="eastAsia"/>
              <w:lang w:val="en-US" w:eastAsia="zh-CN"/>
            </w:rPr>
            <w:t>，其介质、酸度与试样保持一致，加水稀释致刻度、摇均，以水为空白，待测元素含量应在标准曲线范围之内。</w:t>
          </w:r>
        </w:p>
        <w:p>
          <w:pPr>
            <w:pStyle w:val="105"/>
            <w:spacing w:before="120" w:after="120"/>
          </w:pPr>
          <w:r>
            <w:rPr>
              <w:rFonts w:hint="eastAsia"/>
            </w:rPr>
            <w:t>检测</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lang w:val="en-US"/>
            </w:rPr>
          </w:pPr>
          <w:r>
            <w:rPr>
              <w:rFonts w:hint="eastAsia"/>
              <w:lang w:val="en-US" w:eastAsia="zh-CN"/>
            </w:rPr>
            <w:t>试样溶液引入等离子体光谱仪，在选定的最佳测定条件（氩气流量、各金属元素选定分析线波长）下，测量溶液中各元素的含量。各元素标准曲线相关系数</w:t>
          </w:r>
          <w:r>
            <w:rPr>
              <w:rFonts w:hint="default" w:ascii="Times New Roman" w:hAnsi="Times New Roman" w:eastAsia="宋体" w:cs="Times New Roman"/>
              <w:lang w:val="en-US" w:eastAsia="zh-CN"/>
            </w:rPr>
            <w:t>≧</w:t>
          </w:r>
          <w:r>
            <w:rPr>
              <w:rFonts w:hint="default" w:ascii="Times New Roman" w:hAnsi="Times New Roman" w:cs="Times New Roman"/>
              <w:lang w:val="en-US" w:eastAsia="zh-CN"/>
            </w:rPr>
            <w:t>0.999</w:t>
          </w:r>
          <w:r>
            <w:rPr>
              <w:rFonts w:hint="eastAsia"/>
              <w:lang w:val="en-US" w:eastAsia="zh-CN"/>
            </w:rPr>
            <w:t>,依据各元素特征光谱强度与元素含量的正相关关系计算出各元素质量浓度。</w:t>
          </w:r>
        </w:p>
        <w:p>
          <w:pPr>
            <w:pStyle w:val="104"/>
            <w:spacing w:before="240" w:after="240"/>
          </w:pPr>
          <w:r>
            <w:rPr>
              <w:rFonts w:hint="eastAsia"/>
            </w:rPr>
            <w:t>计算</w:t>
          </w:r>
        </w:p>
        <w:p>
          <w:pPr>
            <w:pStyle w:val="56"/>
            <w:ind w:firstLine="420"/>
          </w:pPr>
          <w:r>
            <w:drawing>
              <wp:inline distT="0" distB="0" distL="114300" distR="114300">
                <wp:extent cx="2660015" cy="43180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2660015" cy="431800"/>
                        </a:xfrm>
                        <a:prstGeom prst="rect">
                          <a:avLst/>
                        </a:prstGeom>
                        <a:noFill/>
                        <a:ln>
                          <a:noFill/>
                        </a:ln>
                      </pic:spPr>
                    </pic:pic>
                  </a:graphicData>
                </a:graphic>
              </wp:inline>
            </w:drawing>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rPr>
          </w:pPr>
          <w:r>
            <w:rPr>
              <w:rFonts w:hint="default" w:ascii="Times New Roman" w:hAnsi="Times New Roman" w:cs="Times New Roman"/>
            </w:rPr>
            <w:t>式中：</w:t>
          </w:r>
        </w:p>
        <w:p>
          <w:pPr>
            <w:pStyle w:val="56"/>
            <w:keepNext w:val="0"/>
            <w:keepLines w:val="0"/>
            <w:pageBreakBefore w:val="0"/>
            <w:widowControl/>
            <w:kinsoku/>
            <w:wordWrap/>
            <w:overflowPunct/>
            <w:topLinePunct w:val="0"/>
            <w:autoSpaceDE w:val="0"/>
            <w:autoSpaceDN w:val="0"/>
            <w:bidi w:val="0"/>
            <w:adjustRightInd/>
            <w:snapToGrid/>
            <w:spacing w:line="279" w:lineRule="auto"/>
            <w:textAlignment w:val="auto"/>
            <w:rPr>
              <w:rFonts w:hint="default" w:ascii="Times New Roman" w:hAnsi="Times New Roman" w:cs="Times New Roman"/>
              <w:szCs w:val="21"/>
            </w:rPr>
          </w:pPr>
          <w:r>
            <w:rPr>
              <w:rFonts w:hint="default" w:ascii="Times New Roman" w:hAnsi="Times New Roman" w:eastAsia="宋体" w:cs="Times New Roman"/>
            </w:rPr>
            <w:t>ω</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x）</w:t>
          </w:r>
          <w:r>
            <w:rPr>
              <w:rFonts w:hint="default" w:ascii="Times New Roman" w:hAnsi="Times New Roman" w:cs="Times New Roman"/>
              <w:szCs w:val="21"/>
            </w:rPr>
            <w:t>：待测元素的质量分数，单位为百分比(%) ;</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lang w:val="en-US" w:eastAsia="zh-CN"/>
            </w:rPr>
          </w:pPr>
          <w:r>
            <w:rPr>
              <w:rFonts w:hint="default" w:ascii="Times New Roman" w:hAnsi="Times New Roman" w:cs="Times New Roman"/>
              <w:szCs w:val="21"/>
              <w:lang w:val="en-US" w:eastAsia="zh-CN"/>
            </w:rPr>
            <w:t>c：工作曲线得到的被测元素的质量浓度，单位微克每毫升</w:t>
          </w:r>
          <w:r>
            <w:rPr>
              <w:rFonts w:hint="default" w:ascii="Times New Roman" w:hAnsi="Times New Roman" w:cs="Times New Roman"/>
            </w:rPr>
            <w:t>μ</w:t>
          </w:r>
          <w:r>
            <w:rPr>
              <w:rFonts w:hint="default" w:ascii="Times New Roman" w:hAnsi="Times New Roman" w:cs="Times New Roman"/>
              <w:lang w:val="en-US" w:eastAsia="zh-CN"/>
            </w:rPr>
            <w:t>g/mL</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szCs w:val="21"/>
              <w:vertAlign w:val="baseline"/>
              <w:lang w:val="en-US" w:eastAsia="zh-CN"/>
            </w:rPr>
          </w:pPr>
          <w:r>
            <w:rPr>
              <w:rFonts w:hint="default" w:ascii="Times New Roman" w:hAnsi="Times New Roman" w:cs="Times New Roman"/>
              <w:szCs w:val="21"/>
              <w:lang w:val="en-US" w:eastAsia="zh-CN"/>
            </w:rPr>
            <w:t>c</w:t>
          </w:r>
          <w:r>
            <w:rPr>
              <w:rFonts w:hint="default" w:ascii="Times New Roman" w:hAnsi="Times New Roman" w:cs="Times New Roman"/>
              <w:szCs w:val="21"/>
              <w:vertAlign w:val="subscript"/>
              <w:lang w:val="en-US" w:eastAsia="zh-CN"/>
            </w:rPr>
            <w:t>0</w:t>
          </w:r>
          <w:r>
            <w:rPr>
              <w:rFonts w:hint="default" w:ascii="Times New Roman" w:hAnsi="Times New Roman" w:cs="Times New Roman"/>
              <w:szCs w:val="21"/>
              <w:vertAlign w:val="baseline"/>
              <w:lang w:val="en-US" w:eastAsia="zh-CN"/>
            </w:rPr>
            <w:t>：空白溶液中各元素质量浓度</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V：待测元素分析试液体积，单位毫升（mL）</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R：稀释系数</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textAlignment w:val="auto"/>
            <w:rPr>
              <w:rFonts w:hint="default"/>
              <w:szCs w:val="21"/>
              <w:vertAlign w:val="baseline"/>
              <w:lang w:val="en-US" w:eastAsia="zh-CN"/>
            </w:rPr>
          </w:pPr>
          <w:r>
            <w:rPr>
              <w:rFonts w:hint="default" w:ascii="Times New Roman" w:hAnsi="Times New Roman" w:cs="Times New Roman"/>
              <w:szCs w:val="21"/>
              <w:lang w:val="en-US" w:eastAsia="zh-CN"/>
            </w:rPr>
            <w:t>m</w:t>
          </w:r>
          <w:r>
            <w:rPr>
              <w:rFonts w:hint="default" w:ascii="Times New Roman" w:hAnsi="Times New Roman" w:cs="Times New Roman"/>
              <w:szCs w:val="21"/>
              <w:vertAlign w:val="subscript"/>
              <w:lang w:val="en-US" w:eastAsia="zh-CN"/>
            </w:rPr>
            <w:t>0</w:t>
          </w:r>
          <w:r>
            <w:rPr>
              <w:rFonts w:hint="default" w:ascii="Times New Roman" w:hAnsi="Times New Roman" w:cs="Times New Roman"/>
              <w:szCs w:val="21"/>
              <w:vertAlign w:val="baseline"/>
              <w:lang w:val="en-US" w:eastAsia="zh-CN"/>
            </w:rPr>
            <w:t>：试样质量，单位克（g）</w:t>
          </w:r>
        </w:p>
        <w:p>
          <w:pPr>
            <w:pStyle w:val="104"/>
            <w:spacing w:before="240" w:after="240"/>
            <w:rPr>
              <w:szCs w:val="22"/>
            </w:rPr>
          </w:pPr>
          <w:r>
            <w:rPr>
              <w:szCs w:val="22"/>
            </w:rPr>
            <w:t>精密度</w:t>
          </w:r>
        </w:p>
        <w:p>
          <w:pPr>
            <w:pStyle w:val="56"/>
            <w:keepNext w:val="0"/>
            <w:keepLines w:val="0"/>
            <w:pageBreakBefore w:val="0"/>
            <w:widowControl/>
            <w:kinsoku/>
            <w:wordWrap/>
            <w:overflowPunct/>
            <w:topLinePunct w:val="0"/>
            <w:autoSpaceDE w:val="0"/>
            <w:autoSpaceDN w:val="0"/>
            <w:bidi w:val="0"/>
            <w:adjustRightInd/>
            <w:snapToGrid/>
            <w:spacing w:line="279" w:lineRule="auto"/>
            <w:ind w:firstLine="420"/>
            <w:jc w:val="both"/>
            <w:textAlignment w:val="auto"/>
            <w:rPr>
              <w:rFonts w:hint="default" w:ascii="Times New Roman" w:hAnsi="Times New Roman" w:cs="Times New Roman"/>
              <w:szCs w:val="22"/>
              <w:lang w:val="en-US" w:eastAsia="zh-CN"/>
            </w:rPr>
          </w:pPr>
          <w:r>
            <w:rPr>
              <w:rFonts w:hint="default" w:ascii="Times New Roman" w:hAnsi="Times New Roman" w:cs="Times New Roman"/>
              <w:szCs w:val="22"/>
            </w:rPr>
            <w:t>精密度试验由</w:t>
          </w:r>
          <w:r>
            <w:rPr>
              <w:rFonts w:hint="eastAsia" w:ascii="Times New Roman" w:cs="Times New Roman"/>
              <w:szCs w:val="22"/>
              <w:lang w:val="en-US" w:eastAsia="zh-CN"/>
            </w:rPr>
            <w:t>5</w:t>
          </w:r>
          <w:r>
            <w:rPr>
              <w:rFonts w:hint="default" w:ascii="Times New Roman" w:hAnsi="Times New Roman" w:cs="Times New Roman"/>
              <w:szCs w:val="22"/>
            </w:rPr>
            <w:t>个实验室对</w:t>
          </w:r>
          <w:r>
            <w:rPr>
              <w:rFonts w:hint="eastAsia" w:ascii="Times New Roman" w:cs="Times New Roman"/>
              <w:szCs w:val="22"/>
              <w:lang w:val="en-US" w:eastAsia="zh-CN"/>
            </w:rPr>
            <w:t>3</w:t>
          </w:r>
          <w:r>
            <w:rPr>
              <w:rFonts w:hint="default" w:ascii="Times New Roman" w:hAnsi="Times New Roman" w:cs="Times New Roman"/>
              <w:szCs w:val="22"/>
            </w:rPr>
            <w:t>个不同</w:t>
          </w:r>
          <w:r>
            <w:rPr>
              <w:rFonts w:hint="eastAsia" w:ascii="Times New Roman" w:cs="Times New Roman"/>
              <w:szCs w:val="22"/>
              <w:lang w:val="en-US" w:eastAsia="zh-CN"/>
            </w:rPr>
            <w:t>样品</w:t>
          </w:r>
          <w:r>
            <w:rPr>
              <w:rFonts w:hint="default" w:ascii="Times New Roman" w:hAnsi="Times New Roman" w:cs="Times New Roman"/>
              <w:szCs w:val="22"/>
            </w:rPr>
            <w:t>的</w:t>
          </w:r>
          <w:r>
            <w:rPr>
              <w:rFonts w:hint="eastAsia" w:ascii="Times New Roman" w:cs="Times New Roman"/>
              <w:szCs w:val="22"/>
              <w:lang w:val="en-US" w:eastAsia="zh-CN"/>
            </w:rPr>
            <w:t>金属杂质</w:t>
          </w:r>
          <w:r>
            <w:rPr>
              <w:rFonts w:hint="default" w:ascii="Times New Roman" w:hAnsi="Times New Roman" w:cs="Times New Roman"/>
              <w:szCs w:val="22"/>
            </w:rPr>
            <w:t>进行共同试验</w:t>
          </w:r>
          <w:r>
            <w:rPr>
              <w:rFonts w:hint="default" w:ascii="Times New Roman" w:hAnsi="Times New Roman" w:cs="Times New Roman"/>
              <w:szCs w:val="22"/>
              <w:lang w:val="en-US" w:eastAsia="zh-CN"/>
            </w:rPr>
            <w:t>进行</w:t>
          </w:r>
          <w:r>
            <w:rPr>
              <w:rFonts w:hint="eastAsia" w:ascii="Times New Roman" w:cs="Times New Roman"/>
              <w:szCs w:val="22"/>
              <w:lang w:val="en-US" w:eastAsia="zh-CN"/>
            </w:rPr>
            <w:t>测定</w:t>
          </w:r>
          <w:r>
            <w:rPr>
              <w:rFonts w:hint="default" w:ascii="Times New Roman" w:hAnsi="Times New Roman" w:cs="Times New Roman"/>
              <w:szCs w:val="22"/>
            </w:rPr>
            <w:t>,每个实验室对每个水平硅含量按照 GB/T</w:t>
          </w:r>
          <w:r>
            <w:rPr>
              <w:rFonts w:hint="default" w:ascii="Times New Roman" w:hAnsi="Times New Roman" w:cs="Times New Roman"/>
              <w:szCs w:val="22"/>
              <w:lang w:val="en-US" w:eastAsia="zh-CN"/>
            </w:rPr>
            <w:t xml:space="preserve"> </w:t>
          </w:r>
          <w:r>
            <w:rPr>
              <w:rFonts w:hint="default" w:ascii="Times New Roman" w:hAnsi="Times New Roman" w:cs="Times New Roman"/>
              <w:szCs w:val="22"/>
            </w:rPr>
            <w:t>6379.1规定的重复性条件下独立测定3次</w:t>
          </w:r>
          <w:r>
            <w:rPr>
              <w:rFonts w:hint="default" w:ascii="Times New Roman" w:hAnsi="Times New Roman" w:cs="Times New Roman"/>
              <w:szCs w:val="22"/>
              <w:lang w:eastAsia="zh-CN"/>
            </w:rPr>
            <w:t>，</w:t>
          </w:r>
          <w:r>
            <w:rPr>
              <w:rFonts w:hint="default" w:ascii="Times New Roman" w:hAnsi="Times New Roman" w:cs="Times New Roman"/>
              <w:szCs w:val="22"/>
            </w:rPr>
            <w:t>对各实验室报出的原始数据按照GB/T</w:t>
          </w:r>
          <w:r>
            <w:rPr>
              <w:rFonts w:hint="default" w:ascii="Times New Roman" w:hAnsi="Times New Roman" w:cs="Times New Roman"/>
              <w:szCs w:val="22"/>
              <w:lang w:val="en-US" w:eastAsia="zh-CN"/>
            </w:rPr>
            <w:t xml:space="preserve"> </w:t>
          </w:r>
          <w:r>
            <w:rPr>
              <w:rFonts w:hint="default" w:ascii="Times New Roman" w:hAnsi="Times New Roman" w:cs="Times New Roman"/>
              <w:szCs w:val="22"/>
            </w:rPr>
            <w:t>6379.2进行统计分析</w:t>
          </w:r>
          <w:r>
            <w:rPr>
              <w:rFonts w:hint="default" w:ascii="Times New Roman" w:hAnsi="Times New Roman" w:cs="Times New Roman"/>
              <w:szCs w:val="22"/>
              <w:lang w:eastAsia="zh-CN"/>
            </w:rPr>
            <w:t>。</w:t>
          </w:r>
          <w:r>
            <w:rPr>
              <w:rFonts w:hint="default" w:ascii="Times New Roman" w:hAnsi="Times New Roman" w:cs="Times New Roman"/>
              <w:szCs w:val="22"/>
              <w:lang w:val="en-US" w:eastAsia="zh-CN"/>
            </w:rPr>
            <w:t>本文件精密度试验结果见表1。</w:t>
          </w:r>
        </w:p>
        <w:p>
          <w:pPr>
            <w:pStyle w:val="56"/>
            <w:keepNext w:val="0"/>
            <w:keepLines w:val="0"/>
            <w:pageBreakBefore w:val="0"/>
            <w:widowControl/>
            <w:kinsoku/>
            <w:wordWrap/>
            <w:overflowPunct/>
            <w:topLinePunct w:val="0"/>
            <w:autoSpaceDE w:val="0"/>
            <w:autoSpaceDN w:val="0"/>
            <w:bidi w:val="0"/>
            <w:adjustRightInd/>
            <w:snapToGrid/>
            <w:spacing w:before="313" w:beforeLines="100" w:after="313" w:afterLines="100"/>
            <w:ind w:firstLine="420"/>
            <w:jc w:val="center"/>
            <w:textAlignment w:val="auto"/>
            <w:rPr>
              <w:rFonts w:hint="eastAsia"/>
              <w:b/>
              <w:bCs/>
              <w:szCs w:val="22"/>
              <w:lang w:val="en-US" w:eastAsia="zh-CN"/>
            </w:rPr>
          </w:pPr>
        </w:p>
        <w:p>
          <w:pPr>
            <w:pStyle w:val="56"/>
            <w:keepNext w:val="0"/>
            <w:keepLines w:val="0"/>
            <w:pageBreakBefore w:val="0"/>
            <w:widowControl/>
            <w:kinsoku/>
            <w:wordWrap/>
            <w:overflowPunct/>
            <w:topLinePunct w:val="0"/>
            <w:autoSpaceDE w:val="0"/>
            <w:autoSpaceDN w:val="0"/>
            <w:bidi w:val="0"/>
            <w:adjustRightInd/>
            <w:snapToGrid/>
            <w:spacing w:before="313" w:beforeLines="100" w:after="313" w:afterLines="100"/>
            <w:ind w:firstLine="420"/>
            <w:jc w:val="center"/>
            <w:textAlignment w:val="auto"/>
            <w:rPr>
              <w:rFonts w:hint="eastAsia"/>
              <w:szCs w:val="22"/>
              <w:lang w:val="en-US" w:eastAsia="zh-CN"/>
            </w:rPr>
          </w:pPr>
          <w:r>
            <w:rPr>
              <w:rFonts w:hint="eastAsia"/>
              <w:b/>
              <w:bCs/>
              <w:szCs w:val="22"/>
              <w:lang w:val="en-US" w:eastAsia="zh-CN"/>
            </w:rPr>
            <w:t>表1 精密度</w:t>
          </w:r>
        </w:p>
        <w:tbl>
          <w:tblPr>
            <w:tblStyle w:val="27"/>
            <w:tblW w:w="926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3"/>
            <w:gridCol w:w="3140"/>
            <w:gridCol w:w="3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2983"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测定范围（质量分数）%</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重复性限 r</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再现性限 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2983" w:type="dxa"/>
                <w:vAlign w:val="center"/>
              </w:tcPr>
              <w:p>
                <w:pPr>
                  <w:pStyle w:val="56"/>
                  <w:jc w:val="center"/>
                  <w:rPr>
                    <w:rFonts w:hint="default" w:ascii="Times New Roman" w:hAnsi="Times New Roman" w:eastAsia="宋体" w:cs="Times New Roman"/>
                    <w:sz w:val="18"/>
                    <w:szCs w:val="18"/>
                    <w:vertAlign w:val="baseline"/>
                    <w:lang w:val="en-US" w:eastAsia="zh-CN"/>
                  </w:rPr>
                </w:pPr>
                <w:r>
                  <w:rPr>
                    <w:rFonts w:hint="eastAsia" w:ascii="Times New Roman" w:cs="Times New Roman"/>
                    <w:sz w:val="18"/>
                    <w:szCs w:val="18"/>
                    <w:lang w:val="en-US" w:eastAsia="zh-CN"/>
                  </w:rPr>
                  <w:t>0.05</w:t>
                </w:r>
                <w:r>
                  <w:rPr>
                    <w:rFonts w:hint="default" w:ascii="Times New Roman" w:hAnsi="Times New Roman" w:cs="Times New Roman"/>
                    <w:sz w:val="18"/>
                    <w:szCs w:val="18"/>
                  </w:rPr>
                  <w:t>～</w:t>
                </w:r>
                <w:r>
                  <w:rPr>
                    <w:rFonts w:hint="eastAsia" w:ascii="Times New Roman" w:cs="Times New Roman"/>
                    <w:sz w:val="18"/>
                    <w:szCs w:val="18"/>
                    <w:lang w:val="en-US" w:eastAsia="zh-CN"/>
                  </w:rPr>
                  <w:t>1.00</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w:t>
                </w:r>
                <w:r>
                  <w:rPr>
                    <w:rFonts w:hint="eastAsia" w:ascii="Times New Roman" w:cs="Times New Roman"/>
                    <w:sz w:val="18"/>
                    <w:szCs w:val="18"/>
                    <w:vertAlign w:val="baseline"/>
                    <w:lang w:val="en-US" w:eastAsia="zh-CN"/>
                  </w:rPr>
                  <w:t>3</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w:t>
                </w:r>
                <w:r>
                  <w:rPr>
                    <w:rFonts w:hint="eastAsia" w:ascii="Times New Roman" w:cs="Times New Roman"/>
                    <w:sz w:val="18"/>
                    <w:szCs w:val="18"/>
                    <w:vertAlign w:val="baseline"/>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2983" w:type="dxa"/>
                <w:vAlign w:val="center"/>
              </w:tcPr>
              <w:p>
                <w:pPr>
                  <w:pStyle w:val="56"/>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&gt;</w:t>
                </w:r>
                <w:r>
                  <w:rPr>
                    <w:rFonts w:hint="eastAsia" w:ascii="Times New Roman" w:cs="Times New Roman"/>
                    <w:sz w:val="18"/>
                    <w:szCs w:val="18"/>
                    <w:vertAlign w:val="baseline"/>
                    <w:lang w:val="en-US" w:eastAsia="zh-CN"/>
                  </w:rPr>
                  <w:t>1.00</w:t>
                </w:r>
                <w:r>
                  <w:rPr>
                    <w:rFonts w:hint="default" w:ascii="Times New Roman" w:hAnsi="Times New Roman" w:cs="Times New Roman"/>
                    <w:sz w:val="18"/>
                    <w:szCs w:val="18"/>
                  </w:rPr>
                  <w:t>～</w:t>
                </w:r>
                <w:r>
                  <w:rPr>
                    <w:rFonts w:hint="eastAsia" w:ascii="Times New Roman" w:cs="Times New Roman"/>
                    <w:sz w:val="18"/>
                    <w:szCs w:val="18"/>
                    <w:lang w:val="en-US" w:eastAsia="zh-CN"/>
                  </w:rPr>
                  <w:t>10.00</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w:t>
                </w:r>
                <w:r>
                  <w:rPr>
                    <w:rFonts w:hint="eastAsia" w:ascii="Times New Roman" w:cs="Times New Roman"/>
                    <w:sz w:val="18"/>
                    <w:szCs w:val="18"/>
                    <w:vertAlign w:val="baseline"/>
                    <w:lang w:val="en-US" w:eastAsia="zh-CN"/>
                  </w:rPr>
                  <w:t>05</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w:t>
                </w:r>
                <w:r>
                  <w:rPr>
                    <w:rFonts w:hint="eastAsia" w:ascii="Times New Roman" w:cs="Times New Roman"/>
                    <w:sz w:val="18"/>
                    <w:szCs w:val="18"/>
                    <w:vertAlign w:val="baseline"/>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2983" w:type="dxa"/>
                <w:vAlign w:val="center"/>
              </w:tcPr>
              <w:p>
                <w:pPr>
                  <w:pStyle w:val="56"/>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&gt;</w:t>
                </w:r>
                <w:r>
                  <w:rPr>
                    <w:rFonts w:hint="eastAsia" w:ascii="Times New Roman" w:cs="Times New Roman"/>
                    <w:sz w:val="18"/>
                    <w:szCs w:val="18"/>
                    <w:vertAlign w:val="baseline"/>
                    <w:lang w:val="en-US" w:eastAsia="zh-CN"/>
                  </w:rPr>
                  <w:t>20</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w:t>
                </w:r>
                <w:r>
                  <w:rPr>
                    <w:rFonts w:hint="eastAsia" w:ascii="Times New Roman" w:cs="Times New Roman"/>
                    <w:sz w:val="18"/>
                    <w:szCs w:val="18"/>
                    <w:vertAlign w:val="baseline"/>
                    <w:lang w:val="en-US" w:eastAsia="zh-CN"/>
                  </w:rPr>
                  <w:t>08</w:t>
                </w:r>
              </w:p>
            </w:tc>
            <w:tc>
              <w:tcPr>
                <w:tcW w:w="3140" w:type="dxa"/>
                <w:vAlign w:val="center"/>
              </w:tcPr>
              <w:p>
                <w:pPr>
                  <w:pStyle w:val="56"/>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w:t>
                </w:r>
                <w:r>
                  <w:rPr>
                    <w:rFonts w:hint="eastAsia" w:ascii="Times New Roman" w:cs="Times New Roman"/>
                    <w:sz w:val="18"/>
                    <w:szCs w:val="18"/>
                    <w:vertAlign w:val="baseline"/>
                    <w:lang w:val="en-US" w:eastAsia="zh-CN"/>
                  </w:rPr>
                  <w:t>07</w:t>
                </w:r>
              </w:p>
            </w:tc>
          </w:tr>
        </w:tbl>
        <w:p>
          <w:pPr>
            <w:pStyle w:val="56"/>
            <w:ind w:firstLine="420"/>
            <w:jc w:val="both"/>
            <w:rPr>
              <w:rFonts w:hint="default"/>
              <w:szCs w:val="22"/>
              <w:lang w:val="en-US" w:eastAsia="zh-CN"/>
            </w:rPr>
          </w:pPr>
        </w:p>
        <w:p>
          <w:pPr>
            <w:pStyle w:val="104"/>
            <w:spacing w:before="240" w:after="240"/>
          </w:pPr>
          <w:r>
            <w:rPr>
              <w:rFonts w:hint="eastAsia"/>
            </w:rPr>
            <w:t>试验报告</w:t>
          </w:r>
        </w:p>
      </w:sdtContent>
    </w:sdt>
    <w:bookmarkEnd w:id="23"/>
    <w:p>
      <w:pPr>
        <w:pStyle w:val="162"/>
        <w:keepNext w:val="0"/>
        <w:keepLines w:val="0"/>
        <w:pageBreakBefore w:val="0"/>
        <w:widowControl/>
        <w:numPr>
          <w:ilvl w:val="0"/>
          <w:numId w:val="0"/>
        </w:numPr>
        <w:kinsoku/>
        <w:wordWrap/>
        <w:overflowPunct/>
        <w:topLinePunct w:val="0"/>
        <w:autoSpaceDE/>
        <w:autoSpaceDN/>
        <w:bidi w:val="0"/>
        <w:adjustRightInd/>
        <w:snapToGrid/>
        <w:spacing w:line="279" w:lineRule="auto"/>
        <w:ind w:firstLine="420"/>
        <w:jc w:val="both"/>
        <w:textAlignment w:val="auto"/>
        <w:rPr>
          <w:rFonts w:hint="eastAsia"/>
          <w:lang w:val="en-US" w:eastAsia="zh-CN"/>
        </w:rPr>
      </w:pPr>
      <w:r>
        <w:rPr>
          <w:rFonts w:hint="eastAsia"/>
          <w:lang w:val="en-US" w:eastAsia="zh-CN"/>
        </w:rPr>
        <w:t>试验报告应包括以下内容：</w:t>
      </w:r>
    </w:p>
    <w:p>
      <w:pPr>
        <w:pStyle w:val="162"/>
        <w:keepNext w:val="0"/>
        <w:keepLines w:val="0"/>
        <w:pageBreakBefore w:val="0"/>
        <w:widowControl/>
        <w:numPr>
          <w:ilvl w:val="0"/>
          <w:numId w:val="33"/>
        </w:numPr>
        <w:kinsoku/>
        <w:wordWrap/>
        <w:overflowPunct/>
        <w:topLinePunct w:val="0"/>
        <w:autoSpaceDE/>
        <w:autoSpaceDN/>
        <w:bidi w:val="0"/>
        <w:adjustRightInd/>
        <w:snapToGrid/>
        <w:spacing w:line="279" w:lineRule="auto"/>
        <w:ind w:firstLine="420"/>
        <w:jc w:val="both"/>
        <w:textAlignment w:val="auto"/>
        <w:rPr>
          <w:rFonts w:hint="default"/>
          <w:lang w:val="en-US" w:eastAsia="zh-CN"/>
        </w:rPr>
      </w:pPr>
      <w:r>
        <w:rPr>
          <w:rFonts w:hint="eastAsia"/>
          <w:lang w:val="en-US" w:eastAsia="zh-CN"/>
        </w:rPr>
        <w:t>测定日期、环境温度；</w:t>
      </w:r>
    </w:p>
    <w:p>
      <w:pPr>
        <w:pStyle w:val="162"/>
        <w:keepNext w:val="0"/>
        <w:keepLines w:val="0"/>
        <w:pageBreakBefore w:val="0"/>
        <w:widowControl/>
        <w:numPr>
          <w:ilvl w:val="0"/>
          <w:numId w:val="33"/>
        </w:numPr>
        <w:kinsoku/>
        <w:wordWrap/>
        <w:overflowPunct/>
        <w:topLinePunct w:val="0"/>
        <w:autoSpaceDE/>
        <w:autoSpaceDN/>
        <w:bidi w:val="0"/>
        <w:adjustRightInd/>
        <w:snapToGrid/>
        <w:spacing w:line="279" w:lineRule="auto"/>
        <w:ind w:firstLine="420"/>
        <w:jc w:val="both"/>
        <w:textAlignment w:val="auto"/>
        <w:rPr>
          <w:rFonts w:hint="default"/>
          <w:lang w:val="en-US" w:eastAsia="zh-CN"/>
        </w:rPr>
      </w:pPr>
      <w:r>
        <w:rPr>
          <w:rFonts w:hint="eastAsia"/>
          <w:lang w:val="en-US" w:eastAsia="zh-CN"/>
        </w:rPr>
        <w:t>采样地点、样品位号；</w:t>
      </w:r>
    </w:p>
    <w:p>
      <w:pPr>
        <w:pStyle w:val="162"/>
        <w:keepNext w:val="0"/>
        <w:keepLines w:val="0"/>
        <w:pageBreakBefore w:val="0"/>
        <w:widowControl/>
        <w:numPr>
          <w:ilvl w:val="0"/>
          <w:numId w:val="33"/>
        </w:numPr>
        <w:kinsoku/>
        <w:wordWrap/>
        <w:overflowPunct/>
        <w:topLinePunct w:val="0"/>
        <w:autoSpaceDE/>
        <w:autoSpaceDN/>
        <w:bidi w:val="0"/>
        <w:adjustRightInd/>
        <w:snapToGrid/>
        <w:spacing w:line="279" w:lineRule="auto"/>
        <w:ind w:firstLine="420"/>
        <w:jc w:val="both"/>
        <w:textAlignment w:val="auto"/>
        <w:rPr>
          <w:rFonts w:hint="default"/>
          <w:lang w:val="en-US" w:eastAsia="zh-CN"/>
        </w:rPr>
      </w:pPr>
      <w:r>
        <w:rPr>
          <w:rFonts w:hint="eastAsia"/>
          <w:lang w:val="en-US" w:eastAsia="zh-CN"/>
        </w:rPr>
        <w:t>样品名称；</w:t>
      </w:r>
    </w:p>
    <w:p>
      <w:pPr>
        <w:pStyle w:val="162"/>
        <w:keepNext w:val="0"/>
        <w:keepLines w:val="0"/>
        <w:pageBreakBefore w:val="0"/>
        <w:widowControl/>
        <w:numPr>
          <w:ilvl w:val="0"/>
          <w:numId w:val="33"/>
        </w:numPr>
        <w:kinsoku/>
        <w:wordWrap/>
        <w:overflowPunct/>
        <w:topLinePunct w:val="0"/>
        <w:autoSpaceDE/>
        <w:autoSpaceDN/>
        <w:bidi w:val="0"/>
        <w:adjustRightInd/>
        <w:snapToGrid/>
        <w:spacing w:line="279" w:lineRule="auto"/>
        <w:ind w:firstLine="420"/>
        <w:jc w:val="both"/>
        <w:textAlignment w:val="auto"/>
        <w:rPr>
          <w:rFonts w:hint="default"/>
          <w:lang w:val="en-US" w:eastAsia="zh-CN"/>
        </w:rPr>
      </w:pPr>
      <w:r>
        <w:rPr>
          <w:rFonts w:hint="eastAsia"/>
          <w:lang w:val="en-US" w:eastAsia="zh-CN"/>
        </w:rPr>
        <w:t>检测依据；</w:t>
      </w:r>
    </w:p>
    <w:p>
      <w:pPr>
        <w:pStyle w:val="162"/>
        <w:keepNext w:val="0"/>
        <w:keepLines w:val="0"/>
        <w:pageBreakBefore w:val="0"/>
        <w:widowControl/>
        <w:numPr>
          <w:ilvl w:val="0"/>
          <w:numId w:val="33"/>
        </w:numPr>
        <w:kinsoku/>
        <w:wordWrap/>
        <w:overflowPunct/>
        <w:topLinePunct w:val="0"/>
        <w:autoSpaceDE/>
        <w:autoSpaceDN/>
        <w:bidi w:val="0"/>
        <w:adjustRightInd/>
        <w:snapToGrid/>
        <w:spacing w:line="279" w:lineRule="auto"/>
        <w:ind w:firstLine="420"/>
        <w:jc w:val="both"/>
        <w:textAlignment w:val="auto"/>
        <w:rPr>
          <w:rFonts w:hint="default"/>
          <w:lang w:val="en-US" w:eastAsia="zh-CN"/>
        </w:rPr>
      </w:pPr>
      <w:r>
        <w:rPr>
          <w:rFonts w:hint="eastAsia"/>
          <w:lang w:val="en-US" w:eastAsia="zh-CN"/>
        </w:rPr>
        <w:t>测定结果；</w:t>
      </w:r>
    </w:p>
    <w:p>
      <w:pPr>
        <w:pStyle w:val="162"/>
        <w:keepNext w:val="0"/>
        <w:keepLines w:val="0"/>
        <w:pageBreakBefore w:val="0"/>
        <w:widowControl/>
        <w:numPr>
          <w:ilvl w:val="0"/>
          <w:numId w:val="33"/>
        </w:numPr>
        <w:kinsoku/>
        <w:wordWrap/>
        <w:overflowPunct/>
        <w:topLinePunct w:val="0"/>
        <w:autoSpaceDE/>
        <w:autoSpaceDN/>
        <w:bidi w:val="0"/>
        <w:adjustRightInd/>
        <w:snapToGrid/>
        <w:spacing w:line="279" w:lineRule="auto"/>
        <w:ind w:firstLine="420"/>
        <w:jc w:val="both"/>
        <w:textAlignment w:val="auto"/>
        <w:rPr>
          <w:rFonts w:hint="default"/>
          <w:lang w:val="en-US" w:eastAsia="zh-CN"/>
        </w:rPr>
      </w:pPr>
      <w:r>
        <w:rPr>
          <w:rFonts w:hint="eastAsia"/>
          <w:lang w:val="en-US" w:eastAsia="zh-CN"/>
        </w:rPr>
        <w:t>检测人员、审核人员姓名。</w:t>
      </w:r>
    </w:p>
    <w:p>
      <w:pPr>
        <w:pStyle w:val="162"/>
        <w:numPr>
          <w:ilvl w:val="2"/>
          <w:numId w:val="0"/>
        </w:numPr>
        <w:spacing w:before="0" w:beforeLines="0" w:after="0" w:afterLines="0"/>
        <w:jc w:val="both"/>
        <w:outlineLvl w:val="9"/>
        <w:rPr>
          <w:rFonts w:hint="eastAsia"/>
          <w:lang w:val="en-US" w:eastAsia="zh-CN"/>
        </w:rPr>
      </w:pPr>
    </w:p>
    <w:p>
      <w:pPr>
        <w:pStyle w:val="162"/>
        <w:numPr>
          <w:ilvl w:val="2"/>
          <w:numId w:val="0"/>
        </w:numPr>
        <w:spacing w:before="0" w:beforeLines="0" w:after="0" w:afterLines="0"/>
        <w:jc w:val="both"/>
        <w:outlineLvl w:val="9"/>
        <w:rPr>
          <w:rFonts w:hint="eastAsia"/>
          <w:lang w:val="en-US" w:eastAsia="zh-CN"/>
        </w:rPr>
      </w:pPr>
    </w:p>
    <w:p>
      <w:pPr>
        <w:pStyle w:val="162"/>
        <w:numPr>
          <w:ilvl w:val="2"/>
          <w:numId w:val="0"/>
        </w:numPr>
        <w:spacing w:before="0" w:beforeLines="0" w:after="0" w:afterLines="0"/>
        <w:jc w:val="both"/>
        <w:outlineLvl w:val="9"/>
        <w:rPr>
          <w:rFonts w:hint="eastAsia"/>
          <w:lang w:val="en-US" w:eastAsia="zh-CN"/>
        </w:rPr>
      </w:pPr>
    </w:p>
    <w:p>
      <w:pPr>
        <w:pStyle w:val="240"/>
        <w:rPr>
          <w:color w:val="000000"/>
        </w:rPr>
      </w:pPr>
      <w:r>
        <w:rPr>
          <w:color w:val="000000"/>
        </w:rPr>
        <w:t>_________________________________</w:t>
      </w:r>
    </w:p>
    <w:p>
      <w:pPr>
        <w:pStyle w:val="162"/>
        <w:numPr>
          <w:ilvl w:val="2"/>
          <w:numId w:val="0"/>
        </w:numPr>
        <w:spacing w:before="0" w:beforeLines="0" w:after="0" w:afterLines="0"/>
        <w:jc w:val="both"/>
        <w:outlineLvl w:val="9"/>
        <w:rPr>
          <w:rFonts w:hint="default"/>
          <w:lang w:val="en-US" w:eastAsia="zh-CN"/>
        </w:rPr>
      </w:pPr>
    </w:p>
    <w:sectPr>
      <w:headerReference r:id="rId11" w:type="default"/>
      <w:footerReference r:id="rId12" w:type="default"/>
      <w:pgSz w:w="11906" w:h="16838"/>
      <w:pgMar w:top="1928" w:right="1134" w:bottom="1134" w:left="1134" w:header="1418" w:footer="1134" w:gutter="284"/>
      <w:pgNumType w:start="1"/>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9"/>
    </w:pPr>
    <w:r>
      <w:fldChar w:fldCharType="begin"/>
    </w:r>
    <w:r>
      <w:instrText xml:space="preserve"> PAGE  \* MERGEFORMAT </w:instrText>
    </w:r>
    <w:r>
      <w:fldChar w:fldCharType="separate"/>
    </w:r>
    <w:r>
      <w:t>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6"/>
    </w:pPr>
    <w:r>
      <w:rPr>
        <w:rFonts w:hint="eastAsia"/>
        <w:lang w:val="en-US" w:eastAsia="zh-CN"/>
      </w:rPr>
      <w:t>YS</w:t>
    </w:r>
    <w:r>
      <w:t>/T 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XX/T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BCBABA"/>
    <w:multiLevelType w:val="singleLevel"/>
    <w:tmpl w:val="FEBCBABA"/>
    <w:lvl w:ilvl="0" w:tentative="0">
      <w:start w:val="1"/>
      <w:numFmt w:val="lowerLetter"/>
      <w:suff w:val="space"/>
      <w:lvlText w:val="%1)"/>
      <w:lvlJc w:val="left"/>
    </w:lvl>
  </w:abstractNum>
  <w:abstractNum w:abstractNumId="1">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3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0"/>
      <w:suff w:val="nothing"/>
      <w:lvlText w:val="%1.%2　"/>
      <w:lvlJc w:val="left"/>
      <w:pPr>
        <w:ind w:left="993" w:hanging="567"/>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32"/>
      <w:suff w:val="nothing"/>
      <w:lvlText w:val="%1.%2.%3　"/>
      <w:lvlJc w:val="left"/>
      <w:pPr>
        <w:ind w:left="567" w:firstLine="0"/>
      </w:pPr>
      <w:rPr>
        <w:rFonts w:hint="eastAsia" w:ascii="黑体" w:hAnsi="Times New Roman" w:eastAsia="黑体"/>
        <w:b w:val="0"/>
        <w:i w:val="0"/>
        <w:sz w:val="21"/>
      </w:rPr>
    </w:lvl>
    <w:lvl w:ilvl="3" w:tentative="0">
      <w:start w:val="1"/>
      <w:numFmt w:val="decimal"/>
      <w:pStyle w:val="233"/>
      <w:suff w:val="nothing"/>
      <w:lvlText w:val="%1.%2.%3.%4　"/>
      <w:lvlJc w:val="left"/>
      <w:pPr>
        <w:ind w:left="0" w:firstLine="0"/>
      </w:pPr>
      <w:rPr>
        <w:rFonts w:hint="eastAsia" w:ascii="黑体" w:hAnsi="Times New Roman" w:eastAsia="黑体"/>
        <w:b w:val="0"/>
        <w:i w:val="0"/>
        <w:sz w:val="21"/>
      </w:rPr>
    </w:lvl>
    <w:lvl w:ilvl="4" w:tentative="0">
      <w:start w:val="1"/>
      <w:numFmt w:val="decimal"/>
      <w:pStyle w:val="234"/>
      <w:suff w:val="nothing"/>
      <w:lvlText w:val="%1.%2.%3.%4.%5　"/>
      <w:lvlJc w:val="left"/>
      <w:pPr>
        <w:ind w:left="0" w:firstLine="0"/>
      </w:pPr>
      <w:rPr>
        <w:rFonts w:hint="eastAsia" w:ascii="黑体" w:hAnsi="Times New Roman" w:eastAsia="黑体"/>
        <w:b w:val="0"/>
        <w:i w:val="0"/>
        <w:sz w:val="21"/>
      </w:rPr>
    </w:lvl>
    <w:lvl w:ilvl="5" w:tentative="0">
      <w:start w:val="1"/>
      <w:numFmt w:val="decimal"/>
      <w:pStyle w:val="23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426"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6"/>
  </w:num>
  <w:num w:numId="4">
    <w:abstractNumId w:val="25"/>
  </w:num>
  <w:num w:numId="5">
    <w:abstractNumId w:val="20"/>
  </w:num>
  <w:num w:numId="6">
    <w:abstractNumId w:val="15"/>
  </w:num>
  <w:num w:numId="7">
    <w:abstractNumId w:val="9"/>
  </w:num>
  <w:num w:numId="8">
    <w:abstractNumId w:val="4"/>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2"/>
  </w:num>
  <w:num w:numId="24">
    <w:abstractNumId w:val="7"/>
  </w:num>
  <w:num w:numId="25">
    <w:abstractNumId w:val="28"/>
  </w:num>
  <w:num w:numId="26">
    <w:abstractNumId w:val="30"/>
  </w:num>
  <w:num w:numId="27">
    <w:abstractNumId w:val="3"/>
  </w:num>
  <w:num w:numId="28">
    <w:abstractNumId w:val="5"/>
  </w:num>
  <w:num w:numId="29">
    <w:abstractNumId w:val="16"/>
  </w:num>
  <w:num w:numId="30">
    <w:abstractNumId w:val="26"/>
  </w:num>
  <w:num w:numId="31">
    <w:abstractNumId w:val="24"/>
  </w:num>
  <w:num w:numId="32">
    <w:abstractNumId w:val="1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bi6iA69bQH3utQnA4cMVR3MOINqS5OthzZ6MT8eAP8q9TxarNMtu7j+8GngMKGnH518E0lvN2EwFynVTD45oxA==" w:salt="+pN6bF7GO6MMzyYOlAugO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2"/>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6BE"/>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12DE"/>
    <w:rsid w:val="00202AA4"/>
    <w:rsid w:val="002031F7"/>
    <w:rsid w:val="002040E6"/>
    <w:rsid w:val="0020527B"/>
    <w:rsid w:val="002059A4"/>
    <w:rsid w:val="00205F2C"/>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E62"/>
    <w:rsid w:val="00324EDD"/>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49F6"/>
    <w:rsid w:val="003F0841"/>
    <w:rsid w:val="003F23D3"/>
    <w:rsid w:val="003F3A50"/>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01B"/>
    <w:rsid w:val="006A07AA"/>
    <w:rsid w:val="006A25E5"/>
    <w:rsid w:val="006A2B46"/>
    <w:rsid w:val="006A336D"/>
    <w:rsid w:val="006A37B9"/>
    <w:rsid w:val="006B2672"/>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22FBF"/>
    <w:rsid w:val="00722FC2"/>
    <w:rsid w:val="00725949"/>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C6CB0"/>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62E6"/>
    <w:rsid w:val="00911AF6"/>
    <w:rsid w:val="00911BE5"/>
    <w:rsid w:val="00913CA9"/>
    <w:rsid w:val="009145AE"/>
    <w:rsid w:val="009146CE"/>
    <w:rsid w:val="00914CA7"/>
    <w:rsid w:val="00915C3E"/>
    <w:rsid w:val="009161A8"/>
    <w:rsid w:val="009245F5"/>
    <w:rsid w:val="009249EC"/>
    <w:rsid w:val="009273B3"/>
    <w:rsid w:val="009305B5"/>
    <w:rsid w:val="00941FA3"/>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4CFA"/>
    <w:rsid w:val="009C5070"/>
    <w:rsid w:val="009D112C"/>
    <w:rsid w:val="009D1876"/>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7142"/>
    <w:rsid w:val="00A61D48"/>
    <w:rsid w:val="00A648CD"/>
    <w:rsid w:val="00A6537A"/>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E7CA7"/>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39B1"/>
    <w:rsid w:val="00B96D40"/>
    <w:rsid w:val="00B97386"/>
    <w:rsid w:val="00B978DB"/>
    <w:rsid w:val="00BA263B"/>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06412"/>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706"/>
    <w:rsid w:val="00E62FF9"/>
    <w:rsid w:val="00E635D6"/>
    <w:rsid w:val="00E639BC"/>
    <w:rsid w:val="00E664CC"/>
    <w:rsid w:val="00E70388"/>
    <w:rsid w:val="00E70B15"/>
    <w:rsid w:val="00E70F92"/>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03EB"/>
    <w:rsid w:val="00F9108B"/>
    <w:rsid w:val="00F91349"/>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3B15EDF"/>
    <w:rsid w:val="05F71FCC"/>
    <w:rsid w:val="114D2573"/>
    <w:rsid w:val="15053675"/>
    <w:rsid w:val="180838E7"/>
    <w:rsid w:val="19444D6A"/>
    <w:rsid w:val="1B4B2007"/>
    <w:rsid w:val="24F61C01"/>
    <w:rsid w:val="27041061"/>
    <w:rsid w:val="2A8F1AE1"/>
    <w:rsid w:val="2BB65FC6"/>
    <w:rsid w:val="2CC050E6"/>
    <w:rsid w:val="2DC6400E"/>
    <w:rsid w:val="2E6778E3"/>
    <w:rsid w:val="3040687F"/>
    <w:rsid w:val="331056BB"/>
    <w:rsid w:val="34A76D03"/>
    <w:rsid w:val="371B6049"/>
    <w:rsid w:val="386A093C"/>
    <w:rsid w:val="39D1439B"/>
    <w:rsid w:val="44B06F03"/>
    <w:rsid w:val="46D828B5"/>
    <w:rsid w:val="4AF251EE"/>
    <w:rsid w:val="4BD50264"/>
    <w:rsid w:val="4F376D6D"/>
    <w:rsid w:val="50703FEA"/>
    <w:rsid w:val="55BC35EE"/>
    <w:rsid w:val="57CB1DB6"/>
    <w:rsid w:val="5E1F1564"/>
    <w:rsid w:val="5E6F0FD8"/>
    <w:rsid w:val="5EC85F85"/>
    <w:rsid w:val="631755A3"/>
    <w:rsid w:val="63BE534A"/>
    <w:rsid w:val="63F01AA1"/>
    <w:rsid w:val="6A8843E2"/>
    <w:rsid w:val="6D9E404B"/>
    <w:rsid w:val="7557642E"/>
    <w:rsid w:val="7746304D"/>
    <w:rsid w:val="79591F95"/>
    <w:rsid w:val="7BA22180"/>
    <w:rsid w:val="7D52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一级条标题"/>
    <w:next w:val="1"/>
    <w:qFormat/>
    <w:uiPriority w:val="0"/>
    <w:pPr>
      <w:numPr>
        <w:ilvl w:val="1"/>
        <w:numId w:val="32"/>
      </w:numPr>
      <w:spacing w:beforeLines="50" w:afterLines="50"/>
      <w:ind w:left="567"/>
      <w:outlineLvl w:val="2"/>
    </w:pPr>
    <w:rPr>
      <w:rFonts w:ascii="黑体" w:hAnsi="Times New Roman" w:eastAsia="黑体" w:cs="Times New Roman"/>
      <w:sz w:val="21"/>
      <w:szCs w:val="21"/>
      <w:lang w:val="en-US" w:eastAsia="zh-CN" w:bidi="ar-SA"/>
    </w:rPr>
  </w:style>
  <w:style w:type="paragraph" w:customStyle="1" w:styleId="231">
    <w:name w:val="章标题"/>
    <w:next w:val="1"/>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32">
    <w:name w:val="二级条标题"/>
    <w:basedOn w:val="230"/>
    <w:next w:val="1"/>
    <w:qFormat/>
    <w:uiPriority w:val="0"/>
    <w:pPr>
      <w:numPr>
        <w:ilvl w:val="2"/>
      </w:numPr>
      <w:spacing w:before="50" w:after="50"/>
      <w:outlineLvl w:val="3"/>
    </w:pPr>
  </w:style>
  <w:style w:type="paragraph" w:customStyle="1" w:styleId="233">
    <w:name w:val="三级条标题"/>
    <w:basedOn w:val="232"/>
    <w:next w:val="1"/>
    <w:qFormat/>
    <w:uiPriority w:val="0"/>
    <w:pPr>
      <w:numPr>
        <w:ilvl w:val="3"/>
      </w:numPr>
      <w:outlineLvl w:val="4"/>
    </w:pPr>
  </w:style>
  <w:style w:type="paragraph" w:customStyle="1" w:styleId="234">
    <w:name w:val="四级条标题"/>
    <w:basedOn w:val="233"/>
    <w:next w:val="1"/>
    <w:qFormat/>
    <w:uiPriority w:val="0"/>
    <w:pPr>
      <w:numPr>
        <w:ilvl w:val="4"/>
      </w:numPr>
      <w:outlineLvl w:val="5"/>
    </w:pPr>
  </w:style>
  <w:style w:type="paragraph" w:customStyle="1" w:styleId="235">
    <w:name w:val="五级条标题"/>
    <w:basedOn w:val="234"/>
    <w:next w:val="1"/>
    <w:qFormat/>
    <w:uiPriority w:val="0"/>
    <w:pPr>
      <w:numPr>
        <w:ilvl w:val="5"/>
      </w:numPr>
      <w:outlineLvl w:val="6"/>
    </w:pPr>
  </w:style>
  <w:style w:type="paragraph" w:customStyle="1" w:styleId="23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37">
    <w:name w:val="标准书眉_偶数页"/>
    <w:basedOn w:val="236"/>
    <w:next w:val="1"/>
    <w:qFormat/>
    <w:uiPriority w:val="0"/>
    <w:pPr>
      <w:jc w:val="left"/>
    </w:pPr>
  </w:style>
  <w:style w:type="paragraph" w:customStyle="1" w:styleId="238">
    <w:name w:val="段"/>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paragraph" w:customStyle="1" w:styleId="23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40">
    <w:name w:val="终结线"/>
    <w:basedOn w:val="1"/>
    <w:qFormat/>
    <w:uiPriority w:val="0"/>
    <w:pPr>
      <w:framePr w:hSpace="181" w:vSpace="181" w:wrap="around" w:vAnchor="text" w:hAnchor="margin" w:xAlign="center" w:y="285"/>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6756333602E46529BC841B378758719"/>
        <w:style w:val=""/>
        <w:category>
          <w:name w:val="常规"/>
          <w:gallery w:val="placeholder"/>
        </w:category>
        <w:types>
          <w:type w:val="bbPlcHdr"/>
        </w:types>
        <w:behaviors>
          <w:behavior w:val="content"/>
        </w:behaviors>
        <w:description w:val=""/>
        <w:guid w:val="{1067991E-882C-4914-9220-8C020B9DB28C}"/>
      </w:docPartPr>
      <w:docPartBody>
        <w:p>
          <w:pPr>
            <w:pStyle w:val="5"/>
            <w:rPr>
              <w:rFonts w:hint="eastAsia"/>
            </w:rPr>
          </w:pPr>
          <w:r>
            <w:rPr>
              <w:rStyle w:val="4"/>
              <w:rFonts w:hint="eastAsia"/>
            </w:rPr>
            <w:t>单击或点击此处输入文字。</w:t>
          </w:r>
        </w:p>
      </w:docPartBody>
    </w:docPart>
    <w:docPart>
      <w:docPartPr>
        <w:name w:val="{19b8f935-d2b9-4351-8417-6b01cce4ff32}"/>
        <w:style w:val=""/>
        <w:category>
          <w:name w:val="常规"/>
          <w:gallery w:val="placeholder"/>
        </w:category>
        <w:types>
          <w:type w:val="bbPlcHdr"/>
        </w:types>
        <w:behaviors>
          <w:behavior w:val="content"/>
        </w:behaviors>
        <w:description w:val=""/>
        <w:guid w:val="{19b8f935-d2b9-4351-8417-6b01cce4ff32}"/>
      </w:docPartPr>
      <w:docPartBody>
        <w:p>
          <w:pPr>
            <w:pStyle w:val="8"/>
            <w:rPr>
              <w:rFonts w:hint="eastAsia"/>
            </w:rPr>
          </w:pPr>
          <w:r>
            <w:rPr>
              <w:rStyle w:val="4"/>
              <w:rFonts w:hint="eastAsia"/>
            </w:rPr>
            <w:t>单击或点击此处输入文字。</w:t>
          </w:r>
        </w:p>
      </w:docPartBody>
    </w:docPart>
    <w:docPart>
      <w:docPartPr>
        <w:name w:val="{76b3c2d0-fdaa-4c73-87f1-bf19d2f57a6e}"/>
        <w:style w:val=""/>
        <w:category>
          <w:name w:val="常规"/>
          <w:gallery w:val="placeholder"/>
        </w:category>
        <w:types>
          <w:type w:val="bbPlcHdr"/>
        </w:types>
        <w:behaviors>
          <w:behavior w:val="content"/>
        </w:behaviors>
        <w:description w:val=""/>
        <w:guid w:val="{76b3c2d0-fdaa-4c73-87f1-bf19d2f57a6e}"/>
      </w:docPartPr>
      <w:docPartBody>
        <w:p>
          <w:pPr>
            <w:pStyle w:val="9"/>
            <w:rPr>
              <w:rFonts w:hint="eastAsia"/>
            </w:rPr>
          </w:pPr>
          <w:r>
            <w:rPr>
              <w:rStyle w:val="4"/>
              <w:rFonts w:hint="eastAsia"/>
            </w:rPr>
            <w:t>选择一项。</w:t>
          </w:r>
        </w:p>
      </w:docPartBody>
    </w:docPart>
    <w:docPart>
      <w:docPartPr>
        <w:name w:val="{c39c05d1-da37-49fb-a5cb-294801ebf3a3}"/>
        <w:style w:val=""/>
        <w:category>
          <w:name w:val="常规"/>
          <w:gallery w:val="placeholder"/>
        </w:category>
        <w:types>
          <w:type w:val="bbPlcHdr"/>
        </w:types>
        <w:behaviors>
          <w:behavior w:val="content"/>
        </w:behaviors>
        <w:description w:val=""/>
        <w:guid w:val="{c39c05d1-da37-49fb-a5cb-294801ebf3a3}"/>
      </w:docPartPr>
      <w:docPartBody>
        <w:p>
          <w:pPr>
            <w:pStyle w:val="10"/>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40"/>
    <w:rsid w:val="00080129"/>
    <w:rsid w:val="000F16BE"/>
    <w:rsid w:val="005F40D6"/>
    <w:rsid w:val="009D1876"/>
    <w:rsid w:val="00AE5E17"/>
    <w:rsid w:val="00AE7CA7"/>
    <w:rsid w:val="00F50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6756333602E46529BC841B37875871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4D27E3468FCD46EAA1E6B62410DE22E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5658351EF7784BEAB71F0E7FE5987B1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
    <w:name w:val="62BA44DB5AF449D0BCC5B08F50CA505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
    <w:name w:val="5F19F33B5C404D7EBC720DB7BB6CA81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
    <w:name w:val="060109B0A05F47C5BA3D64BA1ACD93C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6</Pages>
  <Words>1993</Words>
  <Characters>2409</Characters>
  <Lines>69</Lines>
  <Paragraphs>76</Paragraphs>
  <TotalTime>24</TotalTime>
  <ScaleCrop>false</ScaleCrop>
  <LinksUpToDate>false</LinksUpToDate>
  <CharactersWithSpaces>2470</CharactersWithSpaces>
  <Application>WPS Office_11.8.6.8697_F1E327BC-269C-435d-A152-05C5408002CA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2025-03-18T07:30:00Z</dcterms:created>
  <dc:creator>侯海波</dc:creator>
  <dc:description>&lt;config cover="true" show_menu="true" version="1.0.0" doctype="SDKXY"&gt;_x000d_
&lt;/config&gt;</dc:description>
  <cp:lastModifiedBy>lw021</cp:lastModifiedBy>
  <cp:lastPrinted>2021-02-02T08:18:00Z</cp:lastPrinted>
  <dcterms:modified xsi:type="dcterms:W3CDTF">2026-07-03T08:32:26Z</dcterms:modified>
  <dc:title>行业标准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2052-11.8.6.8697</vt:lpwstr>
  </property>
  <property fmtid="{D5CDD505-2E9C-101B-9397-08002B2CF9AE}" pid="15" name="KSOTemplateDocerSaveRecord">
    <vt:lpwstr>eyJoZGlkIjoiNWYxNDk3ZWFkNmRhNWE5ODMzNzE5OTQxMTA3M2NjZDkiLCJ1c2VySWQiOiIxMDM2MTA2MTA3In0=</vt:lpwstr>
  </property>
  <property fmtid="{D5CDD505-2E9C-101B-9397-08002B2CF9AE}" pid="16" name="ICV">
    <vt:lpwstr>D4110A5855334D83B77E463B2E5519E6_12</vt:lpwstr>
  </property>
</Properties>
</file>