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E3C15">
      <w:pPr>
        <w:spacing w:line="360" w:lineRule="auto"/>
        <w:ind w:firstLine="602" w:firstLineChars="200"/>
        <w:rPr>
          <w:rFonts w:ascii="Times New Roman" w:hAnsi="Times New Roman" w:eastAsia="宋体" w:cs="Times New Roman"/>
          <w:b/>
          <w:sz w:val="30"/>
          <w:szCs w:val="30"/>
        </w:rPr>
      </w:pPr>
    </w:p>
    <w:p w14:paraId="5733D6EE">
      <w:pPr>
        <w:spacing w:line="360" w:lineRule="auto"/>
        <w:ind w:firstLine="602" w:firstLineChars="200"/>
        <w:rPr>
          <w:rFonts w:ascii="Times New Roman" w:hAnsi="Times New Roman" w:eastAsia="宋体" w:cs="Times New Roman"/>
          <w:b/>
          <w:sz w:val="30"/>
          <w:szCs w:val="30"/>
        </w:rPr>
      </w:pPr>
    </w:p>
    <w:p w14:paraId="7AC9587A">
      <w:pPr>
        <w:spacing w:line="360" w:lineRule="auto"/>
        <w:ind w:firstLine="602" w:firstLineChars="200"/>
        <w:rPr>
          <w:rFonts w:ascii="Times New Roman" w:hAnsi="Times New Roman" w:eastAsia="宋体" w:cs="Times New Roman"/>
          <w:b/>
          <w:sz w:val="30"/>
          <w:szCs w:val="30"/>
        </w:rPr>
      </w:pPr>
    </w:p>
    <w:p w14:paraId="19542F5E">
      <w:pPr>
        <w:spacing w:line="360" w:lineRule="auto"/>
        <w:ind w:firstLine="602" w:firstLineChars="200"/>
        <w:rPr>
          <w:rFonts w:ascii="Times New Roman" w:hAnsi="Times New Roman" w:eastAsia="宋体" w:cs="Times New Roman"/>
          <w:b/>
          <w:sz w:val="30"/>
          <w:szCs w:val="30"/>
        </w:rPr>
      </w:pPr>
    </w:p>
    <w:p w14:paraId="4DA9E41E">
      <w:pPr>
        <w:spacing w:line="360" w:lineRule="auto"/>
        <w:jc w:val="center"/>
        <w:rPr>
          <w:rFonts w:ascii="Times New Roman" w:hAnsi="Times New Roman" w:eastAsia="宋体" w:cs="Times New Roman"/>
          <w:b/>
          <w:sz w:val="30"/>
          <w:szCs w:val="30"/>
        </w:rPr>
      </w:pPr>
    </w:p>
    <w:p w14:paraId="06F64392">
      <w:pPr>
        <w:spacing w:line="480" w:lineRule="auto"/>
        <w:jc w:val="center"/>
        <w:rPr>
          <w:rFonts w:hint="default" w:ascii="Times New Roman" w:hAnsi="Times New Roman" w:eastAsia="宋体" w:cs="Times New Roman"/>
          <w:b/>
          <w:sz w:val="48"/>
          <w:szCs w:val="48"/>
          <w:lang w:val="en-US"/>
        </w:rPr>
      </w:pPr>
      <w:r>
        <w:rPr>
          <w:rFonts w:hint="eastAsia" w:ascii="Times New Roman" w:hAnsi="Times New Roman" w:eastAsia="宋体" w:cs="Times New Roman"/>
          <w:b/>
          <w:sz w:val="48"/>
          <w:szCs w:val="48"/>
          <w:lang w:eastAsia="zh-CN"/>
        </w:rPr>
        <w:t>《</w:t>
      </w:r>
      <w:r>
        <w:rPr>
          <w:rFonts w:ascii="Times New Roman" w:hAnsi="Times New Roman" w:eastAsia="宋体" w:cs="Times New Roman"/>
          <w:b/>
          <w:sz w:val="48"/>
          <w:szCs w:val="48"/>
        </w:rPr>
        <w:t>有</w:t>
      </w:r>
      <w:r>
        <w:rPr>
          <w:rFonts w:hint="eastAsia" w:ascii="Times New Roman" w:hAnsi="Times New Roman" w:eastAsia="宋体" w:cs="Times New Roman"/>
          <w:b/>
          <w:sz w:val="48"/>
          <w:szCs w:val="48"/>
        </w:rPr>
        <w:t>色金属冶炼熔体成分在线检测技术要求</w:t>
      </w:r>
      <w:r>
        <w:rPr>
          <w:rFonts w:hint="eastAsia" w:ascii="Times New Roman" w:hAnsi="Times New Roman" w:eastAsia="宋体" w:cs="Times New Roman"/>
          <w:b/>
          <w:sz w:val="48"/>
          <w:szCs w:val="48"/>
          <w:lang w:eastAsia="zh-CN"/>
        </w:rPr>
        <w:t>》</w:t>
      </w:r>
      <w:r>
        <w:rPr>
          <w:rFonts w:hint="eastAsia" w:ascii="Times New Roman" w:hAnsi="Times New Roman" w:eastAsia="宋体" w:cs="Times New Roman"/>
          <w:b/>
          <w:sz w:val="48"/>
          <w:szCs w:val="48"/>
          <w:lang w:val="en-US" w:eastAsia="zh-CN"/>
        </w:rPr>
        <w:t>行业标准</w:t>
      </w:r>
    </w:p>
    <w:p w14:paraId="308ADF01">
      <w:pPr>
        <w:spacing w:line="480" w:lineRule="auto"/>
        <w:jc w:val="center"/>
        <w:rPr>
          <w:rFonts w:ascii="Times New Roman" w:hAnsi="Times New Roman" w:eastAsia="宋体" w:cs="Times New Roman"/>
          <w:b/>
          <w:sz w:val="48"/>
          <w:szCs w:val="48"/>
        </w:rPr>
      </w:pPr>
      <w:r>
        <w:rPr>
          <w:rFonts w:ascii="Times New Roman" w:hAnsi="Times New Roman" w:eastAsia="宋体" w:cs="Times New Roman"/>
          <w:b/>
          <w:sz w:val="48"/>
          <w:szCs w:val="48"/>
        </w:rPr>
        <w:t>编制说明</w:t>
      </w:r>
    </w:p>
    <w:p w14:paraId="5A99EE39">
      <w:pPr>
        <w:spacing w:line="480" w:lineRule="auto"/>
        <w:jc w:val="center"/>
        <w:rPr>
          <w:rFonts w:ascii="Times New Roman" w:hAnsi="Times New Roman" w:eastAsia="宋体" w:cs="Times New Roman"/>
          <w:b/>
          <w:sz w:val="40"/>
          <w:szCs w:val="48"/>
        </w:rPr>
      </w:pPr>
      <w:r>
        <w:rPr>
          <w:rFonts w:hint="eastAsia" w:ascii="Times New Roman" w:hAnsi="Times New Roman" w:eastAsia="宋体" w:cs="Times New Roman"/>
          <w:b/>
          <w:sz w:val="40"/>
          <w:szCs w:val="48"/>
        </w:rPr>
        <w:t>（</w:t>
      </w:r>
      <w:r>
        <w:rPr>
          <w:rFonts w:hint="eastAsia" w:ascii="Times New Roman" w:hAnsi="Times New Roman" w:eastAsia="宋体" w:cs="Times New Roman"/>
          <w:b/>
          <w:sz w:val="40"/>
          <w:szCs w:val="48"/>
          <w:lang w:val="en-US" w:eastAsia="zh-CN"/>
        </w:rPr>
        <w:t>预审</w:t>
      </w:r>
      <w:bookmarkStart w:id="21" w:name="_GoBack"/>
      <w:bookmarkEnd w:id="21"/>
      <w:r>
        <w:rPr>
          <w:rFonts w:hint="eastAsia" w:ascii="Times New Roman" w:hAnsi="Times New Roman" w:eastAsia="宋体" w:cs="Times New Roman"/>
          <w:b/>
          <w:sz w:val="40"/>
          <w:szCs w:val="48"/>
        </w:rPr>
        <w:t>稿）</w:t>
      </w:r>
    </w:p>
    <w:p w14:paraId="5E54D7C6">
      <w:pPr>
        <w:spacing w:line="360" w:lineRule="auto"/>
        <w:ind w:firstLine="964" w:firstLineChars="200"/>
        <w:jc w:val="center"/>
        <w:rPr>
          <w:rFonts w:ascii="Times New Roman" w:hAnsi="Times New Roman" w:eastAsia="宋体" w:cs="Times New Roman"/>
          <w:b/>
          <w:sz w:val="48"/>
          <w:szCs w:val="48"/>
        </w:rPr>
      </w:pPr>
    </w:p>
    <w:p w14:paraId="77E6A350">
      <w:pPr>
        <w:spacing w:line="360" w:lineRule="auto"/>
        <w:ind w:firstLine="964" w:firstLineChars="200"/>
        <w:jc w:val="center"/>
        <w:rPr>
          <w:rFonts w:ascii="Times New Roman" w:hAnsi="Times New Roman" w:eastAsia="宋体" w:cs="Times New Roman"/>
          <w:b/>
          <w:sz w:val="48"/>
          <w:szCs w:val="48"/>
        </w:rPr>
      </w:pPr>
    </w:p>
    <w:p w14:paraId="661432D7">
      <w:pPr>
        <w:spacing w:line="360" w:lineRule="auto"/>
        <w:ind w:firstLine="964" w:firstLineChars="200"/>
        <w:jc w:val="center"/>
        <w:rPr>
          <w:rFonts w:ascii="Times New Roman" w:hAnsi="Times New Roman" w:eastAsia="宋体" w:cs="Times New Roman"/>
          <w:b/>
          <w:sz w:val="48"/>
          <w:szCs w:val="48"/>
        </w:rPr>
      </w:pPr>
    </w:p>
    <w:p w14:paraId="2FEF48D5">
      <w:pPr>
        <w:spacing w:line="360" w:lineRule="auto"/>
        <w:ind w:firstLine="964" w:firstLineChars="200"/>
        <w:rPr>
          <w:rFonts w:ascii="Times New Roman" w:hAnsi="Times New Roman" w:eastAsia="黑体" w:cs="Times New Roman"/>
          <w:b/>
          <w:sz w:val="48"/>
          <w:szCs w:val="48"/>
        </w:rPr>
      </w:pPr>
    </w:p>
    <w:p w14:paraId="09C9EE58">
      <w:pPr>
        <w:spacing w:line="360" w:lineRule="auto"/>
        <w:ind w:firstLine="964" w:firstLineChars="200"/>
        <w:rPr>
          <w:rFonts w:ascii="Times New Roman" w:hAnsi="Times New Roman" w:eastAsia="黑体" w:cs="Times New Roman"/>
          <w:b/>
          <w:sz w:val="48"/>
          <w:szCs w:val="48"/>
        </w:rPr>
      </w:pPr>
    </w:p>
    <w:p w14:paraId="22C96D14">
      <w:pPr>
        <w:spacing w:line="360" w:lineRule="auto"/>
        <w:ind w:firstLine="964" w:firstLineChars="200"/>
        <w:rPr>
          <w:rFonts w:ascii="Times New Roman" w:hAnsi="Times New Roman" w:eastAsia="黑体" w:cs="Times New Roman"/>
          <w:b/>
          <w:sz w:val="48"/>
          <w:szCs w:val="48"/>
        </w:rPr>
      </w:pPr>
    </w:p>
    <w:p w14:paraId="246A5A34">
      <w:pPr>
        <w:spacing w:line="360" w:lineRule="auto"/>
        <w:ind w:firstLine="643" w:firstLineChars="200"/>
        <w:rPr>
          <w:rFonts w:ascii="Times New Roman" w:hAnsi="Times New Roman" w:eastAsia="黑体" w:cs="Times New Roman"/>
          <w:b/>
          <w:sz w:val="32"/>
          <w:szCs w:val="32"/>
        </w:rPr>
      </w:pPr>
    </w:p>
    <w:p w14:paraId="1D60D68F">
      <w:pPr>
        <w:spacing w:line="360" w:lineRule="auto"/>
        <w:ind w:firstLine="643" w:firstLineChars="200"/>
        <w:rPr>
          <w:rFonts w:ascii="Times New Roman" w:hAnsi="Times New Roman" w:eastAsia="黑体" w:cs="Times New Roman"/>
          <w:b/>
          <w:sz w:val="32"/>
          <w:szCs w:val="32"/>
        </w:rPr>
      </w:pPr>
    </w:p>
    <w:p w14:paraId="430D1FF4">
      <w:pPr>
        <w:spacing w:line="360" w:lineRule="auto"/>
        <w:jc w:val="center"/>
        <w:rPr>
          <w:rFonts w:ascii="Times New Roman" w:hAnsi="Times New Roman" w:eastAsia="黑体" w:cs="Times New Roman"/>
          <w:b/>
          <w:sz w:val="32"/>
          <w:szCs w:val="32"/>
        </w:rPr>
      </w:pPr>
      <w:r>
        <w:rPr>
          <w:rFonts w:ascii="Times New Roman" w:hAnsi="Times New Roman" w:eastAsia="黑体" w:cs="Times New Roman"/>
          <w:b/>
          <w:sz w:val="32"/>
          <w:szCs w:val="32"/>
        </w:rPr>
        <w:t>《</w:t>
      </w:r>
      <w:r>
        <w:rPr>
          <w:rFonts w:hint="eastAsia" w:ascii="Times New Roman" w:hAnsi="Times New Roman" w:eastAsia="黑体" w:cs="Times New Roman"/>
          <w:b/>
          <w:sz w:val="32"/>
          <w:szCs w:val="32"/>
        </w:rPr>
        <w:t>有色金属冶炼熔体成分在线检测技术要求</w:t>
      </w:r>
      <w:r>
        <w:rPr>
          <w:rFonts w:ascii="Times New Roman" w:hAnsi="Times New Roman" w:eastAsia="黑体" w:cs="Times New Roman"/>
          <w:b/>
          <w:sz w:val="32"/>
          <w:szCs w:val="32"/>
        </w:rPr>
        <w:t>》编制组</w:t>
      </w:r>
    </w:p>
    <w:p w14:paraId="698F9D71">
      <w:pPr>
        <w:spacing w:line="360" w:lineRule="auto"/>
        <w:jc w:val="center"/>
        <w:rPr>
          <w:rFonts w:ascii="Times New Roman" w:hAnsi="Times New Roman" w:eastAsia="黑体" w:cs="Times New Roman"/>
          <w:b/>
          <w:sz w:val="32"/>
          <w:szCs w:val="32"/>
        </w:rPr>
      </w:pPr>
      <w:r>
        <w:rPr>
          <w:rFonts w:ascii="Times New Roman" w:hAnsi="Times New Roman" w:eastAsia="黑体" w:cs="Times New Roman"/>
          <w:b/>
          <w:sz w:val="32"/>
          <w:szCs w:val="32"/>
        </w:rPr>
        <w:t>202</w:t>
      </w:r>
      <w:r>
        <w:rPr>
          <w:rFonts w:hint="eastAsia" w:ascii="Times New Roman" w:hAnsi="Times New Roman" w:eastAsia="黑体" w:cs="Times New Roman"/>
          <w:b/>
          <w:sz w:val="32"/>
          <w:szCs w:val="32"/>
          <w:lang w:val="en-US" w:eastAsia="zh-CN"/>
        </w:rPr>
        <w:t>6</w:t>
      </w:r>
      <w:r>
        <w:rPr>
          <w:rFonts w:ascii="Times New Roman" w:hAnsi="Times New Roman" w:eastAsia="黑体" w:cs="Times New Roman"/>
          <w:b/>
          <w:sz w:val="32"/>
          <w:szCs w:val="32"/>
        </w:rPr>
        <w:t>年</w:t>
      </w:r>
      <w:r>
        <w:rPr>
          <w:rFonts w:hint="eastAsia" w:ascii="Times New Roman" w:hAnsi="Times New Roman" w:eastAsia="黑体" w:cs="Times New Roman"/>
          <w:b/>
          <w:sz w:val="32"/>
          <w:szCs w:val="32"/>
          <w:lang w:val="en-US" w:eastAsia="zh-CN"/>
        </w:rPr>
        <w:t>5</w:t>
      </w:r>
      <w:r>
        <w:rPr>
          <w:rFonts w:ascii="Times New Roman" w:hAnsi="Times New Roman" w:eastAsia="黑体" w:cs="Times New Roman"/>
          <w:b/>
          <w:sz w:val="32"/>
          <w:szCs w:val="32"/>
        </w:rPr>
        <w:t>月</w:t>
      </w:r>
    </w:p>
    <w:p w14:paraId="4597F508">
      <w:pPr>
        <w:spacing w:line="360" w:lineRule="auto"/>
        <w:ind w:firstLine="480" w:firstLineChars="200"/>
        <w:rPr>
          <w:rFonts w:ascii="Times New Roman" w:hAnsi="Times New Roman" w:eastAsia="宋体" w:cs="Times New Roman"/>
          <w:sz w:val="24"/>
          <w:szCs w:val="24"/>
        </w:rPr>
      </w:pPr>
    </w:p>
    <w:p w14:paraId="71A00CD8">
      <w:pPr>
        <w:ind w:firstLine="480" w:firstLineChars="200"/>
        <w:jc w:val="center"/>
        <w:rPr>
          <w:rFonts w:ascii="Times New Roman" w:hAnsi="Times New Roman" w:eastAsia="宋体" w:cs="Times New Roman"/>
          <w:sz w:val="24"/>
          <w:szCs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sdt>
      <w:sdtPr>
        <w:rPr>
          <w:rFonts w:ascii="Times New Roman" w:hAnsi="Times New Roman" w:eastAsia="宋体" w:cs="Times New Roman"/>
          <w:sz w:val="24"/>
          <w:szCs w:val="24"/>
        </w:rPr>
        <w:id w:val="147464107"/>
        <w:docPartObj>
          <w:docPartGallery w:val="Table of Contents"/>
          <w:docPartUnique/>
        </w:docPartObj>
      </w:sdtPr>
      <w:sdtEndPr>
        <w:rPr>
          <w:rFonts w:ascii="Times New Roman" w:hAnsi="Times New Roman" w:eastAsia="宋体" w:cs="Times New Roman"/>
          <w:sz w:val="24"/>
          <w:szCs w:val="24"/>
        </w:rPr>
      </w:sdtEndPr>
      <w:sdtContent>
        <w:p w14:paraId="2419AB9D">
          <w:pPr>
            <w:jc w:val="center"/>
            <w:rPr>
              <w:rFonts w:ascii="Times New Roman" w:hAnsi="Times New Roman" w:eastAsia="宋体" w:cs="Times New Roman"/>
              <w:sz w:val="24"/>
              <w:szCs w:val="24"/>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7F6F73C9">
          <w:pPr>
            <w:pStyle w:val="9"/>
            <w:tabs>
              <w:tab w:val="right" w:leader="dot" w:pos="8306"/>
            </w:tabs>
          </w:pP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TOC \o "1-2" \h \z \u </w:instrText>
          </w:r>
          <w:r>
            <w:rPr>
              <w:rFonts w:ascii="Times New Roman" w:hAnsi="Times New Roman" w:eastAsia="宋体" w:cs="Times New Roman"/>
              <w:bCs/>
              <w:sz w:val="24"/>
              <w:szCs w:val="24"/>
            </w:rPr>
            <w:fldChar w:fldCharType="separate"/>
          </w:r>
          <w:r>
            <w:rPr>
              <w:rFonts w:ascii="Times New Roman" w:hAnsi="Times New Roman" w:eastAsia="宋体" w:cs="Times New Roman"/>
              <w:bCs/>
              <w:szCs w:val="24"/>
            </w:rPr>
            <w:fldChar w:fldCharType="begin"/>
          </w:r>
          <w:r>
            <w:rPr>
              <w:rFonts w:ascii="Times New Roman" w:hAnsi="Times New Roman" w:eastAsia="宋体" w:cs="Times New Roman"/>
              <w:bCs/>
              <w:szCs w:val="24"/>
            </w:rPr>
            <w:instrText xml:space="preserve"> HYPERLINK \l _Toc9545 </w:instrText>
          </w:r>
          <w:r>
            <w:rPr>
              <w:rFonts w:ascii="Times New Roman" w:hAnsi="Times New Roman" w:eastAsia="宋体" w:cs="Times New Roman"/>
              <w:bCs/>
              <w:szCs w:val="24"/>
            </w:rPr>
            <w:fldChar w:fldCharType="separate"/>
          </w:r>
          <w:r>
            <w:rPr>
              <w:rFonts w:hint="eastAsia" w:ascii="宋体" w:hAnsi="宋体" w:eastAsia="宋体" w:cs="宋体"/>
              <w:kern w:val="44"/>
              <w:szCs w:val="24"/>
            </w:rPr>
            <w:t>一、工作简况</w:t>
          </w:r>
          <w:r>
            <w:tab/>
          </w:r>
          <w:r>
            <w:fldChar w:fldCharType="begin"/>
          </w:r>
          <w:r>
            <w:instrText xml:space="preserve"> PAGEREF _Toc9545 \h </w:instrText>
          </w:r>
          <w:r>
            <w:fldChar w:fldCharType="separate"/>
          </w:r>
          <w:r>
            <w:t>1</w:t>
          </w:r>
          <w:r>
            <w:fldChar w:fldCharType="end"/>
          </w:r>
          <w:r>
            <w:rPr>
              <w:rFonts w:ascii="Times New Roman" w:hAnsi="Times New Roman" w:eastAsia="宋体" w:cs="Times New Roman"/>
              <w:bCs/>
              <w:szCs w:val="24"/>
            </w:rPr>
            <w:fldChar w:fldCharType="end"/>
          </w:r>
        </w:p>
        <w:p w14:paraId="334ED2BA">
          <w:pPr>
            <w:pStyle w:val="10"/>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_Toc30770 </w:instrText>
          </w:r>
          <w:r>
            <w:rPr>
              <w:rFonts w:ascii="Times New Roman" w:hAnsi="Times New Roman" w:eastAsia="宋体" w:cs="Times New Roman"/>
              <w:caps/>
              <w:szCs w:val="24"/>
            </w:rPr>
            <w:fldChar w:fldCharType="separate"/>
          </w:r>
          <w:r>
            <w:rPr>
              <w:rFonts w:hint="eastAsia" w:ascii="宋体" w:hAnsi="宋体" w:eastAsia="宋体" w:cs="宋体"/>
              <w:bCs/>
              <w:szCs w:val="24"/>
            </w:rPr>
            <w:t>1、任务来源</w:t>
          </w:r>
          <w:r>
            <w:tab/>
          </w:r>
          <w:r>
            <w:fldChar w:fldCharType="begin"/>
          </w:r>
          <w:r>
            <w:instrText xml:space="preserve"> PAGEREF _Toc30770 \h </w:instrText>
          </w:r>
          <w:r>
            <w:fldChar w:fldCharType="separate"/>
          </w:r>
          <w:r>
            <w:t>1</w:t>
          </w:r>
          <w:r>
            <w:fldChar w:fldCharType="end"/>
          </w:r>
          <w:r>
            <w:rPr>
              <w:rFonts w:ascii="Times New Roman" w:hAnsi="Times New Roman" w:eastAsia="宋体" w:cs="Times New Roman"/>
              <w:caps/>
              <w:szCs w:val="24"/>
            </w:rPr>
            <w:fldChar w:fldCharType="end"/>
          </w:r>
        </w:p>
        <w:p w14:paraId="39647E68">
          <w:pPr>
            <w:pStyle w:val="10"/>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_Toc1095 </w:instrText>
          </w:r>
          <w:r>
            <w:rPr>
              <w:rFonts w:ascii="Times New Roman" w:hAnsi="Times New Roman" w:eastAsia="宋体" w:cs="Times New Roman"/>
              <w:caps/>
              <w:szCs w:val="24"/>
            </w:rPr>
            <w:fldChar w:fldCharType="separate"/>
          </w:r>
          <w:r>
            <w:rPr>
              <w:rFonts w:hint="eastAsia" w:ascii="宋体" w:hAnsi="宋体" w:eastAsia="宋体" w:cs="宋体"/>
              <w:bCs/>
              <w:szCs w:val="24"/>
            </w:rPr>
            <w:t>2、标准起草单位、编制成员及其工作职责</w:t>
          </w:r>
          <w:r>
            <w:tab/>
          </w:r>
          <w:r>
            <w:fldChar w:fldCharType="begin"/>
          </w:r>
          <w:r>
            <w:instrText xml:space="preserve"> PAGEREF _Toc1095 \h </w:instrText>
          </w:r>
          <w:r>
            <w:fldChar w:fldCharType="separate"/>
          </w:r>
          <w:r>
            <w:t>3</w:t>
          </w:r>
          <w:r>
            <w:fldChar w:fldCharType="end"/>
          </w:r>
          <w:r>
            <w:rPr>
              <w:rFonts w:ascii="Times New Roman" w:hAnsi="Times New Roman" w:eastAsia="宋体" w:cs="Times New Roman"/>
              <w:caps/>
              <w:szCs w:val="24"/>
            </w:rPr>
            <w:fldChar w:fldCharType="end"/>
          </w:r>
        </w:p>
        <w:p w14:paraId="301C4D89">
          <w:pPr>
            <w:pStyle w:val="10"/>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_Toc9162 </w:instrText>
          </w:r>
          <w:r>
            <w:rPr>
              <w:rFonts w:ascii="Times New Roman" w:hAnsi="Times New Roman" w:eastAsia="宋体" w:cs="Times New Roman"/>
              <w:caps/>
              <w:szCs w:val="24"/>
            </w:rPr>
            <w:fldChar w:fldCharType="separate"/>
          </w:r>
          <w:r>
            <w:rPr>
              <w:rFonts w:hint="eastAsia" w:ascii="宋体" w:hAnsi="宋体" w:eastAsia="宋体" w:cs="宋体"/>
              <w:bCs/>
              <w:szCs w:val="24"/>
            </w:rPr>
            <w:t>3、主要工作过程</w:t>
          </w:r>
          <w:r>
            <w:tab/>
          </w:r>
          <w:r>
            <w:fldChar w:fldCharType="begin"/>
          </w:r>
          <w:r>
            <w:instrText xml:space="preserve"> PAGEREF _Toc9162 \h </w:instrText>
          </w:r>
          <w:r>
            <w:fldChar w:fldCharType="separate"/>
          </w:r>
          <w:r>
            <w:t>3</w:t>
          </w:r>
          <w:r>
            <w:fldChar w:fldCharType="end"/>
          </w:r>
          <w:r>
            <w:rPr>
              <w:rFonts w:ascii="Times New Roman" w:hAnsi="Times New Roman" w:eastAsia="宋体" w:cs="Times New Roman"/>
              <w:caps/>
              <w:szCs w:val="24"/>
            </w:rPr>
            <w:fldChar w:fldCharType="end"/>
          </w:r>
        </w:p>
        <w:p w14:paraId="16FA5FBE">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_Toc17254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二、标准编制原则和确定标准主要内容</w:t>
          </w:r>
          <w:r>
            <w:tab/>
          </w:r>
          <w:r>
            <w:fldChar w:fldCharType="begin"/>
          </w:r>
          <w:r>
            <w:instrText xml:space="preserve"> PAGEREF _Toc17254 \h </w:instrText>
          </w:r>
          <w:r>
            <w:fldChar w:fldCharType="separate"/>
          </w:r>
          <w:r>
            <w:t>4</w:t>
          </w:r>
          <w:r>
            <w:fldChar w:fldCharType="end"/>
          </w:r>
          <w:r>
            <w:rPr>
              <w:rFonts w:ascii="Times New Roman" w:hAnsi="Times New Roman" w:eastAsia="宋体" w:cs="Times New Roman"/>
              <w:caps/>
              <w:szCs w:val="24"/>
            </w:rPr>
            <w:fldChar w:fldCharType="end"/>
          </w:r>
        </w:p>
        <w:p w14:paraId="66A856C7">
          <w:pPr>
            <w:pStyle w:val="10"/>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_Toc19923 </w:instrText>
          </w:r>
          <w:r>
            <w:rPr>
              <w:rFonts w:ascii="Times New Roman" w:hAnsi="Times New Roman" w:eastAsia="宋体" w:cs="Times New Roman"/>
              <w:caps/>
              <w:szCs w:val="24"/>
            </w:rPr>
            <w:fldChar w:fldCharType="separate"/>
          </w:r>
          <w:r>
            <w:rPr>
              <w:rFonts w:hint="eastAsia" w:ascii="宋体" w:hAnsi="宋体" w:eastAsia="宋体" w:cs="宋体"/>
              <w:bCs/>
              <w:szCs w:val="24"/>
            </w:rPr>
            <w:t>1、编制原则</w:t>
          </w:r>
          <w:r>
            <w:tab/>
          </w:r>
          <w:r>
            <w:fldChar w:fldCharType="begin"/>
          </w:r>
          <w:r>
            <w:instrText xml:space="preserve"> PAGEREF _Toc19923 \h </w:instrText>
          </w:r>
          <w:r>
            <w:fldChar w:fldCharType="separate"/>
          </w:r>
          <w:r>
            <w:t>4</w:t>
          </w:r>
          <w:r>
            <w:fldChar w:fldCharType="end"/>
          </w:r>
          <w:r>
            <w:rPr>
              <w:rFonts w:ascii="Times New Roman" w:hAnsi="Times New Roman" w:eastAsia="宋体" w:cs="Times New Roman"/>
              <w:caps/>
              <w:szCs w:val="24"/>
            </w:rPr>
            <w:fldChar w:fldCharType="end"/>
          </w:r>
        </w:p>
        <w:p w14:paraId="702F6758">
          <w:pPr>
            <w:pStyle w:val="10"/>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_Toc1980 </w:instrText>
          </w:r>
          <w:r>
            <w:rPr>
              <w:rFonts w:ascii="Times New Roman" w:hAnsi="Times New Roman" w:eastAsia="宋体" w:cs="Times New Roman"/>
              <w:caps/>
              <w:szCs w:val="24"/>
            </w:rPr>
            <w:fldChar w:fldCharType="separate"/>
          </w:r>
          <w:r>
            <w:rPr>
              <w:rFonts w:hint="eastAsia" w:ascii="宋体" w:hAnsi="宋体" w:eastAsia="宋体" w:cs="宋体"/>
              <w:bCs/>
              <w:szCs w:val="24"/>
            </w:rPr>
            <w:t>2、国内外相关标准研究</w:t>
          </w:r>
          <w:r>
            <w:tab/>
          </w:r>
          <w:r>
            <w:fldChar w:fldCharType="begin"/>
          </w:r>
          <w:r>
            <w:instrText xml:space="preserve"> PAGEREF _Toc1980 \h </w:instrText>
          </w:r>
          <w:r>
            <w:fldChar w:fldCharType="separate"/>
          </w:r>
          <w:r>
            <w:t>4</w:t>
          </w:r>
          <w:r>
            <w:fldChar w:fldCharType="end"/>
          </w:r>
          <w:r>
            <w:rPr>
              <w:rFonts w:ascii="Times New Roman" w:hAnsi="Times New Roman" w:eastAsia="宋体" w:cs="Times New Roman"/>
              <w:caps/>
              <w:szCs w:val="24"/>
            </w:rPr>
            <w:fldChar w:fldCharType="end"/>
          </w:r>
        </w:p>
        <w:p w14:paraId="7533B0BB">
          <w:pPr>
            <w:pStyle w:val="10"/>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_Toc20389 </w:instrText>
          </w:r>
          <w:r>
            <w:rPr>
              <w:rFonts w:ascii="Times New Roman" w:hAnsi="Times New Roman" w:eastAsia="宋体" w:cs="Times New Roman"/>
              <w:caps/>
              <w:szCs w:val="24"/>
            </w:rPr>
            <w:fldChar w:fldCharType="separate"/>
          </w:r>
          <w:r>
            <w:rPr>
              <w:rFonts w:hint="eastAsia" w:ascii="宋体" w:hAnsi="宋体" w:eastAsia="宋体" w:cs="宋体"/>
              <w:bCs/>
              <w:szCs w:val="24"/>
            </w:rPr>
            <w:t>3、标准主要内容</w:t>
          </w:r>
          <w:r>
            <w:tab/>
          </w:r>
          <w:r>
            <w:fldChar w:fldCharType="begin"/>
          </w:r>
          <w:r>
            <w:instrText xml:space="preserve"> PAGEREF _Toc20389 \h </w:instrText>
          </w:r>
          <w:r>
            <w:fldChar w:fldCharType="separate"/>
          </w:r>
          <w:r>
            <w:t>4</w:t>
          </w:r>
          <w:r>
            <w:fldChar w:fldCharType="end"/>
          </w:r>
          <w:r>
            <w:rPr>
              <w:rFonts w:ascii="Times New Roman" w:hAnsi="Times New Roman" w:eastAsia="宋体" w:cs="Times New Roman"/>
              <w:caps/>
              <w:szCs w:val="24"/>
            </w:rPr>
            <w:fldChar w:fldCharType="end"/>
          </w:r>
        </w:p>
        <w:p w14:paraId="0B711558">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_Toc21356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三、标准中如涉及专利，应有明确的知识产权说明。</w:t>
          </w:r>
          <w:r>
            <w:tab/>
          </w:r>
          <w:r>
            <w:fldChar w:fldCharType="begin"/>
          </w:r>
          <w:r>
            <w:instrText xml:space="preserve"> PAGEREF _Toc21356 \h </w:instrText>
          </w:r>
          <w:r>
            <w:fldChar w:fldCharType="separate"/>
          </w:r>
          <w:r>
            <w:t>4</w:t>
          </w:r>
          <w:r>
            <w:fldChar w:fldCharType="end"/>
          </w:r>
          <w:r>
            <w:rPr>
              <w:rFonts w:ascii="Times New Roman" w:hAnsi="Times New Roman" w:eastAsia="宋体" w:cs="Times New Roman"/>
              <w:caps/>
              <w:szCs w:val="24"/>
            </w:rPr>
            <w:fldChar w:fldCharType="end"/>
          </w:r>
        </w:p>
        <w:p w14:paraId="3CED90EC">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_Toc16446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四、主要试验或验证的分析、综述报告、技术经济论证，预期的经济效果。</w:t>
          </w:r>
          <w:r>
            <w:tab/>
          </w:r>
          <w:r>
            <w:fldChar w:fldCharType="begin"/>
          </w:r>
          <w:r>
            <w:instrText xml:space="preserve"> PAGEREF _Toc16446 \h </w:instrText>
          </w:r>
          <w:r>
            <w:fldChar w:fldCharType="separate"/>
          </w:r>
          <w:r>
            <w:t>4</w:t>
          </w:r>
          <w:r>
            <w:fldChar w:fldCharType="end"/>
          </w:r>
          <w:r>
            <w:rPr>
              <w:rFonts w:ascii="Times New Roman" w:hAnsi="Times New Roman" w:eastAsia="宋体" w:cs="Times New Roman"/>
              <w:caps/>
              <w:szCs w:val="24"/>
            </w:rPr>
            <w:fldChar w:fldCharType="end"/>
          </w:r>
        </w:p>
        <w:p w14:paraId="3377AE02">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_Toc12610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五、采用国际标准或国外先进标准的目的、意义和一致性程度；我国标准与被采用标准的主要差异及其原因；以及与国际、国外同类标准水平的对比情况。</w:t>
          </w:r>
          <w:r>
            <w:tab/>
          </w:r>
          <w:r>
            <w:fldChar w:fldCharType="begin"/>
          </w:r>
          <w:r>
            <w:instrText xml:space="preserve"> PAGEREF _Toc12610 \h </w:instrText>
          </w:r>
          <w:r>
            <w:fldChar w:fldCharType="separate"/>
          </w:r>
          <w:r>
            <w:t>5</w:t>
          </w:r>
          <w:r>
            <w:fldChar w:fldCharType="end"/>
          </w:r>
          <w:r>
            <w:rPr>
              <w:rFonts w:ascii="Times New Roman" w:hAnsi="Times New Roman" w:eastAsia="宋体" w:cs="Times New Roman"/>
              <w:caps/>
              <w:szCs w:val="24"/>
            </w:rPr>
            <w:fldChar w:fldCharType="end"/>
          </w:r>
        </w:p>
        <w:p w14:paraId="07B10D42">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_Toc6136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六、与现行</w:t>
          </w:r>
          <w:r>
            <w:rPr>
              <w:rFonts w:hint="eastAsia" w:ascii="宋体" w:hAnsi="宋体" w:eastAsia="宋体" w:cs="宋体"/>
              <w:kern w:val="44"/>
              <w:szCs w:val="24"/>
              <w:lang w:eastAsia="zh-CN"/>
            </w:rPr>
            <w:t>法律法规</w:t>
          </w:r>
          <w:r>
            <w:rPr>
              <w:rFonts w:hint="eastAsia" w:ascii="宋体" w:hAnsi="宋体" w:eastAsia="宋体" w:cs="宋体"/>
              <w:kern w:val="44"/>
              <w:szCs w:val="24"/>
            </w:rPr>
            <w:t>、强制性国家标准及相关标准协调配套情况</w:t>
          </w:r>
          <w:r>
            <w:tab/>
          </w:r>
          <w:r>
            <w:fldChar w:fldCharType="begin"/>
          </w:r>
          <w:r>
            <w:instrText xml:space="preserve"> PAGEREF _Toc6136 \h </w:instrText>
          </w:r>
          <w:r>
            <w:fldChar w:fldCharType="separate"/>
          </w:r>
          <w:r>
            <w:t>5</w:t>
          </w:r>
          <w:r>
            <w:fldChar w:fldCharType="end"/>
          </w:r>
          <w:r>
            <w:rPr>
              <w:rFonts w:ascii="Times New Roman" w:hAnsi="Times New Roman" w:eastAsia="宋体" w:cs="Times New Roman"/>
              <w:caps/>
              <w:szCs w:val="24"/>
            </w:rPr>
            <w:fldChar w:fldCharType="end"/>
          </w:r>
        </w:p>
        <w:p w14:paraId="7FDD96F1">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_Toc22020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七、国外相关</w:t>
          </w:r>
          <w:r>
            <w:rPr>
              <w:rFonts w:hint="eastAsia" w:ascii="宋体" w:hAnsi="宋体" w:eastAsia="宋体" w:cs="宋体"/>
              <w:kern w:val="44"/>
              <w:szCs w:val="24"/>
              <w:lang w:eastAsia="zh-CN"/>
            </w:rPr>
            <w:t>法律法规</w:t>
          </w:r>
          <w:r>
            <w:rPr>
              <w:rFonts w:hint="eastAsia" w:ascii="宋体" w:hAnsi="宋体" w:eastAsia="宋体" w:cs="宋体"/>
              <w:kern w:val="44"/>
              <w:szCs w:val="24"/>
            </w:rPr>
            <w:t>和标准情况的说明。</w:t>
          </w:r>
          <w:r>
            <w:tab/>
          </w:r>
          <w:r>
            <w:fldChar w:fldCharType="begin"/>
          </w:r>
          <w:r>
            <w:instrText xml:space="preserve"> PAGEREF _Toc22020 \h </w:instrText>
          </w:r>
          <w:r>
            <w:fldChar w:fldCharType="separate"/>
          </w:r>
          <w:r>
            <w:t>5</w:t>
          </w:r>
          <w:r>
            <w:fldChar w:fldCharType="end"/>
          </w:r>
          <w:r>
            <w:rPr>
              <w:rFonts w:ascii="Times New Roman" w:hAnsi="Times New Roman" w:eastAsia="宋体" w:cs="Times New Roman"/>
              <w:caps/>
              <w:szCs w:val="24"/>
            </w:rPr>
            <w:fldChar w:fldCharType="end"/>
          </w:r>
        </w:p>
        <w:p w14:paraId="75D7AFE1">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_Toc9993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八、重大分歧意见的处理经过和依据</w:t>
          </w:r>
          <w:r>
            <w:tab/>
          </w:r>
          <w:r>
            <w:fldChar w:fldCharType="begin"/>
          </w:r>
          <w:r>
            <w:instrText xml:space="preserve"> PAGEREF _Toc9993 \h </w:instrText>
          </w:r>
          <w:r>
            <w:fldChar w:fldCharType="separate"/>
          </w:r>
          <w:r>
            <w:t>5</w:t>
          </w:r>
          <w:r>
            <w:fldChar w:fldCharType="end"/>
          </w:r>
          <w:r>
            <w:rPr>
              <w:rFonts w:ascii="Times New Roman" w:hAnsi="Times New Roman" w:eastAsia="宋体" w:cs="Times New Roman"/>
              <w:caps/>
              <w:szCs w:val="24"/>
            </w:rPr>
            <w:fldChar w:fldCharType="end"/>
          </w:r>
        </w:p>
        <w:p w14:paraId="471E1B20">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_Toc11629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九、标准作为强制性或推荐性国家（或行业）标准的建议</w:t>
          </w:r>
          <w:r>
            <w:tab/>
          </w:r>
          <w:r>
            <w:fldChar w:fldCharType="begin"/>
          </w:r>
          <w:r>
            <w:instrText xml:space="preserve"> PAGEREF _Toc11629 \h </w:instrText>
          </w:r>
          <w:r>
            <w:fldChar w:fldCharType="separate"/>
          </w:r>
          <w:r>
            <w:t>5</w:t>
          </w:r>
          <w:r>
            <w:fldChar w:fldCharType="end"/>
          </w:r>
          <w:r>
            <w:rPr>
              <w:rFonts w:ascii="Times New Roman" w:hAnsi="Times New Roman" w:eastAsia="宋体" w:cs="Times New Roman"/>
              <w:caps/>
              <w:szCs w:val="24"/>
            </w:rPr>
            <w:fldChar w:fldCharType="end"/>
          </w:r>
        </w:p>
        <w:p w14:paraId="76A6C26A">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_Toc7451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十、贯彻标准的要求和措施建议</w:t>
          </w:r>
          <w:r>
            <w:tab/>
          </w:r>
          <w:r>
            <w:fldChar w:fldCharType="begin"/>
          </w:r>
          <w:r>
            <w:instrText xml:space="preserve"> PAGEREF _Toc7451 \h </w:instrText>
          </w:r>
          <w:r>
            <w:fldChar w:fldCharType="separate"/>
          </w:r>
          <w:r>
            <w:t>5</w:t>
          </w:r>
          <w:r>
            <w:fldChar w:fldCharType="end"/>
          </w:r>
          <w:r>
            <w:rPr>
              <w:rFonts w:ascii="Times New Roman" w:hAnsi="Times New Roman" w:eastAsia="宋体" w:cs="Times New Roman"/>
              <w:caps/>
              <w:szCs w:val="24"/>
            </w:rPr>
            <w:fldChar w:fldCharType="end"/>
          </w:r>
        </w:p>
        <w:p w14:paraId="082240E6">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_Toc14322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十一、设立标准实施过渡期的理由：根据国家经济、技术政策需要</w:t>
          </w:r>
          <w:r>
            <w:rPr>
              <w:rFonts w:hint="eastAsia" w:ascii="宋体" w:hAnsi="宋体" w:eastAsia="宋体" w:cs="宋体"/>
              <w:kern w:val="44"/>
              <w:szCs w:val="24"/>
              <w:lang w:eastAsia="zh-CN"/>
            </w:rPr>
            <w:t>，以及该</w:t>
          </w:r>
          <w:r>
            <w:rPr>
              <w:rFonts w:hint="eastAsia" w:ascii="宋体" w:hAnsi="宋体" w:eastAsia="宋体" w:cs="宋体"/>
              <w:kern w:val="44"/>
              <w:szCs w:val="24"/>
            </w:rPr>
            <w:t>标准涉及的产品的技术改造难度等因素，提出</w:t>
          </w:r>
          <w:r>
            <w:rPr>
              <w:rFonts w:hint="eastAsia" w:ascii="宋体" w:hAnsi="宋体" w:eastAsia="宋体" w:cs="宋体"/>
              <w:kern w:val="44"/>
              <w:szCs w:val="24"/>
              <w:lang w:eastAsia="zh-CN"/>
            </w:rPr>
            <w:t>标准</w:t>
          </w:r>
          <w:r>
            <w:rPr>
              <w:rFonts w:hint="eastAsia" w:ascii="宋体" w:hAnsi="宋体" w:eastAsia="宋体" w:cs="宋体"/>
              <w:kern w:val="44"/>
              <w:szCs w:val="24"/>
            </w:rPr>
            <w:t>实施日期的建议。（仅适用于强制性标准）</w:t>
          </w:r>
          <w:r>
            <w:tab/>
          </w:r>
          <w:r>
            <w:fldChar w:fldCharType="begin"/>
          </w:r>
          <w:r>
            <w:instrText xml:space="preserve"> PAGEREF _Toc14322 \h </w:instrText>
          </w:r>
          <w:r>
            <w:fldChar w:fldCharType="separate"/>
          </w:r>
          <w:r>
            <w:t>6</w:t>
          </w:r>
          <w:r>
            <w:fldChar w:fldCharType="end"/>
          </w:r>
          <w:r>
            <w:rPr>
              <w:rFonts w:ascii="Times New Roman" w:hAnsi="Times New Roman" w:eastAsia="宋体" w:cs="Times New Roman"/>
              <w:caps/>
              <w:szCs w:val="24"/>
            </w:rPr>
            <w:fldChar w:fldCharType="end"/>
          </w:r>
        </w:p>
        <w:p w14:paraId="4F262C4C">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_Toc4725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十二、废止现行有关标准的建议</w:t>
          </w:r>
          <w:r>
            <w:tab/>
          </w:r>
          <w:r>
            <w:fldChar w:fldCharType="begin"/>
          </w:r>
          <w:r>
            <w:instrText xml:space="preserve"> PAGEREF _Toc4725 \h </w:instrText>
          </w:r>
          <w:r>
            <w:fldChar w:fldCharType="separate"/>
          </w:r>
          <w:r>
            <w:t>6</w:t>
          </w:r>
          <w:r>
            <w:fldChar w:fldCharType="end"/>
          </w:r>
          <w:r>
            <w:rPr>
              <w:rFonts w:ascii="Times New Roman" w:hAnsi="Times New Roman" w:eastAsia="宋体" w:cs="Times New Roman"/>
              <w:caps/>
              <w:szCs w:val="24"/>
            </w:rPr>
            <w:fldChar w:fldCharType="end"/>
          </w:r>
        </w:p>
        <w:p w14:paraId="2B7C365E">
          <w:pPr>
            <w:pStyle w:val="9"/>
            <w:tabs>
              <w:tab w:val="right" w:leader="dot" w:pos="8306"/>
            </w:tabs>
          </w:pPr>
          <w:r>
            <w:rPr>
              <w:rFonts w:ascii="Times New Roman" w:hAnsi="Times New Roman" w:eastAsia="宋体" w:cs="Times New Roman"/>
              <w:caps/>
              <w:szCs w:val="24"/>
            </w:rPr>
            <w:fldChar w:fldCharType="begin"/>
          </w:r>
          <w:r>
            <w:rPr>
              <w:rFonts w:ascii="Times New Roman" w:hAnsi="Times New Roman" w:eastAsia="宋体" w:cs="Times New Roman"/>
              <w:caps/>
              <w:szCs w:val="24"/>
            </w:rPr>
            <w:instrText xml:space="preserve"> HYPERLINK \l _Toc1987 </w:instrText>
          </w:r>
          <w:r>
            <w:rPr>
              <w:rFonts w:ascii="Times New Roman" w:hAnsi="Times New Roman" w:eastAsia="宋体" w:cs="Times New Roman"/>
              <w:caps/>
              <w:szCs w:val="24"/>
            </w:rPr>
            <w:fldChar w:fldCharType="separate"/>
          </w:r>
          <w:r>
            <w:rPr>
              <w:rFonts w:hint="eastAsia" w:ascii="宋体" w:hAnsi="宋体" w:eastAsia="宋体" w:cs="宋体"/>
              <w:kern w:val="44"/>
              <w:szCs w:val="24"/>
            </w:rPr>
            <w:t>十三、其他主要内容的解释和其他需要说明的事项。如系列标准或划分部分制定的标准的编号建议，参考文献目录等。</w:t>
          </w:r>
          <w:r>
            <w:tab/>
          </w:r>
          <w:r>
            <w:fldChar w:fldCharType="begin"/>
          </w:r>
          <w:r>
            <w:instrText xml:space="preserve"> PAGEREF _Toc1987 \h </w:instrText>
          </w:r>
          <w:r>
            <w:fldChar w:fldCharType="separate"/>
          </w:r>
          <w:r>
            <w:t>6</w:t>
          </w:r>
          <w:r>
            <w:fldChar w:fldCharType="end"/>
          </w:r>
          <w:r>
            <w:rPr>
              <w:rFonts w:ascii="Times New Roman" w:hAnsi="Times New Roman" w:eastAsia="宋体" w:cs="Times New Roman"/>
              <w:caps/>
              <w:szCs w:val="24"/>
            </w:rPr>
            <w:fldChar w:fldCharType="end"/>
          </w:r>
        </w:p>
        <w:p w14:paraId="749CA341">
          <w:pPr>
            <w:spacing w:line="360" w:lineRule="auto"/>
            <w:rPr>
              <w:rFonts w:ascii="Times New Roman" w:hAnsi="Times New Roman" w:eastAsia="宋体" w:cs="Times New Roman"/>
              <w:sz w:val="24"/>
              <w:szCs w:val="24"/>
            </w:rPr>
          </w:pPr>
          <w:r>
            <w:rPr>
              <w:rFonts w:ascii="Times New Roman" w:hAnsi="Times New Roman" w:eastAsia="宋体" w:cs="Times New Roman"/>
              <w:caps/>
              <w:szCs w:val="24"/>
            </w:rPr>
            <w:fldChar w:fldCharType="end"/>
          </w:r>
        </w:p>
      </w:sdtContent>
    </w:sdt>
    <w:p w14:paraId="382FF318">
      <w:pPr>
        <w:keepNext/>
        <w:keepLines/>
        <w:spacing w:line="360" w:lineRule="auto"/>
        <w:ind w:firstLine="602"/>
        <w:outlineLvl w:val="0"/>
        <w:rPr>
          <w:rFonts w:ascii="Times New Roman" w:hAnsi="Times New Roman" w:eastAsia="宋体" w:cs="Times New Roman"/>
          <w:b/>
          <w:kern w:val="44"/>
          <w:sz w:val="30"/>
          <w:szCs w:val="24"/>
        </w:rPr>
        <w:sectPr>
          <w:footerReference r:id="rId9" w:type="default"/>
          <w:pgSz w:w="11906" w:h="16838"/>
          <w:pgMar w:top="1440" w:right="1800" w:bottom="1440" w:left="1800" w:header="851" w:footer="992" w:gutter="0"/>
          <w:pgNumType w:fmt="lowerRoman" w:start="1"/>
          <w:cols w:space="425" w:num="1"/>
          <w:docGrid w:type="lines" w:linePitch="312" w:charSpace="0"/>
        </w:sectPr>
      </w:pPr>
    </w:p>
    <w:p w14:paraId="228DAA93">
      <w:pPr>
        <w:keepNext/>
        <w:keepLines/>
        <w:spacing w:line="360" w:lineRule="auto"/>
        <w:outlineLvl w:val="0"/>
        <w:rPr>
          <w:rFonts w:hint="eastAsia" w:ascii="宋体" w:hAnsi="宋体" w:eastAsia="宋体" w:cs="宋体"/>
          <w:b/>
          <w:kern w:val="44"/>
          <w:sz w:val="24"/>
          <w:szCs w:val="24"/>
        </w:rPr>
      </w:pPr>
      <w:bookmarkStart w:id="0" w:name="_Toc9545"/>
      <w:r>
        <w:rPr>
          <w:rFonts w:hint="eastAsia" w:ascii="宋体" w:hAnsi="宋体" w:eastAsia="宋体" w:cs="宋体"/>
          <w:b/>
          <w:kern w:val="44"/>
          <w:sz w:val="24"/>
          <w:szCs w:val="24"/>
        </w:rPr>
        <w:t>一、工作简况</w:t>
      </w:r>
      <w:bookmarkEnd w:id="0"/>
    </w:p>
    <w:p w14:paraId="2FD58E7D">
      <w:pPr>
        <w:keepNext/>
        <w:keepLines/>
        <w:spacing w:line="360" w:lineRule="auto"/>
        <w:outlineLvl w:val="1"/>
        <w:rPr>
          <w:rFonts w:hint="eastAsia" w:ascii="宋体" w:hAnsi="宋体" w:eastAsia="宋体" w:cs="宋体"/>
          <w:b/>
          <w:bCs/>
          <w:sz w:val="24"/>
          <w:szCs w:val="24"/>
        </w:rPr>
      </w:pPr>
      <w:bookmarkStart w:id="1" w:name="_Toc30770"/>
      <w:r>
        <w:rPr>
          <w:rFonts w:hint="eastAsia" w:ascii="宋体" w:hAnsi="宋体" w:eastAsia="宋体" w:cs="宋体"/>
          <w:b/>
          <w:bCs/>
          <w:sz w:val="24"/>
          <w:szCs w:val="24"/>
        </w:rPr>
        <w:t>1、任务来源</w:t>
      </w:r>
      <w:bookmarkEnd w:id="1"/>
    </w:p>
    <w:p w14:paraId="2EC8170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根据《工业和信息化部办公厅关于印发2026年第一批行业标准制修订和外文版项目计划的通知》（工信厅科函〔2026〕105 号）文件要求，行业标准《有色金属冶炼熔体成分在线检测技术要求》制定项目由全国有色金属标准化技术委员会归口，计划编号：2026-0008T-YS，项目周期为12个月，完成年限为202</w:t>
      </w:r>
      <w:r>
        <w:rPr>
          <w:rFonts w:hint="eastAsia" w:ascii="宋体" w:hAnsi="宋体" w:eastAsia="宋体" w:cs="宋体"/>
          <w:sz w:val="24"/>
          <w:szCs w:val="24"/>
          <w:lang w:val="en-US" w:eastAsia="zh-CN"/>
        </w:rPr>
        <w:t>7</w:t>
      </w:r>
      <w:r>
        <w:rPr>
          <w:rFonts w:hint="eastAsia" w:ascii="宋体" w:hAnsi="宋体" w:eastAsia="宋体" w:cs="宋体"/>
          <w:sz w:val="24"/>
          <w:szCs w:val="24"/>
        </w:rPr>
        <w:t>年</w:t>
      </w:r>
      <w:r>
        <w:rPr>
          <w:rFonts w:hint="eastAsia" w:ascii="宋体" w:hAnsi="宋体" w:eastAsia="宋体" w:cs="宋体"/>
          <w:sz w:val="24"/>
          <w:szCs w:val="24"/>
          <w:lang w:val="en-US" w:eastAsia="zh-CN"/>
        </w:rPr>
        <w:t>3月16日</w:t>
      </w:r>
      <w:r>
        <w:rPr>
          <w:rFonts w:hint="eastAsia" w:ascii="宋体" w:hAnsi="宋体" w:eastAsia="宋体" w:cs="宋体"/>
          <w:sz w:val="24"/>
          <w:szCs w:val="24"/>
        </w:rPr>
        <w:t>。由</w:t>
      </w:r>
      <w:r>
        <w:rPr>
          <w:rFonts w:hint="eastAsia" w:ascii="宋体" w:hAnsi="宋体" w:eastAsia="宋体" w:cs="宋体"/>
          <w:sz w:val="24"/>
          <w:szCs w:val="24"/>
          <w:lang w:val="en-US" w:eastAsia="zh-CN"/>
        </w:rPr>
        <w:t>合肥金星智控科技股份有限公司</w:t>
      </w:r>
      <w:r>
        <w:rPr>
          <w:rFonts w:hint="eastAsia" w:ascii="宋体" w:hAnsi="宋体" w:eastAsia="宋体" w:cs="宋体"/>
          <w:sz w:val="24"/>
          <w:szCs w:val="24"/>
        </w:rPr>
        <w:t>主编，铜陵有色金属集团控股有限公司、金川集团股份有限公司、白银有色集团股份有限公司等</w:t>
      </w:r>
      <w:r>
        <w:rPr>
          <w:rFonts w:hint="eastAsia" w:ascii="宋体" w:hAnsi="宋体" w:eastAsia="宋体" w:cs="宋体"/>
          <w:sz w:val="24"/>
          <w:szCs w:val="24"/>
          <w:lang w:val="en-US" w:eastAsia="zh-CN"/>
        </w:rPr>
        <w:t>单位</w:t>
      </w:r>
      <w:r>
        <w:rPr>
          <w:rFonts w:hint="eastAsia" w:ascii="宋体" w:hAnsi="宋体" w:eastAsia="宋体" w:cs="宋体"/>
          <w:sz w:val="24"/>
          <w:szCs w:val="24"/>
        </w:rPr>
        <w:t>参加，共同组成《有色金属冶炼熔体成分在线检测技术要求》编制组，开展标准编制工作。</w:t>
      </w:r>
    </w:p>
    <w:p w14:paraId="4D27EA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根据《国家智能制造标准体系建设指南（2021年版）》，《有色金属冶炼熔体成分在线检测技术要求》在国家智能制造标准体系中，属于“B关键技术”-“B</w:t>
      </w:r>
      <w:r>
        <w:rPr>
          <w:rFonts w:hint="eastAsia" w:ascii="宋体" w:hAnsi="宋体" w:eastAsia="宋体" w:cs="宋体"/>
          <w:sz w:val="24"/>
          <w:szCs w:val="24"/>
          <w:lang w:val="en-US" w:eastAsia="zh-CN"/>
        </w:rPr>
        <w:t>A智能装备</w:t>
      </w:r>
      <w:r>
        <w:rPr>
          <w:rFonts w:hint="eastAsia" w:ascii="宋体" w:hAnsi="宋体" w:eastAsia="宋体" w:cs="宋体"/>
          <w:sz w:val="24"/>
          <w:szCs w:val="24"/>
        </w:rPr>
        <w:t>”-“</w:t>
      </w:r>
      <w:r>
        <w:rPr>
          <w:rFonts w:hint="eastAsia" w:ascii="宋体" w:hAnsi="宋体" w:eastAsia="宋体" w:cs="宋体"/>
          <w:sz w:val="24"/>
          <w:szCs w:val="24"/>
          <w:lang w:val="en-US" w:eastAsia="zh-CN"/>
        </w:rPr>
        <w:t>检验检测装备</w:t>
      </w:r>
      <w:r>
        <w:rPr>
          <w:rFonts w:hint="eastAsia" w:ascii="宋体" w:hAnsi="宋体" w:eastAsia="宋体" w:cs="宋体"/>
          <w:sz w:val="24"/>
          <w:szCs w:val="24"/>
        </w:rPr>
        <w:t>”，也属于“C行业应用”-“有色金属”范畴。</w:t>
      </w:r>
    </w:p>
    <w:p w14:paraId="0F6913A6">
      <w:pPr>
        <w:spacing w:line="360" w:lineRule="auto"/>
        <w:ind w:firstLine="480" w:firstLineChars="200"/>
        <w:jc w:val="center"/>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3193415" cy="2916555"/>
            <wp:effectExtent l="0" t="0" r="6985" b="0"/>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54966" cy="2972812"/>
                    </a:xfrm>
                    <a:prstGeom prst="rect">
                      <a:avLst/>
                    </a:prstGeom>
                    <a:noFill/>
                    <a:ln>
                      <a:noFill/>
                    </a:ln>
                  </pic:spPr>
                </pic:pic>
              </a:graphicData>
            </a:graphic>
          </wp:inline>
        </w:drawing>
      </w:r>
    </w:p>
    <w:p w14:paraId="4D237D1A">
      <w:pPr>
        <w:pStyle w:val="33"/>
        <w:spacing w:before="120" w:after="120"/>
        <w:rPr>
          <w:rFonts w:hint="eastAsia" w:ascii="宋体" w:hAnsi="宋体" w:eastAsia="宋体" w:cs="宋体"/>
          <w:sz w:val="24"/>
          <w:szCs w:val="24"/>
        </w:rPr>
      </w:pPr>
      <w:r>
        <w:rPr>
          <w:rFonts w:hint="eastAsia" w:ascii="宋体" w:hAnsi="宋体" w:eastAsia="宋体" w:cs="宋体"/>
          <w:sz w:val="24"/>
          <w:szCs w:val="24"/>
        </w:rPr>
        <w:t>国家智能制造</w:t>
      </w:r>
      <w:r>
        <w:rPr>
          <w:rFonts w:hint="eastAsia" w:ascii="宋体" w:hAnsi="宋体" w:eastAsia="宋体" w:cs="宋体"/>
          <w:sz w:val="24"/>
          <w:szCs w:val="24"/>
          <w:lang w:eastAsia="zh-CN"/>
        </w:rPr>
        <w:t>标准体系</w:t>
      </w:r>
      <w:r>
        <w:rPr>
          <w:rFonts w:hint="eastAsia" w:ascii="宋体" w:hAnsi="宋体" w:eastAsia="宋体" w:cs="宋体"/>
          <w:sz w:val="24"/>
          <w:szCs w:val="24"/>
        </w:rPr>
        <w:t>结构图</w:t>
      </w:r>
    </w:p>
    <w:p w14:paraId="6583385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根据《有色金属行业智能制造标准体系建设指南（2023年版）》，《有色金属冶炼熔体成分在线检测技术要求》在有色金属行业智能制造标准体系中，属于“CIC智能工厂-CIC</w:t>
      </w:r>
      <w:r>
        <w:rPr>
          <w:rFonts w:hint="eastAsia" w:ascii="宋体" w:hAnsi="宋体" w:eastAsia="宋体" w:cs="宋体"/>
          <w:sz w:val="24"/>
          <w:szCs w:val="24"/>
          <w:lang w:val="en-US" w:eastAsia="zh-CN"/>
        </w:rPr>
        <w:t>D智能生产</w:t>
      </w:r>
      <w:r>
        <w:rPr>
          <w:rFonts w:hint="eastAsia" w:ascii="宋体" w:hAnsi="宋体" w:eastAsia="宋体" w:cs="宋体"/>
          <w:sz w:val="24"/>
          <w:szCs w:val="24"/>
        </w:rPr>
        <w:t>-CIC</w:t>
      </w:r>
      <w:r>
        <w:rPr>
          <w:rFonts w:hint="eastAsia" w:ascii="宋体" w:hAnsi="宋体" w:eastAsia="宋体" w:cs="宋体"/>
          <w:sz w:val="24"/>
          <w:szCs w:val="24"/>
          <w:lang w:val="en-US" w:eastAsia="zh-CN"/>
        </w:rPr>
        <w:t>DB智能检测</w:t>
      </w:r>
      <w:r>
        <w:rPr>
          <w:rFonts w:hint="eastAsia" w:ascii="宋体" w:hAnsi="宋体" w:eastAsia="宋体" w:cs="宋体"/>
          <w:sz w:val="24"/>
          <w:szCs w:val="24"/>
        </w:rPr>
        <w:t>”，并且属于“智能工厂标准建设重点”标准。</w:t>
      </w:r>
    </w:p>
    <w:p w14:paraId="76146E83">
      <w:pPr>
        <w:spacing w:line="360" w:lineRule="auto"/>
        <w:jc w:val="center"/>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3822700" cy="3035935"/>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822700" cy="3035935"/>
                    </a:xfrm>
                    <a:prstGeom prst="rect">
                      <a:avLst/>
                    </a:prstGeom>
                    <a:noFill/>
                  </pic:spPr>
                </pic:pic>
              </a:graphicData>
            </a:graphic>
          </wp:inline>
        </w:drawing>
      </w:r>
    </w:p>
    <w:p w14:paraId="08E097CC">
      <w:pPr>
        <w:pStyle w:val="33"/>
        <w:spacing w:before="120" w:after="120"/>
        <w:rPr>
          <w:rFonts w:hint="eastAsia" w:ascii="宋体" w:hAnsi="宋体" w:eastAsia="宋体" w:cs="宋体"/>
          <w:sz w:val="24"/>
          <w:szCs w:val="24"/>
        </w:rPr>
      </w:pPr>
      <w:r>
        <w:rPr>
          <w:rFonts w:hint="eastAsia" w:ascii="宋体" w:hAnsi="宋体" w:eastAsia="宋体" w:cs="宋体"/>
          <w:sz w:val="24"/>
          <w:szCs w:val="24"/>
          <w:lang w:val="en-US" w:eastAsia="zh-CN"/>
        </w:rPr>
        <w:t>有色金属行业智能制造标准体系结构图</w:t>
      </w:r>
    </w:p>
    <w:p w14:paraId="2B2C187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599305" cy="3420110"/>
            <wp:effectExtent l="0" t="0" r="10795" b="889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4599305" cy="3420110"/>
                    </a:xfrm>
                    <a:prstGeom prst="rect">
                      <a:avLst/>
                    </a:prstGeom>
                    <a:noFill/>
                    <a:ln>
                      <a:noFill/>
                    </a:ln>
                  </pic:spPr>
                </pic:pic>
              </a:graphicData>
            </a:graphic>
          </wp:inline>
        </w:drawing>
      </w:r>
    </w:p>
    <w:p w14:paraId="55B47A21">
      <w:pPr>
        <w:pStyle w:val="33"/>
        <w:spacing w:before="120" w:after="1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有色金属行业智能制造标准体系框架图</w:t>
      </w:r>
    </w:p>
    <w:p w14:paraId="2EC1082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工业过程物料成分数据作为生产调控的核心参数、工序衔接的信息纽带和产物质量的评价指标，是工业企业智能工厂建设不可或缺的核心数据基础，成分数据的在线可靠获取更是工业企业数字化、智能化建设的必备基础。成分检测不仅关乎生产安全和产品质量，还影响到环境保护和资源利用效率，通过对原料、半成品、成品的成分实时检测和闭环控制，可以优化生产工艺，提高资源利用率，确保生产过程的稳定性和产品品质。</w:t>
      </w:r>
    </w:p>
    <w:p w14:paraId="5661A81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随着我国智能制造和</w:t>
      </w:r>
      <w:r>
        <w:rPr>
          <w:rFonts w:hint="eastAsia" w:ascii="宋体" w:hAnsi="宋体" w:eastAsia="宋体" w:cs="宋体"/>
          <w:sz w:val="24"/>
          <w:szCs w:val="24"/>
          <w:lang w:eastAsia="zh-CN"/>
        </w:rPr>
        <w:t>“双碳”</w:t>
      </w:r>
      <w:r>
        <w:rPr>
          <w:rFonts w:hint="eastAsia" w:ascii="宋体" w:hAnsi="宋体" w:eastAsia="宋体" w:cs="宋体"/>
          <w:sz w:val="24"/>
          <w:szCs w:val="24"/>
        </w:rPr>
        <w:t>战略实施推进，工业过程物料成分核心工艺参数实时、精确检测技术与系统凸显为短板弱项。当前流程工业工艺参数检测普遍采用的取样检测无法满足智能化、精益化转型发展需求，亟须形成一套完整的工业过程物料成分在线检测技术与标准体系，以打通“技术</w:t>
      </w:r>
      <w:r>
        <w:rPr>
          <w:rFonts w:hint="eastAsia" w:ascii="宋体" w:hAnsi="宋体" w:eastAsia="宋体" w:cs="宋体"/>
          <w:sz w:val="24"/>
          <w:szCs w:val="24"/>
          <w:lang w:eastAsia="zh-CN"/>
        </w:rPr>
        <w:t>－</w:t>
      </w:r>
      <w:r>
        <w:rPr>
          <w:rFonts w:hint="eastAsia" w:ascii="宋体" w:hAnsi="宋体" w:eastAsia="宋体" w:cs="宋体"/>
          <w:sz w:val="24"/>
          <w:szCs w:val="24"/>
        </w:rPr>
        <w:t>器件</w:t>
      </w:r>
      <w:r>
        <w:rPr>
          <w:rFonts w:hint="eastAsia" w:ascii="宋体" w:hAnsi="宋体" w:eastAsia="宋体" w:cs="宋体"/>
          <w:sz w:val="24"/>
          <w:szCs w:val="24"/>
          <w:lang w:eastAsia="zh-CN"/>
        </w:rPr>
        <w:t>－</w:t>
      </w:r>
      <w:r>
        <w:rPr>
          <w:rFonts w:hint="eastAsia" w:ascii="宋体" w:hAnsi="宋体" w:eastAsia="宋体" w:cs="宋体"/>
          <w:sz w:val="24"/>
          <w:szCs w:val="24"/>
        </w:rPr>
        <w:t>系统</w:t>
      </w:r>
      <w:r>
        <w:rPr>
          <w:rFonts w:hint="eastAsia" w:ascii="宋体" w:hAnsi="宋体" w:eastAsia="宋体" w:cs="宋体"/>
          <w:sz w:val="24"/>
          <w:szCs w:val="24"/>
          <w:lang w:eastAsia="zh-CN"/>
        </w:rPr>
        <w:t>－</w:t>
      </w:r>
      <w:r>
        <w:rPr>
          <w:rFonts w:hint="eastAsia" w:ascii="宋体" w:hAnsi="宋体" w:eastAsia="宋体" w:cs="宋体"/>
          <w:sz w:val="24"/>
          <w:szCs w:val="24"/>
        </w:rPr>
        <w:t>产业”全链条，实现快速落地转化和产业化应用。</w:t>
      </w:r>
    </w:p>
    <w:p w14:paraId="425C674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本项目紧密围绕国家及行业政策导向，全面响应《原材料工业数字化转型工作方案（2024—2026年）</w:t>
      </w:r>
      <w:r>
        <w:rPr>
          <w:rFonts w:hint="eastAsia" w:ascii="宋体" w:hAnsi="宋体" w:eastAsia="宋体" w:cs="宋体"/>
          <w:sz w:val="24"/>
          <w:szCs w:val="24"/>
          <w:lang w:eastAsia="zh-CN"/>
        </w:rPr>
        <w:t>》《</w:t>
      </w:r>
      <w:r>
        <w:rPr>
          <w:rFonts w:hint="eastAsia" w:ascii="宋体" w:hAnsi="宋体" w:eastAsia="宋体" w:cs="宋体"/>
          <w:sz w:val="24"/>
          <w:szCs w:val="24"/>
        </w:rPr>
        <w:t>有色金属行业智能制造标准体系建设指南（2023版）》及《标准提升引领原材料工业优化升级行动方案（2025—2027年）》的核心要求，可助力实现基于实时成分指导工艺调控的闭环控制，推动有色金属行业从“经验驱动”向“数据驱动”转型，助力实现《中国制造2025》中关键工序智能化率超过60%的目标。</w:t>
      </w:r>
    </w:p>
    <w:p w14:paraId="6DF40DF9">
      <w:pPr>
        <w:keepNext/>
        <w:keepLines/>
        <w:spacing w:line="360" w:lineRule="auto"/>
        <w:outlineLvl w:val="1"/>
        <w:rPr>
          <w:rFonts w:hint="eastAsia" w:ascii="宋体" w:hAnsi="宋体" w:eastAsia="宋体" w:cs="宋体"/>
          <w:bCs/>
          <w:sz w:val="24"/>
          <w:szCs w:val="24"/>
        </w:rPr>
      </w:pPr>
      <w:bookmarkStart w:id="2" w:name="_Toc1095"/>
      <w:r>
        <w:rPr>
          <w:rFonts w:hint="eastAsia" w:ascii="宋体" w:hAnsi="宋体" w:eastAsia="宋体" w:cs="宋体"/>
          <w:b/>
          <w:bCs/>
          <w:sz w:val="24"/>
          <w:szCs w:val="24"/>
        </w:rPr>
        <w:t>2、标准起草单位、编制成员及其工作职责</w:t>
      </w:r>
      <w:bookmarkEnd w:id="2"/>
    </w:p>
    <w:p w14:paraId="038A1C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本标准由</w:t>
      </w:r>
      <w:r>
        <w:rPr>
          <w:rFonts w:hint="eastAsia" w:ascii="宋体" w:hAnsi="宋体" w:eastAsia="宋体" w:cs="宋体"/>
          <w:sz w:val="24"/>
          <w:szCs w:val="24"/>
          <w:lang w:val="en-US" w:eastAsia="zh-CN"/>
        </w:rPr>
        <w:t>合肥金星智控科技股份有限公司</w:t>
      </w:r>
      <w:r>
        <w:rPr>
          <w:rFonts w:hint="eastAsia" w:ascii="宋体" w:hAnsi="宋体" w:eastAsia="宋体" w:cs="宋体"/>
          <w:sz w:val="24"/>
          <w:szCs w:val="24"/>
        </w:rPr>
        <w:t>牵头，由</w:t>
      </w:r>
      <w:r>
        <w:rPr>
          <w:rFonts w:hint="eastAsia" w:ascii="宋体" w:hAnsi="宋体" w:eastAsia="宋体" w:cs="宋体"/>
          <w:sz w:val="24"/>
          <w:szCs w:val="24"/>
          <w:lang w:val="en-US" w:eastAsia="zh-CN"/>
        </w:rPr>
        <w:t>合肥金星智控科技股份有限公司</w:t>
      </w:r>
      <w:r>
        <w:rPr>
          <w:rFonts w:hint="eastAsia" w:ascii="宋体" w:hAnsi="宋体" w:eastAsia="宋体" w:cs="宋体"/>
          <w:sz w:val="24"/>
          <w:szCs w:val="24"/>
        </w:rPr>
        <w:t>主编，铜陵有色金属集团控股有限公司、金川集团股份有限公司、白银有色集团股份有限公司等单位参加编制。</w:t>
      </w:r>
    </w:p>
    <w:p w14:paraId="29003018">
      <w:pPr>
        <w:keepNext/>
        <w:keepLines/>
        <w:spacing w:line="360" w:lineRule="auto"/>
        <w:outlineLvl w:val="1"/>
        <w:rPr>
          <w:rFonts w:hint="eastAsia" w:ascii="宋体" w:hAnsi="宋体" w:eastAsia="宋体" w:cs="宋体"/>
          <w:b/>
          <w:bCs/>
          <w:sz w:val="24"/>
          <w:szCs w:val="24"/>
        </w:rPr>
      </w:pPr>
      <w:bookmarkStart w:id="3" w:name="_Toc9162"/>
      <w:r>
        <w:rPr>
          <w:rFonts w:hint="eastAsia" w:ascii="宋体" w:hAnsi="宋体" w:eastAsia="宋体" w:cs="宋体"/>
          <w:b/>
          <w:bCs/>
          <w:sz w:val="24"/>
          <w:szCs w:val="24"/>
        </w:rPr>
        <w:t>3、主要工作过程</w:t>
      </w:r>
      <w:bookmarkEnd w:id="3"/>
    </w:p>
    <w:p w14:paraId="0741C078">
      <w:pPr>
        <w:spacing w:line="360" w:lineRule="auto"/>
        <w:rPr>
          <w:rFonts w:hint="eastAsia" w:ascii="宋体" w:hAnsi="宋体" w:eastAsia="宋体" w:cs="宋体"/>
          <w:bCs/>
          <w:sz w:val="24"/>
          <w:szCs w:val="24"/>
        </w:rPr>
      </w:pPr>
      <w:r>
        <w:rPr>
          <w:rFonts w:hint="eastAsia" w:ascii="宋体" w:hAnsi="宋体" w:eastAsia="宋体" w:cs="宋体"/>
          <w:bCs/>
          <w:sz w:val="24"/>
          <w:szCs w:val="24"/>
        </w:rPr>
        <w:t>3.1 起草阶段</w:t>
      </w:r>
    </w:p>
    <w:p w14:paraId="298EF7F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标准制订计划任务正式下达后，由合肥金星智控科技股份有限公司</w:t>
      </w:r>
      <w:r>
        <w:rPr>
          <w:rFonts w:hint="eastAsia" w:ascii="宋体" w:hAnsi="宋体" w:eastAsia="宋体" w:cs="宋体"/>
          <w:bCs/>
          <w:sz w:val="24"/>
          <w:szCs w:val="24"/>
          <w:lang w:eastAsia="zh-CN"/>
        </w:rPr>
        <w:t>、</w:t>
      </w:r>
      <w:r>
        <w:rPr>
          <w:rFonts w:hint="eastAsia" w:ascii="宋体" w:hAnsi="宋体" w:eastAsia="宋体" w:cs="宋体"/>
          <w:bCs/>
          <w:sz w:val="24"/>
          <w:szCs w:val="24"/>
        </w:rPr>
        <w:t>铜陵有色金属集团控股有限公司、金川集团股份有限公司、白银有色集团股份有限公司等单位成立了标准编制组，初步确定了任务分工：</w:t>
      </w:r>
    </w:p>
    <w:p w14:paraId="6CAE5A6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合肥金星智控科技股份有限公司牵头，负责资料收集、汇总，编制标准编写大纲，主持编写工作，并负责编写范围、规范性引用文件、参</w:t>
      </w:r>
      <w:r>
        <w:rPr>
          <w:rFonts w:hint="eastAsia" w:ascii="宋体" w:hAnsi="宋体" w:eastAsia="宋体" w:cs="宋体"/>
          <w:bCs/>
          <w:sz w:val="24"/>
          <w:szCs w:val="24"/>
          <w:lang w:val="en-US" w:eastAsia="zh-CN"/>
        </w:rPr>
        <w:t>术语和定义、系统组成、工作技术参数、技术要求和试验方法</w:t>
      </w:r>
      <w:r>
        <w:rPr>
          <w:rFonts w:hint="eastAsia" w:ascii="宋体" w:hAnsi="宋体" w:eastAsia="宋体" w:cs="宋体"/>
          <w:bCs/>
          <w:sz w:val="24"/>
          <w:szCs w:val="24"/>
        </w:rPr>
        <w:t>等章节。铜陵有色金属集团控股有限公司、金川集团股份有限公司、白银有色集团股份有限公司等单位负责提供标准编制相关资料、技术支持，并参与编写部分章节。</w:t>
      </w:r>
    </w:p>
    <w:p w14:paraId="3E9AC9A0">
      <w:pPr>
        <w:spacing w:line="360" w:lineRule="auto"/>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2026年5月，召开项目启动会并进行讨论。</w:t>
      </w:r>
    </w:p>
    <w:p w14:paraId="23BE2B48">
      <w:pPr>
        <w:spacing w:line="360" w:lineRule="auto"/>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2026年7月，形成标准征求意见稿。</w:t>
      </w:r>
    </w:p>
    <w:p w14:paraId="3731BD41">
      <w:pPr>
        <w:spacing w:line="360" w:lineRule="auto"/>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2026年9月，形成标准送审稿。</w:t>
      </w:r>
    </w:p>
    <w:p w14:paraId="48C7110D">
      <w:pPr>
        <w:keepNext/>
        <w:keepLines/>
        <w:spacing w:line="360" w:lineRule="auto"/>
        <w:outlineLvl w:val="0"/>
        <w:rPr>
          <w:rFonts w:hint="eastAsia" w:ascii="宋体" w:hAnsi="宋体" w:eastAsia="宋体" w:cs="宋体"/>
          <w:b/>
          <w:kern w:val="44"/>
          <w:sz w:val="24"/>
          <w:szCs w:val="24"/>
        </w:rPr>
      </w:pPr>
      <w:bookmarkStart w:id="4" w:name="_Toc17254"/>
      <w:r>
        <w:rPr>
          <w:rFonts w:hint="eastAsia" w:ascii="宋体" w:hAnsi="宋体" w:eastAsia="宋体" w:cs="宋体"/>
          <w:b/>
          <w:kern w:val="44"/>
          <w:sz w:val="24"/>
          <w:szCs w:val="24"/>
        </w:rPr>
        <w:t>二、标准编制原则和确定标准主要内容</w:t>
      </w:r>
      <w:bookmarkEnd w:id="4"/>
    </w:p>
    <w:p w14:paraId="17E5F21E">
      <w:pPr>
        <w:keepNext/>
        <w:keepLines/>
        <w:spacing w:line="360" w:lineRule="auto"/>
        <w:outlineLvl w:val="1"/>
        <w:rPr>
          <w:rFonts w:hint="eastAsia" w:ascii="宋体" w:hAnsi="宋体" w:eastAsia="宋体" w:cs="宋体"/>
          <w:b/>
          <w:bCs/>
          <w:sz w:val="24"/>
          <w:szCs w:val="24"/>
        </w:rPr>
      </w:pPr>
      <w:bookmarkStart w:id="5" w:name="_Toc19923"/>
      <w:r>
        <w:rPr>
          <w:rFonts w:hint="eastAsia" w:ascii="宋体" w:hAnsi="宋体" w:eastAsia="宋体" w:cs="宋体"/>
          <w:b/>
          <w:bCs/>
          <w:sz w:val="24"/>
          <w:szCs w:val="24"/>
        </w:rPr>
        <w:t>1、编制原则</w:t>
      </w:r>
      <w:bookmarkEnd w:id="5"/>
    </w:p>
    <w:p w14:paraId="374B45B4">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color w:val="auto"/>
          <w:kern w:val="2"/>
          <w:sz w:val="24"/>
          <w:szCs w:val="24"/>
          <w:lang w:val="en-US" w:eastAsia="zh-CN"/>
        </w:rPr>
      </w:pPr>
      <w:bookmarkStart w:id="6" w:name="_Toc517111033"/>
      <w:r>
        <w:rPr>
          <w:rFonts w:hint="eastAsia" w:ascii="宋体" w:hAnsi="宋体" w:eastAsia="宋体" w:cs="宋体"/>
          <w:color w:val="auto"/>
          <w:kern w:val="2"/>
          <w:sz w:val="24"/>
          <w:szCs w:val="24"/>
          <w:lang w:val="en-US" w:eastAsia="zh-CN"/>
        </w:rPr>
        <w:t>（1）本标准按照GB/T 1.1-2020《标准化工作导则 第1部分：标准化文件的结构和起草规则》给出的规则起草。</w:t>
      </w:r>
    </w:p>
    <w:p w14:paraId="4E4057D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（2）本标准立足有色金属行业实际和智能制造标准体系的要求，与其他标准共同丰富智能制造标准体系，在编制的过程中，始终遵循符合行业特色、满足市场需求、技术内容合理的原则。</w:t>
      </w:r>
    </w:p>
    <w:p w14:paraId="60DD046E">
      <w:pPr>
        <w:keepNext/>
        <w:keepLines/>
        <w:spacing w:line="360" w:lineRule="auto"/>
        <w:outlineLvl w:val="1"/>
        <w:rPr>
          <w:rFonts w:hint="eastAsia" w:ascii="宋体" w:hAnsi="宋体" w:eastAsia="宋体" w:cs="宋体"/>
          <w:bCs/>
          <w:sz w:val="24"/>
          <w:szCs w:val="24"/>
        </w:rPr>
      </w:pPr>
      <w:bookmarkStart w:id="7" w:name="_Toc1980"/>
      <w:r>
        <w:rPr>
          <w:rFonts w:hint="eastAsia" w:ascii="宋体" w:hAnsi="宋体" w:eastAsia="宋体" w:cs="宋体"/>
          <w:b/>
          <w:bCs/>
          <w:sz w:val="24"/>
          <w:szCs w:val="24"/>
        </w:rPr>
        <w:t>2、国内外相关标准研究</w:t>
      </w:r>
      <w:bookmarkEnd w:id="6"/>
      <w:bookmarkEnd w:id="7"/>
    </w:p>
    <w:p w14:paraId="19FFDC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目前基于LIBS技术的有色金属火法冶炼熔体成分智能在线检测，公开信息显示并没有广泛被采用或公认的统一国际或国家标准。这一领域由于技术复杂性、多样性和应用场景的特殊性，标准的制定相对滞后于技术的发展。现行国家标准GB/T 38257-2019《激光诱导击穿光谱法》主要提供了激光诱导击穿光谱分析技术的基本原理、仪器设备要求、数据分析方法等通用规范，适用于采用LIBS技术进行元素分析的多个领域。然而，该标准并未特别针对熔体在线检测的特殊要求进行详细规范，比如极端工况下的设备耐用性、高温熔体的特殊光谱干扰处理、快速在线分析的准确性与稳定性等，本项目将推动制定更细致、专业的标准来覆盖这一细分应用领域。</w:t>
      </w:r>
    </w:p>
    <w:p w14:paraId="07BF0EB0">
      <w:pPr>
        <w:keepNext/>
        <w:keepLines/>
        <w:spacing w:line="360" w:lineRule="auto"/>
        <w:outlineLvl w:val="1"/>
        <w:rPr>
          <w:rFonts w:hint="eastAsia" w:ascii="宋体" w:hAnsi="宋体" w:eastAsia="宋体" w:cs="宋体"/>
          <w:b/>
          <w:bCs/>
          <w:sz w:val="24"/>
          <w:szCs w:val="24"/>
        </w:rPr>
      </w:pPr>
      <w:bookmarkStart w:id="8" w:name="_Toc20389"/>
      <w:r>
        <w:rPr>
          <w:rFonts w:hint="eastAsia" w:ascii="宋体" w:hAnsi="宋体" w:eastAsia="宋体" w:cs="宋体"/>
          <w:b/>
          <w:bCs/>
          <w:sz w:val="24"/>
          <w:szCs w:val="24"/>
        </w:rPr>
        <w:t>3、标准主要内容</w:t>
      </w:r>
      <w:bookmarkEnd w:id="8"/>
    </w:p>
    <w:p w14:paraId="51F1A039">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本文件规定了有色金属冶炼熔体成分在线检测技术要求的</w:t>
      </w:r>
      <w:r>
        <w:rPr>
          <w:rFonts w:hint="eastAsia" w:ascii="宋体" w:hAnsi="宋体" w:eastAsia="宋体" w:cs="宋体"/>
          <w:sz w:val="24"/>
          <w:szCs w:val="24"/>
          <w:lang w:val="en-US" w:eastAsia="zh-CN"/>
        </w:rPr>
        <w:t>范围、</w:t>
      </w:r>
      <w:r>
        <w:rPr>
          <w:rFonts w:hint="eastAsia" w:ascii="宋体" w:hAnsi="宋体" w:eastAsia="宋体" w:cs="宋体"/>
          <w:sz w:val="24"/>
          <w:szCs w:val="24"/>
        </w:rPr>
        <w:t>术语和定义、</w:t>
      </w:r>
      <w:r>
        <w:rPr>
          <w:rFonts w:hint="eastAsia" w:ascii="宋体" w:hAnsi="宋体" w:eastAsia="宋体" w:cs="宋体"/>
          <w:sz w:val="24"/>
          <w:szCs w:val="24"/>
          <w:lang w:val="en-US" w:eastAsia="zh-CN"/>
        </w:rPr>
        <w:t>系统架构、技术要求、试验方法等内容。本文件主要内容如下：</w:t>
      </w:r>
    </w:p>
    <w:p w14:paraId="7234B73D">
      <w:pPr>
        <w:spacing w:line="360" w:lineRule="auto"/>
        <w:ind w:firstLine="480" w:firstLineChars="200"/>
        <w:rPr>
          <w:rFonts w:hint="default"/>
          <w:lang w:val="en-US" w:eastAsia="zh-CN"/>
        </w:rPr>
      </w:pPr>
      <w:r>
        <w:rPr>
          <w:rFonts w:hint="eastAsia" w:ascii="宋体" w:hAnsi="宋体" w:eastAsia="宋体" w:cs="宋体"/>
          <w:sz w:val="24"/>
          <w:szCs w:val="24"/>
        </w:rPr>
        <w:t>第一章：范围；第二章：规范性引用文件；第三章：术语和定义；第四章：</w:t>
      </w:r>
      <w:r>
        <w:rPr>
          <w:rFonts w:hint="eastAsia" w:ascii="宋体" w:hAnsi="宋体" w:eastAsia="宋体" w:cs="宋体"/>
          <w:sz w:val="24"/>
          <w:szCs w:val="24"/>
          <w:lang w:val="en-US" w:eastAsia="zh-CN"/>
        </w:rPr>
        <w:t>系统架构</w:t>
      </w:r>
      <w:r>
        <w:rPr>
          <w:rFonts w:hint="eastAsia" w:ascii="宋体" w:hAnsi="宋体" w:eastAsia="宋体" w:cs="宋体"/>
          <w:sz w:val="24"/>
          <w:szCs w:val="24"/>
        </w:rPr>
        <w:t>；第五章：</w:t>
      </w:r>
      <w:r>
        <w:rPr>
          <w:rFonts w:hint="eastAsia" w:ascii="宋体" w:hAnsi="宋体" w:eastAsia="宋体" w:cs="宋体"/>
          <w:sz w:val="24"/>
          <w:szCs w:val="24"/>
          <w:lang w:val="en-US" w:eastAsia="zh-CN"/>
        </w:rPr>
        <w:t>技术要求</w:t>
      </w:r>
      <w:r>
        <w:rPr>
          <w:rFonts w:hint="eastAsia" w:ascii="宋体" w:hAnsi="宋体" w:eastAsia="宋体" w:cs="宋体"/>
          <w:sz w:val="24"/>
          <w:szCs w:val="24"/>
        </w:rPr>
        <w:t>；第六章：</w:t>
      </w:r>
      <w:r>
        <w:rPr>
          <w:rFonts w:hint="eastAsia" w:ascii="宋体" w:hAnsi="宋体" w:eastAsia="宋体" w:cs="宋体"/>
          <w:sz w:val="24"/>
          <w:szCs w:val="24"/>
          <w:lang w:val="en-US" w:eastAsia="zh-CN"/>
        </w:rPr>
        <w:t>试验方法。</w:t>
      </w:r>
    </w:p>
    <w:p w14:paraId="1322971A">
      <w:pPr>
        <w:keepNext/>
        <w:keepLines/>
        <w:spacing w:line="360" w:lineRule="auto"/>
        <w:outlineLvl w:val="0"/>
        <w:rPr>
          <w:rFonts w:hint="eastAsia" w:ascii="宋体" w:hAnsi="宋体" w:eastAsia="宋体" w:cs="宋体"/>
          <w:b/>
          <w:kern w:val="44"/>
          <w:sz w:val="24"/>
          <w:szCs w:val="24"/>
        </w:rPr>
      </w:pPr>
      <w:bookmarkStart w:id="9" w:name="_Toc21356"/>
      <w:r>
        <w:rPr>
          <w:rFonts w:hint="eastAsia" w:ascii="宋体" w:hAnsi="宋体" w:eastAsia="宋体" w:cs="宋体"/>
          <w:b/>
          <w:kern w:val="44"/>
          <w:sz w:val="24"/>
          <w:szCs w:val="24"/>
        </w:rPr>
        <w:t>三、标准中如涉及专利，应有明确的知识产权说明。</w:t>
      </w:r>
      <w:bookmarkEnd w:id="9"/>
    </w:p>
    <w:p w14:paraId="310B87B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本标准不涉及专利。</w:t>
      </w:r>
    </w:p>
    <w:p w14:paraId="2261D444">
      <w:pPr>
        <w:keepNext/>
        <w:keepLines/>
        <w:spacing w:line="360" w:lineRule="auto"/>
        <w:outlineLvl w:val="0"/>
        <w:rPr>
          <w:rFonts w:hint="eastAsia" w:ascii="宋体" w:hAnsi="宋体" w:eastAsia="宋体" w:cs="宋体"/>
          <w:b/>
          <w:kern w:val="44"/>
          <w:sz w:val="24"/>
          <w:szCs w:val="24"/>
        </w:rPr>
      </w:pPr>
      <w:bookmarkStart w:id="10" w:name="_Toc16446"/>
      <w:r>
        <w:rPr>
          <w:rFonts w:hint="eastAsia" w:ascii="宋体" w:hAnsi="宋体" w:eastAsia="宋体" w:cs="宋体"/>
          <w:b/>
          <w:kern w:val="44"/>
          <w:sz w:val="24"/>
          <w:szCs w:val="24"/>
        </w:rPr>
        <w:t>四、主要试验或验证的分析、综述报告、技术经济论证，预期的经济效果。</w:t>
      </w:r>
      <w:bookmarkEnd w:id="10"/>
    </w:p>
    <w:p w14:paraId="6404A23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当前取样检测方式耗时30</w:t>
      </w:r>
      <w:r>
        <w:rPr>
          <w:rFonts w:hint="eastAsia" w:ascii="宋体" w:hAnsi="宋体" w:eastAsia="宋体" w:cs="宋体"/>
          <w:sz w:val="24"/>
          <w:szCs w:val="24"/>
          <w:lang w:eastAsia="zh-CN"/>
        </w:rPr>
        <w:t>—</w:t>
      </w:r>
      <w:r>
        <w:rPr>
          <w:rFonts w:hint="eastAsia" w:ascii="宋体" w:hAnsi="宋体" w:eastAsia="宋体" w:cs="宋体"/>
          <w:sz w:val="24"/>
          <w:szCs w:val="24"/>
        </w:rPr>
        <w:t>90min不等，无法指导工艺参数实时调控；采用LIBS技术设备在线检测可在3min左右完成检测，制定相关应用标准及规范，有助于工业企业开展精准调控。通过实时在线成分结果反馈，快速指导工艺参数调整，降低配料、送氧等制造成本；同时通过提高工序衔接效率提升生产效率和产品质量。</w:t>
      </w:r>
    </w:p>
    <w:p w14:paraId="1E19004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分在线检测，在工业冶炼过程中对相应工艺节点工艺升级及智能化控制意义重大。标准技术规范的实施，可助力实现基于实时成分指导工艺操作的闭环调控，从而实现高效精准控制、优化工序衔接效率、支撑智能化建设、改善人员劳动环境。</w:t>
      </w:r>
    </w:p>
    <w:p w14:paraId="402D94BD">
      <w:pPr>
        <w:keepNext/>
        <w:keepLines/>
        <w:spacing w:line="360" w:lineRule="auto"/>
        <w:outlineLvl w:val="0"/>
        <w:rPr>
          <w:rFonts w:hint="eastAsia" w:ascii="宋体" w:hAnsi="宋体" w:eastAsia="宋体" w:cs="宋体"/>
          <w:b/>
          <w:kern w:val="44"/>
          <w:sz w:val="24"/>
          <w:szCs w:val="24"/>
        </w:rPr>
      </w:pPr>
      <w:bookmarkStart w:id="11" w:name="_Toc12610"/>
      <w:r>
        <w:rPr>
          <w:rFonts w:hint="eastAsia" w:ascii="宋体" w:hAnsi="宋体" w:eastAsia="宋体" w:cs="宋体"/>
          <w:b/>
          <w:kern w:val="44"/>
          <w:sz w:val="24"/>
          <w:szCs w:val="24"/>
        </w:rPr>
        <w:t>五、采用国际标准或国外先进标准的目的、意义和一致性程度；我国标准与被采用标准的主要差异及其原因；以及与国际、国外同类标准水平的对比情况。</w:t>
      </w:r>
      <w:bookmarkEnd w:id="11"/>
    </w:p>
    <w:p w14:paraId="2FAFFFC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无现有国内外标准。</w:t>
      </w:r>
    </w:p>
    <w:p w14:paraId="0DF495CB">
      <w:pPr>
        <w:keepNext/>
        <w:keepLines/>
        <w:spacing w:line="360" w:lineRule="auto"/>
        <w:outlineLvl w:val="0"/>
        <w:rPr>
          <w:rFonts w:hint="eastAsia" w:ascii="宋体" w:hAnsi="宋体" w:eastAsia="宋体" w:cs="宋体"/>
          <w:b/>
          <w:kern w:val="44"/>
          <w:sz w:val="24"/>
          <w:szCs w:val="24"/>
        </w:rPr>
      </w:pPr>
      <w:bookmarkStart w:id="12" w:name="_Toc6136"/>
      <w:r>
        <w:rPr>
          <w:rFonts w:hint="eastAsia" w:ascii="宋体" w:hAnsi="宋体" w:eastAsia="宋体" w:cs="宋体"/>
          <w:b/>
          <w:kern w:val="44"/>
          <w:sz w:val="24"/>
          <w:szCs w:val="24"/>
        </w:rPr>
        <w:t>六、与现行</w:t>
      </w:r>
      <w:r>
        <w:rPr>
          <w:rFonts w:hint="eastAsia" w:ascii="宋体" w:hAnsi="宋体" w:eastAsia="宋体" w:cs="宋体"/>
          <w:b/>
          <w:kern w:val="44"/>
          <w:sz w:val="24"/>
          <w:szCs w:val="24"/>
          <w:lang w:eastAsia="zh-CN"/>
        </w:rPr>
        <w:t>法律法规</w:t>
      </w:r>
      <w:r>
        <w:rPr>
          <w:rFonts w:hint="eastAsia" w:ascii="宋体" w:hAnsi="宋体" w:eastAsia="宋体" w:cs="宋体"/>
          <w:b/>
          <w:kern w:val="44"/>
          <w:sz w:val="24"/>
          <w:szCs w:val="24"/>
        </w:rPr>
        <w:t>、强制性国家标准及相关标准协调配套情况</w:t>
      </w:r>
      <w:bookmarkEnd w:id="12"/>
    </w:p>
    <w:p w14:paraId="7B23431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目前，国内尚未</w:t>
      </w:r>
      <w:r>
        <w:rPr>
          <w:rFonts w:hint="eastAsia" w:ascii="宋体" w:hAnsi="宋体" w:eastAsia="宋体" w:cs="宋体"/>
          <w:sz w:val="24"/>
          <w:szCs w:val="24"/>
          <w:lang w:eastAsia="zh-CN"/>
        </w:rPr>
        <w:t>制定</w:t>
      </w:r>
      <w:r>
        <w:rPr>
          <w:rFonts w:hint="eastAsia" w:ascii="宋体" w:hAnsi="宋体" w:eastAsia="宋体" w:cs="宋体"/>
          <w:sz w:val="24"/>
          <w:szCs w:val="24"/>
        </w:rPr>
        <w:t>有色金属冶炼熔体成分在线检测技术要求相关标准。本申报标准可与智能制造标准体系中的其他标准</w:t>
      </w:r>
      <w:r>
        <w:rPr>
          <w:rFonts w:hint="eastAsia" w:ascii="宋体" w:hAnsi="宋体" w:eastAsia="宋体" w:cs="宋体"/>
          <w:sz w:val="24"/>
          <w:szCs w:val="24"/>
          <w:lang w:eastAsia="zh-CN"/>
        </w:rPr>
        <w:t>共同丰富</w:t>
      </w:r>
      <w:r>
        <w:rPr>
          <w:rFonts w:hint="eastAsia" w:ascii="宋体" w:hAnsi="宋体" w:eastAsia="宋体" w:cs="宋体"/>
          <w:sz w:val="24"/>
          <w:szCs w:val="24"/>
        </w:rPr>
        <w:t>智能制造标准体系。</w:t>
      </w:r>
    </w:p>
    <w:p w14:paraId="12D0D778">
      <w:pPr>
        <w:keepNext/>
        <w:keepLines/>
        <w:spacing w:line="360" w:lineRule="auto"/>
        <w:outlineLvl w:val="0"/>
        <w:rPr>
          <w:rFonts w:hint="eastAsia" w:ascii="宋体" w:hAnsi="宋体" w:eastAsia="宋体" w:cs="宋体"/>
          <w:b/>
          <w:kern w:val="44"/>
          <w:sz w:val="24"/>
          <w:szCs w:val="24"/>
        </w:rPr>
      </w:pPr>
      <w:bookmarkStart w:id="13" w:name="_Toc22020"/>
      <w:r>
        <w:rPr>
          <w:rFonts w:hint="eastAsia" w:ascii="宋体" w:hAnsi="宋体" w:eastAsia="宋体" w:cs="宋体"/>
          <w:b/>
          <w:kern w:val="44"/>
          <w:sz w:val="24"/>
          <w:szCs w:val="24"/>
        </w:rPr>
        <w:t>七、国外相关</w:t>
      </w:r>
      <w:r>
        <w:rPr>
          <w:rFonts w:hint="eastAsia" w:ascii="宋体" w:hAnsi="宋体" w:eastAsia="宋体" w:cs="宋体"/>
          <w:b/>
          <w:kern w:val="44"/>
          <w:sz w:val="24"/>
          <w:szCs w:val="24"/>
          <w:lang w:eastAsia="zh-CN"/>
        </w:rPr>
        <w:t>法律法规</w:t>
      </w:r>
      <w:r>
        <w:rPr>
          <w:rFonts w:hint="eastAsia" w:ascii="宋体" w:hAnsi="宋体" w:eastAsia="宋体" w:cs="宋体"/>
          <w:b/>
          <w:kern w:val="44"/>
          <w:sz w:val="24"/>
          <w:szCs w:val="24"/>
        </w:rPr>
        <w:t>和标准情况的说明。</w:t>
      </w:r>
      <w:bookmarkEnd w:id="13"/>
    </w:p>
    <w:p w14:paraId="70E6C67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不适用。</w:t>
      </w:r>
    </w:p>
    <w:p w14:paraId="6058EC6B">
      <w:pPr>
        <w:keepNext/>
        <w:keepLines/>
        <w:spacing w:line="360" w:lineRule="auto"/>
        <w:outlineLvl w:val="0"/>
        <w:rPr>
          <w:rFonts w:hint="eastAsia" w:ascii="宋体" w:hAnsi="宋体" w:eastAsia="宋体" w:cs="宋体"/>
          <w:b/>
          <w:kern w:val="44"/>
          <w:sz w:val="24"/>
          <w:szCs w:val="24"/>
        </w:rPr>
      </w:pPr>
      <w:bookmarkStart w:id="14" w:name="_Toc9993"/>
      <w:r>
        <w:rPr>
          <w:rFonts w:hint="eastAsia" w:ascii="宋体" w:hAnsi="宋体" w:eastAsia="宋体" w:cs="宋体"/>
          <w:b/>
          <w:kern w:val="44"/>
          <w:sz w:val="24"/>
          <w:szCs w:val="24"/>
        </w:rPr>
        <w:t>八、重大分歧意见的处理经过和依据</w:t>
      </w:r>
      <w:bookmarkEnd w:id="14"/>
    </w:p>
    <w:p w14:paraId="4E72A46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无。</w:t>
      </w:r>
    </w:p>
    <w:p w14:paraId="1F19F3F6">
      <w:pPr>
        <w:keepNext/>
        <w:keepLines/>
        <w:spacing w:line="360" w:lineRule="auto"/>
        <w:outlineLvl w:val="0"/>
        <w:rPr>
          <w:rFonts w:hint="eastAsia" w:ascii="宋体" w:hAnsi="宋体" w:eastAsia="宋体" w:cs="宋体"/>
          <w:b/>
          <w:kern w:val="44"/>
          <w:sz w:val="24"/>
          <w:szCs w:val="24"/>
        </w:rPr>
      </w:pPr>
      <w:bookmarkStart w:id="15" w:name="_Toc11629"/>
      <w:r>
        <w:rPr>
          <w:rFonts w:hint="eastAsia" w:ascii="宋体" w:hAnsi="宋体" w:eastAsia="宋体" w:cs="宋体"/>
          <w:b/>
          <w:kern w:val="44"/>
          <w:sz w:val="24"/>
          <w:szCs w:val="24"/>
        </w:rPr>
        <w:t>九、标准作为强制性或推荐性国家（或行业）标准的建议</w:t>
      </w:r>
      <w:bookmarkEnd w:id="15"/>
    </w:p>
    <w:p w14:paraId="41B0F77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本标准建议作为推荐性行业标准发布。目前，国际上尚未</w:t>
      </w:r>
      <w:r>
        <w:rPr>
          <w:rFonts w:hint="eastAsia" w:ascii="宋体" w:hAnsi="宋体" w:eastAsia="宋体" w:cs="宋体"/>
          <w:sz w:val="24"/>
          <w:szCs w:val="24"/>
          <w:lang w:eastAsia="zh-CN"/>
        </w:rPr>
        <w:t>制定</w:t>
      </w:r>
      <w:r>
        <w:rPr>
          <w:rFonts w:hint="eastAsia" w:ascii="宋体" w:hAnsi="宋体" w:eastAsia="宋体" w:cs="宋体"/>
          <w:sz w:val="24"/>
          <w:szCs w:val="24"/>
        </w:rPr>
        <w:t>专门针对有色金属冶炼熔体成分在线检测技术要求的相关行业标准，本标准制定发布，能够补充有色金属行业</w:t>
      </w:r>
      <w:r>
        <w:rPr>
          <w:rFonts w:hint="eastAsia" w:ascii="宋体" w:hAnsi="宋体" w:eastAsia="宋体" w:cs="宋体"/>
          <w:sz w:val="24"/>
          <w:szCs w:val="24"/>
          <w:lang w:val="en-US" w:eastAsia="zh-CN"/>
        </w:rPr>
        <w:t>成分</w:t>
      </w:r>
      <w:r>
        <w:rPr>
          <w:rFonts w:hint="eastAsia" w:ascii="宋体" w:hAnsi="宋体" w:eastAsia="宋体" w:cs="宋体"/>
          <w:sz w:val="24"/>
          <w:szCs w:val="24"/>
        </w:rPr>
        <w:t>智能</w:t>
      </w:r>
      <w:r>
        <w:rPr>
          <w:rFonts w:hint="eastAsia" w:ascii="宋体" w:hAnsi="宋体" w:eastAsia="宋体" w:cs="宋体"/>
          <w:sz w:val="24"/>
          <w:szCs w:val="24"/>
          <w:lang w:val="en-US" w:eastAsia="zh-CN"/>
        </w:rPr>
        <w:t>检测相关</w:t>
      </w:r>
      <w:r>
        <w:rPr>
          <w:rFonts w:hint="eastAsia" w:ascii="宋体" w:hAnsi="宋体" w:eastAsia="宋体" w:cs="宋体"/>
          <w:sz w:val="24"/>
          <w:szCs w:val="24"/>
        </w:rPr>
        <w:t xml:space="preserve">技术标准的缺失，形成完整的有色金属行业标准体系，助力实现基于实时成分指导工艺调控的闭环控制，推动有色金属行业从“经验驱动”向“数据驱动”转型，助力实现《中国制造2025》中关键工序智能化率超过60%的目标。 </w:t>
      </w:r>
    </w:p>
    <w:p w14:paraId="3D125491">
      <w:pPr>
        <w:keepNext/>
        <w:keepLines/>
        <w:spacing w:line="360" w:lineRule="auto"/>
        <w:outlineLvl w:val="0"/>
        <w:rPr>
          <w:rFonts w:hint="eastAsia" w:ascii="宋体" w:hAnsi="宋体" w:eastAsia="宋体" w:cs="宋体"/>
          <w:b/>
          <w:kern w:val="44"/>
          <w:sz w:val="24"/>
          <w:szCs w:val="24"/>
        </w:rPr>
      </w:pPr>
      <w:bookmarkStart w:id="16" w:name="_Toc7451"/>
      <w:r>
        <w:rPr>
          <w:rFonts w:hint="eastAsia" w:ascii="宋体" w:hAnsi="宋体" w:eastAsia="宋体" w:cs="宋体"/>
          <w:b/>
          <w:kern w:val="44"/>
          <w:sz w:val="24"/>
          <w:szCs w:val="24"/>
        </w:rPr>
        <w:t>十、贯彻标准的要求和措施建议</w:t>
      </w:r>
      <w:bookmarkEnd w:id="16"/>
    </w:p>
    <w:p w14:paraId="03430B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本标准的技术内容是推荐性的，建议标准发布后6个月实施，建议本标准由各级人民政府的工业和信息化行政主管部门负责监督实施。</w:t>
      </w:r>
    </w:p>
    <w:p w14:paraId="3E166863">
      <w:pPr>
        <w:keepNext/>
        <w:keepLines/>
        <w:spacing w:line="360" w:lineRule="auto"/>
        <w:outlineLvl w:val="0"/>
        <w:rPr>
          <w:rFonts w:hint="eastAsia" w:ascii="宋体" w:hAnsi="宋体" w:eastAsia="宋体" w:cs="宋体"/>
          <w:b/>
          <w:kern w:val="44"/>
          <w:sz w:val="24"/>
          <w:szCs w:val="24"/>
        </w:rPr>
      </w:pPr>
      <w:bookmarkStart w:id="17" w:name="_Toc14322"/>
      <w:r>
        <w:rPr>
          <w:rFonts w:hint="eastAsia" w:ascii="宋体" w:hAnsi="宋体" w:eastAsia="宋体" w:cs="宋体"/>
          <w:b/>
          <w:kern w:val="44"/>
          <w:sz w:val="24"/>
          <w:szCs w:val="24"/>
        </w:rPr>
        <w:t>十一、设立标准实施过渡期的理由：根据国家经济、技术政策需要</w:t>
      </w:r>
      <w:r>
        <w:rPr>
          <w:rFonts w:hint="eastAsia" w:ascii="宋体" w:hAnsi="宋体" w:eastAsia="宋体" w:cs="宋体"/>
          <w:b/>
          <w:kern w:val="44"/>
          <w:sz w:val="24"/>
          <w:szCs w:val="24"/>
          <w:lang w:eastAsia="zh-CN"/>
        </w:rPr>
        <w:t>，以及该</w:t>
      </w:r>
      <w:r>
        <w:rPr>
          <w:rFonts w:hint="eastAsia" w:ascii="宋体" w:hAnsi="宋体" w:eastAsia="宋体" w:cs="宋体"/>
          <w:b/>
          <w:kern w:val="44"/>
          <w:sz w:val="24"/>
          <w:szCs w:val="24"/>
        </w:rPr>
        <w:t>标准涉及的产品的技术改造难度等因素，提出</w:t>
      </w:r>
      <w:r>
        <w:rPr>
          <w:rFonts w:hint="eastAsia" w:ascii="宋体" w:hAnsi="宋体" w:eastAsia="宋体" w:cs="宋体"/>
          <w:b/>
          <w:kern w:val="44"/>
          <w:sz w:val="24"/>
          <w:szCs w:val="24"/>
          <w:lang w:eastAsia="zh-CN"/>
        </w:rPr>
        <w:t>标准</w:t>
      </w:r>
      <w:r>
        <w:rPr>
          <w:rFonts w:hint="eastAsia" w:ascii="宋体" w:hAnsi="宋体" w:eastAsia="宋体" w:cs="宋体"/>
          <w:b/>
          <w:kern w:val="44"/>
          <w:sz w:val="24"/>
          <w:szCs w:val="24"/>
        </w:rPr>
        <w:t>实施日期的建议。（仅适用于强制性标准）</w:t>
      </w:r>
      <w:bookmarkEnd w:id="17"/>
    </w:p>
    <w:p w14:paraId="7CAF73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本标准建议自发布起6个月内实施</w:t>
      </w:r>
      <w:r>
        <w:rPr>
          <w:rFonts w:hint="eastAsia" w:ascii="宋体" w:hAnsi="宋体" w:eastAsia="宋体" w:cs="宋体"/>
          <w:sz w:val="24"/>
          <w:szCs w:val="24"/>
        </w:rPr>
        <w:t>。</w:t>
      </w:r>
    </w:p>
    <w:p w14:paraId="71F8C97E">
      <w:pPr>
        <w:keepNext/>
        <w:keepLines/>
        <w:spacing w:line="360" w:lineRule="auto"/>
        <w:outlineLvl w:val="0"/>
        <w:rPr>
          <w:rFonts w:hint="eastAsia" w:ascii="宋体" w:hAnsi="宋体" w:eastAsia="宋体" w:cs="宋体"/>
          <w:b/>
          <w:kern w:val="44"/>
          <w:sz w:val="24"/>
          <w:szCs w:val="24"/>
        </w:rPr>
      </w:pPr>
      <w:bookmarkStart w:id="18" w:name="_Toc4725"/>
      <w:r>
        <w:rPr>
          <w:rFonts w:hint="eastAsia" w:ascii="宋体" w:hAnsi="宋体" w:eastAsia="宋体" w:cs="宋体"/>
          <w:b/>
          <w:kern w:val="44"/>
          <w:sz w:val="24"/>
          <w:szCs w:val="24"/>
        </w:rPr>
        <w:t>十二、废止现行有关标准的建议</w:t>
      </w:r>
      <w:bookmarkEnd w:id="18"/>
    </w:p>
    <w:p w14:paraId="7056D5E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无。</w:t>
      </w:r>
    </w:p>
    <w:p w14:paraId="4E58740E">
      <w:pPr>
        <w:keepNext/>
        <w:keepLines/>
        <w:spacing w:line="360" w:lineRule="auto"/>
        <w:outlineLvl w:val="0"/>
        <w:rPr>
          <w:rFonts w:hint="eastAsia" w:ascii="宋体" w:hAnsi="宋体" w:eastAsia="宋体" w:cs="宋体"/>
          <w:b/>
          <w:kern w:val="44"/>
          <w:sz w:val="24"/>
          <w:szCs w:val="24"/>
        </w:rPr>
      </w:pPr>
      <w:bookmarkStart w:id="19" w:name="_Toc1987"/>
      <w:r>
        <w:rPr>
          <w:rFonts w:hint="eastAsia" w:ascii="宋体" w:hAnsi="宋体" w:eastAsia="宋体" w:cs="宋体"/>
          <w:b/>
          <w:kern w:val="44"/>
          <w:sz w:val="24"/>
          <w:szCs w:val="24"/>
        </w:rPr>
        <w:t>十三、其他主要内容的解释和其他需要说明的事项。如系列标准或划分部分制定的标准的编号建议，参考文献目录等。</w:t>
      </w:r>
      <w:bookmarkEnd w:id="19"/>
    </w:p>
    <w:p w14:paraId="32690A0A">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无。</w:t>
      </w:r>
    </w:p>
    <w:p w14:paraId="02B2EA05">
      <w:pPr>
        <w:spacing w:line="360" w:lineRule="auto"/>
        <w:ind w:firstLine="480" w:firstLineChars="200"/>
        <w:jc w:val="right"/>
        <w:rPr>
          <w:rFonts w:hint="eastAsia" w:ascii="宋体" w:hAnsi="宋体" w:eastAsia="宋体" w:cs="宋体"/>
          <w:sz w:val="24"/>
          <w:szCs w:val="24"/>
        </w:rPr>
      </w:pPr>
    </w:p>
    <w:p w14:paraId="24C860C4">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《有色金属冶炼熔体成分在线检测技术要求》标准编制组</w:t>
      </w:r>
    </w:p>
    <w:p w14:paraId="3634F35B">
      <w:pPr>
        <w:spacing w:line="360" w:lineRule="auto"/>
        <w:ind w:firstLine="5102" w:firstLineChars="2126"/>
        <w:jc w:val="right"/>
        <w:rPr>
          <w:rFonts w:ascii="Times New Roman" w:hAnsi="Times New Roman" w:eastAsia="宋体" w:cs="Times New Roman"/>
          <w:sz w:val="24"/>
          <w:szCs w:val="21"/>
        </w:rPr>
      </w:pPr>
      <w:bookmarkStart w:id="20" w:name="_Toc5605_WPSOffice_Level1"/>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bookmarkEnd w:id="20"/>
    </w:p>
    <w:p w14:paraId="2868C4B9"/>
    <w:sectPr>
      <w:footerReference r:id="rId10"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3E6E7">
    <w:pPr>
      <w:pStyle w:val="7"/>
      <w:ind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D33FCD">
                          <w:pPr>
                            <w:pStyle w:val="7"/>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7D33FCD">
                    <w:pPr>
                      <w:pStyle w:val="7"/>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0A4C8">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83DBC">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7005061"/>
    </w:sdtPr>
    <w:sdtContent>
      <w:p w14:paraId="78432048">
        <w:pPr>
          <w:pStyle w:val="7"/>
          <w:ind w:firstLine="360"/>
          <w:jc w:val="center"/>
        </w:pPr>
        <w:r>
          <w:fldChar w:fldCharType="begin"/>
        </w:r>
        <w:r>
          <w:instrText xml:space="preserve">PAGE   \* MERGEFORMAT</w:instrText>
        </w:r>
        <w:r>
          <w:fldChar w:fldCharType="separate"/>
        </w:r>
        <w:r>
          <w:rPr>
            <w:lang w:val="zh-CN"/>
          </w:rPr>
          <w:t>i</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2485083"/>
    </w:sdtPr>
    <w:sdtContent>
      <w:p w14:paraId="52B0C3F7">
        <w:pPr>
          <w:pStyle w:val="7"/>
          <w:ind w:firstLine="360"/>
          <w:jc w:val="center"/>
        </w:pPr>
        <w:r>
          <w:fldChar w:fldCharType="begin"/>
        </w:r>
        <w:r>
          <w:instrText xml:space="preserve">PAGE   \* MERGEFORMAT</w:instrText>
        </w:r>
        <w:r>
          <w:fldChar w:fldCharType="separate"/>
        </w:r>
        <w:r>
          <w:rPr>
            <w:lang w:val="zh-CN"/>
          </w:rPr>
          <w:t>16</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A8611">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8CFB3">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D51A8">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19"/>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CAE7A11"/>
    <w:multiLevelType w:val="multilevel"/>
    <w:tmpl w:val="4CAE7A11"/>
    <w:lvl w:ilvl="0" w:tentative="0">
      <w:start w:val="1"/>
      <w:numFmt w:val="decimal"/>
      <w:pStyle w:val="29"/>
      <w:suff w:val="space"/>
      <w:lvlText w:val="%1 "/>
      <w:lvlJc w:val="left"/>
      <w:pPr>
        <w:ind w:left="0" w:firstLine="0"/>
      </w:pPr>
      <w:rPr>
        <w:rFonts w:hint="eastAsia"/>
      </w:rPr>
    </w:lvl>
    <w:lvl w:ilvl="1" w:tentative="0">
      <w:start w:val="1"/>
      <w:numFmt w:val="decimal"/>
      <w:pStyle w:val="27"/>
      <w:suff w:val="space"/>
      <w:lvlText w:val="%1.%2 "/>
      <w:lvlJc w:val="left"/>
      <w:pPr>
        <w:ind w:left="3120" w:firstLine="0"/>
      </w:pPr>
      <w:rPr>
        <w:rFonts w:hint="eastAsia"/>
      </w:rPr>
    </w:lvl>
    <w:lvl w:ilvl="2" w:tentative="0">
      <w:start w:val="1"/>
      <w:numFmt w:val="decimal"/>
      <w:pStyle w:val="30"/>
      <w:suff w:val="space"/>
      <w:lvlText w:val="%1.%2.%3 "/>
      <w:lvlJc w:val="left"/>
      <w:pPr>
        <w:ind w:left="0" w:firstLine="0"/>
      </w:pPr>
      <w:rPr>
        <w:rFonts w:hint="eastAsia"/>
      </w:rPr>
    </w:lvl>
    <w:lvl w:ilvl="3" w:tentative="0">
      <w:start w:val="1"/>
      <w:numFmt w:val="decimal"/>
      <w:pStyle w:val="31"/>
      <w:suff w:val="space"/>
      <w:lvlText w:val="%1.%2.%3.%4 "/>
      <w:lvlJc w:val="left"/>
      <w:pPr>
        <w:ind w:left="0" w:firstLine="0"/>
      </w:pPr>
      <w:rPr>
        <w:rFonts w:hint="eastAsia"/>
        <w:b w:val="0"/>
      </w:rPr>
    </w:lvl>
    <w:lvl w:ilvl="4" w:tentative="0">
      <w:start w:val="1"/>
      <w:numFmt w:val="decimal"/>
      <w:pStyle w:val="32"/>
      <w:suff w:val="space"/>
      <w:lvlText w:val="%1.%2.%3.%4.%5 "/>
      <w:lvlJc w:val="left"/>
      <w:pPr>
        <w:ind w:left="0" w:firstLine="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7C2AF5"/>
    <w:multiLevelType w:val="multilevel"/>
    <w:tmpl w:val="557C2AF5"/>
    <w:lvl w:ilvl="0" w:tentative="0">
      <w:start w:val="1"/>
      <w:numFmt w:val="decimal"/>
      <w:pStyle w:val="33"/>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DAA"/>
    <w:rsid w:val="000011A6"/>
    <w:rsid w:val="000326DA"/>
    <w:rsid w:val="00051751"/>
    <w:rsid w:val="00081021"/>
    <w:rsid w:val="00083682"/>
    <w:rsid w:val="000872F2"/>
    <w:rsid w:val="00094D53"/>
    <w:rsid w:val="000A66E4"/>
    <w:rsid w:val="000E36A7"/>
    <w:rsid w:val="000F0D27"/>
    <w:rsid w:val="000F46F2"/>
    <w:rsid w:val="00103285"/>
    <w:rsid w:val="00121CC3"/>
    <w:rsid w:val="001235B7"/>
    <w:rsid w:val="00125277"/>
    <w:rsid w:val="00130666"/>
    <w:rsid w:val="00140344"/>
    <w:rsid w:val="001700B6"/>
    <w:rsid w:val="00177948"/>
    <w:rsid w:val="00182043"/>
    <w:rsid w:val="001900C2"/>
    <w:rsid w:val="001B1262"/>
    <w:rsid w:val="001B78A6"/>
    <w:rsid w:val="001C3627"/>
    <w:rsid w:val="001E40D3"/>
    <w:rsid w:val="00206FEC"/>
    <w:rsid w:val="00227BE3"/>
    <w:rsid w:val="002425D3"/>
    <w:rsid w:val="00243FCB"/>
    <w:rsid w:val="00257707"/>
    <w:rsid w:val="00272B17"/>
    <w:rsid w:val="00277CC7"/>
    <w:rsid w:val="00281151"/>
    <w:rsid w:val="002955B2"/>
    <w:rsid w:val="0029623D"/>
    <w:rsid w:val="002B6DAA"/>
    <w:rsid w:val="002C1609"/>
    <w:rsid w:val="002C306C"/>
    <w:rsid w:val="002D338D"/>
    <w:rsid w:val="002D35A9"/>
    <w:rsid w:val="002E0089"/>
    <w:rsid w:val="002E4579"/>
    <w:rsid w:val="002F0540"/>
    <w:rsid w:val="002F1A8D"/>
    <w:rsid w:val="002F2539"/>
    <w:rsid w:val="002F47A9"/>
    <w:rsid w:val="0031598A"/>
    <w:rsid w:val="00381284"/>
    <w:rsid w:val="003A42EF"/>
    <w:rsid w:val="003A5D66"/>
    <w:rsid w:val="003B3723"/>
    <w:rsid w:val="003B4F67"/>
    <w:rsid w:val="003C34F6"/>
    <w:rsid w:val="003E20A7"/>
    <w:rsid w:val="003E3872"/>
    <w:rsid w:val="003F6B29"/>
    <w:rsid w:val="004030FF"/>
    <w:rsid w:val="00403B20"/>
    <w:rsid w:val="004206B3"/>
    <w:rsid w:val="00475ACD"/>
    <w:rsid w:val="004805C6"/>
    <w:rsid w:val="004D5DCA"/>
    <w:rsid w:val="004E42D0"/>
    <w:rsid w:val="004E4741"/>
    <w:rsid w:val="004F51C5"/>
    <w:rsid w:val="00500407"/>
    <w:rsid w:val="005066A0"/>
    <w:rsid w:val="00516A4C"/>
    <w:rsid w:val="005439C2"/>
    <w:rsid w:val="005451EB"/>
    <w:rsid w:val="005464AE"/>
    <w:rsid w:val="00551C53"/>
    <w:rsid w:val="0055200A"/>
    <w:rsid w:val="00561039"/>
    <w:rsid w:val="00582C2C"/>
    <w:rsid w:val="005867B6"/>
    <w:rsid w:val="005872ED"/>
    <w:rsid w:val="00587B61"/>
    <w:rsid w:val="00595E84"/>
    <w:rsid w:val="005A0A21"/>
    <w:rsid w:val="005B1B73"/>
    <w:rsid w:val="005B52B7"/>
    <w:rsid w:val="005C6A64"/>
    <w:rsid w:val="005C7C66"/>
    <w:rsid w:val="005F4C37"/>
    <w:rsid w:val="005F6D8C"/>
    <w:rsid w:val="00602ED9"/>
    <w:rsid w:val="00604AED"/>
    <w:rsid w:val="0063144C"/>
    <w:rsid w:val="006623BD"/>
    <w:rsid w:val="006633C5"/>
    <w:rsid w:val="006717A0"/>
    <w:rsid w:val="00685872"/>
    <w:rsid w:val="006A0348"/>
    <w:rsid w:val="006D23C2"/>
    <w:rsid w:val="006D2D2C"/>
    <w:rsid w:val="006D5159"/>
    <w:rsid w:val="006F3F77"/>
    <w:rsid w:val="00700786"/>
    <w:rsid w:val="00704F24"/>
    <w:rsid w:val="00715727"/>
    <w:rsid w:val="00746FAD"/>
    <w:rsid w:val="00754AFD"/>
    <w:rsid w:val="0076678E"/>
    <w:rsid w:val="007748A9"/>
    <w:rsid w:val="007B3AF5"/>
    <w:rsid w:val="007C7B97"/>
    <w:rsid w:val="007D506B"/>
    <w:rsid w:val="007E36E2"/>
    <w:rsid w:val="008012F7"/>
    <w:rsid w:val="00803EB6"/>
    <w:rsid w:val="00811668"/>
    <w:rsid w:val="008259AE"/>
    <w:rsid w:val="0083218E"/>
    <w:rsid w:val="008471F9"/>
    <w:rsid w:val="008619F4"/>
    <w:rsid w:val="0086402D"/>
    <w:rsid w:val="00864368"/>
    <w:rsid w:val="00870D34"/>
    <w:rsid w:val="008741C4"/>
    <w:rsid w:val="00896D4E"/>
    <w:rsid w:val="008C116F"/>
    <w:rsid w:val="008D12C7"/>
    <w:rsid w:val="008D63AB"/>
    <w:rsid w:val="008D70E0"/>
    <w:rsid w:val="00910C70"/>
    <w:rsid w:val="00912132"/>
    <w:rsid w:val="009160A2"/>
    <w:rsid w:val="00941858"/>
    <w:rsid w:val="009466B4"/>
    <w:rsid w:val="00953D98"/>
    <w:rsid w:val="00962B6C"/>
    <w:rsid w:val="00987198"/>
    <w:rsid w:val="00987625"/>
    <w:rsid w:val="009B647B"/>
    <w:rsid w:val="009B7DC5"/>
    <w:rsid w:val="009D7375"/>
    <w:rsid w:val="009E06C1"/>
    <w:rsid w:val="009F3A23"/>
    <w:rsid w:val="00A05E71"/>
    <w:rsid w:val="00A078D2"/>
    <w:rsid w:val="00A12FF9"/>
    <w:rsid w:val="00A2166D"/>
    <w:rsid w:val="00A2397E"/>
    <w:rsid w:val="00A25057"/>
    <w:rsid w:val="00A52118"/>
    <w:rsid w:val="00A60E16"/>
    <w:rsid w:val="00AB2592"/>
    <w:rsid w:val="00AF720A"/>
    <w:rsid w:val="00B25D83"/>
    <w:rsid w:val="00B335E7"/>
    <w:rsid w:val="00B43255"/>
    <w:rsid w:val="00B605CC"/>
    <w:rsid w:val="00B66F50"/>
    <w:rsid w:val="00BB2411"/>
    <w:rsid w:val="00BD5CF1"/>
    <w:rsid w:val="00C05ED5"/>
    <w:rsid w:val="00C05F6E"/>
    <w:rsid w:val="00C363DB"/>
    <w:rsid w:val="00C674BE"/>
    <w:rsid w:val="00C944A0"/>
    <w:rsid w:val="00CC5FB5"/>
    <w:rsid w:val="00CE33BA"/>
    <w:rsid w:val="00CF50E9"/>
    <w:rsid w:val="00D265DE"/>
    <w:rsid w:val="00D46407"/>
    <w:rsid w:val="00D475EE"/>
    <w:rsid w:val="00D57824"/>
    <w:rsid w:val="00D624E7"/>
    <w:rsid w:val="00D62C47"/>
    <w:rsid w:val="00D8091C"/>
    <w:rsid w:val="00D864C3"/>
    <w:rsid w:val="00DB2FB9"/>
    <w:rsid w:val="00DB3A7E"/>
    <w:rsid w:val="00DE6D38"/>
    <w:rsid w:val="00E0109D"/>
    <w:rsid w:val="00E23ADE"/>
    <w:rsid w:val="00E26AF6"/>
    <w:rsid w:val="00E3397F"/>
    <w:rsid w:val="00E36E3C"/>
    <w:rsid w:val="00E502AC"/>
    <w:rsid w:val="00E578DE"/>
    <w:rsid w:val="00E6179E"/>
    <w:rsid w:val="00E629FD"/>
    <w:rsid w:val="00E75ECA"/>
    <w:rsid w:val="00E97C5E"/>
    <w:rsid w:val="00EA6942"/>
    <w:rsid w:val="00EA6DE4"/>
    <w:rsid w:val="00EC2351"/>
    <w:rsid w:val="00EE46FE"/>
    <w:rsid w:val="00EE4F44"/>
    <w:rsid w:val="00F01947"/>
    <w:rsid w:val="00F01E52"/>
    <w:rsid w:val="00F067F8"/>
    <w:rsid w:val="00F10997"/>
    <w:rsid w:val="00F14BCF"/>
    <w:rsid w:val="00F25B60"/>
    <w:rsid w:val="00F35423"/>
    <w:rsid w:val="00F35D5E"/>
    <w:rsid w:val="00F864FA"/>
    <w:rsid w:val="00FA040E"/>
    <w:rsid w:val="00FC616E"/>
    <w:rsid w:val="00FC6D54"/>
    <w:rsid w:val="00FD1A95"/>
    <w:rsid w:val="032A1114"/>
    <w:rsid w:val="04AC7907"/>
    <w:rsid w:val="06AC1E40"/>
    <w:rsid w:val="103250DB"/>
    <w:rsid w:val="13400886"/>
    <w:rsid w:val="140E5EE8"/>
    <w:rsid w:val="20F052F3"/>
    <w:rsid w:val="310D14FA"/>
    <w:rsid w:val="316C293A"/>
    <w:rsid w:val="346E6803"/>
    <w:rsid w:val="34FC399A"/>
    <w:rsid w:val="36B81FB7"/>
    <w:rsid w:val="3DE74F30"/>
    <w:rsid w:val="3F8D4B70"/>
    <w:rsid w:val="41434B73"/>
    <w:rsid w:val="49EF5898"/>
    <w:rsid w:val="4AB173BC"/>
    <w:rsid w:val="4B7276BC"/>
    <w:rsid w:val="4E4B0BB5"/>
    <w:rsid w:val="546E385E"/>
    <w:rsid w:val="5E362B32"/>
    <w:rsid w:val="636D39E2"/>
    <w:rsid w:val="657D1B52"/>
    <w:rsid w:val="6B0A20DA"/>
    <w:rsid w:val="6BBC6F66"/>
    <w:rsid w:val="6BE96444"/>
    <w:rsid w:val="6E070B53"/>
    <w:rsid w:val="7242648D"/>
    <w:rsid w:val="7B0D52CF"/>
    <w:rsid w:val="7CE50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c 7"/>
    <w:next w:val="1"/>
    <w:qFormat/>
    <w:uiPriority w:val="0"/>
    <w:pPr>
      <w:widowControl w:val="0"/>
      <w:autoSpaceDE/>
      <w:autoSpaceDN/>
      <w:spacing w:before="0" w:after="0" w:line="240" w:lineRule="auto"/>
      <w:ind w:left="2520" w:firstLine="5632"/>
      <w:jc w:val="both"/>
    </w:pPr>
    <w:rPr>
      <w:rFonts w:ascii="Times New Roman" w:hAnsi="Times New Roman" w:eastAsia="宋体" w:cs="Times New Roman"/>
      <w:kern w:val="2"/>
      <w:sz w:val="21"/>
      <w:szCs w:val="24"/>
      <w:lang w:val="en-US" w:eastAsia="zh-CN" w:bidi="ar-SA"/>
    </w:rPr>
  </w:style>
  <w:style w:type="paragraph" w:styleId="3">
    <w:name w:val="toa heading"/>
    <w:basedOn w:val="1"/>
    <w:next w:val="1"/>
    <w:qFormat/>
    <w:uiPriority w:val="0"/>
    <w:pPr>
      <w:spacing w:before="120"/>
    </w:pPr>
    <w:rPr>
      <w:rFonts w:ascii="Arial" w:hAnsi="Arial"/>
      <w:sz w:val="24"/>
    </w:rPr>
  </w:style>
  <w:style w:type="paragraph" w:styleId="4">
    <w:name w:val="Body Text"/>
    <w:basedOn w:val="1"/>
    <w:unhideWhenUsed/>
    <w:qFormat/>
    <w:uiPriority w:val="99"/>
    <w:pPr>
      <w:spacing w:after="120"/>
    </w:pPr>
    <w:rPr>
      <w:rFonts w:eastAsia="仿宋_GB2312"/>
    </w:rPr>
  </w:style>
  <w:style w:type="paragraph" w:styleId="5">
    <w:name w:val="Date"/>
    <w:basedOn w:val="1"/>
    <w:next w:val="1"/>
    <w:link w:val="22"/>
    <w:semiHidden/>
    <w:unhideWhenUsed/>
    <w:qFormat/>
    <w:uiPriority w:val="99"/>
    <w:pPr>
      <w:ind w:left="100" w:leftChars="2500"/>
    </w:pPr>
  </w:style>
  <w:style w:type="paragraph" w:styleId="6">
    <w:name w:val="Balloon Text"/>
    <w:basedOn w:val="1"/>
    <w:link w:val="23"/>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ind w:firstLine="200" w:firstLineChars="200"/>
      <w:jc w:val="left"/>
    </w:pPr>
    <w:rPr>
      <w:rFonts w:ascii="Times New Roman" w:hAnsi="Times New Roman" w:eastAsia="宋体"/>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ind w:firstLine="200" w:firstLineChars="200"/>
      <w:jc w:val="center"/>
    </w:pPr>
    <w:rPr>
      <w:rFonts w:ascii="Times New Roman" w:hAnsi="Times New Roman" w:eastAsia="宋体"/>
      <w:sz w:val="18"/>
      <w:szCs w:val="18"/>
    </w:rPr>
  </w:style>
  <w:style w:type="paragraph" w:styleId="9">
    <w:name w:val="toc 1"/>
    <w:basedOn w:val="1"/>
    <w:next w:val="1"/>
    <w:autoRedefine/>
    <w:unhideWhenUsed/>
    <w:qFormat/>
    <w:uiPriority w:val="39"/>
  </w:style>
  <w:style w:type="paragraph" w:styleId="10">
    <w:name w:val="toc 2"/>
    <w:basedOn w:val="1"/>
    <w:next w:val="1"/>
    <w:autoRedefine/>
    <w:unhideWhenUsed/>
    <w:qFormat/>
    <w:uiPriority w:val="39"/>
    <w:pPr>
      <w:ind w:left="420" w:leftChars="200"/>
    </w:p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Body Text First Indent 2"/>
    <w:next w:val="2"/>
    <w:qFormat/>
    <w:uiPriority w:val="0"/>
    <w:pPr>
      <w:widowControl w:val="0"/>
      <w:spacing w:after="120"/>
      <w:ind w:left="200" w:leftChars="200" w:firstLine="5796"/>
      <w:jc w:val="both"/>
    </w:pPr>
    <w:rPr>
      <w:rFonts w:ascii="Times New Roman" w:hAnsi="Times New Roman" w:eastAsia="宋体" w:cs="Times New Roman"/>
      <w:kern w:val="2"/>
      <w:sz w:val="21"/>
      <w:szCs w:val="24"/>
      <w:lang w:val="en-US" w:eastAsia="zh-CN" w:bidi="ar-SA"/>
    </w:r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页脚 字符"/>
    <w:basedOn w:val="14"/>
    <w:link w:val="7"/>
    <w:qFormat/>
    <w:uiPriority w:val="99"/>
    <w:rPr>
      <w:rFonts w:ascii="Times New Roman" w:hAnsi="Times New Roman" w:eastAsia="宋体"/>
      <w:sz w:val="18"/>
      <w:szCs w:val="18"/>
    </w:rPr>
  </w:style>
  <w:style w:type="character" w:customStyle="1" w:styleId="17">
    <w:name w:val="页眉 字符"/>
    <w:basedOn w:val="14"/>
    <w:link w:val="8"/>
    <w:qFormat/>
    <w:uiPriority w:val="0"/>
    <w:rPr>
      <w:rFonts w:ascii="Times New Roman" w:hAnsi="Times New Roman" w:eastAsia="宋体"/>
      <w:sz w:val="18"/>
      <w:szCs w:val="18"/>
    </w:rPr>
  </w:style>
  <w:style w:type="paragraph" w:customStyle="1" w:styleId="18">
    <w:name w:val="段"/>
    <w:link w:val="20"/>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9">
    <w:name w:val="章标题"/>
    <w:next w:val="18"/>
    <w:qFormat/>
    <w:uiPriority w:val="0"/>
    <w:pPr>
      <w:numPr>
        <w:ilvl w:val="0"/>
        <w:numId w:val="1"/>
      </w:numPr>
      <w:spacing w:before="50" w:beforeLines="50" w:after="50" w:afterLines="50"/>
      <w:jc w:val="both"/>
      <w:outlineLvl w:val="1"/>
    </w:pPr>
    <w:rPr>
      <w:rFonts w:ascii="黑体" w:hAnsi="Times New Roman" w:eastAsia="黑体" w:cs="Times New Roman"/>
      <w:kern w:val="0"/>
      <w:sz w:val="21"/>
      <w:szCs w:val="20"/>
      <w:lang w:val="en-US" w:eastAsia="zh-CN" w:bidi="ar-SA"/>
    </w:rPr>
  </w:style>
  <w:style w:type="character" w:customStyle="1" w:styleId="20">
    <w:name w:val="段 Char"/>
    <w:link w:val="18"/>
    <w:qFormat/>
    <w:uiPriority w:val="0"/>
    <w:rPr>
      <w:rFonts w:ascii="宋体" w:hAnsi="Times New Roman" w:eastAsia="宋体" w:cs="Times New Roman"/>
      <w:kern w:val="0"/>
      <w:szCs w:val="20"/>
    </w:rPr>
  </w:style>
  <w:style w:type="paragraph" w:customStyle="1" w:styleId="21">
    <w:name w:val="列出段落1"/>
    <w:basedOn w:val="1"/>
    <w:qFormat/>
    <w:uiPriority w:val="34"/>
    <w:pPr>
      <w:ind w:firstLine="420" w:firstLineChars="200"/>
    </w:pPr>
    <w:rPr>
      <w:rFonts w:ascii="Calibri" w:hAnsi="Calibri" w:eastAsia="宋体" w:cs="Times New Roman"/>
    </w:rPr>
  </w:style>
  <w:style w:type="character" w:customStyle="1" w:styleId="22">
    <w:name w:val="日期 字符"/>
    <w:basedOn w:val="14"/>
    <w:link w:val="5"/>
    <w:semiHidden/>
    <w:qFormat/>
    <w:uiPriority w:val="99"/>
  </w:style>
  <w:style w:type="character" w:customStyle="1" w:styleId="23">
    <w:name w:val="批注框文本 字符"/>
    <w:basedOn w:val="14"/>
    <w:link w:val="6"/>
    <w:semiHidden/>
    <w:qFormat/>
    <w:uiPriority w:val="99"/>
    <w:rPr>
      <w:sz w:val="18"/>
      <w:szCs w:val="18"/>
    </w:rPr>
  </w:style>
  <w:style w:type="paragraph" w:styleId="24">
    <w:name w:val="List Paragraph"/>
    <w:basedOn w:val="1"/>
    <w:qFormat/>
    <w:uiPriority w:val="34"/>
    <w:pPr>
      <w:ind w:firstLine="420" w:firstLineChars="200"/>
    </w:pPr>
  </w:style>
  <w:style w:type="paragraph" w:customStyle="1" w:styleId="25">
    <w:name w:val="S 正文1"/>
    <w:basedOn w:val="1"/>
    <w:link w:val="26"/>
    <w:qFormat/>
    <w:uiPriority w:val="0"/>
    <w:pPr>
      <w:spacing w:line="300" w:lineRule="auto"/>
      <w:ind w:firstLine="200" w:firstLineChars="200"/>
    </w:pPr>
    <w:rPr>
      <w:rFonts w:ascii="Times New Roman" w:hAnsi="Times New Roman" w:eastAsia="宋体" w:cs="Times New Roman"/>
      <w:szCs w:val="21"/>
    </w:rPr>
  </w:style>
  <w:style w:type="character" w:customStyle="1" w:styleId="26">
    <w:name w:val="S 正文1 Char"/>
    <w:link w:val="25"/>
    <w:qFormat/>
    <w:uiPriority w:val="0"/>
    <w:rPr>
      <w:rFonts w:ascii="Times New Roman" w:hAnsi="Times New Roman" w:eastAsia="宋体" w:cs="Times New Roman"/>
      <w:szCs w:val="21"/>
    </w:rPr>
  </w:style>
  <w:style w:type="paragraph" w:customStyle="1" w:styleId="27">
    <w:name w:val="S 标题2"/>
    <w:basedOn w:val="1"/>
    <w:next w:val="1"/>
    <w:link w:val="28"/>
    <w:qFormat/>
    <w:uiPriority w:val="0"/>
    <w:pPr>
      <w:numPr>
        <w:ilvl w:val="1"/>
        <w:numId w:val="2"/>
      </w:numPr>
      <w:adjustRightInd w:val="0"/>
      <w:spacing w:before="50" w:beforeLines="50" w:after="50" w:afterLines="50" w:line="360" w:lineRule="auto"/>
      <w:outlineLvl w:val="1"/>
    </w:pPr>
    <w:rPr>
      <w:rFonts w:ascii="黑体" w:hAnsi="黑体" w:eastAsia="黑体" w:cs="Times New Roman"/>
      <w:bCs/>
    </w:rPr>
  </w:style>
  <w:style w:type="character" w:customStyle="1" w:styleId="28">
    <w:name w:val="S 标题2 Char"/>
    <w:link w:val="27"/>
    <w:qFormat/>
    <w:uiPriority w:val="0"/>
    <w:rPr>
      <w:rFonts w:ascii="黑体" w:hAnsi="黑体" w:eastAsia="黑体" w:cs="Times New Roman"/>
      <w:bCs/>
    </w:rPr>
  </w:style>
  <w:style w:type="paragraph" w:customStyle="1" w:styleId="29">
    <w:name w:val="S 标题1"/>
    <w:basedOn w:val="1"/>
    <w:next w:val="1"/>
    <w:qFormat/>
    <w:uiPriority w:val="0"/>
    <w:pPr>
      <w:numPr>
        <w:ilvl w:val="0"/>
        <w:numId w:val="2"/>
      </w:numPr>
      <w:adjustRightInd w:val="0"/>
      <w:snapToGrid w:val="0"/>
      <w:spacing w:before="240" w:after="240" w:line="360" w:lineRule="auto"/>
      <w:outlineLvl w:val="0"/>
    </w:pPr>
    <w:rPr>
      <w:rFonts w:ascii="黑体" w:hAnsi="黑体" w:eastAsia="黑体" w:cs="Times New Roman"/>
      <w:bCs/>
      <w:szCs w:val="24"/>
    </w:rPr>
  </w:style>
  <w:style w:type="paragraph" w:customStyle="1" w:styleId="30">
    <w:name w:val="S 标题3"/>
    <w:basedOn w:val="1"/>
    <w:next w:val="1"/>
    <w:qFormat/>
    <w:uiPriority w:val="0"/>
    <w:pPr>
      <w:numPr>
        <w:ilvl w:val="2"/>
        <w:numId w:val="2"/>
      </w:numPr>
      <w:adjustRightInd w:val="0"/>
      <w:snapToGrid w:val="0"/>
      <w:spacing w:before="50" w:beforeLines="50" w:after="50" w:afterLines="50" w:line="360" w:lineRule="auto"/>
      <w:outlineLvl w:val="2"/>
    </w:pPr>
    <w:rPr>
      <w:rFonts w:ascii="黑体" w:hAnsi="黑体" w:eastAsia="黑体" w:cs="Times New Roman"/>
      <w:bCs/>
    </w:rPr>
  </w:style>
  <w:style w:type="paragraph" w:customStyle="1" w:styleId="31">
    <w:name w:val="S 标题4"/>
    <w:basedOn w:val="1"/>
    <w:next w:val="1"/>
    <w:qFormat/>
    <w:uiPriority w:val="0"/>
    <w:pPr>
      <w:numPr>
        <w:ilvl w:val="3"/>
        <w:numId w:val="2"/>
      </w:numPr>
      <w:spacing w:line="360" w:lineRule="auto"/>
      <w:outlineLvl w:val="3"/>
    </w:pPr>
    <w:rPr>
      <w:rFonts w:ascii="黑体" w:hAnsi="黑体" w:eastAsia="黑体" w:cs="Times New Roman"/>
      <w:b/>
      <w:bCs/>
    </w:rPr>
  </w:style>
  <w:style w:type="paragraph" w:customStyle="1" w:styleId="32">
    <w:name w:val="S 标题5"/>
    <w:basedOn w:val="1"/>
    <w:next w:val="1"/>
    <w:qFormat/>
    <w:uiPriority w:val="0"/>
    <w:pPr>
      <w:numPr>
        <w:ilvl w:val="4"/>
        <w:numId w:val="2"/>
      </w:numPr>
      <w:spacing w:line="360" w:lineRule="auto"/>
      <w:outlineLvl w:val="4"/>
    </w:pPr>
    <w:rPr>
      <w:rFonts w:ascii="黑体" w:hAnsi="黑体" w:eastAsia="黑体" w:cs="Times New Roman"/>
      <w:b/>
      <w:bCs/>
    </w:rPr>
  </w:style>
  <w:style w:type="paragraph" w:customStyle="1" w:styleId="33">
    <w:name w:val="标准文件_正文图标题"/>
    <w:next w:val="34"/>
    <w:qFormat/>
    <w:uiPriority w:val="0"/>
    <w:pPr>
      <w:numPr>
        <w:ilvl w:val="0"/>
        <w:numId w:val="3"/>
      </w:numPr>
      <w:spacing w:before="50" w:beforeLines="50" w:after="50" w:afterLines="50"/>
      <w:jc w:val="center"/>
    </w:pPr>
    <w:rPr>
      <w:rFonts w:ascii="黑体" w:hAnsi="Times New Roman" w:eastAsia="黑体" w:cs="Times New Roman"/>
      <w:sz w:val="21"/>
      <w:lang w:val="en-US" w:eastAsia="zh-CN" w:bidi="ar-SA"/>
    </w:rPr>
  </w:style>
  <w:style w:type="paragraph" w:customStyle="1" w:styleId="3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af3e0443-1671-46b2-8104-7ade043299b4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2FD58E7D</paraID>
      <start>0</start>
      <end>2</end>
      <status>ignored</status>
      <modifiedWord/>
      <trackRevisions>false</trackRevisions>
    </reviewItem>
    <reviewItem>
      <errorID>2616ff08-ce0c-47f8-916b-b34cc51b96eb</errorID>
      <errorWord>-</errorWord>
      <group>L1_Format</group>
      <groupName>格式问题</groupName>
      <ability>L2_HalfPunc_CN</ability>
      <abilityName>全半角问题</abilityName>
      <candidateList>
        <item>－</item>
      </candidateList>
      <explain>文本全半角错误。</explain>
      <paraID>4D27EAD7</paraID>
      <start>69</start>
      <end>70</end>
      <status>ignored</status>
      <modifiedWord/>
      <trackRevisions>false</trackRevisions>
    </reviewItem>
    <reviewItem>
      <errorID>db8a7916-e49f-4eb5-8d19-54739d550d52</errorID>
      <errorWord>-</errorWord>
      <group>L1_Format</group>
      <groupName>格式问题</groupName>
      <ability>L2_HalfPunc_CN</ability>
      <abilityName>全半角问题</abilityName>
      <candidateList>
        <item>－</item>
      </candidateList>
      <explain>文本全半角错误。</explain>
      <paraID>4D27EAD7</paraID>
      <start>78</start>
      <end>79</end>
      <status>ignored</status>
      <modifiedWord/>
      <trackRevisions>false</trackRevisions>
    </reviewItem>
    <reviewItem>
      <errorID>49ce162f-1886-46bd-98f8-da93e6b8051c</errorID>
      <errorWord>-</errorWord>
      <group>L1_Format</group>
      <groupName>格式问题</groupName>
      <ability>L2_HalfPunc_CN</ability>
      <abilityName>全半角问题</abilityName>
      <candidateList>
        <item>－</item>
      </candidateList>
      <explain>文本全半角错误。</explain>
      <paraID>4D27EAD7</paraID>
      <start>98</start>
      <end>99</end>
      <status>ignored</status>
      <modifiedWord/>
      <trackRevisions>false</trackRevisions>
    </reviewItem>
    <reviewItem>
      <errorID>9fb9ba7f-204d-4e17-a11f-b1c047ac948a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6DF40DF9</paraID>
      <start>0</start>
      <end>2</end>
      <status>ignored</status>
      <modifiedWord/>
      <trackRevisions>false</trackRevisions>
    </reviewItem>
    <reviewItem>
      <errorID>1fd9966e-066e-4f42-adf0-458e93716624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29003018</paraID>
      <start>0</start>
      <end>2</end>
      <status>ignored</status>
      <modifiedWord/>
      <trackRevisions>false</trackRevisions>
    </reviewItem>
    <reviewItem>
      <errorID>84f74c49-5f29-4e48-8330-c3e2b32d1a18</errorID>
      <errorWord>、参</errorWord>
      <group>L1_Word</group>
      <groupName>字词问题</groupName>
      <ability>L2_Typo</ability>
      <abilityName>字词错误</abilityName>
      <candidateList>
        <item>、</item>
      </candidateList>
      <explain/>
      <paraID>6CAE5A69</paraID>
      <start>58</start>
      <end>60</end>
      <status>ignored</status>
      <modifiedWord/>
      <trackRevisions>false</trackRevisions>
    </reviewItem>
    <reviewItem>
      <errorID>82ce4cfb-1732-406c-85ea-fd26de65396b</errorID>
      <errorWord>工作技术参数</errorWord>
      <group>L1_Other</group>
      <groupName>其他问题</groupName>
      <ability>L2_Consistency</ability>
      <abilityName>一致性检查</abilityName>
      <candidateList>
        <item>系统架构</item>
      </candidateList>
      <explain>术语一致性，同标准章节名称表述前后不一致，后文统一使用“系统架构”的表述</explain>
      <paraID>6CAE5A69</paraID>
      <start>71</start>
      <end>77</end>
      <status>ignored</status>
      <modifiedWord/>
      <trackRevisions>false</trackRevisions>
    </reviewItem>
    <reviewItem>
      <errorID>6575e4e0-6dc5-481e-8237-191f38977268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17E5F21E</paraID>
      <start>0</start>
      <end>2</end>
      <status>ignored</status>
      <modifiedWord/>
      <trackRevisions>false</trackRevisions>
    </reviewItem>
    <reviewItem>
      <errorID>714855df-5196-42ca-9125-0d90fb45d529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60DD046E</paraID>
      <start>0</start>
      <end>2</end>
      <status>ignored</status>
      <modifiedWord/>
      <trackRevisions>false</trackRevisions>
    </reviewItem>
    <reviewItem>
      <errorID>e57ce0a1-8fac-4b70-a00e-b9d0dd436204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7BF0EB0</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2e46f7-8aec-485e-82b0-f91d5e783c93}">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3518</Words>
  <Characters>3642</Characters>
  <Lines>114</Lines>
  <Paragraphs>32</Paragraphs>
  <TotalTime>0</TotalTime>
  <ScaleCrop>false</ScaleCrop>
  <LinksUpToDate>false</LinksUpToDate>
  <CharactersWithSpaces>3706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2025-07-22T13:20:00Z</dcterms:created>
  <dc:creator>楚金旺</dc:creator>
  <cp:lastModifiedBy>林若虚</cp:lastModifiedBy>
  <dcterms:modified xsi:type="dcterms:W3CDTF">2026-07-03T00:39:13Z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eyJoZGlkIjoiMDExZjM0YjdhMWI4MGI1OWE0ODRkNjk3NzZiODZkMzIiLCJ1c2VySWQiOiIxMDAzNDI2MTY3In0=</vt:lpwstr>
  </property>
  <property fmtid="{D5CDD505-2E9C-101B-9397-08002B2CF9AE}" pid="3" name="KSOProductBuildVer">
    <vt:lpwstr>2052-12.1.0.26375</vt:lpwstr>
  </property>
  <property fmtid="{D5CDD505-2E9C-101B-9397-08002B2CF9AE}" pid="4" name="ICV">
    <vt:lpwstr>82F9E5DDDF904976AB310FAFADB7D04A_12</vt:lpwstr>
  </property>
</Properties>
</file>