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A6D04">
      <w:pPr>
        <w:spacing w:before="480" w:after="480" w:line="288" w:lineRule="auto"/>
        <w:jc w:val="center"/>
        <w:rPr>
          <w:rFonts w:hint="eastAsia" w:ascii="黑体" w:hAnsi="Times New Roman" w:eastAsia="黑体" w:cs="Times New Roman"/>
          <w:b/>
          <w:bCs/>
          <w:color w:val="auto"/>
          <w:sz w:val="48"/>
          <w:szCs w:val="48"/>
          <w:highlight w:val="none"/>
          <w:lang w:val="en-US" w:eastAsia="zh-CN" w:bidi="ar-SA"/>
        </w:rPr>
      </w:pPr>
      <w:r>
        <w:rPr>
          <w:rFonts w:hint="eastAsia" w:ascii="黑体" w:hAnsi="Times New Roman" w:eastAsia="黑体" w:cs="Times New Roman"/>
          <w:b/>
          <w:bCs/>
          <w:color w:val="auto"/>
          <w:sz w:val="48"/>
          <w:szCs w:val="48"/>
          <w:highlight w:val="none"/>
          <w:lang w:val="en-US" w:eastAsia="zh-CN" w:bidi="ar-SA"/>
        </w:rPr>
        <w:t>国家标准</w:t>
      </w:r>
    </w:p>
    <w:p w14:paraId="57CD6598">
      <w:pPr>
        <w:spacing w:before="480" w:after="480" w:line="288" w:lineRule="auto"/>
        <w:jc w:val="center"/>
        <w:rPr>
          <w:rFonts w:hint="eastAsia" w:ascii="黑体" w:hAnsi="Times New Roman" w:eastAsia="黑体" w:cs="Times New Roman"/>
          <w:b/>
          <w:bCs/>
          <w:color w:val="auto"/>
          <w:sz w:val="48"/>
          <w:szCs w:val="48"/>
          <w:highlight w:val="none"/>
          <w:lang w:val="en-US" w:eastAsia="zh-CN" w:bidi="ar-SA"/>
        </w:rPr>
      </w:pPr>
      <w:r>
        <w:rPr>
          <w:rFonts w:hint="eastAsia" w:ascii="黑体" w:hAnsi="Times New Roman" w:eastAsia="黑体" w:cs="Times New Roman"/>
          <w:b/>
          <w:bCs/>
          <w:color w:val="auto"/>
          <w:sz w:val="48"/>
          <w:szCs w:val="48"/>
          <w:highlight w:val="none"/>
          <w:lang w:val="en-US" w:eastAsia="zh-CN" w:bidi="ar-SA"/>
        </w:rPr>
        <w:t>《有色金属冶炼 智能配料技术要求》</w:t>
      </w:r>
    </w:p>
    <w:p w14:paraId="77AEFD10">
      <w:pPr>
        <w:spacing w:before="480" w:after="480" w:line="288" w:lineRule="auto"/>
        <w:jc w:val="center"/>
        <w:rPr>
          <w:rFonts w:hint="eastAsia" w:ascii="黑体" w:hAnsi="Times New Roman" w:eastAsia="黑体" w:cs="Times New Roman"/>
          <w:b/>
          <w:bCs/>
          <w:color w:val="auto"/>
          <w:sz w:val="48"/>
          <w:szCs w:val="48"/>
          <w:highlight w:val="none"/>
          <w:lang w:val="en-US" w:eastAsia="zh-CN" w:bidi="ar-SA"/>
        </w:rPr>
      </w:pPr>
      <w:r>
        <w:rPr>
          <w:rFonts w:hint="eastAsia" w:ascii="黑体" w:hAnsi="Times New Roman" w:eastAsia="黑体" w:cs="Times New Roman"/>
          <w:b/>
          <w:bCs/>
          <w:color w:val="auto"/>
          <w:sz w:val="48"/>
          <w:szCs w:val="48"/>
          <w:highlight w:val="none"/>
          <w:lang w:val="en-US" w:eastAsia="zh-CN" w:bidi="ar-SA"/>
        </w:rPr>
        <w:t>编制说明</w:t>
      </w:r>
    </w:p>
    <w:p w14:paraId="500937E7">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val="0"/>
          <w:bCs/>
          <w:color w:val="auto"/>
          <w:sz w:val="32"/>
          <w:szCs w:val="32"/>
          <w:highlight w:val="none"/>
          <w:lang w:val="en-US" w:eastAsia="zh-CN"/>
        </w:rPr>
      </w:pPr>
      <w:bookmarkStart w:id="0" w:name="_Toc26836"/>
      <w:r>
        <w:rPr>
          <w:rFonts w:hint="eastAsia" w:asciiTheme="minorEastAsia" w:hAnsiTheme="minorEastAsia"/>
          <w:b w:val="0"/>
          <w:bCs/>
          <w:color w:val="auto"/>
          <w:sz w:val="32"/>
          <w:szCs w:val="32"/>
          <w:highlight w:val="none"/>
          <w:lang w:eastAsia="zh-CN"/>
        </w:rPr>
        <w:t>（</w:t>
      </w:r>
      <w:r>
        <w:rPr>
          <w:rFonts w:hint="eastAsia" w:asciiTheme="minorEastAsia" w:hAnsiTheme="minorEastAsia"/>
          <w:b w:val="0"/>
          <w:bCs/>
          <w:color w:val="auto"/>
          <w:sz w:val="32"/>
          <w:szCs w:val="32"/>
          <w:highlight w:val="none"/>
          <w:lang w:val="en-US" w:eastAsia="zh-CN"/>
        </w:rPr>
        <w:t>讨论稿）</w:t>
      </w:r>
      <w:bookmarkEnd w:id="0"/>
    </w:p>
    <w:p w14:paraId="26A141D6">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19A2E98C">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387150DB">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3FC41F99">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30A4996D">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4EEE055A">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10469F2F">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2D3C9ABE">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31CF4706">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73112933">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2A3CED46">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435B8F73">
      <w:pPr>
        <w:keepNext w:val="0"/>
        <w:keepLines w:val="0"/>
        <w:pageBreakBefore w:val="0"/>
        <w:kinsoku/>
        <w:wordWrap/>
        <w:overflowPunct/>
        <w:topLinePunct w:val="0"/>
        <w:bidi w:val="0"/>
        <w:adjustRightInd/>
        <w:snapToGrid/>
        <w:spacing w:beforeAutospacing="0" w:line="360" w:lineRule="auto"/>
        <w:jc w:val="both"/>
        <w:textAlignment w:val="auto"/>
        <w:outlineLvl w:val="9"/>
        <w:rPr>
          <w:rFonts w:hint="eastAsia" w:asciiTheme="minorEastAsia" w:hAnsiTheme="minorEastAsia"/>
          <w:b/>
          <w:color w:val="auto"/>
          <w:sz w:val="28"/>
          <w:szCs w:val="28"/>
          <w:highlight w:val="none"/>
          <w:lang w:val="en-US" w:eastAsia="zh-CN"/>
        </w:rPr>
      </w:pPr>
    </w:p>
    <w:p w14:paraId="3663CFB3">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0E325C79">
      <w:pPr>
        <w:keepNext w:val="0"/>
        <w:keepLines w:val="0"/>
        <w:pageBreakBefore w:val="0"/>
        <w:kinsoku/>
        <w:wordWrap/>
        <w:overflowPunct/>
        <w:topLinePunct w:val="0"/>
        <w:bidi w:val="0"/>
        <w:adjustRightInd/>
        <w:snapToGrid/>
        <w:spacing w:beforeAutospacing="0" w:line="360" w:lineRule="auto"/>
        <w:jc w:val="center"/>
        <w:textAlignment w:val="auto"/>
        <w:outlineLvl w:val="9"/>
        <w:rPr>
          <w:rFonts w:hint="eastAsia" w:asciiTheme="minorEastAsia" w:hAnsiTheme="minorEastAsia"/>
          <w:b/>
          <w:color w:val="auto"/>
          <w:sz w:val="28"/>
          <w:szCs w:val="28"/>
          <w:highlight w:val="none"/>
          <w:lang w:val="en-US" w:eastAsia="zh-CN"/>
        </w:rPr>
      </w:pPr>
    </w:p>
    <w:p w14:paraId="1D035E93">
      <w:pPr>
        <w:keepNext w:val="0"/>
        <w:keepLines w:val="0"/>
        <w:pageBreakBefore w:val="0"/>
        <w:kinsoku/>
        <w:wordWrap/>
        <w:overflowPunct/>
        <w:topLinePunct w:val="0"/>
        <w:bidi w:val="0"/>
        <w:adjustRightInd/>
        <w:snapToGrid/>
        <w:spacing w:line="360" w:lineRule="auto"/>
        <w:jc w:val="center"/>
        <w:rPr>
          <w:rFonts w:hint="default" w:ascii="宋体" w:hAnsi="Times New Roman" w:eastAsia="宋体" w:cs="Times New Roman"/>
          <w:color w:val="auto"/>
          <w:kern w:val="0"/>
          <w:sz w:val="28"/>
          <w:szCs w:val="20"/>
          <w:highlight w:val="none"/>
          <w:lang w:val="en-US" w:eastAsia="zh-CN" w:bidi="ar-SA"/>
        </w:rPr>
      </w:pPr>
      <w:r>
        <w:rPr>
          <w:rFonts w:hint="eastAsia" w:ascii="宋体" w:hAnsi="Times New Roman" w:eastAsia="宋体" w:cs="Times New Roman"/>
          <w:color w:val="auto"/>
          <w:kern w:val="0"/>
          <w:sz w:val="28"/>
          <w:szCs w:val="20"/>
          <w:highlight w:val="none"/>
          <w:lang w:val="en-US" w:eastAsia="zh-CN" w:bidi="ar-SA"/>
        </w:rPr>
        <w:t>深圳市中金岭南有色金属股份有限公司丹霞冶炼厂</w:t>
      </w:r>
    </w:p>
    <w:p w14:paraId="4F5B45B8">
      <w:pPr>
        <w:keepNext w:val="0"/>
        <w:keepLines w:val="0"/>
        <w:pageBreakBefore w:val="0"/>
        <w:kinsoku/>
        <w:wordWrap/>
        <w:overflowPunct/>
        <w:topLinePunct w:val="0"/>
        <w:bidi w:val="0"/>
        <w:adjustRightInd/>
        <w:snapToGrid/>
        <w:spacing w:line="360" w:lineRule="auto"/>
        <w:jc w:val="center"/>
        <w:rPr>
          <w:rFonts w:hint="eastAsia" w:ascii="宋体" w:hAnsi="宋体" w:eastAsia="宋体" w:cs="宋体"/>
          <w:b/>
          <w:sz w:val="36"/>
          <w:szCs w:val="16"/>
          <w:highlight w:val="none"/>
          <w:lang w:eastAsia="zh-CN"/>
        </w:rPr>
      </w:pPr>
      <w:r>
        <w:rPr>
          <w:rFonts w:hint="eastAsia" w:ascii="宋体" w:hAnsi="Times New Roman" w:eastAsia="宋体" w:cs="Times New Roman"/>
          <w:color w:val="auto"/>
          <w:kern w:val="0"/>
          <w:sz w:val="28"/>
          <w:szCs w:val="20"/>
          <w:highlight w:val="none"/>
          <w:lang w:val="en-US" w:eastAsia="zh-CN" w:bidi="ar-SA"/>
        </w:rPr>
        <w:t>2026年06月</w:t>
      </w:r>
    </w:p>
    <w:p w14:paraId="33380AF2">
      <w:pPr>
        <w:keepNext w:val="0"/>
        <w:keepLines w:val="0"/>
        <w:pageBreakBefore w:val="0"/>
        <w:widowControl w:val="0"/>
        <w:numPr>
          <w:ilvl w:val="0"/>
          <w:numId w:val="1"/>
        </w:numPr>
        <w:kinsoku/>
        <w:wordWrap/>
        <w:overflowPunct/>
        <w:topLinePunct w:val="0"/>
        <w:autoSpaceDE/>
        <w:autoSpaceDN/>
        <w:bidi w:val="0"/>
        <w:adjustRightInd/>
        <w:snapToGrid/>
        <w:spacing w:before="157" w:beforeLines="50" w:beforeAutospacing="0" w:after="157" w:afterLines="50" w:line="360" w:lineRule="auto"/>
        <w:textAlignment w:val="auto"/>
        <w:outlineLvl w:val="0"/>
        <w:rPr>
          <w:rFonts w:hint="eastAsia" w:asciiTheme="minorEastAsia" w:hAnsiTheme="minorEastAsia" w:eastAsiaTheme="minorEastAsia" w:cstheme="minorBidi"/>
          <w:b/>
          <w:color w:val="auto"/>
          <w:kern w:val="2"/>
          <w:sz w:val="32"/>
          <w:szCs w:val="32"/>
          <w:highlight w:val="none"/>
          <w:lang w:val="en-US" w:eastAsia="zh-CN"/>
        </w:rPr>
      </w:pPr>
      <w:r>
        <w:rPr>
          <w:rFonts w:hint="eastAsia" w:asciiTheme="minorEastAsia" w:hAnsiTheme="minorEastAsia" w:eastAsiaTheme="minorEastAsia" w:cstheme="minorBidi"/>
          <w:b/>
          <w:color w:val="auto"/>
          <w:kern w:val="2"/>
          <w:sz w:val="32"/>
          <w:szCs w:val="32"/>
          <w:highlight w:val="none"/>
          <w:lang w:val="en-US" w:eastAsia="zh-CN"/>
        </w:rPr>
        <w:t>工作简况</w:t>
      </w:r>
    </w:p>
    <w:p w14:paraId="42BF5208">
      <w:pPr>
        <w:keepNext w:val="0"/>
        <w:keepLines w:val="0"/>
        <w:pageBreakBefore w:val="0"/>
        <w:widowControl w:val="0"/>
        <w:numPr>
          <w:ilvl w:val="-1"/>
          <w:numId w:val="0"/>
        </w:numPr>
        <w:kinsoku/>
        <w:wordWrap/>
        <w:overflowPunct/>
        <w:topLinePunct w:val="0"/>
        <w:autoSpaceDE/>
        <w:autoSpaceDN/>
        <w:bidi w:val="0"/>
        <w:adjustRightInd/>
        <w:snapToGrid/>
        <w:spacing w:before="157" w:beforeLines="50" w:beforeAutospacing="0" w:after="157" w:afterLines="50" w:line="240" w:lineRule="auto"/>
        <w:textAlignment w:val="auto"/>
        <w:outlineLvl w:val="0"/>
        <w:rPr>
          <w:rFonts w:hint="eastAsia" w:asciiTheme="minorEastAsia" w:hAnsiTheme="minorEastAsia" w:eastAsiaTheme="minorEastAsia" w:cstheme="minorBidi"/>
          <w:b/>
          <w:color w:val="auto"/>
          <w:kern w:val="2"/>
          <w:sz w:val="28"/>
          <w:szCs w:val="28"/>
          <w:highlight w:val="none"/>
          <w:lang w:val="en-US" w:eastAsia="zh-CN"/>
        </w:rPr>
      </w:pPr>
      <w:bookmarkStart w:id="1" w:name="_Toc16384"/>
      <w:r>
        <w:rPr>
          <w:rFonts w:hint="eastAsia" w:asciiTheme="minorEastAsia" w:hAnsiTheme="minorEastAsia" w:eastAsiaTheme="minorEastAsia" w:cstheme="minorBidi"/>
          <w:b/>
          <w:color w:val="auto"/>
          <w:kern w:val="2"/>
          <w:sz w:val="28"/>
          <w:szCs w:val="28"/>
          <w:highlight w:val="none"/>
          <w:lang w:val="en-US" w:eastAsia="zh-CN"/>
        </w:rPr>
        <w:t>1、任务来源</w:t>
      </w:r>
      <w:bookmarkEnd w:id="1"/>
    </w:p>
    <w:p w14:paraId="612AF41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2026年4月28日，根据国标委发〔2026〕28号文件，下达了编写《有色金属冶炼 智能配料技术要求》国家标准的任务，项目周期12个月，技术归口单位为全国有色金属标准化技术委员会。计划号为：</w:t>
      </w:r>
      <w:r>
        <w:rPr>
          <w:rFonts w:hint="eastAsia" w:asciiTheme="minorEastAsia" w:hAnsiTheme="minorEastAsia" w:eastAsiaTheme="minorEastAsia" w:cstheme="minorEastAsia"/>
          <w:color w:val="auto"/>
          <w:kern w:val="2"/>
          <w:sz w:val="22"/>
          <w:szCs w:val="22"/>
          <w:highlight w:val="none"/>
          <w:lang w:val="en-US" w:eastAsia="zh-CN" w:bidi="ar-SA"/>
        </w:rPr>
        <w:fldChar w:fldCharType="begin"/>
      </w:r>
      <w:r>
        <w:rPr>
          <w:rFonts w:hint="eastAsia" w:asciiTheme="minorEastAsia" w:hAnsiTheme="minorEastAsia" w:eastAsiaTheme="minorEastAsia" w:cstheme="minorEastAsia"/>
          <w:color w:val="auto"/>
          <w:kern w:val="2"/>
          <w:sz w:val="22"/>
          <w:szCs w:val="22"/>
          <w:highlight w:val="none"/>
          <w:lang w:val="en-US" w:eastAsia="zh-CN" w:bidi="ar-SA"/>
        </w:rPr>
        <w:instrText xml:space="preserve"> HYPERLINK "https://std.samr.gov.cn/gb/search/gbDetailed?id=511EEE661DA29F8CE06397BE0A0A6C96" \t "https://std.samr.gov.cn/noc/search/_blank" </w:instrText>
      </w:r>
      <w:r>
        <w:rPr>
          <w:rFonts w:hint="eastAsia" w:asciiTheme="minorEastAsia" w:hAnsiTheme="minorEastAsia" w:eastAsiaTheme="minorEastAsia" w:cstheme="minorEastAsia"/>
          <w:color w:val="auto"/>
          <w:kern w:val="2"/>
          <w:sz w:val="22"/>
          <w:szCs w:val="22"/>
          <w:highlight w:val="none"/>
          <w:lang w:val="en-US" w:eastAsia="zh-CN" w:bidi="ar-SA"/>
        </w:rPr>
        <w:fldChar w:fldCharType="separate"/>
      </w:r>
      <w:r>
        <w:rPr>
          <w:rFonts w:hint="default" w:asciiTheme="minorEastAsia" w:hAnsiTheme="minorEastAsia" w:eastAsiaTheme="minorEastAsia" w:cstheme="minorEastAsia"/>
          <w:color w:val="auto"/>
          <w:kern w:val="2"/>
          <w:sz w:val="22"/>
          <w:szCs w:val="22"/>
          <w:highlight w:val="none"/>
          <w:lang w:val="en-US" w:eastAsia="zh-CN" w:bidi="ar-SA"/>
        </w:rPr>
        <w:t>20262078-T-610</w:t>
      </w:r>
      <w:r>
        <w:rPr>
          <w:rFonts w:hint="default" w:asciiTheme="minorEastAsia" w:hAnsiTheme="minorEastAsia" w:eastAsiaTheme="minorEastAsia" w:cstheme="minorEastAsia"/>
          <w:color w:val="auto"/>
          <w:kern w:val="2"/>
          <w:sz w:val="22"/>
          <w:szCs w:val="22"/>
          <w:highlight w:val="none"/>
          <w:lang w:val="en-US" w:eastAsia="zh-CN" w:bidi="ar-SA"/>
        </w:rPr>
        <w:fldChar w:fldCharType="end"/>
      </w:r>
      <w:r>
        <w:rPr>
          <w:rFonts w:hint="eastAsia" w:asciiTheme="minorEastAsia" w:hAnsiTheme="minorEastAsia" w:eastAsiaTheme="minorEastAsia" w:cstheme="minorEastAsia"/>
          <w:color w:val="auto"/>
          <w:kern w:val="2"/>
          <w:sz w:val="22"/>
          <w:szCs w:val="22"/>
          <w:highlight w:val="none"/>
          <w:lang w:val="en-US" w:eastAsia="zh-CN" w:bidi="ar-SA"/>
        </w:rPr>
        <w:t>。</w:t>
      </w:r>
    </w:p>
    <w:p w14:paraId="22309946">
      <w:pPr>
        <w:keepNext w:val="0"/>
        <w:keepLines w:val="0"/>
        <w:pageBreakBefore w:val="0"/>
        <w:widowControl w:val="0"/>
        <w:numPr>
          <w:ilvl w:val="-1"/>
          <w:numId w:val="0"/>
        </w:numPr>
        <w:kinsoku/>
        <w:wordWrap/>
        <w:overflowPunct/>
        <w:topLinePunct w:val="0"/>
        <w:autoSpaceDE/>
        <w:autoSpaceDN/>
        <w:bidi w:val="0"/>
        <w:adjustRightInd/>
        <w:snapToGrid/>
        <w:spacing w:before="157" w:beforeLines="50" w:beforeAutospacing="0" w:after="157" w:afterLines="50" w:line="240" w:lineRule="auto"/>
        <w:textAlignment w:val="auto"/>
        <w:outlineLvl w:val="0"/>
        <w:rPr>
          <w:rFonts w:hint="eastAsia" w:asciiTheme="minorEastAsia" w:hAnsiTheme="minorEastAsia" w:eastAsiaTheme="minorEastAsia" w:cstheme="minorBidi"/>
          <w:b/>
          <w:color w:val="auto"/>
          <w:kern w:val="2"/>
          <w:sz w:val="28"/>
          <w:szCs w:val="28"/>
          <w:highlight w:val="none"/>
          <w:lang w:val="en-US" w:eastAsia="zh-CN"/>
        </w:rPr>
      </w:pPr>
      <w:r>
        <w:rPr>
          <w:rFonts w:hint="eastAsia" w:asciiTheme="minorEastAsia" w:hAnsiTheme="minorEastAsia" w:eastAsiaTheme="minorEastAsia" w:cstheme="minorBidi"/>
          <w:b/>
          <w:color w:val="auto"/>
          <w:kern w:val="2"/>
          <w:sz w:val="28"/>
          <w:szCs w:val="28"/>
          <w:highlight w:val="none"/>
          <w:lang w:val="en-US" w:eastAsia="zh-CN"/>
        </w:rPr>
        <w:t>2、主要起草单位</w:t>
      </w:r>
    </w:p>
    <w:p w14:paraId="021FA43E">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深圳市中金岭南有色金属股份有限公司丹霞冶炼厂，深圳市中金岭南有色金属股份有限公司，江西铜业股份有限公司，中国恩菲工程技术有限公司，北京瓦特曼智能科技有限公司，</w:t>
      </w:r>
      <w:r>
        <w:rPr>
          <w:rFonts w:hint="default" w:asciiTheme="minorEastAsia" w:hAnsiTheme="minorEastAsia" w:eastAsiaTheme="minorEastAsia" w:cstheme="minorEastAsia"/>
          <w:color w:val="auto"/>
          <w:kern w:val="2"/>
          <w:sz w:val="22"/>
          <w:szCs w:val="22"/>
          <w:highlight w:val="none"/>
          <w:lang w:val="en-US" w:eastAsia="zh-CN" w:bidi="ar-SA"/>
        </w:rPr>
        <w:t>中际山河科技有限责任公司</w:t>
      </w:r>
      <w:r>
        <w:rPr>
          <w:rFonts w:hint="eastAsia" w:asciiTheme="minorEastAsia" w:hAnsiTheme="minorEastAsia" w:eastAsiaTheme="minorEastAsia" w:cstheme="minorEastAsia"/>
          <w:color w:val="auto"/>
          <w:kern w:val="2"/>
          <w:sz w:val="22"/>
          <w:szCs w:val="22"/>
          <w:highlight w:val="none"/>
          <w:lang w:val="en-US" w:eastAsia="zh-CN" w:bidi="ar-SA"/>
        </w:rPr>
        <w:t>，绍兴市特种设备检测院，湖南天桥嘉成智能科技有限公司，长沙中大冶金设备有限公司，中南大学，中国联合网络通信有限公司广东省分公司。参编单位涵盖冶炼企业、科研院所、</w:t>
      </w:r>
      <w:bookmarkStart w:id="3" w:name="_GoBack"/>
      <w:bookmarkEnd w:id="3"/>
      <w:r>
        <w:rPr>
          <w:rFonts w:hint="eastAsia" w:asciiTheme="minorEastAsia" w:hAnsiTheme="minorEastAsia" w:eastAsiaTheme="minorEastAsia" w:cstheme="minorEastAsia"/>
          <w:color w:val="auto"/>
          <w:kern w:val="2"/>
          <w:sz w:val="22"/>
          <w:szCs w:val="22"/>
          <w:highlight w:val="none"/>
          <w:lang w:val="en-US" w:eastAsia="zh-CN" w:bidi="ar-SA"/>
        </w:rPr>
        <w:t>高校、智能控制技术供应商，形成了产学研用协同的标准编制团队，确保标准的科学性、先进性和实用性。</w:t>
      </w:r>
    </w:p>
    <w:p w14:paraId="531F568C">
      <w:pPr>
        <w:keepNext w:val="0"/>
        <w:keepLines w:val="0"/>
        <w:pageBreakBefore w:val="0"/>
        <w:widowControl w:val="0"/>
        <w:numPr>
          <w:ilvl w:val="-1"/>
          <w:numId w:val="0"/>
        </w:numPr>
        <w:kinsoku/>
        <w:wordWrap/>
        <w:overflowPunct/>
        <w:topLinePunct w:val="0"/>
        <w:autoSpaceDE/>
        <w:autoSpaceDN/>
        <w:bidi w:val="0"/>
        <w:adjustRightInd/>
        <w:snapToGrid/>
        <w:spacing w:before="157" w:beforeLines="50" w:beforeAutospacing="0" w:after="157" w:afterLines="50" w:line="240" w:lineRule="auto"/>
        <w:textAlignment w:val="auto"/>
        <w:outlineLvl w:val="0"/>
        <w:rPr>
          <w:rFonts w:hint="default" w:asciiTheme="minorEastAsia" w:hAnsiTheme="minorEastAsia" w:eastAsiaTheme="minorEastAsia" w:cstheme="minorBidi"/>
          <w:b/>
          <w:color w:val="auto"/>
          <w:kern w:val="2"/>
          <w:sz w:val="28"/>
          <w:szCs w:val="28"/>
          <w:highlight w:val="none"/>
          <w:lang w:val="en-US" w:eastAsia="zh-CN"/>
        </w:rPr>
      </w:pPr>
      <w:r>
        <w:rPr>
          <w:rFonts w:hint="eastAsia" w:asciiTheme="minorEastAsia" w:hAnsiTheme="minorEastAsia" w:eastAsiaTheme="minorEastAsia" w:cstheme="minorBidi"/>
          <w:b/>
          <w:color w:val="auto"/>
          <w:kern w:val="2"/>
          <w:sz w:val="28"/>
          <w:szCs w:val="28"/>
          <w:highlight w:val="none"/>
          <w:lang w:val="en-US" w:eastAsia="zh-CN"/>
        </w:rPr>
        <w:t>3、工作过程：</w:t>
      </w:r>
    </w:p>
    <w:p w14:paraId="22702715">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第一阶段：预研</w:t>
      </w:r>
      <w:r>
        <w:rPr>
          <w:rFonts w:hint="eastAsia" w:ascii="黑体" w:hAnsi="黑体" w:eastAsia="黑体" w:cs="黑体"/>
          <w:b w:val="0"/>
          <w:bCs/>
          <w:color w:val="auto"/>
          <w:sz w:val="24"/>
          <w:szCs w:val="24"/>
          <w:highlight w:val="none"/>
          <w:lang w:val="en-US" w:eastAsia="zh-CN"/>
        </w:rPr>
        <w:t>阶段</w:t>
      </w:r>
    </w:p>
    <w:p w14:paraId="41EE645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2025年9月，由深圳市中金岭南有色金属股份有限公司丹霞冶炼厂牵头，联合标准起草单位组建专项标准预研工作组，全面启动有色金属冶炼智能配料领域标准调研工作。编制组系统梳理国内外铅、锌、铜、铝等主流有色金属冶炼配料工艺发展现状、智能配料装备应用水平与行业智能化升级痛点，调研覆盖中金岭南、江铜、中国恩菲等冶炼生产企业、工程设计院、智能装备厂商及高校科研单位，实地考察冶炼原料仓储、智能起重转运、自动称量、动态配比、在线成分检测、无人配料全流程现场，收集智能起重机、激光盘库、多传感器避障、工业以太网、配料优化算法等设备配置、运行参数、控制系统落地应用一手生产数据。</w:t>
      </w:r>
    </w:p>
    <w:p w14:paraId="2DA5679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同时深度对标《有色金属行业智能制造标准体系建设指南》中智能冶炼、智能配料、智能装备运维相关标准规划要求，系统分析GB/T 1.1-2020、GB/T 3811、GB/T 28264、GB/T 33863、GB/T 45163.1等起重、工业网络、智能制造顶层通用国家标准，梳理现有标准空白与适配缺口，结合冶炼高温高粉尘、人机交叉作业、原料成分波动大等特殊工况，明确本标准适用范围、标准化定位、三层级一体系总体技术架构与核心技术指标框架，形成完整预研调研报告，为标准立项、草案编制奠定基础。</w:t>
      </w:r>
    </w:p>
    <w:p w14:paraId="0852A52F">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default" w:ascii="黑体" w:hAnsi="黑体" w:eastAsia="黑体" w:cs="黑体"/>
          <w:b w:val="0"/>
          <w:bCs/>
          <w:color w:val="auto"/>
          <w:sz w:val="24"/>
          <w:szCs w:val="24"/>
          <w:highlight w:val="none"/>
          <w:lang w:val="en-US"/>
        </w:rPr>
      </w:pPr>
      <w:r>
        <w:rPr>
          <w:rFonts w:hint="eastAsia" w:ascii="黑体" w:hAnsi="黑体" w:eastAsia="黑体" w:cs="黑体"/>
          <w:b w:val="0"/>
          <w:bCs/>
          <w:color w:val="auto"/>
          <w:sz w:val="24"/>
          <w:szCs w:val="24"/>
          <w:highlight w:val="none"/>
        </w:rPr>
        <w:t>第二阶段：</w:t>
      </w:r>
      <w:r>
        <w:rPr>
          <w:rFonts w:hint="eastAsia" w:ascii="黑体" w:hAnsi="黑体" w:eastAsia="黑体" w:cs="黑体"/>
          <w:b w:val="0"/>
          <w:bCs/>
          <w:color w:val="auto"/>
          <w:sz w:val="24"/>
          <w:szCs w:val="24"/>
          <w:highlight w:val="none"/>
          <w:lang w:val="en-US" w:eastAsia="zh-CN"/>
        </w:rPr>
        <w:t>立项阶段</w:t>
      </w:r>
    </w:p>
    <w:p w14:paraId="033BCA5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2025年11月，牵头单位深圳市中金岭南有色金属股份有限公司丹霞冶炼厂联合各起草单位，向全国有色金属标准化技术委员会（SAC/TC 243）提交《有色金属冶炼 智能配料技术要求》行业标准立项建议书、预研报告及立项答辩全套材料，重点阐述有色金属冶炼智能配料行业标准化需求、标准技术创新点与产业应用价值。</w:t>
      </w:r>
    </w:p>
    <w:p w14:paraId="32BFE45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2026年4月，经全国有色金属标准化技术委员会评审通过并下达标准编制任务，正式启动本推荐性国家标准编制工作，确定全部起草单位、主要起草人员清单，明确标准编制周期、阶段工作节点与编制成果交付要求。</w:t>
      </w:r>
    </w:p>
    <w:p w14:paraId="52DB98FD">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第三阶段：起草</w:t>
      </w:r>
      <w:r>
        <w:rPr>
          <w:rFonts w:hint="eastAsia" w:ascii="黑体" w:hAnsi="黑体" w:eastAsia="黑体" w:cs="黑体"/>
          <w:b w:val="0"/>
          <w:bCs/>
          <w:color w:val="auto"/>
          <w:sz w:val="24"/>
          <w:szCs w:val="24"/>
          <w:highlight w:val="none"/>
          <w:lang w:val="en-US" w:eastAsia="zh-CN"/>
        </w:rPr>
        <w:t>阶段</w:t>
      </w:r>
    </w:p>
    <w:p w14:paraId="3A7025A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依托前期预研调研成果，2026年4月编制组全面开展标准文本起草工作，严格遵循GB/T 1.1-2020《标准化工作导则 第1部分：标准化文件的结构和起草规则》规范条文格式、术语定义、章节编排。</w:t>
      </w:r>
    </w:p>
    <w:p w14:paraId="5428224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标准整体框架参照范围—规范性引用文件—术语和定义—总体架构—技术要求—安全性要求—效率要求—试验方法—检验要求逻辑递进结构搭建，结合冶炼智能配料闭环控制业务特点，确立感知执行层、边缘控制层、平台决策层+安全防护体系的三层级一体系总体架构，配套工业以太网四层网络架构内容；同步细化智能起重机、定位、防摇摆、人机物避障、自动盘库、配料智能算法、系统接口、故障诊断、安全防护等关键技术指标。</w:t>
      </w:r>
    </w:p>
    <w:p w14:paraId="4F3DDAD4">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编制组累计组织4次内部专题研讨会议，逐条审议标准草案内容，针对智能起重机定位精度、防摇摆控制指标、工业网络时延与可靠性、多目标配比优化算法、多传感器融合避障性能、盘库扫描精度、配料成分误差、系统数据交互规范等核心技术参数开展多场景工况论证，结合多家冶炼企业现场实测数据修正指标限值，同步完善配套网络架构示意图、试验验证规则、出厂及周期检验条款，于2026年6月完成《有色金属冶炼 智能配料技术要求》标准讨论稿。</w:t>
      </w:r>
    </w:p>
    <w:p w14:paraId="5EC02D1D">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第四阶段：</w:t>
      </w:r>
      <w:r>
        <w:rPr>
          <w:rFonts w:hint="eastAsia" w:ascii="黑体" w:hAnsi="黑体" w:eastAsia="黑体" w:cs="黑体"/>
          <w:b w:val="0"/>
          <w:bCs/>
          <w:color w:val="auto"/>
          <w:sz w:val="24"/>
          <w:szCs w:val="24"/>
          <w:highlight w:val="none"/>
          <w:lang w:val="en-US" w:eastAsia="zh-CN"/>
        </w:rPr>
        <w:t>征求意见</w:t>
      </w:r>
      <w:r>
        <w:rPr>
          <w:rFonts w:hint="eastAsia" w:ascii="黑体" w:hAnsi="黑体" w:eastAsia="黑体" w:cs="黑体"/>
          <w:b w:val="0"/>
          <w:bCs/>
          <w:color w:val="auto"/>
          <w:sz w:val="24"/>
          <w:szCs w:val="24"/>
          <w:highlight w:val="none"/>
        </w:rPr>
        <w:t>阶段</w:t>
      </w:r>
    </w:p>
    <w:p w14:paraId="72D72230">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default" w:ascii="黑体" w:hAnsi="黑体" w:eastAsia="黑体" w:cs="黑体"/>
          <w:b w:val="0"/>
          <w:bCs/>
          <w:color w:val="auto"/>
          <w:sz w:val="24"/>
          <w:szCs w:val="24"/>
          <w:highlight w:val="none"/>
          <w:lang w:val="en-US" w:eastAsia="zh-CN"/>
        </w:rPr>
      </w:pPr>
    </w:p>
    <w:p w14:paraId="43808667">
      <w:pPr>
        <w:keepNext w:val="0"/>
        <w:keepLines w:val="0"/>
        <w:pageBreakBefore w:val="0"/>
        <w:kinsoku/>
        <w:wordWrap/>
        <w:overflowPunct/>
        <w:topLinePunct w:val="0"/>
        <w:bidi w:val="0"/>
        <w:adjustRightInd/>
        <w:snapToGrid/>
        <w:spacing w:beforeAutospacing="0" w:line="360" w:lineRule="auto"/>
        <w:ind w:firstLine="480" w:firstLineChars="200"/>
        <w:textAlignment w:val="auto"/>
        <w:rPr>
          <w:rFonts w:hint="eastAsia" w:ascii="黑体" w:hAnsi="黑体" w:eastAsia="黑体" w:cs="黑体"/>
          <w:b w:val="0"/>
          <w:bCs/>
          <w:color w:val="auto"/>
          <w:sz w:val="24"/>
          <w:szCs w:val="24"/>
          <w:highlight w:val="none"/>
          <w:lang w:eastAsia="zh-CN"/>
        </w:rPr>
      </w:pPr>
      <w:r>
        <w:rPr>
          <w:rFonts w:hint="eastAsia" w:ascii="黑体" w:hAnsi="黑体" w:eastAsia="黑体" w:cs="黑体"/>
          <w:b w:val="0"/>
          <w:bCs/>
          <w:color w:val="auto"/>
          <w:sz w:val="24"/>
          <w:szCs w:val="24"/>
          <w:highlight w:val="none"/>
        </w:rPr>
        <w:t>第</w:t>
      </w:r>
      <w:r>
        <w:rPr>
          <w:rFonts w:hint="eastAsia" w:ascii="黑体" w:hAnsi="黑体" w:eastAsia="黑体" w:cs="黑体"/>
          <w:b w:val="0"/>
          <w:bCs/>
          <w:color w:val="auto"/>
          <w:sz w:val="24"/>
          <w:szCs w:val="24"/>
          <w:highlight w:val="none"/>
          <w:lang w:val="en-US" w:eastAsia="zh-CN"/>
        </w:rPr>
        <w:t>五</w:t>
      </w:r>
      <w:r>
        <w:rPr>
          <w:rFonts w:hint="eastAsia" w:ascii="黑体" w:hAnsi="黑体" w:eastAsia="黑体" w:cs="黑体"/>
          <w:b w:val="0"/>
          <w:bCs/>
          <w:color w:val="auto"/>
          <w:sz w:val="24"/>
          <w:szCs w:val="24"/>
          <w:highlight w:val="none"/>
        </w:rPr>
        <w:t>阶段：</w:t>
      </w:r>
      <w:r>
        <w:rPr>
          <w:rFonts w:hint="eastAsia" w:ascii="黑体" w:hAnsi="黑体" w:eastAsia="黑体" w:cs="黑体"/>
          <w:b w:val="0"/>
          <w:bCs/>
          <w:color w:val="auto"/>
          <w:sz w:val="24"/>
          <w:szCs w:val="24"/>
          <w:highlight w:val="none"/>
          <w:lang w:val="en-US" w:eastAsia="zh-CN"/>
        </w:rPr>
        <w:t>审查</w:t>
      </w:r>
      <w:r>
        <w:rPr>
          <w:rFonts w:hint="eastAsia" w:ascii="黑体" w:hAnsi="黑体" w:eastAsia="黑体" w:cs="黑体"/>
          <w:b w:val="0"/>
          <w:bCs/>
          <w:color w:val="auto"/>
          <w:sz w:val="24"/>
          <w:szCs w:val="24"/>
          <w:highlight w:val="none"/>
        </w:rPr>
        <w:t>阶段</w:t>
      </w:r>
    </w:p>
    <w:p w14:paraId="3D697669">
      <w:pPr>
        <w:keepNext w:val="0"/>
        <w:keepLines w:val="0"/>
        <w:pageBreakBefore w:val="0"/>
        <w:widowControl w:val="0"/>
        <w:numPr>
          <w:ilvl w:val="0"/>
          <w:numId w:val="1"/>
        </w:numPr>
        <w:kinsoku/>
        <w:wordWrap/>
        <w:overflowPunct/>
        <w:topLinePunct w:val="0"/>
        <w:autoSpaceDE/>
        <w:autoSpaceDN/>
        <w:bidi w:val="0"/>
        <w:adjustRightInd/>
        <w:snapToGrid/>
        <w:spacing w:before="157" w:beforeLines="50" w:beforeAutospacing="0" w:after="157" w:afterLines="50" w:line="360" w:lineRule="auto"/>
        <w:textAlignment w:val="auto"/>
        <w:outlineLvl w:val="0"/>
        <w:rPr>
          <w:rFonts w:hint="eastAsia" w:asciiTheme="minorEastAsia" w:hAnsiTheme="minorEastAsia" w:eastAsiaTheme="minorEastAsia" w:cstheme="minorBidi"/>
          <w:b/>
          <w:color w:val="auto"/>
          <w:kern w:val="2"/>
          <w:sz w:val="32"/>
          <w:szCs w:val="32"/>
          <w:highlight w:val="none"/>
          <w:lang w:val="en-US" w:eastAsia="zh-CN"/>
        </w:rPr>
      </w:pPr>
      <w:r>
        <w:rPr>
          <w:rFonts w:hint="eastAsia" w:asciiTheme="minorEastAsia" w:hAnsiTheme="minorEastAsia" w:eastAsiaTheme="minorEastAsia" w:cstheme="minorBidi"/>
          <w:b/>
          <w:color w:val="auto"/>
          <w:kern w:val="2"/>
          <w:sz w:val="32"/>
          <w:szCs w:val="32"/>
          <w:highlight w:val="none"/>
          <w:lang w:val="en-US" w:eastAsia="zh-CN"/>
        </w:rPr>
        <w:t>标准编制原则</w:t>
      </w:r>
    </w:p>
    <w:p w14:paraId="5FE5C8DC">
      <w:pPr>
        <w:numPr>
          <w:ilvl w:val="0"/>
          <w:numId w:val="2"/>
        </w:numPr>
        <w:spacing w:line="360" w:lineRule="auto"/>
        <w:ind w:firstLine="480" w:firstLine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先进性原则</w:t>
      </w:r>
    </w:p>
    <w:p w14:paraId="155CDEC0">
      <w:pPr>
        <w:numPr>
          <w:ilvl w:val="0"/>
          <w:numId w:val="0"/>
        </w:num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深度融合工业以太网</w:t>
      </w:r>
      <w:r>
        <w:rPr>
          <w:rFonts w:hint="eastAsia" w:asciiTheme="minorEastAsia" w:hAnsiTheme="minorEastAsia" w:eastAsiaTheme="minorEastAsia" w:cstheme="minorEastAsia"/>
          <w:color w:val="auto"/>
          <w:kern w:val="2"/>
          <w:sz w:val="22"/>
          <w:szCs w:val="22"/>
          <w:highlight w:val="none"/>
          <w:lang w:val="en-US" w:eastAsia="zh-CN" w:bidi="ar-SA"/>
        </w:rPr>
        <w:t>平台</w:t>
      </w:r>
      <w:r>
        <w:rPr>
          <w:rFonts w:hint="default" w:asciiTheme="minorEastAsia" w:hAnsiTheme="minorEastAsia" w:eastAsiaTheme="minorEastAsia" w:cstheme="minorEastAsia"/>
          <w:color w:val="auto"/>
          <w:kern w:val="2"/>
          <w:sz w:val="22"/>
          <w:szCs w:val="22"/>
          <w:highlight w:val="none"/>
          <w:lang w:val="en-US" w:eastAsia="zh-CN" w:bidi="ar-SA"/>
        </w:rPr>
        <w:t>、</w:t>
      </w:r>
      <w:r>
        <w:rPr>
          <w:rFonts w:hint="eastAsia" w:asciiTheme="minorEastAsia" w:hAnsiTheme="minorEastAsia" w:eastAsiaTheme="minorEastAsia" w:cstheme="minorEastAsia"/>
          <w:color w:val="auto"/>
          <w:kern w:val="2"/>
          <w:sz w:val="22"/>
          <w:szCs w:val="22"/>
          <w:highlight w:val="none"/>
          <w:lang w:val="en-US" w:eastAsia="zh-CN" w:bidi="ar-SA"/>
        </w:rPr>
        <w:t>5G、</w:t>
      </w:r>
      <w:r>
        <w:rPr>
          <w:rFonts w:hint="default" w:asciiTheme="minorEastAsia" w:hAnsiTheme="minorEastAsia" w:eastAsiaTheme="minorEastAsia" w:cstheme="minorEastAsia"/>
          <w:color w:val="auto"/>
          <w:kern w:val="2"/>
          <w:sz w:val="22"/>
          <w:szCs w:val="22"/>
          <w:highlight w:val="none"/>
          <w:lang w:val="en-US" w:eastAsia="zh-CN" w:bidi="ar-SA"/>
        </w:rPr>
        <w:t>物联网、边缘计算及人工智能等新一代信息技术与有色冶炼工艺，将工业以太网冗余架构、机器学习预测模型等前沿技术纳入标准体系，瞄准行业未来3-5年的智能化发展方向，为技术升级提供前瞻性支撑，确保标准技术水平处于行业领先地位。</w:t>
      </w:r>
    </w:p>
    <w:p w14:paraId="2D0C7186">
      <w:pPr>
        <w:numPr>
          <w:ilvl w:val="0"/>
          <w:numId w:val="2"/>
        </w:numPr>
        <w:spacing w:line="360" w:lineRule="auto"/>
        <w:ind w:left="0" w:leftChars="0" w:firstLine="480" w:firstLineChars="200"/>
        <w:rPr>
          <w:rFonts w:hint="default" w:ascii="黑体" w:hAnsi="黑体" w:eastAsia="黑体" w:cs="黑体"/>
          <w:b w:val="0"/>
          <w:bCs/>
          <w:color w:val="auto"/>
          <w:sz w:val="24"/>
          <w:szCs w:val="24"/>
          <w:highlight w:val="none"/>
          <w:lang w:val="en-US" w:eastAsia="zh-CN"/>
        </w:rPr>
      </w:pPr>
      <w:r>
        <w:rPr>
          <w:rFonts w:hint="default" w:ascii="黑体" w:hAnsi="黑体" w:eastAsia="黑体" w:cs="黑体"/>
          <w:b w:val="0"/>
          <w:bCs/>
          <w:color w:val="auto"/>
          <w:sz w:val="24"/>
          <w:szCs w:val="24"/>
          <w:highlight w:val="none"/>
          <w:lang w:val="en-US" w:eastAsia="zh-CN"/>
        </w:rPr>
        <w:t>实用性原则</w:t>
      </w:r>
    </w:p>
    <w:p w14:paraId="6AA55280">
      <w:pPr>
        <w:numPr>
          <w:ilvl w:val="0"/>
          <w:numId w:val="0"/>
        </w:num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聚焦有色冶炼行业生产环境恶劣、原料成分波动大、智能化水平不足等突出痛点，提出智能调度、精准定位、远程集控、自动盘库、避障防护等具体技术要求，内容详实可操作，能够直接指导企业开展智能化改造，帮助解决配料合格率低、设备利用率不高等实际问题。</w:t>
      </w:r>
    </w:p>
    <w:p w14:paraId="2D1A355F">
      <w:pPr>
        <w:numPr>
          <w:ilvl w:val="0"/>
          <w:numId w:val="2"/>
        </w:numPr>
        <w:spacing w:line="360" w:lineRule="auto"/>
        <w:ind w:left="0" w:leftChars="0" w:firstLine="48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黑体" w:hAnsi="黑体" w:eastAsia="黑体" w:cs="黑体"/>
          <w:b w:val="0"/>
          <w:bCs/>
          <w:color w:val="auto"/>
          <w:sz w:val="24"/>
          <w:szCs w:val="24"/>
          <w:highlight w:val="none"/>
          <w:lang w:val="en-US" w:eastAsia="zh-CN"/>
        </w:rPr>
        <w:t>自主性原则</w:t>
      </w:r>
    </w:p>
    <w:p w14:paraId="59BE0167">
      <w:pPr>
        <w:numPr>
          <w:ilvl w:val="0"/>
          <w:numId w:val="0"/>
        </w:num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立足我国有色冶炼行业工艺特点和技术实践，核心技术要求如适配多原料特性的配料预测模型、多车协同控制算法、自动盘库统计模型等均基于自主研发成果制定，同时合理借鉴国际通用技术指标，形成具有自主知识产权的标准内容，降低对国外技术规范的依赖。</w:t>
      </w:r>
    </w:p>
    <w:p w14:paraId="00A587B2">
      <w:pPr>
        <w:numPr>
          <w:ilvl w:val="0"/>
          <w:numId w:val="2"/>
        </w:numPr>
        <w:spacing w:line="360" w:lineRule="auto"/>
        <w:ind w:left="0" w:leftChars="0" w:firstLine="480" w:firstLine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通用性原则</w:t>
      </w:r>
    </w:p>
    <w:p w14:paraId="4E91C039">
      <w:pPr>
        <w:numPr>
          <w:ilvl w:val="0"/>
          <w:numId w:val="0"/>
        </w:num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充分考虑铜、铝、锌等不同有色金属冶炼的配料工艺差异，在关键技术指标设定和系统架构设计上预留适配空间，确保标准可覆盖主要有色品种的生产场景，同时兼容不同规模企业的技术改造需求，提升标准的适用范围。标准库、配方库的建立，不同行业（铅锌铜铝镍等）工艺机理的通用性。</w:t>
      </w:r>
    </w:p>
    <w:p w14:paraId="0D373369">
      <w:pPr>
        <w:numPr>
          <w:ilvl w:val="0"/>
          <w:numId w:val="2"/>
        </w:numPr>
        <w:spacing w:line="360" w:lineRule="auto"/>
        <w:ind w:left="0" w:leftChars="0" w:firstLine="480" w:firstLine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创新性原则</w:t>
      </w:r>
    </w:p>
    <w:p w14:paraId="44EF5D8C">
      <w:pPr>
        <w:numPr>
          <w:ilvl w:val="0"/>
          <w:numId w:val="0"/>
        </w:num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突破传统配料工艺的技术瓶颈，在工业以太网远程控制架构、起重机单参数定位算法、集成化配料预测模型、人机物避障系统等方面融入创新成果，通过技术创新推动配料环节实现“自感知、自学习、自决策、自防护”的智能化升级，助力行业突破现有生产模式限制。</w:t>
      </w:r>
    </w:p>
    <w:p w14:paraId="740081C7">
      <w:pPr>
        <w:numPr>
          <w:ilvl w:val="0"/>
          <w:numId w:val="2"/>
        </w:numPr>
        <w:spacing w:line="360" w:lineRule="auto"/>
        <w:ind w:left="0" w:leftChars="0" w:firstLine="480" w:firstLine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规范性原则</w:t>
      </w:r>
    </w:p>
    <w:p w14:paraId="4A36EB93">
      <w:pPr>
        <w:numPr>
          <w:ilvl w:val="0"/>
          <w:numId w:val="0"/>
        </w:num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严格与现行的GB/T3811-2008《起重机设计规范》《有色金属行业智能冶炼厂建设指南（试行）》等国家标准及工信部发文保持衔接，统一“防摇摆控制”“协同作业”“自动盘库”等关键术语表述，确保标准内部逻辑一致、技术指标规范，同时与环保、职业健康等相关法律法规相契合，保障标准的合规性与严谨性。</w:t>
      </w:r>
    </w:p>
    <w:p w14:paraId="096578B6">
      <w:pPr>
        <w:keepNext w:val="0"/>
        <w:keepLines w:val="0"/>
        <w:pageBreakBefore w:val="0"/>
        <w:widowControl w:val="0"/>
        <w:numPr>
          <w:ilvl w:val="0"/>
          <w:numId w:val="1"/>
        </w:numPr>
        <w:kinsoku/>
        <w:wordWrap/>
        <w:overflowPunct/>
        <w:topLinePunct w:val="0"/>
        <w:autoSpaceDE/>
        <w:autoSpaceDN/>
        <w:bidi w:val="0"/>
        <w:adjustRightInd/>
        <w:snapToGrid/>
        <w:spacing w:before="157" w:beforeLines="50" w:beforeAutospacing="0" w:after="157" w:afterLines="50" w:line="360" w:lineRule="auto"/>
        <w:textAlignment w:val="auto"/>
        <w:outlineLvl w:val="0"/>
        <w:rPr>
          <w:rFonts w:hint="eastAsia" w:asciiTheme="minorEastAsia" w:hAnsiTheme="minorEastAsia" w:eastAsiaTheme="minorEastAsia" w:cstheme="minorBidi"/>
          <w:b/>
          <w:color w:val="auto"/>
          <w:kern w:val="2"/>
          <w:sz w:val="32"/>
          <w:szCs w:val="32"/>
          <w:highlight w:val="none"/>
          <w:lang w:val="en-US" w:eastAsia="zh-CN"/>
        </w:rPr>
      </w:pPr>
      <w:r>
        <w:rPr>
          <w:rFonts w:hint="eastAsia" w:asciiTheme="minorEastAsia" w:hAnsiTheme="minorEastAsia" w:eastAsiaTheme="minorEastAsia" w:cstheme="minorBidi"/>
          <w:b/>
          <w:color w:val="auto"/>
          <w:kern w:val="2"/>
          <w:sz w:val="32"/>
          <w:szCs w:val="32"/>
          <w:highlight w:val="none"/>
          <w:lang w:val="en-US" w:eastAsia="zh-CN"/>
        </w:rPr>
        <w:t>标准主要内容的确定依据及主要试验和验证情况分析</w:t>
      </w:r>
    </w:p>
    <w:p w14:paraId="07728D7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标准主要内容涵盖智能调度与精准配料系统、无人起重机定位控制与防摇摆优化、工业以太网远程集控技术、自动盘库统计、作业面人机物避障等核心模块，其确定依据主要来源于行业实践经验、技术突破成果及相关政策要求。在智能配料系统方面，基于多家冶炼企业的生产数据，将多仓协同调度、动态配方调整、自动盘库统计等功能纳入标准，确保原料利用率提升10%以上;无人起重机的定位精度指标(≤±5mm)和防摇摆要求(摇摆角度≤±0.5°)，通过在中金岭南丹霞冶炼厂的试验验证确定，经过连续作业测试，该指标可使配料合格率从78%提升至95%。工业以太网远程集控技术中的时延(&lt;20ms)和可靠性(&gt;99.99%)指标，依托企业级工业以太网试点项目的运行数据，在高温、粉尘的冶炼环境下经过3个月的稳定性测试，未出现通讯中断情况，充分验证了技术的可行性。配料预测模型部分，宜具备符合车间工艺的动态配料算法，通过融合多元线性回归与LSTM企业生产工艺，定制开发配料算法，根据物料消耗和来料情况动态规划库区物料配方，实现物料的高效利用，并提高物料周转效率。利用某冶炼企业5年的历史检化验数据进行训练，预测准确率达到92%，为精准配料提供了可靠依据。作业面人机物避障系统经中金岭南丹霞冶炼厂现场验证，可实现0.3s内快速响应，避障成功率达99.8%，有效保障作业安全。</w:t>
      </w:r>
    </w:p>
    <w:p w14:paraId="4593055D">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1、范围</w:t>
      </w:r>
    </w:p>
    <w:p w14:paraId="6D9391ED">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本标准规定了有色金属冶炼配料智能控制系统的总体架构，技术要求，效率要求，试验方法，检验要求</w:t>
      </w:r>
      <w:r>
        <w:rPr>
          <w:rFonts w:hint="default" w:asciiTheme="minorEastAsia" w:hAnsiTheme="minorEastAsia" w:eastAsiaTheme="minorEastAsia" w:cstheme="minorEastAsia"/>
          <w:color w:val="auto"/>
          <w:kern w:val="2"/>
          <w:sz w:val="22"/>
          <w:szCs w:val="22"/>
          <w:highlight w:val="none"/>
          <w:lang w:val="en-US" w:eastAsia="zh-CN" w:bidi="ar-SA"/>
        </w:rPr>
        <w:t>。</w:t>
      </w:r>
    </w:p>
    <w:p w14:paraId="23EC52AC">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本</w:t>
      </w:r>
      <w:r>
        <w:rPr>
          <w:rFonts w:hint="eastAsia" w:asciiTheme="minorEastAsia" w:hAnsiTheme="minorEastAsia" w:eastAsiaTheme="minorEastAsia" w:cstheme="minorEastAsia"/>
          <w:color w:val="auto"/>
          <w:kern w:val="2"/>
          <w:sz w:val="22"/>
          <w:szCs w:val="22"/>
          <w:highlight w:val="none"/>
          <w:lang w:val="en-US" w:eastAsia="zh-CN" w:bidi="ar-SA"/>
        </w:rPr>
        <w:t>标准</w:t>
      </w:r>
      <w:r>
        <w:rPr>
          <w:rFonts w:hint="default" w:asciiTheme="minorEastAsia" w:hAnsiTheme="minorEastAsia" w:eastAsiaTheme="minorEastAsia" w:cstheme="minorEastAsia"/>
          <w:color w:val="auto"/>
          <w:kern w:val="2"/>
          <w:sz w:val="22"/>
          <w:szCs w:val="22"/>
          <w:highlight w:val="none"/>
          <w:lang w:val="en-US" w:eastAsia="zh-CN" w:bidi="ar-SA"/>
        </w:rPr>
        <w:t>适用于有色金属冶炼工艺中配料智能</w:t>
      </w:r>
      <w:r>
        <w:rPr>
          <w:rFonts w:hint="eastAsia" w:asciiTheme="minorEastAsia" w:hAnsiTheme="minorEastAsia" w:eastAsiaTheme="minorEastAsia" w:cstheme="minorEastAsia"/>
          <w:color w:val="auto"/>
          <w:kern w:val="2"/>
          <w:sz w:val="22"/>
          <w:szCs w:val="22"/>
          <w:highlight w:val="none"/>
          <w:lang w:val="en-US" w:eastAsia="zh-CN" w:bidi="ar-SA"/>
        </w:rPr>
        <w:t>配料</w:t>
      </w:r>
      <w:r>
        <w:rPr>
          <w:rFonts w:hint="default" w:asciiTheme="minorEastAsia" w:hAnsiTheme="minorEastAsia" w:eastAsiaTheme="minorEastAsia" w:cstheme="minorEastAsia"/>
          <w:color w:val="auto"/>
          <w:kern w:val="2"/>
          <w:sz w:val="22"/>
          <w:szCs w:val="22"/>
          <w:highlight w:val="none"/>
          <w:lang w:val="en-US" w:eastAsia="zh-CN" w:bidi="ar-SA"/>
        </w:rPr>
        <w:t>系统的新建、改建、扩建及</w:t>
      </w:r>
      <w:r>
        <w:rPr>
          <w:rFonts w:hint="eastAsia" w:asciiTheme="minorEastAsia" w:hAnsiTheme="minorEastAsia" w:eastAsiaTheme="minorEastAsia" w:cstheme="minorEastAsia"/>
          <w:color w:val="auto"/>
          <w:kern w:val="2"/>
          <w:sz w:val="22"/>
          <w:szCs w:val="22"/>
          <w:highlight w:val="none"/>
          <w:lang w:val="en-US" w:eastAsia="zh-CN" w:bidi="ar-SA"/>
        </w:rPr>
        <w:t>智能化</w:t>
      </w:r>
      <w:r>
        <w:rPr>
          <w:rFonts w:hint="default" w:asciiTheme="minorEastAsia" w:hAnsiTheme="minorEastAsia" w:eastAsiaTheme="minorEastAsia" w:cstheme="minorEastAsia"/>
          <w:color w:val="auto"/>
          <w:kern w:val="2"/>
          <w:sz w:val="22"/>
          <w:szCs w:val="22"/>
          <w:highlight w:val="none"/>
          <w:lang w:val="en-US" w:eastAsia="zh-CN" w:bidi="ar-SA"/>
        </w:rPr>
        <w:t>升级改造项目</w:t>
      </w:r>
      <w:r>
        <w:rPr>
          <w:rFonts w:hint="eastAsia" w:asciiTheme="minorEastAsia" w:hAnsiTheme="minorEastAsia" w:eastAsiaTheme="minorEastAsia" w:cstheme="minorEastAsia"/>
          <w:color w:val="auto"/>
          <w:kern w:val="2"/>
          <w:sz w:val="22"/>
          <w:szCs w:val="22"/>
          <w:highlight w:val="none"/>
          <w:lang w:val="en-US" w:eastAsia="zh-CN" w:bidi="ar-SA"/>
        </w:rPr>
        <w:t>，</w:t>
      </w:r>
      <w:r>
        <w:rPr>
          <w:rFonts w:hint="default" w:asciiTheme="minorEastAsia" w:hAnsiTheme="minorEastAsia" w:eastAsiaTheme="minorEastAsia" w:cstheme="minorEastAsia"/>
          <w:color w:val="auto"/>
          <w:kern w:val="2"/>
          <w:sz w:val="22"/>
          <w:szCs w:val="22"/>
          <w:highlight w:val="none"/>
          <w:lang w:val="en-US" w:eastAsia="zh-CN" w:bidi="ar-SA"/>
        </w:rPr>
        <w:t>其他冶金行业智能配料系统可参照执行</w:t>
      </w:r>
      <w:r>
        <w:rPr>
          <w:rFonts w:hint="eastAsia" w:asciiTheme="minorEastAsia" w:hAnsiTheme="minorEastAsia" w:eastAsiaTheme="minorEastAsia" w:cstheme="minorEastAsia"/>
          <w:color w:val="auto"/>
          <w:kern w:val="2"/>
          <w:sz w:val="22"/>
          <w:szCs w:val="22"/>
          <w:highlight w:val="none"/>
          <w:lang w:val="en-US" w:eastAsia="zh-CN" w:bidi="ar-SA"/>
        </w:rPr>
        <w:t>。</w:t>
      </w:r>
    </w:p>
    <w:p w14:paraId="7F842DB4">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2、规范性引用文件</w:t>
      </w:r>
    </w:p>
    <w:p w14:paraId="4D92174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下列文件对于本文件的应用是必不可少的。凡是注日期的引用文件，仅注日期的版本适用于本文件。凡是不注日期的引用文件，其最新版本（包括所有的修改）适用于本文件。</w:t>
      </w:r>
    </w:p>
    <w:p w14:paraId="6FA11172">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3811 起重机设计规范</w:t>
      </w:r>
    </w:p>
    <w:p w14:paraId="2C4A5312">
      <w:pPr>
        <w:numPr>
          <w:ilvl w:val="0"/>
          <w:numId w:val="3"/>
        </w:numPr>
        <w:spacing w:line="360" w:lineRule="auto"/>
        <w:ind w:firstLine="0"/>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5226.1 机械电气安全 机械电气设备 第1部分：通用技术条件</w:t>
      </w:r>
    </w:p>
    <w:p w14:paraId="230D6EE8">
      <w:pPr>
        <w:numPr>
          <w:ilvl w:val="0"/>
          <w:numId w:val="3"/>
        </w:numPr>
        <w:spacing w:line="360" w:lineRule="auto"/>
        <w:ind w:firstLine="0"/>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6067.1 起重机械安全规程 第1部分：总则</w:t>
      </w:r>
    </w:p>
    <w:p w14:paraId="48BF2DB7">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14405 通用桥式起重机</w:t>
      </w:r>
    </w:p>
    <w:p w14:paraId="29045C06">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28264 起重机械安全监控系统</w:t>
      </w:r>
    </w:p>
    <w:p w14:paraId="5BEE2DFD">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30094 工业以太网交换机技术规范</w:t>
      </w:r>
    </w:p>
    <w:p w14:paraId="50405E54">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33863 OPC统一架构</w:t>
      </w:r>
    </w:p>
    <w:p w14:paraId="3A5B67C3">
      <w:pPr>
        <w:numPr>
          <w:ilvl w:val="0"/>
          <w:numId w:val="3"/>
        </w:numPr>
        <w:spacing w:line="360" w:lineRule="auto"/>
        <w:ind w:firstLine="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GB/T 45163.1 起重机械 智能化系统 第1部分：术语和分级</w:t>
      </w:r>
    </w:p>
    <w:p w14:paraId="6F7EC41B">
      <w:pPr>
        <w:numPr>
          <w:ilvl w:val="0"/>
          <w:numId w:val="3"/>
        </w:numPr>
        <w:spacing w:line="360" w:lineRule="auto"/>
        <w:ind w:firstLine="0"/>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JB/T 13481-2018《起重机用抓斗》</w:t>
      </w:r>
    </w:p>
    <w:p w14:paraId="1C61778B">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3、术语和定义</w:t>
      </w:r>
    </w:p>
    <w:p w14:paraId="272A009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GB/T 45163.1、GB/T 30094界定的及下列术语和定义适用于本文件。</w:t>
      </w:r>
    </w:p>
    <w:p w14:paraId="44E2347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3.1 有色金属智能配料 non-ferrous metal intelligent batching</w:t>
      </w:r>
    </w:p>
    <w:p w14:paraId="174A836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指基于数据采集、分析决策、精准执行与自适应优化的闭环控制机制，针对有色金属冶炼工艺要求，实现多品类物料配比优化、工艺参数动态调控及全流程质量追溯的智能化配料过程。</w:t>
      </w:r>
    </w:p>
    <w:p w14:paraId="0100024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3.2 设备智能诊断 equipment intelligent diagnosis</w:t>
      </w:r>
    </w:p>
    <w:p w14:paraId="1FFEC25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基于设备运行状态监测数据，具备异常工况自动识别、故障风险预测评估、故障根源分析及维修决策支持功能的智能运维机制。</w:t>
      </w:r>
    </w:p>
    <w:p w14:paraId="55597AF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3.3 智能起重机 intelligent lifting appliance</w:t>
      </w:r>
    </w:p>
    <w:p w14:paraId="59617E8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融合计算机网络、大数据、物联网、人工智能等技术，以人、机、环境互为协调的整合体，通过感知、决策、执行及其他综合能力，满足吊运作业需求的属性的起重机。</w:t>
      </w:r>
    </w:p>
    <w:p w14:paraId="563536A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[来源:GB/T 45163.1-2026,3.1,有修改]</w:t>
      </w:r>
    </w:p>
    <w:p w14:paraId="1B66E5D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3.4 工业以太网技术 Industrial Ethernet Technology</w:t>
      </w:r>
    </w:p>
    <w:p w14:paraId="33379B4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适用于工业环境的以太网技术，具有低时延、高可靠、抗干扰、冗余备份等特性，为工业设备互联、数据传输及远程控制提供网络支撑。</w:t>
      </w:r>
    </w:p>
    <w:p w14:paraId="2879AAA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3.5 防摇摆装置 Anti-sway device</w:t>
      </w:r>
    </w:p>
    <w:p w14:paraId="6587131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在起重机械启动、运行和制动过程中，防止或减少吊具或载荷在平衡位置处做往复摆动运动的能力的控制算法。</w:t>
      </w:r>
    </w:p>
    <w:p w14:paraId="00A2B44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3.6 自动盘库统计 automatic inventory statistics</w:t>
      </w:r>
    </w:p>
    <w:p w14:paraId="013D340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通过激光扫描、视觉识别等技术，自动采集库区物料的种类、数量、位置等信息，实现物料库存的实时统计、更新与追溯的功能模块。</w:t>
      </w:r>
    </w:p>
    <w:p w14:paraId="0A73C256">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3.7 作业面人机物避障 obstacle avoidance for man, machine, and material on the working surface</w:t>
      </w:r>
    </w:p>
    <w:p w14:paraId="623B073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通过传感器感知作业区域内的人员、设备、物料等障碍物，自动触发减速、停止或路径调整等动作，避免碰撞事故的防护机制。</w:t>
      </w:r>
    </w:p>
    <w:p w14:paraId="1BDC600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3.8 定位装置 positioning device</w:t>
      </w:r>
    </w:p>
    <w:p w14:paraId="32175C00">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采用激光定位、编码器定位、格雷母线等复合定位技术，实现起重机在三维空间内的高精度位置控制，满足配料作业的精准对接要求。</w:t>
      </w:r>
    </w:p>
    <w:p w14:paraId="6CBAE1A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3.9 运力规划、计算 Capacity Planning and Calculation</w:t>
      </w:r>
    </w:p>
    <w:p w14:paraId="70554EC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配料系统可根据车间生产效率要求，对起重机抓料配料作业进行规划，适配车间生产效率要求。配料系统运力主要依靠起重机完成。起重机的起重量，抓斗体积，物料密度，起重机作业路径等都直接影响车间生产效率。配料系统可统筹规划起重机调度和作业效率，满足车间的生产要求。</w:t>
      </w:r>
    </w:p>
    <w:p w14:paraId="58B7B9D7">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4、技术要求说明</w:t>
      </w:r>
    </w:p>
    <w:p w14:paraId="5580E239">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4.1架构描述</w:t>
      </w:r>
    </w:p>
    <w:p w14:paraId="7ACF2D5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有色金属冶炼智能配料技术要求，遵循边缘协同、全域感知、智能决策、纵深防护的设计原则，采用三层级一体系的总体架构，自下而上分为感知执行层、边缘控制层、平台决策层，配套贯穿全层级的安全防护体系，支撑配料全流程实现自感知、自决策、自执行、自优化的智能化运行目标。无人起重机系统可根据车间生产效率要求，优化配料系统算法，规划配料作业路径和变更生产节拍。起重机的生产节拍可根据多次作业数据进行统计和计算，并通过自学习，优化各工序作业的路径、调度算法等，生成最优作业计划，提高车车间物料搬运效率。</w:t>
      </w:r>
    </w:p>
    <w:p w14:paraId="350F1F2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4.1.1感知执行层</w:t>
      </w:r>
    </w:p>
    <w:p w14:paraId="7DCD3DF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作为系统的物理感知终端与作业执行载体，由计量传感单元、环境感知单元、定位识别单元、智能作业装备四类模块构成，具体涵盖高精度称重传感设备、激光扫描装置、工业视觉采集设备、多源定位系统、智能起重装备、定量给料装置等。该层级承担原料属性参数、设备运行状态、现场环境指标的全维度数据采集职能，同时精准响应上层控制指令，完成物料抓取、称量、转运、投料、匀化等现场作业动作。</w:t>
      </w:r>
    </w:p>
    <w:p w14:paraId="3E8EB766">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4.1.2边缘控制层</w:t>
      </w:r>
    </w:p>
    <w:p w14:paraId="330FFDB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部署于配料车间现场，承担实时逻辑控制、数据预处理、本地应急响应职能，保障配料控制指令的低时延下发与执行;保障低时延控制与断网工况下的基础运行等。</w:t>
      </w:r>
    </w:p>
    <w:p w14:paraId="25DB545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4.1.3平台决策层</w:t>
      </w:r>
    </w:p>
    <w:p w14:paraId="5F8080D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作为系统的全局智能中枢,部署于企业级工业互联网平台或生产管控中心,依托冶金机理模型、工业大数据驱动模型与数字孪生技术，结合现场工况、工序节拍及物料成分动态特征，承载配方智能管理、作业调度优化、质量趋势分析、仓储智能管控、配料数字孪生等核心功能模块。该层级对接企业MES、ERP、LIMS等生产管理与检测系统，基于全量工艺数据与生产实绩开展全局优化与工艺迭代，为配料全流程生产提供智能化决策支撑与可视化管控。</w:t>
      </w:r>
    </w:p>
    <w:p w14:paraId="1614A51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4.1.4安全防护层</w:t>
      </w:r>
    </w:p>
    <w:p w14:paraId="4440EE8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安全防护体系贯穿感知执行层、边缘控制层与平台决策层全链路，覆盖网络安全、设备安全、工艺安全、人员安全四大维度，遵循分级防护、冗余备份、应急降级的设计原则，构建多级联动的立体安全防护架构，适配有色金属冶炼配料现场高温高粉尘、人机交叉作业的高风险工况，保障系统全场景、全工况下安全稳定运行。</w:t>
      </w:r>
    </w:p>
    <w:p w14:paraId="0B5E2D5B">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4.2网络架构和功能</w:t>
      </w:r>
    </w:p>
    <w:p w14:paraId="63DB6CF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配料智能控制系统采用工业以太网架构，包括终端接入层、汇聚层、核心层、安全防护层:</w:t>
      </w:r>
    </w:p>
    <w:p w14:paraId="14D8AF9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4.2.1终端接入层</w:t>
      </w:r>
    </w:p>
    <w:p w14:paraId="5BC9238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连接智能起重机、传感器、激光雷达、定位装置、PLC、监控终端等设备，采用工业以太网交换机实现数据接入。</w:t>
      </w:r>
    </w:p>
    <w:p w14:paraId="68D61ED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4.2.2汇聚层</w:t>
      </w:r>
    </w:p>
    <w:p w14:paraId="337B2C0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汇聚接入层数据，采用无线、光纤等通讯技术，保障数据传输可靠性。</w:t>
      </w:r>
    </w:p>
    <w:p w14:paraId="42E99AD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4.2.3核心层</w:t>
      </w:r>
    </w:p>
    <w:p w14:paraId="1E49551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负责数据转发与调度,支持多业务并发处理,具备高带宽、低时延特性。</w:t>
      </w:r>
    </w:p>
    <w:p w14:paraId="344CB37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4.2.4安全防护层</w:t>
      </w:r>
    </w:p>
    <w:p w14:paraId="72D90EA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横跨终端接入层、汇聚层、核心层,部署防火墙、入侵检测等设备,保障网络与数据安全。</w:t>
      </w:r>
    </w:p>
    <w:p w14:paraId="27338EC6">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网络架构应满足有色金属冶炼现场高温、高粉尘、电磁干扰等环境下的高可靠、高带宽、低时延和高安全性要求，保障智能起重机、配料系统和盘库系统等关键业务的连续稳定运行。</w:t>
      </w:r>
    </w:p>
    <w:p w14:paraId="18B4B104">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4.3功能构成</w:t>
      </w:r>
    </w:p>
    <w:p w14:paraId="0E9741B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配料智能控制系统宜包括原料称量、配方管理、作业调度、仓储管控等功能:</w:t>
      </w:r>
    </w:p>
    <w:p w14:paraId="6A148A2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a)称重功能,实现原料自动化称重,宜采用起重机本体自带的起重量传感器实现称重;根据称重精度需求,如又称重高精度要求,宜在小车上安装称重模块,起重量传感器可选择定滑轮轴式、轴承座承压式;</w:t>
      </w:r>
    </w:p>
    <w:p w14:paraId="4000C43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b)配方管理功能,支持配方新建、编辑、归档、停用、权限分级管理,可设置原料配比、投料顺序、工艺参数、配比上下限等;</w:t>
      </w:r>
    </w:p>
    <w:p w14:paraId="77AEAA0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c)作业调度,统筹全流程配料任务,实现生产节拍智能化管控;接收配料数据后,自动分解配料任务,自动生成作业任务并发送给起重机,监测起重机作业状态;</w:t>
      </w:r>
    </w:p>
    <w:p w14:paraId="28CDAF9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d)仓储管理,涵盖原料入库、出库、移库、盘点、库位分配、库存预警功能;</w:t>
      </w:r>
    </w:p>
    <w:p w14:paraId="60660A5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e)作业监控,部署传感器,接收起重机作业状态反馈,实现任务的实时跟踪与动态调整。</w:t>
      </w:r>
    </w:p>
    <w:p w14:paraId="12760452">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4.4工作环境条件 </w:t>
      </w:r>
    </w:p>
    <w:p w14:paraId="5EDC0FF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有色金属冶炼智能配料技术的设计和环境条件除应符合GB/T3811、GB/T6067.1、GB/T 5226.1和GB/T 45163.1的规定外，还应符合以下要求:</w:t>
      </w:r>
    </w:p>
    <w:p w14:paraId="5EB8DA9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a)应符合有色金属冶炼配料现场的高温、高粉尘、振动等工作环境要求;</w:t>
      </w:r>
    </w:p>
    <w:p w14:paraId="3FE5F9D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b)智能起重机应具有足够的抗电磁骚扰能力，使其能在预期环境中正常工作;</w:t>
      </w:r>
    </w:p>
    <w:p w14:paraId="74BD049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c)智能起重机在有色金属冶炼的工作环境条件下，应能稳定连续工作。</w:t>
      </w:r>
    </w:p>
    <w:p w14:paraId="1B3766E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d)具备防尘、防水，符合环保排放要求。</w:t>
      </w:r>
    </w:p>
    <w:p w14:paraId="5DD27E83">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4.5基本要求 </w:t>
      </w:r>
    </w:p>
    <w:p w14:paraId="2D0162A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4.5.1操作模式</w:t>
      </w:r>
    </w:p>
    <w:p w14:paraId="36C4DB7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支持自动、手动、应急手动三种可平稳切换模式;自动模式可按预设工艺参数实现全流程无人干预配料，手动模式可人工调控各环节参数，应急手动模式作为故障备用，手动模式与自动模式之间应设置安全切换条件和互锁机制，确保模式切换不引发安全事故，所有操作应具备权限管控及操作记录可追溯功能。</w:t>
      </w:r>
    </w:p>
    <w:p w14:paraId="7C403C8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4.5.2工业网络</w:t>
      </w:r>
    </w:p>
    <w:p w14:paraId="2DE219A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满足GB/T30094中的基本要求，应达到控制业务端到端时延≤20ms，传输可靠性≥99.9%;库区无无线信号盲区，传感器数据丢包率≤0.01%，交换设备支持并发终端接入≥200台，单次业务交互响应时间≤1s。</w:t>
      </w:r>
    </w:p>
    <w:p w14:paraId="5D6BE2E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4.5.3定位装置</w:t>
      </w:r>
    </w:p>
    <w:p w14:paraId="518DF51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采用激光定位、编码器定位、格雷母线等复合定位技术，智能起重机在三维空间内的高精度位置控制，满足配料作业的精准对接要求。实现起重机三维精确定位，大车定位精度≤5mm、小车≤3mm。</w:t>
      </w:r>
    </w:p>
    <w:p w14:paraId="79D5089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4.5.4防摇摆装置</w:t>
      </w:r>
    </w:p>
    <w:p w14:paraId="0A4B140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宜采用机械、电子防摇摆装置，加速/减速过程两个单摆周期阶段吊重摇摆角度≤±0.5°。</w:t>
      </w:r>
    </w:p>
    <w:p w14:paraId="19AB811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4.5.5设备联动</w:t>
      </w:r>
    </w:p>
    <w:p w14:paraId="5ABA7DE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感知、控制、执行、数据处理等各单元设备协同联动，支持设备运行状态实时联动反馈，出现异常时自动触发联动停机或应急调整。</w:t>
      </w:r>
    </w:p>
    <w:p w14:paraId="523E973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4.5.5兼容扩展性</w:t>
      </w:r>
    </w:p>
    <w:p w14:paraId="7A8FEF3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支持与MES、PMS等系统对接，预留接口，可适配后续工艺升级、功能拓展需求。</w:t>
      </w:r>
    </w:p>
    <w:p w14:paraId="53CA5940">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4.6控制算法要求 </w:t>
      </w:r>
    </w:p>
    <w:p w14:paraId="09265856">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4.6.1运力规划、计算</w:t>
      </w:r>
    </w:p>
    <w:p w14:paraId="668FC94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宜具备任务优先级排序算法、路径优化算法、多机协同避碰算法，实现运力规划、计算的任务分配与路径调整。</w:t>
      </w:r>
    </w:p>
    <w:p w14:paraId="58B7F52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4.6.2多组分配比智能优化算法</w:t>
      </w:r>
    </w:p>
    <w:p w14:paraId="0B13A44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适配有色金属冶炼多品类、成分波动大的原料特性，构建以冶炼目标成分为核心的配比计算模型，综合原料品位、杂质含量、工艺约束、成本限额等维度，自动生成最优配料方案;支持多约束条件下的配比快速求解,适配不同冶炼工艺路线的差异化配料需求,实现配料成本与冶炼指标的协同优化。</w:t>
      </w:r>
    </w:p>
    <w:p w14:paraId="0B5E8F6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4.6.3成分动态自适应调整算法</w:t>
      </w:r>
    </w:p>
    <w:p w14:paraId="246058A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具备来料成分实时接入与解析能力，当原料成分偏离预设阈值时，自动触发配比动态修正，实时调整各物料投加比例;支持与在线检测设备数据联动，形成“成分检测-配比调整-效果验证”的闭环控制，降低原料波动对冶炼稳定性的影响。</w:t>
      </w:r>
    </w:p>
    <w:p w14:paraId="7297365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4.6.4配方自学习与迭代算法</w:t>
      </w:r>
    </w:p>
    <w:p w14:paraId="343C0DE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宜建立配方运行效果回溯机制,采集历史配料实绩、配料产出数据,自动评估不同配方方案的适用性与稳定性;支持基于历史数据的配方参数自优化,逐步提升配方对不同原料工况的适配能力,减少人工干预频次。</w:t>
      </w:r>
    </w:p>
    <w:p w14:paraId="45CD24E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4.6.5多目标协同优化算法</w:t>
      </w:r>
    </w:p>
    <w:p w14:paraId="3720133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宜统筹配料精度、作业效率、能耗水平、设备损耗等多维度目标,建立综合优化模型,避免单一指标优化导致的系统性失衡;支持根据生产优先级动态调整优化权重，适配正常生产、设备检修、工艺切换等不同场景的配料需求。</w:t>
      </w:r>
    </w:p>
    <w:p w14:paraId="0B04E811">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4.7安全监测及故障诊断要求 </w:t>
      </w:r>
    </w:p>
    <w:p w14:paraId="6B6EA42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4.7.1重机满足GB/T 28264中的基本要求，宜实时监测钢丝绳、运行数据、机电系统、网络通讯、操作逻辑等关键状态。</w:t>
      </w:r>
    </w:p>
    <w:p w14:paraId="7CA85C7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a)钢丝绳状态:卷绕状态(跳绳、脱槽)。</w:t>
      </w:r>
    </w:p>
    <w:p w14:paraId="6F4B726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b)运动与过程数据:监测起重机各机构的位移、速度、加速度、起升载荷、行程限位状态等;对关键数字量(IO状态)及模拟量(高度、载荷、行程、速度等)的实时映射。</w:t>
      </w:r>
    </w:p>
    <w:p w14:paraId="22EB745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c)机电系统状态:监测变频器/驱动装置的输出电流、转矩、母线电压、模块温度;监测制动器动作状态及主令控制器逻辑。</w:t>
      </w:r>
    </w:p>
    <w:p w14:paraId="65ABECE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d)网络与通讯状态:监测现场总线及工业以太网各控制子站的在线状态、丢包率及通讯时延，保障指令传输的确定性。</w:t>
      </w:r>
    </w:p>
    <w:p w14:paraId="43DFE22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e)核心部件健康状态:监测关键旋转部件(电机、减速机、行走轮轴承)的电流、转速、温度、振动频谱等，建立关键部件运行趋势分析模型。</w:t>
      </w:r>
    </w:p>
    <w:p w14:paraId="39006C0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f)操作逻辑状态:监测作业过程中主要操作指令、安全连锁开关及紧急停机按钮的状态，确保指令执行链路的完整性。</w:t>
      </w:r>
    </w:p>
    <w:p w14:paraId="6AFEEB6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g)电子围栏:</w:t>
      </w:r>
    </w:p>
    <w:p w14:paraId="7B360C8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4.7.2故障报警的系统响应时间应≤500ms，报警宜支持声光提示、移动端推送及远程联动功能。</w:t>
      </w:r>
    </w:p>
    <w:p w14:paraId="50A4F6C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4.7.3故障记录保存周期≥5年，支持历史故障追溯分析。</w:t>
      </w:r>
    </w:p>
    <w:p w14:paraId="1457E51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4.7.4具备故障自诊断功能,根据预设阈值及偏差趋势,可快速识别设备异常并定位故障点,分级触发运维工单。</w:t>
      </w:r>
    </w:p>
    <w:p w14:paraId="5B63E5E7">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4.8作业面人机物避障要求 </w:t>
      </w:r>
    </w:p>
    <w:p w14:paraId="6087617F">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4.8</w:t>
      </w:r>
      <w:r>
        <w:rPr>
          <w:rFonts w:hint="default" w:asciiTheme="minorEastAsia" w:hAnsiTheme="minorEastAsia" w:eastAsiaTheme="minorEastAsia" w:cstheme="minorEastAsia"/>
          <w:color w:val="auto"/>
          <w:kern w:val="2"/>
          <w:sz w:val="22"/>
          <w:szCs w:val="22"/>
          <w:highlight w:val="none"/>
          <w:lang w:val="en-US" w:eastAsia="zh-CN" w:bidi="ar-SA"/>
        </w:rPr>
        <w:t>.</w:t>
      </w:r>
      <w:r>
        <w:rPr>
          <w:rFonts w:hint="eastAsia" w:asciiTheme="minorEastAsia" w:hAnsiTheme="minorEastAsia" w:eastAsiaTheme="minorEastAsia" w:cstheme="minorEastAsia"/>
          <w:color w:val="auto"/>
          <w:kern w:val="2"/>
          <w:sz w:val="22"/>
          <w:szCs w:val="22"/>
          <w:highlight w:val="none"/>
          <w:lang w:val="en-US" w:eastAsia="zh-CN" w:bidi="ar-SA"/>
        </w:rPr>
        <w:t>1</w:t>
      </w:r>
      <w:r>
        <w:rPr>
          <w:rFonts w:hint="default" w:asciiTheme="minorEastAsia" w:hAnsiTheme="minorEastAsia" w:eastAsiaTheme="minorEastAsia" w:cstheme="minorEastAsia"/>
          <w:color w:val="auto"/>
          <w:kern w:val="2"/>
          <w:sz w:val="22"/>
          <w:szCs w:val="22"/>
          <w:highlight w:val="none"/>
          <w:lang w:val="en-US" w:eastAsia="zh-CN" w:bidi="ar-SA"/>
        </w:rPr>
        <w:t xml:space="preserve"> </w:t>
      </w:r>
      <w:r>
        <w:rPr>
          <w:rFonts w:hint="eastAsia" w:asciiTheme="minorEastAsia" w:hAnsiTheme="minorEastAsia" w:eastAsiaTheme="minorEastAsia" w:cstheme="minorEastAsia"/>
          <w:color w:val="auto"/>
          <w:kern w:val="2"/>
          <w:sz w:val="22"/>
          <w:szCs w:val="22"/>
          <w:highlight w:val="none"/>
          <w:lang w:val="en-US" w:eastAsia="zh-CN" w:bidi="ar-SA"/>
        </w:rPr>
        <w:t>宜</w:t>
      </w:r>
      <w:r>
        <w:rPr>
          <w:rFonts w:hint="default" w:asciiTheme="minorEastAsia" w:hAnsiTheme="minorEastAsia" w:eastAsiaTheme="minorEastAsia" w:cstheme="minorEastAsia"/>
          <w:color w:val="auto"/>
          <w:kern w:val="2"/>
          <w:sz w:val="22"/>
          <w:szCs w:val="22"/>
          <w:highlight w:val="none"/>
          <w:lang w:val="en-US" w:eastAsia="zh-CN" w:bidi="ar-SA"/>
        </w:rPr>
        <w:t>采用激光扫描仪+视觉传感器+超声波传感器的多传感器融合方案，覆盖起重机作业全范围，无感知盲区</w:t>
      </w:r>
      <w:r>
        <w:rPr>
          <w:rFonts w:hint="eastAsia" w:asciiTheme="minorEastAsia" w:hAnsiTheme="minorEastAsia" w:eastAsiaTheme="minorEastAsia" w:cstheme="minorEastAsia"/>
          <w:color w:val="auto"/>
          <w:kern w:val="2"/>
          <w:sz w:val="22"/>
          <w:szCs w:val="22"/>
          <w:highlight w:val="none"/>
          <w:lang w:val="en-US" w:eastAsia="zh-CN" w:bidi="ar-SA"/>
        </w:rPr>
        <w:t>,避障成功率应≥99.8%。</w:t>
      </w:r>
    </w:p>
    <w:p w14:paraId="6D5627C1">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4.8</w:t>
      </w:r>
      <w:r>
        <w:rPr>
          <w:rFonts w:hint="default" w:asciiTheme="minorEastAsia" w:hAnsiTheme="minorEastAsia" w:eastAsiaTheme="minorEastAsia" w:cstheme="minorEastAsia"/>
          <w:color w:val="auto"/>
          <w:kern w:val="2"/>
          <w:sz w:val="22"/>
          <w:szCs w:val="22"/>
          <w:highlight w:val="none"/>
          <w:lang w:val="en-US" w:eastAsia="zh-CN" w:bidi="ar-SA"/>
        </w:rPr>
        <w:t>.</w:t>
      </w:r>
      <w:r>
        <w:rPr>
          <w:rFonts w:hint="eastAsia" w:asciiTheme="minorEastAsia" w:hAnsiTheme="minorEastAsia" w:eastAsiaTheme="minorEastAsia" w:cstheme="minorEastAsia"/>
          <w:color w:val="auto"/>
          <w:kern w:val="2"/>
          <w:sz w:val="22"/>
          <w:szCs w:val="22"/>
          <w:highlight w:val="none"/>
          <w:lang w:val="en-US" w:eastAsia="zh-CN" w:bidi="ar-SA"/>
        </w:rPr>
        <w:t>2 可识别人员、设备、物料等多种障碍物，识别距离≥10 米（人员）、≥15米（大型设备 / 物料堆）。</w:t>
      </w:r>
    </w:p>
    <w:p w14:paraId="3C0290F9">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4.8</w:t>
      </w:r>
      <w:r>
        <w:rPr>
          <w:rFonts w:hint="default" w:asciiTheme="minorEastAsia" w:hAnsiTheme="minorEastAsia" w:eastAsiaTheme="minorEastAsia" w:cstheme="minorEastAsia"/>
          <w:color w:val="auto"/>
          <w:kern w:val="2"/>
          <w:sz w:val="22"/>
          <w:szCs w:val="22"/>
          <w:highlight w:val="none"/>
          <w:lang w:val="en-US" w:eastAsia="zh-CN" w:bidi="ar-SA"/>
        </w:rPr>
        <w:t>.</w:t>
      </w:r>
      <w:r>
        <w:rPr>
          <w:rFonts w:hint="eastAsia" w:asciiTheme="minorEastAsia" w:hAnsiTheme="minorEastAsia" w:eastAsiaTheme="minorEastAsia" w:cstheme="minorEastAsia"/>
          <w:color w:val="auto"/>
          <w:kern w:val="2"/>
          <w:sz w:val="22"/>
          <w:szCs w:val="22"/>
          <w:highlight w:val="none"/>
          <w:lang w:val="en-US" w:eastAsia="zh-CN" w:bidi="ar-SA"/>
        </w:rPr>
        <w:t>3 避障响应分级：预警距离（≥15 米）触发声光提示，减速距离（≥10 米）触发设备减速，紧急停止距离（≤5 米）触发设备急停，响应时间≤0.3 秒。</w:t>
      </w:r>
    </w:p>
    <w:p w14:paraId="06AEFB06">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4.8</w:t>
      </w:r>
      <w:r>
        <w:rPr>
          <w:rFonts w:hint="default" w:asciiTheme="minorEastAsia" w:hAnsiTheme="minorEastAsia" w:eastAsiaTheme="minorEastAsia" w:cstheme="minorEastAsia"/>
          <w:color w:val="auto"/>
          <w:kern w:val="2"/>
          <w:sz w:val="22"/>
          <w:szCs w:val="22"/>
          <w:highlight w:val="none"/>
          <w:lang w:val="en-US" w:eastAsia="zh-CN" w:bidi="ar-SA"/>
        </w:rPr>
        <w:t>.</w:t>
      </w:r>
      <w:r>
        <w:rPr>
          <w:rFonts w:hint="eastAsia" w:asciiTheme="minorEastAsia" w:hAnsiTheme="minorEastAsia" w:eastAsiaTheme="minorEastAsia" w:cstheme="minorEastAsia"/>
          <w:color w:val="auto"/>
          <w:kern w:val="2"/>
          <w:sz w:val="22"/>
          <w:szCs w:val="22"/>
          <w:highlight w:val="none"/>
          <w:lang w:val="en-US" w:eastAsia="zh-CN" w:bidi="ar-SA"/>
        </w:rPr>
        <w:t>4 支持避障参数自定义配置，三种技术路线传感器并联工作，安全冗余工作模式，单独传感器故障时，系统有故障报警及故障日志，且其传感器正常工作，保障避障功能不中断。</w:t>
      </w:r>
    </w:p>
    <w:p w14:paraId="21415E31">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4.9自动盘库统计 </w:t>
      </w:r>
    </w:p>
    <w:p w14:paraId="66CDB7D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4.9.1扫描范围覆盖整个库区，扫描精度≤±3mm。</w:t>
      </w:r>
    </w:p>
    <w:p w14:paraId="617F1C5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4.9.2自动盘库统计，支持多种物料类型识别，识别检测扫描范围覆盖需覆盖整个库区。</w:t>
      </w:r>
    </w:p>
    <w:p w14:paraId="51D8B7C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4.9.3盘库周期可按需配置，支持手动触发即时盘库。</w:t>
      </w:r>
    </w:p>
    <w:p w14:paraId="6365135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4.9.4自动生成库存统计报表,包含物料名称、数量、位置、库存周转率等信息。</w:t>
      </w:r>
    </w:p>
    <w:p w14:paraId="7E3AC43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4.9.5支持库存数据导出，可对接ERP、MES系统实现数据共享。</w:t>
      </w:r>
    </w:p>
    <w:p w14:paraId="5D8A9B3B">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4.10智能化配料要求 </w:t>
      </w:r>
    </w:p>
    <w:p w14:paraId="5D620D0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4.10.1构建感知-分析-决策一体化功能架构，区别于传统单纯数据采集，增加视觉识别、在线成分联动、异常感知智能功能要求。</w:t>
      </w:r>
    </w:p>
    <w:p w14:paraId="79DDD09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4.10.2实现少人、无人值守模式，配套人机协同辅助决策能力;</w:t>
      </w:r>
    </w:p>
    <w:p w14:paraId="3ABDEA1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4.10.3通用配方库、算法库建设，依托不同行业机理模型(冶金机理模型+工业大数据驱动模型)、预测性维护、数字孪生技术，结合现场工况、工序及物料成分，实现动静态配比自主优化、决策智能、配方优化，核心智能模块在原有模型要求基础上，强化多目标优化、来料自适应、自学习等功能。</w:t>
      </w:r>
    </w:p>
    <w:p w14:paraId="43E2F06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4.10.4</w:t>
      </w:r>
      <w:r>
        <w:rPr>
          <w:rFonts w:hint="eastAsia" w:cs="Times New Roman"/>
          <w:color w:val="auto"/>
          <w:highlight w:val="none"/>
          <w:lang w:val="en-US" w:eastAsia="zh-CN"/>
        </w:rPr>
        <w:t>满足</w:t>
      </w:r>
      <w:r>
        <w:rPr>
          <w:rFonts w:hint="eastAsia"/>
          <w:color w:val="auto"/>
          <w:highlight w:val="none"/>
        </w:rPr>
        <w:t>JB/T 13481-2018</w:t>
      </w:r>
      <w:r>
        <w:rPr>
          <w:rFonts w:hint="eastAsia" w:cs="Times New Roman"/>
          <w:color w:val="auto"/>
          <w:highlight w:val="none"/>
          <w:lang w:val="en-US" w:eastAsia="zh-CN"/>
        </w:rPr>
        <w:t>抓斗型式要求，</w:t>
      </w:r>
      <w:r>
        <w:rPr>
          <w:rFonts w:hint="eastAsia" w:asciiTheme="minorEastAsia" w:hAnsiTheme="minorEastAsia" w:eastAsiaTheme="minorEastAsia" w:cstheme="minorEastAsia"/>
          <w:color w:val="auto"/>
          <w:kern w:val="2"/>
          <w:sz w:val="22"/>
          <w:szCs w:val="22"/>
          <w:highlight w:val="none"/>
          <w:lang w:val="en-US" w:eastAsia="zh-CN" w:bidi="ar-SA"/>
        </w:rPr>
        <w:t>自动抓取普通粉状物料时满斗率应不低于85%，自动抓取</w:t>
      </w:r>
      <w:bookmarkStart w:id="2" w:name="OLE_LINK6"/>
      <w:r>
        <w:rPr>
          <w:rFonts w:hint="eastAsia" w:asciiTheme="minorEastAsia" w:hAnsiTheme="minorEastAsia" w:eastAsiaTheme="minorEastAsia" w:cstheme="minorEastAsia"/>
          <w:color w:val="auto"/>
          <w:kern w:val="2"/>
          <w:sz w:val="22"/>
          <w:szCs w:val="22"/>
          <w:highlight w:val="none"/>
          <w:lang w:val="en-US" w:eastAsia="zh-CN" w:bidi="ar-SA"/>
        </w:rPr>
        <w:t>黏湿</w:t>
      </w:r>
      <w:bookmarkEnd w:id="2"/>
      <w:r>
        <w:rPr>
          <w:rFonts w:hint="eastAsia" w:asciiTheme="minorEastAsia" w:hAnsiTheme="minorEastAsia" w:eastAsiaTheme="minorEastAsia" w:cstheme="minorEastAsia"/>
          <w:color w:val="auto"/>
          <w:kern w:val="2"/>
          <w:sz w:val="22"/>
          <w:szCs w:val="22"/>
          <w:highlight w:val="none"/>
          <w:lang w:val="en-US" w:eastAsia="zh-CN" w:bidi="ar-SA"/>
        </w:rPr>
        <w:t>物料或块状物料时满斗率应不低于70%</w:t>
      </w:r>
    </w:p>
    <w:p w14:paraId="4C0F198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4.10.5配料成分误差≤10%。</w:t>
      </w:r>
    </w:p>
    <w:p w14:paraId="0FC7C364">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4.11系统接口规范 </w:t>
      </w:r>
    </w:p>
    <w:p w14:paraId="3960FD1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4.11.1标准合规性:遵循GB/T33863智能制造系统集成标准、冶金行业智能制造接口规范，底层控制采用OPC UA、Modbus TCP，上层业务采用MQTT消息总线、RESTful API，全链路工业级通信协议;</w:t>
      </w:r>
    </w:p>
    <w:p w14:paraId="693A894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4.11.2分层解耦设计:分为现场设备层、配料控制层、生产执行层、经营管理层四层接口，层级独立互不干扰，单一接口故障不影响其余系统运行;</w:t>
      </w:r>
    </w:p>
    <w:p w14:paraId="1B968B2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4.11.3数据可靠要求:具备本地断点缓存、通信恢复自动补传、数据CRC校验、异常数据标记、全接口日志留存功能，日志存储时长不低于18个月;</w:t>
      </w:r>
    </w:p>
    <w:p w14:paraId="39BA2CC0">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4.11.4全域时间同步:接入全厂NTP时钟服务器，智能起重机、皮带秤、在线分析仪、能耗仪表、上位系统毫秒级时间统一，满足全流程工艺追溯要求;</w:t>
      </w:r>
    </w:p>
    <w:p w14:paraId="70D1421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4.11.5权限安全隔离:分角色、分模块数据授权，能源、质量、成本核心涉密数据分级管控，支持操作日志溯源。</w:t>
      </w:r>
    </w:p>
    <w:p w14:paraId="5C1C61E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4.11.6统一报文格式:标准JSON报文，内置设备编码、唯一批次号、时间戳、数据值、校验码、数据状态标签;</w:t>
      </w:r>
    </w:p>
    <w:p w14:paraId="207574C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4.11.7通信异常:网络中断后本地缓存数据不丢失，网络恢复后自动无缝补传，无需人工干预;</w:t>
      </w:r>
    </w:p>
    <w:p w14:paraId="40F586C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4.11.8异常数据:超量程、通信抖动产生的无效数据自动标记，禁止参与质量核算、成本核算、能耗统计。</w:t>
      </w:r>
    </w:p>
    <w:p w14:paraId="4CC26005">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4.12安全性要求 </w:t>
      </w:r>
    </w:p>
    <w:p w14:paraId="6256FB5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智能起重机的定位、防摇、避障、识别、通信功能安全性应符合GB/T45163.2-.GB/T 45163.6-202X(待发布)中的相关要求。</w:t>
      </w:r>
    </w:p>
    <w:p w14:paraId="2BEDF899">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 xml:space="preserve">5、性能指标说明 </w:t>
      </w:r>
    </w:p>
    <w:p w14:paraId="69058316">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根据GB/T3811-2008《起重机设计规范》、GB/T14405-2011《通用桥式起重机》及有色金属冶炼智能配料场景的技术验证数据,对以下性能指标作出规定:</w:t>
      </w:r>
    </w:p>
    <w:p w14:paraId="36797F51">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5.1生产效率</w:t>
      </w:r>
    </w:p>
    <w:p w14:paraId="5E2EC86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改造后作业率提升≥10%。</w:t>
      </w:r>
    </w:p>
    <w:p w14:paraId="1009BAB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抓斗起重机作业量化指标计算公式为:单小时抓取数量(不小于20次)80%的满斗率的作业要求。(满斗率计算公式:(起重机起重量-抓斗自重))</w:t>
      </w:r>
    </w:p>
    <w:p w14:paraId="67C5BE2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该指标基于中金岭南丹霞冶炼厂智能配料系统改造前后的生产数据对比制定,通过5G远程集控、多机协同调度等技术应用,使单班物料处理能力从改造前的1392.09吨提升至1568.40吨，作业效率显著提高，可满足复杂铅基多金属固废料备料环节的规模化生产需求。</w:t>
      </w:r>
    </w:p>
    <w:p w14:paraId="24F969AE">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5.2故障率</w:t>
      </w:r>
    </w:p>
    <w:p w14:paraId="339D267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改造后年故障率降幅≥50%。</w:t>
      </w:r>
    </w:p>
    <w:p w14:paraId="354E2DC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该指标基于中金岭南丹霞冶炼厂智能配料系统改造前后的生产数据对比制定，结合智能起重机的状态监测系统与故障诊断功能的实际运行效果确定，通过对钢丝绳、电机等12类关键参数的实时监测与预警，大幅降低设备非计划停机次数，较改造前(年故障次数≥96次/年)实现故障率的大幅下降，保障生产连续性。</w:t>
      </w:r>
    </w:p>
    <w:p w14:paraId="4B35204E">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5.3控制精度</w:t>
      </w:r>
    </w:p>
    <w:p w14:paraId="1A0BA29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定位误差≤±5mm，吊重摇摆角度≤±0.5°。</w:t>
      </w:r>
    </w:p>
    <w:p w14:paraId="40596C8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配料成分误差≤10%。</w:t>
      </w:r>
    </w:p>
    <w:p w14:paraId="07FE11A9">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定位误差指标参考定位设备与激光雷达的联合定位精度，经现场测试验证可稳定控制在±5mm以内;吊重摇摆角度要求符合GB/T3811-2008《起重机设计规范》的安全控制底线，通过双阶段调速的防摇摆控制算法，可将吊重摇摆角度严格控制在±0.5°以内，既保证配料精度，又提升作业安全性。</w:t>
      </w:r>
    </w:p>
    <w:p w14:paraId="182C01A7">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5.4盘库精度</w:t>
      </w:r>
    </w:p>
    <w:p w14:paraId="71D00D8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库存统计误差≤2%，物料识别准确率≥98%。</w:t>
      </w:r>
    </w:p>
    <w:p w14:paraId="55388850">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说明:该指标基于多家冶炼企业的盘库测试数据制定，通过激光雷达与视觉传感器的融合应用，实现库存数据的精准统计，较传统人工盘库误差(≥5%)显著降低，提升库存管理的准确性与效率。</w:t>
      </w:r>
    </w:p>
    <w:p w14:paraId="726046B7">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5.5避障性能:</w:t>
      </w:r>
    </w:p>
    <w:p w14:paraId="1F0C93F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障碍物识别响应时间≤0.3秒，避障成功率≥99.98%。</w:t>
      </w:r>
    </w:p>
    <w:p w14:paraId="2E812B8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说明:该指标经中金岭南丹霞冶炼厂现场模拟测试验证，在人员、设备、物料等多种障碍物场景下，避障系统均能快速响应并采取有效防护措施，未发生碰撞事故，保障作业区域人机物安全。</w:t>
      </w:r>
    </w:p>
    <w:p w14:paraId="4642D3E1">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5.6效率要求</w:t>
      </w:r>
    </w:p>
    <w:p w14:paraId="542ACE7B">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控制系统应采取合适的定位策略，防止相关机构在定位功能的实现过程中频繁动作，降低工作效率及对设备产生不良影响。在正常工况下，起重机械宜1次到达目标位置，不应超过3次校正，单次调整时间应满足起重机械作业要求。</w:t>
      </w:r>
    </w:p>
    <w:p w14:paraId="347578ED">
      <w:pPr>
        <w:pStyle w:val="4"/>
        <w:keepNext w:val="0"/>
        <w:keepLines w:val="0"/>
        <w:widowControl/>
        <w:suppressLineNumbers w:val="0"/>
        <w:rPr>
          <w:rFonts w:hint="eastAsia" w:ascii="黑体" w:hAnsi="黑体" w:eastAsia="黑体" w:cs="黑体"/>
          <w:b w:val="0"/>
          <w:bCs/>
          <w:color w:val="auto"/>
          <w:sz w:val="24"/>
          <w:szCs w:val="24"/>
          <w:highlight w:val="none"/>
          <w:lang w:val="en-US" w:eastAsia="zh-CN" w:bidi="ar-SA"/>
        </w:rPr>
      </w:pPr>
      <w:r>
        <w:rPr>
          <w:rFonts w:hint="eastAsia" w:ascii="黑体" w:hAnsi="黑体" w:eastAsia="黑体" w:cs="黑体"/>
          <w:b w:val="0"/>
          <w:bCs/>
          <w:color w:val="auto"/>
          <w:sz w:val="24"/>
          <w:szCs w:val="24"/>
          <w:highlight w:val="none"/>
          <w:lang w:val="en-US" w:eastAsia="zh-CN" w:bidi="ar-SA"/>
        </w:rPr>
        <w:t xml:space="preserve">6、试验方法 </w:t>
      </w:r>
    </w:p>
    <w:p w14:paraId="41C29531">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6.1试验条件</w:t>
      </w:r>
    </w:p>
    <w:p w14:paraId="4E5823FC">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试验条件应符合4.4的规定。</w:t>
      </w:r>
    </w:p>
    <w:p w14:paraId="76961BC5">
      <w:pPr>
        <w:numPr>
          <w:ilvl w:val="0"/>
          <w:numId w:val="0"/>
        </w:numPr>
        <w:spacing w:line="360" w:lineRule="auto"/>
        <w:ind w:leftChars="20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lang w:val="en-US" w:eastAsia="zh-CN"/>
        </w:rPr>
        <w:t>6.2试验准备</w:t>
      </w:r>
    </w:p>
    <w:p w14:paraId="41464DD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6.2.1试验前应确定GB/T 45163.1中规定的起重机械智能化等级。</w:t>
      </w:r>
    </w:p>
    <w:p w14:paraId="1F0D30AA">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6.2.2试验用仪器设备和工具应经法定部门计量检定或校准,且处于有效期内,精度应满足测试要求。</w:t>
      </w:r>
    </w:p>
    <w:p w14:paraId="46A932E7">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6.2.3测试用仪器设备、工具和软件根据定位、防摇、避障精度的需求选用测距工具、测角工具等。</w:t>
      </w:r>
    </w:p>
    <w:p w14:paraId="3C1913F4">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6.2.4智能配料系统的硬件和软件均应安装到位并经调试完毕后能正常工作。</w:t>
      </w:r>
    </w:p>
    <w:p w14:paraId="327A42A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6.3试验内容</w:t>
      </w:r>
    </w:p>
    <w:p w14:paraId="5504FCE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6.3.1运力验证:通过连续72小时满负荷试运行,采集各机种作业数据。</w:t>
      </w:r>
    </w:p>
    <w:p w14:paraId="17CC915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6.3.2网络测试</w:t>
      </w:r>
    </w:p>
    <w:p w14:paraId="5C561AC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●工业以太网覆盖质量:有线/无线信号强度≥-70dBm,丢包率≤0.01%;</w:t>
      </w:r>
    </w:p>
    <w:p w14:paraId="60F06DA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●工业以太网通信端到端时延≤20ms(不含业务处理时间);</w:t>
      </w:r>
    </w:p>
    <w:p w14:paraId="24536EDF">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●工业以太网可靠性≥99.99%(系统可用时间占服务总时间的占比);</w:t>
      </w:r>
    </w:p>
    <w:p w14:paraId="3755ACB0">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●冗余切换测试:模拟核心链路故障,冗余切换时间≤50ms。</w:t>
      </w:r>
    </w:p>
    <w:p w14:paraId="21BE3AF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6.3.3算法验证</w:t>
      </w:r>
    </w:p>
    <w:p w14:paraId="46AE3B1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在200组模拟工况下测试控制算法稳定性，验证定位精度、防摇摆角度、调度响应时间等指标达标率≥99%。</w:t>
      </w:r>
    </w:p>
    <w:p w14:paraId="0605C49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6.3.4自动盘库验证</w:t>
      </w:r>
    </w:p>
    <w:p w14:paraId="704940D5">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选取典型库区，人工盘点实际库存与系统自动盘库结果对比，连续测试10次，统计库存误差与物料识别准确率;测试不同物料类型、不同堆放高度下的盘库效果。</w:t>
      </w:r>
    </w:p>
    <w:p w14:paraId="2EED4A33">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6.3.5避障验证</w:t>
      </w:r>
    </w:p>
    <w:p w14:paraId="346D645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在作业区域设置人员、设备、物料等模拟障碍物，测试避障系统的识别距离、响应时间及防护动作有效性，每种障碍物场景测试≥50次。</w:t>
      </w:r>
    </w:p>
    <w:p w14:paraId="4EE5F522">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6.3.6精准定位验证</w:t>
      </w:r>
    </w:p>
    <w:p w14:paraId="1DB6F88D">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在起重机全行程范围内选取20个测试点，采用激光测距仪测量实际定位位置与目标位置的偏差，连续测试3次，取最大值。</w:t>
      </w:r>
    </w:p>
    <w:p w14:paraId="7D3F4C0E">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eastAsia" w:asciiTheme="minorEastAsia" w:hAnsiTheme="minorEastAsia" w:eastAsiaTheme="minorEastAsia" w:cstheme="minorEastAsia"/>
          <w:color w:val="auto"/>
          <w:kern w:val="2"/>
          <w:sz w:val="22"/>
          <w:szCs w:val="22"/>
          <w:highlight w:val="none"/>
          <w:lang w:val="en-US" w:eastAsia="zh-CN" w:bidi="ar-SA"/>
        </w:rPr>
        <w:t>说明:本部分试验方法结合中金岭南丹霞冶炼厂的现场测试条件与行业通用测试规范制定，通过运力验证、网络测试、算法验证等环节，全面检验智能配料系统在生产效率、网络性能、控制精度等方面是否满足技术要求，确保标准的科学性与可操作性。</w:t>
      </w:r>
    </w:p>
    <w:p w14:paraId="109FB1EC">
      <w:pPr>
        <w:pStyle w:val="4"/>
        <w:keepNext w:val="0"/>
        <w:keepLines w:val="0"/>
        <w:widowControl/>
        <w:suppressLineNumbers w:val="0"/>
        <w:rPr>
          <w:rFonts w:hint="default" w:ascii="黑体" w:hAnsi="黑体" w:eastAsia="黑体" w:cs="黑体"/>
          <w:b w:val="0"/>
          <w:bCs/>
          <w:color w:val="auto"/>
          <w:sz w:val="24"/>
          <w:szCs w:val="24"/>
          <w:highlight w:val="none"/>
          <w:lang w:val="en-US" w:eastAsia="zh-CN" w:bidi="ar-SA"/>
        </w:rPr>
      </w:pPr>
      <w:r>
        <w:rPr>
          <w:rFonts w:hint="default" w:ascii="黑体" w:hAnsi="黑体" w:eastAsia="黑体" w:cs="黑体"/>
          <w:b w:val="0"/>
          <w:bCs/>
          <w:color w:val="auto"/>
          <w:sz w:val="24"/>
          <w:szCs w:val="24"/>
          <w:highlight w:val="none"/>
          <w:lang w:val="en-US" w:eastAsia="zh-CN" w:bidi="ar-SA"/>
        </w:rPr>
        <w:t xml:space="preserve">7、检验规则 </w:t>
      </w:r>
    </w:p>
    <w:p w14:paraId="1777A7B6">
      <w:pPr>
        <w:numPr>
          <w:ilvl w:val="0"/>
          <w:numId w:val="0"/>
        </w:numPr>
        <w:spacing w:line="360" w:lineRule="auto"/>
        <w:ind w:leftChars="200"/>
        <w:rPr>
          <w:rFonts w:hint="default" w:ascii="黑体" w:hAnsi="黑体" w:eastAsia="黑体" w:cs="黑体"/>
          <w:b w:val="0"/>
          <w:bCs/>
          <w:color w:val="auto"/>
          <w:sz w:val="24"/>
          <w:szCs w:val="24"/>
          <w:highlight w:val="none"/>
          <w:lang w:val="en-US" w:eastAsia="zh-CN"/>
        </w:rPr>
      </w:pPr>
      <w:r>
        <w:rPr>
          <w:rFonts w:hint="default" w:ascii="黑体" w:hAnsi="黑体" w:eastAsia="黑体" w:cs="黑体"/>
          <w:b w:val="0"/>
          <w:bCs/>
          <w:color w:val="auto"/>
          <w:sz w:val="24"/>
          <w:szCs w:val="24"/>
          <w:highlight w:val="none"/>
          <w:lang w:val="en-US" w:eastAsia="zh-CN"/>
        </w:rPr>
        <w:t>7.1出厂检验</w:t>
      </w:r>
    </w:p>
    <w:p w14:paraId="02B9BB1C">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关键部件(激光扫描仪、工业以太网交换机、定位传感器、避障传感器等)需100%检测，检测项目包括性能参数、稳定性、抗干扰能力等，检测合格后方可出厂。</w:t>
      </w:r>
    </w:p>
    <w:p w14:paraId="6FD27BC6">
      <w:pPr>
        <w:numPr>
          <w:ilvl w:val="0"/>
          <w:numId w:val="0"/>
        </w:numPr>
        <w:spacing w:line="360" w:lineRule="auto"/>
        <w:ind w:leftChars="200"/>
        <w:rPr>
          <w:rFonts w:hint="default" w:ascii="黑体" w:hAnsi="黑体" w:eastAsia="黑体" w:cs="黑体"/>
          <w:b w:val="0"/>
          <w:bCs/>
          <w:color w:val="auto"/>
          <w:sz w:val="24"/>
          <w:szCs w:val="24"/>
          <w:highlight w:val="none"/>
          <w:lang w:val="en-US" w:eastAsia="zh-CN"/>
        </w:rPr>
      </w:pPr>
      <w:r>
        <w:rPr>
          <w:rFonts w:hint="default" w:ascii="黑体" w:hAnsi="黑体" w:eastAsia="黑体" w:cs="黑体"/>
          <w:b w:val="0"/>
          <w:bCs/>
          <w:color w:val="auto"/>
          <w:sz w:val="24"/>
          <w:szCs w:val="24"/>
          <w:highlight w:val="none"/>
          <w:lang w:val="en-US" w:eastAsia="zh-CN"/>
        </w:rPr>
        <w:t>7.2周期检验</w:t>
      </w:r>
    </w:p>
    <w:p w14:paraId="05B353EF">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每半年进行1次关键部位及系统性能复测，复测项目包括定位精度、避障性能、盘库精度、网络时延、故障诊断功能等，要求各项指标仍符合本标准技术要求，否则需停机检修并重新复测。</w:t>
      </w:r>
    </w:p>
    <w:p w14:paraId="592331A0">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说明:本部分检验规则结合智能配料系统的设备特性与工业场景运行要求制定，通过出厂检验确保关键部件的质量可靠性，借助周期检验持续监控系统性能稳定性，及时排查潜在故障隐患，保障智能配料系统长期安全、高效运行，符合有色金属冶炼行业连续生产的实际需求。</w:t>
      </w:r>
    </w:p>
    <w:p w14:paraId="62C3BA38">
      <w:pPr>
        <w:keepNext w:val="0"/>
        <w:keepLines w:val="0"/>
        <w:widowControl/>
        <w:suppressLineNumbers w:val="0"/>
        <w:spacing w:line="360" w:lineRule="auto"/>
        <w:ind w:firstLine="480" w:firstLineChars="200"/>
        <w:jc w:val="left"/>
        <w:rPr>
          <w:rFonts w:hint="default" w:ascii="黑体" w:hAnsi="黑体" w:eastAsia="黑体" w:cs="黑体"/>
          <w:b w:val="0"/>
          <w:bCs/>
          <w:color w:val="auto"/>
          <w:sz w:val="24"/>
          <w:szCs w:val="24"/>
          <w:highlight w:val="none"/>
          <w:lang w:val="en-US" w:eastAsia="zh-CN" w:bidi="ar-SA"/>
        </w:rPr>
      </w:pPr>
      <w:r>
        <w:rPr>
          <w:rFonts w:hint="default" w:ascii="黑体" w:hAnsi="黑体" w:eastAsia="黑体" w:cs="黑体"/>
          <w:b w:val="0"/>
          <w:bCs/>
          <w:color w:val="auto"/>
          <w:sz w:val="24"/>
          <w:szCs w:val="24"/>
          <w:highlight w:val="none"/>
          <w:lang w:val="en-US" w:eastAsia="zh-CN" w:bidi="ar-SA"/>
        </w:rPr>
        <w:t xml:space="preserve">8、参考文献 </w:t>
      </w:r>
    </w:p>
    <w:p w14:paraId="7C46DD98">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1中国有色金属工业协会.有色金属行业智能冶炼工厂建设指南(2023版)[S].北京:冶金工业出版社,2023.(为本标准编制提供行业战略导向与总体框架依据)</w:t>
      </w:r>
    </w:p>
    <w:p w14:paraId="4C826A22">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2王建军，刘芳，赵伟.有色金属智能配料系统的多仓协同调度优化[J].中国有色金属学报,2023,33(7):2012-2023</w:t>
      </w:r>
    </w:p>
    <w:p w14:paraId="6FA7C3DC">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3张启明,陈晓峰.基于激光导航的无人天车定位精度优化研究[J].起重运输机械,2024(2):56-62.</w:t>
      </w:r>
    </w:p>
    <w:p w14:paraId="7132E9C1">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4国家市场监督管理总局.GB/T3811-2008起重机设计规范[S].北京:中国标准出版社,2008</w:t>
      </w:r>
      <w:r>
        <w:rPr>
          <w:rFonts w:hint="eastAsia" w:asciiTheme="minorEastAsia" w:hAnsiTheme="minorEastAsia" w:eastAsiaTheme="minorEastAsia" w:cstheme="minorEastAsia"/>
          <w:color w:val="auto"/>
          <w:kern w:val="2"/>
          <w:sz w:val="22"/>
          <w:szCs w:val="22"/>
          <w:highlight w:val="none"/>
          <w:lang w:val="en-US" w:eastAsia="zh-CN" w:bidi="ar-SA"/>
        </w:rPr>
        <w:t>.</w:t>
      </w:r>
    </w:p>
    <w:p w14:paraId="6BBF5F25">
      <w:pPr>
        <w:pStyle w:val="3"/>
        <w:keepNext w:val="0"/>
        <w:keepLines w:val="0"/>
        <w:widowControl/>
        <w:suppressLineNumbers w:val="0"/>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四、标准中涉及专利的情况 </w:t>
      </w:r>
    </w:p>
    <w:p w14:paraId="5CEC6694">
      <w:pPr>
        <w:keepNext w:val="0"/>
        <w:keepLines w:val="0"/>
        <w:widowControl/>
        <w:suppressLineNumbers w:val="0"/>
        <w:jc w:val="left"/>
        <w:rPr>
          <w:rFonts w:ascii="宋体" w:hAnsi="宋体" w:eastAsia="宋体" w:cs="宋体"/>
          <w:b/>
          <w:bCs/>
          <w:kern w:val="0"/>
          <w:sz w:val="24"/>
          <w:szCs w:val="24"/>
          <w:lang w:val="en-US" w:eastAsia="zh-CN" w:bidi="ar"/>
        </w:rPr>
      </w:pPr>
      <w:r>
        <w:rPr>
          <w:rFonts w:ascii="宋体" w:hAnsi="宋体" w:eastAsia="宋体" w:cs="宋体"/>
          <w:kern w:val="0"/>
          <w:sz w:val="24"/>
          <w:szCs w:val="24"/>
          <w:lang w:val="en-US" w:eastAsia="zh-CN" w:bidi="ar"/>
        </w:rPr>
        <w:t>无</w:t>
      </w:r>
    </w:p>
    <w:p w14:paraId="4D9658E0">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五、预期达到的社会效益等情况 </w:t>
      </w:r>
    </w:p>
    <w:p w14:paraId="624394BD">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本标准的实施将产生尤为显著的社会效益，其核心价值体现在对从业人员职业健康的有力保障与行业发展质量的全面提升上。标准所倡导的智能配料技术体系，集成工业以太网、虚拟现实、物料信号采集及控制系统集成等先进技术，通过构建现场三维全景状态模型并实现作业区域网络全覆盖，支持操作人员远程操控多台无人天车，完成物料转运、混料、上料、自动盘库等全流程自动化作业,从根本上改变了传统有色冶炼配料环节依赖人工在高温、粉尘、有害有毒气体等恶劣环境下作业的现状。如在中金岭南丹霞冶炼厂的实践中，该技术体系已有效解决了精准配料与劳动强度、职业健康、安全环保的平衡问题，显著改善了作业环境，预计可使相关岗位劳动强度降低60%以上，安全事故发生率下降80%，大幅降低了从业人员的职业健康风险。同时，自动盘库、智能调度等功能的应用，减少了人工统计误差与调度滞后问题，提升了行业整体管理水平;作业面人机物避障系统的普及，进一步筑牢了生产安全防线。标准的推广应用将倒逼有色冶炼行业加速智能化转型，带动行业内工业以太网应用、智能控制、虚拟现实等领域专业人才的培养与储备，推动产业技术升级理念的普及，助力形成更安全、更健康、更高效的行业发展生态，为有色金属行业的高质量发展注入持久动力。</w:t>
      </w:r>
    </w:p>
    <w:p w14:paraId="3355D35E">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六、采用国际标准和国外先进标准的情况 </w:t>
      </w:r>
    </w:p>
    <w:p w14:paraId="3C2E07CB">
      <w:pPr>
        <w:keepNext w:val="0"/>
        <w:keepLines w:val="0"/>
        <w:widowControl/>
        <w:suppressLineNumbers w:val="0"/>
        <w:spacing w:line="360" w:lineRule="auto"/>
        <w:ind w:firstLine="480" w:firstLineChars="200"/>
        <w:jc w:val="left"/>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经查阅国际电信联盟(ITU)、国际标准化组织(ISO)等相关机构的标准体系，目前国际上尚未形成针对有色金属无人配料天车基于工业以太网控制的统一标准，欧美等发达国家虽有相关技术实践，但多为企业内部技术规范，缺乏行业通用性。因此，本标准在制定过程中，采用“自主创新为主，借鉴国际经验为辅”的模式，但核心技术要求如针对有色冶炼原料特性的配料预测模型、多车协同算法、自动盘库统计模型、人机物避障方案等，均基于我国行业实践自主制定，形成了符合我国国情且具有国际竞争力的技术标准体系，为我国在该领域的技术输出奠定基础。</w:t>
      </w:r>
    </w:p>
    <w:p w14:paraId="6AE2798D">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七、与现行相关法律、法规、规章及相关标准，特别是强制性国家标准的协调配套情况 </w:t>
      </w:r>
    </w:p>
    <w:p w14:paraId="5BF08DC9">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本标准与现行相关法律、法规及标准保持高度协调一致。在法律法规层面，严格符合《职业病防治法》中关于改善作业环境、保护劳动者健康的要求，通过无人化作业减少人工暴露风险;符合《环境保护法》及《危险废物贮存污染控制标准》(GB18597-2023)，明确了配料过程中废渣等危废的处理要求。在标准协调方面，与强制性国家标准《GB/T3811-2008起重机设计规范》相衔接，将防摇摆精度≤±0.</w:t>
      </w:r>
      <w:r>
        <w:rPr>
          <w:rFonts w:hint="eastAsia" w:asciiTheme="minorEastAsia" w:hAnsiTheme="minorEastAsia" w:eastAsiaTheme="minorEastAsia" w:cstheme="minorEastAsia"/>
          <w:color w:val="auto"/>
          <w:kern w:val="2"/>
          <w:sz w:val="22"/>
          <w:szCs w:val="22"/>
          <w:highlight w:val="none"/>
          <w:lang w:val="en-US" w:eastAsia="zh-CN" w:bidi="ar-SA"/>
        </w:rPr>
        <w:t>5</w:t>
      </w:r>
      <w:r>
        <w:rPr>
          <w:rFonts w:hint="default" w:asciiTheme="minorEastAsia" w:hAnsiTheme="minorEastAsia" w:eastAsiaTheme="minorEastAsia" w:cstheme="minorEastAsia"/>
          <w:color w:val="auto"/>
          <w:kern w:val="2"/>
          <w:sz w:val="22"/>
          <w:szCs w:val="22"/>
          <w:highlight w:val="none"/>
          <w:lang w:val="en-US" w:eastAsia="zh-CN" w:bidi="ar-SA"/>
        </w:rPr>
        <w:t>°作为安全控制底线;与《GB/T14405-2011通用桥式起重机》保持技术一致，明确了智能起重机的结构安全和基础性能要求。</w:t>
      </w:r>
    </w:p>
    <w:p w14:paraId="2CAF5644">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八、重大分歧意见的处理经过和依据 </w:t>
      </w:r>
    </w:p>
    <w:p w14:paraId="4DECE5ED">
      <w:pPr>
        <w:keepNext w:val="0"/>
        <w:keepLines w:val="0"/>
        <w:widowControl/>
        <w:suppressLineNumbers w:val="0"/>
        <w:spacing w:line="360" w:lineRule="auto"/>
        <w:ind w:firstLine="480" w:firstLineChars="200"/>
        <w:jc w:val="left"/>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无</w:t>
      </w:r>
    </w:p>
    <w:p w14:paraId="3857BD05">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九、标准性质的建议说明 </w:t>
      </w:r>
    </w:p>
    <w:p w14:paraId="732F99C8">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建议本标准作为推荐性国家标准发布实施。主要原因在于我国有色冶炼行业企业规模差异较大，部分中小型企业在技术研发能力、资金投入等方面存在不足，若采用强制性标准，可能给其带来较大的转型压力。而作为推荐性标准，既能为行业内技术领先企业提供明确的技术规范，引导其开展智能化升级，又能给予中小企业一定的自主选择空间，使其可根据自身实际情况逐步推进技术改造。同时，推荐性标准的属性有利于鼓励企业在标准基础上进行技术创新，形成良性的市场竞争环境，推动行业技术水平的整体提升。</w:t>
      </w:r>
    </w:p>
    <w:p w14:paraId="7AF701E7">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十、贯彻标准的要求和措施建议 </w:t>
      </w:r>
    </w:p>
    <w:p w14:paraId="22A329DB">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为确保标准的有效贯彻实施，提出以下要求和措施:一是加强标准宣贯培训，由行业协会牵头组织面向冶炼企业、设备供应商、科研机构的专题培训，解读标准技术要求和实施要点，培养专业技术人才。二是建立试点示范机制，选择3-5家不同类型的有色冶炼企业开展标准试点，总结成熟经验并形成典型案例，在全行业推广。三是完善配套服务体系，鼓励相关企业开发符合标准的智能装备和软件系统，搭建技术咨询平台，为企业提供个性化的标准实施解决方案。四是加强监督指导，由市场监管部门和行业协会联合开展标准实施情况的跟踪评估，及时发现并解决实施过程中出现的问题，确保标准落地见效。</w:t>
      </w:r>
    </w:p>
    <w:p w14:paraId="2F2301EF">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十一、废止现行相关标准的建议 </w:t>
      </w:r>
    </w:p>
    <w:p w14:paraId="3830AE72">
      <w:pPr>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经核查，目前我国现行国家标准、行业标准中，暂无与本标准内容完全重合或冲突的标准。本标准聚焦于有色金属冶炼智能配料这一细分领域，涉及工业以太网、智能控制、自动盘库、避障防护等新技术应用，与现行的起重机通用标准、工业以太网应用标准等呈互补关系，而非替代关系。因此，建议不废止任何现行相关标准，本标准实施后，将与现有标准共同构成更为完善的有色冶炼行业智能化标准体系。</w:t>
      </w:r>
    </w:p>
    <w:p w14:paraId="2930797C">
      <w:pPr>
        <w:pStyle w:val="3"/>
        <w:keepNext w:val="0"/>
        <w:keepLines w:val="0"/>
        <w:widowControl/>
        <w:suppressLineNumbers w:val="0"/>
        <w:jc w:val="left"/>
        <w:rPr>
          <w:rFonts w:hint="eastAsia" w:asciiTheme="minorEastAsia" w:hAnsiTheme="minorEastAsia" w:eastAsiaTheme="minorEastAsia" w:cstheme="minorBidi"/>
          <w:b/>
          <w:bCs w:val="0"/>
          <w:color w:val="auto"/>
          <w:kern w:val="2"/>
          <w:sz w:val="32"/>
          <w:szCs w:val="32"/>
          <w:highlight w:val="none"/>
          <w:lang w:val="en-US" w:eastAsia="zh-CN" w:bidi="ar-SA"/>
        </w:rPr>
      </w:pPr>
      <w:r>
        <w:rPr>
          <w:rFonts w:hint="eastAsia" w:asciiTheme="minorEastAsia" w:hAnsiTheme="minorEastAsia" w:eastAsiaTheme="minorEastAsia" w:cstheme="minorBidi"/>
          <w:b/>
          <w:bCs w:val="0"/>
          <w:color w:val="auto"/>
          <w:kern w:val="2"/>
          <w:sz w:val="32"/>
          <w:szCs w:val="32"/>
          <w:highlight w:val="none"/>
          <w:lang w:val="en-US" w:eastAsia="zh-CN" w:bidi="ar-SA"/>
        </w:rPr>
        <w:t xml:space="preserve">十二、其他应予说明的事项 </w:t>
      </w:r>
    </w:p>
    <w:p w14:paraId="50171978">
      <w:pPr>
        <w:spacing w:line="360" w:lineRule="auto"/>
        <w:ind w:firstLine="440" w:firstLineChars="200"/>
        <w:rPr>
          <w:rFonts w:hint="eastAsia"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本标准的编制充分考虑了行业技术的动态发展性，预留了技术升级空间。随着人工智能、6G等技术的不断进步，有色冶炼智能配料技术可能会出现新的突破，编制组将建立标准动态修订机制，建议在标准实施2-3年后，根据行业发展情况启动修订工作，确保标准始终与技术发展和行业需求相适应。此外，标准中涉及的部分技术指标(如定位精度、盘库周期)可根据不同有色金属品种的工艺特性进行适当调整，具体调整范围和方法将在标准附录中予以明确，以增强标准的适用性</w:t>
      </w:r>
      <w:r>
        <w:rPr>
          <w:rFonts w:hint="eastAsia" w:asciiTheme="minorEastAsia" w:hAnsiTheme="minorEastAsia" w:eastAsiaTheme="minorEastAsia" w:cstheme="minorEastAsia"/>
          <w:color w:val="auto"/>
          <w:kern w:val="2"/>
          <w:sz w:val="22"/>
          <w:szCs w:val="22"/>
          <w:highlight w:val="none"/>
          <w:lang w:val="en-US" w:eastAsia="zh-CN" w:bidi="ar-SA"/>
        </w:rPr>
        <w:t>。</w:t>
      </w:r>
    </w:p>
    <w:p w14:paraId="07F48215">
      <w:pPr>
        <w:spacing w:line="360" w:lineRule="auto"/>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p>
    <w:p w14:paraId="4A705C1F">
      <w:pPr>
        <w:keepNext w:val="0"/>
        <w:keepLines w:val="0"/>
        <w:widowControl/>
        <w:suppressLineNumbers w:val="0"/>
        <w:ind w:firstLine="480" w:firstLineChars="200"/>
        <w:jc w:val="left"/>
        <w:rPr>
          <w:rFonts w:hint="eastAsia" w:ascii="宋体" w:hAnsi="宋体" w:cs="宋体"/>
          <w:kern w:val="0"/>
          <w:sz w:val="24"/>
          <w:szCs w:val="24"/>
          <w:lang w:val="en-US" w:eastAsia="zh-CN" w:bidi="ar"/>
        </w:rPr>
      </w:pPr>
    </w:p>
    <w:p w14:paraId="410CC9BB">
      <w:pPr>
        <w:spacing w:line="360" w:lineRule="auto"/>
        <w:ind w:firstLine="480" w:firstLineChars="200"/>
        <w:rPr>
          <w:rFonts w:hint="eastAsia" w:ascii="宋体" w:hAnsi="宋体" w:eastAsia="宋体" w:cs="宋体"/>
          <w:color w:val="000000" w:themeColor="text1"/>
          <w:kern w:val="2"/>
          <w:sz w:val="24"/>
          <w:szCs w:val="24"/>
          <w:highlight w:val="none"/>
          <w14:textFill>
            <w14:solidFill>
              <w14:schemeClr w14:val="tx1"/>
            </w14:solidFill>
          </w14:textFill>
        </w:rPr>
      </w:pPr>
    </w:p>
    <w:sectPr>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BE7E6"/>
    <w:multiLevelType w:val="singleLevel"/>
    <w:tmpl w:val="927BE7E6"/>
    <w:lvl w:ilvl="0" w:tentative="0">
      <w:start w:val="1"/>
      <w:numFmt w:val="bullet"/>
      <w:lvlText w:val=""/>
      <w:lvlJc w:val="left"/>
      <w:pPr>
        <w:ind w:left="420" w:hanging="420"/>
      </w:pPr>
      <w:rPr>
        <w:rFonts w:hint="default" w:ascii="Wingdings" w:hAnsi="Wingdings"/>
        <w:sz w:val="20"/>
        <w:szCs w:val="20"/>
      </w:rPr>
    </w:lvl>
  </w:abstractNum>
  <w:abstractNum w:abstractNumId="1">
    <w:nsid w:val="A26975A6"/>
    <w:multiLevelType w:val="singleLevel"/>
    <w:tmpl w:val="A26975A6"/>
    <w:lvl w:ilvl="0" w:tentative="0">
      <w:start w:val="1"/>
      <w:numFmt w:val="decimal"/>
      <w:suff w:val="nothing"/>
      <w:lvlText w:val="%1、"/>
      <w:lvlJc w:val="left"/>
    </w:lvl>
  </w:abstractNum>
  <w:abstractNum w:abstractNumId="2">
    <w:nsid w:val="75EDD29C"/>
    <w:multiLevelType w:val="singleLevel"/>
    <w:tmpl w:val="75EDD29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0MGU3MzQ1ZjI0MmQxZjY2NzM1NDJjMzdjNjZiZjQifQ=="/>
  </w:docVars>
  <w:rsids>
    <w:rsidRoot w:val="00783D3B"/>
    <w:rsid w:val="002945A4"/>
    <w:rsid w:val="002E4FD9"/>
    <w:rsid w:val="0032628F"/>
    <w:rsid w:val="00343CD6"/>
    <w:rsid w:val="00754983"/>
    <w:rsid w:val="00783D3B"/>
    <w:rsid w:val="00952AB1"/>
    <w:rsid w:val="009B0167"/>
    <w:rsid w:val="00A158A7"/>
    <w:rsid w:val="00B857EE"/>
    <w:rsid w:val="00EB4DF8"/>
    <w:rsid w:val="048C6FBE"/>
    <w:rsid w:val="070179C1"/>
    <w:rsid w:val="07E5051F"/>
    <w:rsid w:val="0908768D"/>
    <w:rsid w:val="0DF86B7E"/>
    <w:rsid w:val="12CA3E9B"/>
    <w:rsid w:val="15AC1D9E"/>
    <w:rsid w:val="162B382E"/>
    <w:rsid w:val="16D557F2"/>
    <w:rsid w:val="175A4C82"/>
    <w:rsid w:val="18697097"/>
    <w:rsid w:val="19DC2CE3"/>
    <w:rsid w:val="1B4D503A"/>
    <w:rsid w:val="218625D3"/>
    <w:rsid w:val="27595333"/>
    <w:rsid w:val="287C2B50"/>
    <w:rsid w:val="28FC3811"/>
    <w:rsid w:val="2AF50005"/>
    <w:rsid w:val="2B8D10D1"/>
    <w:rsid w:val="2D3559E5"/>
    <w:rsid w:val="324B65B5"/>
    <w:rsid w:val="3EF42DA5"/>
    <w:rsid w:val="3F2F643A"/>
    <w:rsid w:val="3F54052F"/>
    <w:rsid w:val="45FD796C"/>
    <w:rsid w:val="48766CAF"/>
    <w:rsid w:val="4A7C1656"/>
    <w:rsid w:val="4F2E1D09"/>
    <w:rsid w:val="50B12AA0"/>
    <w:rsid w:val="51DA6F8D"/>
    <w:rsid w:val="56990327"/>
    <w:rsid w:val="57C52F15"/>
    <w:rsid w:val="587518AF"/>
    <w:rsid w:val="58CB236E"/>
    <w:rsid w:val="5C966C44"/>
    <w:rsid w:val="613358E1"/>
    <w:rsid w:val="625062D0"/>
    <w:rsid w:val="65CA7869"/>
    <w:rsid w:val="69E4781D"/>
    <w:rsid w:val="6C123536"/>
    <w:rsid w:val="72BB5CB9"/>
    <w:rsid w:val="76BC7829"/>
    <w:rsid w:val="7AF759BC"/>
    <w:rsid w:val="7E343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bCs/>
      <w:sz w:val="27"/>
      <w:szCs w:val="27"/>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0"/>
    <w:qFormat/>
    <w:uiPriority w:val="0"/>
    <w:pPr>
      <w:jc w:val="left"/>
    </w:pPr>
  </w:style>
  <w:style w:type="paragraph" w:styleId="7">
    <w:name w:val="Body Text"/>
    <w:basedOn w:val="1"/>
    <w:qFormat/>
    <w:uiPriority w:val="1"/>
    <w:pPr>
      <w:spacing w:before="195" w:line="360" w:lineRule="auto"/>
      <w:ind w:firstLine="480" w:firstLineChars="200"/>
    </w:pPr>
    <w:rPr>
      <w:rFonts w:ascii="Times New Roman" w:hAnsi="Times New Roman" w:eastAsia="宋体"/>
      <w:kern w:val="0"/>
      <w:sz w:val="24"/>
      <w:szCs w:val="30"/>
    </w:rPr>
  </w:style>
  <w:style w:type="paragraph" w:styleId="8">
    <w:name w:val="footer"/>
    <w:basedOn w:val="1"/>
    <w:unhideWhenUsed/>
    <w:qFormat/>
    <w:uiPriority w:val="99"/>
    <w:pPr>
      <w:tabs>
        <w:tab w:val="center" w:pos="4153"/>
        <w:tab w:val="right" w:pos="8306"/>
      </w:tabs>
      <w:snapToGrid w:val="0"/>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annotation subject"/>
    <w:basedOn w:val="6"/>
    <w:next w:val="6"/>
    <w:link w:val="21"/>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character" w:styleId="18">
    <w:name w:val="annotation reference"/>
    <w:basedOn w:val="14"/>
    <w:qFormat/>
    <w:uiPriority w:val="0"/>
    <w:rPr>
      <w:sz w:val="21"/>
      <w:szCs w:val="21"/>
    </w:rPr>
  </w:style>
  <w:style w:type="character" w:customStyle="1" w:styleId="19">
    <w:name w:val="页眉 字符"/>
    <w:basedOn w:val="14"/>
    <w:link w:val="9"/>
    <w:qFormat/>
    <w:uiPriority w:val="0"/>
    <w:rPr>
      <w:sz w:val="18"/>
      <w:szCs w:val="18"/>
    </w:rPr>
  </w:style>
  <w:style w:type="character" w:customStyle="1" w:styleId="20">
    <w:name w:val="批注文字 字符"/>
    <w:basedOn w:val="14"/>
    <w:link w:val="6"/>
    <w:qFormat/>
    <w:uiPriority w:val="0"/>
    <w:rPr>
      <w:sz w:val="21"/>
      <w:szCs w:val="22"/>
    </w:rPr>
  </w:style>
  <w:style w:type="character" w:customStyle="1" w:styleId="21">
    <w:name w:val="批注主题 字符"/>
    <w:basedOn w:val="20"/>
    <w:link w:val="11"/>
    <w:qFormat/>
    <w:uiPriority w:val="0"/>
    <w:rPr>
      <w:b/>
      <w:bCs/>
      <w:sz w:val="21"/>
      <w:szCs w:val="22"/>
    </w:rPr>
  </w:style>
  <w:style w:type="paragraph" w:customStyle="1" w:styleId="2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封面一致性程度标识"/>
    <w:autoRedefine/>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4">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12437</Words>
  <Characters>13699</Characters>
  <Lines>57</Lines>
  <Paragraphs>16</Paragraphs>
  <TotalTime>2</TotalTime>
  <ScaleCrop>false</ScaleCrop>
  <LinksUpToDate>false</LinksUpToDate>
  <CharactersWithSpaces>13822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2025-11-24T11:52:00Z</dcterms:created>
  <dc:creator>Apache POI</dc:creator>
  <cp:lastModifiedBy>罗平</cp:lastModifiedBy>
  <dcterms:modified xsi:type="dcterms:W3CDTF">2026-07-01T00:11:06Z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eyJoZGlkIjoiNDk3NGVlMjdkMjc4MzIyOTU4NTM3NmQxOWY2ZjljNWQiLCJ1c2VySWQiOiIxNzg5NTU1MDc4In0=</vt:lpwstr>
  </property>
  <property fmtid="{D5CDD505-2E9C-101B-9397-08002B2CF9AE}" pid="3" name="KSOProductBuildVer">
    <vt:lpwstr>2052-12.1.0.26884</vt:lpwstr>
  </property>
  <property fmtid="{D5CDD505-2E9C-101B-9397-08002B2CF9AE}" pid="4" name="ICV">
    <vt:lpwstr>3477DBAACF224F33B372DC758EEDE4BD_13</vt:lpwstr>
  </property>
</Properties>
</file>