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14174" w:type="dxa"/>
        <w:jc w:val="right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7"/>
        <w:gridCol w:w="1507"/>
        <w:gridCol w:w="5631"/>
        <w:gridCol w:w="2678"/>
        <w:gridCol w:w="2664"/>
        <w:gridCol w:w="1207"/>
      </w:tblGrid>
      <w:tr w14:paraId="5D3023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tblHeader/>
          <w:jc w:val="right"/>
        </w:trPr>
        <w:tc>
          <w:tcPr>
            <w:tcW w:w="141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bottom"/>
          </w:tcPr>
          <w:p w14:paraId="1898ABF1">
            <w:pPr>
              <w:widowControl/>
              <w:jc w:val="left"/>
              <w:textAlignment w:val="bottom"/>
              <w:rPr>
                <w:rFonts w:hint="eastAsia"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  <w:t xml:space="preserve">                                                 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标准征求意见稿意见汇总处理表</w:t>
            </w:r>
          </w:p>
        </w:tc>
      </w:tr>
      <w:tr w14:paraId="54CB6C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Header/>
          <w:jc w:val="right"/>
        </w:trPr>
        <w:tc>
          <w:tcPr>
            <w:tcW w:w="141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bottom"/>
          </w:tcPr>
          <w:p w14:paraId="07A35B90">
            <w:pPr>
              <w:widowControl/>
              <w:jc w:val="left"/>
              <w:textAlignment w:val="bottom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标准项目名称：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 xml:space="preserve">有色金属行业工业数据分类分级指南            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 xml:space="preserve"> 承办人</w:t>
            </w:r>
            <w:r>
              <w:rPr>
                <w:rStyle w:val="10"/>
                <w:rFonts w:hint="default"/>
                <w:sz w:val="21"/>
                <w:szCs w:val="21"/>
                <w:lang w:bidi="ar"/>
              </w:rPr>
              <w:t>：</w:t>
            </w:r>
            <w:r>
              <w:rPr>
                <w:rStyle w:val="10"/>
                <w:rFonts w:hint="eastAsia"/>
                <w:sz w:val="21"/>
                <w:szCs w:val="21"/>
                <w:lang w:val="en-US" w:eastAsia="zh-CN" w:bidi="ar"/>
              </w:rPr>
              <w:t xml:space="preserve">徐娟华                                         共2 页  第 1 页  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 xml:space="preserve">   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 xml:space="preserve">          </w:t>
            </w:r>
          </w:p>
        </w:tc>
      </w:tr>
      <w:tr w14:paraId="214CC1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tblHeader/>
          <w:jc w:val="right"/>
        </w:trPr>
        <w:tc>
          <w:tcPr>
            <w:tcW w:w="14174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 w:val="0"/>
            <w:vAlign w:val="bottom"/>
          </w:tcPr>
          <w:p w14:paraId="4778A09E">
            <w:pPr>
              <w:widowControl/>
              <w:textAlignment w:val="bottom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标准项目负责起草单位：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Cs w:val="21"/>
                <w:lang w:val="en-US" w:eastAsia="zh-CN"/>
              </w:rPr>
              <w:t>江西铜业股份有限公司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 xml:space="preserve">        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 xml:space="preserve">        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电话：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 xml:space="preserve">        </w:t>
            </w:r>
            <w:r>
              <w:rPr>
                <w:rStyle w:val="10"/>
                <w:rFonts w:hint="default"/>
                <w:sz w:val="21"/>
                <w:szCs w:val="21"/>
                <w:lang w:bidi="ar"/>
              </w:rPr>
              <w:t xml:space="preserve">  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 xml:space="preserve">                 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 xml:space="preserve"> 2026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年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8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 xml:space="preserve">9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日填写</w:t>
            </w:r>
          </w:p>
        </w:tc>
      </w:tr>
      <w:tr w14:paraId="6FBFF3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  <w:jc w:val="right"/>
        </w:trPr>
        <w:tc>
          <w:tcPr>
            <w:tcW w:w="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02991D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7B6CC9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标准章条编号</w:t>
            </w:r>
          </w:p>
        </w:tc>
        <w:tc>
          <w:tcPr>
            <w:tcW w:w="5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DD13DA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意见内容</w:t>
            </w:r>
          </w:p>
        </w:tc>
        <w:tc>
          <w:tcPr>
            <w:tcW w:w="2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321F7A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提出单位</w:t>
            </w:r>
          </w:p>
        </w:tc>
        <w:tc>
          <w:tcPr>
            <w:tcW w:w="2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D5E8B2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处理意见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4AC526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bidi="ar"/>
              </w:rPr>
              <w:t>备 注</w:t>
            </w:r>
          </w:p>
        </w:tc>
      </w:tr>
      <w:tr w14:paraId="1E484F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right"/>
        </w:trPr>
        <w:tc>
          <w:tcPr>
            <w:tcW w:w="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D04A5B1">
            <w:pPr>
              <w:widowControl/>
              <w:numPr>
                <w:ilvl w:val="0"/>
                <w:numId w:val="3"/>
              </w:numPr>
              <w:tabs>
                <w:tab w:val="clear" w:pos="0"/>
              </w:tabs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67F6552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val="en-US" w:eastAsia="zh-CN"/>
              </w:rPr>
              <w:t>4</w:t>
            </w:r>
          </w:p>
        </w:tc>
        <w:tc>
          <w:tcPr>
            <w:tcW w:w="5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626BEF20">
            <w:pPr>
              <w:spacing w:line="240" w:lineRule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建议增加“完整性保护原则”。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当前原则聚焦于数据泄露（机密性）的风险评估，但对于采选、冶炼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val="en-US" w:eastAsia="zh-CN"/>
              </w:rPr>
              <w:t>加工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等连续生产场景，数据的“完整性”（如工艺参数被篡改）可能直接导致生产事故、质量报废或安全风险，其危害性与机密性泄露同等重要。建议补充：“d. 完整性保护原则：应识别关键工艺、控制、安全类数据在遭遇篡改、损毁时对生产连续性、产品质量和人员安全造成的直接影响。”</w:t>
            </w:r>
          </w:p>
          <w:p w14:paraId="088ABEC1">
            <w:pPr>
              <w:spacing w:line="240" w:lineRule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val="en-US" w:eastAsia="zh-CN"/>
              </w:rPr>
              <w:t>《数据安全法》定义的“数据安全”包含机密性、完整性、可用性三个维度。当前原则主要体现了对泄露（机密性）的关注，补充完整性原则能体现出《数据安全法》的要求，同时也符合工业现场实际。</w:t>
            </w:r>
          </w:p>
        </w:tc>
        <w:tc>
          <w:tcPr>
            <w:tcW w:w="267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93B29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中国恩菲工程技术有限公司</w:t>
            </w:r>
          </w:p>
        </w:tc>
        <w:tc>
          <w:tcPr>
            <w:tcW w:w="2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B1F58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both"/>
              <w:textAlignment w:val="auto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未采纳。理由：</w:t>
            </w:r>
          </w:p>
          <w:p w14:paraId="1179E531">
            <w:pPr>
              <w:keepNext w:val="0"/>
              <w:keepLines w:val="0"/>
              <w:pageBreakBefore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both"/>
              <w:textAlignment w:val="auto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分类分级基本原则用于“依据什么标准给数据定级”，而完整性是数据安全防护目标，是分类分级完成后配套采取什么防护措施，属事后防护手段，和前三类原则不属于同一逻辑链条；</w:t>
            </w:r>
          </w:p>
          <w:p w14:paraId="735ECDDA">
            <w:pPr>
              <w:keepNext w:val="0"/>
              <w:keepLines w:val="0"/>
              <w:pageBreakBefore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在“b）安全风险影响原则”中已覆盖篡改、损毁等破坏数据完整性的典型行为，无需再重复强调完整性。</w:t>
            </w:r>
          </w:p>
        </w:tc>
        <w:tc>
          <w:tcPr>
            <w:tcW w:w="120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C2BD8D8">
            <w:pPr>
              <w:widowControl/>
              <w:jc w:val="both"/>
              <w:textAlignment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回函有意见的单位</w:t>
            </w:r>
          </w:p>
        </w:tc>
      </w:tr>
      <w:tr w14:paraId="26482C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right"/>
        </w:trPr>
        <w:tc>
          <w:tcPr>
            <w:tcW w:w="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1C00F30">
            <w:pPr>
              <w:widowControl/>
              <w:numPr>
                <w:ilvl w:val="0"/>
                <w:numId w:val="3"/>
              </w:numPr>
              <w:tabs>
                <w:tab w:val="clear" w:pos="0"/>
              </w:tabs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261B71C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6.4 d)</w:t>
            </w:r>
          </w:p>
        </w:tc>
        <w:tc>
          <w:tcPr>
            <w:tcW w:w="5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6B2C51EF">
            <w:pPr>
              <w:spacing w:line="240" w:lineRule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原文：“如待分级数据涉及多个要素、多个影响对象和危害程度，应按照‘就高从严’的原则确定数据级别；”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建议修改为：“如待分级数据涉及多个要素、多个影响对象和危害程度，应按照‘就高从严、叠加评估’的原则确定数据级别；即，当多个低风险要素叠加后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可能产生系统性高风险时，应综合评估其叠加效应，并据此上调数据级别。”</w:t>
            </w:r>
          </w:p>
          <w:p w14:paraId="095B3EC0">
            <w:pPr>
              <w:spacing w:line="240" w:lineRule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val="en-US" w:eastAsia="zh-CN"/>
              </w:rPr>
              <w:t>因为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“就高从严”是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val="en-US" w:eastAsia="zh-CN"/>
              </w:rPr>
              <w:t>一个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通用原则，但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val="en-US" w:eastAsia="zh-CN"/>
              </w:rPr>
              <w:t>在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智能化时代，数据的“化学聚合”效应显著。多个看似一般的数据（如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不同工序的能耗数据），经过大数据关联分析后，可能推演出整个工厂的开工率，从而上升为重要数据。明确“叠加评估”原则，是对“经汇聚分析后可得”原则在分级方法上的闭环呼应。</w:t>
            </w:r>
          </w:p>
        </w:tc>
        <w:tc>
          <w:tcPr>
            <w:tcW w:w="267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E78CF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7DF57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采纳</w:t>
            </w:r>
          </w:p>
        </w:tc>
        <w:tc>
          <w:tcPr>
            <w:tcW w:w="120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271EA2C">
            <w:pPr>
              <w:widowControl/>
              <w:jc w:val="both"/>
              <w:textAlignment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</w:p>
        </w:tc>
      </w:tr>
      <w:tr w14:paraId="404010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right"/>
        </w:trPr>
        <w:tc>
          <w:tcPr>
            <w:tcW w:w="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1CEA98E">
            <w:pPr>
              <w:widowControl/>
              <w:numPr>
                <w:ilvl w:val="0"/>
                <w:numId w:val="3"/>
              </w:numPr>
              <w:tabs>
                <w:tab w:val="clear" w:pos="0"/>
              </w:tabs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B343719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7.4</w:t>
            </w:r>
          </w:p>
        </w:tc>
        <w:tc>
          <w:tcPr>
            <w:tcW w:w="5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7D457F74">
            <w:pPr>
              <w:spacing w:line="240" w:lineRule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原文为单纯的文本描述。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建议修改为：“数据分类分级清单形成后，启动内部审批流程。……全过程应规范留痕、归档备查。鼓励企业建立基于数据资产目录的线上化、流程化审批系统，利用工作流引擎实现‘数据归属部门初审 → 数据管理部门复审 → 分管领导终审’的电子化流转，并将审批结果与数据标签自动关联。对于批量、低风险的一般数据，可设置自动化或简易审批规则，以提高效率。”</w:t>
            </w:r>
          </w:p>
          <w:p w14:paraId="1E7E907E">
            <w:pPr>
              <w:spacing w:line="240" w:lineRule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原文仅描述了“人”的审批流程，缺乏对“工具”和“效率”的考量。在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val="en-US" w:eastAsia="zh-CN"/>
              </w:rPr>
              <w:t>企业数字化的过程中，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数据资产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val="en-US" w:eastAsia="zh-CN"/>
              </w:rPr>
              <w:t>逐步积累，越来越多时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，纯人工审批不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val="en-US" w:eastAsia="zh-CN"/>
              </w:rPr>
              <w:t>太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现实。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val="en-US" w:eastAsia="zh-CN"/>
              </w:rPr>
              <w:t>因此需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融入“线上化、自动化、流程化”的智能化管理思想，指导企业构建更高效、可落地的数据治理体系。</w:t>
            </w:r>
          </w:p>
        </w:tc>
        <w:tc>
          <w:tcPr>
            <w:tcW w:w="267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D23C0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36253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both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采纳。补充：</w:t>
            </w:r>
          </w:p>
          <w:p w14:paraId="6F9E12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  <w:t>审批全过程应规范留痕、归档备查。鼓励企业搭建线上审批系统，实现三级审批电子化流转，分级结果自动关联数据标签，电子记录同步归档。</w:t>
            </w:r>
          </w:p>
        </w:tc>
        <w:tc>
          <w:tcPr>
            <w:tcW w:w="120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F84D3FA">
            <w:pPr>
              <w:widowControl/>
              <w:jc w:val="both"/>
              <w:textAlignment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</w:p>
        </w:tc>
      </w:tr>
      <w:tr w14:paraId="2A317A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right"/>
        </w:trPr>
        <w:tc>
          <w:tcPr>
            <w:tcW w:w="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F52EA71">
            <w:pPr>
              <w:widowControl/>
              <w:numPr>
                <w:ilvl w:val="0"/>
                <w:numId w:val="3"/>
              </w:numPr>
              <w:tabs>
                <w:tab w:val="clear" w:pos="0"/>
              </w:tabs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30D6402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7.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val="en-US" w:eastAsia="zh-CN"/>
              </w:rPr>
              <w:t>6</w:t>
            </w:r>
          </w:p>
        </w:tc>
        <w:tc>
          <w:tcPr>
            <w:tcW w:w="5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713D0504">
            <w:pPr>
              <w:spacing w:line="240" w:lineRule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建议明确“重大变化”的触发时限和评估责任主体。</w:t>
            </w:r>
          </w:p>
          <w:p w14:paraId="35644D8A">
            <w:pPr>
              <w:spacing w:line="240" w:lineRule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原文列出了需更新的情形，但未明确在多长时间内必须启动重新评估，以及由谁（如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原数据归属部门、数据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val="en-US" w:eastAsia="zh-CN"/>
              </w:rPr>
              <w:t>管理部门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或第三方）负责触发这一流程。建议补充：“企业应指定数据管理部门，在出现上述情形后30个工作日内启动重新评估与备案变更流程。”</w:t>
            </w:r>
          </w:p>
        </w:tc>
        <w:tc>
          <w:tcPr>
            <w:tcW w:w="2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847AD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F442C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both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未采纳。理由：</w:t>
            </w:r>
          </w:p>
          <w:p w14:paraId="0647751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6.4e）条款明确了“每年或重大变更后对已识别的重要数据进行再评估”；7.5 应在发生变化的三个月内完成备案信息变更，故此处无需再约定30个工作日；</w:t>
            </w:r>
          </w:p>
          <w:p w14:paraId="0050EC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本条款是进一步明确重大变化的范围及内容，责任主体及流程仍按7.4条款执行。</w:t>
            </w:r>
          </w:p>
        </w:tc>
        <w:tc>
          <w:tcPr>
            <w:tcW w:w="120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4DFD9D4">
            <w:pPr>
              <w:widowControl/>
              <w:jc w:val="both"/>
              <w:textAlignment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</w:p>
        </w:tc>
      </w:tr>
      <w:tr w14:paraId="41F7FD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right"/>
        </w:trPr>
        <w:tc>
          <w:tcPr>
            <w:tcW w:w="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5D62FC1">
            <w:pPr>
              <w:widowControl/>
              <w:numPr>
                <w:ilvl w:val="0"/>
                <w:numId w:val="3"/>
              </w:numPr>
              <w:tabs>
                <w:tab w:val="clear" w:pos="0"/>
              </w:tabs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96BFE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5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8F663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26E42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中铝洛阳铜加工有限公司</w:t>
            </w:r>
          </w:p>
        </w:tc>
        <w:tc>
          <w:tcPr>
            <w:tcW w:w="2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FA9A5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0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3A75DF3">
            <w:pPr>
              <w:widowControl/>
              <w:jc w:val="both"/>
              <w:textAlignment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bookmarkStart w:id="0" w:name="_GoBack"/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未回函单位</w:t>
            </w:r>
            <w:bookmarkEnd w:id="0"/>
          </w:p>
        </w:tc>
      </w:tr>
      <w:tr w14:paraId="477616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right"/>
        </w:trPr>
        <w:tc>
          <w:tcPr>
            <w:tcW w:w="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550BD9C">
            <w:pPr>
              <w:widowControl/>
              <w:numPr>
                <w:ilvl w:val="0"/>
                <w:numId w:val="3"/>
              </w:numPr>
              <w:ind w:left="425" w:leftChars="0" w:hanging="425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03162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5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0DA91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135B7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浙江海亮股份有限公司</w:t>
            </w:r>
          </w:p>
        </w:tc>
        <w:tc>
          <w:tcPr>
            <w:tcW w:w="2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757BF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0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85A1311">
            <w:pPr>
              <w:widowControl/>
              <w:jc w:val="both"/>
              <w:textAlignment w:val="center"/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</w:pPr>
          </w:p>
        </w:tc>
      </w:tr>
      <w:tr w14:paraId="19D08C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right"/>
        </w:trPr>
        <w:tc>
          <w:tcPr>
            <w:tcW w:w="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182BFDF">
            <w:pPr>
              <w:widowControl/>
              <w:numPr>
                <w:ilvl w:val="0"/>
                <w:numId w:val="3"/>
              </w:numPr>
              <w:ind w:left="425" w:leftChars="0" w:hanging="425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12DD6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5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6F8E5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2B265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陕西天宇镁业集团有限公司</w:t>
            </w:r>
          </w:p>
        </w:tc>
        <w:tc>
          <w:tcPr>
            <w:tcW w:w="2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323A1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0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7CC121B">
            <w:pPr>
              <w:widowControl/>
              <w:jc w:val="both"/>
              <w:textAlignment w:val="center"/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</w:pPr>
          </w:p>
        </w:tc>
      </w:tr>
      <w:tr w14:paraId="57D606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right"/>
        </w:trPr>
        <w:tc>
          <w:tcPr>
            <w:tcW w:w="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AE3C4E0">
            <w:pPr>
              <w:widowControl/>
              <w:numPr>
                <w:ilvl w:val="0"/>
                <w:numId w:val="3"/>
              </w:numPr>
              <w:ind w:left="425" w:leftChars="0" w:hanging="425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EF6AE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5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AA714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BF802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北京瑞太智联技术有限公司</w:t>
            </w:r>
          </w:p>
        </w:tc>
        <w:tc>
          <w:tcPr>
            <w:tcW w:w="2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D3455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0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C8ECCD9">
            <w:pPr>
              <w:widowControl/>
              <w:jc w:val="both"/>
              <w:textAlignment w:val="center"/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</w:pPr>
          </w:p>
        </w:tc>
      </w:tr>
      <w:tr w14:paraId="3A05D4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right"/>
        </w:trPr>
        <w:tc>
          <w:tcPr>
            <w:tcW w:w="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3517165">
            <w:pPr>
              <w:widowControl/>
              <w:numPr>
                <w:ilvl w:val="0"/>
                <w:numId w:val="3"/>
              </w:numPr>
              <w:ind w:left="425" w:leftChars="0" w:hanging="425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C814F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5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0C5E7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DB50E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葫芦岛锌业股份有限公司</w:t>
            </w:r>
          </w:p>
        </w:tc>
        <w:tc>
          <w:tcPr>
            <w:tcW w:w="2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EFAA7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0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E9E5829">
            <w:pPr>
              <w:widowControl/>
              <w:jc w:val="both"/>
              <w:textAlignment w:val="center"/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</w:pPr>
          </w:p>
        </w:tc>
      </w:tr>
      <w:tr w14:paraId="51DA6A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right"/>
        </w:trPr>
        <w:tc>
          <w:tcPr>
            <w:tcW w:w="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47BD051">
            <w:pPr>
              <w:widowControl/>
              <w:numPr>
                <w:ilvl w:val="0"/>
                <w:numId w:val="3"/>
              </w:numPr>
              <w:ind w:left="425" w:leftChars="0" w:hanging="425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A765A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5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43D2F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635AA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紫金矿业集团股份有限公司</w:t>
            </w:r>
          </w:p>
        </w:tc>
        <w:tc>
          <w:tcPr>
            <w:tcW w:w="2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C187D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0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F9E970D">
            <w:pPr>
              <w:widowControl/>
              <w:jc w:val="both"/>
              <w:textAlignment w:val="center"/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</w:pPr>
          </w:p>
        </w:tc>
      </w:tr>
      <w:tr w14:paraId="1B9D0A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right"/>
        </w:trPr>
        <w:tc>
          <w:tcPr>
            <w:tcW w:w="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0B74C56">
            <w:pPr>
              <w:widowControl/>
              <w:numPr>
                <w:ilvl w:val="0"/>
                <w:numId w:val="3"/>
              </w:numPr>
              <w:ind w:left="425" w:leftChars="0" w:hanging="425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190D3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5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F0382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5CC1B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大冶有色金属集团控股有限公司</w:t>
            </w:r>
          </w:p>
        </w:tc>
        <w:tc>
          <w:tcPr>
            <w:tcW w:w="2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E7106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0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512A673">
            <w:pPr>
              <w:widowControl/>
              <w:jc w:val="both"/>
              <w:textAlignment w:val="center"/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</w:pPr>
          </w:p>
        </w:tc>
      </w:tr>
      <w:tr w14:paraId="5AE986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right"/>
        </w:trPr>
        <w:tc>
          <w:tcPr>
            <w:tcW w:w="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61A1C0F">
            <w:pPr>
              <w:widowControl/>
              <w:numPr>
                <w:ilvl w:val="0"/>
                <w:numId w:val="3"/>
              </w:numPr>
              <w:ind w:left="425" w:leftChars="0" w:hanging="425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5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C617A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5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506CD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705C2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山东宏桥新型材料有限公司</w:t>
            </w:r>
          </w:p>
        </w:tc>
        <w:tc>
          <w:tcPr>
            <w:tcW w:w="2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080A9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120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6530C0B">
            <w:pPr>
              <w:widowControl/>
              <w:jc w:val="both"/>
              <w:textAlignment w:val="center"/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</w:pPr>
          </w:p>
        </w:tc>
      </w:tr>
      <w:tr w14:paraId="23890A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0" w:hRule="atLeast"/>
          <w:jc w:val="right"/>
        </w:trPr>
        <w:tc>
          <w:tcPr>
            <w:tcW w:w="14174" w:type="dxa"/>
            <w:gridSpan w:val="6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 w14:paraId="2FEF1C4A">
            <w:pPr>
              <w:widowControl/>
              <w:jc w:val="left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说明</w:t>
            </w:r>
            <w:r>
              <w:rPr>
                <w:rStyle w:val="12"/>
                <w:rFonts w:ascii="宋体" w:hAnsi="宋体" w:cs="宋体"/>
                <w:color w:val="auto"/>
                <w:lang w:bidi="ar"/>
              </w:rPr>
              <w:t>:                                                                                                                                                                                                                                                              (1)</w:t>
            </w: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发送《征求意见稿》的单位个</w:t>
            </w: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bidi="ar"/>
              </w:rPr>
              <w:t>数</w:t>
            </w:r>
            <w:r>
              <w:rPr>
                <w:rStyle w:val="12"/>
                <w:rFonts w:ascii="宋体" w:hAnsi="宋体" w:cs="宋体"/>
                <w:color w:val="auto"/>
                <w:highlight w:val="none"/>
                <w:lang w:bidi="ar"/>
              </w:rPr>
              <w:t>:</w:t>
            </w:r>
            <w:r>
              <w:rPr>
                <w:rStyle w:val="12"/>
                <w:rFonts w:hint="eastAsia" w:ascii="宋体" w:hAnsi="宋体" w:cs="宋体"/>
                <w:color w:val="auto"/>
                <w:highlight w:val="none"/>
                <w:lang w:val="en-US" w:eastAsia="zh-CN" w:bidi="ar"/>
              </w:rPr>
              <w:t>9</w:t>
            </w: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bidi="ar"/>
              </w:rPr>
              <w:t>个。                                                                                                               (2)收到《征求意见稿》后,回函的单位数:</w:t>
            </w: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bidi="ar"/>
              </w:rPr>
              <w:t>个。                                                                                                               (3)收到《征求意见稿》后,回函并有建议或意见的单位数:</w:t>
            </w: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bidi="ar"/>
              </w:rPr>
              <w:t>个。                                                                                                             (4)没有回函的单位数:</w:t>
            </w: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val="en-US" w:eastAsia="zh-CN" w:bidi="ar"/>
              </w:rPr>
              <w:t>8</w:t>
            </w:r>
            <w:r>
              <w:rPr>
                <w:rFonts w:hint="eastAsia" w:ascii="宋体" w:hAnsi="宋体" w:cs="宋体"/>
                <w:kern w:val="0"/>
                <w:szCs w:val="21"/>
                <w:highlight w:val="none"/>
                <w:lang w:bidi="ar"/>
              </w:rPr>
              <w:t>个。</w:t>
            </w:r>
          </w:p>
        </w:tc>
      </w:tr>
    </w:tbl>
    <w:p w14:paraId="47D83ED6"/>
    <w:sectPr>
      <w:footerReference r:id="rId3" w:type="default"/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DAC9E7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ABBE27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5ABBE27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6261EB5"/>
    <w:multiLevelType w:val="singleLevel"/>
    <w:tmpl w:val="46261EB5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4B9633F0"/>
    <w:multiLevelType w:val="singleLevel"/>
    <w:tmpl w:val="4B9633F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6CEA2025"/>
    <w:multiLevelType w:val="multilevel"/>
    <w:tmpl w:val="6CEA2025"/>
    <w:lvl w:ilvl="0" w:tentative="0">
      <w:start w:val="1"/>
      <w:numFmt w:val="none"/>
      <w:suff w:val="nothing"/>
      <w:lvlText w:val="%1"/>
      <w:lvlJc w:val="left"/>
      <w:pPr>
        <w:ind w:left="0" w:firstLine="0"/>
      </w:pPr>
      <w:rPr>
        <w:rFonts w:hint="eastAsia"/>
      </w:rPr>
    </w:lvl>
    <w:lvl w:ilvl="1" w:tentative="0">
      <w:start w:val="1"/>
      <w:numFmt w:val="decimal"/>
      <w:pStyle w:val="14"/>
      <w:suff w:val="nothing"/>
      <w:lvlText w:val="%1%2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2" w:tentative="0">
      <w:start w:val="1"/>
      <w:numFmt w:val="decimal"/>
      <w:pStyle w:val="13"/>
      <w:suff w:val="nothing"/>
      <w:lvlText w:val="%1%2.%3　"/>
      <w:lvlJc w:val="left"/>
      <w:pPr>
        <w:ind w:left="0" w:firstLine="0"/>
      </w:pPr>
      <w:rPr>
        <w:rFonts w:hint="eastAsia" w:ascii="黑体" w:hAnsi="Times New Roman" w:eastAsia="黑体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1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  <w14:cntxtalts w14:val="0"/>
      </w:rPr>
    </w:lvl>
    <w:lvl w:ilvl="3" w:tentative="0">
      <w:start w:val="1"/>
      <w:numFmt w:val="decimal"/>
      <w:suff w:val="nothing"/>
      <w:lvlText w:val="%1%2.%3.%4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4" w:tentative="0">
      <w:start w:val="1"/>
      <w:numFmt w:val="decimal"/>
      <w:suff w:val="nothing"/>
      <w:lvlText w:val="%1%2.%3.%4.%5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5" w:tentative="0">
      <w:start w:val="1"/>
      <w:numFmt w:val="decimal"/>
      <w:suff w:val="nothing"/>
      <w:lvlText w:val="%1%2.%3.%4.%5.%6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abstractNum w:abstractNumId="3">
    <w:nsid w:val="6DBF04F4"/>
    <w:multiLevelType w:val="multilevel"/>
    <w:tmpl w:val="6DBF04F4"/>
    <w:lvl w:ilvl="0" w:tentative="0">
      <w:start w:val="1"/>
      <w:numFmt w:val="none"/>
      <w:pStyle w:val="16"/>
      <w:lvlText w:val="%1注："/>
      <w:lvlJc w:val="left"/>
      <w:pPr>
        <w:ind w:left="737" w:hanging="374"/>
      </w:pPr>
      <w:rPr>
        <w:rFonts w:hint="eastAsia" w:ascii="黑体" w:eastAsia="黑体"/>
        <w:b w:val="0"/>
        <w:i w:val="0"/>
        <w:sz w:val="18"/>
      </w:rPr>
    </w:lvl>
    <w:lvl w:ilvl="1" w:tentative="0">
      <w:start w:val="1"/>
      <w:numFmt w:val="lowerLetter"/>
      <w:lvlText w:val="%2)"/>
      <w:lvlJc w:val="left"/>
      <w:pPr>
        <w:tabs>
          <w:tab w:val="left" w:pos="1140"/>
        </w:tabs>
        <w:ind w:left="726" w:hanging="363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1140"/>
        </w:tabs>
        <w:ind w:left="726" w:hanging="363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tabs>
          <w:tab w:val="left" w:pos="1140"/>
        </w:tabs>
        <w:ind w:left="726" w:hanging="363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1140"/>
        </w:tabs>
        <w:ind w:left="726" w:hanging="363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1140"/>
        </w:tabs>
        <w:ind w:left="726" w:hanging="363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1140"/>
        </w:tabs>
        <w:ind w:left="726" w:hanging="363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1140"/>
        </w:tabs>
        <w:ind w:left="726" w:hanging="363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1140"/>
        </w:tabs>
        <w:ind w:left="726" w:hanging="363"/>
      </w:pPr>
      <w:rPr>
        <w:rFonts w:hint="eastAsia"/>
      </w:rPr>
    </w:lvl>
  </w:abstractNum>
  <w:abstractNum w:abstractNumId="4">
    <w:nsid w:val="7A24026C"/>
    <w:multiLevelType w:val="singleLevel"/>
    <w:tmpl w:val="7A24026C"/>
    <w:lvl w:ilvl="0" w:tentative="0">
      <w:start w:val="1"/>
      <w:numFmt w:val="decimal"/>
      <w:suff w:val="nothing"/>
      <w:lvlText w:val="%1"/>
      <w:lvlJc w:val="left"/>
      <w:pPr>
        <w:tabs>
          <w:tab w:val="left" w:pos="0"/>
        </w:tabs>
        <w:ind w:left="425" w:hanging="425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9C7E96"/>
    <w:rsid w:val="015766FA"/>
    <w:rsid w:val="0183786B"/>
    <w:rsid w:val="05ED78B5"/>
    <w:rsid w:val="08943FF7"/>
    <w:rsid w:val="0C22366A"/>
    <w:rsid w:val="0F20161D"/>
    <w:rsid w:val="0FC63F72"/>
    <w:rsid w:val="11C73FD2"/>
    <w:rsid w:val="129F0AAB"/>
    <w:rsid w:val="13684BBF"/>
    <w:rsid w:val="13B16CE7"/>
    <w:rsid w:val="13E47976"/>
    <w:rsid w:val="13FD7AD9"/>
    <w:rsid w:val="1423754A"/>
    <w:rsid w:val="19A26CBD"/>
    <w:rsid w:val="1BC75406"/>
    <w:rsid w:val="1EB34FAF"/>
    <w:rsid w:val="1EDF6DFF"/>
    <w:rsid w:val="24C01592"/>
    <w:rsid w:val="259D0E7A"/>
    <w:rsid w:val="29521E72"/>
    <w:rsid w:val="29D65FF3"/>
    <w:rsid w:val="2ADB14E0"/>
    <w:rsid w:val="2B836D64"/>
    <w:rsid w:val="2BD30FEC"/>
    <w:rsid w:val="2F045487"/>
    <w:rsid w:val="30733A05"/>
    <w:rsid w:val="32406960"/>
    <w:rsid w:val="34431850"/>
    <w:rsid w:val="3C0B7C4A"/>
    <w:rsid w:val="3F067638"/>
    <w:rsid w:val="45F35DA4"/>
    <w:rsid w:val="49456EB5"/>
    <w:rsid w:val="49F2129D"/>
    <w:rsid w:val="4ED84102"/>
    <w:rsid w:val="4FB85FD9"/>
    <w:rsid w:val="4FBD1F95"/>
    <w:rsid w:val="50162691"/>
    <w:rsid w:val="54AC0818"/>
    <w:rsid w:val="54D648BB"/>
    <w:rsid w:val="5774012B"/>
    <w:rsid w:val="59180B0D"/>
    <w:rsid w:val="5E0A1E55"/>
    <w:rsid w:val="60697CEF"/>
    <w:rsid w:val="63236D64"/>
    <w:rsid w:val="64A21774"/>
    <w:rsid w:val="658622D1"/>
    <w:rsid w:val="66177CE7"/>
    <w:rsid w:val="67F43681"/>
    <w:rsid w:val="68C26C35"/>
    <w:rsid w:val="690C3919"/>
    <w:rsid w:val="69E274C0"/>
    <w:rsid w:val="6C4A52D0"/>
    <w:rsid w:val="6C663340"/>
    <w:rsid w:val="6D846BD4"/>
    <w:rsid w:val="71955D64"/>
    <w:rsid w:val="71F00253"/>
    <w:rsid w:val="72246C6C"/>
    <w:rsid w:val="726A3893"/>
    <w:rsid w:val="76E53009"/>
    <w:rsid w:val="779C7E96"/>
    <w:rsid w:val="78A06277"/>
    <w:rsid w:val="78A65510"/>
    <w:rsid w:val="797E2C25"/>
    <w:rsid w:val="7A9935C9"/>
    <w:rsid w:val="7C0F4AA0"/>
    <w:rsid w:val="7D641B1E"/>
    <w:rsid w:val="7E5E55CE"/>
    <w:rsid w:val="7E9B224A"/>
    <w:rsid w:val="7F6B4E9C"/>
    <w:rsid w:val="7FA13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100" w:beforeLines="100" w:beforeAutospacing="0" w:after="100" w:afterLines="100" w:afterAutospacing="0" w:line="240" w:lineRule="auto"/>
      <w:outlineLvl w:val="0"/>
    </w:pPr>
    <w:rPr>
      <w:rFonts w:ascii="Calibri" w:hAnsi="Calibri" w:eastAsia="黑体"/>
      <w:b/>
      <w:kern w:val="44"/>
    </w:rPr>
  </w:style>
  <w:style w:type="paragraph" w:styleId="3">
    <w:name w:val="heading 3"/>
    <w:basedOn w:val="1"/>
    <w:next w:val="1"/>
    <w:unhideWhenUsed/>
    <w:qFormat/>
    <w:uiPriority w:val="0"/>
    <w:pPr>
      <w:spacing w:beforeAutospacing="1" w:afterAutospacing="1"/>
      <w:outlineLvl w:val="2"/>
    </w:pPr>
    <w:rPr>
      <w:rFonts w:hint="eastAsia" w:ascii="宋体" w:hAnsi="宋体" w:eastAsia="宋体" w:cs="Times New Roman"/>
      <w:b/>
      <w:kern w:val="0"/>
      <w:sz w:val="18"/>
      <w:szCs w:val="27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qFormat/>
    <w:uiPriority w:val="0"/>
    <w:pPr>
      <w:ind w:firstLine="359" w:firstLineChars="171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9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character" w:customStyle="1" w:styleId="10">
    <w:name w:val="font9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1">
    <w:name w:val="font10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  <w:vertAlign w:val="superscript"/>
    </w:rPr>
  </w:style>
  <w:style w:type="character" w:customStyle="1" w:styleId="12">
    <w:name w:val="font112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paragraph" w:customStyle="1" w:styleId="13">
    <w:name w:val="标准文件_一级条标题"/>
    <w:basedOn w:val="14"/>
    <w:next w:val="15"/>
    <w:qFormat/>
    <w:uiPriority w:val="0"/>
    <w:pPr>
      <w:numPr>
        <w:ilvl w:val="2"/>
      </w:numPr>
      <w:spacing w:before="50" w:beforeLines="50" w:after="50" w:afterLines="50"/>
      <w:outlineLvl w:val="1"/>
    </w:pPr>
  </w:style>
  <w:style w:type="paragraph" w:customStyle="1" w:styleId="14">
    <w:name w:val="标准文件_章标题"/>
    <w:next w:val="15"/>
    <w:qFormat/>
    <w:uiPriority w:val="0"/>
    <w:pPr>
      <w:numPr>
        <w:ilvl w:val="1"/>
        <w:numId w:val="1"/>
      </w:numPr>
      <w:spacing w:before="100" w:beforeLines="100" w:after="100" w:afterLines="100"/>
      <w:jc w:val="both"/>
      <w:outlineLvl w:val="0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15">
    <w:name w:val="标准文件_段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16">
    <w:name w:val="标准文件_注："/>
    <w:next w:val="15"/>
    <w:qFormat/>
    <w:uiPriority w:val="0"/>
    <w:pPr>
      <w:widowControl w:val="0"/>
      <w:numPr>
        <w:ilvl w:val="0"/>
        <w:numId w:val="2"/>
      </w:numPr>
      <w:autoSpaceDE w:val="0"/>
      <w:autoSpaceDN w:val="0"/>
      <w:jc w:val="both"/>
    </w:pPr>
    <w:rPr>
      <w:rFonts w:ascii="宋体" w:hAnsi="Times New Roman" w:eastAsia="宋体" w:cs="Times New Roman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1614</Words>
  <Characters>1647</Characters>
  <Lines>0</Lines>
  <Paragraphs>0</Paragraphs>
  <TotalTime>1</TotalTime>
  <ScaleCrop>false</ScaleCrop>
  <LinksUpToDate>false</LinksUpToDate>
  <CharactersWithSpaces>2429</CharactersWithSpaces>
  <Application>WPS Office_12.1.0.23122_F1E327BC-269C-435d-A152-05C5408002CA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2025-02-28T01:09:00Z</dcterms:created>
  <dc:creator>123</dc:creator>
  <cp:lastModifiedBy>樊赣湘</cp:lastModifiedBy>
  <dcterms:modified xsi:type="dcterms:W3CDTF">2026-06-30T03:11:10Z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2052-12.1.0.23122</vt:lpwstr>
  </property>
  <property fmtid="{D5CDD505-2E9C-101B-9397-08002B2CF9AE}" pid="3" name="ICV">
    <vt:lpwstr>58C983A3E2044773ACFD9E48DDA108E8_13</vt:lpwstr>
  </property>
  <property fmtid="{D5CDD505-2E9C-101B-9397-08002B2CF9AE}" pid="4" name="KSOTemplateDocerSaveRecord">
    <vt:lpwstr>eyJoZGlkIjoiMjJhNDg4MTAyZGQxZmY5OGVlZWQ5M2Y2NDY4MDBlMWMiLCJ1c2VySWQiOiIxNDkzNzg0NzAzIn0=</vt:lpwstr>
  </property>
</Properties>
</file>