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E212">
      <w:pPr>
        <w:pStyle w:val="42"/>
        <w:pBdr>
          <w:top w:val="none" w:color="auto" w:sz="0" w:space="0"/>
          <w:left w:val="none" w:color="auto" w:sz="0" w:space="0"/>
          <w:bottom w:val="none" w:color="auto" w:sz="0" w:space="0"/>
          <w:right w:val="none" w:color="auto" w:sz="0" w:space="0"/>
        </w:pBdr>
        <w:spacing w:line="360" w:lineRule="auto"/>
      </w:pPr>
      <w:r>
        <mc:AlternateContent>
          <mc:Choice Requires="wps">
            <w:drawing>
              <wp:anchor distT="0" distB="0" distL="114300" distR="114300" simplePos="0" relativeHeight="251666432" behindDoc="0" locked="1" layoutInCell="1" allowOverlap="1">
                <wp:simplePos x="0" y="0"/>
                <wp:positionH relativeFrom="margin">
                  <wp:posOffset>2549525</wp:posOffset>
                </wp:positionH>
                <wp:positionV relativeFrom="margin">
                  <wp:posOffset>107315</wp:posOffset>
                </wp:positionV>
                <wp:extent cx="3175000" cy="720090"/>
                <wp:effectExtent l="0" t="0" r="6350" b="3810"/>
                <wp:wrapNone/>
                <wp:docPr id="15" name="文本框 15"/>
                <wp:cNvGraphicFramePr/>
                <a:graphic xmlns:a="http://schemas.openxmlformats.org/drawingml/2006/main">
                  <a:graphicData uri="http://schemas.microsoft.com/office/word/2010/wordprocessingShape">
                    <wps:wsp>
                      <wps:cNvSpPr txBox="1"/>
                      <wps:spPr>
                        <a:xfrm>
                          <a:off x="0" y="0"/>
                          <a:ext cx="3175000" cy="720090"/>
                        </a:xfrm>
                        <a:prstGeom prst="rect">
                          <a:avLst/>
                        </a:prstGeom>
                        <a:solidFill>
                          <a:srgbClr val="FFFFFF"/>
                        </a:solidFill>
                        <a:ln>
                          <a:noFill/>
                        </a:ln>
                      </wps:spPr>
                      <wps:txbx>
                        <w:txbxContent>
                          <w:p w14:paraId="3BF33444">
                            <w:pPr>
                              <w:pStyle w:val="15"/>
                            </w:pPr>
                            <w:r>
                              <w:rPr>
                                <w:rFonts w:ascii="Times New Roman" w:hAnsi="Times New Roman" w:eastAsia="宋体" w:cs="Times New Roman"/>
                                <w:w w:val="130"/>
                                <w:szCs w:val="20"/>
                              </w:rPr>
                              <w:t>YS</w:t>
                            </w:r>
                          </w:p>
                        </w:txbxContent>
                      </wps:txbx>
                      <wps:bodyPr lIns="0" tIns="0" rIns="0" bIns="0" upright="1"/>
                    </wps:wsp>
                  </a:graphicData>
                </a:graphic>
              </wp:anchor>
            </w:drawing>
          </mc:Choice>
          <mc:Fallback>
            <w:pict>
              <v:shape id="_x0000_s1026" o:spid="_x0000_s1026" o:spt="202" type="#_x0000_t202" style="position:absolute;left:0pt;margin-left:200.75pt;margin-top:8.45pt;height:56.7pt;width:250pt;mso-position-horizontal-relative:margin;mso-position-vertical-relative:margin;z-index:251666432;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lZOzzYAAAACgEAAA8AAAAAAAAAAQAgAAAAIgAA&#10;AGRycy9kb3ducmV2LnhtbFBLAQIUABQAAAAIAIdO4kA2PStIzwEAAJ0DAAAOAAAAAAAAAAEAIAAA&#10;ACcBAABkcnMvZTJvRG9jLnhtbFBLBQYAAAAABgAGAFkBAABoBQAAAAA=&#10;">
                <v:fill on="t" focussize="0,0"/>
                <v:stroke on="f"/>
                <v:imagedata o:title=""/>
                <o:lock v:ext="edit" aspectratio="f"/>
                <v:textbox inset="0mm,0mm,0mm,0mm">
                  <w:txbxContent>
                    <w:p w14:paraId="3BF33444">
                      <w:pPr>
                        <w:pStyle w:val="15"/>
                      </w:pPr>
                      <w:r>
                        <w:rPr>
                          <w:rFonts w:ascii="Times New Roman" w:hAnsi="Times New Roman" w:eastAsia="宋体" w:cs="Times New Roman"/>
                          <w:w w:val="130"/>
                          <w:szCs w:val="20"/>
                        </w:rPr>
                        <w:t>YS</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4148455</wp:posOffset>
                </wp:positionH>
                <wp:positionV relativeFrom="margin">
                  <wp:posOffset>8182610</wp:posOffset>
                </wp:positionV>
                <wp:extent cx="2019300" cy="312420"/>
                <wp:effectExtent l="0" t="0" r="0" b="11430"/>
                <wp:wrapNone/>
                <wp:docPr id="16" name="文本框 1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1309A79D">
                            <w:pPr>
                              <w:pStyle w:val="27"/>
                            </w:pPr>
                            <w:r>
                              <w:rPr>
                                <w:rFonts w:hint="eastAsia"/>
                              </w:rPr>
                              <w:t>××××-××-××实施</w:t>
                            </w:r>
                          </w:p>
                          <w:p w14:paraId="418F01D7"/>
                        </w:txbxContent>
                      </wps:txbx>
                      <wps:bodyPr lIns="0" tIns="0" rIns="0" bIns="0" upright="1"/>
                    </wps:wsp>
                  </a:graphicData>
                </a:graphic>
              </wp:anchor>
            </w:drawing>
          </mc:Choice>
          <mc:Fallback>
            <w:pict>
              <v:shape id="_x0000_s1026" o:spid="_x0000_s1026" o:spt="202" type="#_x0000_t202" style="position:absolute;left:0pt;margin-left:326.65pt;margin-top:644.3pt;height:24.6pt;width:159pt;mso-position-horizontal-relative:margin;mso-position-vertical-relative:margin;z-index:251663360;mso-width-relative:page;mso-height-relative:page;" fillcolor="#FFFFFF" filled="t" stroked="f" coordsize="21600,21600" o:gfxdata="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uFpEjaAAAADQEAAA8AAAAAAAAAAQAgAAAA&#10;IgAAAGRycy9kb3ducmV2LnhtbFBLAQIUABQAAAAIAIdO4kCk1bHz0AEAAJ0DAAAOAAAAAAAAAAEA&#10;IAAAACkBAABkcnMvZTJvRG9jLnhtbFBLBQYAAAAABgAGAFkBAABrBQAAAAA=&#10;">
                <v:fill on="t" focussize="0,0"/>
                <v:stroke on="f"/>
                <v:imagedata o:title=""/>
                <o:lock v:ext="edit" aspectratio="f"/>
                <v:textbox inset="0mm,0mm,0mm,0mm">
                  <w:txbxContent>
                    <w:p w14:paraId="1309A79D">
                      <w:pPr>
                        <w:pStyle w:val="27"/>
                      </w:pPr>
                      <w:r>
                        <w:rPr>
                          <w:rFonts w:hint="eastAsia"/>
                        </w:rPr>
                        <w:t>××××-××-××实施</w:t>
                      </w:r>
                    </w:p>
                    <w:p w14:paraId="418F01D7"/>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8154035</wp:posOffset>
                </wp:positionV>
                <wp:extent cx="2019300" cy="312420"/>
                <wp:effectExtent l="0" t="0" r="0" b="11430"/>
                <wp:wrapNone/>
                <wp:docPr id="17" name="文本框 17"/>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2385124D">
                            <w:pPr>
                              <w:pStyle w:val="25"/>
                            </w:pPr>
                            <w:r>
                              <w:rPr>
                                <w:rFonts w:hint="eastAsia"/>
                              </w:rPr>
                              <w:t>××××-××-××发布</w:t>
                            </w:r>
                          </w:p>
                          <w:p w14:paraId="0428B850"/>
                        </w:txbxContent>
                      </wps:txbx>
                      <wps:bodyPr lIns="0" tIns="0" rIns="0" bIns="0" upright="1"/>
                    </wps:wsp>
                  </a:graphicData>
                </a:graphic>
              </wp:anchor>
            </w:drawing>
          </mc:Choice>
          <mc:Fallback>
            <w:pict>
              <v:shape id="_x0000_s1026" o:spid="_x0000_s1026" o:spt="202" type="#_x0000_t202" style="position:absolute;left:0pt;margin-left:0pt;margin-top:642.05pt;height:24.6pt;width:159pt;mso-position-horizontal-relative:margin;mso-position-vertical-relative:margin;z-index:251662336;mso-width-relative:page;mso-height-relative:page;" fillcolor="#FFFFFF" filled="t" stroked="f" coordsize="21600,21600" o:gfxdata="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Ke1QHXAAAACgEAAA8AAAAAAAAAAQAgAAAAIgAA&#10;AGRycy9kb3ducmV2LnhtbFBLAQIUABQAAAAIAIdO4kBiAtRB0AEAAJ0DAAAOAAAAAAAAAAEAIAAA&#10;ACYBAABkcnMvZTJvRG9jLnhtbFBLBQYAAAAABgAGAFkBAABoBQAAAAA=&#10;">
                <v:fill on="t" focussize="0,0"/>
                <v:stroke on="f"/>
                <v:imagedata o:title=""/>
                <o:lock v:ext="edit" aspectratio="f"/>
                <v:textbox inset="0mm,0mm,0mm,0mm">
                  <w:txbxContent>
                    <w:p w14:paraId="2385124D">
                      <w:pPr>
                        <w:pStyle w:val="25"/>
                      </w:pPr>
                      <w:r>
                        <w:rPr>
                          <w:rFonts w:hint="eastAsia"/>
                        </w:rPr>
                        <w:t>××××-××-××发布</w:t>
                      </w:r>
                    </w:p>
                    <w:p w14:paraId="0428B850"/>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1401445</wp:posOffset>
                </wp:positionV>
                <wp:extent cx="5802630" cy="860425"/>
                <wp:effectExtent l="0" t="0" r="7620" b="15875"/>
                <wp:wrapNone/>
                <wp:docPr id="23" name="文本框 23"/>
                <wp:cNvGraphicFramePr/>
                <a:graphic xmlns:a="http://schemas.openxmlformats.org/drawingml/2006/main">
                  <a:graphicData uri="http://schemas.microsoft.com/office/word/2010/wordprocessingShape">
                    <wps:wsp>
                      <wps:cNvSpPr txBox="1"/>
                      <wps:spPr>
                        <a:xfrm>
                          <a:off x="0" y="0"/>
                          <a:ext cx="5802630" cy="860425"/>
                        </a:xfrm>
                        <a:prstGeom prst="rect">
                          <a:avLst/>
                        </a:prstGeom>
                        <a:solidFill>
                          <a:srgbClr val="FFFFFF"/>
                        </a:solidFill>
                        <a:ln>
                          <a:noFill/>
                        </a:ln>
                      </wps:spPr>
                      <wps:txbx>
                        <w:txbxContent>
                          <w:p w14:paraId="30799D5E">
                            <w:pPr>
                              <w:pStyle w:val="43"/>
                            </w:pPr>
                            <w:r>
                              <w:rPr>
                                <w:rFonts w:hint="eastAsia"/>
                              </w:rPr>
                              <w:t>YS</w:t>
                            </w:r>
                            <w:r>
                              <w:t xml:space="preserve"> </w:t>
                            </w:r>
                            <w:r>
                              <w:rPr>
                                <w:rFonts w:hint="eastAsia"/>
                              </w:rPr>
                              <w:t>/T XXXX</w:t>
                            </w:r>
                            <w:r>
                              <w:t>—</w:t>
                            </w:r>
                            <w:r>
                              <w:rPr>
                                <w:rFonts w:hint="eastAsia"/>
                              </w:rPr>
                              <w:t>202X</w:t>
                            </w:r>
                          </w:p>
                          <w:p w14:paraId="7FC90339">
                            <w:pPr>
                              <w:pStyle w:val="43"/>
                            </w:pPr>
                          </w:p>
                        </w:txbxContent>
                      </wps:txbx>
                      <wps:bodyPr lIns="0" tIns="0" rIns="0" bIns="0" upright="1"/>
                    </wps:wsp>
                  </a:graphicData>
                </a:graphic>
              </wp:anchor>
            </w:drawing>
          </mc:Choice>
          <mc:Fallback>
            <w:pict>
              <v:shape id="_x0000_s1026" o:spid="_x0000_s1026" o:spt="202" type="#_x0000_t202" style="position:absolute;left:0pt;margin-left:0pt;margin-top:110.35pt;height:67.75pt;width:456.9pt;mso-position-horizontal-relative:margin;mso-position-vertical-relative:margin;z-index:251661312;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UBpPvYAAAACAEAAA8AAAAAAAAAAQAgAAAAIgAA&#10;AGRycy9kb3ducmV2LnhtbFBLAQIUABQAAAAIAIdO4kCJ7eCEzwEAAJ0DAAAOAAAAAAAAAAEAIAAA&#10;ACcBAABkcnMvZTJvRG9jLnhtbFBLBQYAAAAABgAGAFkBAABoBQAAAAA=&#10;">
                <v:fill on="t" focussize="0,0"/>
                <v:stroke on="f"/>
                <v:imagedata o:title=""/>
                <o:lock v:ext="edit" aspectratio="f"/>
                <v:textbox inset="0mm,0mm,0mm,0mm">
                  <w:txbxContent>
                    <w:p w14:paraId="30799D5E">
                      <w:pPr>
                        <w:pStyle w:val="43"/>
                      </w:pPr>
                      <w:r>
                        <w:rPr>
                          <w:rFonts w:hint="eastAsia"/>
                        </w:rPr>
                        <w:t>YS</w:t>
                      </w:r>
                      <w:r>
                        <w:t xml:space="preserve"> </w:t>
                      </w:r>
                      <w:r>
                        <w:rPr>
                          <w:rFonts w:hint="eastAsia"/>
                        </w:rPr>
                        <w:t>/T XXXX</w:t>
                      </w:r>
                      <w:r>
                        <w:t>—</w:t>
                      </w:r>
                      <w:r>
                        <w:rPr>
                          <w:rFonts w:hint="eastAsia"/>
                        </w:rPr>
                        <w:t>202X</w:t>
                      </w:r>
                    </w:p>
                    <w:p w14:paraId="7FC90339">
                      <w:pPr>
                        <w:pStyle w:val="43"/>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18" name="文本框 18"/>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636FCFD2">
                            <w:pPr>
                              <w:pStyle w:val="16"/>
                            </w:pPr>
                            <w:r>
                              <w:rPr>
                                <w:rFonts w:hint="eastAsia" w:hAnsi="宋体" w:cs="Times New Roman"/>
                                <w:spacing w:val="0"/>
                                <w:sz w:val="52"/>
                                <w:szCs w:val="20"/>
                              </w:rPr>
                              <w:t>中华人民共和国有色金属行业标准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GDkcF1wAAAAgBAAAPAAAAAAAAAAEAIAAAACIAAABk&#10;cnMvZG93bnJldi54bWxQSwECFAAUAAAACACHTuJAalM1eM4BAACdAwAADgAAAAAAAAABACAAAAAm&#10;AQAAZHJzL2Uyb0RvYy54bWxQSwUGAAAAAAYABgBZAQAAZgUAAAAA&#10;">
                <v:fill on="t" focussize="0,0"/>
                <v:stroke on="f"/>
                <v:imagedata o:title=""/>
                <o:lock v:ext="edit" aspectratio="f"/>
                <v:textbox inset="0mm,0mm,0mm,0mm">
                  <w:txbxContent>
                    <w:p w14:paraId="636FCFD2">
                      <w:pPr>
                        <w:pStyle w:val="16"/>
                      </w:pPr>
                      <w:r>
                        <w:rPr>
                          <w:rFonts w:hint="eastAsia" w:hAnsi="宋体" w:cs="Times New Roman"/>
                          <w:spacing w:val="0"/>
                          <w:sz w:val="52"/>
                          <w:szCs w:val="20"/>
                        </w:rPr>
                        <w:t>中华人民共和国有色金属行业标准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198120</wp:posOffset>
                </wp:positionV>
                <wp:extent cx="2540000" cy="396240"/>
                <wp:effectExtent l="0" t="0" r="12700" b="3810"/>
                <wp:wrapNone/>
                <wp:docPr id="22" name="文本框 22"/>
                <wp:cNvGraphicFramePr/>
                <a:graphic xmlns:a="http://schemas.openxmlformats.org/drawingml/2006/main">
                  <a:graphicData uri="http://schemas.microsoft.com/office/word/2010/wordprocessingShape">
                    <wps:wsp>
                      <wps:cNvSpPr txBox="1"/>
                      <wps:spPr>
                        <a:xfrm>
                          <a:off x="0" y="0"/>
                          <a:ext cx="2540000" cy="396240"/>
                        </a:xfrm>
                        <a:prstGeom prst="rect">
                          <a:avLst/>
                        </a:prstGeom>
                        <a:solidFill>
                          <a:srgbClr val="FFFFFF"/>
                        </a:solidFill>
                        <a:ln>
                          <a:noFill/>
                        </a:ln>
                      </wps:spPr>
                      <wps:txbx>
                        <w:txbxContent>
                          <w:p w14:paraId="4E57BD39">
                            <w:pPr>
                              <w:pStyle w:val="14"/>
                              <w:rPr>
                                <w:rFonts w:ascii="黑体" w:hAnsi="黑体" w:cs="黑体"/>
                              </w:rPr>
                            </w:pPr>
                            <w:r>
                              <w:rPr>
                                <w:rFonts w:ascii="Times New Roman"/>
                                <w:color w:val="000000" w:themeColor="text1"/>
                                <w14:textFill>
                                  <w14:solidFill>
                                    <w14:schemeClr w14:val="tx1"/>
                                  </w14:solidFill>
                                </w14:textFill>
                              </w:rPr>
                              <w:t>ICS</w:t>
                            </w:r>
                            <w:r>
                              <w:rPr>
                                <w:rFonts w:hint="eastAsia" w:ascii="Times New Roman"/>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77.120</w:t>
                            </w:r>
                          </w:p>
                          <w:p w14:paraId="48449ADC">
                            <w:pPr>
                              <w:pStyle w:val="14"/>
                              <w:rPr>
                                <w:rFonts w:ascii="黑体" w:hAnsi="黑体" w:cs="黑体"/>
                              </w:rPr>
                            </w:pPr>
                            <w:r>
                              <w:rPr>
                                <w:rFonts w:hint="eastAsia"/>
                                <w:color w:val="000000" w:themeColor="text1"/>
                                <w:lang w:val="en-US" w:eastAsia="zh-CN"/>
                                <w14:textFill>
                                  <w14:solidFill>
                                    <w14:schemeClr w14:val="tx1"/>
                                  </w14:solidFill>
                                </w14:textFill>
                              </w:rPr>
                              <w:t>CCS H 60</w:t>
                            </w:r>
                          </w:p>
                          <w:p w14:paraId="4167B0BD">
                            <w:pPr>
                              <w:pStyle w:val="14"/>
                              <w:rPr>
                                <w:rFonts w:hint="eastAsia"/>
                              </w:rPr>
                            </w:pPr>
                          </w:p>
                        </w:txbxContent>
                      </wps:txbx>
                      <wps:bodyPr lIns="0" tIns="0" rIns="0" bIns="0" upright="1"/>
                    </wps:wsp>
                  </a:graphicData>
                </a:graphic>
              </wp:anchor>
            </w:drawing>
          </mc:Choice>
          <mc:Fallback>
            <w:pict>
              <v:shape id="_x0000_s1026" o:spid="_x0000_s1026" o:spt="202" type="#_x0000_t202" style="position:absolute;left:0pt;margin-left:0pt;margin-top:15.6pt;height:31.2pt;width:200pt;mso-position-horizontal-relative:margin;mso-position-vertical-relative:margin;z-index:251659264;mso-width-relative:page;mso-height-relative:page;" fillcolor="#FFFFFF" filled="t" stroked="f" coordsize="21600,21600" o:gfxdata="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&#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kUF431QAAAAYBAAAPAAAAAAAAAAEAIAAAACIAAABk&#10;cnMvZG93bnJldi54bWxQSwECFAAUAAAACACHTuJAvtOIjtABAACdAwAADgAAAAAAAAABACAAAAAk&#10;AQAAZHJzL2Uyb0RvYy54bWxQSwUGAAAAAAYABgBZAQAAZgUAAAAA&#10;">
                <v:fill on="t" focussize="0,0"/>
                <v:stroke on="f"/>
                <v:imagedata o:title=""/>
                <o:lock v:ext="edit" aspectratio="f"/>
                <v:textbox inset="0mm,0mm,0mm,0mm">
                  <w:txbxContent>
                    <w:p w14:paraId="4E57BD39">
                      <w:pPr>
                        <w:pStyle w:val="14"/>
                        <w:rPr>
                          <w:rFonts w:ascii="黑体" w:hAnsi="黑体" w:cs="黑体"/>
                        </w:rPr>
                      </w:pPr>
                      <w:r>
                        <w:rPr>
                          <w:rFonts w:ascii="Times New Roman"/>
                          <w:color w:val="000000" w:themeColor="text1"/>
                          <w14:textFill>
                            <w14:solidFill>
                              <w14:schemeClr w14:val="tx1"/>
                            </w14:solidFill>
                          </w14:textFill>
                        </w:rPr>
                        <w:t>ICS</w:t>
                      </w:r>
                      <w:r>
                        <w:rPr>
                          <w:rFonts w:hint="eastAsia" w:ascii="Times New Roman"/>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77.120</w:t>
                      </w:r>
                    </w:p>
                    <w:p w14:paraId="48449ADC">
                      <w:pPr>
                        <w:pStyle w:val="14"/>
                        <w:rPr>
                          <w:rFonts w:ascii="黑体" w:hAnsi="黑体" w:cs="黑体"/>
                        </w:rPr>
                      </w:pPr>
                      <w:r>
                        <w:rPr>
                          <w:rFonts w:hint="eastAsia"/>
                          <w:color w:val="000000" w:themeColor="text1"/>
                          <w:lang w:val="en-US" w:eastAsia="zh-CN"/>
                          <w14:textFill>
                            <w14:solidFill>
                              <w14:schemeClr w14:val="tx1"/>
                            </w14:solidFill>
                          </w14:textFill>
                        </w:rPr>
                        <w:t>CCS H 60</w:t>
                      </w:r>
                    </w:p>
                    <w:p w14:paraId="4167B0BD">
                      <w:pPr>
                        <w:pStyle w:val="14"/>
                        <w:rPr>
                          <w:rFonts w:hint="eastAsia"/>
                        </w:rPr>
                      </w:pPr>
                    </w:p>
                  </w:txbxContent>
                </v:textbox>
                <w10:anchorlock/>
              </v:shape>
            </w:pict>
          </mc:Fallback>
        </mc:AlternateContent>
      </w:r>
    </w:p>
    <w:p w14:paraId="797559B5">
      <w:pPr>
        <w:pBdr>
          <w:top w:val="none" w:color="auto" w:sz="0" w:space="0"/>
          <w:left w:val="none" w:color="auto" w:sz="0" w:space="0"/>
          <w:bottom w:val="none" w:color="auto" w:sz="0" w:space="0"/>
          <w:right w:val="none" w:color="auto" w:sz="0" w:space="0"/>
        </w:pBdr>
        <w:spacing w:line="360" w:lineRule="auto"/>
      </w:pPr>
    </w:p>
    <w:p w14:paraId="37C5EF5C">
      <w:pPr>
        <w:pBdr>
          <w:top w:val="none" w:color="auto" w:sz="0" w:space="0"/>
          <w:left w:val="none" w:color="auto" w:sz="0" w:space="0"/>
          <w:bottom w:val="none" w:color="auto" w:sz="0" w:space="0"/>
          <w:right w:val="none" w:color="auto" w:sz="0" w:space="0"/>
        </w:pBdr>
        <w:spacing w:line="360" w:lineRule="auto"/>
      </w:pPr>
    </w:p>
    <w:p w14:paraId="3193EA05">
      <w:pPr>
        <w:pBdr>
          <w:top w:val="none" w:color="auto" w:sz="0" w:space="0"/>
          <w:left w:val="none" w:color="auto" w:sz="0" w:space="0"/>
          <w:bottom w:val="none" w:color="auto" w:sz="0" w:space="0"/>
          <w:right w:val="none" w:color="auto" w:sz="0" w:space="0"/>
        </w:pBdr>
        <w:spacing w:line="360" w:lineRule="auto"/>
      </w:pPr>
    </w:p>
    <w:p w14:paraId="65FAC31B">
      <w:pPr>
        <w:pBdr>
          <w:top w:val="none" w:color="auto" w:sz="0" w:space="0"/>
          <w:left w:val="none" w:color="auto" w:sz="0" w:space="0"/>
          <w:bottom w:val="none" w:color="auto" w:sz="0" w:space="0"/>
          <w:right w:val="none" w:color="auto" w:sz="0" w:space="0"/>
        </w:pBdr>
        <w:spacing w:line="360" w:lineRule="auto"/>
      </w:pPr>
    </w:p>
    <w:p w14:paraId="12F5F70B">
      <w:pPr>
        <w:pBdr>
          <w:top w:val="none" w:color="auto" w:sz="0" w:space="0"/>
          <w:left w:val="none" w:color="auto" w:sz="0" w:space="0"/>
          <w:bottom w:val="none" w:color="auto" w:sz="0" w:space="0"/>
          <w:right w:val="none" w:color="auto" w:sz="0" w:space="0"/>
        </w:pBdr>
        <w:spacing w:line="360" w:lineRule="auto"/>
      </w:pPr>
    </w:p>
    <w:p w14:paraId="0316ADB8">
      <w:pPr>
        <w:pBdr>
          <w:top w:val="none" w:color="auto" w:sz="0" w:space="0"/>
          <w:left w:val="none" w:color="auto" w:sz="0" w:space="0"/>
          <w:bottom w:val="none" w:color="auto" w:sz="0" w:space="0"/>
          <w:right w:val="none" w:color="auto" w:sz="0" w:space="0"/>
        </w:pBdr>
        <w:spacing w:line="360" w:lineRule="auto"/>
      </w:pPr>
    </w:p>
    <w:p w14:paraId="642E0A35">
      <w:pPr>
        <w:pBdr>
          <w:top w:val="none" w:color="auto" w:sz="0" w:space="0"/>
          <w:left w:val="none" w:color="auto" w:sz="0" w:space="0"/>
          <w:bottom w:val="none" w:color="auto" w:sz="0" w:space="0"/>
          <w:right w:val="none" w:color="auto" w:sz="0" w:space="0"/>
        </w:pBdr>
        <w:spacing w:line="360" w:lineRule="auto"/>
      </w:pPr>
    </w:p>
    <w:p w14:paraId="7C97E484">
      <w:pPr>
        <w:pBdr>
          <w:top w:val="none" w:color="auto" w:sz="0" w:space="0"/>
          <w:left w:val="none" w:color="auto" w:sz="0" w:space="0"/>
          <w:bottom w:val="none" w:color="auto" w:sz="0" w:space="0"/>
          <w:right w:val="none" w:color="auto" w:sz="0" w:space="0"/>
        </w:pBdr>
        <w:spacing w:line="360" w:lineRule="auto"/>
      </w:pPr>
      <w:r>
        <mc:AlternateContent>
          <mc:Choice Requires="wps">
            <w:drawing>
              <wp:anchor distT="0" distB="0" distL="114300" distR="114300" simplePos="0" relativeHeight="251664384" behindDoc="0" locked="0" layoutInCell="1" allowOverlap="1">
                <wp:simplePos x="0" y="0"/>
                <wp:positionH relativeFrom="column">
                  <wp:posOffset>85725</wp:posOffset>
                </wp:positionH>
                <wp:positionV relativeFrom="paragraph">
                  <wp:posOffset>38735</wp:posOffset>
                </wp:positionV>
                <wp:extent cx="6121400" cy="0"/>
                <wp:effectExtent l="0" t="0" r="0" b="0"/>
                <wp:wrapTopAndBottom/>
                <wp:docPr id="19" name="直接连接符 1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75pt;margin-top:3.05pt;height:0pt;width:482pt;mso-wrap-distance-bottom:0pt;mso-wrap-distance-top:0pt;z-index:251664384;mso-width-relative:page;mso-height-relative:page;" filled="f" stroked="t" coordsize="21600,21600" o:gfxdata="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ytbsw0QAAAAYBAAAPAAAAAAAAAAEAIAAAACIAAABkcnMvZG93bnJldi54bWxQSwECFAAU&#10;AAAACACHTuJAOw6WZvgBAADnAwAADgAAAAAAAAABACAAAAAgAQAAZHJzL2Uyb0RvYy54bWxQSwUG&#10;AAAAAAYABgBZAQAAigUAAAAA&#10;">
                <v:fill on="f" focussize="0,0"/>
                <v:stroke weight="1pt" color="#800008" joinstyle="round"/>
                <v:imagedata o:title=""/>
                <o:lock v:ext="edit" aspectratio="f"/>
                <w10:wrap type="topAndBottom"/>
              </v:line>
            </w:pict>
          </mc:Fallback>
        </mc:AlternateContent>
      </w:r>
    </w:p>
    <w:p w14:paraId="0CF1C79E">
      <w:pPr>
        <w:pBdr>
          <w:top w:val="none" w:color="auto" w:sz="0" w:space="0"/>
          <w:left w:val="none" w:color="auto" w:sz="0" w:space="0"/>
          <w:bottom w:val="none" w:color="auto" w:sz="0" w:space="0"/>
          <w:right w:val="none" w:color="auto" w:sz="0" w:space="0"/>
        </w:pBdr>
        <w:spacing w:line="360" w:lineRule="auto"/>
      </w:pPr>
    </w:p>
    <w:p w14:paraId="398CB812">
      <w:pPr>
        <w:pBdr>
          <w:top w:val="none" w:color="auto" w:sz="0" w:space="0"/>
          <w:left w:val="none" w:color="auto" w:sz="0" w:space="0"/>
          <w:bottom w:val="none" w:color="auto" w:sz="0" w:space="0"/>
          <w:right w:val="none" w:color="auto" w:sz="0" w:space="0"/>
        </w:pBdr>
        <w:spacing w:line="360" w:lineRule="auto"/>
      </w:pPr>
    </w:p>
    <w:p w14:paraId="1F64ACD3">
      <w:pPr>
        <w:pBdr>
          <w:top w:val="none" w:color="auto" w:sz="0" w:space="0"/>
          <w:left w:val="none" w:color="auto" w:sz="0" w:space="0"/>
          <w:bottom w:val="none" w:color="auto" w:sz="0" w:space="0"/>
          <w:right w:val="none" w:color="auto" w:sz="0" w:space="0"/>
        </w:pBdr>
        <w:spacing w:line="360" w:lineRule="auto"/>
        <w:jc w:val="center"/>
        <w:rPr>
          <w:rFonts w:hint="eastAsia"/>
          <w:sz w:val="28"/>
        </w:rPr>
      </w:pPr>
      <w:r>
        <w:rPr>
          <w:rFonts w:hint="eastAsia" w:eastAsia="黑体"/>
          <w:sz w:val="52"/>
        </w:rPr>
        <w:t>有色金属行业工业数据分类分级指南</w:t>
      </w:r>
      <w:r>
        <w:rPr>
          <w:rFonts w:hint="eastAsia"/>
          <w:sz w:val="28"/>
        </w:rPr>
        <w:t xml:space="preserve"> Guidelines for industial data classification and grading of non-ferrous metals industry</w:t>
      </w:r>
    </w:p>
    <w:p w14:paraId="5CAA4108">
      <w:pPr>
        <w:pBdr>
          <w:top w:val="none" w:color="auto" w:sz="0" w:space="0"/>
          <w:left w:val="none" w:color="auto" w:sz="0" w:space="0"/>
          <w:bottom w:val="none" w:color="auto" w:sz="0" w:space="0"/>
          <w:right w:val="none" w:color="auto" w:sz="0" w:space="0"/>
        </w:pBdr>
        <w:spacing w:line="360" w:lineRule="auto"/>
        <w:jc w:val="center"/>
        <w:rPr>
          <w:rFonts w:hint="eastAsia"/>
          <w:sz w:val="28"/>
          <w:highlight w:val="none"/>
        </w:rPr>
      </w:pPr>
      <w:r>
        <w:rPr>
          <w:rFonts w:hint="eastAsia"/>
          <w:sz w:val="28"/>
          <w:highlight w:val="none"/>
        </w:rPr>
        <w:t>（</w:t>
      </w:r>
      <w:r>
        <w:rPr>
          <w:rFonts w:hint="eastAsia"/>
          <w:sz w:val="28"/>
          <w:highlight w:val="none"/>
          <w:lang w:val="en-US" w:eastAsia="zh-CN"/>
        </w:rPr>
        <w:t>送审稿</w:t>
      </w:r>
      <w:r>
        <w:rPr>
          <w:rFonts w:hint="eastAsia"/>
          <w:sz w:val="28"/>
          <w:highlight w:val="none"/>
        </w:rPr>
        <w:t>）</w:t>
      </w:r>
    </w:p>
    <w:p w14:paraId="4B46AF36">
      <w:pPr>
        <w:pBdr>
          <w:top w:val="none" w:color="auto" w:sz="0" w:space="0"/>
          <w:left w:val="none" w:color="auto" w:sz="0" w:space="0"/>
          <w:bottom w:val="none" w:color="auto" w:sz="0" w:space="0"/>
          <w:right w:val="none" w:color="auto" w:sz="0" w:space="0"/>
        </w:pBdr>
        <w:spacing w:line="360" w:lineRule="auto"/>
        <w:jc w:val="center"/>
        <w:rPr>
          <w:sz w:val="28"/>
        </w:rPr>
      </w:pPr>
    </w:p>
    <w:p w14:paraId="59F46AB8">
      <w:pPr>
        <w:pBdr>
          <w:top w:val="none" w:color="auto" w:sz="0" w:space="0"/>
          <w:left w:val="none" w:color="auto" w:sz="0" w:space="0"/>
          <w:bottom w:val="none" w:color="auto" w:sz="0" w:space="0"/>
          <w:right w:val="none" w:color="auto" w:sz="0" w:space="0"/>
        </w:pBdr>
        <w:spacing w:line="360" w:lineRule="auto"/>
        <w:jc w:val="center"/>
        <w:rPr>
          <w:sz w:val="28"/>
        </w:rPr>
      </w:pPr>
    </w:p>
    <w:p w14:paraId="2030A027">
      <w:pPr>
        <w:pBdr>
          <w:top w:val="none" w:color="auto" w:sz="0" w:space="0"/>
          <w:left w:val="none" w:color="auto" w:sz="0" w:space="0"/>
          <w:bottom w:val="none" w:color="auto" w:sz="0" w:space="0"/>
          <w:right w:val="none" w:color="auto" w:sz="0" w:space="0"/>
        </w:pBdr>
        <w:spacing w:line="360" w:lineRule="auto"/>
        <w:jc w:val="center"/>
        <w:rPr>
          <w:sz w:val="28"/>
        </w:rPr>
      </w:pPr>
    </w:p>
    <w:p w14:paraId="47F81C37">
      <w:pPr>
        <w:pBdr>
          <w:top w:val="none" w:color="auto" w:sz="0" w:space="0"/>
          <w:left w:val="none" w:color="auto" w:sz="0" w:space="0"/>
          <w:bottom w:val="none" w:color="auto" w:sz="0" w:space="0"/>
          <w:right w:val="none" w:color="auto" w:sz="0" w:space="0"/>
        </w:pBdr>
        <w:spacing w:line="360" w:lineRule="auto"/>
        <w:rPr>
          <w:b/>
          <w:bCs/>
          <w:sz w:val="28"/>
        </w:rPr>
      </w:pPr>
    </w:p>
    <w:p w14:paraId="48AD8E53">
      <w:pPr>
        <w:pBdr>
          <w:top w:val="none" w:color="auto" w:sz="0" w:space="0"/>
          <w:left w:val="none" w:color="auto" w:sz="0" w:space="0"/>
          <w:bottom w:val="none" w:color="auto" w:sz="0" w:space="0"/>
          <w:right w:val="none" w:color="auto" w:sz="0" w:space="0"/>
        </w:pBdr>
        <w:spacing w:line="360" w:lineRule="auto"/>
        <w:rPr>
          <w:b/>
          <w:bCs/>
          <w:sz w:val="28"/>
        </w:rPr>
      </w:pPr>
    </w:p>
    <w:p w14:paraId="7C698D2B">
      <w:pPr>
        <w:pBdr>
          <w:top w:val="none" w:color="auto" w:sz="0" w:space="0"/>
          <w:left w:val="none" w:color="auto" w:sz="0" w:space="0"/>
          <w:bottom w:val="none" w:color="auto" w:sz="0" w:space="0"/>
          <w:right w:val="none" w:color="auto" w:sz="0" w:space="0"/>
        </w:pBdr>
        <w:spacing w:line="360" w:lineRule="auto"/>
        <w:rPr>
          <w:rFonts w:hint="eastAsia"/>
          <w:b/>
          <w:bCs/>
          <w:sz w:val="28"/>
          <w:u w:val="thick"/>
        </w:rPr>
      </w:pPr>
    </w:p>
    <w:p w14:paraId="04F4AAD4">
      <w:pPr>
        <w:pBdr>
          <w:top w:val="none" w:color="auto" w:sz="0" w:space="0"/>
          <w:left w:val="none" w:color="auto" w:sz="0" w:space="0"/>
          <w:bottom w:val="none" w:color="auto" w:sz="0" w:space="0"/>
          <w:right w:val="none" w:color="auto" w:sz="0" w:space="0"/>
        </w:pBdr>
        <w:spacing w:line="360" w:lineRule="auto"/>
        <w:rPr>
          <w:rFonts w:hint="eastAsia"/>
          <w:b/>
          <w:bCs/>
          <w:sz w:val="28"/>
          <w:u w:val="thick"/>
        </w:rPr>
      </w:pPr>
    </w:p>
    <w:p w14:paraId="1469929F">
      <w:pPr>
        <w:pBdr>
          <w:top w:val="none" w:color="auto" w:sz="0" w:space="0"/>
          <w:left w:val="none" w:color="auto" w:sz="0" w:space="0"/>
          <w:bottom w:val="none" w:color="auto" w:sz="0" w:space="0"/>
          <w:right w:val="none" w:color="auto" w:sz="0" w:space="0"/>
        </w:pBdr>
        <w:spacing w:line="360" w:lineRule="auto"/>
        <w:rPr>
          <w:b/>
          <w:bCs/>
          <w:sz w:val="28"/>
          <w:u w:val="thick"/>
        </w:rPr>
      </w:pPr>
      <w:r>
        <w:rPr>
          <w:b/>
          <w:bCs/>
          <w:sz w:val="28"/>
          <w:u w:val="thick"/>
        </w:rPr>
        <mc:AlternateContent>
          <mc:Choice Requires="wps">
            <w:drawing>
              <wp:anchor distT="0" distB="0" distL="114300" distR="114300" simplePos="0" relativeHeight="251667456" behindDoc="0" locked="1" layoutInCell="1" allowOverlap="1">
                <wp:simplePos x="0" y="0"/>
                <wp:positionH relativeFrom="margin">
                  <wp:posOffset>0</wp:posOffset>
                </wp:positionH>
                <wp:positionV relativeFrom="margin">
                  <wp:posOffset>8740140</wp:posOffset>
                </wp:positionV>
                <wp:extent cx="6120130" cy="363220"/>
                <wp:effectExtent l="0" t="0" r="13970" b="17780"/>
                <wp:wrapNone/>
                <wp:docPr id="21" name="文本框 21"/>
                <wp:cNvGraphicFramePr/>
                <a:graphic xmlns:a="http://schemas.openxmlformats.org/drawingml/2006/main">
                  <a:graphicData uri="http://schemas.microsoft.com/office/word/2010/wordprocessingShape">
                    <wps:wsp>
                      <wps:cNvSpPr txBox="1"/>
                      <wps:spPr>
                        <a:xfrm>
                          <a:off x="0" y="0"/>
                          <a:ext cx="6120130" cy="363220"/>
                        </a:xfrm>
                        <a:prstGeom prst="rect">
                          <a:avLst/>
                        </a:prstGeom>
                        <a:solidFill>
                          <a:srgbClr val="FFFFFF"/>
                        </a:solidFill>
                        <a:ln>
                          <a:noFill/>
                        </a:ln>
                      </wps:spPr>
                      <wps:txbx>
                        <w:txbxContent>
                          <w:p w14:paraId="1BF3C9D8">
                            <w:pPr>
                              <w:pStyle w:val="28"/>
                            </w:pPr>
                            <w:r>
                              <w:rPr>
                                <w:rFonts w:hint="eastAsia"/>
                              </w:rPr>
                              <w:t>中华人民共和国工业和信息化部</w:t>
                            </w:r>
                            <w:r>
                              <w:rPr>
                                <w:rStyle w:val="31"/>
                                <w:rFonts w:hint="eastAsia"/>
                              </w:rPr>
                              <w:t xml:space="preserve"> 发布</w:t>
                            </w:r>
                          </w:p>
                        </w:txbxContent>
                      </wps:txbx>
                      <wps:bodyPr lIns="0" tIns="0" rIns="0" bIns="0" upright="1"/>
                    </wps:wsp>
                  </a:graphicData>
                </a:graphic>
              </wp:anchor>
            </w:drawing>
          </mc:Choice>
          <mc:Fallback>
            <w:pict>
              <v:shape id="_x0000_s1026" o:spid="_x0000_s1026" o:spt="202" type="#_x0000_t202" style="position:absolute;left:0pt;margin-left:0pt;margin-top:688.2pt;height:28.6pt;width:481.9pt;mso-position-horizontal-relative:margin;mso-position-vertical-relative:margin;z-index:251667456;mso-width-relative:page;mso-height-relative:page;" fillcolor="#FFFFFF" filled="t" stroked="f" coordsize="21600,21600" o:gfxdata="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eFmFjYAAAACgEAAA8AAAAAAAAAAQAgAAAAIgAA&#10;AGRycy9kb3ducmV2LnhtbFBLAQIUABQAAAAIAIdO4kAIzI9nzwEAAJ0DAAAOAAAAAAAAAAEAIAAA&#10;ACcBAABkcnMvZTJvRG9jLnhtbFBLBQYAAAAABgAGAFkBAABoBQAAAAA=&#10;">
                <v:fill on="t" focussize="0,0"/>
                <v:stroke on="f"/>
                <v:imagedata o:title=""/>
                <o:lock v:ext="edit" aspectratio="f"/>
                <v:textbox inset="0mm,0mm,0mm,0mm">
                  <w:txbxContent>
                    <w:p w14:paraId="1BF3C9D8">
                      <w:pPr>
                        <w:pStyle w:val="28"/>
                      </w:pPr>
                      <w:r>
                        <w:rPr>
                          <w:rFonts w:hint="eastAsia"/>
                        </w:rPr>
                        <w:t>中华人民共和国工业和信息化部</w:t>
                      </w:r>
                      <w:r>
                        <w:rPr>
                          <w:rStyle w:val="31"/>
                          <w:rFonts w:hint="eastAsia"/>
                        </w:rPr>
                        <w:t xml:space="preserve"> 发布</w:t>
                      </w:r>
                    </w:p>
                  </w:txbxContent>
                </v:textbox>
                <w10:anchorlock/>
              </v:shape>
            </w:pict>
          </mc:Fallback>
        </mc:AlternateContent>
      </w:r>
    </w:p>
    <w:p w14:paraId="2F1BB42F">
      <w:pPr>
        <w:pBdr>
          <w:top w:val="none" w:color="auto" w:sz="0" w:space="0"/>
          <w:left w:val="none" w:color="auto" w:sz="0" w:space="0"/>
          <w:bottom w:val="none" w:color="auto" w:sz="0" w:space="0"/>
          <w:right w:val="none" w:color="auto" w:sz="0" w:space="0"/>
        </w:pBdr>
        <w:spacing w:line="360" w:lineRule="auto"/>
        <w:rPr>
          <w:kern w:val="0"/>
        </w:rPr>
      </w:pPr>
      <w:r>
        <mc:AlternateContent>
          <mc:Choice Requires="wps">
            <w:drawing>
              <wp:anchor distT="0" distB="0" distL="114300" distR="114300" simplePos="0" relativeHeight="251665408" behindDoc="0" locked="0" layoutInCell="1" allowOverlap="1">
                <wp:simplePos x="0" y="0"/>
                <wp:positionH relativeFrom="column">
                  <wp:posOffset>17780</wp:posOffset>
                </wp:positionH>
                <wp:positionV relativeFrom="paragraph">
                  <wp:posOffset>255905</wp:posOffset>
                </wp:positionV>
                <wp:extent cx="6121400" cy="0"/>
                <wp:effectExtent l="0" t="0" r="0" b="0"/>
                <wp:wrapTopAndBottom/>
                <wp:docPr id="20" name="直接连接符 2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20.15pt;height:0pt;width:482pt;mso-wrap-distance-bottom:0pt;mso-wrap-distance-top:0pt;z-index:251665408;mso-width-relative:page;mso-height-relative:page;" filled="f" stroked="t" coordsize="21600,21600" o:gfxdata="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obuSbUAAAABwEAAA8AAAAAAAAAAQAgAAAAIgAAAGRycy9kb3ducmV2LnhtbFBLAQIUABQA&#10;AAAIAIdO4kBy7xN19AEAAOcDAAAOAAAAAAAAAAEAIAAAACMBAABkcnMvZTJvRG9jLnhtbFBLBQYA&#10;AAAABgAGAFkBAACJBQAAAAA=&#10;">
                <v:fill on="f" focussize="0,0"/>
                <v:stroke weight="1pt" color="#000000 [3213]" joinstyle="round"/>
                <v:imagedata o:title=""/>
                <o:lock v:ext="edit" aspectratio="f"/>
                <w10:wrap type="topAndBottom"/>
              </v:line>
            </w:pict>
          </mc:Fallback>
        </mc:AlternateContent>
      </w:r>
    </w:p>
    <w:p w14:paraId="09473B42">
      <w:pPr>
        <w:pBdr>
          <w:top w:val="none" w:color="auto" w:sz="0" w:space="0"/>
          <w:left w:val="none" w:color="auto" w:sz="0" w:space="0"/>
          <w:bottom w:val="none" w:color="auto" w:sz="0" w:space="0"/>
          <w:right w:val="none" w:color="auto" w:sz="0" w:space="0"/>
        </w:pBdr>
        <w:autoSpaceDE w:val="0"/>
        <w:autoSpaceDN w:val="0"/>
        <w:adjustRightInd w:val="0"/>
        <w:spacing w:before="1" w:line="360" w:lineRule="auto"/>
        <w:ind w:right="284" w:firstLine="3840" w:firstLineChars="1200"/>
        <w:outlineLvl w:val="0"/>
        <w:rPr>
          <w:rFonts w:ascii="黑体" w:hAnsi="黑体" w:eastAsia="黑体" w:cs="黑体"/>
          <w:kern w:val="0"/>
          <w:sz w:val="32"/>
          <w:szCs w:val="28"/>
        </w:rPr>
        <w:sectPr>
          <w:headerReference r:id="rId3" w:type="default"/>
          <w:footerReference r:id="rId4" w:type="default"/>
          <w:pgSz w:w="11906" w:h="16838"/>
          <w:pgMar w:top="1134" w:right="1418" w:bottom="1134" w:left="1418" w:header="567" w:footer="283" w:gutter="0"/>
          <w:pgBorders>
            <w:top w:val="none" w:sz="0" w:space="0"/>
            <w:left w:val="none" w:sz="0" w:space="0"/>
            <w:bottom w:val="none" w:sz="0" w:space="0"/>
            <w:right w:val="none" w:sz="0" w:space="0"/>
          </w:pgBorders>
          <w:pgNumType w:fmt="upperRoman" w:start="1"/>
          <w:cols w:space="720" w:num="1"/>
          <w:docGrid w:type="lines" w:linePitch="312" w:charSpace="0"/>
        </w:sectPr>
      </w:pPr>
    </w:p>
    <w:p w14:paraId="72B052DF">
      <w:pPr>
        <w:spacing w:line="360" w:lineRule="auto"/>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MS Mincho" w:hAnsi="MS Mincho" w:eastAsia="MS Mincho" w:cs="MS Mincho"/>
        </w:rPr>
        <w:t>  </w:t>
      </w:r>
      <w:r>
        <w:rPr>
          <w:rFonts w:hint="eastAsia" w:ascii="黑体" w:hAnsi="黑体" w:eastAsia="黑体" w:cs="黑体"/>
          <w:sz w:val="32"/>
          <w:szCs w:val="32"/>
        </w:rPr>
        <w:t>次</w:t>
      </w:r>
    </w:p>
    <w:p w14:paraId="53198F11">
      <w:pPr>
        <w:spacing w:line="360" w:lineRule="auto"/>
        <w:jc w:val="center"/>
        <w:rPr>
          <w:rFonts w:hint="eastAsia"/>
          <w:sz w:val="32"/>
          <w:szCs w:val="32"/>
        </w:rPr>
      </w:pPr>
    </w:p>
    <w:p w14:paraId="51CBC72E">
      <w:pPr>
        <w:pStyle w:val="8"/>
        <w:tabs>
          <w:tab w:val="right" w:leader="dot" w:pos="9355"/>
          <w:tab w:val="clear" w:pos="9241"/>
        </w:tabs>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TOC \o "1-3" \h \z \u </w:instrText>
      </w:r>
      <w:r>
        <w:rPr>
          <w:rFonts w:hint="eastAsia" w:ascii="宋体" w:hAnsi="宋体" w:eastAsia="宋体" w:cs="宋体"/>
          <w:sz w:val="21"/>
          <w:szCs w:val="21"/>
        </w:rPr>
        <w:fldChar w:fldCharType="separate"/>
      </w:r>
      <w:r>
        <w:rPr>
          <w:rFonts w:hint="eastAsia" w:ascii="宋体" w:hAnsi="宋体" w:eastAsia="宋体" w:cs="宋体"/>
          <w:szCs w:val="21"/>
        </w:rPr>
        <w:fldChar w:fldCharType="begin"/>
      </w:r>
      <w:r>
        <w:rPr>
          <w:rFonts w:hint="eastAsia" w:ascii="宋体" w:hAnsi="宋体" w:eastAsia="宋体" w:cs="宋体"/>
          <w:szCs w:val="21"/>
        </w:rPr>
        <w:instrText xml:space="preserve"> HYPERLINK \l _Toc10447 </w:instrText>
      </w:r>
      <w:r>
        <w:rPr>
          <w:rFonts w:hint="eastAsia" w:ascii="宋体" w:hAnsi="宋体" w:eastAsia="宋体" w:cs="宋体"/>
          <w:szCs w:val="21"/>
        </w:rPr>
        <w:fldChar w:fldCharType="separate"/>
      </w:r>
      <w:r>
        <w:rPr>
          <w:rFonts w:hint="eastAsia" w:ascii="黑体" w:hAnsi="黑体" w:eastAsia="黑体" w:cs="黑体"/>
        </w:rPr>
        <w:t>前  言</w:t>
      </w:r>
      <w:r>
        <w:tab/>
      </w:r>
      <w:r>
        <w:fldChar w:fldCharType="begin"/>
      </w:r>
      <w:r>
        <w:instrText xml:space="preserve"> PAGEREF _Toc10447 \h </w:instrText>
      </w:r>
      <w:r>
        <w:fldChar w:fldCharType="separate"/>
      </w:r>
      <w:r>
        <w:t>II</w:t>
      </w:r>
      <w:r>
        <w:fldChar w:fldCharType="end"/>
      </w:r>
      <w:r>
        <w:rPr>
          <w:rFonts w:hint="eastAsia" w:ascii="宋体" w:hAnsi="宋体" w:eastAsia="宋体" w:cs="宋体"/>
          <w:szCs w:val="21"/>
        </w:rPr>
        <w:fldChar w:fldCharType="end"/>
      </w:r>
    </w:p>
    <w:p w14:paraId="2A0379A4">
      <w:pPr>
        <w:pStyle w:val="8"/>
        <w:tabs>
          <w:tab w:val="right" w:leader="dot" w:pos="9355"/>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_Toc22510 </w:instrText>
      </w:r>
      <w:r>
        <w:rPr>
          <w:rFonts w:hint="eastAsia" w:ascii="宋体" w:hAnsi="宋体" w:eastAsia="宋体" w:cs="宋体"/>
          <w:bCs/>
          <w:szCs w:val="21"/>
          <w:lang w:val="zh-CN"/>
        </w:rPr>
        <w:fldChar w:fldCharType="separate"/>
      </w:r>
      <w:r>
        <w:rPr>
          <w:rFonts w:hint="eastAsia" w:ascii="黑体" w:hAnsi="黑体" w:eastAsia="黑体" w:cs="黑体"/>
          <w:bCs w:val="0"/>
          <w:lang w:val="en-US" w:eastAsia="zh-CN"/>
        </w:rPr>
        <w:t>引</w:t>
      </w:r>
      <w:r>
        <w:rPr>
          <w:rFonts w:hint="eastAsia" w:ascii="黑体" w:hAnsi="黑体" w:eastAsia="黑体" w:cs="黑体"/>
          <w:bCs w:val="0"/>
        </w:rPr>
        <w:t>  言</w:t>
      </w:r>
      <w:r>
        <w:tab/>
      </w:r>
      <w:r>
        <w:fldChar w:fldCharType="begin"/>
      </w:r>
      <w:r>
        <w:instrText xml:space="preserve"> PAGEREF _Toc22510 \h </w:instrText>
      </w:r>
      <w:r>
        <w:fldChar w:fldCharType="separate"/>
      </w:r>
      <w:r>
        <w:t>III</w:t>
      </w:r>
      <w:r>
        <w:fldChar w:fldCharType="end"/>
      </w:r>
      <w:r>
        <w:rPr>
          <w:rFonts w:hint="eastAsia" w:ascii="宋体" w:hAnsi="宋体" w:eastAsia="宋体" w:cs="宋体"/>
          <w:bCs/>
          <w:szCs w:val="21"/>
          <w:lang w:val="zh-CN"/>
        </w:rPr>
        <w:fldChar w:fldCharType="end"/>
      </w:r>
    </w:p>
    <w:p w14:paraId="0D04AB8A">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_Toc8702 </w:instrText>
      </w:r>
      <w:r>
        <w:rPr>
          <w:rFonts w:hint="eastAsia" w:ascii="宋体" w:hAnsi="宋体" w:eastAsia="宋体" w:cs="宋体"/>
          <w:bCs/>
          <w:szCs w:val="21"/>
          <w:lang w:val="zh-CN"/>
        </w:rPr>
        <w:fldChar w:fldCharType="separate"/>
      </w:r>
      <w:r>
        <w:rPr>
          <w:rFonts w:hint="eastAsia"/>
          <w:bCs/>
          <w:lang w:val="en-US" w:eastAsia="zh-CN"/>
        </w:rPr>
        <w:t xml:space="preserve">1  </w:t>
      </w:r>
      <w:r>
        <w:rPr>
          <w:rFonts w:hint="eastAsia"/>
          <w:bCs/>
        </w:rPr>
        <w:t>范围</w:t>
      </w:r>
      <w:r>
        <w:tab/>
      </w:r>
      <w:r>
        <w:fldChar w:fldCharType="begin"/>
      </w:r>
      <w:r>
        <w:instrText xml:space="preserve"> PAGEREF _Toc8702 \h </w:instrText>
      </w:r>
      <w:r>
        <w:fldChar w:fldCharType="separate"/>
      </w:r>
      <w:r>
        <w:t>1</w:t>
      </w:r>
      <w:r>
        <w:fldChar w:fldCharType="end"/>
      </w:r>
      <w:r>
        <w:rPr>
          <w:rFonts w:hint="eastAsia" w:ascii="宋体" w:hAnsi="宋体" w:eastAsia="宋体" w:cs="宋体"/>
          <w:bCs/>
          <w:szCs w:val="21"/>
          <w:lang w:val="zh-CN"/>
        </w:rPr>
        <w:fldChar w:fldCharType="end"/>
      </w:r>
    </w:p>
    <w:p w14:paraId="700264C2">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_Toc24697 </w:instrText>
      </w:r>
      <w:r>
        <w:rPr>
          <w:rFonts w:hint="eastAsia" w:ascii="宋体" w:hAnsi="宋体" w:eastAsia="宋体" w:cs="宋体"/>
          <w:bCs/>
          <w:szCs w:val="21"/>
          <w:lang w:val="zh-CN"/>
        </w:rPr>
        <w:fldChar w:fldCharType="separate"/>
      </w:r>
      <w:r>
        <w:rPr>
          <w:rFonts w:hint="eastAsia" w:cs="Times New Roman"/>
          <w:bCs/>
          <w:lang w:val="en-US" w:eastAsia="zh-CN"/>
        </w:rPr>
        <w:t>2  规范性引用文件</w:t>
      </w:r>
      <w:r>
        <w:tab/>
      </w:r>
      <w:r>
        <w:fldChar w:fldCharType="begin"/>
      </w:r>
      <w:r>
        <w:instrText xml:space="preserve"> PAGEREF _Toc24697 \h </w:instrText>
      </w:r>
      <w:r>
        <w:fldChar w:fldCharType="separate"/>
      </w:r>
      <w:r>
        <w:t>1</w:t>
      </w:r>
      <w:r>
        <w:fldChar w:fldCharType="end"/>
      </w:r>
      <w:r>
        <w:rPr>
          <w:rFonts w:hint="eastAsia" w:ascii="宋体" w:hAnsi="宋体" w:eastAsia="宋体" w:cs="宋体"/>
          <w:bCs/>
          <w:szCs w:val="21"/>
          <w:lang w:val="zh-CN"/>
        </w:rPr>
        <w:fldChar w:fldCharType="end"/>
      </w:r>
    </w:p>
    <w:p w14:paraId="49DF591C">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_Toc9779 </w:instrText>
      </w:r>
      <w:r>
        <w:rPr>
          <w:rFonts w:hint="eastAsia" w:ascii="宋体" w:hAnsi="宋体" w:eastAsia="宋体" w:cs="宋体"/>
          <w:bCs/>
          <w:szCs w:val="21"/>
          <w:lang w:val="zh-CN"/>
        </w:rPr>
        <w:fldChar w:fldCharType="separate"/>
      </w:r>
      <w:r>
        <w:rPr>
          <w:rFonts w:hint="eastAsia" w:cs="Times New Roman"/>
          <w:bCs/>
          <w:lang w:val="en-US" w:eastAsia="zh-CN"/>
        </w:rPr>
        <w:t>3  术语和定义</w:t>
      </w:r>
      <w:r>
        <w:tab/>
      </w:r>
      <w:r>
        <w:fldChar w:fldCharType="begin"/>
      </w:r>
      <w:r>
        <w:instrText xml:space="preserve"> PAGEREF _Toc9779 \h </w:instrText>
      </w:r>
      <w:r>
        <w:fldChar w:fldCharType="separate"/>
      </w:r>
      <w:r>
        <w:t>1</w:t>
      </w:r>
      <w:r>
        <w:fldChar w:fldCharType="end"/>
      </w:r>
      <w:r>
        <w:rPr>
          <w:rFonts w:hint="eastAsia" w:ascii="宋体" w:hAnsi="宋体" w:eastAsia="宋体" w:cs="宋体"/>
          <w:bCs/>
          <w:szCs w:val="21"/>
          <w:lang w:val="zh-CN"/>
        </w:rPr>
        <w:fldChar w:fldCharType="end"/>
      </w:r>
    </w:p>
    <w:p w14:paraId="717A229A">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_Toc3057 </w:instrText>
      </w:r>
      <w:r>
        <w:rPr>
          <w:rFonts w:hint="eastAsia" w:ascii="宋体" w:hAnsi="宋体" w:eastAsia="宋体" w:cs="宋体"/>
          <w:bCs/>
          <w:szCs w:val="21"/>
          <w:lang w:val="zh-CN"/>
        </w:rPr>
        <w:fldChar w:fldCharType="separate"/>
      </w:r>
      <w:r>
        <w:rPr>
          <w:rFonts w:hint="eastAsia" w:cs="Times New Roman"/>
          <w:bCs/>
          <w:lang w:val="en-US" w:eastAsia="zh-CN"/>
        </w:rPr>
        <w:t>4  基本原则</w:t>
      </w:r>
      <w:r>
        <w:tab/>
      </w:r>
      <w:r>
        <w:fldChar w:fldCharType="begin"/>
      </w:r>
      <w:r>
        <w:instrText xml:space="preserve"> PAGEREF _Toc3057 \h </w:instrText>
      </w:r>
      <w:r>
        <w:fldChar w:fldCharType="separate"/>
      </w:r>
      <w:r>
        <w:t>2</w:t>
      </w:r>
      <w:r>
        <w:fldChar w:fldCharType="end"/>
      </w:r>
      <w:r>
        <w:rPr>
          <w:rFonts w:hint="eastAsia" w:ascii="宋体" w:hAnsi="宋体" w:eastAsia="宋体" w:cs="宋体"/>
          <w:bCs/>
          <w:szCs w:val="21"/>
          <w:lang w:val="zh-CN"/>
        </w:rPr>
        <w:fldChar w:fldCharType="end"/>
      </w:r>
    </w:p>
    <w:p w14:paraId="38925C47">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_Toc18082 </w:instrText>
      </w:r>
      <w:r>
        <w:rPr>
          <w:rFonts w:hint="eastAsia" w:ascii="宋体" w:hAnsi="宋体" w:eastAsia="宋体" w:cs="宋体"/>
          <w:bCs/>
          <w:szCs w:val="21"/>
          <w:lang w:val="zh-CN"/>
        </w:rPr>
        <w:fldChar w:fldCharType="separate"/>
      </w:r>
      <w:r>
        <w:rPr>
          <w:rFonts w:hint="eastAsia" w:cs="Times New Roman"/>
          <w:bCs/>
          <w:lang w:val="en-US" w:eastAsia="zh-CN"/>
        </w:rPr>
        <w:t>5  数据分类规则</w:t>
      </w:r>
      <w:r>
        <w:tab/>
      </w:r>
      <w:r>
        <w:fldChar w:fldCharType="begin"/>
      </w:r>
      <w:r>
        <w:instrText xml:space="preserve"> PAGEREF _Toc18082 \h </w:instrText>
      </w:r>
      <w:r>
        <w:fldChar w:fldCharType="separate"/>
      </w:r>
      <w:r>
        <w:t>2</w:t>
      </w:r>
      <w:r>
        <w:fldChar w:fldCharType="end"/>
      </w:r>
      <w:r>
        <w:rPr>
          <w:rFonts w:hint="eastAsia" w:ascii="宋体" w:hAnsi="宋体" w:eastAsia="宋体" w:cs="宋体"/>
          <w:bCs/>
          <w:szCs w:val="21"/>
          <w:lang w:val="zh-CN"/>
        </w:rPr>
        <w:fldChar w:fldCharType="end"/>
      </w:r>
    </w:p>
    <w:p w14:paraId="217AB232">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_Toc24769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5.1 数据分类框架</w:t>
      </w:r>
      <w:r>
        <w:tab/>
      </w:r>
      <w:r>
        <w:fldChar w:fldCharType="begin"/>
      </w:r>
      <w:r>
        <w:instrText xml:space="preserve"> PAGEREF _Toc24769 \h </w:instrText>
      </w:r>
      <w:r>
        <w:fldChar w:fldCharType="separate"/>
      </w:r>
      <w:r>
        <w:t>3</w:t>
      </w:r>
      <w:r>
        <w:fldChar w:fldCharType="end"/>
      </w:r>
      <w:r>
        <w:rPr>
          <w:rFonts w:hint="eastAsia" w:ascii="宋体" w:hAnsi="宋体" w:eastAsia="宋体" w:cs="宋体"/>
          <w:bCs/>
          <w:szCs w:val="21"/>
          <w:lang w:val="zh-CN"/>
        </w:rPr>
        <w:fldChar w:fldCharType="end"/>
      </w:r>
    </w:p>
    <w:p w14:paraId="17856D44">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_Toc18949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5.2 数据分类方法</w:t>
      </w:r>
      <w:r>
        <w:tab/>
      </w:r>
      <w:r>
        <w:fldChar w:fldCharType="begin"/>
      </w:r>
      <w:r>
        <w:instrText xml:space="preserve"> PAGEREF _Toc18949 \h </w:instrText>
      </w:r>
      <w:r>
        <w:fldChar w:fldCharType="separate"/>
      </w:r>
      <w:r>
        <w:t>3</w:t>
      </w:r>
      <w:r>
        <w:fldChar w:fldCharType="end"/>
      </w:r>
      <w:r>
        <w:rPr>
          <w:rFonts w:hint="eastAsia" w:ascii="宋体" w:hAnsi="宋体" w:eastAsia="宋体" w:cs="宋体"/>
          <w:bCs/>
          <w:szCs w:val="21"/>
          <w:lang w:val="zh-CN"/>
        </w:rPr>
        <w:fldChar w:fldCharType="end"/>
      </w:r>
    </w:p>
    <w:p w14:paraId="7931A3D9">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_Toc25799 </w:instrText>
      </w:r>
      <w:r>
        <w:rPr>
          <w:rFonts w:hint="eastAsia" w:ascii="宋体" w:hAnsi="宋体" w:eastAsia="宋体" w:cs="宋体"/>
          <w:bCs/>
          <w:szCs w:val="21"/>
          <w:lang w:val="zh-CN"/>
        </w:rPr>
        <w:fldChar w:fldCharType="separate"/>
      </w:r>
      <w:r>
        <w:rPr>
          <w:rFonts w:hint="eastAsia" w:cs="Times New Roman"/>
          <w:bCs/>
          <w:lang w:val="en-US" w:eastAsia="zh-CN"/>
        </w:rPr>
        <w:t>6  数据分级规则</w:t>
      </w:r>
      <w:r>
        <w:tab/>
      </w:r>
      <w:r>
        <w:fldChar w:fldCharType="begin"/>
      </w:r>
      <w:r>
        <w:instrText xml:space="preserve"> PAGEREF _Toc25799 \h </w:instrText>
      </w:r>
      <w:r>
        <w:fldChar w:fldCharType="separate"/>
      </w:r>
      <w:r>
        <w:t>3</w:t>
      </w:r>
      <w:r>
        <w:fldChar w:fldCharType="end"/>
      </w:r>
      <w:r>
        <w:rPr>
          <w:rFonts w:hint="eastAsia" w:ascii="宋体" w:hAnsi="宋体" w:eastAsia="宋体" w:cs="宋体"/>
          <w:bCs/>
          <w:szCs w:val="21"/>
          <w:lang w:val="zh-CN"/>
        </w:rPr>
        <w:fldChar w:fldCharType="end"/>
      </w:r>
    </w:p>
    <w:p w14:paraId="248E98DD">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_Toc22662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6.1 数据分级框架</w:t>
      </w:r>
      <w:r>
        <w:tab/>
      </w:r>
      <w:r>
        <w:fldChar w:fldCharType="begin"/>
      </w:r>
      <w:r>
        <w:instrText xml:space="preserve"> PAGEREF _Toc22662 \h </w:instrText>
      </w:r>
      <w:r>
        <w:fldChar w:fldCharType="separate"/>
      </w:r>
      <w:r>
        <w:t>4</w:t>
      </w:r>
      <w:r>
        <w:fldChar w:fldCharType="end"/>
      </w:r>
      <w:r>
        <w:rPr>
          <w:rFonts w:hint="eastAsia" w:ascii="宋体" w:hAnsi="宋体" w:eastAsia="宋体" w:cs="宋体"/>
          <w:bCs/>
          <w:szCs w:val="21"/>
          <w:lang w:val="zh-CN"/>
        </w:rPr>
        <w:fldChar w:fldCharType="end"/>
      </w:r>
    </w:p>
    <w:p w14:paraId="5E67B528">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_Toc6695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6.2 数据分级方法</w:t>
      </w:r>
      <w:r>
        <w:tab/>
      </w:r>
      <w:r>
        <w:fldChar w:fldCharType="begin"/>
      </w:r>
      <w:r>
        <w:instrText xml:space="preserve"> PAGEREF _Toc6695 \h </w:instrText>
      </w:r>
      <w:r>
        <w:fldChar w:fldCharType="separate"/>
      </w:r>
      <w:r>
        <w:t>4</w:t>
      </w:r>
      <w:r>
        <w:fldChar w:fldCharType="end"/>
      </w:r>
      <w:r>
        <w:rPr>
          <w:rFonts w:hint="eastAsia" w:ascii="宋体" w:hAnsi="宋体" w:eastAsia="宋体" w:cs="宋体"/>
          <w:bCs/>
          <w:szCs w:val="21"/>
          <w:lang w:val="zh-CN"/>
        </w:rPr>
        <w:fldChar w:fldCharType="end"/>
      </w:r>
    </w:p>
    <w:p w14:paraId="79112729">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_Toc983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 重要数据识别维度</w:t>
      </w:r>
      <w:r>
        <w:tab/>
      </w:r>
      <w:r>
        <w:fldChar w:fldCharType="begin"/>
      </w:r>
      <w:r>
        <w:instrText xml:space="preserve"> PAGEREF _Toc983 \h </w:instrText>
      </w:r>
      <w:r>
        <w:fldChar w:fldCharType="separate"/>
      </w:r>
      <w:r>
        <w:t>4</w:t>
      </w:r>
      <w:r>
        <w:fldChar w:fldCharType="end"/>
      </w:r>
      <w:r>
        <w:rPr>
          <w:rFonts w:hint="eastAsia" w:ascii="宋体" w:hAnsi="宋体" w:eastAsia="宋体" w:cs="宋体"/>
          <w:bCs/>
          <w:szCs w:val="21"/>
          <w:lang w:val="zh-CN"/>
        </w:rPr>
        <w:fldChar w:fldCharType="end"/>
      </w:r>
    </w:p>
    <w:p w14:paraId="1E7DE996">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_Toc27522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6.3.1 概述</w:t>
      </w:r>
      <w:r>
        <w:tab/>
      </w:r>
      <w:r>
        <w:fldChar w:fldCharType="begin"/>
      </w:r>
      <w:r>
        <w:instrText xml:space="preserve"> PAGEREF _Toc27522 \h </w:instrText>
      </w:r>
      <w:r>
        <w:fldChar w:fldCharType="separate"/>
      </w:r>
      <w:r>
        <w:t>4</w:t>
      </w:r>
      <w:r>
        <w:fldChar w:fldCharType="end"/>
      </w:r>
      <w:r>
        <w:rPr>
          <w:rFonts w:hint="eastAsia" w:ascii="宋体" w:hAnsi="宋体" w:eastAsia="宋体" w:cs="宋体"/>
          <w:bCs/>
          <w:szCs w:val="21"/>
          <w:lang w:val="zh-CN"/>
        </w:rPr>
        <w:fldChar w:fldCharType="end"/>
      </w:r>
    </w:p>
    <w:p w14:paraId="7029B65F">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_Toc29949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6.3.2 与国家秘密生成相关</w:t>
      </w:r>
      <w:r>
        <w:tab/>
      </w:r>
      <w:r>
        <w:fldChar w:fldCharType="begin"/>
      </w:r>
      <w:r>
        <w:instrText xml:space="preserve"> PAGEREF _Toc29949 \h </w:instrText>
      </w:r>
      <w:r>
        <w:fldChar w:fldCharType="separate"/>
      </w:r>
      <w:r>
        <w:t>4</w:t>
      </w:r>
      <w:r>
        <w:fldChar w:fldCharType="end"/>
      </w:r>
      <w:r>
        <w:rPr>
          <w:rFonts w:hint="eastAsia" w:ascii="宋体" w:hAnsi="宋体" w:eastAsia="宋体" w:cs="宋体"/>
          <w:bCs/>
          <w:szCs w:val="21"/>
          <w:lang w:val="zh-CN"/>
        </w:rPr>
        <w:fldChar w:fldCharType="end"/>
      </w:r>
    </w:p>
    <w:p w14:paraId="3AA45C08">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_Toc19207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6.3.3 与国家安全相关</w:t>
      </w:r>
      <w:r>
        <w:tab/>
      </w:r>
      <w:r>
        <w:fldChar w:fldCharType="begin"/>
      </w:r>
      <w:r>
        <w:instrText xml:space="preserve"> PAGEREF _Toc19207 \h </w:instrText>
      </w:r>
      <w:r>
        <w:fldChar w:fldCharType="separate"/>
      </w:r>
      <w:r>
        <w:t>5</w:t>
      </w:r>
      <w:r>
        <w:fldChar w:fldCharType="end"/>
      </w:r>
      <w:r>
        <w:rPr>
          <w:rFonts w:hint="eastAsia" w:ascii="宋体" w:hAnsi="宋体" w:eastAsia="宋体" w:cs="宋体"/>
          <w:bCs/>
          <w:szCs w:val="21"/>
          <w:lang w:val="zh-CN"/>
        </w:rPr>
        <w:fldChar w:fldCharType="end"/>
      </w:r>
    </w:p>
    <w:p w14:paraId="7E96D848">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_Toc5542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6.3.4 与行业发展相关</w:t>
      </w:r>
      <w:r>
        <w:tab/>
      </w:r>
      <w:r>
        <w:fldChar w:fldCharType="begin"/>
      </w:r>
      <w:r>
        <w:instrText xml:space="preserve"> PAGEREF _Toc5542 \h </w:instrText>
      </w:r>
      <w:r>
        <w:fldChar w:fldCharType="separate"/>
      </w:r>
      <w:r>
        <w:t>5</w:t>
      </w:r>
      <w:r>
        <w:fldChar w:fldCharType="end"/>
      </w:r>
      <w:r>
        <w:rPr>
          <w:rFonts w:hint="eastAsia" w:ascii="宋体" w:hAnsi="宋体" w:eastAsia="宋体" w:cs="宋体"/>
          <w:bCs/>
          <w:szCs w:val="21"/>
          <w:lang w:val="zh-CN"/>
        </w:rPr>
        <w:fldChar w:fldCharType="end"/>
      </w:r>
    </w:p>
    <w:p w14:paraId="3EFF6529">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_Toc8960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6.3.5 与工业领域出口管制物项相关</w:t>
      </w:r>
      <w:r>
        <w:tab/>
      </w:r>
      <w:r>
        <w:fldChar w:fldCharType="begin"/>
      </w:r>
      <w:r>
        <w:instrText xml:space="preserve"> PAGEREF _Toc8960 \h </w:instrText>
      </w:r>
      <w:r>
        <w:fldChar w:fldCharType="separate"/>
      </w:r>
      <w:r>
        <w:t>6</w:t>
      </w:r>
      <w:r>
        <w:fldChar w:fldCharType="end"/>
      </w:r>
      <w:r>
        <w:rPr>
          <w:rFonts w:hint="eastAsia" w:ascii="宋体" w:hAnsi="宋体" w:eastAsia="宋体" w:cs="宋体"/>
          <w:bCs/>
          <w:szCs w:val="21"/>
          <w:lang w:val="zh-CN"/>
        </w:rPr>
        <w:fldChar w:fldCharType="end"/>
      </w:r>
    </w:p>
    <w:p w14:paraId="1A80F14C">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_Toc30977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6.3.6 与行业经济效益和产业保障相关</w:t>
      </w:r>
      <w:r>
        <w:tab/>
      </w:r>
      <w:r>
        <w:fldChar w:fldCharType="begin"/>
      </w:r>
      <w:r>
        <w:instrText xml:space="preserve"> PAGEREF _Toc30977 \h </w:instrText>
      </w:r>
      <w:r>
        <w:fldChar w:fldCharType="separate"/>
      </w:r>
      <w:r>
        <w:t>6</w:t>
      </w:r>
      <w:r>
        <w:fldChar w:fldCharType="end"/>
      </w:r>
      <w:r>
        <w:rPr>
          <w:rFonts w:hint="eastAsia" w:ascii="宋体" w:hAnsi="宋体" w:eastAsia="宋体" w:cs="宋体"/>
          <w:bCs/>
          <w:szCs w:val="21"/>
          <w:lang w:val="zh-CN"/>
        </w:rPr>
        <w:fldChar w:fldCharType="end"/>
      </w:r>
    </w:p>
    <w:p w14:paraId="37771239">
      <w:pPr>
        <w:pStyle w:val="9"/>
        <w:tabs>
          <w:tab w:val="right" w:leader="dot" w:pos="9355"/>
          <w:tab w:val="clear" w:pos="1470"/>
          <w:tab w:val="clear" w:pos="9241"/>
        </w:tabs>
        <w:ind w:leftChars="2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_Toc27584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6.3.7 其他</w:t>
      </w:r>
      <w:r>
        <w:tab/>
      </w:r>
      <w:r>
        <w:fldChar w:fldCharType="begin"/>
      </w:r>
      <w:r>
        <w:instrText xml:space="preserve"> PAGEREF _Toc27584 \h </w:instrText>
      </w:r>
      <w:r>
        <w:fldChar w:fldCharType="separate"/>
      </w:r>
      <w:r>
        <w:t>6</w:t>
      </w:r>
      <w:r>
        <w:fldChar w:fldCharType="end"/>
      </w:r>
      <w:r>
        <w:rPr>
          <w:rFonts w:hint="eastAsia" w:ascii="宋体" w:hAnsi="宋体" w:eastAsia="宋体" w:cs="宋体"/>
          <w:bCs/>
          <w:szCs w:val="21"/>
          <w:lang w:val="zh-CN"/>
        </w:rPr>
        <w:fldChar w:fldCharType="end"/>
      </w:r>
    </w:p>
    <w:p w14:paraId="39C6CB05">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_Toc10346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6.4 综合确定级别</w:t>
      </w:r>
      <w:r>
        <w:tab/>
      </w:r>
      <w:r>
        <w:fldChar w:fldCharType="begin"/>
      </w:r>
      <w:r>
        <w:instrText xml:space="preserve"> PAGEREF _Toc10346 \h </w:instrText>
      </w:r>
      <w:r>
        <w:fldChar w:fldCharType="separate"/>
      </w:r>
      <w:r>
        <w:t>7</w:t>
      </w:r>
      <w:r>
        <w:fldChar w:fldCharType="end"/>
      </w:r>
      <w:r>
        <w:rPr>
          <w:rFonts w:hint="eastAsia" w:ascii="宋体" w:hAnsi="宋体" w:eastAsia="宋体" w:cs="宋体"/>
          <w:bCs/>
          <w:szCs w:val="21"/>
          <w:lang w:val="zh-CN"/>
        </w:rPr>
        <w:fldChar w:fldCharType="end"/>
      </w:r>
    </w:p>
    <w:p w14:paraId="0B073F3C">
      <w:pPr>
        <w:pStyle w:val="9"/>
        <w:tabs>
          <w:tab w:val="right" w:leader="dot" w:pos="9355"/>
          <w:tab w:val="clear" w:pos="1470"/>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_Toc6696 </w:instrText>
      </w:r>
      <w:r>
        <w:rPr>
          <w:rFonts w:hint="eastAsia" w:ascii="宋体" w:hAnsi="宋体" w:eastAsia="宋体" w:cs="宋体"/>
          <w:bCs/>
          <w:szCs w:val="21"/>
          <w:lang w:val="zh-CN"/>
        </w:rPr>
        <w:fldChar w:fldCharType="separate"/>
      </w:r>
      <w:r>
        <w:rPr>
          <w:rFonts w:hint="eastAsia" w:cs="Times New Roman"/>
          <w:bCs/>
          <w:lang w:val="en-US" w:eastAsia="zh-CN"/>
        </w:rPr>
        <w:t>7  数据分类分级流程</w:t>
      </w:r>
      <w:r>
        <w:tab/>
      </w:r>
      <w:r>
        <w:fldChar w:fldCharType="begin"/>
      </w:r>
      <w:r>
        <w:instrText xml:space="preserve"> PAGEREF _Toc6696 \h </w:instrText>
      </w:r>
      <w:r>
        <w:fldChar w:fldCharType="separate"/>
      </w:r>
      <w:r>
        <w:t>7</w:t>
      </w:r>
      <w:r>
        <w:fldChar w:fldCharType="end"/>
      </w:r>
      <w:r>
        <w:rPr>
          <w:rFonts w:hint="eastAsia" w:ascii="宋体" w:hAnsi="宋体" w:eastAsia="宋体" w:cs="宋体"/>
          <w:bCs/>
          <w:szCs w:val="21"/>
          <w:lang w:val="zh-CN"/>
        </w:rPr>
        <w:fldChar w:fldCharType="end"/>
      </w:r>
    </w:p>
    <w:p w14:paraId="55FAE1B3">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_Toc23149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7.1 概述</w:t>
      </w:r>
      <w:r>
        <w:tab/>
      </w:r>
      <w:r>
        <w:fldChar w:fldCharType="begin"/>
      </w:r>
      <w:r>
        <w:instrText xml:space="preserve"> PAGEREF _Toc23149 \h </w:instrText>
      </w:r>
      <w:r>
        <w:fldChar w:fldCharType="separate"/>
      </w:r>
      <w:r>
        <w:t>7</w:t>
      </w:r>
      <w:r>
        <w:fldChar w:fldCharType="end"/>
      </w:r>
      <w:r>
        <w:rPr>
          <w:rFonts w:hint="eastAsia" w:ascii="宋体" w:hAnsi="宋体" w:eastAsia="宋体" w:cs="宋体"/>
          <w:bCs/>
          <w:szCs w:val="21"/>
          <w:lang w:val="zh-CN"/>
        </w:rPr>
        <w:fldChar w:fldCharType="end"/>
      </w:r>
    </w:p>
    <w:p w14:paraId="5D20E2AE">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_Toc29460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7.2 数据资产梳理</w:t>
      </w:r>
      <w:r>
        <w:tab/>
      </w:r>
      <w:r>
        <w:fldChar w:fldCharType="begin"/>
      </w:r>
      <w:r>
        <w:instrText xml:space="preserve"> PAGEREF _Toc29460 \h </w:instrText>
      </w:r>
      <w:r>
        <w:fldChar w:fldCharType="separate"/>
      </w:r>
      <w:r>
        <w:t>7</w:t>
      </w:r>
      <w:r>
        <w:fldChar w:fldCharType="end"/>
      </w:r>
      <w:r>
        <w:rPr>
          <w:rFonts w:hint="eastAsia" w:ascii="宋体" w:hAnsi="宋体" w:eastAsia="宋体" w:cs="宋体"/>
          <w:bCs/>
          <w:szCs w:val="21"/>
          <w:lang w:val="zh-CN"/>
        </w:rPr>
        <w:fldChar w:fldCharType="end"/>
      </w:r>
    </w:p>
    <w:p w14:paraId="0DC5F4DE">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_Toc3820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7.3 重要数据识别</w:t>
      </w:r>
      <w:r>
        <w:tab/>
      </w:r>
      <w:r>
        <w:fldChar w:fldCharType="begin"/>
      </w:r>
      <w:r>
        <w:instrText xml:space="preserve"> PAGEREF _Toc3820 \h </w:instrText>
      </w:r>
      <w:r>
        <w:fldChar w:fldCharType="separate"/>
      </w:r>
      <w:r>
        <w:t>8</w:t>
      </w:r>
      <w:r>
        <w:fldChar w:fldCharType="end"/>
      </w:r>
      <w:r>
        <w:rPr>
          <w:rFonts w:hint="eastAsia" w:ascii="宋体" w:hAnsi="宋体" w:eastAsia="宋体" w:cs="宋体"/>
          <w:bCs/>
          <w:szCs w:val="21"/>
          <w:lang w:val="zh-CN"/>
        </w:rPr>
        <w:fldChar w:fldCharType="end"/>
      </w:r>
    </w:p>
    <w:p w14:paraId="0297944B">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_Toc29552 </w:instrText>
      </w:r>
      <w:r>
        <w:rPr>
          <w:rFonts w:hint="eastAsia" w:ascii="宋体" w:hAnsi="宋体" w:eastAsia="宋体" w:cs="宋体"/>
          <w:bCs/>
          <w:szCs w:val="21"/>
          <w:lang w:val="zh-CN"/>
        </w:rPr>
        <w:fldChar w:fldCharType="separate"/>
      </w:r>
      <w:r>
        <w:rPr>
          <w:rFonts w:hint="eastAsia" w:ascii="黑体" w:hAnsi="黑体" w:cs="黑体"/>
          <w:bCs w:val="0"/>
          <w:highlight w:val="none"/>
          <w:lang w:val="en-US" w:eastAsia="zh-CN"/>
        </w:rPr>
        <w:t>7.4 内部审批</w:t>
      </w:r>
      <w:r>
        <w:tab/>
      </w:r>
      <w:r>
        <w:fldChar w:fldCharType="begin"/>
      </w:r>
      <w:r>
        <w:instrText xml:space="preserve"> PAGEREF _Toc29552 \h </w:instrText>
      </w:r>
      <w:r>
        <w:fldChar w:fldCharType="separate"/>
      </w:r>
      <w:r>
        <w:t>8</w:t>
      </w:r>
      <w:r>
        <w:fldChar w:fldCharType="end"/>
      </w:r>
      <w:r>
        <w:rPr>
          <w:rFonts w:hint="eastAsia" w:ascii="宋体" w:hAnsi="宋体" w:eastAsia="宋体" w:cs="宋体"/>
          <w:bCs/>
          <w:szCs w:val="21"/>
          <w:lang w:val="zh-CN"/>
        </w:rPr>
        <w:fldChar w:fldCharType="end"/>
      </w:r>
    </w:p>
    <w:p w14:paraId="0C9823EA">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_Toc8557 </w:instrText>
      </w:r>
      <w:r>
        <w:rPr>
          <w:rFonts w:hint="eastAsia" w:ascii="宋体" w:hAnsi="宋体" w:eastAsia="宋体" w:cs="宋体"/>
          <w:bCs/>
          <w:szCs w:val="21"/>
          <w:lang w:val="zh-CN"/>
        </w:rPr>
        <w:fldChar w:fldCharType="separate"/>
      </w:r>
      <w:r>
        <w:rPr>
          <w:rFonts w:hint="eastAsia" w:ascii="黑体" w:hAnsi="黑体" w:cs="黑体"/>
          <w:bCs w:val="0"/>
          <w:lang w:val="en-US" w:eastAsia="zh-CN"/>
        </w:rPr>
        <w:t>7.5 重要数据目录备案</w:t>
      </w:r>
      <w:r>
        <w:tab/>
      </w:r>
      <w:r>
        <w:fldChar w:fldCharType="begin"/>
      </w:r>
      <w:r>
        <w:instrText xml:space="preserve"> PAGEREF _Toc8557 \h </w:instrText>
      </w:r>
      <w:r>
        <w:fldChar w:fldCharType="separate"/>
      </w:r>
      <w:r>
        <w:t>8</w:t>
      </w:r>
      <w:r>
        <w:fldChar w:fldCharType="end"/>
      </w:r>
      <w:r>
        <w:rPr>
          <w:rFonts w:hint="eastAsia" w:ascii="宋体" w:hAnsi="宋体" w:eastAsia="宋体" w:cs="宋体"/>
          <w:bCs/>
          <w:szCs w:val="21"/>
          <w:lang w:val="zh-CN"/>
        </w:rPr>
        <w:fldChar w:fldCharType="end"/>
      </w:r>
    </w:p>
    <w:p w14:paraId="2603E555">
      <w:pPr>
        <w:pStyle w:val="9"/>
        <w:tabs>
          <w:tab w:val="right" w:leader="dot" w:pos="9355"/>
          <w:tab w:val="clear" w:pos="1470"/>
          <w:tab w:val="clear" w:pos="9241"/>
        </w:tabs>
        <w:ind w:leftChars="100"/>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_Toc14797 </w:instrText>
      </w:r>
      <w:r>
        <w:rPr>
          <w:rFonts w:hint="eastAsia" w:ascii="宋体" w:hAnsi="宋体" w:eastAsia="宋体" w:cs="宋体"/>
          <w:bCs/>
          <w:szCs w:val="21"/>
          <w:lang w:val="zh-CN"/>
        </w:rPr>
        <w:fldChar w:fldCharType="separate"/>
      </w:r>
      <w:r>
        <w:rPr>
          <w:rFonts w:hint="eastAsia" w:ascii="黑体" w:hAnsi="黑体" w:cs="黑体"/>
          <w:bCs w:val="0"/>
          <w:highlight w:val="none"/>
          <w:lang w:val="en-US" w:eastAsia="zh-CN"/>
        </w:rPr>
        <w:t>7.6 动态更新机制</w:t>
      </w:r>
      <w:r>
        <w:tab/>
      </w:r>
      <w:r>
        <w:fldChar w:fldCharType="begin"/>
      </w:r>
      <w:r>
        <w:instrText xml:space="preserve"> PAGEREF _Toc14797 \h </w:instrText>
      </w:r>
      <w:r>
        <w:fldChar w:fldCharType="separate"/>
      </w:r>
      <w:r>
        <w:t>8</w:t>
      </w:r>
      <w:r>
        <w:fldChar w:fldCharType="end"/>
      </w:r>
      <w:r>
        <w:rPr>
          <w:rFonts w:hint="eastAsia" w:ascii="宋体" w:hAnsi="宋体" w:eastAsia="宋体" w:cs="宋体"/>
          <w:bCs/>
          <w:szCs w:val="21"/>
          <w:lang w:val="zh-CN"/>
        </w:rPr>
        <w:fldChar w:fldCharType="end"/>
      </w:r>
    </w:p>
    <w:p w14:paraId="63EEB901">
      <w:pPr>
        <w:pStyle w:val="8"/>
        <w:tabs>
          <w:tab w:val="right" w:leader="dot" w:pos="9355"/>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_Toc10968 </w:instrText>
      </w:r>
      <w:r>
        <w:rPr>
          <w:rFonts w:hint="eastAsia" w:ascii="宋体" w:hAnsi="宋体" w:eastAsia="宋体" w:cs="宋体"/>
          <w:bCs/>
          <w:szCs w:val="21"/>
          <w:lang w:val="zh-CN"/>
        </w:rPr>
        <w:fldChar w:fldCharType="separate"/>
      </w:r>
      <w:r>
        <w:rPr>
          <w:rFonts w:hint="eastAsia" w:ascii="黑体" w:hAnsi="黑体" w:eastAsia="黑体" w:cs="黑体"/>
          <w:bCs w:val="0"/>
          <w:szCs w:val="21"/>
          <w:lang w:val="en-US" w:eastAsia="zh-CN"/>
        </w:rPr>
        <w:t xml:space="preserve">附 录 </w:t>
      </w:r>
      <w:r>
        <w:rPr>
          <w:rFonts w:hint="eastAsia" w:hAnsi="黑体" w:cs="黑体"/>
          <w:bCs w:val="0"/>
          <w:szCs w:val="21"/>
          <w:lang w:val="en-US" w:eastAsia="zh-CN"/>
        </w:rPr>
        <w:t>A</w:t>
      </w:r>
      <w:r>
        <w:tab/>
      </w:r>
      <w:r>
        <w:fldChar w:fldCharType="begin"/>
      </w:r>
      <w:r>
        <w:instrText xml:space="preserve"> PAGEREF _Toc10968 \h </w:instrText>
      </w:r>
      <w:r>
        <w:fldChar w:fldCharType="separate"/>
      </w:r>
      <w:r>
        <w:t>9</w:t>
      </w:r>
      <w:r>
        <w:fldChar w:fldCharType="end"/>
      </w:r>
      <w:r>
        <w:rPr>
          <w:rFonts w:hint="eastAsia" w:ascii="宋体" w:hAnsi="宋体" w:eastAsia="宋体" w:cs="宋体"/>
          <w:bCs/>
          <w:szCs w:val="21"/>
          <w:lang w:val="zh-CN"/>
        </w:rPr>
        <w:fldChar w:fldCharType="end"/>
      </w:r>
    </w:p>
    <w:p w14:paraId="3F5E61FB">
      <w:pPr>
        <w:pStyle w:val="8"/>
        <w:tabs>
          <w:tab w:val="right" w:leader="dot" w:pos="9355"/>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_Toc1442 </w:instrText>
      </w:r>
      <w:r>
        <w:rPr>
          <w:rFonts w:hint="eastAsia" w:ascii="宋体" w:hAnsi="宋体" w:eastAsia="宋体" w:cs="宋体"/>
          <w:bCs/>
          <w:szCs w:val="21"/>
          <w:lang w:val="zh-CN"/>
        </w:rPr>
        <w:fldChar w:fldCharType="separate"/>
      </w:r>
      <w:r>
        <w:rPr>
          <w:rFonts w:hint="eastAsia" w:ascii="黑体" w:hAnsi="黑体" w:eastAsia="黑体" w:cs="黑体"/>
          <w:bCs w:val="0"/>
          <w:szCs w:val="21"/>
          <w:lang w:val="en-US" w:eastAsia="zh-CN"/>
        </w:rPr>
        <w:t xml:space="preserve">附 录 </w:t>
      </w:r>
      <w:r>
        <w:rPr>
          <w:rFonts w:hint="eastAsia" w:hAnsi="黑体" w:cs="黑体"/>
          <w:bCs w:val="0"/>
          <w:szCs w:val="21"/>
          <w:lang w:val="en-US" w:eastAsia="zh-CN"/>
        </w:rPr>
        <w:t>B</w:t>
      </w:r>
      <w:r>
        <w:tab/>
      </w:r>
      <w:r>
        <w:fldChar w:fldCharType="begin"/>
      </w:r>
      <w:r>
        <w:instrText xml:space="preserve"> PAGEREF _Toc1442 \h </w:instrText>
      </w:r>
      <w:r>
        <w:fldChar w:fldCharType="separate"/>
      </w:r>
      <w:r>
        <w:t>23</w:t>
      </w:r>
      <w:r>
        <w:fldChar w:fldCharType="end"/>
      </w:r>
      <w:r>
        <w:rPr>
          <w:rFonts w:hint="eastAsia" w:ascii="宋体" w:hAnsi="宋体" w:eastAsia="宋体" w:cs="宋体"/>
          <w:bCs/>
          <w:szCs w:val="21"/>
          <w:lang w:val="zh-CN"/>
        </w:rPr>
        <w:fldChar w:fldCharType="end"/>
      </w:r>
    </w:p>
    <w:p w14:paraId="12A2F18D">
      <w:pPr>
        <w:pStyle w:val="8"/>
        <w:tabs>
          <w:tab w:val="right" w:leader="dot" w:pos="9355"/>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_Toc5682 </w:instrText>
      </w:r>
      <w:r>
        <w:rPr>
          <w:rFonts w:hint="eastAsia" w:ascii="宋体" w:hAnsi="宋体" w:eastAsia="宋体" w:cs="宋体"/>
          <w:bCs/>
          <w:szCs w:val="21"/>
          <w:lang w:val="zh-CN"/>
        </w:rPr>
        <w:fldChar w:fldCharType="separate"/>
      </w:r>
      <w:r>
        <w:rPr>
          <w:rFonts w:hint="eastAsia" w:ascii="黑体" w:hAnsi="黑体" w:eastAsia="黑体" w:cs="黑体"/>
          <w:bCs w:val="0"/>
          <w:szCs w:val="21"/>
          <w:highlight w:val="none"/>
          <w:lang w:val="en-US" w:eastAsia="zh-CN"/>
        </w:rPr>
        <w:t xml:space="preserve">附 录 </w:t>
      </w:r>
      <w:r>
        <w:rPr>
          <w:rFonts w:hint="eastAsia" w:hAnsi="黑体" w:cs="黑体"/>
          <w:bCs w:val="0"/>
          <w:szCs w:val="21"/>
          <w:highlight w:val="none"/>
          <w:lang w:val="en-US" w:eastAsia="zh-CN"/>
        </w:rPr>
        <w:t>C</w:t>
      </w:r>
      <w:r>
        <w:tab/>
      </w:r>
      <w:r>
        <w:fldChar w:fldCharType="begin"/>
      </w:r>
      <w:r>
        <w:instrText xml:space="preserve"> PAGEREF _Toc5682 \h </w:instrText>
      </w:r>
      <w:r>
        <w:fldChar w:fldCharType="separate"/>
      </w:r>
      <w:r>
        <w:t>38</w:t>
      </w:r>
      <w:r>
        <w:fldChar w:fldCharType="end"/>
      </w:r>
      <w:r>
        <w:rPr>
          <w:rFonts w:hint="eastAsia" w:ascii="宋体" w:hAnsi="宋体" w:eastAsia="宋体" w:cs="宋体"/>
          <w:bCs/>
          <w:szCs w:val="21"/>
          <w:lang w:val="zh-CN"/>
        </w:rPr>
        <w:fldChar w:fldCharType="end"/>
      </w:r>
    </w:p>
    <w:p w14:paraId="289F10F8">
      <w:pPr>
        <w:pStyle w:val="8"/>
        <w:tabs>
          <w:tab w:val="right" w:leader="dot" w:pos="9355"/>
          <w:tab w:val="clear" w:pos="9241"/>
        </w:tabs>
      </w:pPr>
      <w:r>
        <w:rPr>
          <w:rFonts w:hint="eastAsia" w:ascii="宋体" w:hAnsi="宋体" w:eastAsia="宋体" w:cs="宋体"/>
          <w:bCs/>
          <w:szCs w:val="21"/>
          <w:lang w:val="zh-CN"/>
        </w:rPr>
        <w:fldChar w:fldCharType="begin"/>
      </w:r>
      <w:r>
        <w:rPr>
          <w:rFonts w:hint="eastAsia" w:ascii="宋体" w:hAnsi="宋体" w:eastAsia="宋体" w:cs="宋体"/>
          <w:bCs/>
          <w:szCs w:val="21"/>
          <w:lang w:val="zh-CN"/>
        </w:rPr>
        <w:instrText xml:space="preserve"> HYPERLINK \l _Toc16806 </w:instrText>
      </w:r>
      <w:r>
        <w:rPr>
          <w:rFonts w:hint="eastAsia" w:ascii="宋体" w:hAnsi="宋体" w:eastAsia="宋体" w:cs="宋体"/>
          <w:bCs/>
          <w:szCs w:val="21"/>
          <w:lang w:val="zh-CN"/>
        </w:rPr>
        <w:fldChar w:fldCharType="separate"/>
      </w:r>
      <w:r>
        <w:rPr>
          <w:rFonts w:hint="eastAsia" w:ascii="黑体" w:hAnsi="黑体" w:eastAsia="黑体" w:cs="黑体"/>
          <w:bCs w:val="0"/>
          <w:szCs w:val="21"/>
          <w:lang w:val="en-US" w:eastAsia="zh-CN"/>
        </w:rPr>
        <w:t>参 考 文 献</w:t>
      </w:r>
      <w:r>
        <w:tab/>
      </w:r>
      <w:r>
        <w:fldChar w:fldCharType="begin"/>
      </w:r>
      <w:r>
        <w:instrText xml:space="preserve"> PAGEREF _Toc16806 \h </w:instrText>
      </w:r>
      <w:r>
        <w:fldChar w:fldCharType="separate"/>
      </w:r>
      <w:r>
        <w:t>41</w:t>
      </w:r>
      <w:r>
        <w:fldChar w:fldCharType="end"/>
      </w:r>
      <w:r>
        <w:rPr>
          <w:rFonts w:hint="eastAsia" w:ascii="宋体" w:hAnsi="宋体" w:eastAsia="宋体" w:cs="宋体"/>
          <w:bCs/>
          <w:szCs w:val="21"/>
          <w:lang w:val="zh-CN"/>
        </w:rPr>
        <w:fldChar w:fldCharType="end"/>
      </w:r>
    </w:p>
    <w:p w14:paraId="45E6604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sz w:val="21"/>
          <w:szCs w:val="21"/>
        </w:rPr>
      </w:pPr>
      <w:r>
        <w:rPr>
          <w:rFonts w:hint="eastAsia" w:ascii="宋体" w:hAnsi="宋体" w:eastAsia="宋体" w:cs="宋体"/>
          <w:bCs/>
          <w:szCs w:val="21"/>
          <w:lang w:val="zh-CN"/>
        </w:rPr>
        <w:fldChar w:fldCharType="end"/>
      </w:r>
    </w:p>
    <w:p w14:paraId="110CEE0A">
      <w:pPr>
        <w:pStyle w:val="28"/>
      </w:pPr>
    </w:p>
    <w:p w14:paraId="7BE309FF">
      <w:pPr>
        <w:pStyle w:val="33"/>
        <w:rPr>
          <w:rFonts w:hint="eastAsia" w:ascii="黑体" w:hAnsi="黑体" w:eastAsia="黑体" w:cs="黑体"/>
        </w:rPr>
      </w:pPr>
      <w:bookmarkStart w:id="0" w:name="_Toc10447"/>
      <w:r>
        <w:rPr>
          <w:rFonts w:hint="eastAsia" w:ascii="黑体" w:hAnsi="黑体" w:eastAsia="黑体" w:cs="黑体"/>
        </w:rPr>
        <w:t>前  言</w:t>
      </w:r>
      <w:bookmarkEnd w:id="0"/>
    </w:p>
    <w:p w14:paraId="13A8C10A">
      <w:pPr>
        <w:keepNext w:val="0"/>
        <w:keepLines w:val="0"/>
        <w:pageBreakBefore w:val="0"/>
        <w:numPr>
          <w:ilvl w:val="0"/>
          <w:numId w:val="3"/>
        </w:numPr>
        <w:kinsoku/>
        <w:wordWrap/>
        <w:overflowPunct/>
        <w:topLinePunct w:val="0"/>
        <w:bidi w:val="0"/>
        <w:snapToGrid/>
        <w:spacing w:line="240" w:lineRule="auto"/>
        <w:ind w:firstLine="420" w:firstLineChars="200"/>
        <w:textAlignment w:val="auto"/>
        <w:rPr>
          <w:highlight w:val="none"/>
        </w:rPr>
      </w:pPr>
      <w:r>
        <w:rPr>
          <w:rFonts w:hint="eastAsia"/>
          <w:highlight w:val="none"/>
        </w:rPr>
        <w:t>本文件按照</w:t>
      </w:r>
      <w:r>
        <w:rPr>
          <w:highlight w:val="none"/>
        </w:rPr>
        <w:t>GB/T 1.1—20</w:t>
      </w:r>
      <w:r>
        <w:rPr>
          <w:rFonts w:hint="eastAsia"/>
          <w:highlight w:val="none"/>
        </w:rPr>
        <w:t>20《标准化工作导则  第1部分：标准化文件的结构和起草规则》的规定起草。</w:t>
      </w:r>
    </w:p>
    <w:p w14:paraId="4DEFA02E">
      <w:pPr>
        <w:keepNext w:val="0"/>
        <w:keepLines w:val="0"/>
        <w:pageBreakBefore w:val="0"/>
        <w:kinsoku/>
        <w:wordWrap/>
        <w:overflowPunct/>
        <w:topLinePunct w:val="0"/>
        <w:autoSpaceDE w:val="0"/>
        <w:autoSpaceDN w:val="0"/>
        <w:bidi w:val="0"/>
        <w:adjustRightInd w:val="0"/>
        <w:snapToGrid/>
        <w:spacing w:before="1" w:line="240" w:lineRule="auto"/>
        <w:ind w:right="284" w:firstLine="420" w:firstLineChars="200"/>
        <w:textAlignment w:val="auto"/>
        <w:rPr>
          <w:rFonts w:hint="eastAsia"/>
          <w:kern w:val="0"/>
          <w:highlight w:val="none"/>
        </w:rPr>
      </w:pPr>
      <w:r>
        <w:rPr>
          <w:rFonts w:hint="eastAsia"/>
          <w:highlight w:val="none"/>
        </w:rPr>
        <w:t>请注意本文件的某些内容可能涉及专利。本文件的发布机构不承担识别专利的责任。</w:t>
      </w:r>
    </w:p>
    <w:p w14:paraId="162EA672">
      <w:pPr>
        <w:pStyle w:val="30"/>
        <w:keepNext w:val="0"/>
        <w:keepLines w:val="0"/>
        <w:pageBreakBefore w:val="0"/>
        <w:kinsoku/>
        <w:wordWrap/>
        <w:overflowPunct/>
        <w:topLinePunct w:val="0"/>
        <w:bidi w:val="0"/>
        <w:snapToGrid/>
        <w:spacing w:line="240" w:lineRule="auto"/>
        <w:ind w:firstLine="420"/>
        <w:textAlignment w:val="auto"/>
        <w:rPr>
          <w:rFonts w:hint="eastAsia"/>
          <w:highlight w:val="none"/>
        </w:rPr>
      </w:pPr>
      <w:r>
        <w:rPr>
          <w:rFonts w:hint="eastAsia"/>
          <w:highlight w:val="none"/>
        </w:rPr>
        <w:t>本文件由全国有色金属标准化技术委员会（SAC/TC243）提出并归口。</w:t>
      </w:r>
    </w:p>
    <w:p w14:paraId="307A23D2">
      <w:pPr>
        <w:pStyle w:val="30"/>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eastAsia" w:eastAsia="宋体"/>
          <w:lang w:eastAsia="zh-CN"/>
        </w:rPr>
      </w:pPr>
      <w:r>
        <w:rPr>
          <w:rFonts w:hint="eastAsia" w:ascii="宋体" w:hAnsi="宋体" w:cs="宋体"/>
          <w:kern w:val="0"/>
          <w:highlight w:val="none"/>
        </w:rPr>
        <w:t>本文件起草单位：</w:t>
      </w:r>
      <w:r>
        <w:rPr>
          <w:rFonts w:hint="eastAsia" w:ascii="Times New Roman" w:hAnsi="Times New Roman" w:eastAsia="宋体" w:cs="Times New Roman"/>
          <w:kern w:val="2"/>
          <w:sz w:val="21"/>
          <w:szCs w:val="24"/>
          <w:lang w:val="en-US" w:eastAsia="zh-CN" w:bidi="ar-SA"/>
        </w:rPr>
        <w:t>江西铜业股份有限公司、国家工业信息安全发展研究中心、中国有色金属工业协会、云南铜业股份有限公司西南铜业分公司、江西铜锐信息技术有限公司、北矿智云科技（北京）有限公司、矿冶科技集团有限公司、宁波金田铜业（集团）股份有限公司、江苏中商碳素研究院有限公司、宝钛集团有限公司、江西铜业股份有限公司贵溪冶炼厂、中铝郑州有色金属研究院有限公司、深圳市中金岭南有色金属股份有限公司、江西铜业铅锌金属有限公司、北方铜业股份有限公司、云南驰宏锌锗股份有限公司、云南铝业股份有限公司、云南锡业集团（控股）有限责任公司、中色科技股份有限公司、金川集团股份有限公司、铜陵有色金属集团股份有限公司。</w:t>
      </w:r>
    </w:p>
    <w:p w14:paraId="7C6839DB">
      <w:pPr>
        <w:ind w:firstLine="420" w:firstLineChars="200"/>
        <w:rPr>
          <w:rFonts w:hint="eastAsia"/>
          <w:lang w:val="en-US" w:eastAsia="zh-CN"/>
        </w:rPr>
      </w:pPr>
      <w:r>
        <w:rPr>
          <w:rFonts w:hint="eastAsia"/>
        </w:rPr>
        <w:t>本文件主要起草人：周炳、徐娟华、王墨、马骏、胡意文、徐宁、章奇科、江浩、张煜珠</w:t>
      </w:r>
      <w:bookmarkStart w:id="32" w:name="_GoBack"/>
      <w:bookmarkEnd w:id="32"/>
      <w:r>
        <w:rPr>
          <w:rFonts w:hint="eastAsia"/>
        </w:rPr>
        <w:t>、赵黎明、曹战飞、赵然、周正坤、张元生、郭巍、卜红、胡志杰、廖峰、张鹏洲、鄢锋、刘晓明、徐波林、丁宏、韩冰莓、和珍寿、彭巨擘、陈春灿、杨鹤年、邱金峰、樊赣湘、杨铄华、陈蓓蓓、刘虎、吕潇、赵炎、陈杰、文豪、陈威、王佳恒、张自强、孟飞、王浩男、王必荣、罗蓉丽、何向问、洪行、马朝君、吴瑞蕤</w:t>
      </w:r>
      <w:r>
        <w:rPr>
          <w:rFonts w:hint="eastAsia"/>
          <w:lang w:val="en-US" w:eastAsia="zh-CN"/>
        </w:rPr>
        <w:t>。</w:t>
      </w:r>
    </w:p>
    <w:p w14:paraId="55F6301B">
      <w:pPr>
        <w:ind w:firstLine="420" w:firstLineChars="200"/>
        <w:rPr>
          <w:rFonts w:hint="eastAsia" w:ascii="宋体" w:cs="宋体"/>
          <w:kern w:val="0"/>
          <w:szCs w:val="21"/>
          <w:lang w:eastAsia="zh-CN"/>
        </w:rPr>
      </w:pPr>
    </w:p>
    <w:p w14:paraId="01E488FC">
      <w:pPr>
        <w:ind w:firstLine="420" w:firstLineChars="200"/>
        <w:rPr>
          <w:rFonts w:hint="eastAsia" w:ascii="宋体" w:cs="宋体"/>
          <w:kern w:val="0"/>
          <w:szCs w:val="21"/>
          <w:lang w:eastAsia="zh-CN"/>
        </w:rPr>
      </w:pPr>
    </w:p>
    <w:p w14:paraId="163D3B87">
      <w:pPr>
        <w:rPr>
          <w:rFonts w:hint="eastAsia" w:ascii="宋体" w:cs="宋体"/>
          <w:kern w:val="0"/>
          <w:szCs w:val="21"/>
          <w:lang w:eastAsia="zh-CN"/>
        </w:rPr>
      </w:pPr>
    </w:p>
    <w:p w14:paraId="6D1100BB">
      <w:pPr>
        <w:ind w:firstLine="420" w:firstLineChars="200"/>
      </w:pPr>
      <w:r>
        <w:br w:type="page"/>
      </w:r>
    </w:p>
    <w:p w14:paraId="1821A5E8">
      <w:pPr>
        <w:pStyle w:val="33"/>
        <w:rPr>
          <w:rFonts w:hint="eastAsia" w:ascii="黑体" w:hAnsi="黑体" w:eastAsia="黑体" w:cs="黑体"/>
          <w:b w:val="0"/>
          <w:bCs w:val="0"/>
        </w:rPr>
      </w:pPr>
      <w:bookmarkStart w:id="1" w:name="_Toc22510"/>
      <w:r>
        <w:rPr>
          <w:rFonts w:hint="eastAsia" w:ascii="黑体" w:hAnsi="黑体" w:eastAsia="黑体" w:cs="黑体"/>
          <w:b w:val="0"/>
          <w:bCs w:val="0"/>
          <w:lang w:val="en-US" w:eastAsia="zh-CN"/>
        </w:rPr>
        <w:t>引</w:t>
      </w:r>
      <w:r>
        <w:rPr>
          <w:rFonts w:hint="eastAsia" w:ascii="黑体" w:hAnsi="黑体" w:eastAsia="黑体" w:cs="黑体"/>
          <w:b w:val="0"/>
          <w:bCs w:val="0"/>
        </w:rPr>
        <w:t>  言</w:t>
      </w:r>
      <w:bookmarkEnd w:id="1"/>
    </w:p>
    <w:p w14:paraId="1E502853">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rPr>
        <w:t>2024年，工业和信息化部印发《工业领域数据安全能力提升实施方案（2024-2026年）》（以下简称《实施方案》），明确部署重点工作，要求分行业、分领域研究制定重要数据与核心数据识别细则，构建“1+N”工业领域数据分类分级规范体系，为各行业落地数据安全治理工作提供科学化、标准化指导。</w:t>
      </w:r>
    </w:p>
    <w:p w14:paraId="1AA47157">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rPr>
        <w:t>做好工业数据分类分级、精准甄别核心数据与重要数据，是全面提升工业领域数据安全防护能力的核心前提，也是健全全流程数据安全保护机制的关键基础。在此背景下，编制《有色金属行业工业数据分类分级指南》，既是严格落实国家《实施方案》部署要求的核心举措，也是纵深推动《数据安全法》《工业和信息化领域数据安全管理办法（试行）》等法律法规、规章制度在工业细分领域落地落地见效的具体实践。同时，可为有色金属企业健全数据安全治理体系、规范数据管理流程提供有力依据，有效推动数据要素在产业链、供应链上下游安全有序流转，充分释放数据要素价值。</w:t>
      </w:r>
    </w:p>
    <w:p w14:paraId="7A1CDA90">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rPr>
        <w:t>本</w:t>
      </w:r>
      <w:r>
        <w:rPr>
          <w:rFonts w:hint="eastAsia"/>
          <w:lang w:val="en-US" w:eastAsia="zh-CN"/>
        </w:rPr>
        <w:t>文件</w:t>
      </w:r>
      <w:r>
        <w:rPr>
          <w:rFonts w:hint="eastAsia"/>
        </w:rPr>
        <w:t>在国家数据安全工作统筹部署与规范指导下，严格遵循《数据安全法》《网络安全法》等上位法律法规及行业管理相关规定编制，形成一套全面系统、科学规范、贴合行业实际的工业数据分类分级标准体系。指南覆盖有色金属采选、冶炼、加工全产业链环节，能够精准指导行业各类市场主体规范化开展数据分类分级工作，为企业合规开展数据处理活动、强化数据安全闭环管理、高效开发利用数据资源筑牢合规与安全根基，持续赋能有色金属行业数字化转型升级，助力制造业高质量、可持续发展。</w:t>
      </w:r>
    </w:p>
    <w:p w14:paraId="34EE55B1">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p>
    <w:p w14:paraId="210D4A5E">
      <w:pPr>
        <w:pStyle w:val="30"/>
        <w:bidi w:val="0"/>
        <w:rPr>
          <w:rFonts w:hint="default"/>
          <w:lang w:val="en-US" w:eastAsia="zh-CN"/>
        </w:rPr>
      </w:pPr>
    </w:p>
    <w:p w14:paraId="7FD5FE01">
      <w:pPr>
        <w:pStyle w:val="32"/>
        <w:rPr>
          <w:rFonts w:hint="eastAsia"/>
        </w:rPr>
        <w:sectPr>
          <w:headerReference r:id="rId5" w:type="default"/>
          <w:footerReference r:id="rId6" w:type="default"/>
          <w:pgSz w:w="11906" w:h="16838"/>
          <w:pgMar w:top="1417" w:right="1134" w:bottom="1417" w:left="1417" w:header="1418" w:footer="1134" w:gutter="0"/>
          <w:pgBorders>
            <w:top w:val="none" w:sz="0" w:space="0"/>
            <w:left w:val="none" w:sz="0" w:space="0"/>
            <w:bottom w:val="none" w:sz="0" w:space="0"/>
            <w:right w:val="none" w:sz="0" w:space="0"/>
          </w:pgBorders>
          <w:pgNumType w:fmt="upperRoman" w:start="1"/>
          <w:cols w:space="0" w:num="1"/>
          <w:formProt w:val="0"/>
          <w:rtlGutter w:val="0"/>
          <w:docGrid w:type="lines" w:linePitch="312" w:charSpace="0"/>
        </w:sectPr>
      </w:pPr>
    </w:p>
    <w:p w14:paraId="3CD56AB6">
      <w:pPr>
        <w:pStyle w:val="30"/>
        <w:spacing w:line="360" w:lineRule="auto"/>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eastAsia="zh-CN"/>
        </w:rPr>
        <w:t>有色金属行业</w:t>
      </w:r>
      <w:r>
        <w:rPr>
          <w:rFonts w:hint="eastAsia" w:ascii="黑体" w:hAnsi="黑体" w:eastAsia="黑体" w:cs="黑体"/>
          <w:sz w:val="32"/>
          <w:szCs w:val="32"/>
          <w:lang w:val="en-US" w:eastAsia="zh-CN"/>
        </w:rPr>
        <w:t>工业</w:t>
      </w:r>
      <w:r>
        <w:rPr>
          <w:rFonts w:hint="eastAsia" w:ascii="黑体" w:hAnsi="黑体" w:eastAsia="黑体" w:cs="黑体"/>
          <w:sz w:val="32"/>
          <w:szCs w:val="32"/>
          <w:lang w:eastAsia="zh-CN"/>
        </w:rPr>
        <w:t>数据分类分级指南</w:t>
      </w:r>
    </w:p>
    <w:p w14:paraId="6A142D11">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b w:val="0"/>
          <w:bCs/>
        </w:rPr>
      </w:pPr>
      <w:bookmarkStart w:id="2" w:name="_Toc8702"/>
      <w:r>
        <w:rPr>
          <w:rFonts w:hint="eastAsia"/>
          <w:b w:val="0"/>
          <w:bCs/>
          <w:lang w:val="en-US" w:eastAsia="zh-CN"/>
        </w:rPr>
        <w:t xml:space="preserve">1  </w:t>
      </w:r>
      <w:r>
        <w:rPr>
          <w:rFonts w:hint="eastAsia"/>
          <w:b w:val="0"/>
          <w:bCs/>
        </w:rPr>
        <w:t>范围</w:t>
      </w:r>
      <w:bookmarkEnd w:id="2"/>
    </w:p>
    <w:p w14:paraId="00E1FB29">
      <w:pPr>
        <w:pStyle w:val="30"/>
        <w:spacing w:line="360" w:lineRule="auto"/>
        <w:ind w:firstLine="420"/>
        <w:rPr>
          <w:rFonts w:hint="eastAsia" w:ascii="宋体" w:hAnsi="Times New Roman" w:eastAsia="宋体" w:cs="Times New Roman"/>
          <w:lang w:val="en-US" w:eastAsia="zh-CN"/>
        </w:rPr>
      </w:pPr>
      <w:r>
        <w:rPr>
          <w:rFonts w:hint="eastAsia" w:ascii="宋体" w:hAnsi="Times New Roman" w:eastAsia="宋体" w:cs="Times New Roman"/>
        </w:rPr>
        <w:t>本文件</w:t>
      </w:r>
      <w:r>
        <w:rPr>
          <w:rFonts w:hint="eastAsia" w:ascii="宋体" w:hAnsi="Times New Roman" w:eastAsia="宋体" w:cs="Times New Roman"/>
          <w:lang w:val="en-US" w:eastAsia="zh-CN"/>
        </w:rPr>
        <w:t>规定了</w:t>
      </w:r>
      <w:r>
        <w:rPr>
          <w:rFonts w:hint="eastAsia" w:ascii="宋体" w:hAnsi="Times New Roman" w:eastAsia="宋体" w:cs="Times New Roman"/>
          <w:lang w:eastAsia="zh-CN"/>
        </w:rPr>
        <w:t>有色金属行业</w:t>
      </w:r>
      <w:r>
        <w:rPr>
          <w:rFonts w:hint="eastAsia" w:ascii="宋体" w:hAnsi="Times New Roman" w:eastAsia="宋体" w:cs="Times New Roman"/>
          <w:lang w:val="en-US" w:eastAsia="zh-CN"/>
        </w:rPr>
        <w:t>工业</w:t>
      </w:r>
      <w:r>
        <w:rPr>
          <w:rFonts w:hint="eastAsia" w:ascii="宋体" w:hAnsi="Times New Roman" w:eastAsia="宋体" w:cs="Times New Roman"/>
          <w:lang w:eastAsia="zh-CN"/>
        </w:rPr>
        <w:t>数据分类分级</w:t>
      </w:r>
      <w:r>
        <w:rPr>
          <w:rFonts w:hint="eastAsia" w:ascii="宋体" w:hAnsi="Times New Roman" w:eastAsia="宋体" w:cs="Times New Roman"/>
          <w:lang w:val="en-US" w:eastAsia="zh-CN"/>
        </w:rPr>
        <w:t>的基本原则、规则</w:t>
      </w:r>
      <w:r>
        <w:rPr>
          <w:rFonts w:hint="eastAsia" w:hAnsi="Times New Roman" w:cs="Times New Roman"/>
          <w:lang w:val="en-US" w:eastAsia="zh-CN"/>
        </w:rPr>
        <w:t>及流程，并提供了参考示例。</w:t>
      </w:r>
    </w:p>
    <w:p w14:paraId="1DF9B280">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lang w:val="en-US" w:eastAsia="zh-CN"/>
        </w:rPr>
        <w:t>本文件适用于有色金属行业采选、冶炼、加工企业参考本标准开展数据分类分级工作</w:t>
      </w:r>
      <w:r>
        <w:rPr>
          <w:rFonts w:hint="eastAsia" w:hAnsi="Times New Roman" w:cs="Times New Roman"/>
          <w:lang w:val="en-US" w:eastAsia="zh-CN"/>
        </w:rPr>
        <w:t>，</w:t>
      </w:r>
      <w:r>
        <w:rPr>
          <w:rFonts w:hint="eastAsia" w:ascii="宋体" w:hAnsi="Times New Roman" w:eastAsia="宋体" w:cs="Times New Roman"/>
          <w:lang w:val="en-US" w:eastAsia="zh-CN"/>
        </w:rPr>
        <w:t>同时为各类数据处理者开展数据安全管理、合规处理及风险防控工作提供参考依据。</w:t>
      </w:r>
    </w:p>
    <w:p w14:paraId="60223F42">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3" w:name="_Toc24697"/>
      <w:r>
        <w:rPr>
          <w:rFonts w:hint="eastAsia" w:cs="Times New Roman"/>
          <w:b w:val="0"/>
          <w:bCs/>
          <w:lang w:val="en-US" w:eastAsia="zh-CN"/>
        </w:rPr>
        <w:t>2  规范性引用文件</w:t>
      </w:r>
      <w:bookmarkEnd w:id="3"/>
    </w:p>
    <w:p w14:paraId="4F3C5124">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0E51805">
      <w:pPr>
        <w:pStyle w:val="30"/>
        <w:spacing w:line="360" w:lineRule="auto"/>
        <w:ind w:firstLine="420"/>
        <w:rPr>
          <w:rFonts w:hint="default" w:ascii="宋体" w:hAnsi="Times New Roman" w:eastAsia="宋体" w:cs="Times New Roman"/>
          <w:lang w:val="en-US" w:eastAsia="zh-CN"/>
        </w:rPr>
      </w:pPr>
      <w:r>
        <w:rPr>
          <w:rFonts w:hint="eastAsia" w:ascii="宋体" w:hAnsi="Times New Roman" w:eastAsia="宋体" w:cs="Times New Roman"/>
        </w:rPr>
        <w:t>GB/T 36073</w:t>
      </w:r>
      <w:r>
        <w:rPr>
          <w:rFonts w:hint="eastAsia" w:ascii="宋体" w:hAnsi="Times New Roman" w:eastAsia="宋体" w:cs="Times New Roman"/>
          <w:lang w:val="en-US" w:eastAsia="zh-CN"/>
        </w:rPr>
        <w:t xml:space="preserve"> 数据管理能力成熟度评估模型</w:t>
      </w:r>
    </w:p>
    <w:p w14:paraId="46269CDD">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rPr>
        <w:t>GB/T 43697</w:t>
      </w:r>
      <w:r>
        <w:rPr>
          <w:rFonts w:hint="eastAsia" w:ascii="宋体" w:hAnsi="Times New Roman" w:eastAsia="宋体" w:cs="Times New Roman"/>
          <w:lang w:val="en-US" w:eastAsia="zh-CN"/>
        </w:rPr>
        <w:t xml:space="preserve"> </w:t>
      </w:r>
      <w:r>
        <w:rPr>
          <w:rFonts w:hint="eastAsia" w:ascii="宋体" w:hAnsi="Times New Roman" w:eastAsia="宋体" w:cs="Times New Roman"/>
        </w:rPr>
        <w:t>数据安全技术 数据分类分级规则</w:t>
      </w:r>
    </w:p>
    <w:p w14:paraId="6DFFBF54">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4" w:name="_Toc9779"/>
      <w:r>
        <w:rPr>
          <w:rFonts w:hint="eastAsia" w:cs="Times New Roman"/>
          <w:b w:val="0"/>
          <w:bCs/>
          <w:lang w:val="en-US" w:eastAsia="zh-CN"/>
        </w:rPr>
        <w:t>3  术语和定义</w:t>
      </w:r>
      <w:bookmarkEnd w:id="4"/>
    </w:p>
    <w:p w14:paraId="1E1BDEDE">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rPr>
        <w:t>GB/T 36073和GB/T 43697</w:t>
      </w:r>
      <w:r>
        <w:rPr>
          <w:rFonts w:hint="eastAsia" w:ascii="宋体" w:hAnsi="Times New Roman" w:eastAsia="宋体" w:cs="Times New Roman"/>
          <w:lang w:val="en-US" w:eastAsia="zh-CN"/>
        </w:rPr>
        <w:t>界定的</w:t>
      </w:r>
      <w:r>
        <w:rPr>
          <w:rFonts w:hint="eastAsia" w:ascii="宋体" w:hAnsi="Times New Roman" w:eastAsia="宋体" w:cs="Times New Roman"/>
        </w:rPr>
        <w:t>以及下列术语和定义适用于本</w:t>
      </w:r>
      <w:r>
        <w:rPr>
          <w:rFonts w:hint="eastAsia" w:ascii="宋体" w:hAnsi="Times New Roman" w:eastAsia="宋体" w:cs="Times New Roman"/>
          <w:lang w:val="en-US" w:eastAsia="zh-CN"/>
        </w:rPr>
        <w:t>文件</w:t>
      </w:r>
      <w:r>
        <w:rPr>
          <w:rFonts w:hint="eastAsia" w:ascii="宋体" w:hAnsi="Times New Roman" w:eastAsia="宋体" w:cs="Times New Roman"/>
        </w:rPr>
        <w:t>。</w:t>
      </w:r>
    </w:p>
    <w:p w14:paraId="487A06B0">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3.1</w:t>
      </w:r>
    </w:p>
    <w:p w14:paraId="4C818635">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eastAsia" w:eastAsia="黑体"/>
          <w:lang w:val="en-US" w:eastAsia="zh-CN"/>
        </w:rPr>
      </w:pPr>
      <w:r>
        <w:rPr>
          <w:rFonts w:hint="eastAsia" w:ascii="黑体" w:hAnsi="黑体" w:eastAsia="黑体" w:cs="黑体"/>
          <w:b w:val="0"/>
          <w:bCs w:val="0"/>
          <w:lang w:val="en-US" w:eastAsia="zh-CN"/>
        </w:rPr>
        <w:t>有色金属行业工业数据</w:t>
      </w:r>
      <w:r>
        <w:rPr>
          <w:rFonts w:hint="eastAsia" w:ascii="黑体" w:hAnsi="黑体" w:eastAsia="黑体" w:cs="黑体"/>
          <w:b w:val="0"/>
          <w:bCs w:val="0"/>
        </w:rPr>
        <w:t xml:space="preserve"> </w:t>
      </w:r>
      <w:r>
        <w:rPr>
          <w:rFonts w:hint="eastAsia" w:ascii="黑体" w:hAnsi="黑体" w:eastAsia="黑体" w:cs="黑体"/>
          <w:b w:val="0"/>
          <w:bCs w:val="0"/>
          <w:lang w:val="en-US" w:eastAsia="zh-CN"/>
        </w:rPr>
        <w:t>industrial</w:t>
      </w:r>
      <w:r>
        <w:rPr>
          <w:rFonts w:hint="eastAsia" w:ascii="黑体" w:hAnsi="黑体" w:eastAsia="黑体" w:cs="黑体"/>
          <w:b w:val="0"/>
          <w:bCs w:val="0"/>
        </w:rPr>
        <w:t xml:space="preserve"> </w:t>
      </w:r>
      <w:r>
        <w:rPr>
          <w:rFonts w:hint="eastAsia" w:ascii="黑体" w:hAnsi="黑体" w:eastAsia="黑体" w:cs="黑体"/>
          <w:b w:val="0"/>
          <w:bCs w:val="0"/>
          <w:lang w:val="en-US" w:eastAsia="zh-CN"/>
        </w:rPr>
        <w:t>d</w:t>
      </w:r>
      <w:r>
        <w:rPr>
          <w:rFonts w:hint="eastAsia" w:ascii="黑体" w:hAnsi="黑体" w:eastAsia="黑体" w:cs="黑体"/>
          <w:b w:val="0"/>
          <w:bCs w:val="0"/>
        </w:rPr>
        <w:t>ata</w:t>
      </w:r>
      <w:r>
        <w:rPr>
          <w:rFonts w:hint="eastAsia" w:ascii="黑体" w:hAnsi="黑体" w:eastAsia="黑体" w:cs="黑体"/>
          <w:b w:val="0"/>
          <w:bCs w:val="0"/>
          <w:lang w:val="en-US" w:eastAsia="zh-CN"/>
        </w:rPr>
        <w:t xml:space="preserve"> of non-ferrous metal industry</w:t>
      </w:r>
    </w:p>
    <w:p w14:paraId="4EF59A21">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lang w:val="en-US" w:eastAsia="zh-CN"/>
        </w:rPr>
        <w:t>有色金属行业企业在研发设计、生产制造、经营管理、特种应用等</w:t>
      </w:r>
      <w:r>
        <w:rPr>
          <w:rFonts w:hint="eastAsia" w:hAnsi="Times New Roman" w:cs="Times New Roman"/>
          <w:lang w:val="en-US" w:eastAsia="zh-CN"/>
        </w:rPr>
        <w:t>过程中</w:t>
      </w:r>
      <w:r>
        <w:rPr>
          <w:rFonts w:hint="eastAsia" w:ascii="宋体" w:hAnsi="Times New Roman" w:eastAsia="宋体" w:cs="Times New Roman"/>
          <w:lang w:val="en-US" w:eastAsia="zh-CN"/>
        </w:rPr>
        <w:t>产生或收集的数据</w:t>
      </w:r>
      <w:r>
        <w:rPr>
          <w:rFonts w:hint="eastAsia" w:ascii="宋体" w:hAnsi="Times New Roman" w:eastAsia="宋体" w:cs="Times New Roman"/>
        </w:rPr>
        <w:t>。</w:t>
      </w:r>
    </w:p>
    <w:p w14:paraId="4D7039D5">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3.2</w:t>
      </w:r>
    </w:p>
    <w:p w14:paraId="2CB14D1D">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eastAsia" w:eastAsia="黑体"/>
          <w:lang w:val="en-US" w:eastAsia="zh-CN"/>
        </w:rPr>
      </w:pPr>
      <w:r>
        <w:rPr>
          <w:rFonts w:hint="eastAsia" w:ascii="黑体" w:hAnsi="黑体" w:eastAsia="黑体" w:cs="黑体"/>
          <w:b w:val="0"/>
          <w:bCs w:val="0"/>
        </w:rPr>
        <w:t xml:space="preserve">核心数据 </w:t>
      </w:r>
      <w:r>
        <w:rPr>
          <w:rFonts w:hint="eastAsia" w:ascii="黑体" w:hAnsi="黑体" w:eastAsia="黑体" w:cs="黑体"/>
          <w:b w:val="0"/>
          <w:bCs w:val="0"/>
          <w:lang w:val="en-US" w:eastAsia="zh-CN"/>
        </w:rPr>
        <w:t>c</w:t>
      </w:r>
      <w:r>
        <w:rPr>
          <w:rFonts w:hint="eastAsia" w:ascii="黑体" w:hAnsi="黑体" w:eastAsia="黑体" w:cs="黑体"/>
          <w:b w:val="0"/>
          <w:bCs w:val="0"/>
        </w:rPr>
        <w:t xml:space="preserve">ore </w:t>
      </w:r>
      <w:r>
        <w:rPr>
          <w:rFonts w:hint="eastAsia" w:ascii="黑体" w:hAnsi="黑体" w:eastAsia="黑体" w:cs="黑体"/>
          <w:b w:val="0"/>
          <w:bCs w:val="0"/>
          <w:lang w:val="en-US" w:eastAsia="zh-CN"/>
        </w:rPr>
        <w:t>d</w:t>
      </w:r>
      <w:r>
        <w:rPr>
          <w:rFonts w:hint="eastAsia" w:ascii="黑体" w:hAnsi="黑体" w:eastAsia="黑体" w:cs="黑体"/>
          <w:b w:val="0"/>
          <w:bCs w:val="0"/>
        </w:rPr>
        <w:t>ata</w:t>
      </w:r>
    </w:p>
    <w:p w14:paraId="027E022F">
      <w:pPr>
        <w:pStyle w:val="30"/>
        <w:spacing w:line="360" w:lineRule="auto"/>
        <w:ind w:firstLine="420"/>
        <w:rPr>
          <w:rFonts w:hint="eastAsia" w:ascii="宋体" w:hAnsi="Times New Roman" w:eastAsia="宋体" w:cs="Times New Roman"/>
          <w:lang w:val="en-US" w:eastAsia="zh-CN"/>
        </w:rPr>
      </w:pPr>
      <w:r>
        <w:rPr>
          <w:rFonts w:hint="eastAsia" w:ascii="宋体" w:hAnsi="Times New Roman" w:eastAsia="宋体" w:cs="Times New Roman"/>
        </w:rPr>
        <w:t>一旦遭到泄露、篡改、损毁或者非法获取、非法使用、非法共享，</w:t>
      </w:r>
      <w:r>
        <w:rPr>
          <w:rFonts w:hint="eastAsia" w:hAnsi="Times New Roman" w:cs="Times New Roman"/>
          <w:lang w:val="en-US" w:eastAsia="zh-CN"/>
        </w:rPr>
        <w:t>会</w:t>
      </w:r>
      <w:r>
        <w:rPr>
          <w:rFonts w:hint="eastAsia" w:ascii="宋体" w:hAnsi="Times New Roman" w:eastAsia="宋体" w:cs="Times New Roman"/>
        </w:rPr>
        <w:t>对国家战略保障造成直接危害或重大风险，或易引发特别重大生产安全事故、特别重大质量事故或突发环境事件，或造成直接经济损失特别巨大的</w:t>
      </w:r>
      <w:r>
        <w:rPr>
          <w:rFonts w:hint="eastAsia" w:hAnsi="Times New Roman" w:cs="Times New Roman"/>
          <w:lang w:val="en-US" w:eastAsia="zh-CN"/>
        </w:rPr>
        <w:t>有色金属行业工业数据。</w:t>
      </w:r>
    </w:p>
    <w:p w14:paraId="4A25D0C6">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3.3</w:t>
      </w:r>
    </w:p>
    <w:p w14:paraId="754F28A5">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eastAsia" w:ascii="黑体" w:hAnsi="黑体" w:eastAsia="黑体" w:cs="黑体"/>
          <w:b w:val="0"/>
          <w:bCs w:val="0"/>
        </w:rPr>
      </w:pPr>
      <w:r>
        <w:rPr>
          <w:rFonts w:hint="eastAsia" w:ascii="黑体" w:hAnsi="黑体" w:eastAsia="黑体" w:cs="黑体"/>
          <w:b w:val="0"/>
          <w:bCs w:val="0"/>
        </w:rPr>
        <w:t xml:space="preserve">重要数据 </w:t>
      </w:r>
      <w:r>
        <w:rPr>
          <w:rFonts w:hint="eastAsia" w:ascii="黑体" w:hAnsi="黑体" w:eastAsia="黑体" w:cs="黑体"/>
          <w:b w:val="0"/>
          <w:bCs w:val="0"/>
          <w:lang w:val="en-US" w:eastAsia="zh-CN"/>
        </w:rPr>
        <w:t>key</w:t>
      </w:r>
      <w:r>
        <w:rPr>
          <w:rFonts w:hint="eastAsia" w:ascii="黑体" w:hAnsi="黑体" w:eastAsia="黑体" w:cs="黑体"/>
          <w:b w:val="0"/>
          <w:bCs w:val="0"/>
        </w:rPr>
        <w:t xml:space="preserve"> </w:t>
      </w:r>
      <w:r>
        <w:rPr>
          <w:rFonts w:hint="eastAsia" w:ascii="黑体" w:hAnsi="黑体" w:eastAsia="黑体" w:cs="黑体"/>
          <w:b w:val="0"/>
          <w:bCs w:val="0"/>
          <w:lang w:val="en-US" w:eastAsia="zh-CN"/>
        </w:rPr>
        <w:t>d</w:t>
      </w:r>
      <w:r>
        <w:rPr>
          <w:rFonts w:hint="eastAsia" w:ascii="黑体" w:hAnsi="黑体" w:eastAsia="黑体" w:cs="黑体"/>
          <w:b w:val="0"/>
          <w:bCs w:val="0"/>
        </w:rPr>
        <w:t>ata</w:t>
      </w:r>
    </w:p>
    <w:p w14:paraId="1E3A9009">
      <w:pPr>
        <w:pStyle w:val="30"/>
        <w:spacing w:line="360" w:lineRule="auto"/>
        <w:ind w:firstLine="420"/>
        <w:rPr>
          <w:rFonts w:hint="default" w:ascii="宋体" w:hAnsi="Times New Roman" w:eastAsia="宋体" w:cs="Times New Roman"/>
          <w:lang w:val="en-US" w:eastAsia="zh-CN"/>
        </w:rPr>
      </w:pPr>
      <w:r>
        <w:rPr>
          <w:rFonts w:hint="eastAsia" w:ascii="宋体" w:hAnsi="Times New Roman" w:eastAsia="宋体" w:cs="Times New Roman"/>
          <w:lang w:val="en-US" w:eastAsia="zh-CN"/>
        </w:rPr>
        <w:t>一旦遭到泄露、篡改、损毁或者非法获取、非法使用、非法共享，</w:t>
      </w:r>
      <w:r>
        <w:rPr>
          <w:rFonts w:hint="eastAsia" w:hAnsi="Times New Roman" w:cs="Times New Roman"/>
          <w:lang w:val="en-US" w:eastAsia="zh-CN"/>
        </w:rPr>
        <w:t>会</w:t>
      </w:r>
      <w:r>
        <w:rPr>
          <w:rFonts w:hint="eastAsia" w:ascii="宋体" w:hAnsi="Times New Roman" w:eastAsia="宋体" w:cs="Times New Roman"/>
          <w:lang w:val="en-US" w:eastAsia="zh-CN"/>
        </w:rPr>
        <w:t>对社会秩序、经济运行</w:t>
      </w:r>
      <w:r>
        <w:rPr>
          <w:rFonts w:hint="eastAsia" w:hAnsi="Times New Roman" w:cs="Times New Roman"/>
          <w:lang w:val="en-US" w:eastAsia="zh-CN"/>
        </w:rPr>
        <w:t>、</w:t>
      </w:r>
      <w:r>
        <w:rPr>
          <w:rFonts w:hint="eastAsia" w:ascii="宋体" w:hAnsi="Times New Roman" w:eastAsia="宋体" w:cs="Times New Roman"/>
          <w:lang w:val="en-US" w:eastAsia="zh-CN"/>
        </w:rPr>
        <w:t>行业发展</w:t>
      </w:r>
      <w:r>
        <w:rPr>
          <w:rFonts w:hint="eastAsia" w:hAnsi="Times New Roman" w:cs="Times New Roman"/>
          <w:lang w:val="en-US" w:eastAsia="zh-CN"/>
        </w:rPr>
        <w:t>和工业生产</w:t>
      </w:r>
      <w:r>
        <w:rPr>
          <w:rFonts w:hint="eastAsia" w:ascii="宋体" w:hAnsi="Times New Roman" w:eastAsia="宋体" w:cs="Times New Roman"/>
        </w:rPr>
        <w:t>造成危害</w:t>
      </w:r>
      <w:r>
        <w:rPr>
          <w:rFonts w:hint="eastAsia" w:ascii="宋体" w:hAnsi="Times New Roman" w:eastAsia="宋体" w:cs="Times New Roman"/>
          <w:lang w:val="en-US" w:eastAsia="zh-CN"/>
        </w:rPr>
        <w:t>或较</w:t>
      </w:r>
      <w:r>
        <w:rPr>
          <w:rFonts w:hint="eastAsia" w:ascii="宋体" w:hAnsi="Times New Roman" w:eastAsia="宋体" w:cs="Times New Roman"/>
        </w:rPr>
        <w:t>大风险</w:t>
      </w:r>
      <w:r>
        <w:rPr>
          <w:rFonts w:hint="eastAsia" w:hAnsi="Times New Roman" w:cs="Times New Roman"/>
          <w:lang w:val="en-US" w:eastAsia="zh-CN"/>
        </w:rPr>
        <w:t>的有色金属行业工业数据。</w:t>
      </w:r>
    </w:p>
    <w:p w14:paraId="0E457A25">
      <w:pPr>
        <w:pStyle w:val="30"/>
        <w:spacing w:line="360" w:lineRule="auto"/>
        <w:ind w:firstLine="420"/>
        <w:rPr>
          <w:rFonts w:hint="eastAsia" w:ascii="宋体" w:hAnsi="Times New Roman" w:eastAsia="宋体" w:cs="Times New Roman"/>
        </w:rPr>
      </w:pPr>
      <w:r>
        <w:rPr>
          <w:rFonts w:hint="eastAsia" w:ascii="黑体" w:hAnsi="黑体" w:eastAsia="黑体" w:cs="黑体"/>
          <w:sz w:val="18"/>
          <w:szCs w:val="18"/>
          <w:lang w:val="en-US" w:eastAsia="zh-CN"/>
        </w:rPr>
        <w:t>注：</w:t>
      </w:r>
      <w:r>
        <w:rPr>
          <w:rFonts w:hint="eastAsia" w:ascii="宋体" w:hAnsi="宋体" w:eastAsia="宋体" w:cs="宋体"/>
          <w:sz w:val="18"/>
          <w:szCs w:val="18"/>
          <w:lang w:val="en-US" w:eastAsia="zh-CN"/>
        </w:rPr>
        <w:t>只对企业自身而言重要的数据（如企业的内部管理相关数据）不属于重要数据。</w:t>
      </w:r>
    </w:p>
    <w:p w14:paraId="50E5FB86">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3.4</w:t>
      </w:r>
    </w:p>
    <w:p w14:paraId="66C8FDD8">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eastAsia" w:ascii="黑体" w:hAnsi="黑体" w:eastAsia="黑体" w:cs="黑体"/>
          <w:b w:val="0"/>
          <w:bCs w:val="0"/>
        </w:rPr>
      </w:pPr>
      <w:r>
        <w:rPr>
          <w:rFonts w:hint="eastAsia" w:ascii="黑体" w:hAnsi="黑体" w:eastAsia="黑体" w:cs="黑体"/>
          <w:b w:val="0"/>
          <w:bCs w:val="0"/>
        </w:rPr>
        <w:t xml:space="preserve">一般数据 </w:t>
      </w:r>
      <w:r>
        <w:rPr>
          <w:rFonts w:hint="eastAsia" w:ascii="黑体" w:hAnsi="黑体" w:eastAsia="黑体" w:cs="黑体"/>
          <w:b w:val="0"/>
          <w:bCs w:val="0"/>
          <w:lang w:val="en-US" w:eastAsia="zh-CN"/>
        </w:rPr>
        <w:t>g</w:t>
      </w:r>
      <w:r>
        <w:rPr>
          <w:rFonts w:hint="eastAsia" w:ascii="黑体" w:hAnsi="黑体" w:eastAsia="黑体" w:cs="黑体"/>
          <w:b w:val="0"/>
          <w:bCs w:val="0"/>
        </w:rPr>
        <w:t xml:space="preserve">eneral </w:t>
      </w:r>
      <w:r>
        <w:rPr>
          <w:rFonts w:hint="eastAsia" w:ascii="黑体" w:hAnsi="黑体" w:eastAsia="黑体" w:cs="黑体"/>
          <w:b w:val="0"/>
          <w:bCs w:val="0"/>
          <w:lang w:val="en-US" w:eastAsia="zh-CN"/>
        </w:rPr>
        <w:t>d</w:t>
      </w:r>
      <w:r>
        <w:rPr>
          <w:rFonts w:hint="eastAsia" w:ascii="黑体" w:hAnsi="黑体" w:eastAsia="黑体" w:cs="黑体"/>
          <w:b w:val="0"/>
          <w:bCs w:val="0"/>
        </w:rPr>
        <w:t>ata</w:t>
      </w:r>
    </w:p>
    <w:p w14:paraId="4BC09768">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rPr>
        <w:t>核心数据</w:t>
      </w:r>
      <w:r>
        <w:rPr>
          <w:rFonts w:hint="eastAsia" w:ascii="宋体" w:hAnsi="Times New Roman" w:eastAsia="宋体" w:cs="Times New Roman"/>
          <w:lang w:eastAsia="zh-CN"/>
        </w:rPr>
        <w:t>、</w:t>
      </w:r>
      <w:r>
        <w:rPr>
          <w:rFonts w:hint="eastAsia" w:ascii="宋体" w:hAnsi="Times New Roman" w:eastAsia="宋体" w:cs="Times New Roman"/>
        </w:rPr>
        <w:t>重要数据之外的其他数据。</w:t>
      </w:r>
    </w:p>
    <w:p w14:paraId="772417A9">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lang w:val="en-US" w:eastAsia="zh-CN"/>
        </w:rPr>
        <w:t>[来源：</w:t>
      </w:r>
      <w:r>
        <w:rPr>
          <w:rFonts w:hint="eastAsia" w:ascii="宋体" w:hAnsi="Times New Roman" w:eastAsia="宋体" w:cs="Times New Roman"/>
        </w:rPr>
        <w:t>GB/T 43697</w:t>
      </w:r>
      <w:r>
        <w:rPr>
          <w:rFonts w:hint="eastAsia" w:hAnsi="Times New Roman" w:cs="Times New Roman"/>
          <w:lang w:val="en-US" w:eastAsia="zh-CN"/>
        </w:rPr>
        <w:t>，</w:t>
      </w:r>
      <w:r>
        <w:rPr>
          <w:rFonts w:hint="eastAsia" w:ascii="宋体" w:hAnsi="Times New Roman" w:eastAsia="宋体" w:cs="Times New Roman"/>
          <w:lang w:val="en-US" w:eastAsia="zh-CN"/>
        </w:rPr>
        <w:t>3.4</w:t>
      </w:r>
      <w:r>
        <w:rPr>
          <w:rFonts w:hint="eastAsia" w:hAnsi="Times New Roman" w:cs="Times New Roman"/>
          <w:lang w:val="en-US" w:eastAsia="zh-CN"/>
        </w:rPr>
        <w:t>，</w:t>
      </w:r>
      <w:r>
        <w:rPr>
          <w:rFonts w:hint="eastAsia" w:ascii="宋体" w:hAnsi="Times New Roman" w:eastAsia="宋体" w:cs="Times New Roman"/>
          <w:lang w:val="en-US" w:eastAsia="zh-CN"/>
        </w:rPr>
        <w:t>有修改]</w:t>
      </w:r>
    </w:p>
    <w:p w14:paraId="7D811CC8">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3.5</w:t>
      </w:r>
    </w:p>
    <w:p w14:paraId="79550B23">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eastAsia" w:ascii="黑体" w:hAnsi="黑体" w:eastAsia="黑体" w:cs="黑体"/>
          <w:b w:val="0"/>
          <w:bCs w:val="0"/>
        </w:rPr>
      </w:pPr>
      <w:r>
        <w:rPr>
          <w:rFonts w:hint="eastAsia" w:ascii="黑体" w:hAnsi="黑体" w:eastAsia="黑体" w:cs="黑体"/>
          <w:b w:val="0"/>
          <w:bCs w:val="0"/>
        </w:rPr>
        <w:t xml:space="preserve">数据处理者 </w:t>
      </w:r>
      <w:r>
        <w:rPr>
          <w:rFonts w:hint="eastAsia" w:ascii="黑体" w:hAnsi="黑体" w:eastAsia="黑体" w:cs="黑体"/>
          <w:b w:val="0"/>
          <w:bCs w:val="0"/>
          <w:lang w:val="en-US" w:eastAsia="zh-CN"/>
        </w:rPr>
        <w:t>d</w:t>
      </w:r>
      <w:r>
        <w:rPr>
          <w:rFonts w:hint="eastAsia" w:ascii="黑体" w:hAnsi="黑体" w:eastAsia="黑体" w:cs="黑体"/>
          <w:b w:val="0"/>
          <w:bCs w:val="0"/>
        </w:rPr>
        <w:t xml:space="preserve">ata </w:t>
      </w:r>
      <w:r>
        <w:rPr>
          <w:rFonts w:hint="eastAsia" w:ascii="黑体" w:hAnsi="黑体" w:eastAsia="黑体" w:cs="黑体"/>
          <w:b w:val="0"/>
          <w:bCs w:val="0"/>
          <w:lang w:val="en-US" w:eastAsia="zh-CN"/>
        </w:rPr>
        <w:t>p</w:t>
      </w:r>
      <w:r>
        <w:rPr>
          <w:rFonts w:hint="eastAsia" w:ascii="黑体" w:hAnsi="黑体" w:eastAsia="黑体" w:cs="黑体"/>
          <w:b w:val="0"/>
          <w:bCs w:val="0"/>
        </w:rPr>
        <w:t>rocessor</w:t>
      </w:r>
    </w:p>
    <w:p w14:paraId="11C6454C">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rPr>
        <w:t>在数据处理活动中自主决定数据处理目的</w:t>
      </w:r>
      <w:r>
        <w:rPr>
          <w:rFonts w:hint="eastAsia" w:ascii="宋体" w:hAnsi="Times New Roman" w:eastAsia="宋体" w:cs="Times New Roman"/>
          <w:lang w:eastAsia="zh-CN"/>
        </w:rPr>
        <w:t>、</w:t>
      </w:r>
      <w:r>
        <w:rPr>
          <w:rFonts w:hint="eastAsia" w:ascii="宋体" w:hAnsi="Times New Roman" w:eastAsia="宋体" w:cs="Times New Roman"/>
          <w:lang w:val="en-US" w:eastAsia="zh-CN"/>
        </w:rPr>
        <w:t>处理</w:t>
      </w:r>
      <w:r>
        <w:rPr>
          <w:rFonts w:hint="eastAsia" w:ascii="宋体" w:hAnsi="Times New Roman" w:eastAsia="宋体" w:cs="Times New Roman"/>
        </w:rPr>
        <w:t>方式的</w:t>
      </w:r>
      <w:r>
        <w:rPr>
          <w:rFonts w:hint="eastAsia" w:ascii="宋体" w:hAnsi="Times New Roman" w:eastAsia="宋体" w:cs="Times New Roman"/>
          <w:lang w:val="en-US" w:eastAsia="zh-CN"/>
        </w:rPr>
        <w:t>各类</w:t>
      </w:r>
      <w:r>
        <w:rPr>
          <w:rFonts w:hint="eastAsia" w:ascii="宋体" w:hAnsi="Times New Roman" w:eastAsia="宋体" w:cs="Times New Roman"/>
        </w:rPr>
        <w:t>主体。</w:t>
      </w:r>
    </w:p>
    <w:p w14:paraId="08F5A338">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lang w:val="en-US" w:eastAsia="zh-CN"/>
        </w:rPr>
        <w:t>[来源：</w:t>
      </w:r>
      <w:r>
        <w:rPr>
          <w:rFonts w:hint="eastAsia" w:ascii="宋体" w:hAnsi="Times New Roman" w:eastAsia="宋体" w:cs="Times New Roman"/>
        </w:rPr>
        <w:t>GB/T 43697</w:t>
      </w:r>
      <w:r>
        <w:rPr>
          <w:rFonts w:hint="eastAsia" w:hAnsi="Times New Roman" w:cs="Times New Roman"/>
          <w:lang w:val="en-US" w:eastAsia="zh-CN"/>
        </w:rPr>
        <w:t>，</w:t>
      </w:r>
      <w:r>
        <w:rPr>
          <w:rFonts w:hint="eastAsia" w:ascii="宋体" w:hAnsi="Times New Roman" w:eastAsia="宋体" w:cs="Times New Roman"/>
          <w:lang w:val="en-US" w:eastAsia="zh-CN"/>
        </w:rPr>
        <w:t>3.11</w:t>
      </w:r>
      <w:r>
        <w:rPr>
          <w:rFonts w:hint="eastAsia" w:hAnsi="Times New Roman" w:cs="Times New Roman"/>
          <w:lang w:val="en-US" w:eastAsia="zh-CN"/>
        </w:rPr>
        <w:t>，</w:t>
      </w:r>
      <w:r>
        <w:rPr>
          <w:rFonts w:hint="eastAsia" w:ascii="宋体" w:hAnsi="Times New Roman" w:eastAsia="宋体" w:cs="Times New Roman"/>
          <w:lang w:val="en-US" w:eastAsia="zh-CN"/>
        </w:rPr>
        <w:t>有修改]</w:t>
      </w:r>
    </w:p>
    <w:p w14:paraId="01B3218B">
      <w:pPr>
        <w:pStyle w:val="30"/>
        <w:spacing w:before="156" w:after="156"/>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3.6</w:t>
      </w:r>
    </w:p>
    <w:p w14:paraId="6BC6022A">
      <w:pPr>
        <w:pStyle w:val="30"/>
        <w:keepNext w:val="0"/>
        <w:keepLines w:val="0"/>
        <w:pageBreakBefore w:val="0"/>
        <w:widowControl/>
        <w:kinsoku/>
        <w:wordWrap/>
        <w:overflowPunct/>
        <w:topLinePunct w:val="0"/>
        <w:autoSpaceDE w:val="0"/>
        <w:autoSpaceDN w:val="0"/>
        <w:bidi w:val="0"/>
        <w:adjustRightInd/>
        <w:snapToGrid/>
        <w:spacing w:before="156" w:line="360" w:lineRule="auto"/>
        <w:ind w:left="0" w:leftChars="0" w:firstLine="420" w:firstLineChars="200"/>
        <w:textAlignment w:val="auto"/>
        <w:rPr>
          <w:rFonts w:hint="default" w:ascii="黑体" w:hAnsi="黑体" w:eastAsia="黑体" w:cs="黑体"/>
          <w:b w:val="0"/>
          <w:bCs w:val="0"/>
          <w:lang w:val="en-US" w:eastAsia="zh-CN"/>
        </w:rPr>
      </w:pPr>
      <w:r>
        <w:rPr>
          <w:rFonts w:hint="eastAsia" w:ascii="黑体" w:hAnsi="黑体" w:eastAsia="黑体" w:cs="黑体"/>
          <w:b w:val="0"/>
          <w:bCs w:val="0"/>
          <w:lang w:val="en-US" w:eastAsia="zh-CN"/>
        </w:rPr>
        <w:t>数据安全 data security</w:t>
      </w:r>
    </w:p>
    <w:p w14:paraId="68D43674">
      <w:pPr>
        <w:pStyle w:val="30"/>
        <w:spacing w:line="360" w:lineRule="auto"/>
        <w:ind w:firstLine="420"/>
        <w:rPr>
          <w:rFonts w:hint="eastAsia" w:ascii="宋体" w:hAnsi="Times New Roman" w:eastAsia="宋体" w:cs="Times New Roman"/>
        </w:rPr>
      </w:pPr>
      <w:r>
        <w:rPr>
          <w:rFonts w:hint="eastAsia" w:ascii="宋体" w:hAnsi="Times New Roman" w:eastAsia="宋体" w:cs="Times New Roman"/>
          <w:lang w:val="en-US" w:eastAsia="zh-CN"/>
        </w:rPr>
        <w:t>数据的机密性、完整性和可用性</w:t>
      </w:r>
      <w:r>
        <w:rPr>
          <w:rFonts w:hint="eastAsia" w:ascii="宋体" w:hAnsi="Times New Roman" w:eastAsia="宋体" w:cs="Times New Roman"/>
        </w:rPr>
        <w:t>。</w:t>
      </w:r>
    </w:p>
    <w:p w14:paraId="13FB9363">
      <w:pPr>
        <w:pStyle w:val="30"/>
        <w:spacing w:line="360" w:lineRule="auto"/>
        <w:ind w:firstLine="420"/>
        <w:rPr>
          <w:rFonts w:hint="default" w:ascii="宋体" w:hAnsi="Times New Roman" w:eastAsia="宋体" w:cs="Times New Roman"/>
          <w:lang w:val="en-US" w:eastAsia="zh-CN"/>
        </w:rPr>
      </w:pPr>
      <w:r>
        <w:rPr>
          <w:rFonts w:hint="eastAsia" w:ascii="宋体" w:hAnsi="Times New Roman" w:eastAsia="宋体" w:cs="Times New Roman"/>
          <w:lang w:val="en-US" w:eastAsia="zh-CN"/>
        </w:rPr>
        <w:t>[来源：</w:t>
      </w:r>
      <w:r>
        <w:rPr>
          <w:rFonts w:hint="eastAsia" w:ascii="宋体" w:hAnsi="Times New Roman" w:eastAsia="宋体" w:cs="Times New Roman"/>
        </w:rPr>
        <w:t>GB/T 36073</w:t>
      </w:r>
      <w:r>
        <w:rPr>
          <w:rFonts w:hint="eastAsia" w:hAnsi="Times New Roman" w:cs="Times New Roman"/>
          <w:lang w:val="en-US" w:eastAsia="zh-CN"/>
        </w:rPr>
        <w:t>，</w:t>
      </w:r>
      <w:r>
        <w:rPr>
          <w:rFonts w:hint="eastAsia" w:ascii="宋体" w:hAnsi="Times New Roman" w:eastAsia="宋体" w:cs="Times New Roman"/>
          <w:lang w:val="en-US" w:eastAsia="zh-CN"/>
        </w:rPr>
        <w:t>3.11]</w:t>
      </w:r>
    </w:p>
    <w:p w14:paraId="11C228DF">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5" w:name="_Toc3057"/>
      <w:r>
        <w:rPr>
          <w:rFonts w:hint="eastAsia" w:cs="Times New Roman"/>
          <w:b w:val="0"/>
          <w:bCs/>
          <w:lang w:val="en-US" w:eastAsia="zh-CN"/>
        </w:rPr>
        <w:t>4  基本原则</w:t>
      </w:r>
      <w:bookmarkEnd w:id="5"/>
    </w:p>
    <w:p w14:paraId="5926042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pacing w:val="0"/>
          <w:kern w:val="0"/>
          <w:sz w:val="21"/>
          <w:szCs w:val="21"/>
          <w:lang w:eastAsia="zh-CN" w:bidi="ar"/>
        </w:rPr>
      </w:pPr>
      <w:r>
        <w:rPr>
          <w:rFonts w:hint="eastAsia" w:ascii="宋体" w:hAnsi="宋体" w:eastAsia="宋体" w:cs="宋体"/>
          <w:i w:val="0"/>
          <w:iCs w:val="0"/>
          <w:caps w:val="0"/>
          <w:color w:val="060607"/>
          <w:spacing w:val="0"/>
          <w:sz w:val="21"/>
          <w:szCs w:val="21"/>
          <w:shd w:val="clear" w:fill="FFFFFF"/>
        </w:rPr>
        <w:t>有色金属行业工业数据分类分级</w:t>
      </w:r>
      <w:r>
        <w:rPr>
          <w:rFonts w:hint="eastAsia" w:ascii="宋体" w:hAnsi="宋体" w:eastAsia="宋体" w:cs="宋体"/>
          <w:i w:val="0"/>
          <w:iCs w:val="0"/>
          <w:caps w:val="0"/>
          <w:color w:val="060607"/>
          <w:spacing w:val="0"/>
          <w:sz w:val="21"/>
          <w:szCs w:val="21"/>
          <w:shd w:val="clear" w:fill="FFFFFF"/>
          <w:lang w:val="en-US" w:eastAsia="zh-CN"/>
        </w:rPr>
        <w:t>除</w:t>
      </w:r>
      <w:r>
        <w:rPr>
          <w:rFonts w:hint="eastAsia" w:ascii="宋体" w:hAnsi="宋体" w:eastAsia="宋体" w:cs="宋体"/>
          <w:color w:val="000000"/>
          <w:spacing w:val="0"/>
          <w:kern w:val="0"/>
          <w:sz w:val="21"/>
          <w:szCs w:val="21"/>
          <w:lang w:val="en-US" w:eastAsia="zh-CN" w:bidi="ar"/>
        </w:rPr>
        <w:t>遵循</w:t>
      </w:r>
      <w:r>
        <w:rPr>
          <w:rFonts w:hint="eastAsia" w:ascii="宋体" w:hAnsi="宋体" w:eastAsia="宋体" w:cs="宋体"/>
          <w:spacing w:val="0"/>
          <w:sz w:val="21"/>
        </w:rPr>
        <w:t>GB/T 43697</w:t>
      </w:r>
      <w:r>
        <w:rPr>
          <w:rFonts w:hint="eastAsia" w:ascii="宋体" w:hAnsi="宋体" w:eastAsia="宋体" w:cs="宋体"/>
          <w:i w:val="0"/>
          <w:iCs w:val="0"/>
          <w:caps w:val="0"/>
          <w:color w:val="060607"/>
          <w:spacing w:val="0"/>
          <w:sz w:val="21"/>
          <w:szCs w:val="21"/>
          <w:shd w:val="clear" w:fill="FFFFFF"/>
          <w:lang w:val="en-US" w:eastAsia="zh-CN"/>
        </w:rPr>
        <w:t>基本原则</w:t>
      </w:r>
      <w:r>
        <w:rPr>
          <w:rFonts w:hint="eastAsia" w:ascii="宋体" w:hAnsi="宋体" w:eastAsia="宋体" w:cs="宋体"/>
          <w:spacing w:val="0"/>
          <w:sz w:val="21"/>
          <w:lang w:val="en-US" w:eastAsia="zh-CN"/>
        </w:rPr>
        <w:t>外，还应当</w:t>
      </w:r>
      <w:r>
        <w:rPr>
          <w:rFonts w:hint="eastAsia" w:ascii="宋体" w:hAnsi="宋体" w:eastAsia="宋体" w:cs="宋体"/>
          <w:color w:val="000000"/>
          <w:spacing w:val="0"/>
          <w:kern w:val="0"/>
          <w:sz w:val="21"/>
          <w:szCs w:val="21"/>
          <w:lang w:val="en-US" w:eastAsia="zh-CN" w:bidi="ar"/>
        </w:rPr>
        <w:t>遵循</w:t>
      </w:r>
      <w:r>
        <w:rPr>
          <w:rFonts w:hint="eastAsia" w:ascii="宋体" w:hAnsi="宋体" w:eastAsia="宋体" w:cs="宋体"/>
          <w:spacing w:val="0"/>
          <w:sz w:val="21"/>
          <w:lang w:val="en-US" w:eastAsia="zh-CN"/>
        </w:rPr>
        <w:t>以下原则</w:t>
      </w:r>
      <w:r>
        <w:rPr>
          <w:rFonts w:hint="eastAsia" w:ascii="宋体" w:hAnsi="宋体" w:cs="宋体"/>
          <w:color w:val="000000"/>
          <w:spacing w:val="0"/>
          <w:kern w:val="0"/>
          <w:sz w:val="21"/>
          <w:szCs w:val="21"/>
          <w:lang w:eastAsia="zh-CN" w:bidi="ar"/>
        </w:rPr>
        <w:t>：</w:t>
      </w:r>
    </w:p>
    <w:p w14:paraId="35C1758F">
      <w:pPr>
        <w:keepNext w:val="0"/>
        <w:keepLines w:val="0"/>
        <w:pageBreakBefore w:val="0"/>
        <w:numPr>
          <w:ilvl w:val="0"/>
          <w:numId w:val="4"/>
        </w:numPr>
        <w:tabs>
          <w:tab w:val="clear" w:pos="780"/>
        </w:tabs>
        <w:kinsoku/>
        <w:wordWrap/>
        <w:overflowPunct/>
        <w:topLinePunct w:val="0"/>
        <w:autoSpaceDE/>
        <w:autoSpaceDN/>
        <w:bidi w:val="0"/>
        <w:adjustRightInd/>
        <w:snapToGrid/>
        <w:spacing w:line="360" w:lineRule="auto"/>
        <w:textAlignment w:val="auto"/>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pP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战略资源评估原则：从有色金属资源战略属性进行评估，识别对国家资源安全、产业链自主可控及国际市场话语权具有直接影响的数据，一旦泄露或滥用可能削弱国家在全球资源竞争中的优势，影响产业链关键环节的稳定性；</w:t>
      </w:r>
    </w:p>
    <w:p w14:paraId="1356339F">
      <w:pPr>
        <w:keepNext w:val="0"/>
        <w:keepLines w:val="0"/>
        <w:pageBreakBefore w:val="0"/>
        <w:numPr>
          <w:ilvl w:val="0"/>
          <w:numId w:val="4"/>
        </w:numPr>
        <w:tabs>
          <w:tab w:val="clear" w:pos="780"/>
        </w:tabs>
        <w:kinsoku/>
        <w:wordWrap/>
        <w:overflowPunct/>
        <w:topLinePunct w:val="0"/>
        <w:autoSpaceDE/>
        <w:autoSpaceDN/>
        <w:bidi w:val="0"/>
        <w:adjustRightInd/>
        <w:snapToGrid/>
        <w:spacing w:line="360" w:lineRule="auto"/>
        <w:textAlignment w:val="auto"/>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pP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安全风险影响原则：从国家安全、社会秩序、经济运行</w:t>
      </w:r>
      <w:r>
        <w:rPr>
          <w:rFonts w:hint="eastAsia" w:hAnsi="Times New Roman" w:cs="Times New Roman"/>
          <w:lang w:val="en-US" w:eastAsia="zh-CN"/>
        </w:rPr>
        <w:t>、</w:t>
      </w:r>
      <w:r>
        <w:rPr>
          <w:rFonts w:hint="eastAsia" w:ascii="宋体" w:hAnsi="Times New Roman" w:eastAsia="宋体" w:cs="Times New Roman"/>
          <w:lang w:val="en-US" w:eastAsia="zh-CN"/>
        </w:rPr>
        <w:t>行业发展</w:t>
      </w:r>
      <w:r>
        <w:rPr>
          <w:rFonts w:hint="eastAsia" w:hAnsi="Times New Roman" w:cs="Times New Roman"/>
          <w:lang w:val="en-US" w:eastAsia="zh-CN"/>
        </w:rPr>
        <w:t>和工业生产</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等角度识别工业数据的影响力，数据一旦遭到泄露、篡改、损毁或者非法获取、非法使用、非法共享，</w:t>
      </w:r>
      <w:r>
        <w:rPr>
          <w:rFonts w:hint="eastAsia" w:hAnsi="Times New Roman" w:cs="Times New Roman"/>
          <w:lang w:val="en-US" w:eastAsia="zh-CN"/>
        </w:rPr>
        <w:t>会</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对国家、社会、经济</w:t>
      </w:r>
      <w:r>
        <w:rPr>
          <w:rStyle w:val="12"/>
          <w:rFonts w:hint="eastAsia" w:ascii="宋体" w:hAnsi="宋体" w:cs="宋体"/>
          <w:b w:val="0"/>
          <w:bCs w:val="0"/>
          <w:i w:val="0"/>
          <w:iCs w:val="0"/>
          <w:caps w:val="0"/>
          <w:color w:val="060607"/>
          <w:spacing w:val="0"/>
          <w:kern w:val="0"/>
          <w:sz w:val="21"/>
          <w:szCs w:val="21"/>
          <w:shd w:val="clear" w:fill="FFFFFF"/>
          <w:vertAlign w:val="baseline"/>
          <w:lang w:val="en-US" w:eastAsia="zh-CN" w:bidi="ar"/>
        </w:rPr>
        <w:t>、</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行业</w:t>
      </w:r>
      <w:r>
        <w:rPr>
          <w:rStyle w:val="12"/>
          <w:rFonts w:hint="eastAsia" w:ascii="宋体" w:hAnsi="宋体" w:cs="宋体"/>
          <w:b w:val="0"/>
          <w:bCs w:val="0"/>
          <w:i w:val="0"/>
          <w:iCs w:val="0"/>
          <w:caps w:val="0"/>
          <w:color w:val="060607"/>
          <w:spacing w:val="0"/>
          <w:kern w:val="0"/>
          <w:sz w:val="21"/>
          <w:szCs w:val="21"/>
          <w:shd w:val="clear" w:fill="FFFFFF"/>
          <w:vertAlign w:val="baseline"/>
          <w:lang w:val="en-US" w:eastAsia="zh-CN" w:bidi="ar"/>
        </w:rPr>
        <w:t>和企业</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造成的安全事故风险和经济损失程度；</w:t>
      </w:r>
    </w:p>
    <w:p w14:paraId="4A8A2B79">
      <w:pPr>
        <w:keepNext w:val="0"/>
        <w:keepLines w:val="0"/>
        <w:pageBreakBefore w:val="0"/>
        <w:numPr>
          <w:ilvl w:val="0"/>
          <w:numId w:val="4"/>
        </w:numPr>
        <w:tabs>
          <w:tab w:val="clear" w:pos="780"/>
        </w:tabs>
        <w:kinsoku/>
        <w:wordWrap/>
        <w:overflowPunct/>
        <w:topLinePunct w:val="0"/>
        <w:autoSpaceDE/>
        <w:autoSpaceDN/>
        <w:bidi w:val="0"/>
        <w:adjustRightInd/>
        <w:snapToGrid/>
        <w:spacing w:line="360" w:lineRule="auto"/>
        <w:textAlignment w:val="auto"/>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pP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定性定量结合原则：以定性与定量相结合的方式识别重要数据，并根据具体数据类</w:t>
      </w:r>
      <w:r>
        <w:rPr>
          <w:rStyle w:val="12"/>
          <w:rFonts w:hint="eastAsia" w:ascii="宋体" w:hAnsi="宋体" w:cs="宋体"/>
          <w:b w:val="0"/>
          <w:bCs w:val="0"/>
          <w:i w:val="0"/>
          <w:iCs w:val="0"/>
          <w:caps w:val="0"/>
          <w:color w:val="060607"/>
          <w:spacing w:val="0"/>
          <w:kern w:val="0"/>
          <w:sz w:val="21"/>
          <w:szCs w:val="21"/>
          <w:shd w:val="clear" w:fill="FFFFFF"/>
          <w:vertAlign w:val="baseline"/>
          <w:lang w:val="en-US" w:eastAsia="zh-CN" w:bidi="ar"/>
        </w:rPr>
        <w:t>别</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、数据用途、数据来源采取不同的定性</w:t>
      </w:r>
      <w:r>
        <w:rPr>
          <w:rStyle w:val="12"/>
          <w:rFonts w:hint="eastAsia" w:ascii="宋体" w:hAnsi="宋体" w:cs="宋体"/>
          <w:b w:val="0"/>
          <w:bCs w:val="0"/>
          <w:i w:val="0"/>
          <w:iCs w:val="0"/>
          <w:caps w:val="0"/>
          <w:color w:val="060607"/>
          <w:spacing w:val="0"/>
          <w:kern w:val="0"/>
          <w:sz w:val="21"/>
          <w:szCs w:val="21"/>
          <w:shd w:val="clear" w:fill="FFFFFF"/>
          <w:vertAlign w:val="baseline"/>
          <w:lang w:val="en-US" w:eastAsia="zh-CN" w:bidi="ar"/>
        </w:rPr>
        <w:t>和</w:t>
      </w:r>
      <w:r>
        <w:rPr>
          <w:rStyle w:val="12"/>
          <w:rFonts w:hint="eastAsia" w:ascii="宋体" w:hAnsi="宋体" w:eastAsia="宋体" w:cs="宋体"/>
          <w:b w:val="0"/>
          <w:bCs w:val="0"/>
          <w:i w:val="0"/>
          <w:iCs w:val="0"/>
          <w:caps w:val="0"/>
          <w:color w:val="060607"/>
          <w:spacing w:val="0"/>
          <w:kern w:val="0"/>
          <w:sz w:val="21"/>
          <w:szCs w:val="21"/>
          <w:shd w:val="clear" w:fill="FFFFFF"/>
          <w:vertAlign w:val="baseline"/>
          <w:lang w:val="en-US" w:eastAsia="zh-CN" w:bidi="ar"/>
        </w:rPr>
        <w:t>定量方法。</w:t>
      </w:r>
    </w:p>
    <w:p w14:paraId="0AE022BC">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6" w:name="_Toc18082"/>
      <w:r>
        <w:rPr>
          <w:rFonts w:hint="eastAsia" w:cs="Times New Roman"/>
          <w:b w:val="0"/>
          <w:bCs/>
          <w:lang w:val="en-US" w:eastAsia="zh-CN"/>
        </w:rPr>
        <w:t>5  数据分类规则</w:t>
      </w:r>
      <w:bookmarkEnd w:id="6"/>
    </w:p>
    <w:p w14:paraId="49AE9E63">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7" w:name="_Toc24769"/>
      <w:r>
        <w:rPr>
          <w:rFonts w:hint="eastAsia" w:ascii="黑体" w:hAnsi="黑体" w:cs="黑体"/>
          <w:b w:val="0"/>
          <w:bCs w:val="0"/>
          <w:lang w:val="en-US" w:eastAsia="zh-CN"/>
        </w:rPr>
        <w:t>5.1 数据分类框架</w:t>
      </w:r>
      <w:bookmarkEnd w:id="7"/>
    </w:p>
    <w:p w14:paraId="574BB491">
      <w:pPr>
        <w:pStyle w:val="30"/>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default" w:ascii="Helvetica" w:hAnsi="Helvetica" w:eastAsia="宋体" w:cs="Helvetica"/>
          <w:i w:val="0"/>
          <w:iCs w:val="0"/>
          <w:caps w:val="0"/>
          <w:color w:val="060607"/>
          <w:spacing w:val="0"/>
          <w:sz w:val="21"/>
          <w:szCs w:val="21"/>
          <w:shd w:val="clear" w:fill="FFFFFF"/>
          <w:lang w:val="en-US" w:eastAsia="zh-CN"/>
        </w:rPr>
      </w:pPr>
      <w:r>
        <w:rPr>
          <w:rFonts w:hint="eastAsia" w:ascii="宋体" w:hAnsi="宋体" w:eastAsia="宋体" w:cs="宋体"/>
          <w:i w:val="0"/>
          <w:iCs w:val="0"/>
          <w:caps w:val="0"/>
          <w:color w:val="060607"/>
          <w:spacing w:val="0"/>
          <w:sz w:val="21"/>
          <w:szCs w:val="21"/>
          <w:shd w:val="clear" w:fill="FFFFFF"/>
        </w:rPr>
        <w:t>有色金属行业的数据分类框架应结合行业特点，</w:t>
      </w:r>
      <w:r>
        <w:rPr>
          <w:rFonts w:hint="eastAsia" w:ascii="宋体" w:hAnsi="宋体" w:eastAsia="宋体" w:cs="宋体"/>
          <w:i w:val="0"/>
          <w:iCs w:val="0"/>
          <w:caps w:val="0"/>
          <w:color w:val="060607"/>
          <w:spacing w:val="0"/>
          <w:sz w:val="21"/>
          <w:szCs w:val="21"/>
          <w:shd w:val="clear" w:fill="FFFFFF"/>
          <w:lang w:val="en-US" w:eastAsia="zh-CN"/>
        </w:rPr>
        <w:t>按照不同业务</w:t>
      </w:r>
      <w:r>
        <w:rPr>
          <w:rFonts w:hint="eastAsia" w:ascii="宋体" w:hAnsi="宋体" w:eastAsia="宋体" w:cs="宋体"/>
          <w:i w:val="0"/>
          <w:iCs w:val="0"/>
          <w:caps w:val="0"/>
          <w:color w:val="060607"/>
          <w:spacing w:val="0"/>
          <w:sz w:val="21"/>
          <w:szCs w:val="21"/>
          <w:shd w:val="clear" w:fill="FFFFFF"/>
        </w:rPr>
        <w:t>属性进行细</w:t>
      </w:r>
      <w:r>
        <w:rPr>
          <w:rFonts w:hint="eastAsia" w:ascii="宋体" w:hAnsi="宋体" w:eastAsia="宋体" w:cs="宋体"/>
          <w:i w:val="0"/>
          <w:iCs w:val="0"/>
          <w:caps w:val="0"/>
          <w:color w:val="060607"/>
          <w:spacing w:val="0"/>
          <w:sz w:val="21"/>
          <w:szCs w:val="21"/>
          <w:shd w:val="clear" w:fill="FFFFFF"/>
          <w:lang w:val="en-US" w:eastAsia="zh-CN"/>
        </w:rPr>
        <w:t>化</w:t>
      </w:r>
      <w:r>
        <w:rPr>
          <w:rFonts w:hint="eastAsia" w:ascii="宋体" w:hAnsi="宋体" w:eastAsia="宋体" w:cs="宋体"/>
          <w:i w:val="0"/>
          <w:iCs w:val="0"/>
          <w:caps w:val="0"/>
          <w:color w:val="060607"/>
          <w:spacing w:val="0"/>
          <w:sz w:val="21"/>
          <w:szCs w:val="21"/>
          <w:shd w:val="clear" w:fill="FFFFFF"/>
        </w:rPr>
        <w:t>分</w:t>
      </w:r>
      <w:r>
        <w:rPr>
          <w:rFonts w:hint="eastAsia" w:ascii="宋体" w:hAnsi="宋体" w:eastAsia="宋体" w:cs="宋体"/>
          <w:i w:val="0"/>
          <w:iCs w:val="0"/>
          <w:caps w:val="0"/>
          <w:color w:val="060607"/>
          <w:spacing w:val="0"/>
          <w:sz w:val="21"/>
          <w:szCs w:val="21"/>
          <w:shd w:val="clear" w:fill="FFFFFF"/>
          <w:lang w:val="en-US" w:eastAsia="zh-CN"/>
        </w:rPr>
        <w:t>类。常见业务属性包括但不限于：</w:t>
      </w:r>
    </w:p>
    <w:p w14:paraId="47C3EB90">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default" w:ascii="Times New Roman" w:hAnsi="Times New Roman" w:eastAsia="宋体" w:cs="Times New Roman"/>
          <w:spacing w:val="0"/>
          <w:lang w:val="en-US" w:eastAsia="zh-CN"/>
        </w:rPr>
      </w:pPr>
      <w:r>
        <w:rPr>
          <w:rFonts w:hint="eastAsia" w:cs="Times New Roman"/>
          <w:spacing w:val="0"/>
          <w:lang w:val="en-US" w:eastAsia="zh-CN"/>
        </w:rPr>
        <w:t>金属门类</w:t>
      </w:r>
      <w:r>
        <w:rPr>
          <w:rFonts w:hint="eastAsia" w:ascii="Times New Roman" w:hAnsi="Times New Roman" w:eastAsia="宋体" w:cs="Times New Roman"/>
          <w:spacing w:val="0"/>
          <w:lang w:val="en-US" w:eastAsia="zh-CN"/>
        </w:rPr>
        <w:t>：</w:t>
      </w:r>
      <w:r>
        <w:rPr>
          <w:rFonts w:hint="default" w:ascii="Times New Roman" w:hAnsi="Times New Roman" w:eastAsia="宋体" w:cs="Times New Roman"/>
          <w:spacing w:val="0"/>
          <w:lang w:val="en-US" w:eastAsia="zh-CN"/>
        </w:rPr>
        <w:t>按照</w:t>
      </w:r>
      <w:r>
        <w:rPr>
          <w:rFonts w:hint="eastAsia" w:cs="Times New Roman"/>
          <w:spacing w:val="0"/>
          <w:lang w:val="en-US" w:eastAsia="zh-CN"/>
        </w:rPr>
        <w:t>有色</w:t>
      </w:r>
      <w:r>
        <w:rPr>
          <w:rFonts w:hint="default" w:ascii="Times New Roman" w:hAnsi="Times New Roman" w:eastAsia="宋体" w:cs="Times New Roman"/>
          <w:spacing w:val="0"/>
          <w:lang w:val="en-US" w:eastAsia="zh-CN"/>
        </w:rPr>
        <w:t>金属的物理化学性质及工业应用特性进行细化分类</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w:t>
      </w:r>
    </w:p>
    <w:p w14:paraId="0AF87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84" w:leftChars="397" w:hanging="450" w:hangingChars="250"/>
        <w:textAlignment w:val="auto"/>
        <w:rPr>
          <w:rStyle w:val="12"/>
          <w:rFonts w:hint="default" w:ascii="黑体" w:hAnsi="黑体" w:eastAsia="黑体" w:cs="黑体"/>
          <w:b w:val="0"/>
          <w:bCs w:val="0"/>
          <w:i w:val="0"/>
          <w:iCs w:val="0"/>
          <w:caps w:val="0"/>
          <w:color w:val="060607"/>
          <w:spacing w:val="0"/>
          <w:kern w:val="0"/>
          <w:sz w:val="18"/>
          <w:szCs w:val="18"/>
          <w:shd w:val="clear" w:fill="FFFFFF"/>
          <w:vertAlign w:val="baseline"/>
          <w:lang w:val="en-US" w:eastAsia="zh-CN" w:bidi="ar"/>
        </w:rPr>
      </w:pP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注1：</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如可</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分为轻金属</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（铝、镁等）</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、重金属</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（铜、铅、锌、镍等）</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、贵金属</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（金、银等）、</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稀有金属</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（钨、钼、铌、钽、钛、锆等）</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p>
    <w:p w14:paraId="5371561D">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default" w:ascii="Times New Roman" w:hAnsi="Times New Roman" w:eastAsia="宋体" w:cs="Times New Roman"/>
          <w:spacing w:val="0"/>
          <w:lang w:val="en-US" w:eastAsia="zh-CN"/>
        </w:rPr>
      </w:pPr>
      <w:r>
        <w:rPr>
          <w:rFonts w:hint="default" w:ascii="Times New Roman" w:hAnsi="Times New Roman" w:eastAsia="宋体" w:cs="Times New Roman"/>
          <w:spacing w:val="0"/>
          <w:lang w:val="en-US" w:eastAsia="zh-CN"/>
        </w:rPr>
        <w:t>流程环节</w:t>
      </w:r>
      <w:r>
        <w:rPr>
          <w:rFonts w:hint="eastAsia" w:ascii="Times New Roman" w:hAnsi="Times New Roman" w:eastAsia="宋体" w:cs="Times New Roman"/>
          <w:spacing w:val="0"/>
          <w:lang w:val="en-US" w:eastAsia="zh-CN"/>
        </w:rPr>
        <w:t>：</w:t>
      </w:r>
      <w:r>
        <w:rPr>
          <w:rFonts w:hint="default" w:ascii="Times New Roman" w:hAnsi="Times New Roman" w:eastAsia="宋体" w:cs="Times New Roman"/>
          <w:spacing w:val="0"/>
          <w:lang w:val="en-US" w:eastAsia="zh-CN"/>
        </w:rPr>
        <w:t>按照</w:t>
      </w:r>
      <w:r>
        <w:rPr>
          <w:rFonts w:hint="eastAsia" w:cs="Times New Roman"/>
          <w:spacing w:val="0"/>
          <w:lang w:val="en-US" w:eastAsia="zh-CN"/>
        </w:rPr>
        <w:t>生产特点或</w:t>
      </w:r>
      <w:r>
        <w:rPr>
          <w:rFonts w:hint="default" w:ascii="Times New Roman" w:hAnsi="Times New Roman" w:eastAsia="宋体" w:cs="Times New Roman"/>
          <w:spacing w:val="0"/>
          <w:lang w:val="en-US" w:eastAsia="zh-CN"/>
        </w:rPr>
        <w:t>产业链环节进行细化分类</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w:t>
      </w:r>
    </w:p>
    <w:p w14:paraId="26FB07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84" w:leftChars="397" w:hanging="450" w:hangingChars="250"/>
        <w:textAlignment w:val="auto"/>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pPr>
      <w:r>
        <w:rPr>
          <w:rStyle w:val="12"/>
          <w:rFonts w:hint="default" w:ascii="黑体" w:hAnsi="黑体" w:eastAsia="黑体" w:cs="黑体"/>
          <w:b w:val="0"/>
          <w:bCs w:val="0"/>
          <w:i w:val="0"/>
          <w:iCs w:val="0"/>
          <w:caps w:val="0"/>
          <w:color w:val="060607"/>
          <w:spacing w:val="0"/>
          <w:kern w:val="0"/>
          <w:sz w:val="18"/>
          <w:szCs w:val="18"/>
          <w:shd w:val="clear" w:fill="FFFFFF"/>
          <w:vertAlign w:val="baseline"/>
          <w:lang w:val="en-US" w:eastAsia="zh-CN" w:bidi="ar"/>
        </w:rPr>
        <w:t>注</w:t>
      </w: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2：</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如可</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分为采选、冶炼、加工。</w:t>
      </w:r>
    </w:p>
    <w:p w14:paraId="2017CE48">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default" w:ascii="Times New Roman" w:hAnsi="Times New Roman" w:eastAsia="宋体" w:cs="Times New Roman"/>
          <w:color w:val="auto"/>
          <w:spacing w:val="0"/>
          <w:lang w:val="en-US" w:eastAsia="zh-CN"/>
        </w:rPr>
      </w:pPr>
      <w:r>
        <w:rPr>
          <w:rFonts w:hint="eastAsia" w:cs="Times New Roman"/>
          <w:color w:val="auto"/>
          <w:spacing w:val="0"/>
          <w:lang w:val="en-US" w:eastAsia="zh-CN"/>
        </w:rPr>
        <w:t>业务场景</w:t>
      </w:r>
      <w:r>
        <w:rPr>
          <w:rFonts w:hint="eastAsia" w:ascii="Times New Roman" w:hAnsi="Times New Roman" w:eastAsia="宋体" w:cs="Times New Roman"/>
          <w:color w:val="auto"/>
          <w:spacing w:val="0"/>
          <w:lang w:val="en-US" w:eastAsia="zh-CN"/>
        </w:rPr>
        <w:t>：</w:t>
      </w:r>
      <w:r>
        <w:rPr>
          <w:rFonts w:hint="default" w:ascii="Times New Roman" w:hAnsi="Times New Roman" w:eastAsia="宋体" w:cs="Times New Roman"/>
          <w:color w:val="auto"/>
          <w:spacing w:val="0"/>
          <w:lang w:val="en-US" w:eastAsia="zh-CN"/>
        </w:rPr>
        <w:t>按照工业需求</w:t>
      </w:r>
      <w:r>
        <w:rPr>
          <w:rFonts w:hint="eastAsia" w:cs="Times New Roman"/>
          <w:color w:val="auto"/>
          <w:spacing w:val="0"/>
          <w:lang w:val="en-US" w:eastAsia="zh-CN"/>
        </w:rPr>
        <w:t>或应用场景</w:t>
      </w:r>
      <w:r>
        <w:rPr>
          <w:rFonts w:hint="default" w:ascii="Times New Roman" w:hAnsi="Times New Roman" w:eastAsia="宋体" w:cs="Times New Roman"/>
          <w:color w:val="auto"/>
          <w:spacing w:val="0"/>
          <w:lang w:val="en-US" w:eastAsia="zh-CN"/>
        </w:rPr>
        <w:t>进行细化分类</w:t>
      </w:r>
      <w:r>
        <w:rPr>
          <w:rStyle w:val="12"/>
          <w:rFonts w:hint="eastAsia" w:ascii="Helvetica" w:hAnsi="Helvetica" w:eastAsia="Helvetica" w:cs="Helvetica"/>
          <w:b w:val="0"/>
          <w:bCs w:val="0"/>
          <w:i w:val="0"/>
          <w:iCs w:val="0"/>
          <w:caps w:val="0"/>
          <w:color w:val="auto"/>
          <w:spacing w:val="0"/>
          <w:kern w:val="0"/>
          <w:sz w:val="21"/>
          <w:szCs w:val="21"/>
          <w:shd w:val="clear" w:fill="FFFFFF"/>
          <w:vertAlign w:val="baseline"/>
          <w:lang w:val="en-US" w:eastAsia="zh-CN" w:bidi="ar"/>
        </w:rPr>
        <w:t>；</w:t>
      </w:r>
    </w:p>
    <w:p w14:paraId="18335D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84" w:leftChars="397" w:hanging="450" w:hangingChars="250"/>
        <w:textAlignment w:val="auto"/>
        <w:rPr>
          <w:rStyle w:val="12"/>
          <w:rFonts w:hint="default" w:ascii="黑体" w:hAnsi="黑体" w:eastAsia="黑体" w:cs="黑体"/>
          <w:b w:val="0"/>
          <w:bCs w:val="0"/>
          <w:i w:val="0"/>
          <w:iCs w:val="0"/>
          <w:caps w:val="0"/>
          <w:color w:val="auto"/>
          <w:spacing w:val="0"/>
          <w:kern w:val="0"/>
          <w:sz w:val="18"/>
          <w:szCs w:val="18"/>
          <w:shd w:val="clear" w:fill="FFFFFF"/>
          <w:vertAlign w:val="baseline"/>
          <w:lang w:val="en-US" w:eastAsia="zh-CN" w:bidi="ar"/>
        </w:rPr>
      </w:pPr>
      <w:r>
        <w:rPr>
          <w:rStyle w:val="12"/>
          <w:rFonts w:hint="eastAsia" w:ascii="黑体" w:hAnsi="黑体" w:eastAsia="黑体" w:cs="黑体"/>
          <w:b w:val="0"/>
          <w:bCs w:val="0"/>
          <w:i w:val="0"/>
          <w:iCs w:val="0"/>
          <w:caps w:val="0"/>
          <w:color w:val="auto"/>
          <w:spacing w:val="0"/>
          <w:kern w:val="0"/>
          <w:sz w:val="18"/>
          <w:szCs w:val="18"/>
          <w:shd w:val="clear" w:fill="FFFFFF"/>
          <w:vertAlign w:val="baseline"/>
          <w:lang w:val="en-US" w:eastAsia="zh-CN" w:bidi="ar"/>
        </w:rPr>
        <w:t>注3：</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如可</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分为研发设计、生产制造、经营管理</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、特种应用、平台运营等</w:t>
      </w:r>
      <w:r>
        <w:rPr>
          <w:rStyle w:val="12"/>
          <w:rFonts w:hint="eastAsia" w:ascii="宋体" w:hAnsi="宋体" w:eastAsia="宋体" w:cs="宋体"/>
          <w:b w:val="0"/>
          <w:bCs w:val="0"/>
          <w:i w:val="0"/>
          <w:iCs w:val="0"/>
          <w:caps w:val="0"/>
          <w:color w:val="auto"/>
          <w:spacing w:val="0"/>
          <w:kern w:val="0"/>
          <w:sz w:val="18"/>
          <w:szCs w:val="18"/>
          <w:shd w:val="clear" w:fill="FFFFFF"/>
          <w:vertAlign w:val="baseline"/>
          <w:lang w:val="en-US" w:eastAsia="zh-CN" w:bidi="ar"/>
        </w:rPr>
        <w:t>。</w:t>
      </w:r>
    </w:p>
    <w:p w14:paraId="736A4689">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default" w:ascii="Times New Roman" w:hAnsi="Times New Roman" w:eastAsia="宋体" w:cs="Times New Roman"/>
          <w:spacing w:val="0"/>
          <w:lang w:val="en-US" w:eastAsia="zh-CN"/>
        </w:rPr>
      </w:pPr>
      <w:r>
        <w:rPr>
          <w:rFonts w:hint="eastAsia" w:cs="Times New Roman"/>
          <w:spacing w:val="0"/>
          <w:lang w:val="en-US" w:eastAsia="zh-CN"/>
        </w:rPr>
        <w:t>业务对象</w:t>
      </w:r>
      <w:r>
        <w:rPr>
          <w:rFonts w:hint="eastAsia" w:ascii="Times New Roman" w:hAnsi="Times New Roman" w:eastAsia="宋体" w:cs="Times New Roman"/>
          <w:spacing w:val="0"/>
          <w:lang w:val="en-US" w:eastAsia="zh-CN"/>
        </w:rPr>
        <w:t>：</w:t>
      </w:r>
      <w:r>
        <w:rPr>
          <w:rFonts w:hint="default" w:ascii="Times New Roman" w:hAnsi="Times New Roman" w:eastAsia="宋体" w:cs="Times New Roman"/>
          <w:spacing w:val="0"/>
          <w:lang w:val="en-US" w:eastAsia="zh-CN"/>
        </w:rPr>
        <w:t>按照数据</w:t>
      </w:r>
      <w:r>
        <w:rPr>
          <w:rFonts w:hint="eastAsia" w:cs="Times New Roman"/>
          <w:spacing w:val="0"/>
          <w:lang w:val="en-US" w:eastAsia="zh-CN"/>
        </w:rPr>
        <w:t>产生或服务</w:t>
      </w:r>
      <w:r>
        <w:rPr>
          <w:rFonts w:hint="default" w:ascii="Times New Roman" w:hAnsi="Times New Roman" w:eastAsia="宋体" w:cs="Times New Roman"/>
          <w:spacing w:val="0"/>
          <w:lang w:val="en-US" w:eastAsia="zh-CN"/>
        </w:rPr>
        <w:t>的</w:t>
      </w:r>
      <w:r>
        <w:rPr>
          <w:rFonts w:hint="eastAsia" w:cs="Times New Roman"/>
          <w:spacing w:val="0"/>
          <w:lang w:val="en-US" w:eastAsia="zh-CN"/>
        </w:rPr>
        <w:t>对象</w:t>
      </w:r>
      <w:r>
        <w:rPr>
          <w:rFonts w:hint="default" w:ascii="Times New Roman" w:hAnsi="Times New Roman" w:eastAsia="宋体" w:cs="Times New Roman"/>
          <w:spacing w:val="0"/>
          <w:lang w:val="en-US" w:eastAsia="zh-CN"/>
        </w:rPr>
        <w:t>进行细化分类</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w:t>
      </w:r>
    </w:p>
    <w:p w14:paraId="16A961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284" w:leftChars="397" w:hanging="450" w:hangingChars="250"/>
        <w:textAlignment w:val="auto"/>
        <w:rPr>
          <w:rStyle w:val="12"/>
          <w:rFonts w:hint="default" w:ascii="宋体" w:hAnsi="宋体" w:eastAsia="宋体" w:cs="宋体"/>
          <w:b w:val="0"/>
          <w:bCs w:val="0"/>
          <w:i w:val="0"/>
          <w:iCs w:val="0"/>
          <w:caps w:val="0"/>
          <w:color w:val="FF0000"/>
          <w:spacing w:val="0"/>
          <w:kern w:val="0"/>
          <w:sz w:val="18"/>
          <w:szCs w:val="18"/>
          <w:shd w:val="clear" w:fill="FFFFFF"/>
          <w:vertAlign w:val="baseline"/>
          <w:lang w:val="en-US" w:eastAsia="zh-CN" w:bidi="ar"/>
        </w:rPr>
      </w:pP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注4：</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如可</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分为</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人（人员）</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机（设备）</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料（物料）、法（工艺）、环（环境）、测（检测）</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p>
    <w:p w14:paraId="44DE874B">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default" w:ascii="Times New Roman" w:hAnsi="Times New Roman" w:eastAsia="宋体" w:cs="Times New Roman"/>
          <w:spacing w:val="0"/>
          <w:lang w:val="en-US" w:eastAsia="zh-CN"/>
        </w:rPr>
      </w:pPr>
      <w:r>
        <w:rPr>
          <w:rFonts w:hint="eastAsia" w:ascii="Times New Roman" w:hAnsi="Times New Roman" w:eastAsia="宋体" w:cs="Times New Roman"/>
          <w:spacing w:val="0"/>
          <w:lang w:val="en-US" w:eastAsia="zh-CN"/>
        </w:rPr>
        <w:t>除以上外，还可按照</w:t>
      </w:r>
      <w:r>
        <w:rPr>
          <w:rFonts w:hint="default" w:ascii="Times New Roman" w:hAnsi="Times New Roman" w:eastAsia="宋体" w:cs="Times New Roman"/>
          <w:spacing w:val="0"/>
          <w:lang w:val="en-US" w:eastAsia="zh-CN"/>
        </w:rPr>
        <w:t>数据来源</w:t>
      </w:r>
      <w:r>
        <w:rPr>
          <w:rFonts w:hint="eastAsia" w:ascii="Times New Roman" w:hAnsi="Times New Roman" w:eastAsia="宋体" w:cs="Times New Roman"/>
          <w:spacing w:val="0"/>
          <w:lang w:val="en-US" w:eastAsia="zh-CN"/>
        </w:rPr>
        <w:t>、</w:t>
      </w:r>
      <w:r>
        <w:rPr>
          <w:rFonts w:hint="eastAsia" w:cs="Times New Roman"/>
          <w:spacing w:val="0"/>
          <w:lang w:val="en-US" w:eastAsia="zh-CN"/>
        </w:rPr>
        <w:t>数据</w:t>
      </w:r>
      <w:r>
        <w:rPr>
          <w:rFonts w:hint="default" w:ascii="Times New Roman" w:hAnsi="Times New Roman" w:eastAsia="宋体" w:cs="Times New Roman"/>
          <w:spacing w:val="0"/>
          <w:lang w:val="en-US" w:eastAsia="zh-CN"/>
        </w:rPr>
        <w:t>主题</w:t>
      </w:r>
      <w:r>
        <w:rPr>
          <w:rFonts w:hint="eastAsia" w:ascii="Times New Roman" w:hAnsi="Times New Roman" w:eastAsia="宋体" w:cs="Times New Roman"/>
          <w:spacing w:val="0"/>
          <w:lang w:val="en-US" w:eastAsia="zh-CN"/>
        </w:rPr>
        <w:t>、</w:t>
      </w:r>
      <w:r>
        <w:rPr>
          <w:rFonts w:hint="default" w:ascii="Times New Roman" w:hAnsi="Times New Roman" w:eastAsia="宋体" w:cs="Times New Roman"/>
          <w:spacing w:val="0"/>
          <w:lang w:val="en-US" w:eastAsia="zh-CN"/>
        </w:rPr>
        <w:t>数据用途</w:t>
      </w:r>
      <w:r>
        <w:rPr>
          <w:rFonts w:hint="eastAsia" w:ascii="Times New Roman" w:hAnsi="Times New Roman" w:eastAsia="宋体" w:cs="Times New Roman"/>
          <w:spacing w:val="0"/>
          <w:lang w:val="en-US" w:eastAsia="zh-CN"/>
        </w:rPr>
        <w:t>、数据处理</w:t>
      </w:r>
      <w:r>
        <w:rPr>
          <w:rFonts w:hint="eastAsia" w:cs="Times New Roman"/>
          <w:spacing w:val="0"/>
          <w:lang w:val="en-US" w:eastAsia="zh-CN"/>
        </w:rPr>
        <w:t>方式</w:t>
      </w:r>
      <w:r>
        <w:rPr>
          <w:rFonts w:hint="eastAsia" w:ascii="Times New Roman" w:hAnsi="Times New Roman" w:eastAsia="宋体" w:cs="Times New Roman"/>
          <w:spacing w:val="0"/>
          <w:lang w:val="en-US" w:eastAsia="zh-CN"/>
        </w:rPr>
        <w:t>等属性</w:t>
      </w:r>
      <w:r>
        <w:rPr>
          <w:rFonts w:hint="default" w:ascii="Times New Roman" w:hAnsi="Times New Roman" w:eastAsia="宋体" w:cs="Times New Roman"/>
          <w:spacing w:val="0"/>
          <w:lang w:val="en-US" w:eastAsia="zh-CN"/>
        </w:rPr>
        <w:t>进行细化分类</w:t>
      </w:r>
      <w:r>
        <w:rPr>
          <w:rFonts w:hint="eastAsia" w:ascii="Times New Roman" w:hAnsi="Times New Roman" w:eastAsia="宋体" w:cs="Times New Roman"/>
          <w:spacing w:val="0"/>
          <w:lang w:val="en-US" w:eastAsia="zh-CN"/>
        </w:rPr>
        <w:t>；</w:t>
      </w:r>
    </w:p>
    <w:p w14:paraId="3C5B9B33">
      <w:pPr>
        <w:keepNext w:val="0"/>
        <w:keepLines w:val="0"/>
        <w:pageBreakBefore w:val="0"/>
        <w:numPr>
          <w:ilvl w:val="0"/>
          <w:numId w:val="5"/>
        </w:numPr>
        <w:tabs>
          <w:tab w:val="clear" w:pos="780"/>
        </w:tabs>
        <w:kinsoku/>
        <w:wordWrap/>
        <w:overflowPunct/>
        <w:topLinePunct w:val="0"/>
        <w:bidi w:val="0"/>
        <w:adjustRightInd/>
        <w:snapToGrid/>
        <w:spacing w:line="360" w:lineRule="auto"/>
        <w:textAlignment w:val="auto"/>
        <w:rPr>
          <w:rFonts w:hint="eastAsia" w:ascii="Times New Roman" w:hAnsi="Times New Roman" w:eastAsia="宋体" w:cs="Times New Roman"/>
          <w:spacing w:val="0"/>
          <w:lang w:val="en-US" w:eastAsia="zh-CN"/>
        </w:rPr>
      </w:pPr>
      <w:r>
        <w:rPr>
          <w:rFonts w:hint="eastAsia" w:cs="Times New Roman"/>
          <w:spacing w:val="0"/>
          <w:lang w:val="en-US" w:eastAsia="zh-CN"/>
        </w:rPr>
        <w:t>若</w:t>
      </w:r>
      <w:r>
        <w:rPr>
          <w:rFonts w:hint="eastAsia" w:ascii="Times New Roman" w:hAnsi="Times New Roman" w:eastAsia="宋体" w:cs="Times New Roman"/>
          <w:spacing w:val="0"/>
          <w:lang w:val="en-US" w:eastAsia="zh-CN"/>
        </w:rPr>
        <w:t>涉及法律法规有专门管理要求的数据类别，应按照有关规定和标准进行识别和分类。</w:t>
      </w:r>
    </w:p>
    <w:p w14:paraId="4661A32B">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eastAsia" w:ascii="黑体" w:hAnsi="黑体" w:cs="黑体"/>
          <w:b w:val="0"/>
          <w:bCs w:val="0"/>
          <w:lang w:val="en-US" w:eastAsia="zh-CN"/>
        </w:rPr>
      </w:pPr>
      <w:bookmarkStart w:id="8" w:name="_Toc18949"/>
      <w:r>
        <w:rPr>
          <w:rFonts w:hint="eastAsia" w:ascii="黑体" w:hAnsi="黑体" w:cs="黑体"/>
          <w:b w:val="0"/>
          <w:bCs w:val="0"/>
          <w:lang w:val="en-US" w:eastAsia="zh-CN"/>
        </w:rPr>
        <w:t>5.2 数据分类方法</w:t>
      </w:r>
      <w:bookmarkEnd w:id="8"/>
    </w:p>
    <w:p w14:paraId="7CA08D5D">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Times New Roman"/>
          <w:spacing w:val="0"/>
          <w:lang w:val="en-US" w:eastAsia="zh-CN"/>
        </w:rPr>
      </w:pPr>
      <w:r>
        <w:rPr>
          <w:rFonts w:hint="eastAsia" w:ascii="宋体" w:hAnsi="宋体" w:eastAsia="宋体" w:cs="Times New Roman"/>
          <w:spacing w:val="0"/>
          <w:lang w:val="en-US" w:eastAsia="zh-CN"/>
        </w:rPr>
        <w:t>数据分类应根据数据管理和</w:t>
      </w:r>
      <w:r>
        <w:rPr>
          <w:rFonts w:hint="eastAsia" w:cs="Times New Roman"/>
          <w:spacing w:val="0"/>
          <w:lang w:val="en-US" w:eastAsia="zh-CN"/>
        </w:rPr>
        <w:t>应</w:t>
      </w:r>
      <w:r>
        <w:rPr>
          <w:rFonts w:hint="eastAsia" w:ascii="宋体" w:hAnsi="宋体" w:eastAsia="宋体" w:cs="Times New Roman"/>
          <w:spacing w:val="0"/>
          <w:lang w:val="en-US" w:eastAsia="zh-CN"/>
        </w:rPr>
        <w:t>用需求，灵活选择业务属性</w:t>
      </w:r>
      <w:r>
        <w:rPr>
          <w:rFonts w:hint="eastAsia" w:cs="Times New Roman"/>
          <w:spacing w:val="0"/>
          <w:lang w:val="en-US" w:eastAsia="zh-CN"/>
        </w:rPr>
        <w:t>进行</w:t>
      </w:r>
      <w:r>
        <w:rPr>
          <w:rFonts w:hint="eastAsia" w:ascii="宋体" w:hAnsi="宋体" w:eastAsia="宋体" w:cs="Times New Roman"/>
          <w:spacing w:val="0"/>
          <w:lang w:val="en-US" w:eastAsia="zh-CN"/>
        </w:rPr>
        <w:t>细化。有色金属行业企业可参考以下</w:t>
      </w:r>
      <w:r>
        <w:rPr>
          <w:rFonts w:hint="eastAsia" w:cs="Times New Roman"/>
          <w:spacing w:val="0"/>
          <w:lang w:val="en-US" w:eastAsia="zh-CN"/>
        </w:rPr>
        <w:t>方法</w:t>
      </w:r>
      <w:r>
        <w:rPr>
          <w:rFonts w:hint="eastAsia" w:ascii="宋体" w:hAnsi="宋体" w:eastAsia="宋体" w:cs="Times New Roman"/>
          <w:spacing w:val="0"/>
          <w:lang w:val="en-US" w:eastAsia="zh-CN"/>
        </w:rPr>
        <w:t>开展工业数据分类</w:t>
      </w:r>
      <w:r>
        <w:rPr>
          <w:rFonts w:hint="eastAsia" w:cs="Times New Roman"/>
          <w:spacing w:val="0"/>
          <w:lang w:val="en-US" w:eastAsia="zh-CN"/>
        </w:rPr>
        <w:t>：</w:t>
      </w:r>
    </w:p>
    <w:p w14:paraId="599608F9">
      <w:pPr>
        <w:keepNext w:val="0"/>
        <w:keepLines w:val="0"/>
        <w:pageBreakBefore w:val="0"/>
        <w:numPr>
          <w:ilvl w:val="0"/>
          <w:numId w:val="6"/>
        </w:numPr>
        <w:tabs>
          <w:tab w:val="clear" w:pos="780"/>
        </w:tabs>
        <w:kinsoku/>
        <w:wordWrap/>
        <w:overflowPunct/>
        <w:topLinePunct w:val="0"/>
        <w:bidi w:val="0"/>
        <w:adjustRightInd/>
        <w:snapToGrid/>
        <w:spacing w:line="360" w:lineRule="auto"/>
        <w:textAlignment w:val="auto"/>
        <w:rPr>
          <w:rFonts w:hint="eastAsia" w:ascii="Times New Roman" w:hAnsi="Times New Roman" w:eastAsia="宋体" w:cs="Times New Roman"/>
          <w:spacing w:val="0"/>
          <w:lang w:val="en-US" w:eastAsia="zh-CN"/>
        </w:rPr>
      </w:pPr>
      <w:r>
        <w:rPr>
          <w:rFonts w:hint="eastAsia" w:ascii="Times New Roman" w:hAnsi="Times New Roman" w:eastAsia="宋体" w:cs="Times New Roman"/>
          <w:spacing w:val="0"/>
          <w:lang w:val="en-US" w:eastAsia="zh-CN"/>
        </w:rPr>
        <w:t>明确数据范围：企业可</w:t>
      </w:r>
      <w:r>
        <w:rPr>
          <w:rFonts w:hint="eastAsia" w:cs="Times New Roman"/>
          <w:spacing w:val="0"/>
          <w:lang w:val="en-US" w:eastAsia="zh-CN"/>
        </w:rPr>
        <w:t>依据金属门类</w:t>
      </w:r>
      <w:r>
        <w:rPr>
          <w:rFonts w:hint="eastAsia" w:ascii="Times New Roman" w:hAnsi="Times New Roman" w:eastAsia="宋体" w:cs="Times New Roman"/>
          <w:spacing w:val="0"/>
          <w:lang w:val="en-US" w:eastAsia="zh-CN"/>
        </w:rPr>
        <w:t>及在产业链所处流程环节，</w:t>
      </w:r>
      <w:r>
        <w:rPr>
          <w:rFonts w:hint="eastAsia" w:cs="Times New Roman"/>
          <w:spacing w:val="0"/>
          <w:lang w:val="en-US" w:eastAsia="zh-CN"/>
        </w:rPr>
        <w:t>界定</w:t>
      </w:r>
      <w:r>
        <w:rPr>
          <w:rFonts w:hint="eastAsia" w:ascii="Times New Roman" w:hAnsi="Times New Roman" w:eastAsia="宋体" w:cs="Times New Roman"/>
          <w:spacing w:val="0"/>
          <w:lang w:val="en-US" w:eastAsia="zh-CN"/>
        </w:rPr>
        <w:t>管理</w:t>
      </w:r>
      <w:r>
        <w:rPr>
          <w:rFonts w:hint="eastAsia" w:cs="Times New Roman"/>
          <w:spacing w:val="0"/>
          <w:lang w:val="en-US" w:eastAsia="zh-CN"/>
        </w:rPr>
        <w:t>和应用</w:t>
      </w:r>
      <w:r>
        <w:rPr>
          <w:rFonts w:hint="eastAsia" w:ascii="Times New Roman" w:hAnsi="Times New Roman" w:eastAsia="宋体" w:cs="Times New Roman"/>
          <w:spacing w:val="0"/>
          <w:lang w:val="en-US" w:eastAsia="zh-CN"/>
        </w:rPr>
        <w:t>的数据范围；</w:t>
      </w:r>
    </w:p>
    <w:p w14:paraId="14C4DCDF">
      <w:pPr>
        <w:keepNext w:val="0"/>
        <w:keepLines w:val="0"/>
        <w:pageBreakBefore w:val="0"/>
        <w:numPr>
          <w:ilvl w:val="0"/>
          <w:numId w:val="6"/>
        </w:numPr>
        <w:tabs>
          <w:tab w:val="clear" w:pos="780"/>
        </w:tabs>
        <w:kinsoku/>
        <w:wordWrap/>
        <w:overflowPunct/>
        <w:topLinePunct w:val="0"/>
        <w:bidi w:val="0"/>
        <w:adjustRightInd/>
        <w:snapToGrid/>
        <w:spacing w:line="360" w:lineRule="auto"/>
        <w:textAlignment w:val="auto"/>
        <w:rPr>
          <w:rFonts w:hint="eastAsia" w:ascii="Times New Roman" w:hAnsi="Times New Roman" w:eastAsia="宋体" w:cs="Times New Roman"/>
          <w:spacing w:val="0"/>
          <w:lang w:val="en-US" w:eastAsia="zh-CN"/>
        </w:rPr>
      </w:pPr>
      <w:r>
        <w:rPr>
          <w:rFonts w:hint="eastAsia" w:ascii="Times New Roman" w:hAnsi="Times New Roman" w:eastAsia="宋体" w:cs="Times New Roman"/>
          <w:spacing w:val="0"/>
          <w:lang w:val="en-US" w:eastAsia="zh-CN"/>
        </w:rPr>
        <w:t>细化业务分类：企业可结合管理模式、业务流程、</w:t>
      </w:r>
      <w:r>
        <w:rPr>
          <w:rFonts w:hint="eastAsia" w:cs="Times New Roman"/>
          <w:spacing w:val="0"/>
          <w:lang w:val="en-US" w:eastAsia="zh-CN"/>
        </w:rPr>
        <w:t>应用场景</w:t>
      </w:r>
      <w:r>
        <w:rPr>
          <w:rFonts w:hint="eastAsia" w:ascii="Times New Roman" w:hAnsi="Times New Roman" w:eastAsia="宋体" w:cs="Times New Roman"/>
          <w:spacing w:val="0"/>
          <w:lang w:val="en-US" w:eastAsia="zh-CN"/>
        </w:rPr>
        <w:t>等</w:t>
      </w:r>
      <w:r>
        <w:rPr>
          <w:rFonts w:hint="eastAsia" w:cs="Times New Roman"/>
          <w:spacing w:val="0"/>
          <w:lang w:val="en-US" w:eastAsia="zh-CN"/>
        </w:rPr>
        <w:t>要素</w:t>
      </w:r>
      <w:r>
        <w:rPr>
          <w:rFonts w:hint="eastAsia" w:ascii="Times New Roman" w:hAnsi="Times New Roman" w:eastAsia="宋体" w:cs="Times New Roman"/>
          <w:spacing w:val="0"/>
          <w:lang w:val="en-US" w:eastAsia="zh-CN"/>
        </w:rPr>
        <w:t>细化业务条线；</w:t>
      </w:r>
    </w:p>
    <w:p w14:paraId="5587431F">
      <w:pPr>
        <w:keepNext w:val="0"/>
        <w:keepLines w:val="0"/>
        <w:pageBreakBefore w:val="0"/>
        <w:numPr>
          <w:ilvl w:val="0"/>
          <w:numId w:val="6"/>
        </w:numPr>
        <w:tabs>
          <w:tab w:val="clear" w:pos="780"/>
        </w:tabs>
        <w:kinsoku/>
        <w:wordWrap/>
        <w:overflowPunct/>
        <w:topLinePunct w:val="0"/>
        <w:bidi w:val="0"/>
        <w:adjustRightInd/>
        <w:snapToGrid/>
        <w:spacing w:line="360" w:lineRule="auto"/>
        <w:textAlignment w:val="auto"/>
        <w:rPr>
          <w:rFonts w:hint="eastAsia" w:ascii="Times New Roman" w:hAnsi="Times New Roman" w:eastAsia="宋体" w:cs="Times New Roman"/>
          <w:spacing w:val="0"/>
          <w:lang w:val="en-US" w:eastAsia="zh-CN"/>
        </w:rPr>
      </w:pPr>
      <w:r>
        <w:rPr>
          <w:rFonts w:hint="eastAsia" w:cs="Times New Roman"/>
          <w:spacing w:val="0"/>
          <w:lang w:val="en-US" w:eastAsia="zh-CN"/>
        </w:rPr>
        <w:t>选择</w:t>
      </w:r>
      <w:r>
        <w:rPr>
          <w:rFonts w:hint="eastAsia" w:ascii="Times New Roman" w:hAnsi="Times New Roman" w:eastAsia="宋体" w:cs="Times New Roman"/>
          <w:spacing w:val="0"/>
          <w:lang w:val="en-US" w:eastAsia="zh-CN"/>
        </w:rPr>
        <w:t>业务属性：</w:t>
      </w:r>
      <w:r>
        <w:rPr>
          <w:rFonts w:hint="eastAsia" w:cs="Times New Roman"/>
          <w:spacing w:val="0"/>
          <w:lang w:val="en-US" w:eastAsia="zh-CN"/>
        </w:rPr>
        <w:t>企业可</w:t>
      </w:r>
      <w:r>
        <w:rPr>
          <w:rFonts w:hint="eastAsia" w:ascii="Times New Roman" w:hAnsi="Times New Roman" w:eastAsia="宋体" w:cs="Times New Roman"/>
          <w:spacing w:val="0"/>
          <w:lang w:val="en-US" w:eastAsia="zh-CN"/>
        </w:rPr>
        <w:t>选取适配的业务属性，对工业数据精准细化分类；</w:t>
      </w:r>
    </w:p>
    <w:p w14:paraId="67F0690D">
      <w:pPr>
        <w:keepNext w:val="0"/>
        <w:keepLines w:val="0"/>
        <w:pageBreakBefore w:val="0"/>
        <w:numPr>
          <w:ilvl w:val="0"/>
          <w:numId w:val="6"/>
        </w:numPr>
        <w:tabs>
          <w:tab w:val="clear" w:pos="780"/>
        </w:tabs>
        <w:kinsoku/>
        <w:wordWrap/>
        <w:overflowPunct/>
        <w:topLinePunct w:val="0"/>
        <w:bidi w:val="0"/>
        <w:adjustRightInd/>
        <w:snapToGrid/>
        <w:spacing w:line="360" w:lineRule="auto"/>
        <w:textAlignment w:val="auto"/>
        <w:rPr>
          <w:rFonts w:hint="eastAsia" w:ascii="Times New Roman" w:hAnsi="Times New Roman" w:eastAsia="宋体" w:cs="Times New Roman"/>
          <w:spacing w:val="0"/>
          <w:lang w:val="en-US" w:eastAsia="zh-CN"/>
        </w:rPr>
      </w:pPr>
      <w:r>
        <w:rPr>
          <w:rFonts w:hint="eastAsia" w:ascii="Times New Roman" w:hAnsi="Times New Roman" w:eastAsia="宋体" w:cs="Times New Roman"/>
          <w:spacing w:val="0"/>
          <w:lang w:val="en-US" w:eastAsia="zh-CN"/>
        </w:rPr>
        <w:t>确定分类规则：</w:t>
      </w:r>
      <w:r>
        <w:rPr>
          <w:rFonts w:hint="eastAsia" w:cs="Times New Roman"/>
          <w:spacing w:val="0"/>
          <w:lang w:val="en-US" w:eastAsia="zh-CN"/>
        </w:rPr>
        <w:t>参考数据分类框架，</w:t>
      </w:r>
      <w:r>
        <w:rPr>
          <w:rFonts w:hint="eastAsia" w:ascii="Times New Roman" w:hAnsi="Times New Roman" w:eastAsia="宋体" w:cs="Times New Roman"/>
          <w:spacing w:val="0"/>
          <w:lang w:val="en-US" w:eastAsia="zh-CN"/>
        </w:rPr>
        <w:t>梳理分析</w:t>
      </w:r>
      <w:r>
        <w:rPr>
          <w:rFonts w:hint="eastAsia" w:cs="Times New Roman"/>
          <w:spacing w:val="0"/>
          <w:lang w:val="en-US" w:eastAsia="zh-CN"/>
        </w:rPr>
        <w:t>数据范围和</w:t>
      </w:r>
      <w:r>
        <w:rPr>
          <w:rFonts w:hint="eastAsia" w:ascii="Times New Roman" w:hAnsi="Times New Roman" w:eastAsia="宋体" w:cs="Times New Roman"/>
          <w:spacing w:val="0"/>
          <w:lang w:val="en-US" w:eastAsia="zh-CN"/>
        </w:rPr>
        <w:t>业务</w:t>
      </w:r>
      <w:r>
        <w:rPr>
          <w:rFonts w:hint="eastAsia" w:cs="Times New Roman"/>
          <w:spacing w:val="0"/>
          <w:lang w:val="en-US" w:eastAsia="zh-CN"/>
        </w:rPr>
        <w:t>条线</w:t>
      </w:r>
      <w:r>
        <w:rPr>
          <w:rFonts w:hint="eastAsia" w:ascii="Times New Roman" w:hAnsi="Times New Roman" w:eastAsia="宋体" w:cs="Times New Roman"/>
          <w:spacing w:val="0"/>
          <w:lang w:val="en-US" w:eastAsia="zh-CN"/>
        </w:rPr>
        <w:t>，</w:t>
      </w:r>
      <w:r>
        <w:rPr>
          <w:rFonts w:hint="eastAsia" w:ascii="宋体" w:hAnsi="宋体" w:eastAsia="宋体" w:cs="Times New Roman"/>
          <w:spacing w:val="0"/>
          <w:lang w:val="en-US" w:eastAsia="zh-CN"/>
        </w:rPr>
        <w:t>可采取“金属门类（轻金属/重金属</w:t>
      </w:r>
      <w:r>
        <w:rPr>
          <w:rFonts w:hint="eastAsia" w:ascii="宋体" w:hAnsi="宋体" w:cs="Times New Roman"/>
          <w:spacing w:val="0"/>
          <w:lang w:val="en-US" w:eastAsia="zh-CN"/>
        </w:rPr>
        <w:t>/贵金属/稀有金属</w:t>
      </w:r>
      <w:r>
        <w:rPr>
          <w:rFonts w:hint="eastAsia" w:ascii="宋体" w:hAnsi="宋体" w:eastAsia="宋体" w:cs="Times New Roman"/>
          <w:spacing w:val="0"/>
          <w:lang w:val="en-US" w:eastAsia="zh-CN"/>
        </w:rPr>
        <w:t>）→流程</w:t>
      </w:r>
      <w:r>
        <w:rPr>
          <w:rFonts w:hint="eastAsia" w:ascii="宋体" w:hAnsi="宋体" w:cs="Times New Roman"/>
          <w:spacing w:val="0"/>
          <w:lang w:val="en-US" w:eastAsia="zh-CN"/>
        </w:rPr>
        <w:t>环节</w:t>
      </w:r>
      <w:r>
        <w:rPr>
          <w:rFonts w:hint="eastAsia" w:ascii="宋体" w:hAnsi="宋体" w:eastAsia="宋体" w:cs="Times New Roman"/>
          <w:spacing w:val="0"/>
          <w:lang w:val="en-US" w:eastAsia="zh-CN"/>
        </w:rPr>
        <w:t>（采选/</w:t>
      </w:r>
      <w:r>
        <w:rPr>
          <w:rFonts w:hint="eastAsia" w:ascii="宋体" w:hAnsi="宋体" w:cs="Times New Roman"/>
          <w:spacing w:val="0"/>
          <w:lang w:val="en-US" w:eastAsia="zh-CN"/>
        </w:rPr>
        <w:t>冶炼</w:t>
      </w:r>
      <w:r>
        <w:rPr>
          <w:rFonts w:hint="eastAsia" w:ascii="宋体" w:hAnsi="宋体" w:eastAsia="宋体" w:cs="Times New Roman"/>
          <w:spacing w:val="0"/>
          <w:lang w:val="en-US" w:eastAsia="zh-CN"/>
        </w:rPr>
        <w:t>/</w:t>
      </w:r>
      <w:r>
        <w:rPr>
          <w:rFonts w:hint="eastAsia" w:ascii="宋体" w:hAnsi="宋体" w:cs="Times New Roman"/>
          <w:spacing w:val="0"/>
          <w:lang w:val="en-US" w:eastAsia="zh-CN"/>
        </w:rPr>
        <w:t>加工</w:t>
      </w:r>
      <w:r>
        <w:rPr>
          <w:rFonts w:hint="eastAsia" w:ascii="宋体" w:hAnsi="宋体" w:eastAsia="宋体" w:cs="Times New Roman"/>
          <w:spacing w:val="0"/>
          <w:lang w:val="en-US" w:eastAsia="zh-CN"/>
        </w:rPr>
        <w:t>）→业务场景（研发设计/生产制造/经营管理/</w:t>
      </w:r>
      <w:r>
        <w:rPr>
          <w:rFonts w:hint="eastAsia" w:ascii="宋体" w:hAnsi="宋体" w:cs="Times New Roman"/>
          <w:spacing w:val="0"/>
          <w:lang w:val="en-US" w:eastAsia="zh-CN"/>
        </w:rPr>
        <w:t>特种应用等</w:t>
      </w:r>
      <w:r>
        <w:rPr>
          <w:rFonts w:hint="eastAsia" w:ascii="宋体" w:hAnsi="宋体" w:eastAsia="宋体" w:cs="Times New Roman"/>
          <w:spacing w:val="0"/>
          <w:lang w:val="en-US" w:eastAsia="zh-CN"/>
        </w:rPr>
        <w:t>）→对象集合（人</w:t>
      </w:r>
      <w:r>
        <w:rPr>
          <w:rFonts w:hint="eastAsia" w:ascii="宋体" w:hAnsi="宋体" w:cs="Times New Roman"/>
          <w:spacing w:val="0"/>
          <w:lang w:val="en-US" w:eastAsia="zh-CN"/>
        </w:rPr>
        <w:t>/</w:t>
      </w:r>
      <w:r>
        <w:rPr>
          <w:rFonts w:hint="eastAsia" w:ascii="宋体" w:hAnsi="宋体" w:eastAsia="宋体" w:cs="Times New Roman"/>
          <w:spacing w:val="0"/>
          <w:lang w:val="en-US" w:eastAsia="zh-CN"/>
        </w:rPr>
        <w:t>机</w:t>
      </w:r>
      <w:r>
        <w:rPr>
          <w:rFonts w:hint="eastAsia" w:ascii="宋体" w:hAnsi="宋体" w:cs="Times New Roman"/>
          <w:spacing w:val="0"/>
          <w:lang w:val="en-US" w:eastAsia="zh-CN"/>
        </w:rPr>
        <w:t>/料/</w:t>
      </w:r>
      <w:r>
        <w:rPr>
          <w:rFonts w:hint="eastAsia" w:ascii="宋体" w:hAnsi="宋体" w:eastAsia="宋体" w:cs="Times New Roman"/>
          <w:spacing w:val="0"/>
          <w:lang w:val="en-US" w:eastAsia="zh-CN"/>
        </w:rPr>
        <w:t>法</w:t>
      </w:r>
      <w:r>
        <w:rPr>
          <w:rFonts w:hint="eastAsia" w:ascii="宋体" w:hAnsi="宋体" w:cs="Times New Roman"/>
          <w:spacing w:val="0"/>
          <w:lang w:val="en-US" w:eastAsia="zh-CN"/>
        </w:rPr>
        <w:t>/</w:t>
      </w:r>
      <w:r>
        <w:rPr>
          <w:rFonts w:hint="eastAsia" w:ascii="宋体" w:hAnsi="宋体" w:eastAsia="宋体" w:cs="Times New Roman"/>
          <w:spacing w:val="0"/>
          <w:lang w:val="en-US" w:eastAsia="zh-CN"/>
        </w:rPr>
        <w:t>环</w:t>
      </w:r>
      <w:r>
        <w:rPr>
          <w:rFonts w:hint="eastAsia" w:ascii="宋体" w:hAnsi="宋体" w:cs="Times New Roman"/>
          <w:spacing w:val="0"/>
          <w:lang w:val="en-US" w:eastAsia="zh-CN"/>
        </w:rPr>
        <w:t>/</w:t>
      </w:r>
      <w:r>
        <w:rPr>
          <w:rFonts w:hint="eastAsia" w:ascii="宋体" w:hAnsi="宋体" w:eastAsia="宋体" w:cs="Times New Roman"/>
          <w:spacing w:val="0"/>
          <w:lang w:val="en-US" w:eastAsia="zh-CN"/>
        </w:rPr>
        <w:t>测）→属性集合（产能/品位/能耗等）”</w:t>
      </w:r>
      <w:r>
        <w:rPr>
          <w:rFonts w:hint="eastAsia" w:ascii="宋体" w:hAnsi="宋体" w:cs="Times New Roman"/>
          <w:spacing w:val="0"/>
          <w:lang w:val="en-US" w:eastAsia="zh-CN"/>
        </w:rPr>
        <w:t>层级</w:t>
      </w:r>
      <w:r>
        <w:rPr>
          <w:rFonts w:hint="eastAsia" w:ascii="宋体" w:hAnsi="宋体" w:eastAsia="宋体" w:cs="Times New Roman"/>
          <w:spacing w:val="0"/>
          <w:lang w:val="en-US" w:eastAsia="zh-CN"/>
        </w:rPr>
        <w:t>方式</w:t>
      </w:r>
      <w:r>
        <w:rPr>
          <w:rFonts w:hint="eastAsia" w:ascii="宋体" w:hAnsi="宋体" w:cs="Times New Roman"/>
          <w:spacing w:val="0"/>
          <w:lang w:val="en-US" w:eastAsia="zh-CN"/>
        </w:rPr>
        <w:t>制定分类</w:t>
      </w:r>
      <w:r>
        <w:rPr>
          <w:rFonts w:hint="eastAsia" w:ascii="宋体" w:hAnsi="宋体" w:eastAsia="宋体" w:cs="Times New Roman"/>
          <w:spacing w:val="0"/>
          <w:lang w:val="en-US" w:eastAsia="zh-CN"/>
        </w:rPr>
        <w:t>规则，</w:t>
      </w:r>
      <w:r>
        <w:rPr>
          <w:rFonts w:hint="eastAsia" w:ascii="宋体" w:hAnsi="宋体" w:cs="Times New Roman"/>
          <w:spacing w:val="0"/>
          <w:lang w:val="en-US" w:eastAsia="zh-CN"/>
        </w:rPr>
        <w:t>宜</w:t>
      </w:r>
      <w:r>
        <w:rPr>
          <w:rFonts w:hint="eastAsia" w:ascii="宋体" w:hAnsi="宋体" w:eastAsia="宋体" w:cs="Times New Roman"/>
          <w:spacing w:val="0"/>
          <w:lang w:val="en-US" w:eastAsia="zh-CN"/>
        </w:rPr>
        <w:t>归并主题相近数据子类，优化分类结果。</w:t>
      </w:r>
    </w:p>
    <w:p w14:paraId="12790E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915" w:leftChars="350" w:hanging="180" w:hangingChars="100"/>
        <w:textAlignment w:val="auto"/>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pP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注：</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以</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铜</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冶炼</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企业</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熔炼配料为例，</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数据项为“</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熔炼配料数据</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”，对应</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数据类别可标识为“</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重金属-铜</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冶炼-生产制造-工艺参数”</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；再如，铝土矿采出量数据，可标识为“轻金属-铝土矿采选-生产制造-产量数据”；钛铸锭库存数据，可标识为</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稀有金属-钛加工-经营管理-库存数据</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等</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w:t>
      </w:r>
    </w:p>
    <w:p w14:paraId="05B74630">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9" w:name="_Toc25799"/>
      <w:r>
        <w:rPr>
          <w:rFonts w:hint="eastAsia" w:cs="Times New Roman"/>
          <w:b w:val="0"/>
          <w:bCs/>
          <w:lang w:val="en-US" w:eastAsia="zh-CN"/>
        </w:rPr>
        <w:t>6  数据分级规则</w:t>
      </w:r>
      <w:bookmarkEnd w:id="9"/>
    </w:p>
    <w:p w14:paraId="1108DB8F">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eastAsia" w:ascii="黑体" w:hAnsi="黑体" w:cs="黑体"/>
          <w:b w:val="0"/>
          <w:bCs w:val="0"/>
          <w:lang w:val="en-US" w:eastAsia="zh-CN"/>
        </w:rPr>
      </w:pPr>
      <w:bookmarkStart w:id="10" w:name="_Toc22662"/>
      <w:r>
        <w:rPr>
          <w:rFonts w:hint="eastAsia" w:ascii="黑体" w:hAnsi="黑体" w:cs="黑体"/>
          <w:b w:val="0"/>
          <w:bCs w:val="0"/>
          <w:lang w:val="en-US" w:eastAsia="zh-CN"/>
        </w:rPr>
        <w:t>6.1 数据分级框架</w:t>
      </w:r>
      <w:bookmarkEnd w:id="10"/>
    </w:p>
    <w:p w14:paraId="1B772DD9">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Times New Roman"/>
          <w:lang w:val="en-US" w:eastAsia="zh-CN"/>
        </w:rPr>
      </w:pPr>
      <w:r>
        <w:rPr>
          <w:rFonts w:hint="eastAsia" w:ascii="宋体" w:hAnsi="宋体" w:eastAsia="宋体" w:cs="Times New Roman"/>
          <w:lang w:val="en-US" w:eastAsia="zh-CN"/>
        </w:rPr>
        <w:t>根据数据在国家安全、社会秩序、经济运行</w:t>
      </w:r>
      <w:r>
        <w:rPr>
          <w:rFonts w:hint="eastAsia" w:hAnsi="Times New Roman" w:cs="Times New Roman"/>
          <w:lang w:val="en-US" w:eastAsia="zh-CN"/>
        </w:rPr>
        <w:t>、</w:t>
      </w:r>
      <w:r>
        <w:rPr>
          <w:rFonts w:hint="eastAsia" w:ascii="宋体" w:hAnsi="Times New Roman" w:eastAsia="宋体" w:cs="Times New Roman"/>
          <w:lang w:val="en-US" w:eastAsia="zh-CN"/>
        </w:rPr>
        <w:t>行业发展</w:t>
      </w:r>
      <w:r>
        <w:rPr>
          <w:rFonts w:hint="eastAsia" w:hAnsi="Times New Roman" w:cs="Times New Roman"/>
          <w:lang w:val="en-US" w:eastAsia="zh-CN"/>
        </w:rPr>
        <w:t>和工业生产中</w:t>
      </w:r>
      <w:r>
        <w:rPr>
          <w:rFonts w:hint="eastAsia" w:ascii="宋体" w:hAnsi="宋体" w:eastAsia="宋体" w:cs="Times New Roman"/>
          <w:lang w:val="en-US" w:eastAsia="zh-CN"/>
        </w:rPr>
        <w:t>的重要程度，以及一旦遭到泄露、篡改、损毁或者非法获取、非法使用、非法共享造成的危害程度，将数据从高到低分为核心数据、重要数据、一般数据三个级别。</w:t>
      </w:r>
    </w:p>
    <w:p w14:paraId="704F3FFA">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eastAsia" w:ascii="黑体" w:hAnsi="黑体" w:cs="黑体"/>
          <w:b w:val="0"/>
          <w:bCs w:val="0"/>
          <w:lang w:val="en-US" w:eastAsia="zh-CN"/>
        </w:rPr>
      </w:pPr>
      <w:bookmarkStart w:id="11" w:name="_Toc6695"/>
      <w:r>
        <w:rPr>
          <w:rFonts w:hint="eastAsia" w:ascii="黑体" w:hAnsi="黑体" w:cs="黑体"/>
          <w:b w:val="0"/>
          <w:bCs w:val="0"/>
          <w:lang w:val="en-US" w:eastAsia="zh-CN"/>
        </w:rPr>
        <w:t>6.2 数据分级方法</w:t>
      </w:r>
      <w:bookmarkEnd w:id="11"/>
    </w:p>
    <w:p w14:paraId="391BE2D5">
      <w:pPr>
        <w:pStyle w:val="30"/>
        <w:keepNext w:val="0"/>
        <w:keepLines w:val="0"/>
        <w:pageBreakBefore w:val="0"/>
        <w:kinsoku/>
        <w:wordWrap/>
        <w:overflowPunct/>
        <w:topLinePunct w:val="0"/>
        <w:bidi w:val="0"/>
        <w:adjustRightInd/>
        <w:snapToGrid/>
        <w:spacing w:line="360" w:lineRule="auto"/>
        <w:textAlignment w:val="auto"/>
        <w:rPr>
          <w:rFonts w:hint="default"/>
          <w:spacing w:val="0"/>
          <w:lang w:val="en-US" w:eastAsia="zh-CN"/>
        </w:rPr>
      </w:pPr>
      <w:r>
        <w:rPr>
          <w:rFonts w:hint="default"/>
          <w:spacing w:val="0"/>
          <w:lang w:val="en-US" w:eastAsia="zh-CN"/>
        </w:rPr>
        <w:t>有色金属行业采选、冶炼、加工企业可参考以下</w:t>
      </w:r>
      <w:r>
        <w:rPr>
          <w:rFonts w:hint="eastAsia"/>
          <w:spacing w:val="0"/>
          <w:lang w:val="en-US" w:eastAsia="zh-CN"/>
        </w:rPr>
        <w:t>方法</w:t>
      </w:r>
      <w:r>
        <w:rPr>
          <w:rFonts w:hint="default"/>
          <w:spacing w:val="0"/>
          <w:lang w:val="en-US" w:eastAsia="zh-CN"/>
        </w:rPr>
        <w:t>进行</w:t>
      </w:r>
      <w:r>
        <w:rPr>
          <w:rFonts w:hint="eastAsia"/>
          <w:spacing w:val="0"/>
          <w:lang w:val="en-US" w:eastAsia="zh-CN"/>
        </w:rPr>
        <w:t>数据分级：</w:t>
      </w:r>
    </w:p>
    <w:p w14:paraId="1BD1B060">
      <w:pPr>
        <w:keepNext w:val="0"/>
        <w:keepLines w:val="0"/>
        <w:pageBreakBefore w:val="0"/>
        <w:numPr>
          <w:ilvl w:val="0"/>
          <w:numId w:val="7"/>
        </w:numPr>
        <w:kinsoku/>
        <w:wordWrap/>
        <w:overflowPunct/>
        <w:topLinePunct w:val="0"/>
        <w:bidi w:val="0"/>
        <w:adjustRightInd/>
        <w:snapToGrid/>
        <w:spacing w:line="360" w:lineRule="auto"/>
        <w:ind w:left="780" w:leftChars="0" w:hanging="360" w:firstLineChars="0"/>
        <w:textAlignment w:val="auto"/>
        <w:rPr>
          <w:rFonts w:hint="eastAsia"/>
          <w:spacing w:val="0"/>
        </w:rPr>
      </w:pPr>
      <w:r>
        <w:rPr>
          <w:rFonts w:hint="default"/>
          <w:spacing w:val="0"/>
          <w:lang w:val="en-US" w:eastAsia="zh-CN"/>
        </w:rPr>
        <w:t>确定分级对象：明确待分级的数据对象，包括但不限于数据项、数据集、衍生数据等</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w:t>
      </w:r>
    </w:p>
    <w:p w14:paraId="4BA753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194" w:leftChars="397" w:hanging="360" w:hangingChars="200"/>
        <w:textAlignment w:val="auto"/>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pP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注：</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数据项通常表现为数据库表中的某一列字段，例如铜冶炼工艺参数中的电流密度</w:t>
      </w:r>
      <w:r>
        <w:rPr>
          <w:rStyle w:val="12"/>
          <w:rFonts w:hint="eastAsia" w:ascii="宋体" w:hAnsi="宋体" w:cs="宋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数据集是由多个数据记录组成的集合，如数据库表、数据文件或生产过程中的实时监测数据集合</w:t>
      </w:r>
      <w:r>
        <w:rPr>
          <w:rStyle w:val="12"/>
          <w:rFonts w:hint="eastAsia" w:ascii="黑体" w:hAnsi="黑体" w:eastAsia="黑体" w:cs="黑体"/>
          <w:b w:val="0"/>
          <w:bCs w:val="0"/>
          <w:i w:val="0"/>
          <w:iCs w:val="0"/>
          <w:caps w:val="0"/>
          <w:color w:val="060607"/>
          <w:spacing w:val="0"/>
          <w:kern w:val="0"/>
          <w:sz w:val="18"/>
          <w:szCs w:val="18"/>
          <w:shd w:val="clear" w:fill="FFFFFF"/>
          <w:vertAlign w:val="baseline"/>
          <w:lang w:val="en-US" w:eastAsia="zh-CN" w:bidi="ar"/>
        </w:rPr>
        <w:t>；</w:t>
      </w:r>
      <w:r>
        <w:rPr>
          <w:rStyle w:val="12"/>
          <w:rFonts w:hint="eastAsia" w:ascii="宋体" w:hAnsi="宋体" w:eastAsia="宋体" w:cs="宋体"/>
          <w:b w:val="0"/>
          <w:bCs w:val="0"/>
          <w:i w:val="0"/>
          <w:iCs w:val="0"/>
          <w:caps w:val="0"/>
          <w:color w:val="060607"/>
          <w:spacing w:val="0"/>
          <w:kern w:val="0"/>
          <w:sz w:val="18"/>
          <w:szCs w:val="18"/>
          <w:shd w:val="clear" w:fill="FFFFFF"/>
          <w:vertAlign w:val="baseline"/>
          <w:lang w:val="en-US" w:eastAsia="zh-CN" w:bidi="ar"/>
        </w:rPr>
        <w:t>衍生数据是指基于原始数据（包括数据项、数据集等）经过统计、关联、挖掘、聚合、去标识化等加工活动而产生的新数据。</w:t>
      </w:r>
    </w:p>
    <w:p w14:paraId="585E0711">
      <w:pPr>
        <w:keepNext w:val="0"/>
        <w:keepLines w:val="0"/>
        <w:pageBreakBefore w:val="0"/>
        <w:numPr>
          <w:ilvl w:val="0"/>
          <w:numId w:val="7"/>
        </w:numPr>
        <w:kinsoku/>
        <w:wordWrap/>
        <w:overflowPunct/>
        <w:topLinePunct w:val="0"/>
        <w:bidi w:val="0"/>
        <w:adjustRightInd/>
        <w:snapToGrid/>
        <w:spacing w:line="360" w:lineRule="auto"/>
        <w:ind w:left="780" w:leftChars="0" w:hanging="360" w:firstLineChars="0"/>
        <w:textAlignment w:val="auto"/>
        <w:rPr>
          <w:rFonts w:hint="eastAsia" w:ascii="宋体" w:hAnsi="宋体" w:eastAsia="宋体" w:cs="宋体"/>
          <w:spacing w:val="0"/>
        </w:rPr>
      </w:pPr>
      <w:r>
        <w:rPr>
          <w:rFonts w:hint="eastAsia" w:ascii="宋体" w:hAnsi="宋体" w:eastAsia="宋体" w:cs="宋体"/>
          <w:spacing w:val="0"/>
          <w:lang w:val="en-US" w:eastAsia="zh-CN"/>
        </w:rPr>
        <w:t>识别</w:t>
      </w:r>
      <w:r>
        <w:rPr>
          <w:rFonts w:hint="eastAsia" w:ascii="宋体" w:hAnsi="宋体" w:cs="宋体"/>
          <w:spacing w:val="0"/>
          <w:lang w:val="en-US" w:eastAsia="zh-CN"/>
        </w:rPr>
        <w:t>重要数据</w:t>
      </w:r>
      <w:r>
        <w:rPr>
          <w:rFonts w:hint="eastAsia" w:ascii="宋体" w:hAnsi="宋体" w:eastAsia="宋体" w:cs="宋体"/>
          <w:spacing w:val="0"/>
          <w:lang w:val="en-US" w:eastAsia="zh-CN"/>
        </w:rPr>
        <w:t>：结合有色金属行业的数据特点，</w:t>
      </w:r>
      <w:r>
        <w:rPr>
          <w:rFonts w:hint="eastAsia" w:ascii="宋体" w:hAnsi="宋体" w:cs="宋体"/>
          <w:spacing w:val="0"/>
          <w:lang w:val="en-US" w:eastAsia="zh-CN"/>
        </w:rPr>
        <w:t>按照6.3进行重要数据</w:t>
      </w:r>
      <w:r>
        <w:rPr>
          <w:rFonts w:hint="eastAsia" w:ascii="宋体" w:hAnsi="宋体" w:eastAsia="宋体" w:cs="宋体"/>
          <w:spacing w:val="0"/>
          <w:lang w:val="en-US" w:eastAsia="zh-CN"/>
        </w:rPr>
        <w:t>识别，分析数据在遭到</w:t>
      </w:r>
      <w:r>
        <w:rPr>
          <w:rFonts w:hint="eastAsia" w:ascii="宋体" w:hAnsi="宋体" w:eastAsia="宋体" w:cs="Times New Roman"/>
          <w:lang w:val="en-US" w:eastAsia="zh-CN"/>
        </w:rPr>
        <w:t>泄露、篡改、损毁或者非法获取、非法使用、非法共享</w:t>
      </w:r>
      <w:r>
        <w:rPr>
          <w:rFonts w:hint="eastAsia" w:ascii="宋体" w:hAnsi="宋体" w:cs="宋体"/>
          <w:spacing w:val="0"/>
          <w:lang w:val="en-US" w:eastAsia="zh-CN"/>
        </w:rPr>
        <w:t>，</w:t>
      </w:r>
      <w:r>
        <w:rPr>
          <w:rFonts w:hint="eastAsia" w:ascii="宋体" w:hAnsi="宋体" w:eastAsia="宋体" w:cs="宋体"/>
          <w:spacing w:val="0"/>
          <w:lang w:val="en-US" w:eastAsia="zh-CN"/>
        </w:rPr>
        <w:t>可能影响的对象（如国家安全、经济运行、社会秩序、</w:t>
      </w:r>
      <w:r>
        <w:rPr>
          <w:rFonts w:hint="eastAsia" w:ascii="宋体" w:hAnsi="宋体" w:cs="宋体"/>
          <w:spacing w:val="0"/>
          <w:lang w:val="en-US" w:eastAsia="zh-CN"/>
        </w:rPr>
        <w:t>行业发展、工业生产</w:t>
      </w:r>
      <w:r>
        <w:rPr>
          <w:rFonts w:hint="eastAsia" w:ascii="宋体" w:hAnsi="宋体" w:eastAsia="宋体" w:cs="宋体"/>
          <w:spacing w:val="0"/>
          <w:lang w:val="en-US" w:eastAsia="zh-CN"/>
        </w:rPr>
        <w:t>）及影响程度（特别严重危害、严重危害、一般危害）</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w:t>
      </w:r>
    </w:p>
    <w:p w14:paraId="1C284168">
      <w:pPr>
        <w:keepNext w:val="0"/>
        <w:keepLines w:val="0"/>
        <w:pageBreakBefore w:val="0"/>
        <w:numPr>
          <w:ilvl w:val="0"/>
          <w:numId w:val="7"/>
        </w:numPr>
        <w:kinsoku/>
        <w:wordWrap/>
        <w:overflowPunct/>
        <w:topLinePunct w:val="0"/>
        <w:bidi w:val="0"/>
        <w:adjustRightInd/>
        <w:snapToGrid/>
        <w:spacing w:line="360" w:lineRule="auto"/>
        <w:ind w:left="780" w:leftChars="0" w:hanging="360" w:firstLineChars="0"/>
        <w:textAlignment w:val="auto"/>
        <w:rPr>
          <w:rFonts w:hint="eastAsia" w:ascii="宋体" w:hAnsi="宋体" w:eastAsia="宋体" w:cs="宋体"/>
          <w:spacing w:val="0"/>
        </w:rPr>
      </w:pPr>
      <w:r>
        <w:rPr>
          <w:rFonts w:hint="eastAsia" w:ascii="宋体" w:hAnsi="宋体" w:eastAsia="宋体" w:cs="宋体"/>
          <w:spacing w:val="0"/>
          <w:lang w:val="en-US" w:eastAsia="zh-CN"/>
        </w:rPr>
        <w:t>综合确定级别：综合考虑数据的分级</w:t>
      </w:r>
      <w:r>
        <w:rPr>
          <w:rFonts w:hint="eastAsia" w:ascii="宋体" w:hAnsi="宋体" w:cs="宋体"/>
          <w:spacing w:val="0"/>
          <w:lang w:val="en-US" w:eastAsia="zh-CN"/>
        </w:rPr>
        <w:t>维度</w:t>
      </w:r>
      <w:r>
        <w:rPr>
          <w:rFonts w:hint="eastAsia" w:ascii="宋体" w:hAnsi="宋体" w:eastAsia="宋体" w:cs="宋体"/>
          <w:spacing w:val="0"/>
          <w:lang w:val="en-US" w:eastAsia="zh-CN"/>
        </w:rPr>
        <w:t>和影响</w:t>
      </w:r>
      <w:r>
        <w:rPr>
          <w:rFonts w:hint="eastAsia" w:ascii="宋体" w:hAnsi="宋体" w:cs="宋体"/>
          <w:spacing w:val="0"/>
          <w:lang w:val="en-US" w:eastAsia="zh-CN"/>
        </w:rPr>
        <w:t>程度</w:t>
      </w:r>
      <w:r>
        <w:rPr>
          <w:rFonts w:hint="eastAsia" w:ascii="宋体" w:hAnsi="宋体" w:eastAsia="宋体" w:cs="宋体"/>
          <w:spacing w:val="0"/>
          <w:lang w:val="en-US" w:eastAsia="zh-CN"/>
        </w:rPr>
        <w:t>，确定数据的级别。在确定级别时，如涉及多个要素、多个影响对象或影响程度</w:t>
      </w:r>
      <w:r>
        <w:rPr>
          <w:rFonts w:hint="eastAsia" w:ascii="宋体" w:hAnsi="宋体" w:cs="宋体"/>
          <w:spacing w:val="0"/>
          <w:lang w:val="en-US" w:eastAsia="zh-CN"/>
        </w:rPr>
        <w:t>，</w:t>
      </w:r>
      <w:r>
        <w:rPr>
          <w:rFonts w:hint="eastAsia" w:ascii="宋体" w:hAnsi="宋体" w:eastAsia="宋体" w:cs="宋体"/>
          <w:spacing w:val="0"/>
          <w:lang w:val="en-US" w:eastAsia="zh-CN"/>
        </w:rPr>
        <w:t>应遵循“就高从严”的原则。</w:t>
      </w:r>
    </w:p>
    <w:p w14:paraId="5BFFAE4C">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12" w:name="_Toc983"/>
      <w:r>
        <w:rPr>
          <w:rFonts w:hint="eastAsia" w:ascii="黑体" w:hAnsi="黑体" w:cs="黑体"/>
          <w:b w:val="0"/>
          <w:bCs w:val="0"/>
          <w:lang w:val="en-US" w:eastAsia="zh-CN"/>
        </w:rPr>
        <w:t>6.3 重要数据识别维度</w:t>
      </w:r>
      <w:bookmarkEnd w:id="12"/>
    </w:p>
    <w:p w14:paraId="0FF6F001">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eastAsia" w:ascii="黑体" w:hAnsi="黑体" w:cs="黑体"/>
          <w:b w:val="0"/>
          <w:bCs w:val="0"/>
          <w:lang w:val="en-US" w:eastAsia="zh-CN"/>
        </w:rPr>
      </w:pPr>
      <w:bookmarkStart w:id="13" w:name="_Toc27522"/>
      <w:r>
        <w:rPr>
          <w:rFonts w:hint="eastAsia" w:ascii="黑体" w:hAnsi="黑体" w:cs="黑体"/>
          <w:b w:val="0"/>
          <w:bCs w:val="0"/>
          <w:lang w:val="en-US" w:eastAsia="zh-CN"/>
        </w:rPr>
        <w:t>6.3.1 概述</w:t>
      </w:r>
      <w:bookmarkEnd w:id="13"/>
    </w:p>
    <w:p w14:paraId="06BFC05E">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Times New Roman"/>
          <w:lang w:val="en-US" w:eastAsia="zh-CN"/>
        </w:rPr>
      </w:pPr>
      <w:r>
        <w:rPr>
          <w:rFonts w:hint="eastAsia" w:ascii="宋体" w:hAnsi="宋体" w:eastAsia="宋体" w:cs="Times New Roman"/>
          <w:lang w:val="en-US" w:eastAsia="zh-CN"/>
        </w:rPr>
        <w:t>有色金属行业工业数据识别维度包括与国家秘密生成相关、与国家安全相关、与行业发展相关、与工业领域出口管制物项相关、与行业经济效益和产业保障相关、其他，按照数据与分级维度的相符性确定数据为核心数据、重要数据或一般数据。</w:t>
      </w:r>
    </w:p>
    <w:p w14:paraId="65780B63">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4" w:name="_Toc29949"/>
      <w:r>
        <w:rPr>
          <w:rFonts w:hint="eastAsia" w:ascii="黑体" w:hAnsi="黑体" w:cs="黑体"/>
          <w:b w:val="0"/>
          <w:bCs w:val="0"/>
          <w:lang w:val="en-US" w:eastAsia="zh-CN"/>
        </w:rPr>
        <w:t>6.3.2 与国家秘密生成相关</w:t>
      </w:r>
      <w:bookmarkEnd w:id="14"/>
    </w:p>
    <w:p w14:paraId="335CFA9F">
      <w:pPr>
        <w:pStyle w:val="30"/>
        <w:keepNext w:val="0"/>
        <w:keepLines w:val="0"/>
        <w:pageBreakBefore w:val="0"/>
        <w:kinsoku/>
        <w:wordWrap/>
        <w:overflowPunct/>
        <w:topLinePunct w:val="0"/>
        <w:bidi w:val="0"/>
        <w:adjustRightInd/>
        <w:snapToGrid/>
        <w:spacing w:line="360" w:lineRule="auto"/>
        <w:textAlignment w:val="auto"/>
        <w:rPr>
          <w:rFonts w:hint="eastAsia"/>
          <w:lang w:val="en-US" w:eastAsia="zh-CN"/>
        </w:rPr>
      </w:pPr>
      <w:r>
        <w:rPr>
          <w:rFonts w:hint="eastAsia"/>
          <w:lang w:val="en-US" w:eastAsia="zh-CN"/>
        </w:rPr>
        <w:t>有色金属行业与国家秘密相关的、或在生成国家秘密的过程中所使用分析的原始非密数据。</w:t>
      </w:r>
    </w:p>
    <w:p w14:paraId="3ACB98DC">
      <w:pPr>
        <w:pStyle w:val="30"/>
        <w:keepNext w:val="0"/>
        <w:keepLines w:val="0"/>
        <w:pageBreakBefore w:val="0"/>
        <w:widowControl/>
        <w:kinsoku/>
        <w:wordWrap/>
        <w:overflowPunct/>
        <w:topLinePunct w:val="0"/>
        <w:autoSpaceDE w:val="0"/>
        <w:autoSpaceDN w:val="0"/>
        <w:bidi w:val="0"/>
        <w:adjustRightInd/>
        <w:snapToGrid/>
        <w:spacing w:line="360" w:lineRule="auto"/>
        <w:ind w:left="839" w:leftChars="228" w:hanging="360" w:hangingChars="200"/>
        <w:textAlignment w:val="auto"/>
        <w:rPr>
          <w:rFonts w:hint="eastAsia"/>
          <w:lang w:val="en-US" w:eastAsia="zh-CN"/>
        </w:rPr>
      </w:pPr>
      <w:r>
        <w:rPr>
          <w:rFonts w:hint="eastAsia" w:ascii="黑体" w:hAnsi="黑体" w:eastAsia="黑体" w:cs="黑体"/>
          <w:sz w:val="18"/>
          <w:szCs w:val="18"/>
          <w:lang w:val="en-US" w:eastAsia="zh-CN"/>
        </w:rPr>
        <w:t>注：</w:t>
      </w:r>
      <w:r>
        <w:rPr>
          <w:rFonts w:hint="eastAsia" w:ascii="宋体" w:hAnsi="宋体" w:eastAsia="宋体" w:cs="宋体"/>
          <w:sz w:val="18"/>
          <w:szCs w:val="18"/>
          <w:lang w:val="en-US" w:eastAsia="zh-CN"/>
        </w:rPr>
        <w:t>与航空航天、</w:t>
      </w:r>
      <w:r>
        <w:rPr>
          <w:rFonts w:hint="eastAsia" w:cs="宋体"/>
          <w:sz w:val="18"/>
          <w:szCs w:val="18"/>
          <w:lang w:val="en-US" w:eastAsia="zh-CN"/>
        </w:rPr>
        <w:t>国防</w:t>
      </w:r>
      <w:r>
        <w:rPr>
          <w:rFonts w:hint="eastAsia" w:ascii="宋体" w:hAnsi="宋体" w:eastAsia="宋体" w:cs="宋体"/>
          <w:sz w:val="18"/>
          <w:szCs w:val="18"/>
          <w:lang w:val="en-US" w:eastAsia="zh-CN"/>
        </w:rPr>
        <w:t>军工</w:t>
      </w:r>
      <w:r>
        <w:rPr>
          <w:rFonts w:hint="eastAsia" w:cs="宋体"/>
          <w:sz w:val="18"/>
          <w:szCs w:val="18"/>
          <w:lang w:val="en-US" w:eastAsia="zh-CN"/>
        </w:rPr>
        <w:t>、</w:t>
      </w:r>
      <w:r>
        <w:rPr>
          <w:rFonts w:hint="eastAsia" w:ascii="宋体" w:hAnsi="宋体" w:eastAsia="宋体" w:cs="宋体"/>
          <w:sz w:val="18"/>
          <w:szCs w:val="18"/>
          <w:lang w:val="en-US" w:eastAsia="zh-CN"/>
        </w:rPr>
        <w:t>核工业、海洋工程</w:t>
      </w:r>
      <w:r>
        <w:rPr>
          <w:rFonts w:hint="eastAsia" w:cs="宋体"/>
          <w:sz w:val="18"/>
          <w:szCs w:val="18"/>
          <w:lang w:val="en-US" w:eastAsia="zh-CN"/>
        </w:rPr>
        <w:t>等特种领域相关的涉及国家秘密的</w:t>
      </w:r>
      <w:r>
        <w:rPr>
          <w:rFonts w:hint="eastAsia" w:ascii="宋体" w:hAnsi="宋体" w:eastAsia="宋体" w:cs="宋体"/>
          <w:sz w:val="18"/>
          <w:szCs w:val="18"/>
          <w:lang w:val="en-US" w:eastAsia="zh-CN"/>
        </w:rPr>
        <w:t>数据，适用《中华人民共和国保守国家秘密法》等法律、行政法规的规定，本文件不</w:t>
      </w:r>
      <w:r>
        <w:rPr>
          <w:rFonts w:hint="eastAsia" w:cs="宋体"/>
          <w:sz w:val="18"/>
          <w:szCs w:val="18"/>
          <w:lang w:val="en-US" w:eastAsia="zh-CN"/>
        </w:rPr>
        <w:t>涉及</w:t>
      </w:r>
      <w:r>
        <w:rPr>
          <w:rFonts w:hint="eastAsia" w:ascii="宋体" w:hAnsi="宋体" w:eastAsia="宋体" w:cs="宋体"/>
          <w:sz w:val="18"/>
          <w:szCs w:val="18"/>
          <w:lang w:val="en-US" w:eastAsia="zh-CN"/>
        </w:rPr>
        <w:t>此类</w:t>
      </w:r>
      <w:r>
        <w:rPr>
          <w:rFonts w:hint="eastAsia" w:cs="宋体"/>
          <w:sz w:val="18"/>
          <w:szCs w:val="18"/>
          <w:lang w:val="en-US" w:eastAsia="zh-CN"/>
        </w:rPr>
        <w:t>涉密</w:t>
      </w:r>
      <w:r>
        <w:rPr>
          <w:rFonts w:hint="eastAsia" w:ascii="宋体" w:hAnsi="宋体" w:eastAsia="宋体" w:cs="宋体"/>
          <w:sz w:val="18"/>
          <w:szCs w:val="18"/>
          <w:lang w:val="en-US" w:eastAsia="zh-CN"/>
        </w:rPr>
        <w:t>数据。</w:t>
      </w:r>
    </w:p>
    <w:p w14:paraId="34130F2E">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5" w:name="_Toc19207"/>
      <w:r>
        <w:rPr>
          <w:rFonts w:hint="eastAsia" w:ascii="黑体" w:hAnsi="黑体" w:cs="黑体"/>
          <w:b w:val="0"/>
          <w:bCs w:val="0"/>
          <w:lang w:val="en-US" w:eastAsia="zh-CN"/>
        </w:rPr>
        <w:t>6.3.3 与国家安全相关</w:t>
      </w:r>
      <w:bookmarkEnd w:id="15"/>
    </w:p>
    <w:p w14:paraId="454A16E7">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Times New Roman"/>
          <w:spacing w:val="0"/>
          <w:sz w:val="21"/>
          <w:lang w:val="en-US" w:eastAsia="zh-CN"/>
        </w:rPr>
      </w:pPr>
      <w:r>
        <w:rPr>
          <w:rFonts w:hint="eastAsia" w:cs="Times New Roman"/>
          <w:spacing w:val="0"/>
          <w:sz w:val="21"/>
          <w:lang w:val="en-US" w:eastAsia="zh-CN"/>
        </w:rPr>
        <w:t>工业</w:t>
      </w:r>
      <w:r>
        <w:rPr>
          <w:rFonts w:hint="eastAsia" w:ascii="宋体" w:hAnsi="宋体" w:eastAsia="宋体" w:cs="Times New Roman"/>
          <w:spacing w:val="0"/>
          <w:sz w:val="21"/>
          <w:lang w:val="en-US" w:eastAsia="zh-CN"/>
        </w:rPr>
        <w:t>数据</w:t>
      </w:r>
      <w:r>
        <w:rPr>
          <w:rFonts w:hint="eastAsia" w:cs="Times New Roman"/>
          <w:spacing w:val="0"/>
          <w:sz w:val="21"/>
          <w:lang w:val="en-US" w:eastAsia="zh-CN"/>
        </w:rPr>
        <w:t>一旦</w:t>
      </w:r>
      <w:r>
        <w:rPr>
          <w:rFonts w:hint="eastAsia" w:ascii="宋体" w:hAnsi="宋体" w:eastAsia="宋体" w:cs="宋体"/>
          <w:spacing w:val="0"/>
          <w:sz w:val="21"/>
          <w:lang w:val="en-US" w:eastAsia="zh-CN"/>
        </w:rPr>
        <w:t>遭到泄露、篡改、损毁或者非法获取、非法使用、非法共享</w:t>
      </w:r>
      <w:r>
        <w:rPr>
          <w:rFonts w:hint="eastAsia" w:ascii="宋体" w:hAnsi="宋体" w:eastAsia="宋体" w:cs="Times New Roman"/>
          <w:spacing w:val="0"/>
          <w:sz w:val="21"/>
          <w:lang w:val="en-US" w:eastAsia="zh-CN"/>
        </w:rPr>
        <w:t>，</w:t>
      </w:r>
      <w:r>
        <w:rPr>
          <w:rFonts w:hint="eastAsia" w:cs="Times New Roman"/>
          <w:spacing w:val="0"/>
          <w:sz w:val="21"/>
          <w:lang w:val="en-US" w:eastAsia="zh-CN"/>
        </w:rPr>
        <w:t>会</w:t>
      </w:r>
      <w:r>
        <w:rPr>
          <w:rFonts w:hint="eastAsia" w:ascii="宋体" w:hAnsi="宋体" w:eastAsia="宋体" w:cs="Times New Roman"/>
          <w:spacing w:val="0"/>
          <w:sz w:val="21"/>
          <w:lang w:val="en-US" w:eastAsia="zh-CN"/>
        </w:rPr>
        <w:t>对政治、国土、军事、经济、文化、社会、科技、生态、资源、海外利益、人工智能等国家安全相关领域造成严重影响的</w:t>
      </w:r>
      <w:r>
        <w:rPr>
          <w:rFonts w:hint="eastAsia" w:cs="Times New Roman"/>
          <w:spacing w:val="0"/>
          <w:sz w:val="21"/>
          <w:lang w:val="en-US" w:eastAsia="zh-CN"/>
        </w:rPr>
        <w:t>，</w:t>
      </w:r>
      <w:r>
        <w:rPr>
          <w:rFonts w:hint="eastAsia" w:ascii="宋体" w:hAnsi="宋体" w:eastAsia="宋体" w:cs="Times New Roman"/>
          <w:spacing w:val="0"/>
          <w:sz w:val="21"/>
          <w:lang w:val="en-US" w:eastAsia="zh-CN"/>
        </w:rPr>
        <w:t>属于重要数据，包括但不限于：</w:t>
      </w:r>
    </w:p>
    <w:p w14:paraId="1CC98129">
      <w:pPr>
        <w:keepNext w:val="0"/>
        <w:keepLines w:val="0"/>
        <w:pageBreakBefore w:val="0"/>
        <w:numPr>
          <w:ilvl w:val="0"/>
          <w:numId w:val="8"/>
        </w:numPr>
        <w:tabs>
          <w:tab w:val="clear" w:pos="780"/>
        </w:tabs>
        <w:kinsoku/>
        <w:wordWrap/>
        <w:overflowPunct/>
        <w:topLinePunct w:val="0"/>
        <w:bidi w:val="0"/>
        <w:adjustRightInd/>
        <w:snapToGrid/>
        <w:spacing w:line="360" w:lineRule="auto"/>
        <w:ind w:hanging="363"/>
        <w:textAlignment w:val="auto"/>
        <w:rPr>
          <w:spacing w:val="0"/>
          <w:sz w:val="21"/>
        </w:rPr>
      </w:pPr>
      <w:r>
        <w:rPr>
          <w:rFonts w:hint="eastAsia"/>
          <w:spacing w:val="0"/>
          <w:sz w:val="21"/>
          <w:lang w:val="en-US" w:eastAsia="zh-CN"/>
        </w:rPr>
        <w:t>与国家经济安全相关：经汇聚、分析后能够推算未公开的国家经济运行情况的相关行业数据，如未公开的重点有色金属企业的进出口量及流向数据</w:t>
      </w:r>
      <w:r>
        <w:rPr>
          <w:rFonts w:hint="eastAsia" w:ascii="Helvetica" w:hAnsi="Helvetica" w:eastAsia="宋体" w:cs="Helvetica"/>
          <w:i w:val="0"/>
          <w:iCs w:val="0"/>
          <w:caps w:val="0"/>
          <w:color w:val="060607"/>
          <w:spacing w:val="0"/>
          <w:sz w:val="21"/>
          <w:szCs w:val="21"/>
          <w:shd w:val="clear" w:fill="FFFFFF"/>
          <w:lang w:val="en-US" w:eastAsia="zh-CN"/>
        </w:rPr>
        <w:t>；</w:t>
      </w:r>
    </w:p>
    <w:p w14:paraId="6A461BF0">
      <w:pPr>
        <w:keepNext w:val="0"/>
        <w:keepLines w:val="0"/>
        <w:pageBreakBefore w:val="0"/>
        <w:numPr>
          <w:ilvl w:val="0"/>
          <w:numId w:val="8"/>
        </w:numPr>
        <w:tabs>
          <w:tab w:val="clear" w:pos="780"/>
        </w:tabs>
        <w:kinsoku/>
        <w:wordWrap/>
        <w:overflowPunct/>
        <w:topLinePunct w:val="0"/>
        <w:bidi w:val="0"/>
        <w:adjustRightInd/>
        <w:snapToGrid/>
        <w:spacing w:line="360" w:lineRule="auto"/>
        <w:ind w:hanging="363"/>
        <w:textAlignment w:val="auto"/>
        <w:rPr>
          <w:spacing w:val="0"/>
          <w:sz w:val="21"/>
        </w:rPr>
      </w:pPr>
      <w:r>
        <w:rPr>
          <w:rFonts w:hint="eastAsia"/>
          <w:spacing w:val="0"/>
          <w:sz w:val="21"/>
          <w:lang w:val="en-US" w:eastAsia="zh-CN"/>
        </w:rPr>
        <w:t>与国家科技安全相关，包括但不限于：</w:t>
      </w:r>
    </w:p>
    <w:p w14:paraId="2DAC1F6E">
      <w:pPr>
        <w:pStyle w:val="30"/>
        <w:keepNext w:val="0"/>
        <w:keepLines w:val="0"/>
        <w:pageBreakBefore w:val="0"/>
        <w:numPr>
          <w:ilvl w:val="0"/>
          <w:numId w:val="9"/>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与国家安全直接相关的有色金属行业国家科技计划（含国家重大专项、重点研发计划）项目在规划和实施过程中产生的，涉及国家安全和社会发展利益的数据，国家专项范围相关可行性研究报告、建设方案、科研数据、科技成果、产品技术研发路线以及相关知识产权数据</w:t>
      </w:r>
      <w:r>
        <w:rPr>
          <w:rFonts w:hint="eastAsia"/>
          <w:spacing w:val="0"/>
          <w:sz w:val="21"/>
          <w:lang w:eastAsia="zh-CN"/>
        </w:rPr>
        <w:t>；</w:t>
      </w:r>
    </w:p>
    <w:p w14:paraId="7EC762F1">
      <w:pPr>
        <w:pStyle w:val="30"/>
        <w:keepNext w:val="0"/>
        <w:keepLines w:val="0"/>
        <w:pageBreakBefore w:val="0"/>
        <w:numPr>
          <w:ilvl w:val="0"/>
          <w:numId w:val="9"/>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eastAsia="zh-CN"/>
        </w:rPr>
        <w:t>《</w:t>
      </w:r>
      <w:r>
        <w:rPr>
          <w:rFonts w:hint="eastAsia"/>
          <w:spacing w:val="0"/>
          <w:sz w:val="21"/>
          <w:lang w:val="en-US" w:eastAsia="zh-CN"/>
        </w:rPr>
        <w:t>中国禁止出口限购出口技术目录</w:t>
      </w:r>
      <w:r>
        <w:rPr>
          <w:rFonts w:hint="eastAsia"/>
          <w:spacing w:val="0"/>
          <w:sz w:val="21"/>
          <w:lang w:eastAsia="zh-CN"/>
        </w:rPr>
        <w:t>》</w:t>
      </w:r>
      <w:r>
        <w:rPr>
          <w:rFonts w:hint="eastAsia"/>
          <w:spacing w:val="0"/>
          <w:sz w:val="21"/>
          <w:lang w:val="en-US" w:eastAsia="zh-CN"/>
        </w:rPr>
        <w:t>中涉及的我国有色金属行业特有技术数据，如特有配方、制件工艺、生产工艺、编码和加密技术、制备技术等；</w:t>
      </w:r>
    </w:p>
    <w:p w14:paraId="10DEBBB6">
      <w:pPr>
        <w:keepNext w:val="0"/>
        <w:keepLines w:val="0"/>
        <w:pageBreakBefore w:val="0"/>
        <w:numPr>
          <w:ilvl w:val="0"/>
          <w:numId w:val="8"/>
        </w:numPr>
        <w:tabs>
          <w:tab w:val="clear" w:pos="780"/>
        </w:tabs>
        <w:kinsoku/>
        <w:wordWrap/>
        <w:overflowPunct/>
        <w:topLinePunct w:val="0"/>
        <w:bidi w:val="0"/>
        <w:adjustRightInd/>
        <w:snapToGrid/>
        <w:spacing w:line="360" w:lineRule="auto"/>
        <w:ind w:hanging="363"/>
        <w:textAlignment w:val="auto"/>
        <w:rPr>
          <w:spacing w:val="0"/>
          <w:sz w:val="21"/>
        </w:rPr>
      </w:pPr>
      <w:r>
        <w:rPr>
          <w:rFonts w:hint="eastAsia" w:ascii="Times New Roman" w:hAnsi="Times New Roman" w:eastAsia="宋体" w:cs="Times New Roman"/>
          <w:spacing w:val="0"/>
          <w:sz w:val="21"/>
          <w:lang w:val="en-US" w:eastAsia="zh-CN"/>
        </w:rPr>
        <w:t>与国家</w:t>
      </w:r>
      <w:r>
        <w:rPr>
          <w:rFonts w:hint="eastAsia" w:cs="Times New Roman"/>
          <w:spacing w:val="0"/>
          <w:sz w:val="21"/>
          <w:lang w:val="en-US" w:eastAsia="zh-CN"/>
        </w:rPr>
        <w:t>战略</w:t>
      </w:r>
      <w:r>
        <w:rPr>
          <w:rFonts w:hint="eastAsia" w:ascii="Times New Roman" w:hAnsi="Times New Roman" w:eastAsia="宋体" w:cs="Times New Roman"/>
          <w:spacing w:val="0"/>
          <w:sz w:val="21"/>
          <w:lang w:val="en-US" w:eastAsia="zh-CN"/>
        </w:rPr>
        <w:t>安全相关：</w:t>
      </w:r>
      <w:r>
        <w:rPr>
          <w:rFonts w:hint="eastAsia" w:cs="Times New Roman"/>
          <w:spacing w:val="0"/>
          <w:sz w:val="21"/>
          <w:lang w:val="en-US" w:eastAsia="zh-CN"/>
        </w:rPr>
        <w:t>涉及国家战略储备、国防军工配套、国土安全相关的有色金属资源勘探、品种、储量、分布、储备设施位置及运行状态数据，或影响国家战略资源定价权的核心交易数据、全球资源布局数据及对外合作核心谈判参数等</w:t>
      </w:r>
      <w:r>
        <w:rPr>
          <w:rFonts w:hint="eastAsia" w:ascii="Times New Roman" w:hAnsi="Times New Roman" w:eastAsia="宋体" w:cs="Times New Roman"/>
          <w:spacing w:val="0"/>
          <w:sz w:val="21"/>
          <w:lang w:val="en-US" w:eastAsia="zh-CN"/>
        </w:rPr>
        <w:t>；</w:t>
      </w:r>
    </w:p>
    <w:p w14:paraId="7F32608E">
      <w:pPr>
        <w:keepNext w:val="0"/>
        <w:keepLines w:val="0"/>
        <w:pageBreakBefore w:val="0"/>
        <w:numPr>
          <w:ilvl w:val="0"/>
          <w:numId w:val="8"/>
        </w:numPr>
        <w:tabs>
          <w:tab w:val="clear" w:pos="780"/>
        </w:tabs>
        <w:kinsoku/>
        <w:wordWrap/>
        <w:overflowPunct/>
        <w:topLinePunct w:val="0"/>
        <w:bidi w:val="0"/>
        <w:adjustRightInd/>
        <w:snapToGrid/>
        <w:spacing w:line="360" w:lineRule="auto"/>
        <w:ind w:hanging="363"/>
        <w:textAlignment w:val="auto"/>
        <w:rPr>
          <w:rFonts w:hint="eastAsia" w:ascii="Times New Roman" w:hAnsi="Times New Roman" w:eastAsia="宋体" w:cs="Times New Roman"/>
          <w:spacing w:val="0"/>
          <w:sz w:val="21"/>
          <w:lang w:val="en-US" w:eastAsia="zh-CN"/>
        </w:rPr>
      </w:pPr>
      <w:r>
        <w:rPr>
          <w:rFonts w:hint="eastAsia" w:ascii="Times New Roman" w:hAnsi="Times New Roman" w:eastAsia="宋体" w:cs="Times New Roman"/>
          <w:spacing w:val="0"/>
          <w:sz w:val="21"/>
          <w:lang w:val="en-US" w:eastAsia="zh-CN"/>
        </w:rPr>
        <w:t>与国家网络安全相关：能够引发重大网络和数据安全事件或生产安全事故的漏洞信息、恶意程序、事件信息、应急通信数据、网络与数据安全重大发现与重要研究成果</w:t>
      </w:r>
      <w:r>
        <w:rPr>
          <w:rFonts w:hint="eastAsia" w:cs="Times New Roman"/>
          <w:spacing w:val="0"/>
          <w:sz w:val="21"/>
          <w:lang w:val="en-US" w:eastAsia="zh-CN"/>
        </w:rPr>
        <w:t>等</w:t>
      </w:r>
      <w:r>
        <w:rPr>
          <w:rFonts w:hint="eastAsia" w:ascii="Times New Roman" w:hAnsi="Times New Roman" w:eastAsia="宋体" w:cs="Times New Roman"/>
          <w:spacing w:val="0"/>
          <w:sz w:val="21"/>
          <w:lang w:val="en-US" w:eastAsia="zh-CN"/>
        </w:rPr>
        <w:t>；</w:t>
      </w:r>
    </w:p>
    <w:p w14:paraId="7AEBE240">
      <w:pPr>
        <w:keepNext w:val="0"/>
        <w:keepLines w:val="0"/>
        <w:pageBreakBefore w:val="0"/>
        <w:numPr>
          <w:ilvl w:val="0"/>
          <w:numId w:val="8"/>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eastAsia" w:ascii="Times New Roman" w:hAnsi="Times New Roman" w:eastAsia="宋体" w:cs="Times New Roman"/>
          <w:spacing w:val="0"/>
          <w:sz w:val="21"/>
          <w:lang w:val="en-US" w:eastAsia="zh-CN"/>
        </w:rPr>
        <w:t>与人工智能相关：</w:t>
      </w:r>
      <w:r>
        <w:rPr>
          <w:rFonts w:hint="eastAsia" w:cs="Times New Roman"/>
          <w:spacing w:val="0"/>
          <w:sz w:val="21"/>
          <w:lang w:val="en-US" w:eastAsia="zh-CN"/>
        </w:rPr>
        <w:t>与国家安全相关的</w:t>
      </w:r>
      <w:r>
        <w:rPr>
          <w:rFonts w:hint="eastAsia" w:ascii="Times New Roman" w:hAnsi="Times New Roman" w:eastAsia="宋体" w:cs="Times New Roman"/>
          <w:spacing w:val="0"/>
          <w:sz w:val="21"/>
          <w:lang w:val="en-US" w:eastAsia="zh-CN"/>
        </w:rPr>
        <w:t>人工智能控制程序、算法、源代码、训练模型、</w:t>
      </w:r>
      <w:r>
        <w:rPr>
          <w:rFonts w:hint="eastAsia" w:cs="Times New Roman"/>
          <w:spacing w:val="0"/>
          <w:sz w:val="21"/>
          <w:lang w:val="en-US" w:eastAsia="zh-CN"/>
        </w:rPr>
        <w:t>数据集</w:t>
      </w:r>
      <w:r>
        <w:rPr>
          <w:rFonts w:hint="eastAsia" w:ascii="Times New Roman" w:hAnsi="Times New Roman" w:eastAsia="宋体" w:cs="Times New Roman"/>
          <w:spacing w:val="0"/>
          <w:sz w:val="21"/>
          <w:lang w:val="en-US" w:eastAsia="zh-CN"/>
        </w:rPr>
        <w:t>等。</w:t>
      </w:r>
    </w:p>
    <w:p w14:paraId="75D12B64">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6" w:name="_Toc5542"/>
      <w:r>
        <w:rPr>
          <w:rFonts w:hint="eastAsia" w:ascii="黑体" w:hAnsi="黑体" w:cs="黑体"/>
          <w:b w:val="0"/>
          <w:bCs w:val="0"/>
          <w:lang w:val="en-US" w:eastAsia="zh-CN"/>
        </w:rPr>
        <w:t>6.3.4 与行业发展相关</w:t>
      </w:r>
      <w:bookmarkEnd w:id="16"/>
    </w:p>
    <w:p w14:paraId="0040B60A">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Times New Roman"/>
          <w:spacing w:val="0"/>
          <w:sz w:val="21"/>
          <w:lang w:val="en-US" w:eastAsia="zh-CN"/>
        </w:rPr>
      </w:pPr>
      <w:r>
        <w:rPr>
          <w:rFonts w:hint="eastAsia" w:cs="Times New Roman"/>
          <w:spacing w:val="0"/>
          <w:sz w:val="21"/>
          <w:lang w:val="en-US" w:eastAsia="zh-CN"/>
        </w:rPr>
        <w:t>工业</w:t>
      </w:r>
      <w:r>
        <w:rPr>
          <w:rFonts w:hint="eastAsia" w:ascii="宋体" w:hAnsi="宋体" w:eastAsia="宋体" w:cs="Times New Roman"/>
          <w:spacing w:val="0"/>
          <w:sz w:val="21"/>
          <w:lang w:val="en-US" w:eastAsia="zh-CN"/>
        </w:rPr>
        <w:t>数据</w:t>
      </w:r>
      <w:r>
        <w:rPr>
          <w:rFonts w:hint="eastAsia" w:cs="Times New Roman"/>
          <w:spacing w:val="0"/>
          <w:sz w:val="21"/>
          <w:lang w:val="en-US" w:eastAsia="zh-CN"/>
        </w:rPr>
        <w:t>一旦</w:t>
      </w:r>
      <w:r>
        <w:rPr>
          <w:rFonts w:hint="eastAsia" w:ascii="宋体" w:hAnsi="宋体" w:eastAsia="宋体" w:cs="宋体"/>
          <w:spacing w:val="0"/>
          <w:sz w:val="21"/>
          <w:lang w:val="en-US" w:eastAsia="zh-CN"/>
        </w:rPr>
        <w:t>遭到</w:t>
      </w:r>
      <w:r>
        <w:rPr>
          <w:rFonts w:hint="eastAsia" w:ascii="宋体" w:hAnsi="宋体" w:eastAsia="宋体" w:cs="Times New Roman"/>
          <w:spacing w:val="0"/>
          <w:sz w:val="21"/>
          <w:lang w:val="en-US" w:eastAsia="zh-CN"/>
        </w:rPr>
        <w:t>泄露、篡改、损毁或者非法获取、非法使用、非法共享，</w:t>
      </w:r>
      <w:r>
        <w:rPr>
          <w:rFonts w:hint="eastAsia" w:cs="Times New Roman"/>
          <w:spacing w:val="0"/>
          <w:sz w:val="21"/>
          <w:lang w:val="en-US" w:eastAsia="zh-CN"/>
        </w:rPr>
        <w:t>会</w:t>
      </w:r>
      <w:r>
        <w:rPr>
          <w:rFonts w:hint="eastAsia" w:ascii="宋体" w:hAnsi="宋体" w:eastAsia="宋体" w:cs="Times New Roman"/>
          <w:spacing w:val="0"/>
          <w:sz w:val="21"/>
          <w:lang w:val="en-US" w:eastAsia="zh-CN"/>
        </w:rPr>
        <w:t>对有色金属行业发展造成严重影响的</w:t>
      </w:r>
      <w:r>
        <w:rPr>
          <w:rFonts w:hint="eastAsia" w:cs="Times New Roman"/>
          <w:spacing w:val="0"/>
          <w:sz w:val="21"/>
          <w:lang w:val="en-US" w:eastAsia="zh-CN"/>
        </w:rPr>
        <w:t>，</w:t>
      </w:r>
      <w:r>
        <w:rPr>
          <w:rFonts w:hint="eastAsia" w:ascii="宋体" w:hAnsi="宋体" w:eastAsia="宋体" w:cs="Times New Roman"/>
          <w:spacing w:val="0"/>
          <w:sz w:val="21"/>
          <w:lang w:val="en-US" w:eastAsia="zh-CN"/>
        </w:rPr>
        <w:t>属于重要数据，包括但不限于：</w:t>
      </w:r>
    </w:p>
    <w:p w14:paraId="26A0F2A3">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spacing w:val="0"/>
          <w:sz w:val="21"/>
        </w:rPr>
      </w:pPr>
      <w:r>
        <w:rPr>
          <w:rFonts w:hint="eastAsia"/>
          <w:spacing w:val="0"/>
          <w:sz w:val="21"/>
          <w:lang w:val="en-US" w:eastAsia="zh-CN"/>
        </w:rPr>
        <w:t>与行业竞争力相关：涉及行业核心竞争力或产业生态发展的关键技术、关键工艺、关键产品、重要国产化设备在研发设计、生产经营等过程中收集和产生的数据，包括</w:t>
      </w:r>
      <w:r>
        <w:rPr>
          <w:rFonts w:hint="eastAsia" w:ascii="Helvetica" w:hAnsi="Helvetica" w:cs="Helvetica"/>
          <w:i w:val="0"/>
          <w:iCs w:val="0"/>
          <w:caps w:val="0"/>
          <w:color w:val="060607"/>
          <w:spacing w:val="0"/>
          <w:sz w:val="21"/>
          <w:szCs w:val="21"/>
          <w:shd w:val="clear" w:fill="FFFFFF"/>
          <w:lang w:val="en-US" w:eastAsia="zh-CN"/>
        </w:rPr>
        <w:t>：</w:t>
      </w:r>
    </w:p>
    <w:p w14:paraId="6B5667B1">
      <w:pPr>
        <w:pStyle w:val="30"/>
        <w:keepNext w:val="0"/>
        <w:keepLines w:val="0"/>
        <w:pageBreakBefore w:val="0"/>
        <w:numPr>
          <w:ilvl w:val="0"/>
          <w:numId w:val="11"/>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在研发设计过程中，收集和产生的与行业竞争力相关的研发数据，如锂、钴等战略矿产选矿药剂配方、稀有元素分离萃取剂配比、新型合金材料配方等工艺参数，及低品位矿利用、短流程冶炼等先进工艺研发数据；</w:t>
      </w:r>
    </w:p>
    <w:p w14:paraId="0ADE0862">
      <w:pPr>
        <w:pStyle w:val="30"/>
        <w:keepNext w:val="0"/>
        <w:keepLines w:val="0"/>
        <w:pageBreakBefore w:val="0"/>
        <w:numPr>
          <w:ilvl w:val="0"/>
          <w:numId w:val="11"/>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在生产制造过程中，收集和产生的与行业竞争力相关的先进工艺参数、控制代码等，如高温合金真空熔炼工艺参数、智能生产线紧急停机逻辑控制代码等数据；</w:t>
      </w:r>
    </w:p>
    <w:p w14:paraId="22293678">
      <w:pPr>
        <w:pStyle w:val="30"/>
        <w:keepNext w:val="0"/>
        <w:keepLines w:val="0"/>
        <w:pageBreakBefore w:val="0"/>
        <w:numPr>
          <w:ilvl w:val="0"/>
          <w:numId w:val="11"/>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在经营管理过程中，收集和产生的与行业竞争力相关的战略规划、产能布局、专项行动方案等数据；</w:t>
      </w:r>
    </w:p>
    <w:p w14:paraId="1F75CB07">
      <w:pPr>
        <w:pStyle w:val="30"/>
        <w:keepNext w:val="0"/>
        <w:keepLines w:val="0"/>
        <w:pageBreakBefore w:val="0"/>
        <w:numPr>
          <w:ilvl w:val="0"/>
          <w:numId w:val="11"/>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在运维服务过程中，收集和产生的与行业竞争力相关的重要系统数据，如账号密码、采购销售订单、库存信息等数据；</w:t>
      </w:r>
    </w:p>
    <w:p w14:paraId="3774AF3F">
      <w:pPr>
        <w:pStyle w:val="30"/>
        <w:keepNext w:val="0"/>
        <w:keepLines w:val="0"/>
        <w:pageBreakBefore w:val="0"/>
        <w:numPr>
          <w:ilvl w:val="0"/>
          <w:numId w:val="11"/>
        </w:numPr>
        <w:tabs>
          <w:tab w:val="center" w:pos="1276"/>
          <w:tab w:val="clear" w:pos="4201"/>
        </w:tabs>
        <w:kinsoku/>
        <w:wordWrap/>
        <w:overflowPunct/>
        <w:topLinePunct w:val="0"/>
        <w:bidi w:val="0"/>
        <w:adjustRightInd/>
        <w:snapToGrid/>
        <w:spacing w:line="360" w:lineRule="auto"/>
        <w:ind w:left="1276" w:hanging="363" w:firstLineChars="0"/>
        <w:textAlignment w:val="auto"/>
        <w:rPr>
          <w:spacing w:val="0"/>
          <w:sz w:val="21"/>
        </w:rPr>
      </w:pPr>
      <w:r>
        <w:rPr>
          <w:rFonts w:hint="eastAsia"/>
          <w:spacing w:val="0"/>
          <w:sz w:val="21"/>
          <w:lang w:val="en-US" w:eastAsia="zh-CN"/>
        </w:rPr>
        <w:t>在平台运营、技术服务过程中，收集和产生的与行业竞争力相关的的运营服务数据，如有色金属全产业链的产能利用率、上下游企业交易规模与趋势等数据。</w:t>
      </w:r>
    </w:p>
    <w:p w14:paraId="1A106BDF">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rFonts w:hint="default" w:ascii="Times New Roman" w:hAnsi="Times New Roman" w:eastAsia="宋体" w:cs="Times New Roman"/>
          <w:spacing w:val="0"/>
          <w:sz w:val="21"/>
          <w:lang w:val="en-US" w:eastAsia="zh-CN"/>
        </w:rPr>
      </w:pPr>
      <w:r>
        <w:rPr>
          <w:rFonts w:hint="eastAsia" w:ascii="Times New Roman" w:hAnsi="Times New Roman" w:eastAsia="宋体" w:cs="Times New Roman"/>
          <w:spacing w:val="0"/>
          <w:sz w:val="21"/>
          <w:lang w:val="en-US" w:eastAsia="zh-CN"/>
        </w:rPr>
        <w:t>与行业生产安全管控相关：整体反映有色金属行业生产安全风险防控、事故隐患排查治理及应急处置的未公开数据；</w:t>
      </w:r>
    </w:p>
    <w:p w14:paraId="1A253E86">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rFonts w:hint="default" w:ascii="Times New Roman" w:hAnsi="Times New Roman" w:eastAsia="宋体" w:cs="Times New Roman"/>
          <w:spacing w:val="0"/>
          <w:sz w:val="21"/>
          <w:lang w:val="en-US" w:eastAsia="zh-CN"/>
        </w:rPr>
      </w:pPr>
      <w:r>
        <w:rPr>
          <w:rFonts w:hint="eastAsia" w:ascii="Times New Roman" w:hAnsi="Times New Roman" w:eastAsia="宋体" w:cs="Times New Roman"/>
          <w:spacing w:val="0"/>
          <w:sz w:val="21"/>
          <w:lang w:val="en-US" w:eastAsia="zh-CN"/>
        </w:rPr>
        <w:t>与行业供应链安全相关：涉及影响</w:t>
      </w:r>
      <w:r>
        <w:rPr>
          <w:rFonts w:hint="eastAsia" w:cs="Times New Roman"/>
          <w:spacing w:val="0"/>
          <w:sz w:val="21"/>
          <w:lang w:val="en-US" w:eastAsia="zh-CN"/>
        </w:rPr>
        <w:t>行业</w:t>
      </w:r>
      <w:r>
        <w:rPr>
          <w:rFonts w:hint="eastAsia" w:ascii="Times New Roman" w:hAnsi="Times New Roman" w:eastAsia="宋体" w:cs="Times New Roman"/>
          <w:spacing w:val="0"/>
          <w:sz w:val="21"/>
          <w:lang w:val="en-US" w:eastAsia="zh-CN"/>
        </w:rPr>
        <w:t>供应链安全的组件、软件和设备的销售、使用、运行、维护等相关数据，以及</w:t>
      </w:r>
      <w:r>
        <w:rPr>
          <w:rFonts w:hint="eastAsia" w:cs="Times New Roman"/>
          <w:spacing w:val="0"/>
          <w:sz w:val="21"/>
          <w:lang w:val="en-US" w:eastAsia="zh-CN"/>
        </w:rPr>
        <w:t>未公开的</w:t>
      </w:r>
      <w:r>
        <w:rPr>
          <w:rFonts w:hint="eastAsia" w:ascii="Times New Roman" w:hAnsi="Times New Roman" w:eastAsia="宋体" w:cs="Times New Roman"/>
          <w:spacing w:val="0"/>
          <w:sz w:val="21"/>
          <w:lang w:val="en-US" w:eastAsia="zh-CN"/>
        </w:rPr>
        <w:t>行业供需情况、价格趋势、供应商及用户分布情况等数据；</w:t>
      </w:r>
    </w:p>
    <w:p w14:paraId="535A3627">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rFonts w:hint="default" w:ascii="Times New Roman" w:hAnsi="Times New Roman" w:eastAsia="宋体" w:cs="Times New Roman"/>
          <w:spacing w:val="0"/>
          <w:sz w:val="21"/>
          <w:lang w:val="en-US" w:eastAsia="zh-CN"/>
        </w:rPr>
      </w:pPr>
      <w:r>
        <w:rPr>
          <w:rFonts w:hint="default" w:ascii="Times New Roman" w:hAnsi="Times New Roman" w:eastAsia="宋体" w:cs="Times New Roman"/>
          <w:spacing w:val="0"/>
          <w:sz w:val="21"/>
          <w:lang w:val="en-US" w:eastAsia="zh-CN"/>
        </w:rPr>
        <w:t>与军工</w:t>
      </w:r>
      <w:r>
        <w:rPr>
          <w:rFonts w:hint="eastAsia" w:cs="Times New Roman"/>
          <w:spacing w:val="0"/>
          <w:sz w:val="21"/>
          <w:lang w:val="en-US" w:eastAsia="zh-CN"/>
        </w:rPr>
        <w:t>等特种领域</w:t>
      </w:r>
      <w:r>
        <w:rPr>
          <w:rFonts w:hint="default" w:ascii="Times New Roman" w:hAnsi="Times New Roman" w:eastAsia="宋体" w:cs="Times New Roman"/>
          <w:spacing w:val="0"/>
          <w:sz w:val="21"/>
          <w:lang w:val="en-US" w:eastAsia="zh-CN"/>
        </w:rPr>
        <w:t>相关</w:t>
      </w:r>
      <w:r>
        <w:rPr>
          <w:rFonts w:hint="eastAsia" w:cs="Times New Roman"/>
          <w:spacing w:val="0"/>
          <w:sz w:val="21"/>
          <w:lang w:val="en-US" w:eastAsia="zh-CN"/>
        </w:rPr>
        <w:t>：涉及军工配套任务的交付能力、材料型号规格、研发试验等非密数据（</w:t>
      </w:r>
      <w:r>
        <w:rPr>
          <w:rFonts w:hint="default" w:ascii="Times New Roman" w:hAnsi="Times New Roman" w:eastAsia="宋体" w:cs="Times New Roman"/>
          <w:spacing w:val="0"/>
          <w:sz w:val="21"/>
          <w:lang w:val="en-US" w:eastAsia="zh-CN"/>
        </w:rPr>
        <w:t>涉及国家秘密的，</w:t>
      </w:r>
      <w:r>
        <w:rPr>
          <w:rFonts w:hint="eastAsia" w:cs="Times New Roman"/>
          <w:spacing w:val="0"/>
          <w:sz w:val="21"/>
          <w:lang w:val="en-US" w:eastAsia="zh-CN"/>
        </w:rPr>
        <w:t>依据</w:t>
      </w:r>
      <w:r>
        <w:rPr>
          <w:rFonts w:hint="default" w:ascii="Times New Roman" w:hAnsi="Times New Roman" w:eastAsia="宋体" w:cs="Times New Roman"/>
          <w:spacing w:val="0"/>
          <w:sz w:val="21"/>
          <w:lang w:val="en-US" w:eastAsia="zh-CN"/>
        </w:rPr>
        <w:t>《中华人民共和国保守国家秘密法》等法律、行政法规</w:t>
      </w:r>
      <w:r>
        <w:rPr>
          <w:rFonts w:hint="eastAsia" w:cs="Times New Roman"/>
          <w:spacing w:val="0"/>
          <w:sz w:val="21"/>
          <w:lang w:val="en-US" w:eastAsia="zh-CN"/>
        </w:rPr>
        <w:t>进行管理）；</w:t>
      </w:r>
    </w:p>
    <w:p w14:paraId="32500325">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rFonts w:hint="default" w:ascii="Times New Roman" w:hAnsi="Times New Roman" w:eastAsia="宋体" w:cs="Times New Roman"/>
          <w:spacing w:val="0"/>
          <w:sz w:val="21"/>
          <w:lang w:val="en-US" w:eastAsia="zh-CN"/>
        </w:rPr>
      </w:pPr>
      <w:r>
        <w:rPr>
          <w:rFonts w:hint="eastAsia" w:ascii="Times New Roman" w:hAnsi="Times New Roman" w:eastAsia="宋体" w:cs="Times New Roman"/>
          <w:spacing w:val="0"/>
          <w:sz w:val="21"/>
          <w:lang w:val="en-US" w:eastAsia="zh-CN"/>
        </w:rPr>
        <w:t>与行业经济运行相关：整体反映有色金属行业生产经营情况的未公开的</w:t>
      </w:r>
      <w:r>
        <w:rPr>
          <w:rFonts w:hint="eastAsia" w:cs="Times New Roman"/>
          <w:spacing w:val="0"/>
          <w:sz w:val="21"/>
          <w:lang w:val="en-US" w:eastAsia="zh-CN"/>
        </w:rPr>
        <w:t>经济</w:t>
      </w:r>
      <w:r>
        <w:rPr>
          <w:rFonts w:hint="eastAsia" w:ascii="Times New Roman" w:hAnsi="Times New Roman" w:eastAsia="宋体" w:cs="Times New Roman"/>
          <w:spacing w:val="0"/>
          <w:sz w:val="21"/>
          <w:lang w:val="en-US" w:eastAsia="zh-CN"/>
        </w:rPr>
        <w:t>分析数据；</w:t>
      </w:r>
    </w:p>
    <w:p w14:paraId="72042940">
      <w:pPr>
        <w:keepNext w:val="0"/>
        <w:keepLines w:val="0"/>
        <w:pageBreakBefore w:val="0"/>
        <w:numPr>
          <w:ilvl w:val="0"/>
          <w:numId w:val="10"/>
        </w:numPr>
        <w:tabs>
          <w:tab w:val="clear" w:pos="780"/>
        </w:tabs>
        <w:kinsoku/>
        <w:wordWrap/>
        <w:overflowPunct/>
        <w:topLinePunct w:val="0"/>
        <w:bidi w:val="0"/>
        <w:adjustRightInd/>
        <w:snapToGrid/>
        <w:spacing w:line="360" w:lineRule="auto"/>
        <w:ind w:hanging="363"/>
        <w:textAlignment w:val="auto"/>
        <w:rPr>
          <w:rFonts w:hint="default" w:ascii="Times New Roman" w:hAnsi="Times New Roman" w:eastAsia="宋体" w:cs="Times New Roman"/>
          <w:spacing w:val="0"/>
          <w:sz w:val="21"/>
          <w:lang w:val="en-US" w:eastAsia="zh-CN"/>
        </w:rPr>
      </w:pPr>
      <w:r>
        <w:rPr>
          <w:rFonts w:hint="eastAsia" w:ascii="Times New Roman" w:hAnsi="Times New Roman" w:eastAsia="宋体" w:cs="Times New Roman"/>
          <w:spacing w:val="0"/>
          <w:sz w:val="21"/>
          <w:lang w:val="en-US" w:eastAsia="zh-CN"/>
        </w:rPr>
        <w:t>与行业绿色发展相关：整体反映有色金属行业能源资源消耗、碳排放情况</w:t>
      </w:r>
      <w:r>
        <w:rPr>
          <w:rFonts w:hint="eastAsia" w:cs="Times New Roman"/>
          <w:spacing w:val="0"/>
          <w:sz w:val="21"/>
          <w:lang w:val="en-US" w:eastAsia="zh-CN"/>
        </w:rPr>
        <w:t>等</w:t>
      </w:r>
      <w:r>
        <w:rPr>
          <w:rFonts w:hint="eastAsia" w:ascii="Times New Roman" w:hAnsi="Times New Roman" w:eastAsia="宋体" w:cs="Times New Roman"/>
          <w:spacing w:val="0"/>
          <w:sz w:val="21"/>
          <w:lang w:val="en-US" w:eastAsia="zh-CN"/>
        </w:rPr>
        <w:t>未公开</w:t>
      </w:r>
      <w:r>
        <w:rPr>
          <w:rFonts w:hint="eastAsia" w:cs="Times New Roman"/>
          <w:spacing w:val="0"/>
          <w:sz w:val="21"/>
          <w:lang w:val="en-US" w:eastAsia="zh-CN"/>
        </w:rPr>
        <w:t>的</w:t>
      </w:r>
      <w:r>
        <w:rPr>
          <w:rFonts w:hint="eastAsia" w:ascii="Times New Roman" w:hAnsi="Times New Roman" w:eastAsia="宋体" w:cs="Times New Roman"/>
          <w:spacing w:val="0"/>
          <w:sz w:val="21"/>
          <w:lang w:val="en-US" w:eastAsia="zh-CN"/>
        </w:rPr>
        <w:t>数据</w:t>
      </w:r>
      <w:r>
        <w:rPr>
          <w:rFonts w:hint="eastAsia" w:cs="Times New Roman"/>
          <w:spacing w:val="0"/>
          <w:sz w:val="21"/>
          <w:lang w:val="en-US" w:eastAsia="zh-CN"/>
        </w:rPr>
        <w:t>，以及未公开的污染源管控、污染物处理等先进工艺方法</w:t>
      </w:r>
      <w:r>
        <w:rPr>
          <w:rFonts w:hint="eastAsia" w:ascii="Times New Roman" w:hAnsi="Times New Roman" w:eastAsia="宋体" w:cs="Times New Roman"/>
          <w:spacing w:val="0"/>
          <w:sz w:val="21"/>
          <w:lang w:val="en-US" w:eastAsia="zh-CN"/>
        </w:rPr>
        <w:t>。</w:t>
      </w:r>
    </w:p>
    <w:p w14:paraId="139EF56C">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7" w:name="_Toc8960"/>
      <w:r>
        <w:rPr>
          <w:rFonts w:hint="eastAsia" w:ascii="黑体" w:hAnsi="黑体" w:cs="黑体"/>
          <w:b w:val="0"/>
          <w:bCs w:val="0"/>
          <w:lang w:val="en-US" w:eastAsia="zh-CN"/>
        </w:rPr>
        <w:t>6.3.5 与工业领域出口管制物项相关</w:t>
      </w:r>
      <w:bookmarkEnd w:id="17"/>
    </w:p>
    <w:p w14:paraId="3A6EC790">
      <w:pPr>
        <w:pStyle w:val="30"/>
        <w:keepNext w:val="0"/>
        <w:keepLines w:val="0"/>
        <w:pageBreakBefore w:val="0"/>
        <w:kinsoku/>
        <w:wordWrap/>
        <w:overflowPunct/>
        <w:topLinePunct w:val="0"/>
        <w:bidi w:val="0"/>
        <w:adjustRightInd/>
        <w:snapToGrid/>
        <w:spacing w:line="360" w:lineRule="auto"/>
        <w:textAlignment w:val="auto"/>
        <w:rPr>
          <w:rFonts w:hint="default"/>
          <w:lang w:val="en-US" w:eastAsia="zh-CN"/>
        </w:rPr>
      </w:pPr>
      <w:r>
        <w:rPr>
          <w:rFonts w:hint="eastAsia"/>
          <w:lang w:val="en-US" w:eastAsia="zh-CN"/>
        </w:rPr>
        <w:t>有色金属行业出口管制物项涉及的核心技术、设计方案、生产工艺、制件方法、源代码等数据。</w:t>
      </w:r>
    </w:p>
    <w:p w14:paraId="1D0D3FE3">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8" w:name="_Toc30977"/>
      <w:r>
        <w:rPr>
          <w:rFonts w:hint="eastAsia" w:ascii="黑体" w:hAnsi="黑体" w:cs="黑体"/>
          <w:b w:val="0"/>
          <w:bCs w:val="0"/>
          <w:lang w:val="en-US" w:eastAsia="zh-CN"/>
        </w:rPr>
        <w:t>6.3.6 与行业经济效益和产业保障相关</w:t>
      </w:r>
      <w:bookmarkEnd w:id="18"/>
    </w:p>
    <w:p w14:paraId="392BC5A1">
      <w:pPr>
        <w:pStyle w:val="30"/>
        <w:keepNext w:val="0"/>
        <w:keepLines w:val="0"/>
        <w:pageBreakBefore w:val="0"/>
        <w:kinsoku/>
        <w:wordWrap/>
        <w:overflowPunct/>
        <w:topLinePunct w:val="0"/>
        <w:bidi w:val="0"/>
        <w:adjustRightInd/>
        <w:snapToGrid/>
        <w:spacing w:line="360" w:lineRule="auto"/>
        <w:textAlignment w:val="auto"/>
        <w:rPr>
          <w:rFonts w:hint="default"/>
          <w:lang w:val="en-US" w:eastAsia="zh-CN"/>
        </w:rPr>
      </w:pPr>
      <w:r>
        <w:rPr>
          <w:rFonts w:hint="eastAsia"/>
          <w:lang w:val="en-US" w:eastAsia="zh-CN"/>
        </w:rPr>
        <w:t>有色金属采选、冶炼、加工环节的原料渠道、物料储备、工厂设置、销售去向等涉及敏感领域，或可能严重影响行业经济效益、影响国家战略性矿产资源安全和产业保障的数据。</w:t>
      </w:r>
    </w:p>
    <w:p w14:paraId="5504CBFB">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2"/>
        <w:rPr>
          <w:rFonts w:hint="default" w:ascii="黑体" w:hAnsi="黑体" w:cs="黑体"/>
          <w:b w:val="0"/>
          <w:bCs w:val="0"/>
          <w:lang w:val="en-US" w:eastAsia="zh-CN"/>
        </w:rPr>
      </w:pPr>
      <w:bookmarkStart w:id="19" w:name="_Toc27584"/>
      <w:r>
        <w:rPr>
          <w:rFonts w:hint="eastAsia" w:ascii="黑体" w:hAnsi="黑体" w:cs="黑体"/>
          <w:b w:val="0"/>
          <w:bCs w:val="0"/>
          <w:lang w:val="en-US" w:eastAsia="zh-CN"/>
        </w:rPr>
        <w:t>6.3.7 其他</w:t>
      </w:r>
      <w:bookmarkEnd w:id="19"/>
    </w:p>
    <w:p w14:paraId="43C20BCD">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Times New Roman"/>
          <w:spacing w:val="0"/>
          <w:sz w:val="21"/>
          <w:lang w:val="en-US" w:eastAsia="zh-CN"/>
        </w:rPr>
      </w:pPr>
      <w:r>
        <w:rPr>
          <w:rFonts w:hint="eastAsia" w:ascii="宋体" w:hAnsi="宋体" w:eastAsia="宋体" w:cs="Times New Roman"/>
          <w:spacing w:val="0"/>
          <w:sz w:val="21"/>
          <w:lang w:val="en-US" w:eastAsia="zh-CN"/>
        </w:rPr>
        <w:t>其他满足下列条件之一的数据属于重要数据：</w:t>
      </w:r>
    </w:p>
    <w:p w14:paraId="161FEBCD">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default"/>
          <w:spacing w:val="0"/>
          <w:sz w:val="21"/>
          <w:lang w:val="en-US" w:eastAsia="zh-CN"/>
        </w:rPr>
        <w:t>易引发重大生产安全事故或突发环境事件，或易造成巨大直接经济损失的数据；</w:t>
      </w:r>
    </w:p>
    <w:p w14:paraId="001A90D0">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eastAsia"/>
          <w:spacing w:val="0"/>
          <w:sz w:val="21"/>
          <w:lang w:val="en-US" w:eastAsia="zh-CN"/>
        </w:rPr>
        <w:t>引发的级联效应明显，影响范围涉及多个行业、区域或者行业内多个企业，或者影响持续时间长，对行业发展、技术进步和产业生态造成严重影响的数据；</w:t>
      </w:r>
    </w:p>
    <w:p w14:paraId="7483A67B">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default"/>
          <w:spacing w:val="0"/>
          <w:sz w:val="21"/>
          <w:lang w:val="en-US" w:eastAsia="zh-CN"/>
        </w:rPr>
        <w:t>恢复</w:t>
      </w:r>
      <w:r>
        <w:rPr>
          <w:rFonts w:hint="eastAsia"/>
          <w:spacing w:val="0"/>
          <w:sz w:val="21"/>
          <w:lang w:val="en-US" w:eastAsia="zh-CN"/>
        </w:rPr>
        <w:t>有色金属行业</w:t>
      </w:r>
      <w:r>
        <w:rPr>
          <w:rFonts w:hint="default"/>
          <w:spacing w:val="0"/>
          <w:sz w:val="21"/>
          <w:lang w:val="en-US" w:eastAsia="zh-CN"/>
        </w:rPr>
        <w:t>工业数据或消除负面影响需付出巨大代价</w:t>
      </w:r>
      <w:r>
        <w:rPr>
          <w:rFonts w:hint="eastAsia"/>
          <w:spacing w:val="0"/>
          <w:sz w:val="21"/>
          <w:lang w:val="en-US" w:eastAsia="zh-CN"/>
        </w:rPr>
        <w:t>的数据；</w:t>
      </w:r>
    </w:p>
    <w:p w14:paraId="2C959D4C">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eastAsia"/>
          <w:spacing w:val="0"/>
          <w:sz w:val="21"/>
          <w:lang w:val="en-US" w:eastAsia="zh-CN"/>
        </w:rPr>
        <w:t>收集和产生的达到1000万人以上量级或影响特定群体的个人信息</w:t>
      </w:r>
      <w:r>
        <w:rPr>
          <w:rFonts w:hint="eastAsia" w:ascii="Helvetica" w:hAnsi="Helvetica" w:eastAsia="宋体" w:cs="Helvetica"/>
          <w:i w:val="0"/>
          <w:iCs w:val="0"/>
          <w:caps w:val="0"/>
          <w:color w:val="060607"/>
          <w:spacing w:val="0"/>
          <w:sz w:val="21"/>
          <w:szCs w:val="21"/>
          <w:shd w:val="clear" w:fill="FFFFFF"/>
          <w:lang w:val="en-US" w:eastAsia="zh-CN"/>
        </w:rPr>
        <w:t>；</w:t>
      </w:r>
    </w:p>
    <w:p w14:paraId="7822FF04">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default"/>
          <w:spacing w:val="0"/>
          <w:sz w:val="21"/>
          <w:lang w:val="en-US" w:eastAsia="zh-CN"/>
        </w:rPr>
        <w:t>经汇聚分析后可得到符合6.3.2-6.3.7任意一个识别维度的</w:t>
      </w:r>
      <w:r>
        <w:rPr>
          <w:rFonts w:hint="eastAsia"/>
          <w:spacing w:val="0"/>
          <w:sz w:val="21"/>
          <w:lang w:val="en-US" w:eastAsia="zh-CN"/>
        </w:rPr>
        <w:t>衍生</w:t>
      </w:r>
      <w:r>
        <w:rPr>
          <w:rFonts w:hint="default"/>
          <w:spacing w:val="0"/>
          <w:sz w:val="21"/>
          <w:lang w:val="en-US" w:eastAsia="zh-CN"/>
        </w:rPr>
        <w:t>数据</w:t>
      </w:r>
      <w:r>
        <w:rPr>
          <w:rFonts w:hint="eastAsia" w:ascii="Helvetica" w:hAnsi="Helvetica" w:eastAsia="宋体" w:cs="Helvetica"/>
          <w:i w:val="0"/>
          <w:iCs w:val="0"/>
          <w:caps w:val="0"/>
          <w:color w:val="060607"/>
          <w:spacing w:val="0"/>
          <w:sz w:val="21"/>
          <w:szCs w:val="21"/>
          <w:shd w:val="clear" w:fill="FFFFFF"/>
          <w:lang w:val="en-US" w:eastAsia="zh-CN"/>
        </w:rPr>
        <w:t>；</w:t>
      </w:r>
    </w:p>
    <w:p w14:paraId="6F55FEBE">
      <w:pPr>
        <w:keepNext w:val="0"/>
        <w:keepLines w:val="0"/>
        <w:pageBreakBefore w:val="0"/>
        <w:numPr>
          <w:ilvl w:val="0"/>
          <w:numId w:val="12"/>
        </w:numPr>
        <w:tabs>
          <w:tab w:val="clear" w:pos="780"/>
        </w:tabs>
        <w:kinsoku/>
        <w:wordWrap/>
        <w:overflowPunct/>
        <w:topLinePunct w:val="0"/>
        <w:bidi w:val="0"/>
        <w:adjustRightInd/>
        <w:snapToGrid/>
        <w:spacing w:line="360" w:lineRule="auto"/>
        <w:ind w:hanging="363"/>
        <w:textAlignment w:val="auto"/>
        <w:rPr>
          <w:rFonts w:hint="default"/>
          <w:spacing w:val="0"/>
          <w:sz w:val="21"/>
          <w:lang w:val="en-US" w:eastAsia="zh-CN"/>
        </w:rPr>
      </w:pPr>
      <w:r>
        <w:rPr>
          <w:rFonts w:hint="eastAsia"/>
          <w:spacing w:val="0"/>
          <w:sz w:val="21"/>
          <w:lang w:val="en-US" w:eastAsia="zh-CN"/>
        </w:rPr>
        <w:t>经有色金属行业监管部门评估确定的其他重要数据。</w:t>
      </w:r>
    </w:p>
    <w:p w14:paraId="65581F97">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eastAsia" w:ascii="黑体" w:hAnsi="黑体" w:cs="黑体"/>
          <w:b w:val="0"/>
          <w:bCs w:val="0"/>
          <w:lang w:val="en-US" w:eastAsia="zh-CN"/>
        </w:rPr>
      </w:pPr>
      <w:bookmarkStart w:id="20" w:name="_Toc10346"/>
      <w:r>
        <w:rPr>
          <w:rFonts w:hint="eastAsia" w:ascii="黑体" w:hAnsi="黑体" w:cs="黑体"/>
          <w:b w:val="0"/>
          <w:bCs w:val="0"/>
          <w:lang w:val="en-US" w:eastAsia="zh-CN"/>
        </w:rPr>
        <w:t>6.4 综合确定级别</w:t>
      </w:r>
      <w:bookmarkEnd w:id="20"/>
    </w:p>
    <w:p w14:paraId="2216F047">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pacing w:val="0"/>
          <w:sz w:val="21"/>
          <w:szCs w:val="21"/>
          <w:lang w:val="en-US" w:eastAsia="zh-CN"/>
        </w:rPr>
      </w:pPr>
      <w:r>
        <w:rPr>
          <w:rFonts w:hint="eastAsia" w:cs="宋体"/>
          <w:spacing w:val="0"/>
          <w:sz w:val="21"/>
          <w:szCs w:val="21"/>
          <w:lang w:val="en-US" w:eastAsia="zh-CN"/>
        </w:rPr>
        <w:t>确定工业数据分级对象后，依据6.3</w:t>
      </w:r>
      <w:r>
        <w:rPr>
          <w:rFonts w:hint="eastAsia" w:ascii="宋体" w:hAnsi="宋体" w:eastAsia="宋体" w:cs="宋体"/>
          <w:spacing w:val="0"/>
          <w:sz w:val="21"/>
          <w:szCs w:val="21"/>
          <w:lang w:val="en-US" w:eastAsia="zh-CN"/>
        </w:rPr>
        <w:t>分析数据影响</w:t>
      </w:r>
      <w:r>
        <w:rPr>
          <w:rFonts w:hint="eastAsia" w:cs="宋体"/>
          <w:spacing w:val="0"/>
          <w:sz w:val="21"/>
          <w:szCs w:val="21"/>
          <w:lang w:val="en-US" w:eastAsia="zh-CN"/>
        </w:rPr>
        <w:t>对象和危害程度</w:t>
      </w:r>
      <w:r>
        <w:rPr>
          <w:rFonts w:hint="eastAsia" w:ascii="宋体" w:hAnsi="宋体" w:eastAsia="宋体" w:cs="宋体"/>
          <w:spacing w:val="0"/>
          <w:sz w:val="21"/>
          <w:szCs w:val="21"/>
          <w:lang w:val="en-US" w:eastAsia="zh-CN"/>
        </w:rPr>
        <w:t>，</w:t>
      </w:r>
      <w:r>
        <w:rPr>
          <w:rFonts w:hint="eastAsia" w:cs="宋体"/>
          <w:spacing w:val="0"/>
          <w:sz w:val="21"/>
          <w:szCs w:val="21"/>
          <w:lang w:val="en-US" w:eastAsia="zh-CN"/>
        </w:rPr>
        <w:t>完成重要数据识别，</w:t>
      </w:r>
      <w:r>
        <w:rPr>
          <w:rFonts w:hint="eastAsia" w:ascii="宋体" w:hAnsi="宋体" w:eastAsia="宋体" w:cs="宋体"/>
          <w:spacing w:val="0"/>
          <w:sz w:val="21"/>
          <w:szCs w:val="21"/>
          <w:lang w:val="en-US" w:eastAsia="zh-CN"/>
        </w:rPr>
        <w:t>综合以下规则确定数据级别：</w:t>
      </w:r>
    </w:p>
    <w:p w14:paraId="77242FA0">
      <w:pPr>
        <w:keepNext w:val="0"/>
        <w:keepLines w:val="0"/>
        <w:pageBreakBefore w:val="0"/>
        <w:numPr>
          <w:ilvl w:val="0"/>
          <w:numId w:val="13"/>
        </w:numPr>
        <w:kinsoku/>
        <w:wordWrap/>
        <w:overflowPunct/>
        <w:topLinePunct w:val="0"/>
        <w:bidi w:val="0"/>
        <w:adjustRightInd/>
        <w:snapToGrid/>
        <w:spacing w:line="360" w:lineRule="auto"/>
        <w:textAlignment w:val="auto"/>
        <w:rPr>
          <w:rFonts w:hint="eastAsia" w:ascii="宋体" w:hAnsi="宋体" w:eastAsia="宋体" w:cs="宋体"/>
          <w:spacing w:val="0"/>
          <w:sz w:val="21"/>
          <w:szCs w:val="21"/>
        </w:rPr>
      </w:pPr>
      <w:r>
        <w:rPr>
          <w:rFonts w:hint="eastAsia" w:ascii="宋体" w:hAnsi="宋体" w:cs="宋体"/>
          <w:i w:val="0"/>
          <w:iCs w:val="0"/>
          <w:caps w:val="0"/>
          <w:color w:val="060607"/>
          <w:spacing w:val="0"/>
          <w:sz w:val="21"/>
          <w:szCs w:val="21"/>
          <w:shd w:val="clear" w:fill="FFFFFF"/>
          <w:lang w:val="en-US" w:eastAsia="zh-CN"/>
        </w:rPr>
        <w:t>重要数据：符合或经汇聚分析后符合6.3.2-6.3.7任意一个识别维度的数据属于重要数据</w:t>
      </w:r>
      <w:r>
        <w:rPr>
          <w:rStyle w:val="12"/>
          <w:rFonts w:hint="eastAsia" w:ascii="Helvetica" w:hAnsi="Helvetica" w:eastAsia="Helvetica" w:cs="Helvetica"/>
          <w:b w:val="0"/>
          <w:bCs w:val="0"/>
          <w:i w:val="0"/>
          <w:iCs w:val="0"/>
          <w:caps w:val="0"/>
          <w:color w:val="060607"/>
          <w:spacing w:val="0"/>
          <w:kern w:val="0"/>
          <w:sz w:val="21"/>
          <w:szCs w:val="21"/>
          <w:shd w:val="clear" w:fill="FFFFFF"/>
          <w:vertAlign w:val="baseline"/>
          <w:lang w:val="en-US" w:eastAsia="zh-CN" w:bidi="ar"/>
        </w:rPr>
        <w:t>，典型场景重要数据识别示例</w:t>
      </w:r>
      <w:r>
        <w:rPr>
          <w:rFonts w:hint="eastAsia" w:ascii="宋体" w:hAnsi="宋体" w:eastAsia="宋体" w:cs="宋体"/>
          <w:spacing w:val="0"/>
          <w:sz w:val="21"/>
          <w:szCs w:val="21"/>
          <w:lang w:val="en-US" w:eastAsia="zh-CN"/>
        </w:rPr>
        <w:t>见附录</w:t>
      </w:r>
      <w:r>
        <w:rPr>
          <w:rFonts w:hint="eastAsia" w:cs="宋体"/>
          <w:spacing w:val="0"/>
          <w:sz w:val="21"/>
          <w:szCs w:val="21"/>
          <w:lang w:val="en-US" w:eastAsia="zh-CN"/>
        </w:rPr>
        <w:t>A</w:t>
      </w:r>
      <w:r>
        <w:rPr>
          <w:rFonts w:hint="eastAsia" w:ascii="宋体" w:hAnsi="宋体" w:cs="宋体"/>
          <w:spacing w:val="0"/>
          <w:sz w:val="21"/>
          <w:szCs w:val="21"/>
          <w:lang w:val="en-US" w:eastAsia="zh-CN"/>
        </w:rPr>
        <w:t>；</w:t>
      </w:r>
    </w:p>
    <w:p w14:paraId="3FC815E8">
      <w:pPr>
        <w:keepNext w:val="0"/>
        <w:keepLines w:val="0"/>
        <w:pageBreakBefore w:val="0"/>
        <w:numPr>
          <w:ilvl w:val="0"/>
          <w:numId w:val="13"/>
        </w:numPr>
        <w:kinsoku/>
        <w:wordWrap/>
        <w:overflowPunct/>
        <w:topLinePunct w:val="0"/>
        <w:bidi w:val="0"/>
        <w:adjustRightInd/>
        <w:snapToGrid/>
        <w:spacing w:line="360" w:lineRule="auto"/>
        <w:textAlignment w:val="auto"/>
        <w:rPr>
          <w:rFonts w:hint="eastAsia" w:ascii="宋体" w:hAnsi="宋体" w:eastAsia="宋体" w:cs="宋体"/>
          <w:i w:val="0"/>
          <w:iCs w:val="0"/>
          <w:caps w:val="0"/>
          <w:color w:val="060607"/>
          <w:spacing w:val="0"/>
          <w:sz w:val="21"/>
          <w:szCs w:val="21"/>
          <w:shd w:val="clear" w:fill="FFFFFF"/>
          <w:lang w:val="en-US" w:eastAsia="zh-CN"/>
        </w:rPr>
      </w:pPr>
      <w:r>
        <w:rPr>
          <w:rFonts w:hint="eastAsia" w:ascii="宋体" w:hAnsi="宋体" w:eastAsia="宋体" w:cs="宋体"/>
          <w:i w:val="0"/>
          <w:iCs w:val="0"/>
          <w:caps w:val="0"/>
          <w:color w:val="060607"/>
          <w:spacing w:val="0"/>
          <w:sz w:val="21"/>
          <w:szCs w:val="21"/>
          <w:shd w:val="clear" w:fill="FFFFFF"/>
          <w:lang w:val="en-US" w:eastAsia="zh-CN"/>
        </w:rPr>
        <w:t>核心数据：在重要数据范围内，对国家战略保障造成直接危害或重大风险，或易引发特别重大生产安全事故</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特别重大质量事故或突发环境事件，或造成直接经济损失特别巨大的重要数据识别为核心数据</w:t>
      </w:r>
      <w:r>
        <w:rPr>
          <w:rFonts w:hint="eastAsia" w:ascii="宋体" w:hAnsi="宋体" w:cs="宋体"/>
          <w:spacing w:val="0"/>
          <w:sz w:val="21"/>
          <w:szCs w:val="21"/>
          <w:lang w:val="en-US" w:eastAsia="zh-CN"/>
        </w:rPr>
        <w:t>；</w:t>
      </w:r>
    </w:p>
    <w:p w14:paraId="797F686B">
      <w:pPr>
        <w:keepNext w:val="0"/>
        <w:keepLines w:val="0"/>
        <w:pageBreakBefore w:val="0"/>
        <w:numPr>
          <w:ilvl w:val="0"/>
          <w:numId w:val="13"/>
        </w:numPr>
        <w:kinsoku/>
        <w:wordWrap/>
        <w:overflowPunct/>
        <w:topLinePunct w:val="0"/>
        <w:bidi w:val="0"/>
        <w:adjustRightInd/>
        <w:snapToGrid/>
        <w:spacing w:line="360" w:lineRule="auto"/>
        <w:textAlignment w:val="auto"/>
        <w:rPr>
          <w:rFonts w:hint="eastAsia" w:ascii="宋体" w:hAnsi="宋体" w:eastAsia="宋体" w:cs="宋体"/>
          <w:i w:val="0"/>
          <w:iCs w:val="0"/>
          <w:caps w:val="0"/>
          <w:color w:val="060607"/>
          <w:spacing w:val="0"/>
          <w:sz w:val="21"/>
          <w:szCs w:val="21"/>
          <w:shd w:val="clear" w:fill="FFFFFF"/>
          <w:lang w:val="en-US" w:eastAsia="zh-CN"/>
        </w:rPr>
      </w:pPr>
      <w:r>
        <w:rPr>
          <w:rFonts w:hint="eastAsia" w:ascii="宋体" w:hAnsi="宋体" w:eastAsia="宋体" w:cs="宋体"/>
          <w:i w:val="0"/>
          <w:iCs w:val="0"/>
          <w:caps w:val="0"/>
          <w:color w:val="060607"/>
          <w:spacing w:val="0"/>
          <w:sz w:val="21"/>
          <w:szCs w:val="21"/>
          <w:shd w:val="clear" w:fill="FFFFFF"/>
          <w:lang w:val="en-US" w:eastAsia="zh-CN"/>
        </w:rPr>
        <w:t>一般数据：未识别为核心数据、重要数据的其他数据</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确定为一般数据；</w:t>
      </w:r>
    </w:p>
    <w:p w14:paraId="78CD0FD6">
      <w:pPr>
        <w:keepNext w:val="0"/>
        <w:keepLines w:val="0"/>
        <w:pageBreakBefore w:val="0"/>
        <w:numPr>
          <w:ilvl w:val="0"/>
          <w:numId w:val="13"/>
        </w:numPr>
        <w:kinsoku/>
        <w:wordWrap/>
        <w:overflowPunct/>
        <w:topLinePunct w:val="0"/>
        <w:bidi w:val="0"/>
        <w:adjustRightInd/>
        <w:snapToGrid/>
        <w:spacing w:line="360" w:lineRule="auto"/>
        <w:textAlignment w:val="auto"/>
        <w:rPr>
          <w:rFonts w:hint="eastAsia" w:ascii="宋体" w:hAnsi="宋体" w:eastAsia="宋体" w:cs="宋体"/>
          <w:i w:val="0"/>
          <w:iCs w:val="0"/>
          <w:caps w:val="0"/>
          <w:color w:val="060607"/>
          <w:spacing w:val="0"/>
          <w:sz w:val="21"/>
          <w:szCs w:val="21"/>
          <w:shd w:val="clear" w:fill="FFFFFF"/>
          <w:lang w:val="en-US" w:eastAsia="zh-CN"/>
        </w:rPr>
      </w:pPr>
      <w:r>
        <w:rPr>
          <w:rFonts w:hint="eastAsia" w:ascii="宋体" w:hAnsi="宋体" w:eastAsia="宋体" w:cs="宋体"/>
          <w:i w:val="0"/>
          <w:iCs w:val="0"/>
          <w:caps w:val="0"/>
          <w:color w:val="060607"/>
          <w:spacing w:val="0"/>
          <w:sz w:val="21"/>
          <w:szCs w:val="21"/>
          <w:shd w:val="clear" w:fill="FFFFFF"/>
          <w:lang w:val="en-US" w:eastAsia="zh-CN"/>
        </w:rPr>
        <w:t>如待分级数据涉及多个要素、多个影响对象</w:t>
      </w:r>
      <w:r>
        <w:rPr>
          <w:rFonts w:hint="eastAsia" w:ascii="宋体" w:hAnsi="宋体" w:cs="宋体"/>
          <w:i w:val="0"/>
          <w:iCs w:val="0"/>
          <w:caps w:val="0"/>
          <w:color w:val="060607"/>
          <w:spacing w:val="0"/>
          <w:sz w:val="21"/>
          <w:szCs w:val="21"/>
          <w:shd w:val="clear" w:fill="FFFFFF"/>
          <w:lang w:val="en-US" w:eastAsia="zh-CN"/>
        </w:rPr>
        <w:t>和</w:t>
      </w:r>
      <w:r>
        <w:rPr>
          <w:rFonts w:hint="eastAsia" w:cs="宋体"/>
          <w:spacing w:val="0"/>
          <w:sz w:val="21"/>
          <w:szCs w:val="21"/>
          <w:lang w:val="en-US" w:eastAsia="zh-CN"/>
        </w:rPr>
        <w:t>危害</w:t>
      </w:r>
      <w:r>
        <w:rPr>
          <w:rFonts w:hint="eastAsia" w:ascii="宋体" w:hAnsi="宋体" w:eastAsia="宋体" w:cs="宋体"/>
          <w:i w:val="0"/>
          <w:iCs w:val="0"/>
          <w:caps w:val="0"/>
          <w:color w:val="060607"/>
          <w:spacing w:val="0"/>
          <w:sz w:val="21"/>
          <w:szCs w:val="21"/>
          <w:shd w:val="clear" w:fill="FFFFFF"/>
          <w:lang w:val="en-US" w:eastAsia="zh-CN"/>
        </w:rPr>
        <w:t>程度</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应按照</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就高从严、叠加评估</w:t>
      </w:r>
      <w:r>
        <w:rPr>
          <w:rFonts w:hint="eastAsia" w:ascii="宋体" w:hAnsi="宋体" w:cs="宋体"/>
          <w:i w:val="0"/>
          <w:iCs w:val="0"/>
          <w:caps w:val="0"/>
          <w:color w:val="060607"/>
          <w:spacing w:val="0"/>
          <w:sz w:val="21"/>
          <w:szCs w:val="21"/>
          <w:shd w:val="clear" w:fill="FFFFFF"/>
          <w:lang w:val="en-US" w:eastAsia="zh-CN"/>
        </w:rPr>
        <w:t>”的</w:t>
      </w:r>
      <w:r>
        <w:rPr>
          <w:rFonts w:hint="eastAsia" w:ascii="宋体" w:hAnsi="宋体" w:eastAsia="宋体" w:cs="宋体"/>
          <w:i w:val="0"/>
          <w:iCs w:val="0"/>
          <w:caps w:val="0"/>
          <w:color w:val="060607"/>
          <w:spacing w:val="0"/>
          <w:sz w:val="21"/>
          <w:szCs w:val="21"/>
          <w:shd w:val="clear" w:fill="FFFFFF"/>
          <w:lang w:val="en-US" w:eastAsia="zh-CN"/>
        </w:rPr>
        <w:t>原则确定数据级别；</w:t>
      </w:r>
    </w:p>
    <w:p w14:paraId="48C699EE">
      <w:pPr>
        <w:keepNext w:val="0"/>
        <w:keepLines w:val="0"/>
        <w:pageBreakBefore w:val="0"/>
        <w:numPr>
          <w:ilvl w:val="0"/>
          <w:numId w:val="13"/>
        </w:numPr>
        <w:kinsoku/>
        <w:wordWrap/>
        <w:overflowPunct/>
        <w:topLinePunct w:val="0"/>
        <w:bidi w:val="0"/>
        <w:adjustRightInd/>
        <w:snapToGrid/>
        <w:spacing w:line="360" w:lineRule="auto"/>
        <w:textAlignment w:val="auto"/>
        <w:rPr>
          <w:rFonts w:hint="eastAsia" w:ascii="宋体" w:hAnsi="宋体" w:eastAsia="宋体" w:cs="宋体"/>
          <w:i w:val="0"/>
          <w:iCs w:val="0"/>
          <w:caps w:val="0"/>
          <w:color w:val="060607"/>
          <w:spacing w:val="0"/>
          <w:sz w:val="21"/>
          <w:szCs w:val="21"/>
          <w:shd w:val="clear" w:fill="FFFFFF"/>
          <w:lang w:val="en-US" w:eastAsia="zh-CN"/>
        </w:rPr>
      </w:pPr>
      <w:r>
        <w:rPr>
          <w:rFonts w:hint="eastAsia" w:ascii="宋体" w:hAnsi="宋体" w:eastAsia="宋体" w:cs="宋体"/>
          <w:i w:val="0"/>
          <w:iCs w:val="0"/>
          <w:caps w:val="0"/>
          <w:color w:val="060607"/>
          <w:spacing w:val="0"/>
          <w:sz w:val="21"/>
          <w:szCs w:val="21"/>
          <w:shd w:val="clear" w:fill="FFFFFF"/>
          <w:lang w:val="en-US" w:eastAsia="zh-CN"/>
        </w:rPr>
        <w:t>应建立定期复核机制，每年或重大变更后对已识别的重要数据进行再评估</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根据数据重要程度和可能造成的危害程度的变化</w:t>
      </w:r>
      <w:r>
        <w:rPr>
          <w:rFonts w:hint="eastAsia" w:ascii="宋体" w:hAnsi="宋体" w:cs="宋体"/>
          <w:i w:val="0"/>
          <w:iCs w:val="0"/>
          <w:caps w:val="0"/>
          <w:color w:val="060607"/>
          <w:spacing w:val="0"/>
          <w:sz w:val="21"/>
          <w:szCs w:val="21"/>
          <w:shd w:val="clear" w:fill="FFFFFF"/>
          <w:lang w:val="en-US" w:eastAsia="zh-CN"/>
        </w:rPr>
        <w:t>，</w:t>
      </w:r>
      <w:r>
        <w:rPr>
          <w:rFonts w:hint="eastAsia" w:ascii="宋体" w:hAnsi="宋体" w:eastAsia="宋体" w:cs="宋体"/>
          <w:i w:val="0"/>
          <w:iCs w:val="0"/>
          <w:caps w:val="0"/>
          <w:color w:val="060607"/>
          <w:spacing w:val="0"/>
          <w:sz w:val="21"/>
          <w:szCs w:val="21"/>
          <w:shd w:val="clear" w:fill="FFFFFF"/>
          <w:lang w:val="en-US" w:eastAsia="zh-CN"/>
        </w:rPr>
        <w:t>对数据级别进行动态更新。</w:t>
      </w:r>
    </w:p>
    <w:p w14:paraId="65E6CE48">
      <w:pPr>
        <w:pStyle w:val="34"/>
        <w:keepNext w:val="0"/>
        <w:keepLines w:val="0"/>
        <w:pageBreakBefore w:val="0"/>
        <w:widowControl/>
        <w:numPr>
          <w:ilvl w:val="0"/>
          <w:numId w:val="0"/>
        </w:numPr>
        <w:kinsoku/>
        <w:wordWrap/>
        <w:overflowPunct/>
        <w:topLinePunct w:val="0"/>
        <w:autoSpaceDE/>
        <w:autoSpaceDN/>
        <w:bidi w:val="0"/>
        <w:adjustRightInd/>
        <w:snapToGrid/>
        <w:spacing w:after="157" w:afterLines="50"/>
        <w:ind w:leftChars="0"/>
        <w:textAlignment w:val="auto"/>
        <w:outlineLvl w:val="0"/>
        <w:rPr>
          <w:rFonts w:hint="eastAsia" w:cs="Times New Roman"/>
          <w:b w:val="0"/>
          <w:bCs/>
          <w:lang w:val="en-US" w:eastAsia="zh-CN"/>
        </w:rPr>
      </w:pPr>
      <w:bookmarkStart w:id="21" w:name="_Toc6696"/>
      <w:r>
        <w:rPr>
          <w:rFonts w:hint="eastAsia" w:cs="Times New Roman"/>
          <w:b w:val="0"/>
          <w:bCs/>
          <w:lang w:val="en-US" w:eastAsia="zh-CN"/>
        </w:rPr>
        <w:t>7  数据分类分级流程</w:t>
      </w:r>
      <w:bookmarkEnd w:id="21"/>
    </w:p>
    <w:p w14:paraId="0D4FDBB4">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22" w:name="_Toc23149"/>
      <w:r>
        <w:rPr>
          <w:rFonts w:hint="eastAsia" w:ascii="黑体" w:hAnsi="黑体" w:cs="黑体"/>
          <w:b w:val="0"/>
          <w:bCs w:val="0"/>
          <w:lang w:val="en-US" w:eastAsia="zh-CN"/>
        </w:rPr>
        <w:t>7.1 概述</w:t>
      </w:r>
      <w:bookmarkEnd w:id="22"/>
    </w:p>
    <w:p w14:paraId="475D8893">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有色金属行业企业作为工业数据处理者，可按照数据资产梳理、重要数据识别、内部审批、重要数据目录备案四个阶段开展数据分类分级工作</w:t>
      </w:r>
      <w:r>
        <w:rPr>
          <w:rFonts w:hint="eastAsia" w:cs="宋体"/>
          <w:sz w:val="21"/>
          <w:szCs w:val="21"/>
          <w:lang w:val="en-US" w:eastAsia="zh-CN"/>
        </w:rPr>
        <w:t>。</w:t>
      </w:r>
    </w:p>
    <w:p w14:paraId="75114B43">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23" w:name="_Toc29460"/>
      <w:r>
        <w:rPr>
          <w:rFonts w:hint="eastAsia" w:ascii="黑体" w:hAnsi="黑体" w:cs="黑体"/>
          <w:b w:val="0"/>
          <w:bCs w:val="0"/>
          <w:lang w:val="en-US" w:eastAsia="zh-CN"/>
        </w:rPr>
        <w:t>7.2 数据资产梳理</w:t>
      </w:r>
      <w:bookmarkEnd w:id="23"/>
    </w:p>
    <w:p w14:paraId="6FA0080B">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组织相关数据</w:t>
      </w:r>
      <w:r>
        <w:rPr>
          <w:rFonts w:hint="eastAsia" w:cs="宋体"/>
          <w:sz w:val="21"/>
          <w:szCs w:val="21"/>
          <w:lang w:val="en-US" w:eastAsia="zh-CN"/>
        </w:rPr>
        <w:t>归</w:t>
      </w:r>
      <w:r>
        <w:rPr>
          <w:rFonts w:hint="eastAsia" w:ascii="宋体" w:hAnsi="宋体" w:eastAsia="宋体" w:cs="宋体"/>
          <w:sz w:val="21"/>
          <w:szCs w:val="21"/>
          <w:lang w:val="en-US" w:eastAsia="zh-CN"/>
        </w:rPr>
        <w:t>属部门（如研发、生产、运维部门等），梳理盘点数据资产，</w:t>
      </w:r>
      <w:r>
        <w:rPr>
          <w:rFonts w:hint="eastAsia" w:cs="宋体"/>
          <w:sz w:val="21"/>
          <w:szCs w:val="21"/>
          <w:lang w:val="en-US" w:eastAsia="zh-CN"/>
        </w:rPr>
        <w:t>先</w:t>
      </w:r>
      <w:r>
        <w:rPr>
          <w:rFonts w:hint="eastAsia" w:ascii="宋体" w:hAnsi="宋体" w:eastAsia="宋体" w:cs="宋体"/>
          <w:sz w:val="21"/>
          <w:szCs w:val="21"/>
          <w:lang w:val="en-US" w:eastAsia="zh-CN"/>
        </w:rPr>
        <w:t>分类</w:t>
      </w:r>
      <w:r>
        <w:rPr>
          <w:rFonts w:hint="eastAsia" w:cs="宋体"/>
          <w:sz w:val="21"/>
          <w:szCs w:val="21"/>
          <w:lang w:val="en-US" w:eastAsia="zh-CN"/>
        </w:rPr>
        <w:t>再</w:t>
      </w:r>
      <w:r>
        <w:rPr>
          <w:rFonts w:hint="eastAsia" w:ascii="宋体" w:hAnsi="宋体" w:eastAsia="宋体" w:cs="宋体"/>
          <w:sz w:val="21"/>
          <w:szCs w:val="21"/>
          <w:lang w:val="en-US" w:eastAsia="zh-CN"/>
        </w:rPr>
        <w:t>分级</w:t>
      </w:r>
      <w:r>
        <w:rPr>
          <w:rFonts w:hint="eastAsia" w:cs="宋体"/>
          <w:sz w:val="21"/>
          <w:szCs w:val="21"/>
          <w:lang w:val="en-US" w:eastAsia="zh-CN"/>
        </w:rPr>
        <w:t>，对涉及国家秘密的数据</w:t>
      </w:r>
      <w:r>
        <w:rPr>
          <w:rFonts w:hint="eastAsia" w:cs="Times New Roman"/>
          <w:spacing w:val="0"/>
          <w:sz w:val="21"/>
          <w:lang w:val="en-US" w:eastAsia="zh-CN"/>
        </w:rPr>
        <w:t>依据</w:t>
      </w:r>
      <w:r>
        <w:rPr>
          <w:rFonts w:hint="default" w:ascii="Times New Roman" w:hAnsi="Times New Roman" w:eastAsia="宋体" w:cs="Times New Roman"/>
          <w:spacing w:val="0"/>
          <w:sz w:val="21"/>
          <w:lang w:val="en-US" w:eastAsia="zh-CN"/>
        </w:rPr>
        <w:t>《中华人民共和国保守国家秘密法》等法律、行政法规</w:t>
      </w:r>
      <w:r>
        <w:rPr>
          <w:rFonts w:hint="eastAsia" w:cs="Times New Roman"/>
          <w:spacing w:val="0"/>
          <w:sz w:val="21"/>
          <w:lang w:val="en-US" w:eastAsia="zh-CN"/>
        </w:rPr>
        <w:t>进行管理</w:t>
      </w:r>
      <w:r>
        <w:rPr>
          <w:rFonts w:hint="eastAsia" w:cs="宋体"/>
          <w:sz w:val="21"/>
          <w:szCs w:val="21"/>
          <w:lang w:val="en-US" w:eastAsia="zh-CN"/>
        </w:rPr>
        <w:t>，</w:t>
      </w:r>
      <w:r>
        <w:rPr>
          <w:rFonts w:hint="eastAsia" w:ascii="宋体" w:hAnsi="宋体" w:eastAsia="宋体" w:cs="宋体"/>
          <w:sz w:val="21"/>
          <w:szCs w:val="21"/>
          <w:lang w:val="en-US" w:eastAsia="zh-CN"/>
        </w:rPr>
        <w:t>对</w:t>
      </w:r>
      <w:r>
        <w:rPr>
          <w:rFonts w:hint="eastAsia" w:cs="宋体"/>
          <w:sz w:val="21"/>
          <w:szCs w:val="21"/>
          <w:lang w:val="en-US" w:eastAsia="zh-CN"/>
        </w:rPr>
        <w:t>不涉及国家秘密的</w:t>
      </w:r>
      <w:r>
        <w:rPr>
          <w:rFonts w:hint="eastAsia" w:ascii="宋体" w:hAnsi="宋体" w:eastAsia="宋体" w:cs="宋体"/>
          <w:sz w:val="21"/>
          <w:szCs w:val="21"/>
          <w:lang w:val="en-US" w:eastAsia="zh-CN"/>
        </w:rPr>
        <w:t>数据进</w:t>
      </w:r>
      <w:r>
        <w:rPr>
          <w:rFonts w:hint="eastAsia" w:cs="宋体"/>
          <w:sz w:val="21"/>
          <w:szCs w:val="21"/>
          <w:lang w:val="en-US" w:eastAsia="zh-CN"/>
        </w:rPr>
        <w:t>一步</w:t>
      </w:r>
      <w:r>
        <w:rPr>
          <w:rFonts w:hint="eastAsia" w:ascii="宋体" w:hAnsi="宋体" w:eastAsia="宋体" w:cs="宋体"/>
          <w:sz w:val="21"/>
          <w:szCs w:val="21"/>
          <w:lang w:val="en-US" w:eastAsia="zh-CN"/>
        </w:rPr>
        <w:t>分类，形成数据资产清单</w:t>
      </w:r>
      <w:r>
        <w:rPr>
          <w:rFonts w:hint="eastAsia" w:cs="宋体"/>
          <w:sz w:val="21"/>
          <w:szCs w:val="21"/>
          <w:lang w:val="en-US" w:eastAsia="zh-CN"/>
        </w:rPr>
        <w:t>，其中对外共享</w:t>
      </w:r>
      <w:r>
        <w:rPr>
          <w:rFonts w:hint="eastAsia" w:ascii="宋体" w:hAnsi="宋体" w:eastAsia="宋体" w:cs="宋体"/>
          <w:sz w:val="21"/>
          <w:szCs w:val="21"/>
          <w:lang w:val="en-US" w:eastAsia="zh-CN"/>
        </w:rPr>
        <w:t>、</w:t>
      </w:r>
      <w:r>
        <w:rPr>
          <w:rFonts w:hint="eastAsia" w:cs="宋体"/>
          <w:sz w:val="21"/>
          <w:szCs w:val="21"/>
          <w:lang w:val="en-US" w:eastAsia="zh-CN"/>
        </w:rPr>
        <w:t>出境</w:t>
      </w:r>
      <w:r>
        <w:rPr>
          <w:rFonts w:hint="eastAsia" w:ascii="宋体" w:hAnsi="宋体" w:eastAsia="宋体" w:cs="宋体"/>
          <w:sz w:val="21"/>
          <w:szCs w:val="21"/>
          <w:lang w:val="en-US" w:eastAsia="zh-CN"/>
        </w:rPr>
        <w:t>数据等</w:t>
      </w:r>
      <w:r>
        <w:rPr>
          <w:rFonts w:hint="eastAsia" w:cs="宋体"/>
          <w:sz w:val="21"/>
          <w:szCs w:val="21"/>
          <w:lang w:val="en-US" w:eastAsia="zh-CN"/>
        </w:rPr>
        <w:t>处理情况应加以标识</w:t>
      </w:r>
      <w:r>
        <w:rPr>
          <w:rFonts w:hint="eastAsia" w:ascii="宋体" w:hAnsi="宋体" w:eastAsia="宋体" w:cs="宋体"/>
          <w:sz w:val="21"/>
          <w:szCs w:val="21"/>
          <w:lang w:val="en-US" w:eastAsia="zh-CN"/>
        </w:rPr>
        <w:t>。</w:t>
      </w:r>
    </w:p>
    <w:p w14:paraId="550F2373">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highlight w:val="none"/>
          <w:lang w:val="en-US" w:eastAsia="zh-CN"/>
        </w:rPr>
        <w:t>数据资产清单包括数据类别</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数据项名称</w:t>
      </w:r>
      <w:r>
        <w:rPr>
          <w:rFonts w:hint="eastAsia" w:ascii="宋体" w:hAnsi="宋体" w:eastAsia="宋体" w:cs="宋体"/>
          <w:sz w:val="21"/>
          <w:szCs w:val="21"/>
          <w:highlight w:val="none"/>
          <w:lang w:val="en-US" w:eastAsia="zh-CN"/>
        </w:rPr>
        <w:tab/>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数据级别</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数据量</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处理频率</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数据处理目的</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数据处理场景</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数据载体</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是否涉及数据出境</w:t>
      </w:r>
      <w:r>
        <w:rPr>
          <w:rFonts w:hint="eastAsia" w:ascii="宋体" w:hAnsi="宋体" w:eastAsia="宋体" w:cs="宋体"/>
          <w:sz w:val="21"/>
          <w:szCs w:val="21"/>
          <w:highlight w:val="none"/>
          <w:lang w:val="en-US" w:eastAsia="zh-CN"/>
        </w:rPr>
        <w:tab/>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数据备份情况等信息，不含数据内容本身。</w:t>
      </w:r>
    </w:p>
    <w:p w14:paraId="48FE2A78">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24" w:name="_Toc3820"/>
      <w:r>
        <w:rPr>
          <w:rFonts w:hint="eastAsia" w:ascii="黑体" w:hAnsi="黑体" w:cs="黑体"/>
          <w:b w:val="0"/>
          <w:bCs w:val="0"/>
          <w:lang w:val="en-US" w:eastAsia="zh-CN"/>
        </w:rPr>
        <w:t>7.3 重要数据识别</w:t>
      </w:r>
      <w:bookmarkEnd w:id="24"/>
    </w:p>
    <w:p w14:paraId="34445A55">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宋体"/>
          <w:sz w:val="21"/>
          <w:szCs w:val="21"/>
          <w:lang w:val="en-US" w:eastAsia="zh-CN"/>
        </w:rPr>
      </w:pPr>
      <w:r>
        <w:rPr>
          <w:rFonts w:hint="eastAsia" w:cs="宋体"/>
          <w:sz w:val="21"/>
          <w:szCs w:val="21"/>
          <w:lang w:val="en-US" w:eastAsia="zh-CN"/>
        </w:rPr>
        <w:t>依据6.3对数据资产进行</w:t>
      </w:r>
      <w:r>
        <w:rPr>
          <w:rFonts w:hint="eastAsia" w:ascii="宋体" w:hAnsi="宋体" w:eastAsia="宋体" w:cs="宋体"/>
          <w:sz w:val="21"/>
          <w:szCs w:val="21"/>
          <w:lang w:val="en-US" w:eastAsia="zh-CN"/>
        </w:rPr>
        <w:t>重要数据识别，</w:t>
      </w:r>
      <w:r>
        <w:rPr>
          <w:rFonts w:hint="eastAsia" w:cs="宋体"/>
          <w:sz w:val="21"/>
          <w:szCs w:val="21"/>
          <w:lang w:val="en-US" w:eastAsia="zh-CN"/>
        </w:rPr>
        <w:t>识别</w:t>
      </w:r>
      <w:r>
        <w:rPr>
          <w:rFonts w:hint="eastAsia" w:ascii="宋体" w:hAnsi="宋体" w:eastAsia="宋体" w:cs="宋体"/>
          <w:sz w:val="21"/>
          <w:szCs w:val="21"/>
          <w:lang w:val="en-US" w:eastAsia="zh-CN"/>
        </w:rPr>
        <w:t>重要数据</w:t>
      </w:r>
      <w:r>
        <w:rPr>
          <w:rFonts w:hint="eastAsia" w:cs="宋体"/>
          <w:sz w:val="21"/>
          <w:szCs w:val="21"/>
          <w:lang w:val="en-US" w:eastAsia="zh-CN"/>
        </w:rPr>
        <w:t>后</w:t>
      </w:r>
      <w:r>
        <w:rPr>
          <w:rFonts w:hint="eastAsia" w:ascii="宋体" w:hAnsi="宋体" w:eastAsia="宋体" w:cs="宋体"/>
          <w:sz w:val="21"/>
          <w:szCs w:val="21"/>
          <w:lang w:val="en-US" w:eastAsia="zh-CN"/>
        </w:rPr>
        <w:t>，</w:t>
      </w:r>
      <w:r>
        <w:rPr>
          <w:rFonts w:hint="eastAsia" w:cs="宋体"/>
          <w:sz w:val="21"/>
          <w:szCs w:val="21"/>
          <w:lang w:val="en-US" w:eastAsia="zh-CN"/>
        </w:rPr>
        <w:t>再</w:t>
      </w:r>
      <w:r>
        <w:rPr>
          <w:rFonts w:hint="eastAsia" w:ascii="宋体" w:hAnsi="宋体" w:eastAsia="宋体" w:cs="宋体"/>
          <w:sz w:val="21"/>
          <w:szCs w:val="21"/>
          <w:lang w:val="en-US" w:eastAsia="zh-CN"/>
        </w:rPr>
        <w:t>根据影响对象和危害程度</w:t>
      </w:r>
      <w:r>
        <w:rPr>
          <w:rFonts w:hint="eastAsia" w:cs="宋体"/>
          <w:sz w:val="21"/>
          <w:szCs w:val="21"/>
          <w:lang w:val="en-US" w:eastAsia="zh-CN"/>
        </w:rPr>
        <w:t>进一步判定</w:t>
      </w:r>
      <w:r>
        <w:rPr>
          <w:rFonts w:hint="eastAsia" w:ascii="宋体" w:hAnsi="宋体" w:eastAsia="宋体" w:cs="宋体"/>
          <w:sz w:val="21"/>
          <w:szCs w:val="21"/>
          <w:lang w:val="en-US" w:eastAsia="zh-CN"/>
        </w:rPr>
        <w:t>核心数据，</w:t>
      </w:r>
      <w:r>
        <w:rPr>
          <w:rFonts w:hint="eastAsia" w:cs="宋体"/>
          <w:sz w:val="21"/>
          <w:szCs w:val="21"/>
          <w:lang w:val="en-US" w:eastAsia="zh-CN"/>
        </w:rPr>
        <w:t>最终</w:t>
      </w:r>
      <w:r>
        <w:rPr>
          <w:rFonts w:hint="eastAsia" w:ascii="宋体" w:hAnsi="宋体" w:eastAsia="宋体" w:cs="宋体"/>
          <w:sz w:val="21"/>
          <w:szCs w:val="21"/>
          <w:lang w:val="en-US" w:eastAsia="zh-CN"/>
        </w:rPr>
        <w:t>确定核心数据、重要数据和一般数据的范围，形成数据分类分级清单</w:t>
      </w:r>
      <w:r>
        <w:rPr>
          <w:rFonts w:hint="eastAsia" w:cs="宋体"/>
          <w:sz w:val="21"/>
          <w:szCs w:val="21"/>
          <w:lang w:val="en-US" w:eastAsia="zh-CN"/>
        </w:rPr>
        <w:t>。</w:t>
      </w:r>
      <w:r>
        <w:rPr>
          <w:rFonts w:hint="eastAsia" w:ascii="宋体" w:hAnsi="宋体" w:eastAsia="宋体" w:cs="宋体"/>
          <w:sz w:val="21"/>
          <w:szCs w:val="21"/>
          <w:lang w:val="en-US" w:eastAsia="zh-CN"/>
        </w:rPr>
        <w:t>示例见附录</w:t>
      </w:r>
      <w:r>
        <w:rPr>
          <w:rFonts w:hint="eastAsia" w:cs="宋体"/>
          <w:sz w:val="21"/>
          <w:szCs w:val="21"/>
          <w:lang w:val="en-US" w:eastAsia="zh-CN"/>
        </w:rPr>
        <w:t>B</w:t>
      </w:r>
      <w:r>
        <w:rPr>
          <w:rFonts w:hint="eastAsia" w:ascii="宋体" w:hAnsi="宋体" w:eastAsia="宋体" w:cs="宋体"/>
          <w:sz w:val="21"/>
          <w:szCs w:val="21"/>
          <w:lang w:val="en-US" w:eastAsia="zh-CN"/>
        </w:rPr>
        <w:t>。</w:t>
      </w:r>
    </w:p>
    <w:p w14:paraId="7622B4F7">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highlight w:val="none"/>
          <w:lang w:val="en-US" w:eastAsia="zh-CN"/>
        </w:rPr>
      </w:pPr>
      <w:bookmarkStart w:id="25" w:name="_Toc29552"/>
      <w:r>
        <w:rPr>
          <w:rFonts w:hint="eastAsia" w:ascii="黑体" w:hAnsi="黑体" w:cs="黑体"/>
          <w:b w:val="0"/>
          <w:bCs w:val="0"/>
          <w:highlight w:val="none"/>
          <w:lang w:val="en-US" w:eastAsia="zh-CN"/>
        </w:rPr>
        <w:t>7.4 内部审批</w:t>
      </w:r>
      <w:bookmarkEnd w:id="25"/>
    </w:p>
    <w:p w14:paraId="75E2C503">
      <w:pPr>
        <w:pStyle w:val="30"/>
        <w:keepNext w:val="0"/>
        <w:keepLines w:val="0"/>
        <w:pageBreakBefore w:val="0"/>
        <w:kinsoku/>
        <w:wordWrap/>
        <w:overflowPunct/>
        <w:topLinePunct w:val="0"/>
        <w:bidi w:val="0"/>
        <w:adjustRightInd/>
        <w:snapToGrid/>
        <w:spacing w:line="360" w:lineRule="auto"/>
        <w:textAlignment w:val="auto"/>
        <w:rPr>
          <w:rFonts w:hint="eastAsia" w:cs="宋体"/>
          <w:sz w:val="21"/>
          <w:szCs w:val="21"/>
          <w:highlight w:val="none"/>
          <w:lang w:val="en-US" w:eastAsia="zh-CN"/>
        </w:rPr>
      </w:pPr>
      <w:r>
        <w:rPr>
          <w:rFonts w:hint="eastAsia" w:ascii="宋体" w:hAnsi="宋体" w:eastAsia="宋体" w:cs="宋体"/>
          <w:sz w:val="21"/>
          <w:szCs w:val="21"/>
          <w:highlight w:val="none"/>
          <w:lang w:val="en-US" w:eastAsia="zh-CN"/>
        </w:rPr>
        <w:t>数据分类分级清单完成后启动内部审批：</w:t>
      </w:r>
      <w:r>
        <w:rPr>
          <w:rFonts w:hint="eastAsia" w:cs="宋体"/>
          <w:sz w:val="21"/>
          <w:szCs w:val="21"/>
          <w:highlight w:val="none"/>
          <w:lang w:val="en-US" w:eastAsia="zh-CN"/>
        </w:rPr>
        <w:t>数据</w:t>
      </w:r>
      <w:r>
        <w:rPr>
          <w:rFonts w:hint="eastAsia" w:ascii="宋体" w:hAnsi="宋体" w:eastAsia="宋体" w:cs="宋体"/>
          <w:sz w:val="21"/>
          <w:szCs w:val="21"/>
          <w:highlight w:val="none"/>
          <w:lang w:val="en-US" w:eastAsia="zh-CN"/>
        </w:rPr>
        <w:t>归属部门初审</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核对分级准确合规性</w:t>
      </w:r>
      <w:r>
        <w:rPr>
          <w:rFonts w:hint="eastAsia" w:cs="宋体"/>
          <w:sz w:val="21"/>
          <w:szCs w:val="21"/>
          <w:highlight w:val="none"/>
          <w:lang w:val="en-US" w:eastAsia="zh-CN"/>
        </w:rPr>
        <w:t>；</w:t>
      </w:r>
      <w:r>
        <w:rPr>
          <w:rFonts w:hint="eastAsia" w:ascii="宋体" w:hAnsi="宋体" w:eastAsia="宋体" w:cs="宋体"/>
          <w:sz w:val="21"/>
          <w:szCs w:val="21"/>
          <w:highlight w:val="none"/>
          <w:lang w:val="en-US" w:eastAsia="zh-CN"/>
        </w:rPr>
        <w:t>数据管理部门联合安全、风控复审，核查是否契合法规标准、行业特性及管控要求</w:t>
      </w:r>
      <w:r>
        <w:rPr>
          <w:rFonts w:hint="eastAsia" w:cs="宋体"/>
          <w:sz w:val="21"/>
          <w:szCs w:val="21"/>
          <w:highlight w:val="none"/>
          <w:lang w:val="en-US" w:eastAsia="zh-CN"/>
        </w:rPr>
        <w:t>；企业</w:t>
      </w:r>
      <w:r>
        <w:rPr>
          <w:rFonts w:hint="eastAsia" w:ascii="宋体" w:hAnsi="宋体" w:eastAsia="宋体" w:cs="宋体"/>
          <w:sz w:val="21"/>
          <w:szCs w:val="21"/>
          <w:highlight w:val="none"/>
          <w:lang w:val="en-US" w:eastAsia="zh-CN"/>
        </w:rPr>
        <w:t>分管领导终审后形成正式数据目录；存争议项经联合评审修正后重新报审。</w:t>
      </w:r>
    </w:p>
    <w:p w14:paraId="324E2B4F">
      <w:pPr>
        <w:pStyle w:val="30"/>
        <w:keepNext w:val="0"/>
        <w:keepLines w:val="0"/>
        <w:pageBreakBefore w:val="0"/>
        <w:kinsoku/>
        <w:wordWrap/>
        <w:overflowPunct/>
        <w:topLinePunct w:val="0"/>
        <w:bidi w:val="0"/>
        <w:adjustRightInd/>
        <w:snapToGrid/>
        <w:spacing w:line="360" w:lineRule="auto"/>
        <w:textAlignment w:val="auto"/>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审批</w:t>
      </w:r>
      <w:r>
        <w:rPr>
          <w:rFonts w:hint="eastAsia" w:ascii="宋体" w:hAnsi="宋体" w:eastAsia="宋体" w:cs="宋体"/>
          <w:sz w:val="21"/>
          <w:szCs w:val="21"/>
          <w:highlight w:val="none"/>
          <w:lang w:val="en-US" w:eastAsia="zh-CN"/>
        </w:rPr>
        <w:t>全过程</w:t>
      </w:r>
      <w:r>
        <w:rPr>
          <w:rFonts w:hint="eastAsia" w:cs="宋体"/>
          <w:sz w:val="21"/>
          <w:szCs w:val="21"/>
          <w:highlight w:val="none"/>
          <w:lang w:val="en-US" w:eastAsia="zh-CN"/>
        </w:rPr>
        <w:t>应</w:t>
      </w:r>
      <w:r>
        <w:rPr>
          <w:rFonts w:hint="eastAsia" w:ascii="宋体" w:hAnsi="宋体" w:eastAsia="宋体" w:cs="宋体"/>
          <w:sz w:val="21"/>
          <w:szCs w:val="21"/>
          <w:highlight w:val="none"/>
          <w:lang w:val="en-US" w:eastAsia="zh-CN"/>
        </w:rPr>
        <w:t>规范留痕、归档备查。鼓励企业搭建线上审批系统，实现三级审批电子化流转，分级结果自动关联数据标签，电子记录同步归档。</w:t>
      </w:r>
    </w:p>
    <w:p w14:paraId="2B82950C">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lang w:val="en-US" w:eastAsia="zh-CN"/>
        </w:rPr>
      </w:pPr>
      <w:bookmarkStart w:id="26" w:name="_Toc8557"/>
      <w:r>
        <w:rPr>
          <w:rFonts w:hint="eastAsia" w:ascii="黑体" w:hAnsi="黑体" w:cs="黑体"/>
          <w:b w:val="0"/>
          <w:bCs w:val="0"/>
          <w:lang w:val="en-US" w:eastAsia="zh-CN"/>
        </w:rPr>
        <w:t>7.5 重要数据目录备案</w:t>
      </w:r>
      <w:bookmarkEnd w:id="26"/>
    </w:p>
    <w:p w14:paraId="03FBFA8B">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有色金属行业企业应将本单位重要数据</w:t>
      </w:r>
      <w:r>
        <w:rPr>
          <w:rFonts w:hint="eastAsia" w:cs="宋体"/>
          <w:sz w:val="21"/>
          <w:szCs w:val="21"/>
          <w:highlight w:val="none"/>
          <w:lang w:val="en-US" w:eastAsia="zh-CN"/>
        </w:rPr>
        <w:t>和</w:t>
      </w:r>
      <w:r>
        <w:rPr>
          <w:rFonts w:hint="eastAsia" w:ascii="宋体" w:hAnsi="宋体" w:eastAsia="宋体" w:cs="宋体"/>
          <w:sz w:val="21"/>
          <w:szCs w:val="21"/>
          <w:highlight w:val="none"/>
          <w:lang w:val="en-US" w:eastAsia="zh-CN"/>
        </w:rPr>
        <w:t>核心数据目录向属地工业和信息化主管部门等行业监管部门备案。备案内容包括数据来源、类别、级别、规模、载体、处理目的与方式、使用范围、责任主体、对外共享、跨境传输、安全保护措施等基本信息，不含数据内容本身。</w:t>
      </w:r>
      <w:r>
        <w:rPr>
          <w:rFonts w:hint="eastAsia" w:cs="宋体"/>
          <w:sz w:val="21"/>
          <w:szCs w:val="21"/>
          <w:highlight w:val="none"/>
          <w:lang w:val="en-US" w:eastAsia="zh-CN"/>
        </w:rPr>
        <w:t>备案样表</w:t>
      </w:r>
      <w:r>
        <w:rPr>
          <w:rFonts w:hint="eastAsia" w:ascii="宋体" w:hAnsi="宋体" w:eastAsia="宋体" w:cs="宋体"/>
          <w:sz w:val="21"/>
          <w:szCs w:val="21"/>
          <w:highlight w:val="none"/>
          <w:lang w:val="en-US" w:eastAsia="zh-CN"/>
        </w:rPr>
        <w:t>见附录</w:t>
      </w:r>
      <w:r>
        <w:rPr>
          <w:rFonts w:hint="eastAsia" w:cs="宋体"/>
          <w:sz w:val="21"/>
          <w:szCs w:val="21"/>
          <w:highlight w:val="none"/>
          <w:lang w:val="en-US" w:eastAsia="zh-CN"/>
        </w:rPr>
        <w:t>C</w:t>
      </w:r>
      <w:r>
        <w:rPr>
          <w:rFonts w:hint="eastAsia" w:ascii="宋体" w:hAnsi="宋体" w:eastAsia="宋体" w:cs="宋体"/>
          <w:sz w:val="21"/>
          <w:szCs w:val="21"/>
          <w:highlight w:val="none"/>
          <w:lang w:val="en-US" w:eastAsia="zh-CN"/>
        </w:rPr>
        <w:t>。</w:t>
      </w:r>
    </w:p>
    <w:p w14:paraId="3FC61918">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地方行业监管部门完成审核，对符合要求的予以备案并报送工业和信息化部。备案内容发生重大变化的，</w:t>
      </w:r>
      <w:r>
        <w:rPr>
          <w:rFonts w:hint="eastAsia" w:cs="宋体"/>
          <w:sz w:val="21"/>
          <w:szCs w:val="21"/>
          <w:highlight w:val="none"/>
          <w:lang w:val="en-US" w:eastAsia="zh-CN"/>
        </w:rPr>
        <w:t>如变更重要数据和核心数据的详细描述、处理目的与方式、对外共享等，</w:t>
      </w:r>
      <w:r>
        <w:rPr>
          <w:rFonts w:hint="eastAsia" w:ascii="宋体" w:hAnsi="宋体" w:eastAsia="宋体" w:cs="宋体"/>
          <w:sz w:val="21"/>
          <w:szCs w:val="21"/>
          <w:highlight w:val="none"/>
          <w:lang w:val="en-US" w:eastAsia="zh-CN"/>
        </w:rPr>
        <w:t>应在发生变化的三个月内完成备案信息变更</w:t>
      </w:r>
      <w:r>
        <w:rPr>
          <w:rFonts w:hint="eastAsia" w:cs="宋体"/>
          <w:sz w:val="21"/>
          <w:szCs w:val="21"/>
          <w:highlight w:val="none"/>
          <w:lang w:val="en-US" w:eastAsia="zh-CN"/>
        </w:rPr>
        <w:t>。</w:t>
      </w:r>
    </w:p>
    <w:p w14:paraId="7A79A9F6">
      <w:pPr>
        <w:pStyle w:val="35"/>
        <w:keepNext/>
        <w:keepLines/>
        <w:pageBreakBefore w:val="0"/>
        <w:widowControl w:val="0"/>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黑体" w:hAnsi="黑体" w:cs="黑体"/>
          <w:b w:val="0"/>
          <w:bCs w:val="0"/>
          <w:highlight w:val="none"/>
          <w:lang w:val="en-US" w:eastAsia="zh-CN"/>
        </w:rPr>
      </w:pPr>
      <w:bookmarkStart w:id="27" w:name="_Toc14797"/>
      <w:r>
        <w:rPr>
          <w:rFonts w:hint="eastAsia" w:ascii="黑体" w:hAnsi="黑体" w:cs="黑体"/>
          <w:b w:val="0"/>
          <w:bCs w:val="0"/>
          <w:highlight w:val="none"/>
          <w:lang w:val="en-US" w:eastAsia="zh-CN"/>
        </w:rPr>
        <w:t>7.6 动态更新机制</w:t>
      </w:r>
      <w:bookmarkEnd w:id="27"/>
    </w:p>
    <w:p w14:paraId="5309CC5D">
      <w:pPr>
        <w:pStyle w:val="30"/>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1"/>
          <w:szCs w:val="21"/>
          <w:lang w:val="en-US" w:eastAsia="zh-CN"/>
        </w:rPr>
      </w:pPr>
      <w:r>
        <w:rPr>
          <w:rFonts w:hint="eastAsia" w:cs="宋体"/>
          <w:sz w:val="21"/>
          <w:szCs w:val="21"/>
          <w:lang w:val="en-US" w:eastAsia="zh-CN"/>
        </w:rPr>
        <w:t>遇到以下情形的，应依据流程</w:t>
      </w:r>
      <w:r>
        <w:rPr>
          <w:rFonts w:hint="eastAsia" w:ascii="宋体" w:hAnsi="宋体" w:eastAsia="宋体" w:cs="宋体"/>
          <w:sz w:val="21"/>
          <w:szCs w:val="21"/>
          <w:lang w:val="en-US" w:eastAsia="zh-CN"/>
        </w:rPr>
        <w:t>对数据分类分级</w:t>
      </w:r>
      <w:r>
        <w:rPr>
          <w:rFonts w:hint="eastAsia" w:cs="宋体"/>
          <w:sz w:val="21"/>
          <w:szCs w:val="21"/>
          <w:lang w:val="en-US" w:eastAsia="zh-CN"/>
        </w:rPr>
        <w:t>结果进行</w:t>
      </w:r>
      <w:r>
        <w:rPr>
          <w:rFonts w:hint="eastAsia" w:ascii="宋体" w:hAnsi="宋体" w:eastAsia="宋体" w:cs="宋体"/>
          <w:sz w:val="21"/>
          <w:szCs w:val="21"/>
          <w:lang w:val="en-US" w:eastAsia="zh-CN"/>
        </w:rPr>
        <w:t>动态更新</w:t>
      </w:r>
      <w:r>
        <w:rPr>
          <w:rFonts w:hint="eastAsia" w:cs="宋体"/>
          <w:sz w:val="21"/>
          <w:szCs w:val="21"/>
          <w:lang w:val="en-US" w:eastAsia="zh-CN"/>
        </w:rPr>
        <w:t>及履行备案变更手续：</w:t>
      </w:r>
    </w:p>
    <w:p w14:paraId="46163472">
      <w:pPr>
        <w:keepNext w:val="0"/>
        <w:keepLines w:val="0"/>
        <w:pageBreakBefore w:val="0"/>
        <w:numPr>
          <w:ilvl w:val="0"/>
          <w:numId w:val="14"/>
        </w:numPr>
        <w:kinsoku/>
        <w:wordWrap/>
        <w:overflowPunct/>
        <w:topLinePunct w:val="0"/>
        <w:bidi w:val="0"/>
        <w:adjustRightInd/>
        <w:snapToGrid/>
        <w:spacing w:line="360" w:lineRule="auto"/>
        <w:textAlignment w:val="auto"/>
        <w:rPr>
          <w:rFonts w:hint="eastAsia" w:ascii="宋体" w:hAnsi="宋体" w:cs="宋体"/>
          <w:i w:val="0"/>
          <w:iCs w:val="0"/>
          <w:caps w:val="0"/>
          <w:color w:val="060607"/>
          <w:spacing w:val="0"/>
          <w:sz w:val="21"/>
          <w:szCs w:val="21"/>
          <w:shd w:val="clear" w:fill="FFFFFF"/>
          <w:lang w:val="en-US" w:eastAsia="zh-CN"/>
        </w:rPr>
      </w:pPr>
      <w:r>
        <w:rPr>
          <w:rFonts w:hint="eastAsia" w:ascii="宋体" w:hAnsi="宋体" w:cs="宋体"/>
          <w:i w:val="0"/>
          <w:iCs w:val="0"/>
          <w:caps w:val="0"/>
          <w:color w:val="060607"/>
          <w:spacing w:val="0"/>
          <w:sz w:val="21"/>
          <w:szCs w:val="21"/>
          <w:shd w:val="clear" w:fill="FFFFFF"/>
          <w:lang w:val="en-US" w:eastAsia="zh-CN"/>
        </w:rPr>
        <w:t>数据范围重大变化：新增、删减</w:t>
      </w:r>
      <w:r>
        <w:rPr>
          <w:rFonts w:hint="eastAsia" w:ascii="宋体" w:hAnsi="宋体" w:cs="宋体"/>
          <w:sz w:val="21"/>
          <w:szCs w:val="21"/>
          <w:lang w:val="en-US" w:eastAsia="zh-CN"/>
        </w:rPr>
        <w:t>或销毁、转移重要数据和核心数据</w:t>
      </w:r>
      <w:r>
        <w:rPr>
          <w:rFonts w:hint="eastAsia" w:ascii="宋体" w:hAnsi="宋体" w:eastAsia="宋体" w:cs="宋体"/>
          <w:sz w:val="21"/>
          <w:szCs w:val="21"/>
          <w:lang w:val="en-US" w:eastAsia="zh-CN"/>
        </w:rPr>
        <w:t>的</w:t>
      </w:r>
      <w:r>
        <w:rPr>
          <w:rFonts w:hint="eastAsia" w:ascii="宋体" w:hAnsi="宋体" w:cs="宋体"/>
          <w:i w:val="0"/>
          <w:iCs w:val="0"/>
          <w:caps w:val="0"/>
          <w:color w:val="060607"/>
          <w:spacing w:val="0"/>
          <w:sz w:val="21"/>
          <w:szCs w:val="21"/>
          <w:shd w:val="clear" w:fill="FFFFFF"/>
          <w:lang w:val="en-US" w:eastAsia="zh-CN"/>
        </w:rPr>
        <w:t>；</w:t>
      </w:r>
    </w:p>
    <w:p w14:paraId="54A1495B">
      <w:pPr>
        <w:keepNext w:val="0"/>
        <w:keepLines w:val="0"/>
        <w:pageBreakBefore w:val="0"/>
        <w:numPr>
          <w:ilvl w:val="0"/>
          <w:numId w:val="14"/>
        </w:numPr>
        <w:kinsoku/>
        <w:wordWrap/>
        <w:overflowPunct/>
        <w:topLinePunct w:val="0"/>
        <w:bidi w:val="0"/>
        <w:adjustRightInd/>
        <w:snapToGrid/>
        <w:spacing w:line="360" w:lineRule="auto"/>
        <w:textAlignment w:val="auto"/>
        <w:rPr>
          <w:rFonts w:hint="eastAsia" w:ascii="宋体" w:hAnsi="宋体" w:cs="宋体"/>
          <w:i w:val="0"/>
          <w:iCs w:val="0"/>
          <w:caps w:val="0"/>
          <w:color w:val="060607"/>
          <w:spacing w:val="0"/>
          <w:sz w:val="21"/>
          <w:szCs w:val="21"/>
          <w:shd w:val="clear" w:fill="FFFFFF"/>
          <w:lang w:val="en-US" w:eastAsia="zh-CN"/>
        </w:rPr>
      </w:pPr>
      <w:r>
        <w:rPr>
          <w:rFonts w:hint="eastAsia" w:ascii="宋体" w:hAnsi="宋体" w:cs="宋体"/>
          <w:i w:val="0"/>
          <w:iCs w:val="0"/>
          <w:caps w:val="0"/>
          <w:color w:val="060607"/>
          <w:spacing w:val="0"/>
          <w:sz w:val="21"/>
          <w:szCs w:val="21"/>
          <w:shd w:val="clear" w:fill="FFFFFF"/>
          <w:lang w:val="en-US" w:eastAsia="zh-CN"/>
        </w:rPr>
        <w:t>数据量级重大变化：重要数据和核心数据的类别或规模（条目数量或者存储总量）变化30%以上的；</w:t>
      </w:r>
    </w:p>
    <w:p w14:paraId="32C3D3EA">
      <w:pPr>
        <w:keepNext w:val="0"/>
        <w:keepLines w:val="0"/>
        <w:pageBreakBefore w:val="0"/>
        <w:numPr>
          <w:ilvl w:val="0"/>
          <w:numId w:val="14"/>
        </w:numPr>
        <w:kinsoku/>
        <w:wordWrap/>
        <w:overflowPunct/>
        <w:topLinePunct w:val="0"/>
        <w:bidi w:val="0"/>
        <w:adjustRightInd/>
        <w:snapToGrid/>
        <w:spacing w:line="360" w:lineRule="auto"/>
        <w:textAlignment w:val="auto"/>
        <w:rPr>
          <w:rFonts w:hint="eastAsia" w:ascii="宋体" w:hAnsi="宋体" w:cs="宋体"/>
          <w:i w:val="0"/>
          <w:iCs w:val="0"/>
          <w:caps w:val="0"/>
          <w:color w:val="060607"/>
          <w:spacing w:val="0"/>
          <w:sz w:val="21"/>
          <w:szCs w:val="21"/>
          <w:shd w:val="clear" w:fill="FFFFFF"/>
          <w:lang w:val="en-US" w:eastAsia="zh-CN"/>
        </w:rPr>
      </w:pPr>
      <w:r>
        <w:rPr>
          <w:rFonts w:hint="eastAsia" w:ascii="宋体" w:hAnsi="宋体" w:cs="宋体"/>
          <w:i w:val="0"/>
          <w:iCs w:val="0"/>
          <w:caps w:val="0"/>
          <w:color w:val="060607"/>
          <w:spacing w:val="0"/>
          <w:sz w:val="21"/>
          <w:szCs w:val="21"/>
          <w:shd w:val="clear" w:fill="FFFFFF"/>
          <w:lang w:val="en-US" w:eastAsia="zh-CN"/>
        </w:rPr>
        <w:t>数据用途重大变化：数据由内部使用转为对外共享、出境，或处理目的发生重大改变的；</w:t>
      </w:r>
    </w:p>
    <w:p w14:paraId="6C0E6BC7">
      <w:pPr>
        <w:keepNext w:val="0"/>
        <w:keepLines w:val="0"/>
        <w:pageBreakBefore w:val="0"/>
        <w:numPr>
          <w:ilvl w:val="0"/>
          <w:numId w:val="14"/>
        </w:numPr>
        <w:kinsoku/>
        <w:wordWrap/>
        <w:overflowPunct/>
        <w:topLinePunct w:val="0"/>
        <w:bidi w:val="0"/>
        <w:adjustRightInd/>
        <w:snapToGrid/>
        <w:spacing w:line="360" w:lineRule="auto"/>
        <w:textAlignment w:val="auto"/>
        <w:rPr>
          <w:rFonts w:hint="eastAsia" w:ascii="宋体" w:hAnsi="宋体" w:cs="宋体"/>
          <w:i w:val="0"/>
          <w:iCs w:val="0"/>
          <w:caps w:val="0"/>
          <w:color w:val="060607"/>
          <w:spacing w:val="0"/>
          <w:sz w:val="21"/>
          <w:szCs w:val="21"/>
          <w:shd w:val="clear" w:fill="FFFFFF"/>
          <w:lang w:val="en-US" w:eastAsia="zh-CN"/>
        </w:rPr>
      </w:pPr>
      <w:r>
        <w:rPr>
          <w:rFonts w:hint="eastAsia" w:ascii="宋体" w:hAnsi="宋体" w:cs="宋体"/>
          <w:i w:val="0"/>
          <w:iCs w:val="0"/>
          <w:caps w:val="0"/>
          <w:color w:val="060607"/>
          <w:spacing w:val="0"/>
          <w:sz w:val="21"/>
          <w:szCs w:val="21"/>
          <w:shd w:val="clear" w:fill="FFFFFF"/>
          <w:lang w:val="en-US" w:eastAsia="zh-CN"/>
        </w:rPr>
        <w:t>影响对象重大变化：数据安全影响范围由企业扩展至行业、公共利益或国家安全的；</w:t>
      </w:r>
    </w:p>
    <w:p w14:paraId="4C74CD31">
      <w:pPr>
        <w:keepNext w:val="0"/>
        <w:keepLines w:val="0"/>
        <w:pageBreakBefore w:val="0"/>
        <w:numPr>
          <w:ilvl w:val="0"/>
          <w:numId w:val="14"/>
        </w:numPr>
        <w:kinsoku/>
        <w:wordWrap/>
        <w:overflowPunct/>
        <w:topLinePunct w:val="0"/>
        <w:bidi w:val="0"/>
        <w:adjustRightInd/>
        <w:snapToGrid/>
        <w:spacing w:line="360" w:lineRule="auto"/>
        <w:textAlignment w:val="auto"/>
        <w:rPr>
          <w:rFonts w:hint="eastAsia" w:ascii="宋体" w:hAnsi="宋体" w:cs="宋体"/>
          <w:i w:val="0"/>
          <w:iCs w:val="0"/>
          <w:caps w:val="0"/>
          <w:color w:val="060607"/>
          <w:spacing w:val="0"/>
          <w:sz w:val="21"/>
          <w:szCs w:val="21"/>
          <w:shd w:val="clear" w:fill="FFFFFF"/>
          <w:lang w:val="en-US" w:eastAsia="zh-CN"/>
        </w:rPr>
      </w:pPr>
      <w:r>
        <w:rPr>
          <w:rFonts w:hint="eastAsia" w:ascii="宋体" w:hAnsi="宋体" w:eastAsia="宋体" w:cs="宋体"/>
          <w:sz w:val="21"/>
          <w:szCs w:val="21"/>
          <w:lang w:val="en-US" w:eastAsia="zh-CN"/>
        </w:rPr>
        <w:t>其他导致数据安全风险、重要程度</w:t>
      </w:r>
      <w:r>
        <w:rPr>
          <w:rFonts w:hint="eastAsia" w:ascii="宋体" w:hAnsi="宋体" w:cs="宋体"/>
          <w:sz w:val="21"/>
          <w:szCs w:val="21"/>
          <w:lang w:val="en-US" w:eastAsia="zh-CN"/>
        </w:rPr>
        <w:t>等</w:t>
      </w:r>
      <w:r>
        <w:rPr>
          <w:rFonts w:hint="eastAsia" w:ascii="宋体" w:hAnsi="宋体" w:eastAsia="宋体" w:cs="宋体"/>
          <w:sz w:val="21"/>
          <w:szCs w:val="21"/>
          <w:lang w:val="en-US" w:eastAsia="zh-CN"/>
        </w:rPr>
        <w:t>发生重大变化</w:t>
      </w:r>
      <w:r>
        <w:rPr>
          <w:rFonts w:hint="eastAsia" w:ascii="宋体" w:hAnsi="宋体" w:cs="宋体"/>
          <w:sz w:val="21"/>
          <w:szCs w:val="21"/>
          <w:lang w:val="en-US" w:eastAsia="zh-CN"/>
        </w:rPr>
        <w:t>的</w:t>
      </w:r>
      <w:r>
        <w:rPr>
          <w:rFonts w:hint="eastAsia" w:ascii="宋体" w:hAnsi="宋体" w:cs="宋体"/>
          <w:i w:val="0"/>
          <w:iCs w:val="0"/>
          <w:caps w:val="0"/>
          <w:color w:val="060607"/>
          <w:spacing w:val="0"/>
          <w:sz w:val="21"/>
          <w:szCs w:val="21"/>
          <w:shd w:val="clear" w:fill="FFFFFF"/>
          <w:lang w:val="en-US" w:eastAsia="zh-CN"/>
        </w:rPr>
        <w:t>。</w:t>
      </w:r>
    </w:p>
    <w:p w14:paraId="48BA488E">
      <w:pPr>
        <w:pStyle w:val="30"/>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宋体" w:hAnsi="宋体" w:eastAsia="宋体" w:cs="宋体"/>
          <w:i w:val="0"/>
          <w:iCs w:val="0"/>
          <w:caps w:val="0"/>
          <w:color w:val="060607"/>
          <w:spacing w:val="4"/>
          <w:sz w:val="21"/>
          <w:szCs w:val="21"/>
          <w:shd w:val="clear" w:fill="FFFFFF"/>
          <w:lang w:eastAsia="zh-CN"/>
        </w:rPr>
      </w:pPr>
    </w:p>
    <w:p w14:paraId="434A8E91">
      <w:pPr>
        <w:pStyle w:val="30"/>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宋体" w:hAnsi="宋体" w:eastAsia="宋体" w:cs="宋体"/>
          <w:i w:val="0"/>
          <w:iCs w:val="0"/>
          <w:caps w:val="0"/>
          <w:color w:val="060607"/>
          <w:spacing w:val="4"/>
          <w:sz w:val="21"/>
          <w:szCs w:val="21"/>
          <w:shd w:val="clear" w:fill="FFFFFF"/>
          <w:lang w:eastAsia="zh-CN"/>
        </w:rPr>
        <w:sectPr>
          <w:footerReference r:id="rId7" w:type="default"/>
          <w:pgSz w:w="11906" w:h="16838"/>
          <w:pgMar w:top="1417" w:right="1134" w:bottom="1134" w:left="1417" w:header="1418" w:footer="1134" w:gutter="0"/>
          <w:pgBorders>
            <w:top w:val="none" w:sz="0" w:space="0"/>
            <w:left w:val="none" w:sz="0" w:space="0"/>
            <w:bottom w:val="none" w:sz="0" w:space="0"/>
            <w:right w:val="none" w:sz="0" w:space="0"/>
          </w:pgBorders>
          <w:pgNumType w:fmt="decimal" w:start="1"/>
          <w:cols w:space="0" w:num="1"/>
          <w:formProt w:val="0"/>
          <w:rtlGutter w:val="0"/>
          <w:docGrid w:type="lines" w:linePitch="312" w:charSpace="0"/>
        </w:sectPr>
      </w:pPr>
    </w:p>
    <w:p w14:paraId="49313D4A">
      <w:pPr>
        <w:pStyle w:val="33"/>
        <w:keepNext/>
        <w:keepLines w:val="0"/>
        <w:pageBreakBefore/>
        <w:widowControl/>
        <w:shd w:val="clear" w:color="FFFFFF" w:fill="FFFFFF"/>
        <w:kinsoku/>
        <w:wordWrap/>
        <w:overflowPunct/>
        <w:topLinePunct w:val="0"/>
        <w:autoSpaceDE/>
        <w:autoSpaceDN/>
        <w:bidi w:val="0"/>
        <w:adjustRightInd/>
        <w:snapToGrid/>
        <w:spacing w:before="0" w:after="0" w:line="360" w:lineRule="auto"/>
        <w:textAlignment w:val="auto"/>
        <w:rPr>
          <w:rFonts w:hint="default" w:ascii="黑体" w:hAnsi="黑体" w:eastAsia="黑体" w:cs="黑体"/>
          <w:b w:val="0"/>
          <w:bCs w:val="0"/>
          <w:sz w:val="21"/>
          <w:szCs w:val="21"/>
          <w:lang w:val="en-US" w:eastAsia="zh-CN"/>
        </w:rPr>
      </w:pPr>
      <w:bookmarkStart w:id="28" w:name="_Toc10968"/>
      <w:r>
        <w:rPr>
          <w:rFonts w:hint="eastAsia" w:ascii="黑体" w:hAnsi="黑体" w:eastAsia="黑体" w:cs="黑体"/>
          <w:b w:val="0"/>
          <w:bCs w:val="0"/>
          <w:sz w:val="21"/>
          <w:szCs w:val="21"/>
          <w:lang w:val="en-US" w:eastAsia="zh-CN"/>
        </w:rPr>
        <w:t xml:space="preserve">附 录 </w:t>
      </w:r>
      <w:r>
        <w:rPr>
          <w:rFonts w:hint="eastAsia" w:hAnsi="黑体" w:cs="黑体"/>
          <w:b w:val="0"/>
          <w:bCs w:val="0"/>
          <w:sz w:val="21"/>
          <w:szCs w:val="21"/>
          <w:lang w:val="en-US" w:eastAsia="zh-CN"/>
        </w:rPr>
        <w:t>A</w:t>
      </w:r>
      <w:bookmarkEnd w:id="28"/>
    </w:p>
    <w:p w14:paraId="05E64A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1"/>
          <w:szCs w:val="21"/>
        </w:rPr>
      </w:pPr>
      <w:r>
        <w:rPr>
          <w:rFonts w:hint="eastAsia" w:ascii="黑体" w:hAnsi="黑体" w:eastAsia="黑体" w:cs="黑体"/>
          <w:color w:val="000000"/>
          <w:kern w:val="0"/>
          <w:sz w:val="21"/>
          <w:szCs w:val="21"/>
          <w:lang w:val="en-US" w:eastAsia="zh-CN" w:bidi="ar"/>
        </w:rPr>
        <w:t>(资料性)</w:t>
      </w:r>
    </w:p>
    <w:p w14:paraId="4ED4D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黑体" w:hAnsi="黑体" w:eastAsia="黑体" w:cs="黑体"/>
          <w:sz w:val="21"/>
          <w:szCs w:val="21"/>
          <w:lang w:val="en-US"/>
        </w:rPr>
      </w:pPr>
      <w:r>
        <w:rPr>
          <w:rFonts w:hint="eastAsia" w:ascii="黑体" w:hAnsi="黑体" w:eastAsia="黑体" w:cs="黑体"/>
          <w:color w:val="000000"/>
          <w:kern w:val="0"/>
          <w:sz w:val="21"/>
          <w:szCs w:val="21"/>
          <w:lang w:val="en-US" w:eastAsia="zh-CN" w:bidi="ar"/>
        </w:rPr>
        <w:t>有色金属行业工业重要数据识别示例</w:t>
      </w:r>
    </w:p>
    <w:p w14:paraId="01BBF7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A.1 研发设计场景</w:t>
      </w:r>
    </w:p>
    <w:p w14:paraId="0C8CC53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数据处理者在整合全球研发资源、产品协同设计开发过程中，收集和产生的</w:t>
      </w:r>
      <w:r>
        <w:rPr>
          <w:rFonts w:hint="eastAsia" w:ascii="宋体" w:hAnsi="宋体" w:cs="宋体"/>
          <w:color w:val="000000"/>
          <w:kern w:val="0"/>
          <w:sz w:val="21"/>
          <w:szCs w:val="21"/>
          <w:lang w:val="en-US" w:eastAsia="zh-CN" w:bidi="ar"/>
        </w:rPr>
        <w:t>设计</w:t>
      </w:r>
      <w:r>
        <w:rPr>
          <w:rFonts w:hint="default" w:ascii="宋体" w:hAnsi="宋体" w:eastAsia="宋体" w:cs="宋体"/>
          <w:color w:val="000000"/>
          <w:kern w:val="0"/>
          <w:sz w:val="21"/>
          <w:szCs w:val="21"/>
          <w:lang w:val="en-US" w:eastAsia="zh-CN" w:bidi="ar"/>
        </w:rPr>
        <w:t>物料清单、研发设计文档</w:t>
      </w:r>
      <w:r>
        <w:rPr>
          <w:rFonts w:hint="eastAsia" w:ascii="宋体" w:hAnsi="宋体" w:cs="宋体"/>
          <w:color w:val="000000"/>
          <w:kern w:val="0"/>
          <w:sz w:val="21"/>
          <w:szCs w:val="21"/>
          <w:lang w:val="en-US" w:eastAsia="zh-CN" w:bidi="ar"/>
        </w:rPr>
        <w:t>等</w:t>
      </w:r>
      <w:r>
        <w:rPr>
          <w:rFonts w:hint="default" w:ascii="宋体" w:hAnsi="宋体" w:eastAsia="宋体" w:cs="宋体"/>
          <w:color w:val="000000"/>
          <w:kern w:val="0"/>
          <w:sz w:val="21"/>
          <w:szCs w:val="21"/>
          <w:lang w:val="en-US" w:eastAsia="zh-CN" w:bidi="ar"/>
        </w:rPr>
        <w:t>数据</w:t>
      </w:r>
      <w:r>
        <w:rPr>
          <w:rFonts w:hint="eastAsia" w:ascii="宋体" w:hAnsi="宋体" w:cs="宋体"/>
          <w:color w:val="000000"/>
          <w:kern w:val="0"/>
          <w:sz w:val="21"/>
          <w:szCs w:val="21"/>
          <w:lang w:val="en-US" w:eastAsia="zh-CN" w:bidi="ar"/>
        </w:rPr>
        <w:t>。重要数据识别</w:t>
      </w:r>
      <w:r>
        <w:rPr>
          <w:rFonts w:hint="eastAsia" w:ascii="宋体" w:hAnsi="宋体" w:eastAsia="宋体" w:cs="宋体"/>
          <w:color w:val="000000"/>
          <w:kern w:val="0"/>
          <w:sz w:val="21"/>
          <w:szCs w:val="21"/>
          <w:lang w:val="en-US" w:eastAsia="zh-CN" w:bidi="ar"/>
        </w:rPr>
        <w:t>示例见表</w:t>
      </w:r>
      <w:r>
        <w:rPr>
          <w:rFonts w:hint="eastAsia" w:ascii="宋体" w:hAnsi="宋体" w:cs="宋体"/>
          <w:color w:val="000000"/>
          <w:kern w:val="0"/>
          <w:sz w:val="21"/>
          <w:szCs w:val="21"/>
          <w:lang w:val="en-US" w:eastAsia="zh-CN" w:bidi="ar"/>
        </w:rPr>
        <w:t>A</w:t>
      </w:r>
      <w:r>
        <w:rPr>
          <w:rFonts w:hint="eastAsia" w:ascii="宋体" w:hAnsi="宋体" w:eastAsia="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w:t>
      </w:r>
    </w:p>
    <w:p w14:paraId="7778D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A.1 有色金属行业研发设计场景重要数据识别示例</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39"/>
        <w:gridCol w:w="2292"/>
        <w:gridCol w:w="4047"/>
        <w:gridCol w:w="4047"/>
        <w:gridCol w:w="2702"/>
      </w:tblGrid>
      <w:tr w14:paraId="1126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526" w:type="pct"/>
            <w:shd w:val="clear" w:color="auto" w:fill="auto"/>
            <w:tcMar>
              <w:top w:w="113" w:type="dxa"/>
              <w:left w:w="170" w:type="dxa"/>
              <w:bottom w:w="113" w:type="dxa"/>
              <w:right w:w="170" w:type="dxa"/>
            </w:tcMar>
            <w:vAlign w:val="center"/>
          </w:tcPr>
          <w:p w14:paraId="11E58F5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783" w:type="pct"/>
            <w:shd w:val="clear" w:color="auto" w:fill="auto"/>
            <w:tcMar>
              <w:top w:w="113" w:type="dxa"/>
              <w:left w:w="170" w:type="dxa"/>
              <w:bottom w:w="113" w:type="dxa"/>
              <w:right w:w="170" w:type="dxa"/>
            </w:tcMar>
            <w:vAlign w:val="center"/>
          </w:tcPr>
          <w:p w14:paraId="5D5A69A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w:t>
            </w:r>
          </w:p>
        </w:tc>
        <w:tc>
          <w:tcPr>
            <w:tcW w:w="1383" w:type="pct"/>
            <w:shd w:val="clear" w:color="auto" w:fill="auto"/>
            <w:tcMar>
              <w:top w:w="113" w:type="dxa"/>
              <w:left w:w="170" w:type="dxa"/>
              <w:bottom w:w="113" w:type="dxa"/>
              <w:right w:w="170" w:type="dxa"/>
            </w:tcMar>
            <w:vAlign w:val="center"/>
          </w:tcPr>
          <w:p w14:paraId="0904C5A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数据项说明</w:t>
            </w:r>
          </w:p>
        </w:tc>
        <w:tc>
          <w:tcPr>
            <w:tcW w:w="1383" w:type="pct"/>
            <w:shd w:val="clear" w:color="auto" w:fill="auto"/>
            <w:tcMar>
              <w:top w:w="113" w:type="dxa"/>
              <w:left w:w="170" w:type="dxa"/>
              <w:bottom w:w="113" w:type="dxa"/>
              <w:right w:w="170" w:type="dxa"/>
            </w:tcMar>
            <w:vAlign w:val="center"/>
          </w:tcPr>
          <w:p w14:paraId="7A937DF8">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判定规则</w:t>
            </w:r>
          </w:p>
        </w:tc>
        <w:tc>
          <w:tcPr>
            <w:tcW w:w="923" w:type="pct"/>
            <w:shd w:val="clear" w:color="auto" w:fill="auto"/>
            <w:tcMar>
              <w:top w:w="113" w:type="dxa"/>
              <w:left w:w="170" w:type="dxa"/>
              <w:bottom w:w="113" w:type="dxa"/>
              <w:right w:w="170" w:type="dxa"/>
            </w:tcMar>
            <w:vAlign w:val="center"/>
          </w:tcPr>
          <w:p w14:paraId="1A86D65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对应识别维度</w:t>
            </w:r>
          </w:p>
        </w:tc>
      </w:tr>
      <w:tr w14:paraId="301B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restart"/>
            <w:shd w:val="clear" w:color="auto" w:fill="auto"/>
            <w:tcMar>
              <w:top w:w="113" w:type="dxa"/>
              <w:left w:w="170" w:type="dxa"/>
              <w:bottom w:w="113" w:type="dxa"/>
              <w:right w:w="170" w:type="dxa"/>
            </w:tcMar>
            <w:vAlign w:val="center"/>
          </w:tcPr>
          <w:p w14:paraId="7B02E11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国家战略与安全相关研发数据</w:t>
            </w:r>
          </w:p>
        </w:tc>
        <w:tc>
          <w:tcPr>
            <w:tcW w:w="783" w:type="pct"/>
            <w:shd w:val="clear" w:color="auto" w:fill="auto"/>
            <w:tcMar>
              <w:top w:w="113" w:type="dxa"/>
              <w:left w:w="170" w:type="dxa"/>
              <w:bottom w:w="113" w:type="dxa"/>
              <w:right w:w="170" w:type="dxa"/>
            </w:tcMar>
            <w:vAlign w:val="center"/>
          </w:tcPr>
          <w:p w14:paraId="469C60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国家科技计划项目研发全量数据</w:t>
            </w:r>
          </w:p>
        </w:tc>
        <w:tc>
          <w:tcPr>
            <w:tcW w:w="1383" w:type="pct"/>
            <w:shd w:val="clear" w:color="auto" w:fill="auto"/>
            <w:tcMar>
              <w:top w:w="113" w:type="dxa"/>
              <w:left w:w="170" w:type="dxa"/>
              <w:bottom w:w="113" w:type="dxa"/>
              <w:right w:w="170" w:type="dxa"/>
            </w:tcMar>
            <w:vAlign w:val="center"/>
          </w:tcPr>
          <w:p w14:paraId="5603286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国家重大专项、重点研发计划有色金属项目全流程研发数据</w:t>
            </w:r>
          </w:p>
        </w:tc>
        <w:tc>
          <w:tcPr>
            <w:tcW w:w="1383" w:type="pct"/>
            <w:shd w:val="clear" w:color="auto" w:fill="auto"/>
            <w:tcMar>
              <w:top w:w="113" w:type="dxa"/>
              <w:left w:w="170" w:type="dxa"/>
              <w:bottom w:w="113" w:type="dxa"/>
              <w:right w:w="170" w:type="dxa"/>
            </w:tcMar>
            <w:vAlign w:val="center"/>
          </w:tcPr>
          <w:p w14:paraId="7151055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涉及国家科技安全，泄露会造成严重影响</w:t>
            </w:r>
          </w:p>
        </w:tc>
        <w:tc>
          <w:tcPr>
            <w:tcW w:w="923" w:type="pct"/>
            <w:shd w:val="clear" w:color="auto" w:fill="auto"/>
            <w:tcMar>
              <w:top w:w="113" w:type="dxa"/>
              <w:left w:w="170" w:type="dxa"/>
              <w:bottom w:w="113" w:type="dxa"/>
              <w:right w:w="170" w:type="dxa"/>
            </w:tcMar>
            <w:vAlign w:val="center"/>
          </w:tcPr>
          <w:p w14:paraId="3C7F9EE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与国家安全相关（国家科技安全）</w:t>
            </w:r>
          </w:p>
        </w:tc>
      </w:tr>
      <w:tr w14:paraId="01AA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64158A6B">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781D858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国家战略矿产资源研发数据</w:t>
            </w:r>
          </w:p>
        </w:tc>
        <w:tc>
          <w:tcPr>
            <w:tcW w:w="1383" w:type="pct"/>
            <w:shd w:val="clear" w:color="auto" w:fill="auto"/>
            <w:tcMar>
              <w:top w:w="113" w:type="dxa"/>
              <w:left w:w="170" w:type="dxa"/>
              <w:bottom w:w="113" w:type="dxa"/>
              <w:right w:w="170" w:type="dxa"/>
            </w:tcMar>
            <w:vAlign w:val="center"/>
          </w:tcPr>
          <w:p w14:paraId="1DFC51E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锂、钴、镍等战略矿产勘探、选矿、提纯相关研发数据</w:t>
            </w:r>
          </w:p>
        </w:tc>
        <w:tc>
          <w:tcPr>
            <w:tcW w:w="1383" w:type="pct"/>
            <w:shd w:val="clear" w:color="auto" w:fill="auto"/>
            <w:tcMar>
              <w:top w:w="113" w:type="dxa"/>
              <w:left w:w="170" w:type="dxa"/>
              <w:bottom w:w="113" w:type="dxa"/>
              <w:right w:w="170" w:type="dxa"/>
            </w:tcMar>
            <w:vAlign w:val="center"/>
          </w:tcPr>
          <w:p w14:paraId="4BA43FF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涉及国家战略安全，泄露会造成严重影响</w:t>
            </w:r>
          </w:p>
        </w:tc>
        <w:tc>
          <w:tcPr>
            <w:tcW w:w="923" w:type="pct"/>
            <w:shd w:val="clear" w:color="auto" w:fill="auto"/>
            <w:tcMar>
              <w:top w:w="113" w:type="dxa"/>
              <w:left w:w="170" w:type="dxa"/>
              <w:bottom w:w="113" w:type="dxa"/>
              <w:right w:w="170" w:type="dxa"/>
            </w:tcMar>
            <w:vAlign w:val="center"/>
          </w:tcPr>
          <w:p w14:paraId="4C034D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与国家安全相关（国家战略安全）</w:t>
            </w:r>
          </w:p>
        </w:tc>
      </w:tr>
      <w:tr w14:paraId="29B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2C665F99">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3F90D1B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军工配套研发非密数据</w:t>
            </w:r>
          </w:p>
        </w:tc>
        <w:tc>
          <w:tcPr>
            <w:tcW w:w="1383" w:type="pct"/>
            <w:shd w:val="clear" w:color="auto" w:fill="auto"/>
            <w:tcMar>
              <w:top w:w="113" w:type="dxa"/>
              <w:left w:w="170" w:type="dxa"/>
              <w:bottom w:w="113" w:type="dxa"/>
              <w:right w:w="170" w:type="dxa"/>
            </w:tcMar>
            <w:vAlign w:val="center"/>
          </w:tcPr>
          <w:p w14:paraId="6D86EF7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航空航天、国防军工等领域配套有色金属材料研发非密数据</w:t>
            </w:r>
          </w:p>
        </w:tc>
        <w:tc>
          <w:tcPr>
            <w:tcW w:w="1383" w:type="pct"/>
            <w:shd w:val="clear" w:color="auto" w:fill="auto"/>
            <w:tcMar>
              <w:top w:w="113" w:type="dxa"/>
              <w:left w:w="170" w:type="dxa"/>
              <w:bottom w:w="113" w:type="dxa"/>
              <w:right w:w="170" w:type="dxa"/>
            </w:tcMar>
            <w:vAlign w:val="center"/>
          </w:tcPr>
          <w:p w14:paraId="421F401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涉及国家秘密生成、军工配套保障</w:t>
            </w:r>
          </w:p>
        </w:tc>
        <w:tc>
          <w:tcPr>
            <w:tcW w:w="923" w:type="pct"/>
            <w:shd w:val="clear" w:color="auto" w:fill="auto"/>
            <w:tcMar>
              <w:top w:w="113" w:type="dxa"/>
              <w:left w:w="170" w:type="dxa"/>
              <w:bottom w:w="113" w:type="dxa"/>
              <w:right w:w="170" w:type="dxa"/>
            </w:tcMar>
            <w:vAlign w:val="center"/>
          </w:tcPr>
          <w:p w14:paraId="538E93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与国家秘密生成相关、6.3.4 与行业发展相关</w:t>
            </w:r>
          </w:p>
        </w:tc>
      </w:tr>
      <w:tr w14:paraId="549D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3E39E3E2">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0E82D0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影响国家战略资源定价权的核心研发数据</w:t>
            </w:r>
          </w:p>
        </w:tc>
        <w:tc>
          <w:tcPr>
            <w:tcW w:w="1383" w:type="pct"/>
            <w:shd w:val="clear" w:color="auto" w:fill="auto"/>
            <w:tcMar>
              <w:top w:w="113" w:type="dxa"/>
              <w:left w:w="170" w:type="dxa"/>
              <w:bottom w:w="113" w:type="dxa"/>
              <w:right w:w="170" w:type="dxa"/>
            </w:tcMar>
            <w:vAlign w:val="center"/>
          </w:tcPr>
          <w:p w14:paraId="021234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影响有色金属战略资源全球定价权的核心模型、规划、谈判参数</w:t>
            </w:r>
          </w:p>
        </w:tc>
        <w:tc>
          <w:tcPr>
            <w:tcW w:w="1383" w:type="pct"/>
            <w:shd w:val="clear" w:color="auto" w:fill="auto"/>
            <w:tcMar>
              <w:top w:w="113" w:type="dxa"/>
              <w:left w:w="170" w:type="dxa"/>
              <w:bottom w:w="113" w:type="dxa"/>
              <w:right w:w="170" w:type="dxa"/>
            </w:tcMar>
            <w:vAlign w:val="center"/>
          </w:tcPr>
          <w:p w14:paraId="001A6C1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涉及国家战略、经济安全，泄露会造成严重影响</w:t>
            </w:r>
          </w:p>
        </w:tc>
        <w:tc>
          <w:tcPr>
            <w:tcW w:w="923" w:type="pct"/>
            <w:shd w:val="clear" w:color="auto" w:fill="auto"/>
            <w:tcMar>
              <w:top w:w="113" w:type="dxa"/>
              <w:left w:w="170" w:type="dxa"/>
              <w:bottom w:w="113" w:type="dxa"/>
              <w:right w:w="170" w:type="dxa"/>
            </w:tcMar>
            <w:vAlign w:val="center"/>
          </w:tcPr>
          <w:p w14:paraId="4BF8CE6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与国家安全相关（国家战略、经济安全）</w:t>
            </w:r>
          </w:p>
        </w:tc>
      </w:tr>
      <w:tr w14:paraId="340D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restart"/>
            <w:shd w:val="clear" w:color="auto" w:fill="auto"/>
            <w:tcMar>
              <w:top w:w="113" w:type="dxa"/>
              <w:left w:w="170" w:type="dxa"/>
              <w:bottom w:w="113" w:type="dxa"/>
              <w:right w:w="170" w:type="dxa"/>
            </w:tcMar>
            <w:vAlign w:val="center"/>
          </w:tcPr>
          <w:p w14:paraId="339A45F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行业核心竞争力相关研发数据</w:t>
            </w:r>
          </w:p>
        </w:tc>
        <w:tc>
          <w:tcPr>
            <w:tcW w:w="783" w:type="pct"/>
            <w:shd w:val="clear" w:color="auto" w:fill="auto"/>
            <w:tcMar>
              <w:top w:w="113" w:type="dxa"/>
              <w:left w:w="170" w:type="dxa"/>
              <w:bottom w:w="113" w:type="dxa"/>
              <w:right w:w="170" w:type="dxa"/>
            </w:tcMar>
            <w:vAlign w:val="center"/>
          </w:tcPr>
          <w:p w14:paraId="599F4C8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有色金属特有核心配方研发数据</w:t>
            </w:r>
          </w:p>
        </w:tc>
        <w:tc>
          <w:tcPr>
            <w:tcW w:w="1383" w:type="pct"/>
            <w:shd w:val="clear" w:color="auto" w:fill="auto"/>
            <w:tcMar>
              <w:top w:w="113" w:type="dxa"/>
              <w:left w:w="170" w:type="dxa"/>
              <w:bottom w:w="113" w:type="dxa"/>
              <w:right w:w="170" w:type="dxa"/>
            </w:tcMar>
            <w:vAlign w:val="center"/>
          </w:tcPr>
          <w:p w14:paraId="5EA475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战略矿产选矿药剂、稀有元素萃取剂、新型合金材料配方等研发数据</w:t>
            </w:r>
          </w:p>
        </w:tc>
        <w:tc>
          <w:tcPr>
            <w:tcW w:w="1383" w:type="pct"/>
            <w:shd w:val="clear" w:color="auto" w:fill="auto"/>
            <w:tcMar>
              <w:top w:w="113" w:type="dxa"/>
              <w:left w:w="170" w:type="dxa"/>
              <w:bottom w:w="113" w:type="dxa"/>
              <w:right w:w="170" w:type="dxa"/>
            </w:tcMar>
            <w:vAlign w:val="center"/>
          </w:tcPr>
          <w:p w14:paraId="75C7818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涉及行业核心竞争力，泄露会造成严重影响</w:t>
            </w:r>
          </w:p>
        </w:tc>
        <w:tc>
          <w:tcPr>
            <w:tcW w:w="923" w:type="pct"/>
            <w:shd w:val="clear" w:color="auto" w:fill="auto"/>
            <w:tcMar>
              <w:top w:w="113" w:type="dxa"/>
              <w:left w:w="170" w:type="dxa"/>
              <w:bottom w:w="113" w:type="dxa"/>
              <w:right w:w="170" w:type="dxa"/>
            </w:tcMar>
            <w:vAlign w:val="center"/>
          </w:tcPr>
          <w:p w14:paraId="12218CD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与行业发展相关（行业竞争力）</w:t>
            </w:r>
          </w:p>
        </w:tc>
      </w:tr>
      <w:tr w14:paraId="6C7C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2D10BA30">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60CA86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行业领先先进工艺研发数据</w:t>
            </w:r>
          </w:p>
        </w:tc>
        <w:tc>
          <w:tcPr>
            <w:tcW w:w="1383" w:type="pct"/>
            <w:shd w:val="clear" w:color="auto" w:fill="auto"/>
            <w:tcMar>
              <w:top w:w="113" w:type="dxa"/>
              <w:left w:w="170" w:type="dxa"/>
              <w:bottom w:w="113" w:type="dxa"/>
              <w:right w:w="170" w:type="dxa"/>
            </w:tcMar>
            <w:vAlign w:val="center"/>
          </w:tcPr>
          <w:p w14:paraId="3EF01F8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低品位矿利用、短流程冶炼、高纯金属提纯等先进工艺研发数据</w:t>
            </w:r>
          </w:p>
        </w:tc>
        <w:tc>
          <w:tcPr>
            <w:tcW w:w="1383" w:type="pct"/>
            <w:shd w:val="clear" w:color="auto" w:fill="auto"/>
            <w:tcMar>
              <w:top w:w="113" w:type="dxa"/>
              <w:left w:w="170" w:type="dxa"/>
              <w:bottom w:w="113" w:type="dxa"/>
              <w:right w:w="170" w:type="dxa"/>
            </w:tcMar>
            <w:vAlign w:val="center"/>
          </w:tcPr>
          <w:p w14:paraId="347B567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涉及行业核心竞争力，泄露会造成严重影响</w:t>
            </w:r>
          </w:p>
        </w:tc>
        <w:tc>
          <w:tcPr>
            <w:tcW w:w="923" w:type="pct"/>
            <w:shd w:val="clear" w:color="auto" w:fill="auto"/>
            <w:tcMar>
              <w:top w:w="113" w:type="dxa"/>
              <w:left w:w="170" w:type="dxa"/>
              <w:bottom w:w="113" w:type="dxa"/>
              <w:right w:w="170" w:type="dxa"/>
            </w:tcMar>
            <w:vAlign w:val="center"/>
          </w:tcPr>
          <w:p w14:paraId="18401E3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与行业发展相关（行业竞争力）</w:t>
            </w:r>
          </w:p>
        </w:tc>
      </w:tr>
      <w:tr w14:paraId="1F74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72A43658">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69E4D0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国产化核心设备研发数据</w:t>
            </w:r>
          </w:p>
        </w:tc>
        <w:tc>
          <w:tcPr>
            <w:tcW w:w="1383" w:type="pct"/>
            <w:shd w:val="clear" w:color="auto" w:fill="auto"/>
            <w:tcMar>
              <w:top w:w="113" w:type="dxa"/>
              <w:left w:w="170" w:type="dxa"/>
              <w:bottom w:w="113" w:type="dxa"/>
              <w:right w:w="170" w:type="dxa"/>
            </w:tcMar>
            <w:vAlign w:val="center"/>
          </w:tcPr>
          <w:p w14:paraId="3124A51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采选、冶炼、加工环节核心国产化设备研发设计数据</w:t>
            </w:r>
          </w:p>
        </w:tc>
        <w:tc>
          <w:tcPr>
            <w:tcW w:w="1383" w:type="pct"/>
            <w:shd w:val="clear" w:color="auto" w:fill="auto"/>
            <w:tcMar>
              <w:top w:w="113" w:type="dxa"/>
              <w:left w:w="170" w:type="dxa"/>
              <w:bottom w:w="113" w:type="dxa"/>
              <w:right w:w="170" w:type="dxa"/>
            </w:tcMar>
            <w:vAlign w:val="center"/>
          </w:tcPr>
          <w:p w14:paraId="27E72AB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涉及行业核心竞争力，泄露会造成严重影响</w:t>
            </w:r>
          </w:p>
        </w:tc>
        <w:tc>
          <w:tcPr>
            <w:tcW w:w="923" w:type="pct"/>
            <w:shd w:val="clear" w:color="auto" w:fill="auto"/>
            <w:tcMar>
              <w:top w:w="113" w:type="dxa"/>
              <w:left w:w="170" w:type="dxa"/>
              <w:bottom w:w="113" w:type="dxa"/>
              <w:right w:w="170" w:type="dxa"/>
            </w:tcMar>
            <w:vAlign w:val="center"/>
          </w:tcPr>
          <w:p w14:paraId="5C9627D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与行业发展相关（行业竞争力）</w:t>
            </w:r>
          </w:p>
        </w:tc>
      </w:tr>
      <w:tr w14:paraId="5906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64A45BE4">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4A7FA49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禁止出口限制出口技术相关研发数据</w:t>
            </w:r>
          </w:p>
        </w:tc>
        <w:tc>
          <w:tcPr>
            <w:tcW w:w="1383" w:type="pct"/>
            <w:shd w:val="clear" w:color="auto" w:fill="auto"/>
            <w:tcMar>
              <w:top w:w="113" w:type="dxa"/>
              <w:left w:w="170" w:type="dxa"/>
              <w:bottom w:w="113" w:type="dxa"/>
              <w:right w:w="170" w:type="dxa"/>
            </w:tcMar>
            <w:vAlign w:val="center"/>
          </w:tcPr>
          <w:p w14:paraId="3E68E7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《中国禁止出口限制出口技术目录》中有色金属特有技术研发数据</w:t>
            </w:r>
          </w:p>
        </w:tc>
        <w:tc>
          <w:tcPr>
            <w:tcW w:w="1383" w:type="pct"/>
            <w:shd w:val="clear" w:color="auto" w:fill="auto"/>
            <w:tcMar>
              <w:top w:w="113" w:type="dxa"/>
              <w:left w:w="170" w:type="dxa"/>
              <w:bottom w:w="113" w:type="dxa"/>
              <w:right w:w="170" w:type="dxa"/>
            </w:tcMar>
            <w:vAlign w:val="center"/>
          </w:tcPr>
          <w:p w14:paraId="5B7807E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涉及国家科技安全、出口管制</w:t>
            </w:r>
          </w:p>
        </w:tc>
        <w:tc>
          <w:tcPr>
            <w:tcW w:w="923" w:type="pct"/>
            <w:shd w:val="clear" w:color="auto" w:fill="auto"/>
            <w:tcMar>
              <w:top w:w="113" w:type="dxa"/>
              <w:left w:w="170" w:type="dxa"/>
              <w:bottom w:w="113" w:type="dxa"/>
              <w:right w:w="170" w:type="dxa"/>
            </w:tcMar>
            <w:vAlign w:val="center"/>
          </w:tcPr>
          <w:p w14:paraId="5406DA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w:t>
            </w:r>
          </w:p>
          <w:p w14:paraId="4D5D2C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6.3.5 与出口管制物项相关</w:t>
            </w:r>
          </w:p>
        </w:tc>
      </w:tr>
      <w:tr w14:paraId="72D5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restart"/>
            <w:shd w:val="clear" w:color="auto" w:fill="auto"/>
            <w:tcMar>
              <w:top w:w="113" w:type="dxa"/>
              <w:left w:w="170" w:type="dxa"/>
              <w:bottom w:w="113" w:type="dxa"/>
              <w:right w:w="170" w:type="dxa"/>
            </w:tcMar>
            <w:vAlign w:val="center"/>
          </w:tcPr>
          <w:p w14:paraId="3E098E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行业安全与发展相关研发数据</w:t>
            </w:r>
          </w:p>
        </w:tc>
        <w:tc>
          <w:tcPr>
            <w:tcW w:w="783" w:type="pct"/>
            <w:shd w:val="clear" w:color="auto" w:fill="auto"/>
            <w:tcMar>
              <w:top w:w="113" w:type="dxa"/>
              <w:left w:w="170" w:type="dxa"/>
              <w:bottom w:w="113" w:type="dxa"/>
              <w:right w:w="170" w:type="dxa"/>
            </w:tcMar>
            <w:vAlign w:val="center"/>
          </w:tcPr>
          <w:p w14:paraId="5CB3BE4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行业生产安全管控研发数据</w:t>
            </w:r>
          </w:p>
        </w:tc>
        <w:tc>
          <w:tcPr>
            <w:tcW w:w="1383" w:type="pct"/>
            <w:shd w:val="clear" w:color="auto" w:fill="auto"/>
            <w:tcMar>
              <w:top w:w="113" w:type="dxa"/>
              <w:left w:w="170" w:type="dxa"/>
              <w:bottom w:w="113" w:type="dxa"/>
              <w:right w:w="170" w:type="dxa"/>
            </w:tcMar>
            <w:vAlign w:val="center"/>
          </w:tcPr>
          <w:p w14:paraId="1D0820E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采选、冶炼、加工环节生产安全风险防控、应急处置相关研发数据</w:t>
            </w:r>
          </w:p>
        </w:tc>
        <w:tc>
          <w:tcPr>
            <w:tcW w:w="1383" w:type="pct"/>
            <w:shd w:val="clear" w:color="auto" w:fill="auto"/>
            <w:tcMar>
              <w:top w:w="113" w:type="dxa"/>
              <w:left w:w="170" w:type="dxa"/>
              <w:bottom w:w="113" w:type="dxa"/>
              <w:right w:w="170" w:type="dxa"/>
            </w:tcMar>
            <w:vAlign w:val="center"/>
          </w:tcPr>
          <w:p w14:paraId="5F6E5BC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涉及行业生产安全管控，泄露会造成严重影响</w:t>
            </w:r>
          </w:p>
        </w:tc>
        <w:tc>
          <w:tcPr>
            <w:tcW w:w="923" w:type="pct"/>
            <w:shd w:val="clear" w:color="auto" w:fill="auto"/>
            <w:tcMar>
              <w:top w:w="113" w:type="dxa"/>
              <w:left w:w="170" w:type="dxa"/>
              <w:bottom w:w="113" w:type="dxa"/>
              <w:right w:w="170" w:type="dxa"/>
            </w:tcMar>
            <w:vAlign w:val="center"/>
          </w:tcPr>
          <w:p w14:paraId="44B2AF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与行业发展相关（生产安全管控）</w:t>
            </w:r>
          </w:p>
        </w:tc>
      </w:tr>
      <w:tr w14:paraId="5A65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6CBC4785">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61CAAC3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行业供应链安全研发数据</w:t>
            </w:r>
          </w:p>
        </w:tc>
        <w:tc>
          <w:tcPr>
            <w:tcW w:w="1383" w:type="pct"/>
            <w:shd w:val="clear" w:color="auto" w:fill="auto"/>
            <w:tcMar>
              <w:top w:w="113" w:type="dxa"/>
              <w:left w:w="170" w:type="dxa"/>
              <w:bottom w:w="113" w:type="dxa"/>
              <w:right w:w="170" w:type="dxa"/>
            </w:tcMar>
            <w:vAlign w:val="center"/>
          </w:tcPr>
          <w:p w14:paraId="24924CF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影响行业供应链安全的核心设备、软件研发数据，供应链风险评估模型</w:t>
            </w:r>
          </w:p>
        </w:tc>
        <w:tc>
          <w:tcPr>
            <w:tcW w:w="1383" w:type="pct"/>
            <w:shd w:val="clear" w:color="auto" w:fill="auto"/>
            <w:tcMar>
              <w:top w:w="113" w:type="dxa"/>
              <w:left w:w="170" w:type="dxa"/>
              <w:bottom w:w="113" w:type="dxa"/>
              <w:right w:w="170" w:type="dxa"/>
            </w:tcMar>
            <w:vAlign w:val="center"/>
          </w:tcPr>
          <w:p w14:paraId="05A6A09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涉及行业供应链安全，泄露会造成严重影响</w:t>
            </w:r>
          </w:p>
        </w:tc>
        <w:tc>
          <w:tcPr>
            <w:tcW w:w="923" w:type="pct"/>
            <w:shd w:val="clear" w:color="auto" w:fill="auto"/>
            <w:tcMar>
              <w:top w:w="113" w:type="dxa"/>
              <w:left w:w="170" w:type="dxa"/>
              <w:bottom w:w="113" w:type="dxa"/>
              <w:right w:w="170" w:type="dxa"/>
            </w:tcMar>
            <w:vAlign w:val="center"/>
          </w:tcPr>
          <w:p w14:paraId="13B0ECF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与行业发展相关（供应链安全）</w:t>
            </w:r>
          </w:p>
        </w:tc>
      </w:tr>
      <w:tr w14:paraId="6D03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5179A7D2">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5455268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行业绿色发展研发数据</w:t>
            </w:r>
          </w:p>
        </w:tc>
        <w:tc>
          <w:tcPr>
            <w:tcW w:w="1383" w:type="pct"/>
            <w:shd w:val="clear" w:color="auto" w:fill="auto"/>
            <w:tcMar>
              <w:top w:w="113" w:type="dxa"/>
              <w:left w:w="170" w:type="dxa"/>
              <w:bottom w:w="113" w:type="dxa"/>
              <w:right w:w="170" w:type="dxa"/>
            </w:tcMar>
            <w:vAlign w:val="center"/>
          </w:tcPr>
          <w:p w14:paraId="5644CB3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能源消耗管控、碳排放减排、污染物处理、固废资源化利用相关研发数据</w:t>
            </w:r>
          </w:p>
        </w:tc>
        <w:tc>
          <w:tcPr>
            <w:tcW w:w="1383" w:type="pct"/>
            <w:shd w:val="clear" w:color="auto" w:fill="auto"/>
            <w:tcMar>
              <w:top w:w="113" w:type="dxa"/>
              <w:left w:w="170" w:type="dxa"/>
              <w:bottom w:w="113" w:type="dxa"/>
              <w:right w:w="170" w:type="dxa"/>
            </w:tcMar>
            <w:vAlign w:val="center"/>
          </w:tcPr>
          <w:p w14:paraId="0C12C21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涉及行业绿色发展，泄露会造成严重影响</w:t>
            </w:r>
          </w:p>
        </w:tc>
        <w:tc>
          <w:tcPr>
            <w:tcW w:w="923" w:type="pct"/>
            <w:shd w:val="clear" w:color="auto" w:fill="auto"/>
            <w:tcMar>
              <w:top w:w="113" w:type="dxa"/>
              <w:left w:w="170" w:type="dxa"/>
              <w:bottom w:w="113" w:type="dxa"/>
              <w:right w:w="170" w:type="dxa"/>
            </w:tcMar>
            <w:vAlign w:val="center"/>
          </w:tcPr>
          <w:p w14:paraId="35E2202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与行业发展相关（绿色发展）</w:t>
            </w:r>
          </w:p>
        </w:tc>
      </w:tr>
      <w:tr w14:paraId="2CE5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35F7FCCE">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6642A78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行业经济运行分析研发数据</w:t>
            </w:r>
          </w:p>
        </w:tc>
        <w:tc>
          <w:tcPr>
            <w:tcW w:w="1383" w:type="pct"/>
            <w:shd w:val="clear" w:color="auto" w:fill="auto"/>
            <w:tcMar>
              <w:top w:w="113" w:type="dxa"/>
              <w:left w:w="170" w:type="dxa"/>
              <w:bottom w:w="113" w:type="dxa"/>
              <w:right w:w="170" w:type="dxa"/>
            </w:tcMar>
            <w:vAlign w:val="center"/>
          </w:tcPr>
          <w:p w14:paraId="6BE5498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整体反映行业生产经营情况的未公开经济分析、产能利用率、市场预测数据</w:t>
            </w:r>
          </w:p>
        </w:tc>
        <w:tc>
          <w:tcPr>
            <w:tcW w:w="1383" w:type="pct"/>
            <w:shd w:val="clear" w:color="auto" w:fill="auto"/>
            <w:tcMar>
              <w:top w:w="113" w:type="dxa"/>
              <w:left w:w="170" w:type="dxa"/>
              <w:bottom w:w="113" w:type="dxa"/>
              <w:right w:w="170" w:type="dxa"/>
            </w:tcMar>
            <w:vAlign w:val="center"/>
          </w:tcPr>
          <w:p w14:paraId="69ACDA9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涉及行业经济运行，泄露会造成严重影响</w:t>
            </w:r>
          </w:p>
        </w:tc>
        <w:tc>
          <w:tcPr>
            <w:tcW w:w="923" w:type="pct"/>
            <w:shd w:val="clear" w:color="auto" w:fill="auto"/>
            <w:tcMar>
              <w:top w:w="113" w:type="dxa"/>
              <w:left w:w="170" w:type="dxa"/>
              <w:bottom w:w="113" w:type="dxa"/>
              <w:right w:w="170" w:type="dxa"/>
            </w:tcMar>
            <w:vAlign w:val="center"/>
          </w:tcPr>
          <w:p w14:paraId="5E9C63E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与行业发展相关（经济运行）</w:t>
            </w:r>
          </w:p>
        </w:tc>
      </w:tr>
      <w:tr w14:paraId="16DE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restart"/>
            <w:shd w:val="clear" w:color="auto" w:fill="auto"/>
            <w:tcMar>
              <w:top w:w="113" w:type="dxa"/>
              <w:left w:w="170" w:type="dxa"/>
              <w:bottom w:w="113" w:type="dxa"/>
              <w:right w:w="170" w:type="dxa"/>
            </w:tcMar>
            <w:vAlign w:val="center"/>
          </w:tcPr>
          <w:p w14:paraId="2857EF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行业特色场景相关研发数据</w:t>
            </w:r>
          </w:p>
        </w:tc>
        <w:tc>
          <w:tcPr>
            <w:tcW w:w="783" w:type="pct"/>
            <w:shd w:val="clear" w:color="auto" w:fill="auto"/>
            <w:tcMar>
              <w:top w:w="113" w:type="dxa"/>
              <w:left w:w="170" w:type="dxa"/>
              <w:bottom w:w="113" w:type="dxa"/>
              <w:right w:w="170" w:type="dxa"/>
            </w:tcMar>
            <w:vAlign w:val="center"/>
          </w:tcPr>
          <w:p w14:paraId="3BB50A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再生资源循环利用场景研发数据</w:t>
            </w:r>
          </w:p>
        </w:tc>
        <w:tc>
          <w:tcPr>
            <w:tcW w:w="1383" w:type="pct"/>
            <w:shd w:val="clear" w:color="auto" w:fill="auto"/>
            <w:tcMar>
              <w:top w:w="113" w:type="dxa"/>
              <w:left w:w="170" w:type="dxa"/>
              <w:bottom w:w="113" w:type="dxa"/>
              <w:right w:w="170" w:type="dxa"/>
            </w:tcMar>
            <w:vAlign w:val="center"/>
          </w:tcPr>
          <w:p w14:paraId="0762404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有色金属再生资源回收分选、冶炼提纯、高值化利用核心研发数据</w:t>
            </w:r>
          </w:p>
        </w:tc>
        <w:tc>
          <w:tcPr>
            <w:tcW w:w="1383" w:type="pct"/>
            <w:shd w:val="clear" w:color="auto" w:fill="auto"/>
            <w:tcMar>
              <w:top w:w="113" w:type="dxa"/>
              <w:left w:w="170" w:type="dxa"/>
              <w:bottom w:w="113" w:type="dxa"/>
              <w:right w:w="170" w:type="dxa"/>
            </w:tcMar>
            <w:vAlign w:val="center"/>
          </w:tcPr>
          <w:p w14:paraId="30E9D5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涉及行业竞争力、绿色发展</w:t>
            </w:r>
          </w:p>
        </w:tc>
        <w:tc>
          <w:tcPr>
            <w:tcW w:w="923" w:type="pct"/>
            <w:shd w:val="clear" w:color="auto" w:fill="auto"/>
            <w:tcMar>
              <w:top w:w="113" w:type="dxa"/>
              <w:left w:w="170" w:type="dxa"/>
              <w:bottom w:w="113" w:type="dxa"/>
              <w:right w:w="170" w:type="dxa"/>
            </w:tcMar>
            <w:vAlign w:val="center"/>
          </w:tcPr>
          <w:p w14:paraId="4FF62C0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w:t>
            </w:r>
          </w:p>
        </w:tc>
      </w:tr>
      <w:tr w14:paraId="6C40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7F3EF0A0">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4A965F3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新能源配套应用场景研发数据</w:t>
            </w:r>
          </w:p>
        </w:tc>
        <w:tc>
          <w:tcPr>
            <w:tcW w:w="1383" w:type="pct"/>
            <w:shd w:val="clear" w:color="auto" w:fill="auto"/>
            <w:tcMar>
              <w:top w:w="113" w:type="dxa"/>
              <w:left w:w="170" w:type="dxa"/>
              <w:bottom w:w="113" w:type="dxa"/>
              <w:right w:w="170" w:type="dxa"/>
            </w:tcMar>
            <w:vAlign w:val="center"/>
          </w:tcPr>
          <w:p w14:paraId="5C58794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锂电、光伏、新能源汽车等领域用有色金属材料核心研发数据</w:t>
            </w:r>
          </w:p>
        </w:tc>
        <w:tc>
          <w:tcPr>
            <w:tcW w:w="1383" w:type="pct"/>
            <w:shd w:val="clear" w:color="auto" w:fill="auto"/>
            <w:tcMar>
              <w:top w:w="113" w:type="dxa"/>
              <w:left w:w="170" w:type="dxa"/>
              <w:bottom w:w="113" w:type="dxa"/>
              <w:right w:w="170" w:type="dxa"/>
            </w:tcMar>
            <w:vAlign w:val="center"/>
          </w:tcPr>
          <w:p w14:paraId="251A802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涉及国家科技安全、行业竞争力</w:t>
            </w:r>
          </w:p>
        </w:tc>
        <w:tc>
          <w:tcPr>
            <w:tcW w:w="923" w:type="pct"/>
            <w:shd w:val="clear" w:color="auto" w:fill="auto"/>
            <w:tcMar>
              <w:top w:w="113" w:type="dxa"/>
              <w:left w:w="170" w:type="dxa"/>
              <w:bottom w:w="113" w:type="dxa"/>
              <w:right w:w="170" w:type="dxa"/>
            </w:tcMar>
            <w:vAlign w:val="center"/>
          </w:tcPr>
          <w:p w14:paraId="0C69724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w:t>
            </w:r>
          </w:p>
          <w:p w14:paraId="0704A7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w:t>
            </w:r>
          </w:p>
        </w:tc>
      </w:tr>
      <w:tr w14:paraId="7B8F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5D032643">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70962E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稀有金属特种应用场景研发数据</w:t>
            </w:r>
          </w:p>
        </w:tc>
        <w:tc>
          <w:tcPr>
            <w:tcW w:w="1383" w:type="pct"/>
            <w:shd w:val="clear" w:color="auto" w:fill="auto"/>
            <w:tcMar>
              <w:top w:w="113" w:type="dxa"/>
              <w:left w:w="170" w:type="dxa"/>
              <w:bottom w:w="113" w:type="dxa"/>
              <w:right w:w="170" w:type="dxa"/>
            </w:tcMar>
            <w:vAlign w:val="center"/>
          </w:tcPr>
          <w:p w14:paraId="2D6F22D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稀有金属特种材料、军工配套、高端装备配套核心研发数据</w:t>
            </w:r>
          </w:p>
        </w:tc>
        <w:tc>
          <w:tcPr>
            <w:tcW w:w="1383" w:type="pct"/>
            <w:shd w:val="clear" w:color="auto" w:fill="auto"/>
            <w:tcMar>
              <w:top w:w="113" w:type="dxa"/>
              <w:left w:w="170" w:type="dxa"/>
              <w:bottom w:w="113" w:type="dxa"/>
              <w:right w:w="170" w:type="dxa"/>
            </w:tcMar>
            <w:vAlign w:val="center"/>
          </w:tcPr>
          <w:p w14:paraId="75F1F42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涉及国家战略安全、行业竞争力</w:t>
            </w:r>
          </w:p>
        </w:tc>
        <w:tc>
          <w:tcPr>
            <w:tcW w:w="923" w:type="pct"/>
            <w:shd w:val="clear" w:color="auto" w:fill="auto"/>
            <w:tcMar>
              <w:top w:w="113" w:type="dxa"/>
              <w:left w:w="170" w:type="dxa"/>
              <w:bottom w:w="113" w:type="dxa"/>
              <w:right w:w="170" w:type="dxa"/>
            </w:tcMar>
            <w:vAlign w:val="center"/>
          </w:tcPr>
          <w:p w14:paraId="56D200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w:t>
            </w:r>
          </w:p>
          <w:p w14:paraId="6D487EA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w:t>
            </w:r>
          </w:p>
        </w:tc>
      </w:tr>
      <w:tr w14:paraId="67EB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restart"/>
            <w:shd w:val="clear" w:color="auto" w:fill="auto"/>
            <w:tcMar>
              <w:top w:w="113" w:type="dxa"/>
              <w:left w:w="170" w:type="dxa"/>
              <w:bottom w:w="113" w:type="dxa"/>
              <w:right w:w="170" w:type="dxa"/>
            </w:tcMar>
            <w:vAlign w:val="center"/>
          </w:tcPr>
          <w:p w14:paraId="33B0E7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其他符合重要数据判定标准的研发数据</w:t>
            </w:r>
          </w:p>
        </w:tc>
        <w:tc>
          <w:tcPr>
            <w:tcW w:w="783" w:type="pct"/>
            <w:shd w:val="clear" w:color="auto" w:fill="auto"/>
            <w:tcMar>
              <w:top w:w="113" w:type="dxa"/>
              <w:left w:w="170" w:type="dxa"/>
              <w:bottom w:w="113" w:type="dxa"/>
              <w:right w:w="170" w:type="dxa"/>
            </w:tcMar>
            <w:vAlign w:val="center"/>
          </w:tcPr>
          <w:p w14:paraId="38D8D69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研发设计物料清单（BOM）核心数据</w:t>
            </w:r>
          </w:p>
        </w:tc>
        <w:tc>
          <w:tcPr>
            <w:tcW w:w="1383" w:type="pct"/>
            <w:shd w:val="clear" w:color="auto" w:fill="auto"/>
            <w:tcMar>
              <w:top w:w="113" w:type="dxa"/>
              <w:left w:w="170" w:type="dxa"/>
              <w:bottom w:w="113" w:type="dxa"/>
              <w:right w:w="170" w:type="dxa"/>
            </w:tcMar>
            <w:vAlign w:val="center"/>
          </w:tcPr>
          <w:p w14:paraId="4009B35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产品研发设计阶段原料、辅料、构配件清单，核心物料供应来源、质量标准</w:t>
            </w:r>
          </w:p>
        </w:tc>
        <w:tc>
          <w:tcPr>
            <w:tcW w:w="1383" w:type="pct"/>
            <w:shd w:val="clear" w:color="auto" w:fill="auto"/>
            <w:tcMar>
              <w:top w:w="113" w:type="dxa"/>
              <w:left w:w="170" w:type="dxa"/>
              <w:bottom w:w="113" w:type="dxa"/>
              <w:right w:w="170" w:type="dxa"/>
            </w:tcMar>
            <w:vAlign w:val="center"/>
          </w:tcPr>
          <w:p w14:paraId="4C3F0A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涉及行业经济效益、国家战略资源安全</w:t>
            </w:r>
          </w:p>
        </w:tc>
        <w:tc>
          <w:tcPr>
            <w:tcW w:w="923" w:type="pct"/>
            <w:shd w:val="clear" w:color="auto" w:fill="auto"/>
            <w:tcMar>
              <w:top w:w="113" w:type="dxa"/>
              <w:left w:w="170" w:type="dxa"/>
              <w:bottom w:w="113" w:type="dxa"/>
              <w:right w:w="170" w:type="dxa"/>
            </w:tcMar>
            <w:vAlign w:val="center"/>
          </w:tcPr>
          <w:p w14:paraId="7B9BEE4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6.3.6 与行业经济效益和产业保障相关</w:t>
            </w:r>
          </w:p>
        </w:tc>
      </w:tr>
      <w:tr w14:paraId="6C29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vMerge w:val="continue"/>
            <w:shd w:val="clear" w:color="auto" w:fill="auto"/>
            <w:tcMar>
              <w:top w:w="113" w:type="dxa"/>
              <w:left w:w="170" w:type="dxa"/>
              <w:bottom w:w="113" w:type="dxa"/>
              <w:right w:w="170" w:type="dxa"/>
            </w:tcMar>
            <w:vAlign w:val="center"/>
          </w:tcPr>
          <w:p w14:paraId="4F0D29D8">
            <w:pPr>
              <w:rPr>
                <w:rFonts w:hint="eastAsia" w:ascii="宋体" w:hAnsi="宋体" w:eastAsia="宋体" w:cs="宋体"/>
                <w:sz w:val="18"/>
                <w:szCs w:val="18"/>
                <w:lang w:val="en-US" w:eastAsia="zh-CN"/>
              </w:rPr>
            </w:pPr>
          </w:p>
        </w:tc>
        <w:tc>
          <w:tcPr>
            <w:tcW w:w="783" w:type="pct"/>
            <w:shd w:val="clear" w:color="auto" w:fill="auto"/>
            <w:tcMar>
              <w:top w:w="113" w:type="dxa"/>
              <w:left w:w="170" w:type="dxa"/>
              <w:bottom w:w="113" w:type="dxa"/>
              <w:right w:w="170" w:type="dxa"/>
            </w:tcMar>
            <w:vAlign w:val="center"/>
          </w:tcPr>
          <w:p w14:paraId="74D15C6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研发设计核心文档数据</w:t>
            </w:r>
          </w:p>
        </w:tc>
        <w:tc>
          <w:tcPr>
            <w:tcW w:w="1383" w:type="pct"/>
            <w:shd w:val="clear" w:color="auto" w:fill="auto"/>
            <w:tcMar>
              <w:top w:w="113" w:type="dxa"/>
              <w:left w:w="170" w:type="dxa"/>
              <w:bottom w:w="113" w:type="dxa"/>
              <w:right w:w="170" w:type="dxa"/>
            </w:tcMar>
            <w:vAlign w:val="center"/>
          </w:tcPr>
          <w:p w14:paraId="6273F12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研发过程中的核心设计图纸、三维模型、技术方案、测试报告、专利交底书</w:t>
            </w:r>
          </w:p>
        </w:tc>
        <w:tc>
          <w:tcPr>
            <w:tcW w:w="1383" w:type="pct"/>
            <w:shd w:val="clear" w:color="auto" w:fill="auto"/>
            <w:tcMar>
              <w:top w:w="113" w:type="dxa"/>
              <w:left w:w="170" w:type="dxa"/>
              <w:bottom w:w="113" w:type="dxa"/>
              <w:right w:w="170" w:type="dxa"/>
            </w:tcMar>
            <w:vAlign w:val="center"/>
          </w:tcPr>
          <w:p w14:paraId="3DAE9DA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泄露会引发级联效应，对行业发展造成严重影响</w:t>
            </w:r>
          </w:p>
        </w:tc>
        <w:tc>
          <w:tcPr>
            <w:tcW w:w="923" w:type="pct"/>
            <w:shd w:val="clear" w:color="auto" w:fill="auto"/>
            <w:tcMar>
              <w:top w:w="113" w:type="dxa"/>
              <w:left w:w="170" w:type="dxa"/>
              <w:bottom w:w="113" w:type="dxa"/>
              <w:right w:w="170" w:type="dxa"/>
            </w:tcMar>
            <w:vAlign w:val="center"/>
          </w:tcPr>
          <w:p w14:paraId="0C448B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6.3.7 其他</w:t>
            </w:r>
          </w:p>
        </w:tc>
      </w:tr>
      <w:tr w14:paraId="78F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6" w:type="pct"/>
            <w:shd w:val="clear" w:color="auto" w:fill="auto"/>
            <w:tcMar>
              <w:top w:w="113" w:type="dxa"/>
              <w:left w:w="170" w:type="dxa"/>
              <w:bottom w:w="113" w:type="dxa"/>
              <w:right w:w="170" w:type="dxa"/>
            </w:tcMar>
            <w:vAlign w:val="center"/>
          </w:tcPr>
          <w:p w14:paraId="37F185A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783" w:type="pct"/>
            <w:shd w:val="clear" w:color="auto" w:fill="auto"/>
            <w:tcMar>
              <w:top w:w="113" w:type="dxa"/>
              <w:left w:w="170" w:type="dxa"/>
              <w:bottom w:w="113" w:type="dxa"/>
              <w:right w:w="170" w:type="dxa"/>
            </w:tcMar>
            <w:vAlign w:val="center"/>
          </w:tcPr>
          <w:p w14:paraId="69AC1A3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383" w:type="pct"/>
            <w:shd w:val="clear" w:color="auto" w:fill="auto"/>
            <w:tcMar>
              <w:top w:w="113" w:type="dxa"/>
              <w:left w:w="170" w:type="dxa"/>
              <w:bottom w:w="113" w:type="dxa"/>
              <w:right w:w="170" w:type="dxa"/>
            </w:tcMar>
            <w:vAlign w:val="center"/>
          </w:tcPr>
          <w:p w14:paraId="3A4DB9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383" w:type="pct"/>
            <w:shd w:val="clear" w:color="auto" w:fill="auto"/>
            <w:tcMar>
              <w:top w:w="113" w:type="dxa"/>
              <w:left w:w="170" w:type="dxa"/>
              <w:bottom w:w="113" w:type="dxa"/>
              <w:right w:w="170" w:type="dxa"/>
            </w:tcMar>
            <w:vAlign w:val="center"/>
          </w:tcPr>
          <w:p w14:paraId="738091AF">
            <w:pP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923" w:type="pct"/>
            <w:shd w:val="clear" w:color="auto" w:fill="auto"/>
            <w:tcMar>
              <w:top w:w="113" w:type="dxa"/>
              <w:left w:w="170" w:type="dxa"/>
              <w:bottom w:w="113" w:type="dxa"/>
              <w:right w:w="170" w:type="dxa"/>
            </w:tcMar>
            <w:vAlign w:val="center"/>
          </w:tcPr>
          <w:p w14:paraId="218FC1E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r>
    </w:tbl>
    <w:p w14:paraId="63841753">
      <w:pPr>
        <w:keepNext w:val="0"/>
        <w:keepLines w:val="0"/>
        <w:pageBreakBefore w:val="0"/>
        <w:widowControl/>
        <w:suppressLineNumbers w:val="0"/>
        <w:kinsoku/>
        <w:wordWrap/>
        <w:overflowPunct/>
        <w:topLinePunct w:val="0"/>
        <w:autoSpaceDE/>
        <w:autoSpaceDN/>
        <w:bidi w:val="0"/>
        <w:adjustRightInd/>
        <w:snapToGrid/>
        <w:spacing w:before="162" w:beforeLines="50" w:line="360" w:lineRule="auto"/>
        <w:jc w:val="left"/>
        <w:textAlignment w:val="auto"/>
        <w:rPr>
          <w:rFonts w:hint="default"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A.2 生产制造场景</w:t>
      </w:r>
    </w:p>
    <w:p w14:paraId="351DB60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数据处理者</w:t>
      </w:r>
      <w:r>
        <w:rPr>
          <w:rFonts w:hint="eastAsia" w:ascii="宋体" w:hAnsi="宋体" w:cs="宋体"/>
          <w:color w:val="000000"/>
          <w:kern w:val="0"/>
          <w:sz w:val="21"/>
          <w:szCs w:val="21"/>
          <w:lang w:val="en-US" w:eastAsia="zh-CN" w:bidi="ar"/>
        </w:rPr>
        <w:t>在</w:t>
      </w:r>
      <w:r>
        <w:rPr>
          <w:rFonts w:hint="eastAsia" w:ascii="宋体" w:hAnsi="宋体" w:eastAsia="宋体" w:cs="宋体"/>
          <w:color w:val="000000"/>
          <w:kern w:val="0"/>
          <w:sz w:val="21"/>
          <w:szCs w:val="21"/>
          <w:lang w:val="en-US" w:eastAsia="zh-CN" w:bidi="ar"/>
        </w:rPr>
        <w:t>产品生产制造过程中，收集和产生的</w:t>
      </w:r>
      <w:r>
        <w:rPr>
          <w:rFonts w:hint="eastAsia" w:ascii="宋体" w:hAnsi="宋体" w:cs="宋体"/>
          <w:color w:val="000000"/>
          <w:kern w:val="0"/>
          <w:sz w:val="21"/>
          <w:szCs w:val="21"/>
          <w:lang w:val="en-US" w:eastAsia="zh-CN" w:bidi="ar"/>
        </w:rPr>
        <w:t>生产</w:t>
      </w:r>
      <w:r>
        <w:rPr>
          <w:rFonts w:hint="eastAsia" w:ascii="宋体" w:hAnsi="宋体" w:eastAsia="宋体" w:cs="宋体"/>
          <w:color w:val="000000"/>
          <w:kern w:val="0"/>
          <w:sz w:val="21"/>
          <w:szCs w:val="21"/>
          <w:lang w:val="en-US" w:eastAsia="zh-CN" w:bidi="ar"/>
        </w:rPr>
        <w:t>物料清单、生产控制程序源代码</w:t>
      </w:r>
      <w:r>
        <w:rPr>
          <w:rFonts w:hint="eastAsia" w:ascii="宋体" w:hAnsi="宋体" w:cs="宋体"/>
          <w:color w:val="000000"/>
          <w:kern w:val="0"/>
          <w:sz w:val="21"/>
          <w:szCs w:val="21"/>
          <w:lang w:val="en-US" w:eastAsia="zh-CN" w:bidi="ar"/>
        </w:rPr>
        <w:t>、关键工艺参数等数据。重要数据识别</w:t>
      </w:r>
      <w:r>
        <w:rPr>
          <w:rFonts w:hint="eastAsia" w:ascii="宋体" w:hAnsi="宋体" w:eastAsia="宋体" w:cs="宋体"/>
          <w:color w:val="000000"/>
          <w:kern w:val="0"/>
          <w:sz w:val="21"/>
          <w:szCs w:val="21"/>
          <w:lang w:val="en-US" w:eastAsia="zh-CN" w:bidi="ar"/>
        </w:rPr>
        <w:t>示例见表</w:t>
      </w:r>
      <w:r>
        <w:rPr>
          <w:rFonts w:hint="eastAsia" w:ascii="宋体" w:hAnsi="宋体" w:cs="宋体"/>
          <w:color w:val="000000"/>
          <w:kern w:val="0"/>
          <w:sz w:val="21"/>
          <w:szCs w:val="21"/>
          <w:lang w:val="en-US" w:eastAsia="zh-CN" w:bidi="ar"/>
        </w:rPr>
        <w:t>A</w:t>
      </w:r>
      <w:r>
        <w:rPr>
          <w:rFonts w:hint="eastAsia" w:ascii="宋体" w:hAnsi="宋体" w:eastAsia="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w:t>
      </w:r>
    </w:p>
    <w:p w14:paraId="1EEE3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A.2 有色金属行业生产制造场景重要数据识别示例</w:t>
      </w:r>
    </w:p>
    <w:tbl>
      <w:tblPr>
        <w:tblStyle w:val="10"/>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28"/>
        <w:gridCol w:w="2278"/>
        <w:gridCol w:w="4136"/>
        <w:gridCol w:w="4136"/>
        <w:gridCol w:w="2502"/>
      </w:tblGrid>
      <w:tr w14:paraId="3C38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524" w:type="pct"/>
            <w:shd w:val="clear" w:color="auto" w:fill="auto"/>
            <w:tcMar>
              <w:top w:w="113" w:type="dxa"/>
              <w:left w:w="170" w:type="dxa"/>
              <w:bottom w:w="113" w:type="dxa"/>
              <w:right w:w="170" w:type="dxa"/>
            </w:tcMar>
            <w:vAlign w:val="center"/>
          </w:tcPr>
          <w:p w14:paraId="469A47A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781" w:type="pct"/>
            <w:shd w:val="clear" w:color="auto" w:fill="auto"/>
            <w:tcMar>
              <w:top w:w="113" w:type="dxa"/>
              <w:left w:w="170" w:type="dxa"/>
              <w:bottom w:w="113" w:type="dxa"/>
              <w:right w:w="170" w:type="dxa"/>
            </w:tcMar>
            <w:vAlign w:val="center"/>
          </w:tcPr>
          <w:p w14:paraId="5593153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w:t>
            </w:r>
          </w:p>
        </w:tc>
        <w:tc>
          <w:tcPr>
            <w:tcW w:w="1418" w:type="pct"/>
            <w:shd w:val="clear" w:color="auto" w:fill="auto"/>
            <w:tcMar>
              <w:top w:w="113" w:type="dxa"/>
              <w:left w:w="170" w:type="dxa"/>
              <w:bottom w:w="113" w:type="dxa"/>
              <w:right w:w="170" w:type="dxa"/>
            </w:tcMar>
            <w:vAlign w:val="center"/>
          </w:tcPr>
          <w:p w14:paraId="0E69519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数据项说明</w:t>
            </w:r>
          </w:p>
        </w:tc>
        <w:tc>
          <w:tcPr>
            <w:tcW w:w="1418" w:type="pct"/>
            <w:shd w:val="clear" w:color="auto" w:fill="auto"/>
            <w:tcMar>
              <w:top w:w="113" w:type="dxa"/>
              <w:left w:w="170" w:type="dxa"/>
              <w:bottom w:w="113" w:type="dxa"/>
              <w:right w:w="170" w:type="dxa"/>
            </w:tcMar>
            <w:vAlign w:val="center"/>
          </w:tcPr>
          <w:p w14:paraId="670221E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判定规则</w:t>
            </w:r>
          </w:p>
        </w:tc>
        <w:tc>
          <w:tcPr>
            <w:tcW w:w="858" w:type="pct"/>
            <w:shd w:val="clear" w:color="auto" w:fill="auto"/>
            <w:tcMar>
              <w:top w:w="113" w:type="dxa"/>
              <w:left w:w="170" w:type="dxa"/>
              <w:bottom w:w="113" w:type="dxa"/>
              <w:right w:w="170" w:type="dxa"/>
            </w:tcMar>
            <w:vAlign w:val="center"/>
          </w:tcPr>
          <w:p w14:paraId="2F16C3D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对应识别维度</w:t>
            </w:r>
          </w:p>
        </w:tc>
      </w:tr>
      <w:tr w14:paraId="3F2D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32A00B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生产计划与排产数据</w:t>
            </w:r>
          </w:p>
        </w:tc>
        <w:tc>
          <w:tcPr>
            <w:tcW w:w="781" w:type="pct"/>
            <w:shd w:val="clear" w:color="auto" w:fill="auto"/>
            <w:tcMar>
              <w:top w:w="113" w:type="dxa"/>
              <w:left w:w="170" w:type="dxa"/>
              <w:bottom w:w="113" w:type="dxa"/>
              <w:right w:w="170" w:type="dxa"/>
            </w:tcMar>
            <w:vAlign w:val="center"/>
          </w:tcPr>
          <w:p w14:paraId="7D29186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企业年度/月度生产经营计划</w:t>
            </w:r>
          </w:p>
        </w:tc>
        <w:tc>
          <w:tcPr>
            <w:tcW w:w="1418" w:type="pct"/>
            <w:shd w:val="clear" w:color="auto" w:fill="auto"/>
            <w:tcMar>
              <w:top w:w="113" w:type="dxa"/>
              <w:left w:w="170" w:type="dxa"/>
              <w:bottom w:w="113" w:type="dxa"/>
              <w:right w:w="170" w:type="dxa"/>
            </w:tcMar>
            <w:vAlign w:val="center"/>
          </w:tcPr>
          <w:p w14:paraId="5FF0300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年度、月度生产目标、产能安排、产值计划、利润目标等核心经营计划</w:t>
            </w:r>
          </w:p>
        </w:tc>
        <w:tc>
          <w:tcPr>
            <w:tcW w:w="1418" w:type="pct"/>
            <w:shd w:val="clear" w:color="auto" w:fill="auto"/>
            <w:tcMar>
              <w:top w:w="113" w:type="dxa"/>
              <w:left w:w="170" w:type="dxa"/>
              <w:bottom w:w="113" w:type="dxa"/>
              <w:right w:w="170" w:type="dxa"/>
            </w:tcMar>
            <w:vAlign w:val="center"/>
          </w:tcPr>
          <w:p w14:paraId="75E283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经汇聚分析可推算未公开国家经济运行情况、行业供需格局，涉及核心产能布局</w:t>
            </w:r>
          </w:p>
        </w:tc>
        <w:tc>
          <w:tcPr>
            <w:tcW w:w="858" w:type="pct"/>
            <w:shd w:val="clear" w:color="auto" w:fill="auto"/>
            <w:tcMar>
              <w:top w:w="113" w:type="dxa"/>
              <w:left w:w="170" w:type="dxa"/>
              <w:bottom w:w="113" w:type="dxa"/>
              <w:right w:w="170" w:type="dxa"/>
            </w:tcMar>
            <w:vAlign w:val="center"/>
          </w:tcPr>
          <w:p w14:paraId="6F6733A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与产业保障相关</w:t>
            </w:r>
          </w:p>
        </w:tc>
      </w:tr>
      <w:tr w14:paraId="711D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31F86735">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6CB602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生产排程与作业计划数据</w:t>
            </w:r>
          </w:p>
        </w:tc>
        <w:tc>
          <w:tcPr>
            <w:tcW w:w="1418" w:type="pct"/>
            <w:shd w:val="clear" w:color="auto" w:fill="auto"/>
            <w:tcMar>
              <w:top w:w="113" w:type="dxa"/>
              <w:left w:w="170" w:type="dxa"/>
              <w:bottom w:w="113" w:type="dxa"/>
              <w:right w:w="170" w:type="dxa"/>
            </w:tcMar>
            <w:vAlign w:val="center"/>
          </w:tcPr>
          <w:p w14:paraId="3ED70DA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日/班作业排产、生产线调度、工序衔接、设备稼动计划等实时排产数据</w:t>
            </w:r>
          </w:p>
        </w:tc>
        <w:tc>
          <w:tcPr>
            <w:tcW w:w="1418" w:type="pct"/>
            <w:shd w:val="clear" w:color="auto" w:fill="auto"/>
            <w:tcMar>
              <w:top w:w="113" w:type="dxa"/>
              <w:left w:w="170" w:type="dxa"/>
              <w:bottom w:w="113" w:type="dxa"/>
              <w:right w:w="170" w:type="dxa"/>
            </w:tcMar>
            <w:vAlign w:val="center"/>
          </w:tcPr>
          <w:p w14:paraId="554805F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涉及军工配套、战略资源保供任务排程，可获取行业核心产能利用率</w:t>
            </w:r>
          </w:p>
        </w:tc>
        <w:tc>
          <w:tcPr>
            <w:tcW w:w="858" w:type="pct"/>
            <w:shd w:val="clear" w:color="auto" w:fill="auto"/>
            <w:tcMar>
              <w:top w:w="113" w:type="dxa"/>
              <w:left w:w="170" w:type="dxa"/>
              <w:bottom w:w="113" w:type="dxa"/>
              <w:right w:w="170" w:type="dxa"/>
            </w:tcMar>
            <w:vAlign w:val="center"/>
          </w:tcPr>
          <w:p w14:paraId="3606B4C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03AB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454D8159">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6A1AB45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生产产能与负荷数据</w:t>
            </w:r>
          </w:p>
        </w:tc>
        <w:tc>
          <w:tcPr>
            <w:tcW w:w="1418" w:type="pct"/>
            <w:shd w:val="clear" w:color="auto" w:fill="auto"/>
            <w:tcMar>
              <w:top w:w="113" w:type="dxa"/>
              <w:left w:w="170" w:type="dxa"/>
              <w:bottom w:w="113" w:type="dxa"/>
              <w:right w:w="170" w:type="dxa"/>
            </w:tcMar>
            <w:vAlign w:val="center"/>
          </w:tcPr>
          <w:p w14:paraId="19D917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各生产线、工序的设计产能、实际产能、负荷率、设备利用率、启停状态数据</w:t>
            </w:r>
          </w:p>
        </w:tc>
        <w:tc>
          <w:tcPr>
            <w:tcW w:w="1418" w:type="pct"/>
            <w:shd w:val="clear" w:color="auto" w:fill="auto"/>
            <w:tcMar>
              <w:top w:w="113" w:type="dxa"/>
              <w:left w:w="170" w:type="dxa"/>
              <w:bottom w:w="113" w:type="dxa"/>
              <w:right w:w="170" w:type="dxa"/>
            </w:tcMar>
            <w:vAlign w:val="center"/>
          </w:tcPr>
          <w:p w14:paraId="55D49E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经汇聚分析可推算行业整体产能、供需平衡，涉及战略矿产核心产能</w:t>
            </w:r>
          </w:p>
        </w:tc>
        <w:tc>
          <w:tcPr>
            <w:tcW w:w="858" w:type="pct"/>
            <w:shd w:val="clear" w:color="auto" w:fill="auto"/>
            <w:tcMar>
              <w:top w:w="113" w:type="dxa"/>
              <w:left w:w="170" w:type="dxa"/>
              <w:bottom w:w="113" w:type="dxa"/>
              <w:right w:w="170" w:type="dxa"/>
            </w:tcMar>
            <w:vAlign w:val="center"/>
          </w:tcPr>
          <w:p w14:paraId="51292CB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与产业保障相关</w:t>
            </w:r>
          </w:p>
        </w:tc>
      </w:tr>
      <w:tr w14:paraId="7CAB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5429788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生产工艺与过程管控数据</w:t>
            </w:r>
          </w:p>
        </w:tc>
        <w:tc>
          <w:tcPr>
            <w:tcW w:w="781" w:type="pct"/>
            <w:shd w:val="clear" w:color="auto" w:fill="auto"/>
            <w:tcMar>
              <w:top w:w="113" w:type="dxa"/>
              <w:left w:w="170" w:type="dxa"/>
              <w:bottom w:w="113" w:type="dxa"/>
              <w:right w:w="170" w:type="dxa"/>
            </w:tcMar>
            <w:vAlign w:val="center"/>
          </w:tcPr>
          <w:p w14:paraId="1ECD55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有色金属核心生产工艺参数</w:t>
            </w:r>
          </w:p>
        </w:tc>
        <w:tc>
          <w:tcPr>
            <w:tcW w:w="1418" w:type="pct"/>
            <w:shd w:val="clear" w:color="auto" w:fill="auto"/>
            <w:tcMar>
              <w:top w:w="113" w:type="dxa"/>
              <w:left w:w="170" w:type="dxa"/>
              <w:bottom w:w="113" w:type="dxa"/>
              <w:right w:w="170" w:type="dxa"/>
            </w:tcMar>
            <w:vAlign w:val="center"/>
          </w:tcPr>
          <w:p w14:paraId="6B3CCC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选矿、冶炼、加工全流程核心工艺参数，药剂配比、炉温、电流密度、轧制温度等</w:t>
            </w:r>
          </w:p>
        </w:tc>
        <w:tc>
          <w:tcPr>
            <w:tcW w:w="1418" w:type="pct"/>
            <w:shd w:val="clear" w:color="auto" w:fill="auto"/>
            <w:tcMar>
              <w:top w:w="113" w:type="dxa"/>
              <w:left w:w="170" w:type="dxa"/>
              <w:bottom w:w="113" w:type="dxa"/>
              <w:right w:w="170" w:type="dxa"/>
            </w:tcMar>
            <w:vAlign w:val="center"/>
          </w:tcPr>
          <w:p w14:paraId="0074A7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属于禁止出口技术目录特有技术，涉及行业核心竞争力先进工艺、国家科技计划项目成果</w:t>
            </w:r>
          </w:p>
        </w:tc>
        <w:tc>
          <w:tcPr>
            <w:tcW w:w="858" w:type="pct"/>
            <w:shd w:val="clear" w:color="auto" w:fill="auto"/>
            <w:tcMar>
              <w:top w:w="113" w:type="dxa"/>
              <w:left w:w="170" w:type="dxa"/>
              <w:bottom w:w="113" w:type="dxa"/>
              <w:right w:w="170" w:type="dxa"/>
            </w:tcMar>
            <w:vAlign w:val="center"/>
          </w:tcPr>
          <w:p w14:paraId="796481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与行业发展相关、6.3.5 与出口管制相关</w:t>
            </w:r>
          </w:p>
        </w:tc>
      </w:tr>
      <w:tr w14:paraId="57B1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283CA38B">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410256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生产过程实时监测与控制数据</w:t>
            </w:r>
          </w:p>
        </w:tc>
        <w:tc>
          <w:tcPr>
            <w:tcW w:w="1418" w:type="pct"/>
            <w:shd w:val="clear" w:color="auto" w:fill="auto"/>
            <w:tcMar>
              <w:top w:w="113" w:type="dxa"/>
              <w:left w:w="170" w:type="dxa"/>
              <w:bottom w:w="113" w:type="dxa"/>
              <w:right w:w="170" w:type="dxa"/>
            </w:tcMar>
            <w:vAlign w:val="center"/>
          </w:tcPr>
          <w:p w14:paraId="1D0855F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DCS/PLC系统采集的实时过程数据，温度、压力、流量、成分等监测、控制指令、报警记录</w:t>
            </w:r>
          </w:p>
        </w:tc>
        <w:tc>
          <w:tcPr>
            <w:tcW w:w="1418" w:type="pct"/>
            <w:shd w:val="clear" w:color="auto" w:fill="auto"/>
            <w:tcMar>
              <w:top w:w="113" w:type="dxa"/>
              <w:left w:w="170" w:type="dxa"/>
              <w:bottom w:w="113" w:type="dxa"/>
              <w:right w:w="170" w:type="dxa"/>
            </w:tcMar>
            <w:vAlign w:val="center"/>
          </w:tcPr>
          <w:p w14:paraId="4B9963C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涉及核心工艺、关键设备控制逻辑，泄露可引发重大生产安全、环境事件</w:t>
            </w:r>
          </w:p>
        </w:tc>
        <w:tc>
          <w:tcPr>
            <w:tcW w:w="858" w:type="pct"/>
            <w:shd w:val="clear" w:color="auto" w:fill="auto"/>
            <w:tcMar>
              <w:top w:w="113" w:type="dxa"/>
              <w:left w:w="170" w:type="dxa"/>
              <w:bottom w:w="113" w:type="dxa"/>
              <w:right w:w="170" w:type="dxa"/>
            </w:tcMar>
            <w:vAlign w:val="center"/>
          </w:tcPr>
          <w:p w14:paraId="3FA8E8C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3B8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02EBEFB4">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4CC8707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生产工艺优化与试验数据</w:t>
            </w:r>
          </w:p>
        </w:tc>
        <w:tc>
          <w:tcPr>
            <w:tcW w:w="1418" w:type="pct"/>
            <w:shd w:val="clear" w:color="auto" w:fill="auto"/>
            <w:tcMar>
              <w:top w:w="113" w:type="dxa"/>
              <w:left w:w="170" w:type="dxa"/>
              <w:bottom w:w="113" w:type="dxa"/>
              <w:right w:w="170" w:type="dxa"/>
            </w:tcMar>
            <w:vAlign w:val="center"/>
          </w:tcPr>
          <w:p w14:paraId="0DA88E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工艺优化、新工艺试验、参数调整、节能降耗试验的方案、过程数据、结果分析</w:t>
            </w:r>
          </w:p>
        </w:tc>
        <w:tc>
          <w:tcPr>
            <w:tcW w:w="1418" w:type="pct"/>
            <w:shd w:val="clear" w:color="auto" w:fill="auto"/>
            <w:tcMar>
              <w:top w:w="113" w:type="dxa"/>
              <w:left w:w="170" w:type="dxa"/>
              <w:bottom w:w="113" w:type="dxa"/>
              <w:right w:w="170" w:type="dxa"/>
            </w:tcMar>
            <w:vAlign w:val="center"/>
          </w:tcPr>
          <w:p w14:paraId="042C6A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涉及行业领先先进工艺、绿色低碳工艺研发，国家科技计划项目相关试验数据</w:t>
            </w:r>
          </w:p>
        </w:tc>
        <w:tc>
          <w:tcPr>
            <w:tcW w:w="858" w:type="pct"/>
            <w:shd w:val="clear" w:color="auto" w:fill="auto"/>
            <w:tcMar>
              <w:top w:w="113" w:type="dxa"/>
              <w:left w:w="170" w:type="dxa"/>
              <w:bottom w:w="113" w:type="dxa"/>
              <w:right w:w="170" w:type="dxa"/>
            </w:tcMar>
            <w:vAlign w:val="center"/>
          </w:tcPr>
          <w:p w14:paraId="057ABC1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15C5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0AB2AD3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生产设备与设施管控数据</w:t>
            </w:r>
          </w:p>
        </w:tc>
        <w:tc>
          <w:tcPr>
            <w:tcW w:w="781" w:type="pct"/>
            <w:shd w:val="clear" w:color="auto" w:fill="auto"/>
            <w:tcMar>
              <w:top w:w="113" w:type="dxa"/>
              <w:left w:w="170" w:type="dxa"/>
              <w:bottom w:w="113" w:type="dxa"/>
              <w:right w:w="170" w:type="dxa"/>
            </w:tcMar>
            <w:vAlign w:val="center"/>
          </w:tcPr>
          <w:p w14:paraId="67F58A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核心生产设备全生命周期数据</w:t>
            </w:r>
          </w:p>
        </w:tc>
        <w:tc>
          <w:tcPr>
            <w:tcW w:w="1418" w:type="pct"/>
            <w:shd w:val="clear" w:color="auto" w:fill="auto"/>
            <w:tcMar>
              <w:top w:w="113" w:type="dxa"/>
              <w:left w:w="170" w:type="dxa"/>
              <w:bottom w:w="113" w:type="dxa"/>
              <w:right w:w="170" w:type="dxa"/>
            </w:tcMar>
            <w:vAlign w:val="center"/>
          </w:tcPr>
          <w:p w14:paraId="3CEB0C4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选矿、冶炼、加工核心设备的设计参数、采购、安装调试、运行台账、维护保养、故障记录</w:t>
            </w:r>
          </w:p>
        </w:tc>
        <w:tc>
          <w:tcPr>
            <w:tcW w:w="1418" w:type="pct"/>
            <w:shd w:val="clear" w:color="auto" w:fill="auto"/>
            <w:tcMar>
              <w:top w:w="113" w:type="dxa"/>
              <w:left w:w="170" w:type="dxa"/>
              <w:bottom w:w="113" w:type="dxa"/>
              <w:right w:w="170" w:type="dxa"/>
            </w:tcMar>
            <w:vAlign w:val="center"/>
          </w:tcPr>
          <w:p w14:paraId="688D45F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涉及国产化核心设备、行业首台套重大装备，泄露可影响设备安全运行、引发事故</w:t>
            </w:r>
          </w:p>
        </w:tc>
        <w:tc>
          <w:tcPr>
            <w:tcW w:w="858" w:type="pct"/>
            <w:shd w:val="clear" w:color="auto" w:fill="auto"/>
            <w:tcMar>
              <w:top w:w="113" w:type="dxa"/>
              <w:left w:w="170" w:type="dxa"/>
              <w:bottom w:w="113" w:type="dxa"/>
              <w:right w:w="170" w:type="dxa"/>
            </w:tcMar>
            <w:vAlign w:val="center"/>
          </w:tcPr>
          <w:p w14:paraId="0BAC575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7C82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654121EE">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60FE0CD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设备运行与状态监测数据</w:t>
            </w:r>
          </w:p>
        </w:tc>
        <w:tc>
          <w:tcPr>
            <w:tcW w:w="1418" w:type="pct"/>
            <w:shd w:val="clear" w:color="auto" w:fill="auto"/>
            <w:tcMar>
              <w:top w:w="113" w:type="dxa"/>
              <w:left w:w="170" w:type="dxa"/>
              <w:bottom w:w="113" w:type="dxa"/>
              <w:right w:w="170" w:type="dxa"/>
            </w:tcMar>
            <w:vAlign w:val="center"/>
          </w:tcPr>
          <w:p w14:paraId="1D10D38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核心设备实时运行状态、振动、温度、电流等监测数据，健康度评估、预测性维护数据</w:t>
            </w:r>
          </w:p>
        </w:tc>
        <w:tc>
          <w:tcPr>
            <w:tcW w:w="1418" w:type="pct"/>
            <w:shd w:val="clear" w:color="auto" w:fill="auto"/>
            <w:tcMar>
              <w:top w:w="113" w:type="dxa"/>
              <w:left w:w="170" w:type="dxa"/>
              <w:bottom w:w="113" w:type="dxa"/>
              <w:right w:w="170" w:type="dxa"/>
            </w:tcMar>
            <w:vAlign w:val="center"/>
          </w:tcPr>
          <w:p w14:paraId="1B60DC3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涉及核心设备智能控制、故障预警核心算法，泄露可引发设备重大故障、生产中断</w:t>
            </w:r>
          </w:p>
        </w:tc>
        <w:tc>
          <w:tcPr>
            <w:tcW w:w="858" w:type="pct"/>
            <w:shd w:val="clear" w:color="auto" w:fill="auto"/>
            <w:tcMar>
              <w:top w:w="113" w:type="dxa"/>
              <w:left w:w="170" w:type="dxa"/>
              <w:bottom w:w="113" w:type="dxa"/>
              <w:right w:w="170" w:type="dxa"/>
            </w:tcMar>
            <w:vAlign w:val="center"/>
          </w:tcPr>
          <w:p w14:paraId="6004F3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4AB5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23DA2CAA">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22ECA3D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生产配套设施管控数据</w:t>
            </w:r>
          </w:p>
        </w:tc>
        <w:tc>
          <w:tcPr>
            <w:tcW w:w="1418" w:type="pct"/>
            <w:shd w:val="clear" w:color="auto" w:fill="auto"/>
            <w:tcMar>
              <w:top w:w="113" w:type="dxa"/>
              <w:left w:w="170" w:type="dxa"/>
              <w:bottom w:w="113" w:type="dxa"/>
              <w:right w:w="170" w:type="dxa"/>
            </w:tcMar>
            <w:vAlign w:val="center"/>
          </w:tcPr>
          <w:p w14:paraId="763BD4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能源供应、水处理、环保治理、仓储、物流等配套设施的设计参数、运行状态、维护记录</w:t>
            </w:r>
          </w:p>
        </w:tc>
        <w:tc>
          <w:tcPr>
            <w:tcW w:w="1418" w:type="pct"/>
            <w:shd w:val="clear" w:color="auto" w:fill="auto"/>
            <w:tcMar>
              <w:top w:w="113" w:type="dxa"/>
              <w:left w:w="170" w:type="dxa"/>
              <w:bottom w:w="113" w:type="dxa"/>
              <w:right w:w="170" w:type="dxa"/>
            </w:tcMar>
            <w:vAlign w:val="center"/>
          </w:tcPr>
          <w:p w14:paraId="6117917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泄露可引发环保事件、能源供应中断、生产安全事故，涉及绿色发展核心配套设施</w:t>
            </w:r>
          </w:p>
        </w:tc>
        <w:tc>
          <w:tcPr>
            <w:tcW w:w="858" w:type="pct"/>
            <w:shd w:val="clear" w:color="auto" w:fill="auto"/>
            <w:tcMar>
              <w:top w:w="113" w:type="dxa"/>
              <w:left w:w="170" w:type="dxa"/>
              <w:bottom w:w="113" w:type="dxa"/>
              <w:right w:w="170" w:type="dxa"/>
            </w:tcMar>
            <w:vAlign w:val="center"/>
          </w:tcPr>
          <w:p w14:paraId="3A61762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49DA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1305485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安全生产与应急管控数据</w:t>
            </w:r>
          </w:p>
        </w:tc>
        <w:tc>
          <w:tcPr>
            <w:tcW w:w="781" w:type="pct"/>
            <w:shd w:val="clear" w:color="auto" w:fill="auto"/>
            <w:tcMar>
              <w:top w:w="113" w:type="dxa"/>
              <w:left w:w="170" w:type="dxa"/>
              <w:bottom w:w="113" w:type="dxa"/>
              <w:right w:w="170" w:type="dxa"/>
            </w:tcMar>
            <w:vAlign w:val="center"/>
          </w:tcPr>
          <w:p w14:paraId="6797B7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安全生产风险管控与隐患排查数据</w:t>
            </w:r>
          </w:p>
        </w:tc>
        <w:tc>
          <w:tcPr>
            <w:tcW w:w="1418" w:type="pct"/>
            <w:shd w:val="clear" w:color="auto" w:fill="auto"/>
            <w:tcMar>
              <w:top w:w="113" w:type="dxa"/>
              <w:left w:w="170" w:type="dxa"/>
              <w:bottom w:w="113" w:type="dxa"/>
              <w:right w:w="170" w:type="dxa"/>
            </w:tcMar>
            <w:vAlign w:val="center"/>
          </w:tcPr>
          <w:p w14:paraId="64E6300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安全生产风险分级管控、重大危险源辨识、隐患排查治理台账、风险评估、整改记录</w:t>
            </w:r>
          </w:p>
        </w:tc>
        <w:tc>
          <w:tcPr>
            <w:tcW w:w="1418" w:type="pct"/>
            <w:shd w:val="clear" w:color="auto" w:fill="auto"/>
            <w:tcMar>
              <w:top w:w="113" w:type="dxa"/>
              <w:left w:w="170" w:type="dxa"/>
              <w:bottom w:w="113" w:type="dxa"/>
              <w:right w:w="170" w:type="dxa"/>
            </w:tcMar>
            <w:vAlign w:val="center"/>
          </w:tcPr>
          <w:p w14:paraId="4B7E4F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整体反映企业安全生产风险防控、隐患排查的未公开数据，泄露可引发重大生产安全事故</w:t>
            </w:r>
          </w:p>
        </w:tc>
        <w:tc>
          <w:tcPr>
            <w:tcW w:w="858" w:type="pct"/>
            <w:shd w:val="clear" w:color="auto" w:fill="auto"/>
            <w:tcMar>
              <w:top w:w="113" w:type="dxa"/>
              <w:left w:w="170" w:type="dxa"/>
              <w:bottom w:w="113" w:type="dxa"/>
              <w:right w:w="170" w:type="dxa"/>
            </w:tcMar>
            <w:vAlign w:val="center"/>
          </w:tcPr>
          <w:p w14:paraId="544ACBF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045D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52FCE254">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5D8B920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生产安全事故与应急处置数据</w:t>
            </w:r>
          </w:p>
        </w:tc>
        <w:tc>
          <w:tcPr>
            <w:tcW w:w="1418" w:type="pct"/>
            <w:shd w:val="clear" w:color="auto" w:fill="auto"/>
            <w:tcMar>
              <w:top w:w="113" w:type="dxa"/>
              <w:left w:w="170" w:type="dxa"/>
              <w:bottom w:w="113" w:type="dxa"/>
              <w:right w:w="170" w:type="dxa"/>
            </w:tcMar>
            <w:vAlign w:val="center"/>
          </w:tcPr>
          <w:p w14:paraId="2094D41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生产安全事故台账、调查报告、应急预案、应急演练记录、应急物资储备、救援队伍信息</w:t>
            </w:r>
          </w:p>
        </w:tc>
        <w:tc>
          <w:tcPr>
            <w:tcW w:w="1418" w:type="pct"/>
            <w:shd w:val="clear" w:color="auto" w:fill="auto"/>
            <w:tcMar>
              <w:top w:w="113" w:type="dxa"/>
              <w:left w:w="170" w:type="dxa"/>
              <w:bottom w:w="113" w:type="dxa"/>
              <w:right w:w="170" w:type="dxa"/>
            </w:tcMar>
            <w:vAlign w:val="center"/>
          </w:tcPr>
          <w:p w14:paraId="6A2C5BD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未公开的生产安全事故、应急处置核心数据，泄露可影响应急处置效果、引发次生事故</w:t>
            </w:r>
          </w:p>
        </w:tc>
        <w:tc>
          <w:tcPr>
            <w:tcW w:w="858" w:type="pct"/>
            <w:shd w:val="clear" w:color="auto" w:fill="auto"/>
            <w:tcMar>
              <w:top w:w="113" w:type="dxa"/>
              <w:left w:w="170" w:type="dxa"/>
              <w:bottom w:w="113" w:type="dxa"/>
              <w:right w:w="170" w:type="dxa"/>
            </w:tcMar>
            <w:vAlign w:val="center"/>
          </w:tcPr>
          <w:p w14:paraId="76F4DD5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7FA4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1EE26EAA">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3C6FF8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高危作业与特殊作业管控数据</w:t>
            </w:r>
          </w:p>
        </w:tc>
        <w:tc>
          <w:tcPr>
            <w:tcW w:w="1418" w:type="pct"/>
            <w:shd w:val="clear" w:color="auto" w:fill="auto"/>
            <w:tcMar>
              <w:top w:w="113" w:type="dxa"/>
              <w:left w:w="170" w:type="dxa"/>
              <w:bottom w:w="113" w:type="dxa"/>
              <w:right w:w="170" w:type="dxa"/>
            </w:tcMar>
            <w:vAlign w:val="center"/>
          </w:tcPr>
          <w:p w14:paraId="60559A8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动火、高处、有限空间、吊装、临时用电等高危作业的审批记录、作业方案、安全管控措施</w:t>
            </w:r>
          </w:p>
        </w:tc>
        <w:tc>
          <w:tcPr>
            <w:tcW w:w="1418" w:type="pct"/>
            <w:shd w:val="clear" w:color="auto" w:fill="auto"/>
            <w:tcMar>
              <w:top w:w="113" w:type="dxa"/>
              <w:left w:w="170" w:type="dxa"/>
              <w:bottom w:w="113" w:type="dxa"/>
              <w:right w:w="170" w:type="dxa"/>
            </w:tcMar>
            <w:vAlign w:val="center"/>
          </w:tcPr>
          <w:p w14:paraId="5DA8102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涉及高危作业核心安全管控数据，泄露可引发重大生产安全事故，整体反映企业高危作业管控体系</w:t>
            </w:r>
          </w:p>
        </w:tc>
        <w:tc>
          <w:tcPr>
            <w:tcW w:w="858" w:type="pct"/>
            <w:shd w:val="clear" w:color="auto" w:fill="auto"/>
            <w:tcMar>
              <w:top w:w="113" w:type="dxa"/>
              <w:left w:w="170" w:type="dxa"/>
              <w:bottom w:w="113" w:type="dxa"/>
              <w:right w:w="170" w:type="dxa"/>
            </w:tcMar>
            <w:vAlign w:val="center"/>
          </w:tcPr>
          <w:p w14:paraId="37D52CF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47CF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3FBA1EC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质量管控与检验数据</w:t>
            </w:r>
          </w:p>
        </w:tc>
        <w:tc>
          <w:tcPr>
            <w:tcW w:w="781" w:type="pct"/>
            <w:shd w:val="clear" w:color="auto" w:fill="auto"/>
            <w:tcMar>
              <w:top w:w="113" w:type="dxa"/>
              <w:left w:w="170" w:type="dxa"/>
              <w:bottom w:w="113" w:type="dxa"/>
              <w:right w:w="170" w:type="dxa"/>
            </w:tcMar>
            <w:vAlign w:val="center"/>
          </w:tcPr>
          <w:p w14:paraId="451BC78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产品质量标准与管控体系数据</w:t>
            </w:r>
          </w:p>
        </w:tc>
        <w:tc>
          <w:tcPr>
            <w:tcW w:w="1418" w:type="pct"/>
            <w:shd w:val="clear" w:color="auto" w:fill="auto"/>
            <w:tcMar>
              <w:top w:w="113" w:type="dxa"/>
              <w:left w:w="170" w:type="dxa"/>
              <w:bottom w:w="113" w:type="dxa"/>
              <w:right w:w="170" w:type="dxa"/>
            </w:tcMar>
            <w:vAlign w:val="center"/>
          </w:tcPr>
          <w:p w14:paraId="60AC40D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产品内控质量标准、管控体系文件、检验规范、抽样方案、质量目标、考核数据</w:t>
            </w:r>
          </w:p>
        </w:tc>
        <w:tc>
          <w:tcPr>
            <w:tcW w:w="1418" w:type="pct"/>
            <w:shd w:val="clear" w:color="auto" w:fill="auto"/>
            <w:tcMar>
              <w:top w:w="113" w:type="dxa"/>
              <w:left w:w="170" w:type="dxa"/>
              <w:bottom w:w="113" w:type="dxa"/>
              <w:right w:w="170" w:type="dxa"/>
            </w:tcMar>
            <w:vAlign w:val="center"/>
          </w:tcPr>
          <w:p w14:paraId="3C6883A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涉及军工配套、国家战略领域用产品质量标准，行业领先的质量管控体系数据</w:t>
            </w:r>
          </w:p>
        </w:tc>
        <w:tc>
          <w:tcPr>
            <w:tcW w:w="858" w:type="pct"/>
            <w:shd w:val="clear" w:color="auto" w:fill="auto"/>
            <w:tcMar>
              <w:top w:w="113" w:type="dxa"/>
              <w:left w:w="170" w:type="dxa"/>
              <w:bottom w:w="113" w:type="dxa"/>
              <w:right w:w="170" w:type="dxa"/>
            </w:tcMar>
            <w:vAlign w:val="center"/>
          </w:tcPr>
          <w:p w14:paraId="6C099B8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4BA7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1A074943">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1B5E437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生产过程质量检验数据</w:t>
            </w:r>
          </w:p>
        </w:tc>
        <w:tc>
          <w:tcPr>
            <w:tcW w:w="1418" w:type="pct"/>
            <w:shd w:val="clear" w:color="auto" w:fill="auto"/>
            <w:tcMar>
              <w:top w:w="113" w:type="dxa"/>
              <w:left w:w="170" w:type="dxa"/>
              <w:bottom w:w="113" w:type="dxa"/>
              <w:right w:w="170" w:type="dxa"/>
            </w:tcMar>
            <w:vAlign w:val="center"/>
          </w:tcPr>
          <w:p w14:paraId="59AA335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来料检验、工序间检验、成品检验、理化检验、光谱分析、力学性能检测等检验数据、报告</w:t>
            </w:r>
          </w:p>
        </w:tc>
        <w:tc>
          <w:tcPr>
            <w:tcW w:w="1418" w:type="pct"/>
            <w:shd w:val="clear" w:color="auto" w:fill="auto"/>
            <w:tcMar>
              <w:top w:w="113" w:type="dxa"/>
              <w:left w:w="170" w:type="dxa"/>
              <w:bottom w:w="113" w:type="dxa"/>
              <w:right w:w="170" w:type="dxa"/>
            </w:tcMar>
            <w:vAlign w:val="center"/>
          </w:tcPr>
          <w:p w14:paraId="35E033E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涉及军工配套、国家战略领域用产品核心检验数据，泄露可影响产品质量信誉、引发重大质量事故</w:t>
            </w:r>
          </w:p>
        </w:tc>
        <w:tc>
          <w:tcPr>
            <w:tcW w:w="858" w:type="pct"/>
            <w:shd w:val="clear" w:color="auto" w:fill="auto"/>
            <w:tcMar>
              <w:top w:w="113" w:type="dxa"/>
              <w:left w:w="170" w:type="dxa"/>
              <w:bottom w:w="113" w:type="dxa"/>
              <w:right w:w="170" w:type="dxa"/>
            </w:tcMar>
            <w:vAlign w:val="center"/>
          </w:tcPr>
          <w:p w14:paraId="541E064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与行业发展相关、6.3.7 其他</w:t>
            </w:r>
          </w:p>
        </w:tc>
      </w:tr>
      <w:tr w14:paraId="7CB1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74ED9E8B">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433A847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产品质量追溯与认证数据</w:t>
            </w:r>
          </w:p>
        </w:tc>
        <w:tc>
          <w:tcPr>
            <w:tcW w:w="1418" w:type="pct"/>
            <w:shd w:val="clear" w:color="auto" w:fill="auto"/>
            <w:tcMar>
              <w:top w:w="113" w:type="dxa"/>
              <w:left w:w="170" w:type="dxa"/>
              <w:bottom w:w="113" w:type="dxa"/>
              <w:right w:w="170" w:type="dxa"/>
            </w:tcMar>
            <w:vAlign w:val="center"/>
          </w:tcPr>
          <w:p w14:paraId="048B7F2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产品全流程质量追溯、批次管理、产品认证、体系认证、客户质量反馈、整改记录</w:t>
            </w:r>
          </w:p>
        </w:tc>
        <w:tc>
          <w:tcPr>
            <w:tcW w:w="1418" w:type="pct"/>
            <w:shd w:val="clear" w:color="auto" w:fill="auto"/>
            <w:tcMar>
              <w:top w:w="113" w:type="dxa"/>
              <w:left w:w="170" w:type="dxa"/>
              <w:bottom w:w="113" w:type="dxa"/>
              <w:right w:w="170" w:type="dxa"/>
            </w:tcMar>
            <w:vAlign w:val="center"/>
          </w:tcPr>
          <w:p w14:paraId="34B68A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涉及国家战略资源、军工配套产品质量追溯核心数据，行业核心品牌高端产品质量认证体系</w:t>
            </w:r>
          </w:p>
        </w:tc>
        <w:tc>
          <w:tcPr>
            <w:tcW w:w="858" w:type="pct"/>
            <w:shd w:val="clear" w:color="auto" w:fill="auto"/>
            <w:tcMar>
              <w:top w:w="113" w:type="dxa"/>
              <w:left w:w="170" w:type="dxa"/>
              <w:bottom w:w="113" w:type="dxa"/>
              <w:right w:w="170" w:type="dxa"/>
            </w:tcMar>
            <w:vAlign w:val="center"/>
          </w:tcPr>
          <w:p w14:paraId="607E0C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74C7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2A68E02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物料与仓储管控数据</w:t>
            </w:r>
          </w:p>
        </w:tc>
        <w:tc>
          <w:tcPr>
            <w:tcW w:w="781" w:type="pct"/>
            <w:shd w:val="clear" w:color="auto" w:fill="auto"/>
            <w:tcMar>
              <w:top w:w="113" w:type="dxa"/>
              <w:left w:w="170" w:type="dxa"/>
              <w:bottom w:w="113" w:type="dxa"/>
              <w:right w:w="170" w:type="dxa"/>
            </w:tcMar>
            <w:vAlign w:val="center"/>
          </w:tcPr>
          <w:p w14:paraId="763AFE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战略矿产与核心原料库存数据</w:t>
            </w:r>
          </w:p>
        </w:tc>
        <w:tc>
          <w:tcPr>
            <w:tcW w:w="1418" w:type="pct"/>
            <w:shd w:val="clear" w:color="auto" w:fill="auto"/>
            <w:tcMar>
              <w:top w:w="113" w:type="dxa"/>
              <w:left w:w="170" w:type="dxa"/>
              <w:bottom w:w="113" w:type="dxa"/>
              <w:right w:w="170" w:type="dxa"/>
            </w:tcMar>
            <w:vAlign w:val="center"/>
          </w:tcPr>
          <w:p w14:paraId="555CFD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铜、铝、锂、钴、镍等战略矿产原料、核心辅料的库存台账、结构、周转、出入库、储备定额</w:t>
            </w:r>
          </w:p>
        </w:tc>
        <w:tc>
          <w:tcPr>
            <w:tcW w:w="1418" w:type="pct"/>
            <w:shd w:val="clear" w:color="auto" w:fill="auto"/>
            <w:tcMar>
              <w:top w:w="113" w:type="dxa"/>
              <w:left w:w="170" w:type="dxa"/>
              <w:bottom w:w="113" w:type="dxa"/>
              <w:right w:w="170" w:type="dxa"/>
            </w:tcMar>
            <w:vAlign w:val="center"/>
          </w:tcPr>
          <w:p w14:paraId="67A8BF3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涉及国家战略储备、军工配套原料储备，经汇聚分析可影响战略资源定价权、行业供需格局</w:t>
            </w:r>
          </w:p>
        </w:tc>
        <w:tc>
          <w:tcPr>
            <w:tcW w:w="858" w:type="pct"/>
            <w:shd w:val="clear" w:color="auto" w:fill="auto"/>
            <w:tcMar>
              <w:top w:w="113" w:type="dxa"/>
              <w:left w:w="170" w:type="dxa"/>
              <w:bottom w:w="113" w:type="dxa"/>
              <w:right w:w="170" w:type="dxa"/>
            </w:tcMar>
            <w:vAlign w:val="center"/>
          </w:tcPr>
          <w:p w14:paraId="317CD76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与产业保障相关</w:t>
            </w:r>
          </w:p>
        </w:tc>
      </w:tr>
      <w:tr w14:paraId="6043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15FFECA1">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1F72A6D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生产物料消耗与定额数据</w:t>
            </w:r>
          </w:p>
        </w:tc>
        <w:tc>
          <w:tcPr>
            <w:tcW w:w="1418" w:type="pct"/>
            <w:shd w:val="clear" w:color="auto" w:fill="auto"/>
            <w:tcMar>
              <w:top w:w="113" w:type="dxa"/>
              <w:left w:w="170" w:type="dxa"/>
              <w:bottom w:w="113" w:type="dxa"/>
              <w:right w:w="170" w:type="dxa"/>
            </w:tcMar>
            <w:vAlign w:val="center"/>
          </w:tcPr>
          <w:p w14:paraId="5D9F99E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生产全流程物料消耗定额、实际单耗、利用率、成材率、回收率、损耗、节能降耗数据</w:t>
            </w:r>
          </w:p>
        </w:tc>
        <w:tc>
          <w:tcPr>
            <w:tcW w:w="1418" w:type="pct"/>
            <w:shd w:val="clear" w:color="auto" w:fill="auto"/>
            <w:tcMar>
              <w:top w:w="113" w:type="dxa"/>
              <w:left w:w="170" w:type="dxa"/>
              <w:bottom w:w="113" w:type="dxa"/>
              <w:right w:w="170" w:type="dxa"/>
            </w:tcMar>
            <w:vAlign w:val="center"/>
          </w:tcPr>
          <w:p w14:paraId="2AB209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涉及行业领先的物料利用、节能降耗先进工艺，经汇聚分析可获取行业核心成本结构、竞争力水平</w:t>
            </w:r>
          </w:p>
        </w:tc>
        <w:tc>
          <w:tcPr>
            <w:tcW w:w="858" w:type="pct"/>
            <w:shd w:val="clear" w:color="auto" w:fill="auto"/>
            <w:tcMar>
              <w:top w:w="113" w:type="dxa"/>
              <w:left w:w="170" w:type="dxa"/>
              <w:bottom w:w="113" w:type="dxa"/>
              <w:right w:w="170" w:type="dxa"/>
            </w:tcMar>
            <w:vAlign w:val="center"/>
          </w:tcPr>
          <w:p w14:paraId="02AD42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w:t>
            </w:r>
          </w:p>
        </w:tc>
      </w:tr>
      <w:tr w14:paraId="7F76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244D21AC">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54CEC2F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仓储与物流管控数据</w:t>
            </w:r>
          </w:p>
        </w:tc>
        <w:tc>
          <w:tcPr>
            <w:tcW w:w="1418" w:type="pct"/>
            <w:shd w:val="clear" w:color="auto" w:fill="auto"/>
            <w:tcMar>
              <w:top w:w="113" w:type="dxa"/>
              <w:left w:w="170" w:type="dxa"/>
              <w:bottom w:w="113" w:type="dxa"/>
              <w:right w:w="170" w:type="dxa"/>
            </w:tcMar>
            <w:vAlign w:val="center"/>
          </w:tcPr>
          <w:p w14:paraId="4962D43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原材料、半成品、成品的仓储管理、库位管理、温湿度管控、仓储设备运行、厂内物流调度、运输配送数据</w:t>
            </w:r>
          </w:p>
        </w:tc>
        <w:tc>
          <w:tcPr>
            <w:tcW w:w="1418" w:type="pct"/>
            <w:shd w:val="clear" w:color="auto" w:fill="auto"/>
            <w:tcMar>
              <w:top w:w="113" w:type="dxa"/>
              <w:left w:w="170" w:type="dxa"/>
              <w:bottom w:w="113" w:type="dxa"/>
              <w:right w:w="170" w:type="dxa"/>
            </w:tcMar>
            <w:vAlign w:val="center"/>
          </w:tcPr>
          <w:p w14:paraId="53FDC1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涉及战略矿产、危化品仓储核心安全管控数据，泄露可影响供应链安全、引发仓储安全事故</w:t>
            </w:r>
          </w:p>
        </w:tc>
        <w:tc>
          <w:tcPr>
            <w:tcW w:w="858" w:type="pct"/>
            <w:shd w:val="clear" w:color="auto" w:fill="auto"/>
            <w:tcMar>
              <w:top w:w="113" w:type="dxa"/>
              <w:left w:w="170" w:type="dxa"/>
              <w:bottom w:w="113" w:type="dxa"/>
              <w:right w:w="170" w:type="dxa"/>
            </w:tcMar>
            <w:vAlign w:val="center"/>
          </w:tcPr>
          <w:p w14:paraId="0413EB3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437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4FC5C8F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能源与环保管控数据</w:t>
            </w:r>
          </w:p>
        </w:tc>
        <w:tc>
          <w:tcPr>
            <w:tcW w:w="781" w:type="pct"/>
            <w:shd w:val="clear" w:color="auto" w:fill="auto"/>
            <w:tcMar>
              <w:top w:w="113" w:type="dxa"/>
              <w:left w:w="170" w:type="dxa"/>
              <w:bottom w:w="113" w:type="dxa"/>
              <w:right w:w="170" w:type="dxa"/>
            </w:tcMar>
            <w:vAlign w:val="center"/>
          </w:tcPr>
          <w:p w14:paraId="01871D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能源消耗与节能管控数据</w:t>
            </w:r>
          </w:p>
        </w:tc>
        <w:tc>
          <w:tcPr>
            <w:tcW w:w="1418" w:type="pct"/>
            <w:shd w:val="clear" w:color="auto" w:fill="auto"/>
            <w:tcMar>
              <w:top w:w="113" w:type="dxa"/>
              <w:left w:w="170" w:type="dxa"/>
              <w:bottom w:w="113" w:type="dxa"/>
              <w:right w:w="170" w:type="dxa"/>
            </w:tcMar>
            <w:vAlign w:val="center"/>
          </w:tcPr>
          <w:p w14:paraId="0464236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生产全流程电力、煤炭、天然气、水等能源消耗数据、单耗指标、节能目标、节能改造、能源利用效率数据</w:t>
            </w:r>
          </w:p>
        </w:tc>
        <w:tc>
          <w:tcPr>
            <w:tcW w:w="1418" w:type="pct"/>
            <w:shd w:val="clear" w:color="auto" w:fill="auto"/>
            <w:tcMar>
              <w:top w:w="113" w:type="dxa"/>
              <w:left w:w="170" w:type="dxa"/>
              <w:bottom w:w="113" w:type="dxa"/>
              <w:right w:w="170" w:type="dxa"/>
            </w:tcMar>
            <w:vAlign w:val="center"/>
          </w:tcPr>
          <w:p w14:paraId="4FE399A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整体反映行业能源资源消耗、绿色发展情况的未公开数据，涉及行业领先的节能降耗先进工艺</w:t>
            </w:r>
          </w:p>
        </w:tc>
        <w:tc>
          <w:tcPr>
            <w:tcW w:w="858" w:type="pct"/>
            <w:shd w:val="clear" w:color="auto" w:fill="auto"/>
            <w:tcMar>
              <w:top w:w="113" w:type="dxa"/>
              <w:left w:w="170" w:type="dxa"/>
              <w:bottom w:w="113" w:type="dxa"/>
              <w:right w:w="170" w:type="dxa"/>
            </w:tcMar>
            <w:vAlign w:val="center"/>
          </w:tcPr>
          <w:p w14:paraId="1CF804B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w:t>
            </w:r>
          </w:p>
        </w:tc>
      </w:tr>
      <w:tr w14:paraId="25C4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07CD5E58">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1BB73A2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污染物排放与环保治理数据</w:t>
            </w:r>
          </w:p>
        </w:tc>
        <w:tc>
          <w:tcPr>
            <w:tcW w:w="1418" w:type="pct"/>
            <w:shd w:val="clear" w:color="auto" w:fill="auto"/>
            <w:tcMar>
              <w:top w:w="113" w:type="dxa"/>
              <w:left w:w="170" w:type="dxa"/>
              <w:bottom w:w="113" w:type="dxa"/>
              <w:right w:w="170" w:type="dxa"/>
            </w:tcMar>
            <w:vAlign w:val="center"/>
          </w:tcPr>
          <w:p w14:paraId="03CE821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废气、废水、固废、危废等污染物排放数据、在线监测、环保设施运行、处理工艺、合规记录、碳排放数据</w:t>
            </w:r>
          </w:p>
        </w:tc>
        <w:tc>
          <w:tcPr>
            <w:tcW w:w="1418" w:type="pct"/>
            <w:shd w:val="clear" w:color="auto" w:fill="auto"/>
            <w:tcMar>
              <w:top w:w="113" w:type="dxa"/>
              <w:left w:w="170" w:type="dxa"/>
              <w:bottom w:w="113" w:type="dxa"/>
              <w:right w:w="170" w:type="dxa"/>
            </w:tcMar>
            <w:vAlign w:val="center"/>
          </w:tcPr>
          <w:p w14:paraId="38B0DF6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整体反映行业碳排放、污染物管控情况的未公开数据，未公开的污染源管控、污染物处理先进工艺</w:t>
            </w:r>
          </w:p>
        </w:tc>
        <w:tc>
          <w:tcPr>
            <w:tcW w:w="858" w:type="pct"/>
            <w:shd w:val="clear" w:color="auto" w:fill="auto"/>
            <w:tcMar>
              <w:top w:w="113" w:type="dxa"/>
              <w:left w:w="170" w:type="dxa"/>
              <w:bottom w:w="113" w:type="dxa"/>
              <w:right w:w="170" w:type="dxa"/>
            </w:tcMar>
            <w:vAlign w:val="center"/>
          </w:tcPr>
          <w:p w14:paraId="2BE109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5D72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2E8D2FB0">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10E5C6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环保合规与应急处置数据</w:t>
            </w:r>
          </w:p>
        </w:tc>
        <w:tc>
          <w:tcPr>
            <w:tcW w:w="1418" w:type="pct"/>
            <w:shd w:val="clear" w:color="auto" w:fill="auto"/>
            <w:tcMar>
              <w:top w:w="113" w:type="dxa"/>
              <w:left w:w="170" w:type="dxa"/>
              <w:bottom w:w="113" w:type="dxa"/>
              <w:right w:w="170" w:type="dxa"/>
            </w:tcMar>
            <w:vAlign w:val="center"/>
          </w:tcPr>
          <w:p w14:paraId="46F982B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环保合规台账、审批文件、应急预案、环境风险评估、应急演练、环境事件处置、处罚与整改记录</w:t>
            </w:r>
          </w:p>
        </w:tc>
        <w:tc>
          <w:tcPr>
            <w:tcW w:w="1418" w:type="pct"/>
            <w:shd w:val="clear" w:color="auto" w:fill="auto"/>
            <w:tcMar>
              <w:top w:w="113" w:type="dxa"/>
              <w:left w:w="170" w:type="dxa"/>
              <w:bottom w:w="113" w:type="dxa"/>
              <w:right w:w="170" w:type="dxa"/>
            </w:tcMar>
            <w:vAlign w:val="center"/>
          </w:tcPr>
          <w:p w14:paraId="2581D56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未公开的环保合规、环境风险管控核心数据，泄露可影响企业环保合规、引发次生环境事件</w:t>
            </w:r>
          </w:p>
        </w:tc>
        <w:tc>
          <w:tcPr>
            <w:tcW w:w="858" w:type="pct"/>
            <w:shd w:val="clear" w:color="auto" w:fill="auto"/>
            <w:tcMar>
              <w:top w:w="113" w:type="dxa"/>
              <w:left w:w="170" w:type="dxa"/>
              <w:bottom w:w="113" w:type="dxa"/>
              <w:right w:w="170" w:type="dxa"/>
            </w:tcMar>
            <w:vAlign w:val="center"/>
          </w:tcPr>
          <w:p w14:paraId="47A3434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20A6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restart"/>
            <w:shd w:val="clear" w:color="auto" w:fill="auto"/>
            <w:tcMar>
              <w:top w:w="113" w:type="dxa"/>
              <w:left w:w="170" w:type="dxa"/>
              <w:bottom w:w="113" w:type="dxa"/>
              <w:right w:w="170" w:type="dxa"/>
            </w:tcMar>
            <w:vAlign w:val="center"/>
          </w:tcPr>
          <w:p w14:paraId="1F61CBC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生产数据与系统管控数据</w:t>
            </w:r>
          </w:p>
        </w:tc>
        <w:tc>
          <w:tcPr>
            <w:tcW w:w="781" w:type="pct"/>
            <w:shd w:val="clear" w:color="auto" w:fill="auto"/>
            <w:tcMar>
              <w:top w:w="113" w:type="dxa"/>
              <w:left w:w="170" w:type="dxa"/>
              <w:bottom w:w="113" w:type="dxa"/>
              <w:right w:w="170" w:type="dxa"/>
            </w:tcMar>
            <w:vAlign w:val="center"/>
          </w:tcPr>
          <w:p w14:paraId="64A6AE3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生产信息化与工业控制系统数据</w:t>
            </w:r>
          </w:p>
        </w:tc>
        <w:tc>
          <w:tcPr>
            <w:tcW w:w="1418" w:type="pct"/>
            <w:shd w:val="clear" w:color="auto" w:fill="auto"/>
            <w:tcMar>
              <w:top w:w="113" w:type="dxa"/>
              <w:left w:w="170" w:type="dxa"/>
              <w:bottom w:w="113" w:type="dxa"/>
              <w:right w:w="170" w:type="dxa"/>
            </w:tcMar>
            <w:vAlign w:val="center"/>
          </w:tcPr>
          <w:p w14:paraId="46F74D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MES、ERP、SCM等信息化系统，DCS、PLC、SCADA等工业控制系统的配置、核心代码、控制逻辑、账号权限、运行日志</w:t>
            </w:r>
          </w:p>
        </w:tc>
        <w:tc>
          <w:tcPr>
            <w:tcW w:w="1418" w:type="pct"/>
            <w:shd w:val="clear" w:color="auto" w:fill="auto"/>
            <w:tcMar>
              <w:top w:w="113" w:type="dxa"/>
              <w:left w:w="170" w:type="dxa"/>
              <w:bottom w:w="113" w:type="dxa"/>
              <w:right w:w="170" w:type="dxa"/>
            </w:tcMar>
            <w:vAlign w:val="center"/>
          </w:tcPr>
          <w:p w14:paraId="132FB1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能够引发重大网络和数据安全事件、生产安全事故的系统漏洞、恶意程序、事件信息，涉及工控系统核心控制逻辑</w:t>
            </w:r>
          </w:p>
        </w:tc>
        <w:tc>
          <w:tcPr>
            <w:tcW w:w="858" w:type="pct"/>
            <w:shd w:val="clear" w:color="auto" w:fill="auto"/>
            <w:tcMar>
              <w:top w:w="113" w:type="dxa"/>
              <w:left w:w="170" w:type="dxa"/>
              <w:bottom w:w="113" w:type="dxa"/>
              <w:right w:w="170" w:type="dxa"/>
            </w:tcMar>
            <w:vAlign w:val="center"/>
          </w:tcPr>
          <w:p w14:paraId="0FA9E12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与国家安全相关、6.3.7 其他</w:t>
            </w:r>
          </w:p>
        </w:tc>
      </w:tr>
      <w:tr w14:paraId="64D0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07E55743">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154B9C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生产相关人工智能与算法模型数据</w:t>
            </w:r>
          </w:p>
        </w:tc>
        <w:tc>
          <w:tcPr>
            <w:tcW w:w="1418" w:type="pct"/>
            <w:shd w:val="clear" w:color="auto" w:fill="auto"/>
            <w:tcMar>
              <w:top w:w="113" w:type="dxa"/>
              <w:left w:w="170" w:type="dxa"/>
              <w:bottom w:w="113" w:type="dxa"/>
              <w:right w:w="170" w:type="dxa"/>
            </w:tcMar>
            <w:vAlign w:val="center"/>
          </w:tcPr>
          <w:p w14:paraId="1FAE8B2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生产过程中应用的质量预测、故障预警、工艺优化、排产优化、能耗优化等AI模型、算法源代码、训练数据集、模型参数</w:t>
            </w:r>
          </w:p>
        </w:tc>
        <w:tc>
          <w:tcPr>
            <w:tcW w:w="1418" w:type="pct"/>
            <w:shd w:val="clear" w:color="auto" w:fill="auto"/>
            <w:tcMar>
              <w:top w:w="113" w:type="dxa"/>
              <w:left w:w="170" w:type="dxa"/>
              <w:bottom w:w="113" w:type="dxa"/>
              <w:right w:w="170" w:type="dxa"/>
            </w:tcMar>
            <w:vAlign w:val="center"/>
          </w:tcPr>
          <w:p w14:paraId="3198EA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与国家安全、行业核心竞争力相关的AI控制程序、算法、源代码、训练模型、数据集，行业领先的智能生产核心算法</w:t>
            </w:r>
          </w:p>
        </w:tc>
        <w:tc>
          <w:tcPr>
            <w:tcW w:w="858" w:type="pct"/>
            <w:shd w:val="clear" w:color="auto" w:fill="auto"/>
            <w:tcMar>
              <w:top w:w="113" w:type="dxa"/>
              <w:left w:w="170" w:type="dxa"/>
              <w:bottom w:w="113" w:type="dxa"/>
              <w:right w:w="170" w:type="dxa"/>
            </w:tcMar>
            <w:vAlign w:val="center"/>
          </w:tcPr>
          <w:p w14:paraId="4ACFC4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2279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vMerge w:val="continue"/>
            <w:shd w:val="clear" w:color="auto" w:fill="auto"/>
            <w:tcMar>
              <w:top w:w="113" w:type="dxa"/>
              <w:left w:w="170" w:type="dxa"/>
              <w:bottom w:w="113" w:type="dxa"/>
              <w:right w:w="170" w:type="dxa"/>
            </w:tcMar>
            <w:vAlign w:val="center"/>
          </w:tcPr>
          <w:p w14:paraId="2AB5A4FF">
            <w:pPr>
              <w:rPr>
                <w:rFonts w:hint="eastAsia" w:ascii="宋体" w:hAnsi="宋体" w:eastAsia="宋体" w:cs="宋体"/>
                <w:sz w:val="18"/>
                <w:szCs w:val="18"/>
                <w:lang w:val="en-US" w:eastAsia="zh-CN"/>
              </w:rPr>
            </w:pPr>
          </w:p>
        </w:tc>
        <w:tc>
          <w:tcPr>
            <w:tcW w:w="781" w:type="pct"/>
            <w:shd w:val="clear" w:color="auto" w:fill="auto"/>
            <w:tcMar>
              <w:top w:w="113" w:type="dxa"/>
              <w:left w:w="170" w:type="dxa"/>
              <w:bottom w:w="113" w:type="dxa"/>
              <w:right w:w="170" w:type="dxa"/>
            </w:tcMar>
            <w:vAlign w:val="center"/>
          </w:tcPr>
          <w:p w14:paraId="0D784C0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生产全流程数据资产与衍生数据</w:t>
            </w:r>
          </w:p>
        </w:tc>
        <w:tc>
          <w:tcPr>
            <w:tcW w:w="1418" w:type="pct"/>
            <w:shd w:val="clear" w:color="auto" w:fill="auto"/>
            <w:tcMar>
              <w:top w:w="113" w:type="dxa"/>
              <w:left w:w="170" w:type="dxa"/>
              <w:bottom w:w="113" w:type="dxa"/>
              <w:right w:w="170" w:type="dxa"/>
            </w:tcMar>
            <w:vAlign w:val="center"/>
          </w:tcPr>
          <w:p w14:paraId="6044B0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生产全流程汇聚形成的数据集、数据仓库、数据中台相关数据资产，基于原始数据统计、关联、挖掘、聚合形成的衍生数据</w:t>
            </w:r>
          </w:p>
        </w:tc>
        <w:tc>
          <w:tcPr>
            <w:tcW w:w="1418" w:type="pct"/>
            <w:shd w:val="clear" w:color="auto" w:fill="auto"/>
            <w:tcMar>
              <w:top w:w="113" w:type="dxa"/>
              <w:left w:w="170" w:type="dxa"/>
              <w:bottom w:w="113" w:type="dxa"/>
              <w:right w:w="170" w:type="dxa"/>
            </w:tcMar>
            <w:vAlign w:val="center"/>
          </w:tcPr>
          <w:p w14:paraId="045CD1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经汇聚分析后可得到符合6.3.2-6.3.7任意识别维度的衍生数据，整体反映行业生产经营、发展趋势的未公开核心数据集</w:t>
            </w:r>
          </w:p>
        </w:tc>
        <w:tc>
          <w:tcPr>
            <w:tcW w:w="858" w:type="pct"/>
            <w:shd w:val="clear" w:color="auto" w:fill="auto"/>
            <w:tcMar>
              <w:top w:w="113" w:type="dxa"/>
              <w:left w:w="170" w:type="dxa"/>
              <w:bottom w:w="113" w:type="dxa"/>
              <w:right w:w="170" w:type="dxa"/>
            </w:tcMar>
            <w:vAlign w:val="center"/>
          </w:tcPr>
          <w:p w14:paraId="5B1287E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与行业发展相关、6.3.7 其他</w:t>
            </w:r>
          </w:p>
        </w:tc>
      </w:tr>
      <w:tr w14:paraId="02A0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4" w:type="pct"/>
            <w:shd w:val="clear" w:color="auto" w:fill="auto"/>
            <w:tcMar>
              <w:top w:w="113" w:type="dxa"/>
              <w:left w:w="170" w:type="dxa"/>
              <w:bottom w:w="113" w:type="dxa"/>
              <w:right w:w="170" w:type="dxa"/>
            </w:tcMar>
            <w:vAlign w:val="center"/>
          </w:tcPr>
          <w:p w14:paraId="7D08325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781" w:type="pct"/>
            <w:shd w:val="clear" w:color="auto" w:fill="auto"/>
            <w:tcMar>
              <w:top w:w="113" w:type="dxa"/>
              <w:left w:w="170" w:type="dxa"/>
              <w:bottom w:w="113" w:type="dxa"/>
              <w:right w:w="170" w:type="dxa"/>
            </w:tcMar>
            <w:vAlign w:val="center"/>
          </w:tcPr>
          <w:p w14:paraId="2F90FD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8" w:type="pct"/>
            <w:shd w:val="clear" w:color="auto" w:fill="auto"/>
            <w:tcMar>
              <w:top w:w="113" w:type="dxa"/>
              <w:left w:w="170" w:type="dxa"/>
              <w:bottom w:w="113" w:type="dxa"/>
              <w:right w:w="170" w:type="dxa"/>
            </w:tcMar>
            <w:vAlign w:val="center"/>
          </w:tcPr>
          <w:p w14:paraId="586827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8" w:type="pct"/>
            <w:shd w:val="clear" w:color="auto" w:fill="auto"/>
            <w:tcMar>
              <w:top w:w="113" w:type="dxa"/>
              <w:left w:w="170" w:type="dxa"/>
              <w:bottom w:w="113" w:type="dxa"/>
              <w:right w:w="170" w:type="dxa"/>
            </w:tcMar>
            <w:vAlign w:val="center"/>
          </w:tcPr>
          <w:p w14:paraId="7347383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858" w:type="pct"/>
            <w:shd w:val="clear" w:color="auto" w:fill="auto"/>
            <w:tcMar>
              <w:top w:w="113" w:type="dxa"/>
              <w:left w:w="170" w:type="dxa"/>
              <w:bottom w:w="113" w:type="dxa"/>
              <w:right w:w="170" w:type="dxa"/>
            </w:tcMar>
            <w:vAlign w:val="center"/>
          </w:tcPr>
          <w:p w14:paraId="664EC3D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r>
    </w:tbl>
    <w:p w14:paraId="62531976">
      <w:pPr>
        <w:keepNext w:val="0"/>
        <w:keepLines w:val="0"/>
        <w:pageBreakBefore w:val="0"/>
        <w:widowControl/>
        <w:suppressLineNumbers w:val="0"/>
        <w:kinsoku/>
        <w:wordWrap/>
        <w:overflowPunct/>
        <w:topLinePunct w:val="0"/>
        <w:autoSpaceDE/>
        <w:autoSpaceDN/>
        <w:bidi w:val="0"/>
        <w:adjustRightInd/>
        <w:snapToGrid/>
        <w:spacing w:before="162" w:beforeLines="50" w:line="360" w:lineRule="auto"/>
        <w:jc w:val="left"/>
        <w:textAlignment w:val="auto"/>
        <w:rPr>
          <w:rFonts w:hint="default"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A.3 经营管理场景</w:t>
      </w:r>
    </w:p>
    <w:p w14:paraId="758FE08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数据处理者</w:t>
      </w:r>
      <w:r>
        <w:rPr>
          <w:rFonts w:hint="eastAsia" w:ascii="宋体" w:hAnsi="宋体" w:cs="宋体"/>
          <w:color w:val="000000"/>
          <w:kern w:val="0"/>
          <w:sz w:val="21"/>
          <w:szCs w:val="21"/>
          <w:lang w:val="en-US" w:eastAsia="zh-CN" w:bidi="ar"/>
        </w:rPr>
        <w:t>在生产经营管理</w:t>
      </w:r>
      <w:r>
        <w:rPr>
          <w:rFonts w:hint="eastAsia" w:ascii="宋体" w:hAnsi="宋体" w:eastAsia="宋体" w:cs="宋体"/>
          <w:color w:val="000000"/>
          <w:kern w:val="0"/>
          <w:sz w:val="21"/>
          <w:szCs w:val="21"/>
          <w:lang w:val="en-US" w:eastAsia="zh-CN" w:bidi="ar"/>
        </w:rPr>
        <w:t>过</w:t>
      </w:r>
      <w:r>
        <w:rPr>
          <w:rFonts w:hint="eastAsia" w:ascii="宋体" w:hAnsi="宋体" w:cs="宋体"/>
          <w:color w:val="000000"/>
          <w:kern w:val="0"/>
          <w:sz w:val="21"/>
          <w:szCs w:val="21"/>
          <w:lang w:val="en-US" w:eastAsia="zh-CN" w:bidi="ar"/>
        </w:rPr>
        <w:t>程中，收集和产生的涉及采选、冶炼、加工等环节的物料储备、原料渠道、销售去向等数据。重要数据识别示例见表A.3。</w:t>
      </w:r>
    </w:p>
    <w:p w14:paraId="46DE0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A.3 有色金属行业经营管理场景重要数据识别示例</w:t>
      </w:r>
    </w:p>
    <w:tbl>
      <w:tblPr>
        <w:tblStyle w:val="10"/>
        <w:tblW w:w="49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545"/>
        <w:gridCol w:w="2263"/>
        <w:gridCol w:w="4136"/>
        <w:gridCol w:w="4136"/>
        <w:gridCol w:w="2504"/>
      </w:tblGrid>
      <w:tr w14:paraId="36E9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529" w:type="pct"/>
            <w:shd w:val="clear" w:color="auto" w:fill="auto"/>
            <w:tcMar>
              <w:top w:w="113" w:type="dxa"/>
              <w:left w:w="170" w:type="dxa"/>
              <w:bottom w:w="113" w:type="dxa"/>
              <w:right w:w="170" w:type="dxa"/>
            </w:tcMar>
            <w:vAlign w:val="center"/>
          </w:tcPr>
          <w:p w14:paraId="69C25DB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775" w:type="pct"/>
            <w:shd w:val="clear" w:color="auto" w:fill="auto"/>
            <w:tcMar>
              <w:top w:w="113" w:type="dxa"/>
              <w:left w:w="170" w:type="dxa"/>
              <w:bottom w:w="113" w:type="dxa"/>
              <w:right w:w="170" w:type="dxa"/>
            </w:tcMar>
            <w:vAlign w:val="center"/>
          </w:tcPr>
          <w:p w14:paraId="3F9484D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w:t>
            </w:r>
          </w:p>
        </w:tc>
        <w:tc>
          <w:tcPr>
            <w:tcW w:w="1417" w:type="pct"/>
            <w:shd w:val="clear" w:color="auto" w:fill="auto"/>
            <w:tcMar>
              <w:top w:w="113" w:type="dxa"/>
              <w:left w:w="170" w:type="dxa"/>
              <w:bottom w:w="113" w:type="dxa"/>
              <w:right w:w="170" w:type="dxa"/>
            </w:tcMar>
            <w:vAlign w:val="center"/>
          </w:tcPr>
          <w:p w14:paraId="2E9BB62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数据项说明</w:t>
            </w:r>
          </w:p>
        </w:tc>
        <w:tc>
          <w:tcPr>
            <w:tcW w:w="1417" w:type="pct"/>
            <w:shd w:val="clear" w:color="auto" w:fill="auto"/>
            <w:tcMar>
              <w:top w:w="113" w:type="dxa"/>
              <w:left w:w="170" w:type="dxa"/>
              <w:bottom w:w="113" w:type="dxa"/>
              <w:right w:w="170" w:type="dxa"/>
            </w:tcMar>
            <w:vAlign w:val="center"/>
          </w:tcPr>
          <w:p w14:paraId="2DAE9B9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判定规则</w:t>
            </w:r>
          </w:p>
        </w:tc>
        <w:tc>
          <w:tcPr>
            <w:tcW w:w="858" w:type="pct"/>
            <w:shd w:val="clear" w:color="auto" w:fill="auto"/>
            <w:tcMar>
              <w:top w:w="113" w:type="dxa"/>
              <w:left w:w="170" w:type="dxa"/>
              <w:bottom w:w="113" w:type="dxa"/>
              <w:right w:w="170" w:type="dxa"/>
            </w:tcMar>
            <w:vAlign w:val="center"/>
          </w:tcPr>
          <w:p w14:paraId="63E7C12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对应识别维度</w:t>
            </w:r>
          </w:p>
        </w:tc>
      </w:tr>
      <w:tr w14:paraId="7A7B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shd w:val="clear" w:color="auto" w:fill="auto"/>
            <w:tcMar>
              <w:top w:w="113" w:type="dxa"/>
              <w:left w:w="170" w:type="dxa"/>
              <w:bottom w:w="113" w:type="dxa"/>
              <w:right w:w="170" w:type="dxa"/>
            </w:tcMar>
            <w:vAlign w:val="center"/>
          </w:tcPr>
          <w:p w14:paraId="41DABAF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物料储备</w:t>
            </w:r>
          </w:p>
        </w:tc>
        <w:tc>
          <w:tcPr>
            <w:tcW w:w="775" w:type="pct"/>
            <w:shd w:val="clear" w:color="auto" w:fill="auto"/>
            <w:tcMar>
              <w:top w:w="113" w:type="dxa"/>
              <w:left w:w="170" w:type="dxa"/>
              <w:bottom w:w="113" w:type="dxa"/>
              <w:right w:w="170" w:type="dxa"/>
            </w:tcMar>
            <w:vAlign w:val="center"/>
          </w:tcPr>
          <w:p w14:paraId="241D99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可采矿石储量</w:t>
            </w:r>
          </w:p>
        </w:tc>
        <w:tc>
          <w:tcPr>
            <w:tcW w:w="1417" w:type="pct"/>
            <w:shd w:val="clear" w:color="auto" w:fill="auto"/>
            <w:tcMar>
              <w:top w:w="113" w:type="dxa"/>
              <w:left w:w="170" w:type="dxa"/>
              <w:bottom w:w="113" w:type="dxa"/>
              <w:right w:w="170" w:type="dxa"/>
            </w:tcMar>
            <w:vAlign w:val="center"/>
          </w:tcPr>
          <w:p w14:paraId="1287EDE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经济可采储量及平均金属品位等核心资源数据</w:t>
            </w:r>
          </w:p>
        </w:tc>
        <w:tc>
          <w:tcPr>
            <w:tcW w:w="1417" w:type="pct"/>
            <w:shd w:val="clear" w:color="auto" w:fill="auto"/>
            <w:tcMar>
              <w:top w:w="113" w:type="dxa"/>
              <w:left w:w="170" w:type="dxa"/>
              <w:bottom w:w="113" w:type="dxa"/>
              <w:right w:w="170" w:type="dxa"/>
            </w:tcMar>
            <w:vAlign w:val="center"/>
          </w:tcPr>
          <w:p w14:paraId="301EC7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泄露会对国家战略资源安全、国土安全及行业产业保障造成严重影响</w:t>
            </w:r>
          </w:p>
        </w:tc>
        <w:tc>
          <w:tcPr>
            <w:tcW w:w="858" w:type="pct"/>
            <w:shd w:val="clear" w:color="auto" w:fill="auto"/>
            <w:tcMar>
              <w:top w:w="113" w:type="dxa"/>
              <w:left w:w="170" w:type="dxa"/>
              <w:bottom w:w="113" w:type="dxa"/>
              <w:right w:w="170" w:type="dxa"/>
            </w:tcMar>
            <w:vAlign w:val="center"/>
          </w:tcPr>
          <w:p w14:paraId="07212E7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19F3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13ED306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供销渠道</w:t>
            </w:r>
          </w:p>
        </w:tc>
        <w:tc>
          <w:tcPr>
            <w:tcW w:w="775" w:type="pct"/>
            <w:shd w:val="clear" w:color="auto" w:fill="auto"/>
            <w:tcMar>
              <w:top w:w="113" w:type="dxa"/>
              <w:left w:w="170" w:type="dxa"/>
              <w:bottom w:w="113" w:type="dxa"/>
              <w:right w:w="170" w:type="dxa"/>
            </w:tcMar>
            <w:vAlign w:val="center"/>
          </w:tcPr>
          <w:p w14:paraId="488EE79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核心原料采购信息</w:t>
            </w:r>
          </w:p>
        </w:tc>
        <w:tc>
          <w:tcPr>
            <w:tcW w:w="1417" w:type="pct"/>
            <w:shd w:val="clear" w:color="auto" w:fill="auto"/>
            <w:tcMar>
              <w:top w:w="113" w:type="dxa"/>
              <w:left w:w="170" w:type="dxa"/>
              <w:bottom w:w="113" w:type="dxa"/>
              <w:right w:w="170" w:type="dxa"/>
            </w:tcMar>
            <w:vAlign w:val="center"/>
          </w:tcPr>
          <w:p w14:paraId="4FAF9C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主要原料供应地、储备规模、采购量、长期协议及运输保障方案</w:t>
            </w:r>
          </w:p>
        </w:tc>
        <w:tc>
          <w:tcPr>
            <w:tcW w:w="1417" w:type="pct"/>
            <w:shd w:val="clear" w:color="auto" w:fill="auto"/>
            <w:tcMar>
              <w:top w:w="113" w:type="dxa"/>
              <w:left w:w="170" w:type="dxa"/>
              <w:bottom w:w="113" w:type="dxa"/>
              <w:right w:w="170" w:type="dxa"/>
            </w:tcMar>
            <w:vAlign w:val="center"/>
          </w:tcPr>
          <w:p w14:paraId="32DDEF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泄露会对行业供应链安全、产业保障及企业核心经营造成严重影响</w:t>
            </w:r>
          </w:p>
        </w:tc>
        <w:tc>
          <w:tcPr>
            <w:tcW w:w="858" w:type="pct"/>
            <w:shd w:val="clear" w:color="auto" w:fill="auto"/>
            <w:tcMar>
              <w:top w:w="113" w:type="dxa"/>
              <w:left w:w="170" w:type="dxa"/>
              <w:bottom w:w="113" w:type="dxa"/>
              <w:right w:w="170" w:type="dxa"/>
            </w:tcMar>
            <w:vAlign w:val="center"/>
          </w:tcPr>
          <w:p w14:paraId="2A1ADFA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与行业发展相关、6.3.6 与行业经济效益和产业保障相关</w:t>
            </w:r>
          </w:p>
        </w:tc>
      </w:tr>
      <w:tr w14:paraId="5390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0E6FCE35">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0C4FD74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产品销售去向数据</w:t>
            </w:r>
          </w:p>
        </w:tc>
        <w:tc>
          <w:tcPr>
            <w:tcW w:w="1417" w:type="pct"/>
            <w:shd w:val="clear" w:color="auto" w:fill="auto"/>
            <w:tcMar>
              <w:top w:w="113" w:type="dxa"/>
              <w:left w:w="170" w:type="dxa"/>
              <w:bottom w:w="113" w:type="dxa"/>
              <w:right w:w="170" w:type="dxa"/>
            </w:tcMar>
            <w:vAlign w:val="center"/>
          </w:tcPr>
          <w:p w14:paraId="7F3DD4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核心产品的销售客户、数量、价格、交货周期、应用领域分布</w:t>
            </w:r>
          </w:p>
        </w:tc>
        <w:tc>
          <w:tcPr>
            <w:tcW w:w="1417" w:type="pct"/>
            <w:shd w:val="clear" w:color="auto" w:fill="auto"/>
            <w:tcMar>
              <w:top w:w="113" w:type="dxa"/>
              <w:left w:w="170" w:type="dxa"/>
              <w:bottom w:w="113" w:type="dxa"/>
              <w:right w:w="170" w:type="dxa"/>
            </w:tcMar>
            <w:vAlign w:val="center"/>
          </w:tcPr>
          <w:p w14:paraId="7049C77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泄露会对行业市场秩序、供应链安全及企业核心经营造成严重影响，经汇聚分析可推算行业未公开经济运行情况</w:t>
            </w:r>
          </w:p>
        </w:tc>
        <w:tc>
          <w:tcPr>
            <w:tcW w:w="858" w:type="pct"/>
            <w:shd w:val="clear" w:color="auto" w:fill="auto"/>
            <w:tcMar>
              <w:top w:w="113" w:type="dxa"/>
              <w:left w:w="170" w:type="dxa"/>
              <w:bottom w:w="113" w:type="dxa"/>
              <w:right w:w="170" w:type="dxa"/>
            </w:tcMar>
            <w:vAlign w:val="center"/>
          </w:tcPr>
          <w:p w14:paraId="418F9F6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5BE6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1B232A9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战略经营与规划数据</w:t>
            </w:r>
          </w:p>
        </w:tc>
        <w:tc>
          <w:tcPr>
            <w:tcW w:w="775" w:type="pct"/>
            <w:shd w:val="clear" w:color="auto" w:fill="auto"/>
            <w:tcMar>
              <w:top w:w="113" w:type="dxa"/>
              <w:left w:w="170" w:type="dxa"/>
              <w:bottom w:w="113" w:type="dxa"/>
              <w:right w:w="170" w:type="dxa"/>
            </w:tcMar>
            <w:vAlign w:val="center"/>
          </w:tcPr>
          <w:p w14:paraId="4961B4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企业发展战略与中长期规划</w:t>
            </w:r>
          </w:p>
        </w:tc>
        <w:tc>
          <w:tcPr>
            <w:tcW w:w="1417" w:type="pct"/>
            <w:shd w:val="clear" w:color="auto" w:fill="auto"/>
            <w:tcMar>
              <w:top w:w="113" w:type="dxa"/>
              <w:left w:w="170" w:type="dxa"/>
              <w:bottom w:w="113" w:type="dxa"/>
              <w:right w:w="170" w:type="dxa"/>
            </w:tcMar>
            <w:vAlign w:val="center"/>
          </w:tcPr>
          <w:p w14:paraId="1598A4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企业中长期发展战略、五年规划、年度经营规划、产能布局规划、国际化经营战略</w:t>
            </w:r>
          </w:p>
        </w:tc>
        <w:tc>
          <w:tcPr>
            <w:tcW w:w="1417" w:type="pct"/>
            <w:shd w:val="clear" w:color="auto" w:fill="auto"/>
            <w:tcMar>
              <w:top w:w="113" w:type="dxa"/>
              <w:left w:w="170" w:type="dxa"/>
              <w:bottom w:w="113" w:type="dxa"/>
              <w:right w:w="170" w:type="dxa"/>
            </w:tcMar>
            <w:vAlign w:val="center"/>
          </w:tcPr>
          <w:p w14:paraId="1D45414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泄露会对行业发展、产业生态及国家战略资源布局造成严重影响</w:t>
            </w:r>
          </w:p>
        </w:tc>
        <w:tc>
          <w:tcPr>
            <w:tcW w:w="858" w:type="pct"/>
            <w:shd w:val="clear" w:color="auto" w:fill="auto"/>
            <w:tcMar>
              <w:top w:w="113" w:type="dxa"/>
              <w:left w:w="170" w:type="dxa"/>
              <w:bottom w:w="113" w:type="dxa"/>
              <w:right w:w="170" w:type="dxa"/>
            </w:tcMar>
            <w:vAlign w:val="center"/>
          </w:tcPr>
          <w:p w14:paraId="7CAECF6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与行业发展相关、6.3.6 与行业经济效益和产业保障相关</w:t>
            </w:r>
          </w:p>
        </w:tc>
      </w:tr>
      <w:tr w14:paraId="4A40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14276D8B">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3A94E7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重大投资与项目经营数据</w:t>
            </w:r>
          </w:p>
        </w:tc>
        <w:tc>
          <w:tcPr>
            <w:tcW w:w="1417" w:type="pct"/>
            <w:shd w:val="clear" w:color="auto" w:fill="auto"/>
            <w:tcMar>
              <w:top w:w="113" w:type="dxa"/>
              <w:left w:w="170" w:type="dxa"/>
              <w:bottom w:w="113" w:type="dxa"/>
              <w:right w:w="170" w:type="dxa"/>
            </w:tcMar>
            <w:vAlign w:val="center"/>
          </w:tcPr>
          <w:p w14:paraId="5A99DD0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矿山、冶炼、加工项目的可行性研究报告、立项审批、投资概算、建设进度、投产后经营效益分析</w:t>
            </w:r>
          </w:p>
        </w:tc>
        <w:tc>
          <w:tcPr>
            <w:tcW w:w="1417" w:type="pct"/>
            <w:shd w:val="clear" w:color="auto" w:fill="auto"/>
            <w:tcMar>
              <w:top w:w="113" w:type="dxa"/>
              <w:left w:w="170" w:type="dxa"/>
              <w:bottom w:w="113" w:type="dxa"/>
              <w:right w:w="170" w:type="dxa"/>
            </w:tcMar>
            <w:vAlign w:val="center"/>
          </w:tcPr>
          <w:p w14:paraId="5CA841E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泄露会对行业产业布局、供应链安全及国家战略资源保障造成严重影响</w:t>
            </w:r>
          </w:p>
        </w:tc>
        <w:tc>
          <w:tcPr>
            <w:tcW w:w="858" w:type="pct"/>
            <w:shd w:val="clear" w:color="auto" w:fill="auto"/>
            <w:tcMar>
              <w:top w:w="113" w:type="dxa"/>
              <w:left w:w="170" w:type="dxa"/>
              <w:bottom w:w="113" w:type="dxa"/>
              <w:right w:w="170" w:type="dxa"/>
            </w:tcMar>
            <w:vAlign w:val="center"/>
          </w:tcPr>
          <w:p w14:paraId="3FCA00D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与行业发展相关、6.3.6 与行业经济效益和产业保障相关</w:t>
            </w:r>
          </w:p>
        </w:tc>
      </w:tr>
      <w:tr w14:paraId="25B9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54F672E3">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20D224E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行业政策与合规经营数据</w:t>
            </w:r>
          </w:p>
        </w:tc>
        <w:tc>
          <w:tcPr>
            <w:tcW w:w="1417" w:type="pct"/>
            <w:shd w:val="clear" w:color="auto" w:fill="auto"/>
            <w:tcMar>
              <w:top w:w="113" w:type="dxa"/>
              <w:left w:w="170" w:type="dxa"/>
              <w:bottom w:w="113" w:type="dxa"/>
              <w:right w:w="170" w:type="dxa"/>
            </w:tcMar>
            <w:vAlign w:val="center"/>
          </w:tcPr>
          <w:p w14:paraId="1D1673C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行业监管政策解读、合规经营体系、行业准入资质、生产经营许可证、环保/安全/质量认证、合规检查与整改数据</w:t>
            </w:r>
          </w:p>
        </w:tc>
        <w:tc>
          <w:tcPr>
            <w:tcW w:w="1417" w:type="pct"/>
            <w:shd w:val="clear" w:color="auto" w:fill="auto"/>
            <w:tcMar>
              <w:top w:w="113" w:type="dxa"/>
              <w:left w:w="170" w:type="dxa"/>
              <w:bottom w:w="113" w:type="dxa"/>
              <w:right w:w="170" w:type="dxa"/>
            </w:tcMar>
            <w:vAlign w:val="center"/>
          </w:tcPr>
          <w:p w14:paraId="58C89E2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泄露会对行业合规经营秩序、企业生产经营连续性造成严重影响，易引发行业级合规风险</w:t>
            </w:r>
          </w:p>
        </w:tc>
        <w:tc>
          <w:tcPr>
            <w:tcW w:w="858" w:type="pct"/>
            <w:shd w:val="clear" w:color="auto" w:fill="auto"/>
            <w:tcMar>
              <w:top w:w="113" w:type="dxa"/>
              <w:left w:w="170" w:type="dxa"/>
              <w:bottom w:w="113" w:type="dxa"/>
              <w:right w:w="170" w:type="dxa"/>
            </w:tcMar>
            <w:vAlign w:val="center"/>
          </w:tcPr>
          <w:p w14:paraId="1CC3323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16EB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2149CF5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生产经营与计划数据</w:t>
            </w:r>
          </w:p>
        </w:tc>
        <w:tc>
          <w:tcPr>
            <w:tcW w:w="775" w:type="pct"/>
            <w:shd w:val="clear" w:color="auto" w:fill="auto"/>
            <w:tcMar>
              <w:top w:w="113" w:type="dxa"/>
              <w:left w:w="170" w:type="dxa"/>
              <w:bottom w:w="113" w:type="dxa"/>
              <w:right w:w="170" w:type="dxa"/>
            </w:tcMar>
            <w:vAlign w:val="center"/>
          </w:tcPr>
          <w:p w14:paraId="6DFC657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年度/月度生产经营计划</w:t>
            </w:r>
          </w:p>
        </w:tc>
        <w:tc>
          <w:tcPr>
            <w:tcW w:w="1417" w:type="pct"/>
            <w:shd w:val="clear" w:color="auto" w:fill="auto"/>
            <w:tcMar>
              <w:top w:w="113" w:type="dxa"/>
              <w:left w:w="170" w:type="dxa"/>
              <w:bottom w:w="113" w:type="dxa"/>
              <w:right w:w="170" w:type="dxa"/>
            </w:tcMar>
            <w:vAlign w:val="center"/>
          </w:tcPr>
          <w:p w14:paraId="4C81707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企业年度、月度生产经营计划，产量、产值、营收、利润、产能利用率、开工率等核心指标计划与执行数据</w:t>
            </w:r>
          </w:p>
        </w:tc>
        <w:tc>
          <w:tcPr>
            <w:tcW w:w="1417" w:type="pct"/>
            <w:shd w:val="clear" w:color="auto" w:fill="auto"/>
            <w:tcMar>
              <w:top w:w="113" w:type="dxa"/>
              <w:left w:w="170" w:type="dxa"/>
              <w:bottom w:w="113" w:type="dxa"/>
              <w:right w:w="170" w:type="dxa"/>
            </w:tcMar>
            <w:vAlign w:val="center"/>
          </w:tcPr>
          <w:p w14:paraId="4AE1B59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泄露会对行业市场秩序、经济运行分析及企业核心经营造成严重影响，经汇聚分析可推算行业未公开经济运行情况</w:t>
            </w:r>
          </w:p>
        </w:tc>
        <w:tc>
          <w:tcPr>
            <w:tcW w:w="858" w:type="pct"/>
            <w:shd w:val="clear" w:color="auto" w:fill="auto"/>
            <w:tcMar>
              <w:top w:w="113" w:type="dxa"/>
              <w:left w:w="170" w:type="dxa"/>
              <w:bottom w:w="113" w:type="dxa"/>
              <w:right w:w="170" w:type="dxa"/>
            </w:tcMar>
            <w:vAlign w:val="center"/>
          </w:tcPr>
          <w:p w14:paraId="2AF4A6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7042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1AE212CA">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4D8D390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生产经营统计与分析数据</w:t>
            </w:r>
          </w:p>
        </w:tc>
        <w:tc>
          <w:tcPr>
            <w:tcW w:w="1417" w:type="pct"/>
            <w:shd w:val="clear" w:color="auto" w:fill="auto"/>
            <w:tcMar>
              <w:top w:w="113" w:type="dxa"/>
              <w:left w:w="170" w:type="dxa"/>
              <w:bottom w:w="113" w:type="dxa"/>
              <w:right w:w="170" w:type="dxa"/>
            </w:tcMar>
            <w:vAlign w:val="center"/>
          </w:tcPr>
          <w:p w14:paraId="5BAA744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企业生产经营全流程统计数据，产量、销量、库存、能耗、物耗、成本、利润等核心指标的日/周/月/年度统计、同比环比分析</w:t>
            </w:r>
          </w:p>
        </w:tc>
        <w:tc>
          <w:tcPr>
            <w:tcW w:w="1417" w:type="pct"/>
            <w:shd w:val="clear" w:color="auto" w:fill="auto"/>
            <w:tcMar>
              <w:top w:w="113" w:type="dxa"/>
              <w:left w:w="170" w:type="dxa"/>
              <w:bottom w:w="113" w:type="dxa"/>
              <w:right w:w="170" w:type="dxa"/>
            </w:tcMar>
            <w:vAlign w:val="center"/>
          </w:tcPr>
          <w:p w14:paraId="03CE208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泄露会对行业经济运行分析、市场秩序及企业核心经营造成严重影响，经汇聚分析可推算行业未公开经济运行情况</w:t>
            </w:r>
          </w:p>
        </w:tc>
        <w:tc>
          <w:tcPr>
            <w:tcW w:w="858" w:type="pct"/>
            <w:shd w:val="clear" w:color="auto" w:fill="auto"/>
            <w:tcMar>
              <w:top w:w="113" w:type="dxa"/>
              <w:left w:w="170" w:type="dxa"/>
              <w:bottom w:w="113" w:type="dxa"/>
              <w:right w:w="170" w:type="dxa"/>
            </w:tcMar>
            <w:vAlign w:val="center"/>
          </w:tcPr>
          <w:p w14:paraId="482F7A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6F69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06A08B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供应链与采购销售数据</w:t>
            </w:r>
          </w:p>
        </w:tc>
        <w:tc>
          <w:tcPr>
            <w:tcW w:w="775" w:type="pct"/>
            <w:shd w:val="clear" w:color="auto" w:fill="auto"/>
            <w:tcMar>
              <w:top w:w="113" w:type="dxa"/>
              <w:left w:w="170" w:type="dxa"/>
              <w:bottom w:w="113" w:type="dxa"/>
              <w:right w:w="170" w:type="dxa"/>
            </w:tcMar>
            <w:vAlign w:val="center"/>
          </w:tcPr>
          <w:p w14:paraId="5E17D6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战略原料采购与供应链数据</w:t>
            </w:r>
          </w:p>
        </w:tc>
        <w:tc>
          <w:tcPr>
            <w:tcW w:w="1417" w:type="pct"/>
            <w:shd w:val="clear" w:color="auto" w:fill="auto"/>
            <w:tcMar>
              <w:top w:w="113" w:type="dxa"/>
              <w:left w:w="170" w:type="dxa"/>
              <w:bottom w:w="113" w:type="dxa"/>
              <w:right w:w="170" w:type="dxa"/>
            </w:tcMar>
            <w:vAlign w:val="center"/>
          </w:tcPr>
          <w:p w14:paraId="5B085FF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铜、铝、锂、钴、镍等战略矿产原料的采购渠道、供应商清单、采购价格、采购合同、库存水平、物流配送、供应链合作协议</w:t>
            </w:r>
          </w:p>
        </w:tc>
        <w:tc>
          <w:tcPr>
            <w:tcW w:w="1417" w:type="pct"/>
            <w:shd w:val="clear" w:color="auto" w:fill="auto"/>
            <w:tcMar>
              <w:top w:w="113" w:type="dxa"/>
              <w:left w:w="170" w:type="dxa"/>
              <w:bottom w:w="113" w:type="dxa"/>
              <w:right w:w="170" w:type="dxa"/>
            </w:tcMar>
            <w:vAlign w:val="center"/>
          </w:tcPr>
          <w:p w14:paraId="185358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泄露会对行业供应链安全、国家战略资源保障及产业生态造成严重影响</w:t>
            </w:r>
          </w:p>
        </w:tc>
        <w:tc>
          <w:tcPr>
            <w:tcW w:w="858" w:type="pct"/>
            <w:shd w:val="clear" w:color="auto" w:fill="auto"/>
            <w:tcMar>
              <w:top w:w="113" w:type="dxa"/>
              <w:left w:w="170" w:type="dxa"/>
              <w:bottom w:w="113" w:type="dxa"/>
              <w:right w:w="170" w:type="dxa"/>
            </w:tcMar>
            <w:vAlign w:val="center"/>
          </w:tcPr>
          <w:p w14:paraId="656F2E1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7D2D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7C6FC0CE">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38F287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产品销售与市场经营数据</w:t>
            </w:r>
          </w:p>
        </w:tc>
        <w:tc>
          <w:tcPr>
            <w:tcW w:w="1417" w:type="pct"/>
            <w:shd w:val="clear" w:color="auto" w:fill="auto"/>
            <w:tcMar>
              <w:top w:w="113" w:type="dxa"/>
              <w:left w:w="170" w:type="dxa"/>
              <w:bottom w:w="113" w:type="dxa"/>
              <w:right w:w="170" w:type="dxa"/>
            </w:tcMar>
            <w:vAlign w:val="center"/>
          </w:tcPr>
          <w:p w14:paraId="7B4073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企业产品销售渠道、客户清单、销售价格、销售合同、订单数据、市场份额、区域分布、进出口数据、品牌建设、营销方案</w:t>
            </w:r>
          </w:p>
        </w:tc>
        <w:tc>
          <w:tcPr>
            <w:tcW w:w="1417" w:type="pct"/>
            <w:shd w:val="clear" w:color="auto" w:fill="auto"/>
            <w:tcMar>
              <w:top w:w="113" w:type="dxa"/>
              <w:left w:w="170" w:type="dxa"/>
              <w:bottom w:w="113" w:type="dxa"/>
              <w:right w:w="170" w:type="dxa"/>
            </w:tcMar>
            <w:vAlign w:val="center"/>
          </w:tcPr>
          <w:p w14:paraId="538D911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泄露会对行业市场秩序、供应链安全及国家战略资源定价权造成严重影响，经汇聚分析可推算行业未公开经济运行情况</w:t>
            </w:r>
          </w:p>
        </w:tc>
        <w:tc>
          <w:tcPr>
            <w:tcW w:w="858" w:type="pct"/>
            <w:shd w:val="clear" w:color="auto" w:fill="auto"/>
            <w:tcMar>
              <w:top w:w="113" w:type="dxa"/>
              <w:left w:w="170" w:type="dxa"/>
              <w:bottom w:w="113" w:type="dxa"/>
              <w:right w:w="170" w:type="dxa"/>
            </w:tcMar>
            <w:vAlign w:val="center"/>
          </w:tcPr>
          <w:p w14:paraId="3C3731F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205C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4550FBE9">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050812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产业链协同与合作经营数据</w:t>
            </w:r>
          </w:p>
        </w:tc>
        <w:tc>
          <w:tcPr>
            <w:tcW w:w="1417" w:type="pct"/>
            <w:shd w:val="clear" w:color="auto" w:fill="auto"/>
            <w:tcMar>
              <w:top w:w="113" w:type="dxa"/>
              <w:left w:w="170" w:type="dxa"/>
              <w:bottom w:w="113" w:type="dxa"/>
              <w:right w:w="170" w:type="dxa"/>
            </w:tcMar>
            <w:vAlign w:val="center"/>
          </w:tcPr>
          <w:p w14:paraId="673F1F5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企业上下游产业链协同合作协议、合资合作项目、技术合作、产能合作、供应链金融、产业联盟合作</w:t>
            </w:r>
          </w:p>
        </w:tc>
        <w:tc>
          <w:tcPr>
            <w:tcW w:w="1417" w:type="pct"/>
            <w:shd w:val="clear" w:color="auto" w:fill="auto"/>
            <w:tcMar>
              <w:top w:w="113" w:type="dxa"/>
              <w:left w:w="170" w:type="dxa"/>
              <w:bottom w:w="113" w:type="dxa"/>
              <w:right w:w="170" w:type="dxa"/>
            </w:tcMar>
            <w:vAlign w:val="center"/>
          </w:tcPr>
          <w:p w14:paraId="6AE5D1C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泄露会对行业产业生态、供应链安全及行业发展造成严重影响</w:t>
            </w:r>
          </w:p>
        </w:tc>
        <w:tc>
          <w:tcPr>
            <w:tcW w:w="858" w:type="pct"/>
            <w:shd w:val="clear" w:color="auto" w:fill="auto"/>
            <w:tcMar>
              <w:top w:w="113" w:type="dxa"/>
              <w:left w:w="170" w:type="dxa"/>
              <w:bottom w:w="113" w:type="dxa"/>
              <w:right w:w="170" w:type="dxa"/>
            </w:tcMar>
            <w:vAlign w:val="center"/>
          </w:tcPr>
          <w:p w14:paraId="6F765B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与行业发展相关、6.3.6 与行业经济效益和产业保障相关</w:t>
            </w:r>
          </w:p>
        </w:tc>
      </w:tr>
      <w:tr w14:paraId="3437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505019E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财务与资产经营数据</w:t>
            </w:r>
          </w:p>
        </w:tc>
        <w:tc>
          <w:tcPr>
            <w:tcW w:w="775" w:type="pct"/>
            <w:shd w:val="clear" w:color="auto" w:fill="auto"/>
            <w:tcMar>
              <w:top w:w="113" w:type="dxa"/>
              <w:left w:w="170" w:type="dxa"/>
              <w:bottom w:w="113" w:type="dxa"/>
              <w:right w:w="170" w:type="dxa"/>
            </w:tcMar>
            <w:vAlign w:val="center"/>
          </w:tcPr>
          <w:p w14:paraId="7071C28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核心财务经营数据</w:t>
            </w:r>
          </w:p>
        </w:tc>
        <w:tc>
          <w:tcPr>
            <w:tcW w:w="1417" w:type="pct"/>
            <w:shd w:val="clear" w:color="auto" w:fill="auto"/>
            <w:tcMar>
              <w:top w:w="113" w:type="dxa"/>
              <w:left w:w="170" w:type="dxa"/>
              <w:bottom w:w="113" w:type="dxa"/>
              <w:right w:w="170" w:type="dxa"/>
            </w:tcMar>
            <w:vAlign w:val="center"/>
          </w:tcPr>
          <w:p w14:paraId="2920031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企业财务报表、营收、成本、利润、资产、负债、现金流、融资、投资、分红、预算执行、财务分析</w:t>
            </w:r>
          </w:p>
        </w:tc>
        <w:tc>
          <w:tcPr>
            <w:tcW w:w="1417" w:type="pct"/>
            <w:shd w:val="clear" w:color="auto" w:fill="auto"/>
            <w:tcMar>
              <w:top w:w="113" w:type="dxa"/>
              <w:left w:w="170" w:type="dxa"/>
              <w:bottom w:w="113" w:type="dxa"/>
              <w:right w:w="170" w:type="dxa"/>
            </w:tcMar>
            <w:vAlign w:val="center"/>
          </w:tcPr>
          <w:p w14:paraId="4F20DA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泄露会对行业经济运行分析、市场秩序及企业经营稳定性造成严重影响，经汇聚分析可推算行业未公开经济运行情况</w:t>
            </w:r>
          </w:p>
        </w:tc>
        <w:tc>
          <w:tcPr>
            <w:tcW w:w="858" w:type="pct"/>
            <w:shd w:val="clear" w:color="auto" w:fill="auto"/>
            <w:tcMar>
              <w:top w:w="113" w:type="dxa"/>
              <w:left w:w="170" w:type="dxa"/>
              <w:bottom w:w="113" w:type="dxa"/>
              <w:right w:w="170" w:type="dxa"/>
            </w:tcMar>
            <w:vAlign w:val="center"/>
          </w:tcPr>
          <w:p w14:paraId="2A1D4E5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36AB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4BA213CF">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6F32D3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资产与产权经营数据</w:t>
            </w:r>
          </w:p>
        </w:tc>
        <w:tc>
          <w:tcPr>
            <w:tcW w:w="1417" w:type="pct"/>
            <w:shd w:val="clear" w:color="auto" w:fill="auto"/>
            <w:tcMar>
              <w:top w:w="113" w:type="dxa"/>
              <w:left w:w="170" w:type="dxa"/>
              <w:bottom w:w="113" w:type="dxa"/>
              <w:right w:w="170" w:type="dxa"/>
            </w:tcMar>
            <w:vAlign w:val="center"/>
          </w:tcPr>
          <w:p w14:paraId="0F06C68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企业固定资产、无形资产、矿产资源产权、土地使用权、知识产权、股权、债权、资产处置、产权交易、资产评估</w:t>
            </w:r>
          </w:p>
        </w:tc>
        <w:tc>
          <w:tcPr>
            <w:tcW w:w="1417" w:type="pct"/>
            <w:shd w:val="clear" w:color="auto" w:fill="auto"/>
            <w:tcMar>
              <w:top w:w="113" w:type="dxa"/>
              <w:left w:w="170" w:type="dxa"/>
              <w:bottom w:w="113" w:type="dxa"/>
              <w:right w:w="170" w:type="dxa"/>
            </w:tcMar>
            <w:vAlign w:val="center"/>
          </w:tcPr>
          <w:p w14:paraId="73541AD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泄露会对行业产业保障、国家战略资源安全及企业资产安全造成严重影响</w:t>
            </w:r>
          </w:p>
        </w:tc>
        <w:tc>
          <w:tcPr>
            <w:tcW w:w="858" w:type="pct"/>
            <w:shd w:val="clear" w:color="auto" w:fill="auto"/>
            <w:tcMar>
              <w:top w:w="113" w:type="dxa"/>
              <w:left w:w="170" w:type="dxa"/>
              <w:bottom w:w="113" w:type="dxa"/>
              <w:right w:w="170" w:type="dxa"/>
            </w:tcMar>
            <w:vAlign w:val="center"/>
          </w:tcPr>
          <w:p w14:paraId="2EBF531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与行业发展相关、6.3.6 与行业经济效益和产业保障相关</w:t>
            </w:r>
          </w:p>
        </w:tc>
      </w:tr>
      <w:tr w14:paraId="10CB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shd w:val="clear" w:color="auto" w:fill="auto"/>
            <w:tcMar>
              <w:top w:w="113" w:type="dxa"/>
              <w:left w:w="170" w:type="dxa"/>
              <w:bottom w:w="113" w:type="dxa"/>
              <w:right w:w="170" w:type="dxa"/>
            </w:tcMar>
            <w:vAlign w:val="center"/>
          </w:tcPr>
          <w:p w14:paraId="2FC851D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人力资源与组织管理数据</w:t>
            </w:r>
          </w:p>
        </w:tc>
        <w:tc>
          <w:tcPr>
            <w:tcW w:w="775" w:type="pct"/>
            <w:shd w:val="clear" w:color="auto" w:fill="auto"/>
            <w:tcMar>
              <w:top w:w="113" w:type="dxa"/>
              <w:left w:w="170" w:type="dxa"/>
              <w:bottom w:w="113" w:type="dxa"/>
              <w:right w:w="170" w:type="dxa"/>
            </w:tcMar>
            <w:vAlign w:val="center"/>
          </w:tcPr>
          <w:p w14:paraId="6B088F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核心组织与人力资源经营数据</w:t>
            </w:r>
          </w:p>
        </w:tc>
        <w:tc>
          <w:tcPr>
            <w:tcW w:w="1417" w:type="pct"/>
            <w:shd w:val="clear" w:color="auto" w:fill="auto"/>
            <w:tcMar>
              <w:top w:w="113" w:type="dxa"/>
              <w:left w:w="170" w:type="dxa"/>
              <w:bottom w:w="113" w:type="dxa"/>
              <w:right w:w="170" w:type="dxa"/>
            </w:tcMar>
            <w:vAlign w:val="center"/>
          </w:tcPr>
          <w:p w14:paraId="54911F4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企业组织架构、部门设置、岗位职责、核心管理团队、核心技术人才、薪酬体系、绩效考核、人才培养、招聘配置、劳动关系</w:t>
            </w:r>
          </w:p>
        </w:tc>
        <w:tc>
          <w:tcPr>
            <w:tcW w:w="1417" w:type="pct"/>
            <w:shd w:val="clear" w:color="auto" w:fill="auto"/>
            <w:tcMar>
              <w:top w:w="113" w:type="dxa"/>
              <w:left w:w="170" w:type="dxa"/>
              <w:bottom w:w="113" w:type="dxa"/>
              <w:right w:w="170" w:type="dxa"/>
            </w:tcMar>
            <w:vAlign w:val="center"/>
          </w:tcPr>
          <w:p w14:paraId="22CCCD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泄露会对企业经营稳定性、行业人才安全及核心竞争力造成严重影响</w:t>
            </w:r>
          </w:p>
        </w:tc>
        <w:tc>
          <w:tcPr>
            <w:tcW w:w="858" w:type="pct"/>
            <w:shd w:val="clear" w:color="auto" w:fill="auto"/>
            <w:tcMar>
              <w:top w:w="113" w:type="dxa"/>
              <w:left w:w="170" w:type="dxa"/>
              <w:bottom w:w="113" w:type="dxa"/>
              <w:right w:w="170" w:type="dxa"/>
            </w:tcMar>
            <w:vAlign w:val="center"/>
          </w:tcPr>
          <w:p w14:paraId="7671148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63EF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1E7957A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安全生产与应急经营数据</w:t>
            </w:r>
          </w:p>
        </w:tc>
        <w:tc>
          <w:tcPr>
            <w:tcW w:w="775" w:type="pct"/>
            <w:shd w:val="clear" w:color="auto" w:fill="auto"/>
            <w:tcMar>
              <w:top w:w="113" w:type="dxa"/>
              <w:left w:w="170" w:type="dxa"/>
              <w:bottom w:w="113" w:type="dxa"/>
              <w:right w:w="170" w:type="dxa"/>
            </w:tcMar>
            <w:vAlign w:val="center"/>
          </w:tcPr>
          <w:p w14:paraId="59D5EEF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安全生产经营管控数据</w:t>
            </w:r>
          </w:p>
        </w:tc>
        <w:tc>
          <w:tcPr>
            <w:tcW w:w="1417" w:type="pct"/>
            <w:shd w:val="clear" w:color="auto" w:fill="auto"/>
            <w:tcMar>
              <w:top w:w="113" w:type="dxa"/>
              <w:left w:w="170" w:type="dxa"/>
              <w:bottom w:w="113" w:type="dxa"/>
              <w:right w:w="170" w:type="dxa"/>
            </w:tcMar>
            <w:vAlign w:val="center"/>
          </w:tcPr>
          <w:p w14:paraId="04CE72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企业安全生产责任制、安全管理制度、安全风险分级管控、隐患排查治理、安全培训、应急管理、事故调查处理、职业健康管理</w:t>
            </w:r>
          </w:p>
        </w:tc>
        <w:tc>
          <w:tcPr>
            <w:tcW w:w="1417" w:type="pct"/>
            <w:shd w:val="clear" w:color="auto" w:fill="auto"/>
            <w:tcMar>
              <w:top w:w="113" w:type="dxa"/>
              <w:left w:w="170" w:type="dxa"/>
              <w:bottom w:w="113" w:type="dxa"/>
              <w:right w:w="170" w:type="dxa"/>
            </w:tcMar>
            <w:vAlign w:val="center"/>
          </w:tcPr>
          <w:p w14:paraId="6D3F29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泄露会对行业生产安全管控、企业安全生产及社会公共安全造成严重影响，易引发重大生产安全事故</w:t>
            </w:r>
          </w:p>
        </w:tc>
        <w:tc>
          <w:tcPr>
            <w:tcW w:w="858" w:type="pct"/>
            <w:shd w:val="clear" w:color="auto" w:fill="auto"/>
            <w:tcMar>
              <w:top w:w="113" w:type="dxa"/>
              <w:left w:w="170" w:type="dxa"/>
              <w:bottom w:w="113" w:type="dxa"/>
              <w:right w:w="170" w:type="dxa"/>
            </w:tcMar>
            <w:vAlign w:val="center"/>
          </w:tcPr>
          <w:p w14:paraId="1DA0124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16F6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7DC8A104">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22F108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应急保障与经营数据</w:t>
            </w:r>
          </w:p>
        </w:tc>
        <w:tc>
          <w:tcPr>
            <w:tcW w:w="1417" w:type="pct"/>
            <w:shd w:val="clear" w:color="auto" w:fill="auto"/>
            <w:tcMar>
              <w:top w:w="113" w:type="dxa"/>
              <w:left w:w="170" w:type="dxa"/>
              <w:bottom w:w="113" w:type="dxa"/>
              <w:right w:w="170" w:type="dxa"/>
            </w:tcMar>
            <w:vAlign w:val="center"/>
          </w:tcPr>
          <w:p w14:paraId="299676E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企业应急预案、应急物资储备、应急救援队伍、应急演练、突发事件应急处置、保供应急方案</w:t>
            </w:r>
          </w:p>
        </w:tc>
        <w:tc>
          <w:tcPr>
            <w:tcW w:w="1417" w:type="pct"/>
            <w:shd w:val="clear" w:color="auto" w:fill="auto"/>
            <w:tcMar>
              <w:top w:w="113" w:type="dxa"/>
              <w:left w:w="170" w:type="dxa"/>
              <w:bottom w:w="113" w:type="dxa"/>
              <w:right w:w="170" w:type="dxa"/>
            </w:tcMar>
            <w:vAlign w:val="center"/>
          </w:tcPr>
          <w:p w14:paraId="24A566C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泄露会对行业应急保障能力、企业安全生产及社会公共安全造成严重影响，易引发重大生产安全事故的级联效应</w:t>
            </w:r>
          </w:p>
        </w:tc>
        <w:tc>
          <w:tcPr>
            <w:tcW w:w="858" w:type="pct"/>
            <w:shd w:val="clear" w:color="auto" w:fill="auto"/>
            <w:tcMar>
              <w:top w:w="113" w:type="dxa"/>
              <w:left w:w="170" w:type="dxa"/>
              <w:bottom w:w="113" w:type="dxa"/>
              <w:right w:w="170" w:type="dxa"/>
            </w:tcMar>
            <w:vAlign w:val="center"/>
          </w:tcPr>
          <w:p w14:paraId="6661E6D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3A9D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53FB5CF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环保与绿色发展经营数据</w:t>
            </w:r>
          </w:p>
        </w:tc>
        <w:tc>
          <w:tcPr>
            <w:tcW w:w="775" w:type="pct"/>
            <w:shd w:val="clear" w:color="auto" w:fill="auto"/>
            <w:tcMar>
              <w:top w:w="113" w:type="dxa"/>
              <w:left w:w="170" w:type="dxa"/>
              <w:bottom w:w="113" w:type="dxa"/>
              <w:right w:w="170" w:type="dxa"/>
            </w:tcMar>
            <w:vAlign w:val="center"/>
          </w:tcPr>
          <w:p w14:paraId="583E159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环保合规与经营数据</w:t>
            </w:r>
          </w:p>
        </w:tc>
        <w:tc>
          <w:tcPr>
            <w:tcW w:w="1417" w:type="pct"/>
            <w:shd w:val="clear" w:color="auto" w:fill="auto"/>
            <w:tcMar>
              <w:top w:w="113" w:type="dxa"/>
              <w:left w:w="170" w:type="dxa"/>
              <w:bottom w:w="113" w:type="dxa"/>
              <w:right w:w="170" w:type="dxa"/>
            </w:tcMar>
            <w:vAlign w:val="center"/>
          </w:tcPr>
          <w:p w14:paraId="6116579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企业环保管理制度、污染物排放管控、环保设施运行、环保监测数据、环保合规检查、环保整改、环保许可、碳排放管理、碳交易</w:t>
            </w:r>
          </w:p>
        </w:tc>
        <w:tc>
          <w:tcPr>
            <w:tcW w:w="1417" w:type="pct"/>
            <w:shd w:val="clear" w:color="auto" w:fill="auto"/>
            <w:tcMar>
              <w:top w:w="113" w:type="dxa"/>
              <w:left w:w="170" w:type="dxa"/>
              <w:bottom w:w="113" w:type="dxa"/>
              <w:right w:w="170" w:type="dxa"/>
            </w:tcMar>
            <w:vAlign w:val="center"/>
          </w:tcPr>
          <w:p w14:paraId="106E6C8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泄露会对行业绿色发展、生态安全及企业环保合规造成严重影响，易引发突发环境事件</w:t>
            </w:r>
          </w:p>
        </w:tc>
        <w:tc>
          <w:tcPr>
            <w:tcW w:w="858" w:type="pct"/>
            <w:shd w:val="clear" w:color="auto" w:fill="auto"/>
            <w:tcMar>
              <w:top w:w="113" w:type="dxa"/>
              <w:left w:w="170" w:type="dxa"/>
              <w:bottom w:w="113" w:type="dxa"/>
              <w:right w:w="170" w:type="dxa"/>
            </w:tcMar>
            <w:vAlign w:val="center"/>
          </w:tcPr>
          <w:p w14:paraId="68DAA3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与行业发展相关、6.3.7 其他</w:t>
            </w:r>
          </w:p>
        </w:tc>
      </w:tr>
      <w:tr w14:paraId="6DA1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315746A1">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4F81202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绿色发展与循环经济经营数据</w:t>
            </w:r>
          </w:p>
        </w:tc>
        <w:tc>
          <w:tcPr>
            <w:tcW w:w="1417" w:type="pct"/>
            <w:shd w:val="clear" w:color="auto" w:fill="auto"/>
            <w:tcMar>
              <w:top w:w="113" w:type="dxa"/>
              <w:left w:w="170" w:type="dxa"/>
              <w:bottom w:w="113" w:type="dxa"/>
              <w:right w:w="170" w:type="dxa"/>
            </w:tcMar>
            <w:vAlign w:val="center"/>
          </w:tcPr>
          <w:p w14:paraId="246CB4F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企业节能降耗、资源综合利用、循环经济、固废危废处置、再生资源回收利用、绿色矿山、绿色工厂建设</w:t>
            </w:r>
          </w:p>
        </w:tc>
        <w:tc>
          <w:tcPr>
            <w:tcW w:w="1417" w:type="pct"/>
            <w:shd w:val="clear" w:color="auto" w:fill="auto"/>
            <w:tcMar>
              <w:top w:w="113" w:type="dxa"/>
              <w:left w:w="170" w:type="dxa"/>
              <w:bottom w:w="113" w:type="dxa"/>
              <w:right w:w="170" w:type="dxa"/>
            </w:tcMar>
            <w:vAlign w:val="center"/>
          </w:tcPr>
          <w:p w14:paraId="0932618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泄露会对行业绿色发展、产业生态及国家双碳战略实施造成严重影响</w:t>
            </w:r>
          </w:p>
        </w:tc>
        <w:tc>
          <w:tcPr>
            <w:tcW w:w="858" w:type="pct"/>
            <w:shd w:val="clear" w:color="auto" w:fill="auto"/>
            <w:tcMar>
              <w:top w:w="113" w:type="dxa"/>
              <w:left w:w="170" w:type="dxa"/>
              <w:bottom w:w="113" w:type="dxa"/>
              <w:right w:w="170" w:type="dxa"/>
            </w:tcMar>
            <w:vAlign w:val="center"/>
          </w:tcPr>
          <w:p w14:paraId="67844C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与行业发展相关、6.3.7 其他</w:t>
            </w:r>
          </w:p>
        </w:tc>
      </w:tr>
      <w:tr w14:paraId="30A4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restart"/>
            <w:shd w:val="clear" w:color="auto" w:fill="auto"/>
            <w:tcMar>
              <w:top w:w="113" w:type="dxa"/>
              <w:left w:w="170" w:type="dxa"/>
              <w:bottom w:w="113" w:type="dxa"/>
              <w:right w:w="170" w:type="dxa"/>
            </w:tcMar>
            <w:vAlign w:val="center"/>
          </w:tcPr>
          <w:p w14:paraId="4986ED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合规与风控管理数据</w:t>
            </w:r>
          </w:p>
        </w:tc>
        <w:tc>
          <w:tcPr>
            <w:tcW w:w="775" w:type="pct"/>
            <w:shd w:val="clear" w:color="auto" w:fill="auto"/>
            <w:tcMar>
              <w:top w:w="113" w:type="dxa"/>
              <w:left w:w="170" w:type="dxa"/>
              <w:bottom w:w="113" w:type="dxa"/>
              <w:right w:w="170" w:type="dxa"/>
            </w:tcMar>
            <w:vAlign w:val="center"/>
          </w:tcPr>
          <w:p w14:paraId="530F569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风险管控与经营数据</w:t>
            </w:r>
          </w:p>
        </w:tc>
        <w:tc>
          <w:tcPr>
            <w:tcW w:w="1417" w:type="pct"/>
            <w:shd w:val="clear" w:color="auto" w:fill="auto"/>
            <w:tcMar>
              <w:top w:w="113" w:type="dxa"/>
              <w:left w:w="170" w:type="dxa"/>
              <w:bottom w:w="113" w:type="dxa"/>
              <w:right w:w="170" w:type="dxa"/>
            </w:tcMar>
            <w:vAlign w:val="center"/>
          </w:tcPr>
          <w:p w14:paraId="0B2F3DA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企业全面风险管理体系、市场风险、信用风险、流动性风险、操作风险、法律风险、合规风险、内控体系、风险评估、风险应对</w:t>
            </w:r>
          </w:p>
        </w:tc>
        <w:tc>
          <w:tcPr>
            <w:tcW w:w="1417" w:type="pct"/>
            <w:shd w:val="clear" w:color="auto" w:fill="auto"/>
            <w:tcMar>
              <w:top w:w="113" w:type="dxa"/>
              <w:left w:w="170" w:type="dxa"/>
              <w:bottom w:w="113" w:type="dxa"/>
              <w:right w:w="170" w:type="dxa"/>
            </w:tcMar>
            <w:vAlign w:val="center"/>
          </w:tcPr>
          <w:p w14:paraId="5256BD7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泄露会对行业经营秩序、企业经营稳定性及产业安全造成严重影响，易引发行业级金融与经营风险</w:t>
            </w:r>
          </w:p>
        </w:tc>
        <w:tc>
          <w:tcPr>
            <w:tcW w:w="858" w:type="pct"/>
            <w:shd w:val="clear" w:color="auto" w:fill="auto"/>
            <w:tcMar>
              <w:top w:w="113" w:type="dxa"/>
              <w:left w:w="170" w:type="dxa"/>
              <w:bottom w:w="113" w:type="dxa"/>
              <w:right w:w="170" w:type="dxa"/>
            </w:tcMar>
            <w:vAlign w:val="center"/>
          </w:tcPr>
          <w:p w14:paraId="32FC439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508F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vMerge w:val="continue"/>
            <w:shd w:val="clear" w:color="auto" w:fill="auto"/>
            <w:tcMar>
              <w:top w:w="113" w:type="dxa"/>
              <w:left w:w="170" w:type="dxa"/>
              <w:bottom w:w="113" w:type="dxa"/>
              <w:right w:w="170" w:type="dxa"/>
            </w:tcMar>
            <w:vAlign w:val="center"/>
          </w:tcPr>
          <w:p w14:paraId="086C07CB">
            <w:pPr>
              <w:rPr>
                <w:rFonts w:hint="eastAsia" w:ascii="宋体" w:hAnsi="宋体" w:eastAsia="宋体" w:cs="宋体"/>
                <w:sz w:val="18"/>
                <w:szCs w:val="18"/>
                <w:lang w:val="en-US" w:eastAsia="zh-CN"/>
              </w:rPr>
            </w:pPr>
          </w:p>
        </w:tc>
        <w:tc>
          <w:tcPr>
            <w:tcW w:w="775" w:type="pct"/>
            <w:shd w:val="clear" w:color="auto" w:fill="auto"/>
            <w:tcMar>
              <w:top w:w="113" w:type="dxa"/>
              <w:left w:w="170" w:type="dxa"/>
              <w:bottom w:w="113" w:type="dxa"/>
              <w:right w:w="170" w:type="dxa"/>
            </w:tcMar>
            <w:vAlign w:val="center"/>
          </w:tcPr>
          <w:p w14:paraId="334354B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法律合规与经营数据</w:t>
            </w:r>
          </w:p>
        </w:tc>
        <w:tc>
          <w:tcPr>
            <w:tcW w:w="1417" w:type="pct"/>
            <w:shd w:val="clear" w:color="auto" w:fill="auto"/>
            <w:tcMar>
              <w:top w:w="113" w:type="dxa"/>
              <w:left w:w="170" w:type="dxa"/>
              <w:bottom w:w="113" w:type="dxa"/>
              <w:right w:w="170" w:type="dxa"/>
            </w:tcMar>
            <w:vAlign w:val="center"/>
          </w:tcPr>
          <w:p w14:paraId="60B181F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企业合同管理、知识产权管理、诉讼仲裁、行政处罚、合规审查、法律风险防控、出口管制合规、反垄断合规</w:t>
            </w:r>
          </w:p>
        </w:tc>
        <w:tc>
          <w:tcPr>
            <w:tcW w:w="1417" w:type="pct"/>
            <w:shd w:val="clear" w:color="auto" w:fill="auto"/>
            <w:tcMar>
              <w:top w:w="113" w:type="dxa"/>
              <w:left w:w="170" w:type="dxa"/>
              <w:bottom w:w="113" w:type="dxa"/>
              <w:right w:w="170" w:type="dxa"/>
            </w:tcMar>
            <w:vAlign w:val="center"/>
          </w:tcPr>
          <w:p w14:paraId="6EEADFE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泄露会对行业合规经营秩序、企业经营稳定性及国家出口管制合规造成严重影响</w:t>
            </w:r>
          </w:p>
        </w:tc>
        <w:tc>
          <w:tcPr>
            <w:tcW w:w="858" w:type="pct"/>
            <w:shd w:val="clear" w:color="auto" w:fill="auto"/>
            <w:tcMar>
              <w:top w:w="113" w:type="dxa"/>
              <w:left w:w="170" w:type="dxa"/>
              <w:bottom w:w="113" w:type="dxa"/>
              <w:right w:w="170" w:type="dxa"/>
            </w:tcMar>
            <w:vAlign w:val="center"/>
          </w:tcPr>
          <w:p w14:paraId="75FCE65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与行业发展相关、6.3.5 与出口管制物项相关、6.3.7 其他</w:t>
            </w:r>
          </w:p>
        </w:tc>
      </w:tr>
      <w:tr w14:paraId="2B96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shd w:val="clear" w:color="auto" w:fill="auto"/>
            <w:tcMar>
              <w:top w:w="113" w:type="dxa"/>
              <w:left w:w="170" w:type="dxa"/>
              <w:bottom w:w="113" w:type="dxa"/>
              <w:right w:w="170" w:type="dxa"/>
            </w:tcMar>
            <w:vAlign w:val="center"/>
          </w:tcPr>
          <w:p w14:paraId="71F43C2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信息化与数据资产经营数据</w:t>
            </w:r>
          </w:p>
        </w:tc>
        <w:tc>
          <w:tcPr>
            <w:tcW w:w="775" w:type="pct"/>
            <w:shd w:val="clear" w:color="auto" w:fill="auto"/>
            <w:tcMar>
              <w:top w:w="113" w:type="dxa"/>
              <w:left w:w="170" w:type="dxa"/>
              <w:bottom w:w="113" w:type="dxa"/>
              <w:right w:w="170" w:type="dxa"/>
            </w:tcMar>
            <w:vAlign w:val="center"/>
          </w:tcPr>
          <w:p w14:paraId="4D83DF2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信息化系统与数据资产经营数据</w:t>
            </w:r>
          </w:p>
        </w:tc>
        <w:tc>
          <w:tcPr>
            <w:tcW w:w="1417" w:type="pct"/>
            <w:shd w:val="clear" w:color="auto" w:fill="auto"/>
            <w:tcMar>
              <w:top w:w="113" w:type="dxa"/>
              <w:left w:w="170" w:type="dxa"/>
              <w:bottom w:w="113" w:type="dxa"/>
              <w:right w:w="170" w:type="dxa"/>
            </w:tcMar>
            <w:vAlign w:val="center"/>
          </w:tcPr>
          <w:p w14:paraId="7A5D759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企业ERP、MES、SCM、CRM、DCS、PLC等信息化系统、工业控制系统、数据资产清单、数据治理、数据安全、数据共享、数据交易、算法模型、源代码</w:t>
            </w:r>
          </w:p>
        </w:tc>
        <w:tc>
          <w:tcPr>
            <w:tcW w:w="1417" w:type="pct"/>
            <w:shd w:val="clear" w:color="auto" w:fill="auto"/>
            <w:tcMar>
              <w:top w:w="113" w:type="dxa"/>
              <w:left w:w="170" w:type="dxa"/>
              <w:bottom w:w="113" w:type="dxa"/>
              <w:right w:w="170" w:type="dxa"/>
            </w:tcMar>
            <w:vAlign w:val="center"/>
          </w:tcPr>
          <w:p w14:paraId="1F20438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泄露会对行业网络安全、生产经营连续性、核心技术安全及国家网络安全造成严重影响</w:t>
            </w:r>
          </w:p>
        </w:tc>
        <w:tc>
          <w:tcPr>
            <w:tcW w:w="858" w:type="pct"/>
            <w:shd w:val="clear" w:color="auto" w:fill="auto"/>
            <w:tcMar>
              <w:top w:w="113" w:type="dxa"/>
              <w:left w:w="170" w:type="dxa"/>
              <w:bottom w:w="113" w:type="dxa"/>
              <w:right w:w="170" w:type="dxa"/>
            </w:tcMar>
            <w:vAlign w:val="center"/>
          </w:tcPr>
          <w:p w14:paraId="14F2431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与行业发展相关、6.3.7 其他</w:t>
            </w:r>
          </w:p>
        </w:tc>
      </w:tr>
      <w:tr w14:paraId="1633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shd w:val="clear" w:color="auto" w:fill="auto"/>
            <w:tcMar>
              <w:top w:w="113" w:type="dxa"/>
              <w:left w:w="170" w:type="dxa"/>
              <w:bottom w:w="113" w:type="dxa"/>
              <w:right w:w="170" w:type="dxa"/>
            </w:tcMar>
            <w:vAlign w:val="center"/>
          </w:tcPr>
          <w:p w14:paraId="56F3BF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军工与特种领域经营数据</w:t>
            </w:r>
          </w:p>
        </w:tc>
        <w:tc>
          <w:tcPr>
            <w:tcW w:w="775" w:type="pct"/>
            <w:shd w:val="clear" w:color="auto" w:fill="auto"/>
            <w:tcMar>
              <w:top w:w="113" w:type="dxa"/>
              <w:left w:w="170" w:type="dxa"/>
              <w:bottom w:w="113" w:type="dxa"/>
              <w:right w:w="170" w:type="dxa"/>
            </w:tcMar>
            <w:vAlign w:val="center"/>
          </w:tcPr>
          <w:p w14:paraId="2C83F21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军工配套与特种领域经营数据</w:t>
            </w:r>
          </w:p>
        </w:tc>
        <w:tc>
          <w:tcPr>
            <w:tcW w:w="1417" w:type="pct"/>
            <w:shd w:val="clear" w:color="auto" w:fill="auto"/>
            <w:tcMar>
              <w:top w:w="113" w:type="dxa"/>
              <w:left w:w="170" w:type="dxa"/>
              <w:bottom w:w="113" w:type="dxa"/>
              <w:right w:w="170" w:type="dxa"/>
            </w:tcMar>
            <w:vAlign w:val="center"/>
          </w:tcPr>
          <w:p w14:paraId="622218C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企业军工配套任务、特种材料研发生产、国防军工项目合作、保密管理、军工资质、特种产品交付、技术合作等核心非密数据</w:t>
            </w:r>
          </w:p>
        </w:tc>
        <w:tc>
          <w:tcPr>
            <w:tcW w:w="1417" w:type="pct"/>
            <w:shd w:val="clear" w:color="auto" w:fill="auto"/>
            <w:tcMar>
              <w:top w:w="113" w:type="dxa"/>
              <w:left w:w="170" w:type="dxa"/>
              <w:bottom w:w="113" w:type="dxa"/>
              <w:right w:w="170" w:type="dxa"/>
            </w:tcMar>
            <w:vAlign w:val="center"/>
          </w:tcPr>
          <w:p w14:paraId="01BF165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泄露会对国家军事安全、国防军工配套能力及有色金属行业特种领域发展造成严重影响</w:t>
            </w:r>
          </w:p>
        </w:tc>
        <w:tc>
          <w:tcPr>
            <w:tcW w:w="858" w:type="pct"/>
            <w:shd w:val="clear" w:color="auto" w:fill="auto"/>
            <w:tcMar>
              <w:top w:w="113" w:type="dxa"/>
              <w:left w:w="170" w:type="dxa"/>
              <w:bottom w:w="113" w:type="dxa"/>
              <w:right w:w="170" w:type="dxa"/>
            </w:tcMar>
            <w:vAlign w:val="center"/>
          </w:tcPr>
          <w:p w14:paraId="154DA3F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与国家秘密生成相关、6.3.3 与国家安全相关、6.3.4 与行业发展相关</w:t>
            </w:r>
          </w:p>
        </w:tc>
      </w:tr>
      <w:tr w14:paraId="7D2D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9" w:type="pct"/>
            <w:shd w:val="clear" w:color="auto" w:fill="auto"/>
            <w:tcMar>
              <w:top w:w="113" w:type="dxa"/>
              <w:left w:w="170" w:type="dxa"/>
              <w:bottom w:w="113" w:type="dxa"/>
              <w:right w:w="170" w:type="dxa"/>
            </w:tcMar>
            <w:vAlign w:val="center"/>
          </w:tcPr>
          <w:p w14:paraId="3D046D5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775" w:type="pct"/>
            <w:shd w:val="clear" w:color="auto" w:fill="auto"/>
            <w:tcMar>
              <w:top w:w="113" w:type="dxa"/>
              <w:left w:w="170" w:type="dxa"/>
              <w:bottom w:w="113" w:type="dxa"/>
              <w:right w:w="170" w:type="dxa"/>
            </w:tcMar>
            <w:vAlign w:val="center"/>
          </w:tcPr>
          <w:p w14:paraId="6E24589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7" w:type="pct"/>
            <w:shd w:val="clear" w:color="auto" w:fill="auto"/>
            <w:tcMar>
              <w:top w:w="113" w:type="dxa"/>
              <w:left w:w="170" w:type="dxa"/>
              <w:bottom w:w="113" w:type="dxa"/>
              <w:right w:w="170" w:type="dxa"/>
            </w:tcMar>
            <w:vAlign w:val="center"/>
          </w:tcPr>
          <w:p w14:paraId="48493B6A">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7" w:type="pct"/>
            <w:shd w:val="clear" w:color="auto" w:fill="auto"/>
            <w:tcMar>
              <w:top w:w="113" w:type="dxa"/>
              <w:left w:w="170" w:type="dxa"/>
              <w:bottom w:w="113" w:type="dxa"/>
              <w:right w:w="170" w:type="dxa"/>
            </w:tcMar>
            <w:vAlign w:val="center"/>
          </w:tcPr>
          <w:p w14:paraId="41F7333B">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858" w:type="pct"/>
            <w:shd w:val="clear" w:color="auto" w:fill="auto"/>
            <w:tcMar>
              <w:top w:w="113" w:type="dxa"/>
              <w:left w:w="170" w:type="dxa"/>
              <w:bottom w:w="113" w:type="dxa"/>
              <w:right w:w="170" w:type="dxa"/>
            </w:tcMar>
            <w:vAlign w:val="center"/>
          </w:tcPr>
          <w:p w14:paraId="304B66A5">
            <w:pPr>
              <w:jc w:val="both"/>
              <w:rPr>
                <w:rFonts w:hint="eastAsia" w:ascii="宋体" w:hAnsi="宋体" w:eastAsia="宋体" w:cs="宋体"/>
                <w:sz w:val="18"/>
                <w:szCs w:val="18"/>
                <w:lang w:val="en-US" w:eastAsia="zh-CN"/>
              </w:rPr>
            </w:pPr>
          </w:p>
        </w:tc>
      </w:tr>
    </w:tbl>
    <w:p w14:paraId="26EE0570">
      <w:pPr>
        <w:keepNext w:val="0"/>
        <w:keepLines w:val="0"/>
        <w:pageBreakBefore w:val="0"/>
        <w:widowControl/>
        <w:suppressLineNumbers w:val="0"/>
        <w:kinsoku/>
        <w:wordWrap/>
        <w:overflowPunct/>
        <w:topLinePunct w:val="0"/>
        <w:autoSpaceDE/>
        <w:autoSpaceDN/>
        <w:bidi w:val="0"/>
        <w:adjustRightInd/>
        <w:snapToGrid/>
        <w:spacing w:before="162" w:beforeLines="50" w:line="360" w:lineRule="auto"/>
        <w:jc w:val="left"/>
        <w:textAlignment w:val="auto"/>
        <w:rPr>
          <w:rFonts w:hint="default"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A.4 行业特色场景</w:t>
      </w:r>
    </w:p>
    <w:p w14:paraId="4E36493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数据处理者</w:t>
      </w:r>
      <w:r>
        <w:rPr>
          <w:rFonts w:hint="eastAsia" w:ascii="宋体" w:hAnsi="宋体" w:cs="宋体"/>
          <w:color w:val="000000"/>
          <w:kern w:val="0"/>
          <w:sz w:val="21"/>
          <w:szCs w:val="21"/>
          <w:lang w:val="en-US" w:eastAsia="zh-CN" w:bidi="ar"/>
        </w:rPr>
        <w:t>围绕有色金属行业再生资源循环、新能源配套、稀有金属特种应用等特色场景，收集和产生的具有行业特殊性、战略重要性的数据。重要数据识别示例见表A.4。</w:t>
      </w:r>
    </w:p>
    <w:p w14:paraId="590C07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A.4 有色金属行业特色场景重要数据识别示例</w:t>
      </w:r>
    </w:p>
    <w:tbl>
      <w:tblPr>
        <w:tblStyle w:val="10"/>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21"/>
        <w:gridCol w:w="2292"/>
        <w:gridCol w:w="4134"/>
        <w:gridCol w:w="4137"/>
        <w:gridCol w:w="2508"/>
      </w:tblGrid>
      <w:tr w14:paraId="56EC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521" w:type="pct"/>
            <w:shd w:val="clear" w:color="auto" w:fill="auto"/>
            <w:tcMar>
              <w:top w:w="113" w:type="dxa"/>
              <w:left w:w="170" w:type="dxa"/>
              <w:bottom w:w="113" w:type="dxa"/>
              <w:right w:w="170" w:type="dxa"/>
            </w:tcMar>
            <w:vAlign w:val="center"/>
          </w:tcPr>
          <w:p w14:paraId="3ADC93A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785" w:type="pct"/>
            <w:shd w:val="clear" w:color="auto" w:fill="auto"/>
            <w:tcMar>
              <w:top w:w="113" w:type="dxa"/>
              <w:left w:w="170" w:type="dxa"/>
              <w:bottom w:w="113" w:type="dxa"/>
              <w:right w:w="170" w:type="dxa"/>
            </w:tcMar>
            <w:vAlign w:val="center"/>
          </w:tcPr>
          <w:p w14:paraId="60F2BC0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w:t>
            </w:r>
          </w:p>
        </w:tc>
        <w:tc>
          <w:tcPr>
            <w:tcW w:w="1416" w:type="pct"/>
            <w:shd w:val="clear" w:color="auto" w:fill="auto"/>
            <w:tcMar>
              <w:top w:w="113" w:type="dxa"/>
              <w:left w:w="170" w:type="dxa"/>
              <w:bottom w:w="113" w:type="dxa"/>
              <w:right w:w="170" w:type="dxa"/>
            </w:tcMar>
            <w:vAlign w:val="center"/>
          </w:tcPr>
          <w:p w14:paraId="3901052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数据项说明</w:t>
            </w:r>
          </w:p>
        </w:tc>
        <w:tc>
          <w:tcPr>
            <w:tcW w:w="1417" w:type="pct"/>
            <w:shd w:val="clear" w:color="auto" w:fill="auto"/>
            <w:tcMar>
              <w:top w:w="113" w:type="dxa"/>
              <w:left w:w="170" w:type="dxa"/>
              <w:bottom w:w="113" w:type="dxa"/>
              <w:right w:w="170" w:type="dxa"/>
            </w:tcMar>
            <w:vAlign w:val="center"/>
          </w:tcPr>
          <w:p w14:paraId="1A4DD5F9">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判定规则</w:t>
            </w:r>
          </w:p>
        </w:tc>
        <w:tc>
          <w:tcPr>
            <w:tcW w:w="859" w:type="pct"/>
            <w:shd w:val="clear" w:color="auto" w:fill="auto"/>
            <w:tcMar>
              <w:top w:w="113" w:type="dxa"/>
              <w:left w:w="170" w:type="dxa"/>
              <w:bottom w:w="113" w:type="dxa"/>
              <w:right w:w="170" w:type="dxa"/>
            </w:tcMar>
            <w:vAlign w:val="center"/>
          </w:tcPr>
          <w:p w14:paraId="7989F31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对应识别维度</w:t>
            </w:r>
          </w:p>
        </w:tc>
      </w:tr>
      <w:tr w14:paraId="1D23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restart"/>
            <w:shd w:val="clear" w:color="auto" w:fill="auto"/>
            <w:tcMar>
              <w:top w:w="113" w:type="dxa"/>
              <w:left w:w="170" w:type="dxa"/>
              <w:bottom w:w="113" w:type="dxa"/>
              <w:right w:w="170" w:type="dxa"/>
            </w:tcMar>
            <w:vAlign w:val="center"/>
          </w:tcPr>
          <w:p w14:paraId="2A561A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再生资源循环利用场景数据</w:t>
            </w:r>
          </w:p>
        </w:tc>
        <w:tc>
          <w:tcPr>
            <w:tcW w:w="785" w:type="pct"/>
            <w:shd w:val="clear" w:color="auto" w:fill="auto"/>
            <w:tcMar>
              <w:top w:w="113" w:type="dxa"/>
              <w:left w:w="170" w:type="dxa"/>
              <w:bottom w:w="113" w:type="dxa"/>
              <w:right w:w="170" w:type="dxa"/>
            </w:tcMar>
            <w:vAlign w:val="center"/>
          </w:tcPr>
          <w:p w14:paraId="3989189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有色金属再生资源回收与分选全流程核心数据</w:t>
            </w:r>
          </w:p>
        </w:tc>
        <w:tc>
          <w:tcPr>
            <w:tcW w:w="1416" w:type="pct"/>
            <w:shd w:val="clear" w:color="auto" w:fill="auto"/>
            <w:tcMar>
              <w:top w:w="113" w:type="dxa"/>
              <w:left w:w="170" w:type="dxa"/>
              <w:bottom w:w="113" w:type="dxa"/>
              <w:right w:w="170" w:type="dxa"/>
            </w:tcMar>
            <w:vAlign w:val="center"/>
          </w:tcPr>
          <w:p w14:paraId="7E13291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废铜、废铝、废铅、废锌、稀有金属废料等回收品类的全流程核心数据</w:t>
            </w:r>
          </w:p>
        </w:tc>
        <w:tc>
          <w:tcPr>
            <w:tcW w:w="1417" w:type="pct"/>
            <w:shd w:val="clear" w:color="auto" w:fill="auto"/>
            <w:tcMar>
              <w:top w:w="113" w:type="dxa"/>
              <w:left w:w="170" w:type="dxa"/>
              <w:bottom w:w="113" w:type="dxa"/>
              <w:right w:w="170" w:type="dxa"/>
            </w:tcMar>
            <w:vAlign w:val="center"/>
          </w:tcPr>
          <w:p w14:paraId="596EDFF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泄露会对国家战略资源安全、行业供应链安全造成严重影响</w:t>
            </w:r>
          </w:p>
        </w:tc>
        <w:tc>
          <w:tcPr>
            <w:tcW w:w="859" w:type="pct"/>
            <w:shd w:val="clear" w:color="auto" w:fill="auto"/>
            <w:tcMar>
              <w:top w:w="113" w:type="dxa"/>
              <w:left w:w="170" w:type="dxa"/>
              <w:bottom w:w="113" w:type="dxa"/>
              <w:right w:w="170" w:type="dxa"/>
            </w:tcMar>
            <w:vAlign w:val="center"/>
          </w:tcPr>
          <w:p w14:paraId="138DADF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610D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315C5F64">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295CAB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再生有色金属冶炼提纯核心工艺与配方数据</w:t>
            </w:r>
          </w:p>
        </w:tc>
        <w:tc>
          <w:tcPr>
            <w:tcW w:w="1416" w:type="pct"/>
            <w:shd w:val="clear" w:color="auto" w:fill="auto"/>
            <w:tcMar>
              <w:top w:w="113" w:type="dxa"/>
              <w:left w:w="170" w:type="dxa"/>
              <w:bottom w:w="113" w:type="dxa"/>
              <w:right w:w="170" w:type="dxa"/>
            </w:tcMar>
            <w:vAlign w:val="center"/>
          </w:tcPr>
          <w:p w14:paraId="3E7732E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湿法冶金、火法提纯、杂质去除等核心工艺参数与配方</w:t>
            </w:r>
          </w:p>
        </w:tc>
        <w:tc>
          <w:tcPr>
            <w:tcW w:w="1417" w:type="pct"/>
            <w:shd w:val="clear" w:color="auto" w:fill="auto"/>
            <w:tcMar>
              <w:top w:w="113" w:type="dxa"/>
              <w:left w:w="170" w:type="dxa"/>
              <w:bottom w:w="113" w:type="dxa"/>
              <w:right w:w="170" w:type="dxa"/>
            </w:tcMar>
            <w:vAlign w:val="center"/>
          </w:tcPr>
          <w:p w14:paraId="684DA2E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泄露会对行业核心竞争力、产业生态发展造成严重影响，涉及出口管制物项相关核心技术</w:t>
            </w:r>
          </w:p>
        </w:tc>
        <w:tc>
          <w:tcPr>
            <w:tcW w:w="859" w:type="pct"/>
            <w:shd w:val="clear" w:color="auto" w:fill="auto"/>
            <w:tcMar>
              <w:top w:w="113" w:type="dxa"/>
              <w:left w:w="170" w:type="dxa"/>
              <w:bottom w:w="113" w:type="dxa"/>
              <w:right w:w="170" w:type="dxa"/>
            </w:tcMar>
            <w:vAlign w:val="center"/>
          </w:tcPr>
          <w:p w14:paraId="07048E7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与行业发展相关、6.3.5 与出口管制物项相关</w:t>
            </w:r>
          </w:p>
        </w:tc>
      </w:tr>
      <w:tr w14:paraId="4C27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10103E33">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4FB76E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再生资源循环利用产业链协同与供应链数据</w:t>
            </w:r>
          </w:p>
        </w:tc>
        <w:tc>
          <w:tcPr>
            <w:tcW w:w="1416" w:type="pct"/>
            <w:shd w:val="clear" w:color="auto" w:fill="auto"/>
            <w:tcMar>
              <w:top w:w="113" w:type="dxa"/>
              <w:left w:w="170" w:type="dxa"/>
              <w:bottom w:w="113" w:type="dxa"/>
              <w:right w:w="170" w:type="dxa"/>
            </w:tcMar>
            <w:vAlign w:val="center"/>
          </w:tcPr>
          <w:p w14:paraId="2FFF512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上下游企业合作、原料供应、产品分销、物流仓储等全链条数据</w:t>
            </w:r>
          </w:p>
        </w:tc>
        <w:tc>
          <w:tcPr>
            <w:tcW w:w="1417" w:type="pct"/>
            <w:shd w:val="clear" w:color="auto" w:fill="auto"/>
            <w:tcMar>
              <w:top w:w="113" w:type="dxa"/>
              <w:left w:w="170" w:type="dxa"/>
              <w:bottom w:w="113" w:type="dxa"/>
              <w:right w:w="170" w:type="dxa"/>
            </w:tcMar>
            <w:vAlign w:val="center"/>
          </w:tcPr>
          <w:p w14:paraId="395CEF6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泄露会对国家战略资源安全、行业供应链安全造成严重影响</w:t>
            </w:r>
          </w:p>
        </w:tc>
        <w:tc>
          <w:tcPr>
            <w:tcW w:w="859" w:type="pct"/>
            <w:shd w:val="clear" w:color="auto" w:fill="auto"/>
            <w:tcMar>
              <w:top w:w="113" w:type="dxa"/>
              <w:left w:w="170" w:type="dxa"/>
              <w:bottom w:w="113" w:type="dxa"/>
              <w:right w:w="170" w:type="dxa"/>
            </w:tcMar>
            <w:vAlign w:val="center"/>
          </w:tcPr>
          <w:p w14:paraId="654536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3682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0EA60A09">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006F532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再生有色金属产品质量管控与溯源全流程数据</w:t>
            </w:r>
          </w:p>
        </w:tc>
        <w:tc>
          <w:tcPr>
            <w:tcW w:w="1416" w:type="pct"/>
            <w:shd w:val="clear" w:color="auto" w:fill="auto"/>
            <w:tcMar>
              <w:top w:w="113" w:type="dxa"/>
              <w:left w:w="170" w:type="dxa"/>
              <w:bottom w:w="113" w:type="dxa"/>
              <w:right w:w="170" w:type="dxa"/>
            </w:tcMar>
            <w:vAlign w:val="center"/>
          </w:tcPr>
          <w:p w14:paraId="7D35D5D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原料溯源、生产过程质控、产品检测、流通溯源等全流程数据</w:t>
            </w:r>
          </w:p>
        </w:tc>
        <w:tc>
          <w:tcPr>
            <w:tcW w:w="1417" w:type="pct"/>
            <w:shd w:val="clear" w:color="auto" w:fill="auto"/>
            <w:tcMar>
              <w:top w:w="113" w:type="dxa"/>
              <w:left w:w="170" w:type="dxa"/>
              <w:bottom w:w="113" w:type="dxa"/>
              <w:right w:w="170" w:type="dxa"/>
            </w:tcMar>
            <w:vAlign w:val="center"/>
          </w:tcPr>
          <w:p w14:paraId="1064F87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泄露会对行业产品质量管控、行业发展造成严重影响，易引发重大生产安全事故或突发环境事件</w:t>
            </w:r>
          </w:p>
        </w:tc>
        <w:tc>
          <w:tcPr>
            <w:tcW w:w="859" w:type="pct"/>
            <w:shd w:val="clear" w:color="auto" w:fill="auto"/>
            <w:tcMar>
              <w:top w:w="113" w:type="dxa"/>
              <w:left w:w="170" w:type="dxa"/>
              <w:bottom w:w="113" w:type="dxa"/>
              <w:right w:w="170" w:type="dxa"/>
            </w:tcMar>
            <w:vAlign w:val="center"/>
          </w:tcPr>
          <w:p w14:paraId="3CCF9DE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487B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402C2BB0">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02C3B7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再生资源循环利用环保与节能降耗核心数据</w:t>
            </w:r>
          </w:p>
        </w:tc>
        <w:tc>
          <w:tcPr>
            <w:tcW w:w="1416" w:type="pct"/>
            <w:shd w:val="clear" w:color="auto" w:fill="auto"/>
            <w:tcMar>
              <w:top w:w="113" w:type="dxa"/>
              <w:left w:w="170" w:type="dxa"/>
              <w:bottom w:w="113" w:type="dxa"/>
              <w:right w:w="170" w:type="dxa"/>
            </w:tcMar>
            <w:vAlign w:val="center"/>
          </w:tcPr>
          <w:p w14:paraId="270C659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污染物排放治理、固废危废处置、能源消耗优化、碳足迹核算等核心数据</w:t>
            </w:r>
          </w:p>
        </w:tc>
        <w:tc>
          <w:tcPr>
            <w:tcW w:w="1417" w:type="pct"/>
            <w:shd w:val="clear" w:color="auto" w:fill="auto"/>
            <w:tcMar>
              <w:top w:w="113" w:type="dxa"/>
              <w:left w:w="170" w:type="dxa"/>
              <w:bottom w:w="113" w:type="dxa"/>
              <w:right w:w="170" w:type="dxa"/>
            </w:tcMar>
            <w:vAlign w:val="center"/>
          </w:tcPr>
          <w:p w14:paraId="77C0FA2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泄露会对行业绿色发展、生态安全造成严重影响，易引发重大突发环境事件</w:t>
            </w:r>
          </w:p>
        </w:tc>
        <w:tc>
          <w:tcPr>
            <w:tcW w:w="859" w:type="pct"/>
            <w:shd w:val="clear" w:color="auto" w:fill="auto"/>
            <w:tcMar>
              <w:top w:w="113" w:type="dxa"/>
              <w:left w:w="170" w:type="dxa"/>
              <w:bottom w:w="113" w:type="dxa"/>
              <w:right w:w="170" w:type="dxa"/>
            </w:tcMar>
            <w:vAlign w:val="center"/>
          </w:tcPr>
          <w:p w14:paraId="2F0FF0E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5995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restart"/>
            <w:shd w:val="clear" w:color="auto" w:fill="auto"/>
            <w:tcMar>
              <w:top w:w="113" w:type="dxa"/>
              <w:left w:w="170" w:type="dxa"/>
              <w:bottom w:w="113" w:type="dxa"/>
              <w:right w:w="170" w:type="dxa"/>
            </w:tcMar>
            <w:vAlign w:val="center"/>
          </w:tcPr>
          <w:p w14:paraId="428CD5C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新能源配套应用场景数据</w:t>
            </w:r>
          </w:p>
        </w:tc>
        <w:tc>
          <w:tcPr>
            <w:tcW w:w="785" w:type="pct"/>
            <w:shd w:val="clear" w:color="auto" w:fill="auto"/>
            <w:tcMar>
              <w:top w:w="113" w:type="dxa"/>
              <w:left w:w="170" w:type="dxa"/>
              <w:bottom w:w="113" w:type="dxa"/>
              <w:right w:w="170" w:type="dxa"/>
            </w:tcMar>
            <w:vAlign w:val="center"/>
          </w:tcPr>
          <w:p w14:paraId="4E42F71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新能源领域用有色金属材料核心研发与配方数据</w:t>
            </w:r>
          </w:p>
        </w:tc>
        <w:tc>
          <w:tcPr>
            <w:tcW w:w="1416" w:type="pct"/>
            <w:shd w:val="clear" w:color="auto" w:fill="auto"/>
            <w:tcMar>
              <w:top w:w="113" w:type="dxa"/>
              <w:left w:w="170" w:type="dxa"/>
              <w:bottom w:w="113" w:type="dxa"/>
              <w:right w:w="170" w:type="dxa"/>
            </w:tcMar>
            <w:vAlign w:val="center"/>
          </w:tcPr>
          <w:p w14:paraId="7595F0A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锂电、光伏、风电、新能源汽车等领域用铜、铝、镍、钴、锂等有色金属材料研发与配方数据</w:t>
            </w:r>
          </w:p>
        </w:tc>
        <w:tc>
          <w:tcPr>
            <w:tcW w:w="1417" w:type="pct"/>
            <w:shd w:val="clear" w:color="auto" w:fill="auto"/>
            <w:tcMar>
              <w:top w:w="113" w:type="dxa"/>
              <w:left w:w="170" w:type="dxa"/>
              <w:bottom w:w="113" w:type="dxa"/>
              <w:right w:w="170" w:type="dxa"/>
            </w:tcMar>
            <w:vAlign w:val="center"/>
          </w:tcPr>
          <w:p w14:paraId="13C512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为国家科技计划项目相关研发数据，泄露会对国家科技安全、战略安全造成严重影响</w:t>
            </w:r>
          </w:p>
        </w:tc>
        <w:tc>
          <w:tcPr>
            <w:tcW w:w="859" w:type="pct"/>
            <w:shd w:val="clear" w:color="auto" w:fill="auto"/>
            <w:tcMar>
              <w:top w:w="113" w:type="dxa"/>
              <w:left w:w="170" w:type="dxa"/>
              <w:bottom w:w="113" w:type="dxa"/>
              <w:right w:w="170" w:type="dxa"/>
            </w:tcMar>
            <w:vAlign w:val="center"/>
          </w:tcPr>
          <w:p w14:paraId="3C4369C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与国家秘密生成相关、6.3.3 与国家安全相关</w:t>
            </w:r>
          </w:p>
        </w:tc>
      </w:tr>
      <w:tr w14:paraId="1593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4CA437FC">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317D586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新能源用有色金属材料核心生产工艺与过程管控数据</w:t>
            </w:r>
          </w:p>
        </w:tc>
        <w:tc>
          <w:tcPr>
            <w:tcW w:w="1416" w:type="pct"/>
            <w:shd w:val="clear" w:color="auto" w:fill="auto"/>
            <w:tcMar>
              <w:top w:w="113" w:type="dxa"/>
              <w:left w:w="170" w:type="dxa"/>
              <w:bottom w:w="113" w:type="dxa"/>
              <w:right w:w="170" w:type="dxa"/>
            </w:tcMar>
            <w:vAlign w:val="center"/>
          </w:tcPr>
          <w:p w14:paraId="3AF39E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材料合成、轧制、挤压、镀膜、热处理等核心工艺参数与过程管控数据</w:t>
            </w:r>
          </w:p>
        </w:tc>
        <w:tc>
          <w:tcPr>
            <w:tcW w:w="1417" w:type="pct"/>
            <w:shd w:val="clear" w:color="auto" w:fill="auto"/>
            <w:tcMar>
              <w:top w:w="113" w:type="dxa"/>
              <w:left w:w="170" w:type="dxa"/>
              <w:bottom w:w="113" w:type="dxa"/>
              <w:right w:w="170" w:type="dxa"/>
            </w:tcMar>
            <w:vAlign w:val="center"/>
          </w:tcPr>
          <w:p w14:paraId="577FE4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泄露会对行业核心竞争力、产业生态发展造成严重影响，涉及出口管制物项相关核心技术</w:t>
            </w:r>
          </w:p>
        </w:tc>
        <w:tc>
          <w:tcPr>
            <w:tcW w:w="859" w:type="pct"/>
            <w:shd w:val="clear" w:color="auto" w:fill="auto"/>
            <w:tcMar>
              <w:top w:w="113" w:type="dxa"/>
              <w:left w:w="170" w:type="dxa"/>
              <w:bottom w:w="113" w:type="dxa"/>
              <w:right w:w="170" w:type="dxa"/>
            </w:tcMar>
            <w:vAlign w:val="center"/>
          </w:tcPr>
          <w:p w14:paraId="2805F73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与行业发展相关、6.3.5 与出口管制物项相关</w:t>
            </w:r>
          </w:p>
        </w:tc>
      </w:tr>
      <w:tr w14:paraId="5A84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73544AFE">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2148A2C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新能源产业链有色金属供应链与产能保障数据</w:t>
            </w:r>
          </w:p>
        </w:tc>
        <w:tc>
          <w:tcPr>
            <w:tcW w:w="1416" w:type="pct"/>
            <w:shd w:val="clear" w:color="auto" w:fill="auto"/>
            <w:tcMar>
              <w:top w:w="113" w:type="dxa"/>
              <w:left w:w="170" w:type="dxa"/>
              <w:bottom w:w="113" w:type="dxa"/>
              <w:right w:w="170" w:type="dxa"/>
            </w:tcMar>
            <w:vAlign w:val="center"/>
          </w:tcPr>
          <w:p w14:paraId="304A02D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原料供应、生产排产、产能分布、上下游协同、战略储备等核心数据</w:t>
            </w:r>
          </w:p>
        </w:tc>
        <w:tc>
          <w:tcPr>
            <w:tcW w:w="1417" w:type="pct"/>
            <w:shd w:val="clear" w:color="auto" w:fill="auto"/>
            <w:tcMar>
              <w:top w:w="113" w:type="dxa"/>
              <w:left w:w="170" w:type="dxa"/>
              <w:bottom w:w="113" w:type="dxa"/>
              <w:right w:w="170" w:type="dxa"/>
            </w:tcMar>
            <w:vAlign w:val="center"/>
          </w:tcPr>
          <w:p w14:paraId="66B58DA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泄露会对国家战略资源安全、新能源产业链安全造成严重影响</w:t>
            </w:r>
          </w:p>
        </w:tc>
        <w:tc>
          <w:tcPr>
            <w:tcW w:w="859" w:type="pct"/>
            <w:shd w:val="clear" w:color="auto" w:fill="auto"/>
            <w:tcMar>
              <w:top w:w="113" w:type="dxa"/>
              <w:left w:w="170" w:type="dxa"/>
              <w:bottom w:w="113" w:type="dxa"/>
              <w:right w:w="170" w:type="dxa"/>
            </w:tcMar>
            <w:vAlign w:val="center"/>
          </w:tcPr>
          <w:p w14:paraId="1DF2560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1B6C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47D7AD76">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210FE59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新能源用有色金属材料性能检测与质量认证全流程数据</w:t>
            </w:r>
          </w:p>
        </w:tc>
        <w:tc>
          <w:tcPr>
            <w:tcW w:w="1416" w:type="pct"/>
            <w:shd w:val="clear" w:color="auto" w:fill="auto"/>
            <w:tcMar>
              <w:top w:w="113" w:type="dxa"/>
              <w:left w:w="170" w:type="dxa"/>
              <w:bottom w:w="113" w:type="dxa"/>
              <w:right w:w="170" w:type="dxa"/>
            </w:tcMar>
            <w:vAlign w:val="center"/>
          </w:tcPr>
          <w:p w14:paraId="67F73BC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材料力学、电学、热学、耐腐蚀等性能检测，产品认证、合规管控等全流程数据</w:t>
            </w:r>
          </w:p>
        </w:tc>
        <w:tc>
          <w:tcPr>
            <w:tcW w:w="1417" w:type="pct"/>
            <w:shd w:val="clear" w:color="auto" w:fill="auto"/>
            <w:tcMar>
              <w:top w:w="113" w:type="dxa"/>
              <w:left w:w="170" w:type="dxa"/>
              <w:bottom w:w="113" w:type="dxa"/>
              <w:right w:w="170" w:type="dxa"/>
            </w:tcMar>
            <w:vAlign w:val="center"/>
          </w:tcPr>
          <w:p w14:paraId="400EF38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泄露会对行业产品质量管控、新能源产业发展造成严重影响，易引发重大生产安全事故</w:t>
            </w:r>
          </w:p>
        </w:tc>
        <w:tc>
          <w:tcPr>
            <w:tcW w:w="859" w:type="pct"/>
            <w:shd w:val="clear" w:color="auto" w:fill="auto"/>
            <w:tcMar>
              <w:top w:w="113" w:type="dxa"/>
              <w:left w:w="170" w:type="dxa"/>
              <w:bottom w:w="113" w:type="dxa"/>
              <w:right w:w="170" w:type="dxa"/>
            </w:tcMar>
            <w:vAlign w:val="center"/>
          </w:tcPr>
          <w:p w14:paraId="2E6766B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117F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40963EF9">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56DAF5E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新能源领域有色金属材料循环利用与梯次利用核心数据</w:t>
            </w:r>
          </w:p>
        </w:tc>
        <w:tc>
          <w:tcPr>
            <w:tcW w:w="1416" w:type="pct"/>
            <w:shd w:val="clear" w:color="auto" w:fill="auto"/>
            <w:tcMar>
              <w:top w:w="113" w:type="dxa"/>
              <w:left w:w="170" w:type="dxa"/>
              <w:bottom w:w="113" w:type="dxa"/>
              <w:right w:w="170" w:type="dxa"/>
            </w:tcMar>
            <w:vAlign w:val="center"/>
          </w:tcPr>
          <w:p w14:paraId="5F0A8A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锂电材料梯次利用、光伏材料回收、新能源汽车零部件再生等核心数据</w:t>
            </w:r>
          </w:p>
        </w:tc>
        <w:tc>
          <w:tcPr>
            <w:tcW w:w="1417" w:type="pct"/>
            <w:shd w:val="clear" w:color="auto" w:fill="auto"/>
            <w:tcMar>
              <w:top w:w="113" w:type="dxa"/>
              <w:left w:w="170" w:type="dxa"/>
              <w:bottom w:w="113" w:type="dxa"/>
              <w:right w:w="170" w:type="dxa"/>
            </w:tcMar>
            <w:vAlign w:val="center"/>
          </w:tcPr>
          <w:p w14:paraId="4F13CD4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泄露会对国家战略资源安全、新能源产业链可持续发展造成严重影响</w:t>
            </w:r>
          </w:p>
        </w:tc>
        <w:tc>
          <w:tcPr>
            <w:tcW w:w="859" w:type="pct"/>
            <w:shd w:val="clear" w:color="auto" w:fill="auto"/>
            <w:tcMar>
              <w:top w:w="113" w:type="dxa"/>
              <w:left w:w="170" w:type="dxa"/>
              <w:bottom w:w="113" w:type="dxa"/>
              <w:right w:w="170" w:type="dxa"/>
            </w:tcMar>
            <w:vAlign w:val="center"/>
          </w:tcPr>
          <w:p w14:paraId="3F3A39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55FE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restart"/>
            <w:shd w:val="clear" w:color="auto" w:fill="auto"/>
            <w:tcMar>
              <w:top w:w="113" w:type="dxa"/>
              <w:left w:w="170" w:type="dxa"/>
              <w:bottom w:w="113" w:type="dxa"/>
              <w:right w:w="170" w:type="dxa"/>
            </w:tcMar>
            <w:vAlign w:val="center"/>
          </w:tcPr>
          <w:p w14:paraId="18404B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稀有金属特种应用场景数据</w:t>
            </w:r>
          </w:p>
        </w:tc>
        <w:tc>
          <w:tcPr>
            <w:tcW w:w="785" w:type="pct"/>
            <w:shd w:val="clear" w:color="auto" w:fill="auto"/>
            <w:tcMar>
              <w:top w:w="113" w:type="dxa"/>
              <w:left w:w="170" w:type="dxa"/>
              <w:bottom w:w="113" w:type="dxa"/>
              <w:right w:w="170" w:type="dxa"/>
            </w:tcMar>
            <w:vAlign w:val="center"/>
          </w:tcPr>
          <w:p w14:paraId="7D8B2BF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稀有金属特种材料核心研发与配方数据</w:t>
            </w:r>
          </w:p>
        </w:tc>
        <w:tc>
          <w:tcPr>
            <w:tcW w:w="1416" w:type="pct"/>
            <w:shd w:val="clear" w:color="auto" w:fill="auto"/>
            <w:tcMar>
              <w:top w:w="113" w:type="dxa"/>
              <w:left w:w="170" w:type="dxa"/>
              <w:bottom w:w="113" w:type="dxa"/>
              <w:right w:w="170" w:type="dxa"/>
            </w:tcMar>
            <w:vAlign w:val="center"/>
          </w:tcPr>
          <w:p w14:paraId="2DDDBE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钨、钼、钽、铌、铍、锆、铪等稀有金属及稀土金属特种材料研发与配方数据</w:t>
            </w:r>
          </w:p>
        </w:tc>
        <w:tc>
          <w:tcPr>
            <w:tcW w:w="1417" w:type="pct"/>
            <w:shd w:val="clear" w:color="auto" w:fill="auto"/>
            <w:tcMar>
              <w:top w:w="113" w:type="dxa"/>
              <w:left w:w="170" w:type="dxa"/>
              <w:bottom w:w="113" w:type="dxa"/>
              <w:right w:w="170" w:type="dxa"/>
            </w:tcMar>
            <w:vAlign w:val="center"/>
          </w:tcPr>
          <w:p w14:paraId="04FBEF7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为国家科技计划项目相关研发数据，泄露会对国家科技安全、战略安全造成严重影响</w:t>
            </w:r>
          </w:p>
        </w:tc>
        <w:tc>
          <w:tcPr>
            <w:tcW w:w="859" w:type="pct"/>
            <w:shd w:val="clear" w:color="auto" w:fill="auto"/>
            <w:tcMar>
              <w:top w:w="113" w:type="dxa"/>
              <w:left w:w="170" w:type="dxa"/>
              <w:bottom w:w="113" w:type="dxa"/>
              <w:right w:w="170" w:type="dxa"/>
            </w:tcMar>
            <w:vAlign w:val="center"/>
          </w:tcPr>
          <w:p w14:paraId="059FF1A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与国家秘密生成相关、6.3.3 与国家安全相关</w:t>
            </w:r>
          </w:p>
        </w:tc>
      </w:tr>
      <w:tr w14:paraId="1FB4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5EDB87FB">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18A9BB6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稀有金属特种材料核心生产工艺与纯化技术数据</w:t>
            </w:r>
          </w:p>
        </w:tc>
        <w:tc>
          <w:tcPr>
            <w:tcW w:w="1416" w:type="pct"/>
            <w:shd w:val="clear" w:color="auto" w:fill="auto"/>
            <w:tcMar>
              <w:top w:w="113" w:type="dxa"/>
              <w:left w:w="170" w:type="dxa"/>
              <w:bottom w:w="113" w:type="dxa"/>
              <w:right w:w="170" w:type="dxa"/>
            </w:tcMar>
            <w:vAlign w:val="center"/>
          </w:tcPr>
          <w:p w14:paraId="5B1366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稀有金属提取、纯化、单晶制备、粉末冶金、精密加工等核心工艺参数</w:t>
            </w:r>
          </w:p>
        </w:tc>
        <w:tc>
          <w:tcPr>
            <w:tcW w:w="1417" w:type="pct"/>
            <w:shd w:val="clear" w:color="auto" w:fill="auto"/>
            <w:tcMar>
              <w:top w:w="113" w:type="dxa"/>
              <w:left w:w="170" w:type="dxa"/>
              <w:bottom w:w="113" w:type="dxa"/>
              <w:right w:w="170" w:type="dxa"/>
            </w:tcMar>
            <w:vAlign w:val="center"/>
          </w:tcPr>
          <w:p w14:paraId="1E9AF23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泄露会对行业核心竞争力、产业生态发展造成严重影响，涉及出口管制物项相关核心技术</w:t>
            </w:r>
          </w:p>
        </w:tc>
        <w:tc>
          <w:tcPr>
            <w:tcW w:w="859" w:type="pct"/>
            <w:shd w:val="clear" w:color="auto" w:fill="auto"/>
            <w:tcMar>
              <w:top w:w="113" w:type="dxa"/>
              <w:left w:w="170" w:type="dxa"/>
              <w:bottom w:w="113" w:type="dxa"/>
              <w:right w:w="170" w:type="dxa"/>
            </w:tcMar>
            <w:vAlign w:val="center"/>
          </w:tcPr>
          <w:p w14:paraId="3427A78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与行业发展相关、6.3.5 与出口管制物项相关</w:t>
            </w:r>
          </w:p>
        </w:tc>
      </w:tr>
      <w:tr w14:paraId="2DA4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6DBFC8C3">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02318D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稀有金属军工配套与特种领域应用全流程数据</w:t>
            </w:r>
          </w:p>
        </w:tc>
        <w:tc>
          <w:tcPr>
            <w:tcW w:w="1416" w:type="pct"/>
            <w:shd w:val="clear" w:color="auto" w:fill="auto"/>
            <w:tcMar>
              <w:top w:w="113" w:type="dxa"/>
              <w:left w:w="170" w:type="dxa"/>
              <w:bottom w:w="113" w:type="dxa"/>
              <w:right w:w="170" w:type="dxa"/>
            </w:tcMar>
            <w:vAlign w:val="center"/>
          </w:tcPr>
          <w:p w14:paraId="7E6A37B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军工配套产品研发、生产、检测、交付、质量管控全流程数据，航天航空、核工业等特种领域应用数据</w:t>
            </w:r>
          </w:p>
        </w:tc>
        <w:tc>
          <w:tcPr>
            <w:tcW w:w="1417" w:type="pct"/>
            <w:shd w:val="clear" w:color="auto" w:fill="auto"/>
            <w:tcMar>
              <w:top w:w="113" w:type="dxa"/>
              <w:left w:w="170" w:type="dxa"/>
              <w:bottom w:w="113" w:type="dxa"/>
              <w:right w:w="170" w:type="dxa"/>
            </w:tcMar>
            <w:vAlign w:val="center"/>
          </w:tcPr>
          <w:p w14:paraId="2CA9D32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为与国家秘密生成相关的非密数据，泄露会对国家战略安全、国防安全造成严重影响</w:t>
            </w:r>
          </w:p>
        </w:tc>
        <w:tc>
          <w:tcPr>
            <w:tcW w:w="859" w:type="pct"/>
            <w:shd w:val="clear" w:color="auto" w:fill="auto"/>
            <w:tcMar>
              <w:top w:w="113" w:type="dxa"/>
              <w:left w:w="170" w:type="dxa"/>
              <w:bottom w:w="113" w:type="dxa"/>
              <w:right w:w="170" w:type="dxa"/>
            </w:tcMar>
            <w:vAlign w:val="center"/>
          </w:tcPr>
          <w:p w14:paraId="376131C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与国家秘密生成相关、6.3.3 与国家安全相关</w:t>
            </w:r>
          </w:p>
        </w:tc>
      </w:tr>
      <w:tr w14:paraId="767F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51D54F09">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47A0954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稀有金属全球供应链与战略储备核心数据</w:t>
            </w:r>
          </w:p>
        </w:tc>
        <w:tc>
          <w:tcPr>
            <w:tcW w:w="1416" w:type="pct"/>
            <w:shd w:val="clear" w:color="auto" w:fill="auto"/>
            <w:tcMar>
              <w:top w:w="113" w:type="dxa"/>
              <w:left w:w="170" w:type="dxa"/>
              <w:bottom w:w="113" w:type="dxa"/>
              <w:right w:w="170" w:type="dxa"/>
            </w:tcMar>
            <w:vAlign w:val="center"/>
          </w:tcPr>
          <w:p w14:paraId="5BA69AA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全球稀有金属资源分布、供应链布局、战略储备规模、库存管理、进出口管控等核心数据</w:t>
            </w:r>
          </w:p>
        </w:tc>
        <w:tc>
          <w:tcPr>
            <w:tcW w:w="1417" w:type="pct"/>
            <w:shd w:val="clear" w:color="auto" w:fill="auto"/>
            <w:tcMar>
              <w:top w:w="113" w:type="dxa"/>
              <w:left w:w="170" w:type="dxa"/>
              <w:bottom w:w="113" w:type="dxa"/>
              <w:right w:w="170" w:type="dxa"/>
            </w:tcMar>
            <w:vAlign w:val="center"/>
          </w:tcPr>
          <w:p w14:paraId="3CC60C6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泄露会对国家战略资源安全、经济安全造成严重影响</w:t>
            </w:r>
          </w:p>
        </w:tc>
        <w:tc>
          <w:tcPr>
            <w:tcW w:w="859" w:type="pct"/>
            <w:shd w:val="clear" w:color="auto" w:fill="auto"/>
            <w:tcMar>
              <w:top w:w="113" w:type="dxa"/>
              <w:left w:w="170" w:type="dxa"/>
              <w:bottom w:w="113" w:type="dxa"/>
              <w:right w:w="170" w:type="dxa"/>
            </w:tcMar>
            <w:vAlign w:val="center"/>
          </w:tcPr>
          <w:p w14:paraId="48AF7D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2BC9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3FA26E8F">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1B88073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稀有金属高端装备配套与精密制造核心数据</w:t>
            </w:r>
          </w:p>
        </w:tc>
        <w:tc>
          <w:tcPr>
            <w:tcW w:w="1416" w:type="pct"/>
            <w:shd w:val="clear" w:color="auto" w:fill="auto"/>
            <w:tcMar>
              <w:top w:w="113" w:type="dxa"/>
              <w:left w:w="170" w:type="dxa"/>
              <w:bottom w:w="113" w:type="dxa"/>
              <w:right w:w="170" w:type="dxa"/>
            </w:tcMar>
            <w:vAlign w:val="center"/>
          </w:tcPr>
          <w:p w14:paraId="6F12E6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半导体用稀有金属材料、高端机床配套部件、精密仪器元器件等研发、生产、检测全流程数据</w:t>
            </w:r>
          </w:p>
        </w:tc>
        <w:tc>
          <w:tcPr>
            <w:tcW w:w="1417" w:type="pct"/>
            <w:shd w:val="clear" w:color="auto" w:fill="auto"/>
            <w:tcMar>
              <w:top w:w="113" w:type="dxa"/>
              <w:left w:w="170" w:type="dxa"/>
              <w:bottom w:w="113" w:type="dxa"/>
              <w:right w:w="170" w:type="dxa"/>
            </w:tcMar>
            <w:vAlign w:val="center"/>
          </w:tcPr>
          <w:p w14:paraId="448FFB1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泄露会对国家科技安全、行业核心竞争力造成严重影响</w:t>
            </w:r>
          </w:p>
        </w:tc>
        <w:tc>
          <w:tcPr>
            <w:tcW w:w="859" w:type="pct"/>
            <w:shd w:val="clear" w:color="auto" w:fill="auto"/>
            <w:tcMar>
              <w:top w:w="113" w:type="dxa"/>
              <w:left w:w="170" w:type="dxa"/>
              <w:bottom w:w="113" w:type="dxa"/>
              <w:right w:w="170" w:type="dxa"/>
            </w:tcMar>
            <w:vAlign w:val="center"/>
          </w:tcPr>
          <w:p w14:paraId="60C7000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7AB8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restart"/>
            <w:shd w:val="clear" w:color="auto" w:fill="auto"/>
            <w:tcMar>
              <w:top w:w="113" w:type="dxa"/>
              <w:left w:w="170" w:type="dxa"/>
              <w:bottom w:w="113" w:type="dxa"/>
              <w:right w:w="170" w:type="dxa"/>
            </w:tcMar>
            <w:vAlign w:val="center"/>
          </w:tcPr>
          <w:p w14:paraId="35F5BA5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其他行业特色应用场景数据</w:t>
            </w:r>
          </w:p>
        </w:tc>
        <w:tc>
          <w:tcPr>
            <w:tcW w:w="785" w:type="pct"/>
            <w:shd w:val="clear" w:color="auto" w:fill="auto"/>
            <w:tcMar>
              <w:top w:w="113" w:type="dxa"/>
              <w:left w:w="170" w:type="dxa"/>
              <w:bottom w:w="113" w:type="dxa"/>
              <w:right w:w="170" w:type="dxa"/>
            </w:tcMar>
            <w:vAlign w:val="center"/>
          </w:tcPr>
          <w:p w14:paraId="5A4EE3C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有色金属高端装备配套材料核心研发与生产数据</w:t>
            </w:r>
          </w:p>
        </w:tc>
        <w:tc>
          <w:tcPr>
            <w:tcW w:w="1416" w:type="pct"/>
            <w:shd w:val="clear" w:color="auto" w:fill="auto"/>
            <w:tcMar>
              <w:top w:w="113" w:type="dxa"/>
              <w:left w:w="170" w:type="dxa"/>
              <w:bottom w:w="113" w:type="dxa"/>
              <w:right w:w="170" w:type="dxa"/>
            </w:tcMar>
            <w:vAlign w:val="center"/>
          </w:tcPr>
          <w:p w14:paraId="0D29B8A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航空航天、海洋工程、轨道交通、智能装备等领域用有色金属材料研发、生产、检测全流程数据</w:t>
            </w:r>
          </w:p>
        </w:tc>
        <w:tc>
          <w:tcPr>
            <w:tcW w:w="1417" w:type="pct"/>
            <w:shd w:val="clear" w:color="auto" w:fill="auto"/>
            <w:tcMar>
              <w:top w:w="113" w:type="dxa"/>
              <w:left w:w="170" w:type="dxa"/>
              <w:bottom w:w="113" w:type="dxa"/>
              <w:right w:w="170" w:type="dxa"/>
            </w:tcMar>
            <w:vAlign w:val="center"/>
          </w:tcPr>
          <w:p w14:paraId="58EFECF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泄露会对国家战略安全、行业核心竞争力造成严重影响</w:t>
            </w:r>
          </w:p>
        </w:tc>
        <w:tc>
          <w:tcPr>
            <w:tcW w:w="859" w:type="pct"/>
            <w:shd w:val="clear" w:color="auto" w:fill="auto"/>
            <w:tcMar>
              <w:top w:w="113" w:type="dxa"/>
              <w:left w:w="170" w:type="dxa"/>
              <w:bottom w:w="113" w:type="dxa"/>
              <w:right w:w="170" w:type="dxa"/>
            </w:tcMar>
            <w:vAlign w:val="center"/>
          </w:tcPr>
          <w:p w14:paraId="4FDD8C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与国家安全相关、6.3.4 与行业发展相关</w:t>
            </w:r>
          </w:p>
        </w:tc>
      </w:tr>
      <w:tr w14:paraId="2C60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52EE998F">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2D9CC36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有色金属电子信息材料核心研发与生产数据</w:t>
            </w:r>
          </w:p>
        </w:tc>
        <w:tc>
          <w:tcPr>
            <w:tcW w:w="1416" w:type="pct"/>
            <w:shd w:val="clear" w:color="auto" w:fill="auto"/>
            <w:tcMar>
              <w:top w:w="113" w:type="dxa"/>
              <w:left w:w="170" w:type="dxa"/>
              <w:bottom w:w="113" w:type="dxa"/>
              <w:right w:w="170" w:type="dxa"/>
            </w:tcMar>
            <w:vAlign w:val="center"/>
          </w:tcPr>
          <w:p w14:paraId="64010C8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集成电路用铜基材料、引线框架材料、封装材料、新型显示用有色金属材料等研发、生产数据</w:t>
            </w:r>
          </w:p>
        </w:tc>
        <w:tc>
          <w:tcPr>
            <w:tcW w:w="1417" w:type="pct"/>
            <w:shd w:val="clear" w:color="auto" w:fill="auto"/>
            <w:tcMar>
              <w:top w:w="113" w:type="dxa"/>
              <w:left w:w="170" w:type="dxa"/>
              <w:bottom w:w="113" w:type="dxa"/>
              <w:right w:w="170" w:type="dxa"/>
            </w:tcMar>
            <w:vAlign w:val="center"/>
          </w:tcPr>
          <w:p w14:paraId="0F6B60F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为国家科技计划项目相关研发数据，泄露会对国家科技安全、战略安全造成严重影响</w:t>
            </w:r>
          </w:p>
        </w:tc>
        <w:tc>
          <w:tcPr>
            <w:tcW w:w="859" w:type="pct"/>
            <w:shd w:val="clear" w:color="auto" w:fill="auto"/>
            <w:tcMar>
              <w:top w:w="113" w:type="dxa"/>
              <w:left w:w="170" w:type="dxa"/>
              <w:bottom w:w="113" w:type="dxa"/>
              <w:right w:w="170" w:type="dxa"/>
            </w:tcMar>
            <w:vAlign w:val="center"/>
          </w:tcPr>
          <w:p w14:paraId="53CBF3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6.3.2 与国家秘密生成相关、6.3.3 与国家安全相关</w:t>
            </w:r>
          </w:p>
        </w:tc>
      </w:tr>
      <w:tr w14:paraId="08B7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5A5C0994">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4694CBA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有色金属行业双碳目标与绿色发展核心数据</w:t>
            </w:r>
          </w:p>
        </w:tc>
        <w:tc>
          <w:tcPr>
            <w:tcW w:w="1416" w:type="pct"/>
            <w:shd w:val="clear" w:color="auto" w:fill="auto"/>
            <w:tcMar>
              <w:top w:w="113" w:type="dxa"/>
              <w:left w:w="170" w:type="dxa"/>
              <w:bottom w:w="113" w:type="dxa"/>
              <w:right w:w="170" w:type="dxa"/>
            </w:tcMar>
            <w:vAlign w:val="center"/>
          </w:tcPr>
          <w:p w14:paraId="217CED2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行业碳达峰碳中和规划、企业碳足迹核算、绿色低碳技术研发、节能降碳改造、碳排放权交易等核心数据</w:t>
            </w:r>
          </w:p>
        </w:tc>
        <w:tc>
          <w:tcPr>
            <w:tcW w:w="1417" w:type="pct"/>
            <w:shd w:val="clear" w:color="auto" w:fill="auto"/>
            <w:tcMar>
              <w:top w:w="113" w:type="dxa"/>
              <w:left w:w="170" w:type="dxa"/>
              <w:bottom w:w="113" w:type="dxa"/>
              <w:right w:w="170" w:type="dxa"/>
            </w:tcMar>
            <w:vAlign w:val="center"/>
          </w:tcPr>
          <w:p w14:paraId="4B64665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泄露会对行业绿色发展、生态安全造成严重影响，易引发重大突发环境事件</w:t>
            </w:r>
          </w:p>
        </w:tc>
        <w:tc>
          <w:tcPr>
            <w:tcW w:w="859" w:type="pct"/>
            <w:shd w:val="clear" w:color="auto" w:fill="auto"/>
            <w:tcMar>
              <w:top w:w="113" w:type="dxa"/>
              <w:left w:w="170" w:type="dxa"/>
              <w:bottom w:w="113" w:type="dxa"/>
              <w:right w:w="170" w:type="dxa"/>
            </w:tcMar>
            <w:vAlign w:val="center"/>
          </w:tcPr>
          <w:p w14:paraId="43EF5B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0634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04555D91">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28E85E9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有色金属行业安全生产与应急管控核心数据</w:t>
            </w:r>
          </w:p>
        </w:tc>
        <w:tc>
          <w:tcPr>
            <w:tcW w:w="1416" w:type="pct"/>
            <w:shd w:val="clear" w:color="auto" w:fill="auto"/>
            <w:tcMar>
              <w:top w:w="113" w:type="dxa"/>
              <w:left w:w="170" w:type="dxa"/>
              <w:bottom w:w="113" w:type="dxa"/>
              <w:right w:w="170" w:type="dxa"/>
            </w:tcMar>
            <w:vAlign w:val="center"/>
          </w:tcPr>
          <w:p w14:paraId="2109BF2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行业重大风险源管控、隐患排查治理、生产安全事故处置、应急救援预案、高危作业管控等核心数据</w:t>
            </w:r>
          </w:p>
        </w:tc>
        <w:tc>
          <w:tcPr>
            <w:tcW w:w="1417" w:type="pct"/>
            <w:shd w:val="clear" w:color="auto" w:fill="auto"/>
            <w:tcMar>
              <w:top w:w="113" w:type="dxa"/>
              <w:left w:w="170" w:type="dxa"/>
              <w:bottom w:w="113" w:type="dxa"/>
              <w:right w:w="170" w:type="dxa"/>
            </w:tcMar>
            <w:vAlign w:val="center"/>
          </w:tcPr>
          <w:p w14:paraId="3D2EF75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泄露会对行业生产安全管控造成严重影响，易引发重大生产安全事故</w:t>
            </w:r>
          </w:p>
        </w:tc>
        <w:tc>
          <w:tcPr>
            <w:tcW w:w="859" w:type="pct"/>
            <w:shd w:val="clear" w:color="auto" w:fill="auto"/>
            <w:tcMar>
              <w:top w:w="113" w:type="dxa"/>
              <w:left w:w="170" w:type="dxa"/>
              <w:bottom w:w="113" w:type="dxa"/>
              <w:right w:w="170" w:type="dxa"/>
            </w:tcMar>
            <w:vAlign w:val="center"/>
          </w:tcPr>
          <w:p w14:paraId="7B303CE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6.3.4 与行业发展相关、6.3.7 其他</w:t>
            </w:r>
          </w:p>
        </w:tc>
      </w:tr>
      <w:tr w14:paraId="2830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vMerge w:val="continue"/>
            <w:shd w:val="clear" w:color="auto" w:fill="auto"/>
            <w:tcMar>
              <w:top w:w="113" w:type="dxa"/>
              <w:left w:w="170" w:type="dxa"/>
              <w:bottom w:w="113" w:type="dxa"/>
              <w:right w:w="170" w:type="dxa"/>
            </w:tcMar>
            <w:vAlign w:val="center"/>
          </w:tcPr>
          <w:p w14:paraId="0C4FF0F7">
            <w:pPr>
              <w:rPr>
                <w:rFonts w:hint="eastAsia" w:ascii="宋体" w:hAnsi="宋体" w:eastAsia="宋体" w:cs="宋体"/>
                <w:sz w:val="18"/>
                <w:szCs w:val="18"/>
                <w:lang w:val="en-US" w:eastAsia="zh-CN"/>
              </w:rPr>
            </w:pPr>
          </w:p>
        </w:tc>
        <w:tc>
          <w:tcPr>
            <w:tcW w:w="785" w:type="pct"/>
            <w:shd w:val="clear" w:color="auto" w:fill="auto"/>
            <w:tcMar>
              <w:top w:w="113" w:type="dxa"/>
              <w:left w:w="170" w:type="dxa"/>
              <w:bottom w:w="113" w:type="dxa"/>
              <w:right w:w="170" w:type="dxa"/>
            </w:tcMar>
            <w:vAlign w:val="center"/>
          </w:tcPr>
          <w:p w14:paraId="0EA0D6C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有色金属行业国际市场与进出口管控核心数据</w:t>
            </w:r>
          </w:p>
        </w:tc>
        <w:tc>
          <w:tcPr>
            <w:tcW w:w="1416" w:type="pct"/>
            <w:shd w:val="clear" w:color="auto" w:fill="auto"/>
            <w:tcMar>
              <w:top w:w="113" w:type="dxa"/>
              <w:left w:w="170" w:type="dxa"/>
              <w:bottom w:w="113" w:type="dxa"/>
              <w:right w:w="170" w:type="dxa"/>
            </w:tcMar>
            <w:vAlign w:val="center"/>
          </w:tcPr>
          <w:p w14:paraId="05331C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国际市场分析、进出口贸易数据、贸易壁垒应对、境外投资布局、供应链安全管控等核心数据</w:t>
            </w:r>
          </w:p>
        </w:tc>
        <w:tc>
          <w:tcPr>
            <w:tcW w:w="1417" w:type="pct"/>
            <w:shd w:val="clear" w:color="auto" w:fill="auto"/>
            <w:tcMar>
              <w:top w:w="113" w:type="dxa"/>
              <w:left w:w="170" w:type="dxa"/>
              <w:bottom w:w="113" w:type="dxa"/>
              <w:right w:w="170" w:type="dxa"/>
            </w:tcMar>
            <w:vAlign w:val="center"/>
          </w:tcPr>
          <w:p w14:paraId="6039674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泄露会对国家经济安全、战略资源安全造成严重影响</w:t>
            </w:r>
          </w:p>
        </w:tc>
        <w:tc>
          <w:tcPr>
            <w:tcW w:w="859" w:type="pct"/>
            <w:shd w:val="clear" w:color="auto" w:fill="auto"/>
            <w:tcMar>
              <w:top w:w="113" w:type="dxa"/>
              <w:left w:w="170" w:type="dxa"/>
              <w:bottom w:w="113" w:type="dxa"/>
              <w:right w:w="170" w:type="dxa"/>
            </w:tcMar>
            <w:vAlign w:val="center"/>
          </w:tcPr>
          <w:p w14:paraId="584669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6.3.3 与国家安全相关、6.3.6 与行业经济效益和产业保障相关</w:t>
            </w:r>
          </w:p>
        </w:tc>
      </w:tr>
      <w:tr w14:paraId="4138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21" w:type="pct"/>
            <w:shd w:val="clear" w:color="auto" w:fill="auto"/>
            <w:tcMar>
              <w:top w:w="113" w:type="dxa"/>
              <w:left w:w="170" w:type="dxa"/>
              <w:bottom w:w="113" w:type="dxa"/>
              <w:right w:w="170" w:type="dxa"/>
            </w:tcMar>
            <w:vAlign w:val="center"/>
          </w:tcPr>
          <w:p w14:paraId="124FCE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785" w:type="pct"/>
            <w:shd w:val="clear" w:color="auto" w:fill="auto"/>
            <w:tcMar>
              <w:top w:w="113" w:type="dxa"/>
              <w:left w:w="170" w:type="dxa"/>
              <w:bottom w:w="113" w:type="dxa"/>
              <w:right w:w="170" w:type="dxa"/>
            </w:tcMar>
            <w:vAlign w:val="center"/>
          </w:tcPr>
          <w:p w14:paraId="6FE893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6" w:type="pct"/>
            <w:shd w:val="clear" w:color="auto" w:fill="auto"/>
            <w:tcMar>
              <w:top w:w="113" w:type="dxa"/>
              <w:left w:w="170" w:type="dxa"/>
              <w:bottom w:w="113" w:type="dxa"/>
              <w:right w:w="170" w:type="dxa"/>
            </w:tcMar>
            <w:vAlign w:val="center"/>
          </w:tcPr>
          <w:p w14:paraId="0360099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1417" w:type="pct"/>
            <w:shd w:val="clear" w:color="auto" w:fill="auto"/>
            <w:tcMar>
              <w:top w:w="113" w:type="dxa"/>
              <w:left w:w="170" w:type="dxa"/>
              <w:bottom w:w="113" w:type="dxa"/>
              <w:right w:w="170" w:type="dxa"/>
            </w:tcMar>
            <w:vAlign w:val="center"/>
          </w:tcPr>
          <w:p w14:paraId="587CB419">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859" w:type="pct"/>
            <w:shd w:val="clear" w:color="auto" w:fill="auto"/>
            <w:tcMar>
              <w:top w:w="113" w:type="dxa"/>
              <w:left w:w="170" w:type="dxa"/>
              <w:bottom w:w="113" w:type="dxa"/>
              <w:right w:w="170" w:type="dxa"/>
            </w:tcMar>
            <w:vAlign w:val="center"/>
          </w:tcPr>
          <w:p w14:paraId="71D9EB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r>
    </w:tbl>
    <w:p w14:paraId="20F12F63">
      <w:pPr>
        <w:keepNext w:val="0"/>
        <w:keepLines w:val="0"/>
        <w:widowControl/>
        <w:suppressLineNumbers w:val="0"/>
        <w:jc w:val="center"/>
      </w:pPr>
    </w:p>
    <w:p w14:paraId="6D32CF42">
      <w:pPr>
        <w:keepNext w:val="0"/>
        <w:keepLines w:val="0"/>
        <w:widowControl/>
        <w:suppressLineNumbers w:val="0"/>
        <w:jc w:val="center"/>
      </w:pPr>
    </w:p>
    <w:p w14:paraId="27CF6DCE">
      <w:pPr>
        <w:keepNext w:val="0"/>
        <w:keepLines w:val="0"/>
        <w:widowControl/>
        <w:suppressLineNumbers w:val="0"/>
        <w:jc w:val="center"/>
        <w:sectPr>
          <w:pgSz w:w="16838" w:h="11906" w:orient="landscape"/>
          <w:pgMar w:top="1417" w:right="1134" w:bottom="1134" w:left="1417" w:header="1418" w:footer="1134" w:gutter="0"/>
          <w:pgBorders>
            <w:top w:val="none" w:sz="0" w:space="0"/>
            <w:left w:val="none" w:sz="0" w:space="0"/>
            <w:bottom w:val="none" w:sz="0" w:space="0"/>
            <w:right w:val="none" w:sz="0" w:space="0"/>
          </w:pgBorders>
          <w:pgNumType w:fmt="decimal"/>
          <w:cols w:space="0" w:num="1"/>
          <w:formProt w:val="0"/>
          <w:rtlGutter w:val="0"/>
          <w:docGrid w:type="lines" w:linePitch="322" w:charSpace="0"/>
        </w:sectPr>
      </w:pPr>
    </w:p>
    <w:p w14:paraId="068BC5BF">
      <w:pPr>
        <w:pStyle w:val="33"/>
        <w:keepNext/>
        <w:keepLines w:val="0"/>
        <w:pageBreakBefore/>
        <w:widowControl/>
        <w:shd w:val="clear" w:color="FFFFFF" w:fill="FFFFFF"/>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1"/>
          <w:szCs w:val="21"/>
          <w:lang w:val="en-US" w:eastAsia="zh-CN"/>
        </w:rPr>
      </w:pPr>
      <w:bookmarkStart w:id="29" w:name="_Toc1442"/>
      <w:r>
        <w:rPr>
          <w:rFonts w:hint="eastAsia" w:ascii="黑体" w:hAnsi="黑体" w:eastAsia="黑体" w:cs="黑体"/>
          <w:b w:val="0"/>
          <w:bCs w:val="0"/>
          <w:sz w:val="21"/>
          <w:szCs w:val="21"/>
          <w:lang w:val="en-US" w:eastAsia="zh-CN"/>
        </w:rPr>
        <w:t xml:space="preserve">附 录 </w:t>
      </w:r>
      <w:r>
        <w:rPr>
          <w:rFonts w:hint="eastAsia" w:hAnsi="黑体" w:cs="黑体"/>
          <w:b w:val="0"/>
          <w:bCs w:val="0"/>
          <w:sz w:val="21"/>
          <w:szCs w:val="21"/>
          <w:lang w:val="en-US" w:eastAsia="zh-CN"/>
        </w:rPr>
        <w:t>B</w:t>
      </w:r>
      <w:bookmarkEnd w:id="29"/>
    </w:p>
    <w:p w14:paraId="737FC5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1"/>
          <w:szCs w:val="21"/>
        </w:rPr>
      </w:pPr>
      <w:r>
        <w:rPr>
          <w:rFonts w:hint="eastAsia" w:ascii="黑体" w:hAnsi="黑体" w:eastAsia="黑体" w:cs="黑体"/>
          <w:color w:val="000000"/>
          <w:kern w:val="0"/>
          <w:sz w:val="21"/>
          <w:szCs w:val="21"/>
          <w:lang w:val="en-US" w:eastAsia="zh-CN" w:bidi="ar"/>
        </w:rPr>
        <w:t>(资料性)</w:t>
      </w:r>
    </w:p>
    <w:p w14:paraId="342E9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1"/>
          <w:szCs w:val="21"/>
        </w:rPr>
      </w:pPr>
      <w:r>
        <w:rPr>
          <w:rFonts w:hint="eastAsia" w:ascii="黑体" w:hAnsi="黑体" w:eastAsia="黑体" w:cs="黑体"/>
          <w:color w:val="000000"/>
          <w:kern w:val="0"/>
          <w:sz w:val="21"/>
          <w:szCs w:val="21"/>
          <w:lang w:val="en-US" w:eastAsia="zh-CN" w:bidi="ar"/>
        </w:rPr>
        <w:t>有色金属行业工业数据分类分级清单示例</w:t>
      </w:r>
    </w:p>
    <w:p w14:paraId="04F8C6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黑体" w:hAnsi="黑体" w:eastAsia="黑体" w:cs="黑体"/>
          <w:lang w:val="en-US"/>
        </w:rPr>
      </w:pPr>
      <w:r>
        <w:rPr>
          <w:rFonts w:hint="eastAsia" w:ascii="黑体" w:hAnsi="黑体" w:eastAsia="黑体" w:cs="黑体"/>
          <w:color w:val="000000"/>
          <w:kern w:val="0"/>
          <w:sz w:val="21"/>
          <w:szCs w:val="21"/>
          <w:lang w:val="en-US" w:eastAsia="zh-CN" w:bidi="ar"/>
        </w:rPr>
        <w:t>B.1 采选企业工业数据分类分级清单示例</w:t>
      </w:r>
    </w:p>
    <w:p w14:paraId="2262A57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cs="宋体"/>
          <w:color w:val="000000"/>
          <w:kern w:val="0"/>
          <w:sz w:val="21"/>
          <w:szCs w:val="21"/>
          <w:highlight w:val="none"/>
          <w:lang w:val="en-US" w:eastAsia="zh-CN" w:bidi="ar"/>
        </w:rPr>
        <w:t>有色金属行业</w:t>
      </w:r>
      <w:r>
        <w:rPr>
          <w:rFonts w:hint="eastAsia" w:ascii="宋体" w:hAnsi="宋体" w:eastAsia="宋体" w:cs="宋体"/>
          <w:color w:val="000000"/>
          <w:kern w:val="0"/>
          <w:sz w:val="21"/>
          <w:szCs w:val="21"/>
          <w:highlight w:val="none"/>
          <w:lang w:val="en-US" w:eastAsia="zh-CN" w:bidi="ar"/>
        </w:rPr>
        <w:t>采选企业工业数据具有资源关联性强、安全风险等级高、产业链渗透度深等特征，企业可依据</w:t>
      </w:r>
      <w:r>
        <w:rPr>
          <w:rFonts w:hint="eastAsia" w:ascii="宋体" w:hAnsi="宋体" w:cs="宋体"/>
          <w:color w:val="000000"/>
          <w:kern w:val="0"/>
          <w:sz w:val="21"/>
          <w:szCs w:val="21"/>
          <w:highlight w:val="none"/>
          <w:lang w:val="en-US" w:eastAsia="zh-CN" w:bidi="ar"/>
        </w:rPr>
        <w:t>此</w:t>
      </w:r>
      <w:r>
        <w:rPr>
          <w:rFonts w:hint="eastAsia" w:ascii="宋体" w:hAnsi="宋体" w:eastAsia="宋体" w:cs="宋体"/>
          <w:color w:val="000000"/>
          <w:kern w:val="0"/>
          <w:sz w:val="21"/>
          <w:szCs w:val="21"/>
          <w:highlight w:val="none"/>
          <w:lang w:val="en-US" w:eastAsia="zh-CN" w:bidi="ar"/>
        </w:rPr>
        <w:t>特点，结合实际，参考表B.</w:t>
      </w:r>
      <w:r>
        <w:rPr>
          <w:rFonts w:hint="eastAsia" w:ascii="宋体" w:hAnsi="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val="en-US" w:eastAsia="zh-CN" w:bidi="ar"/>
        </w:rPr>
        <w:t>示例</w:t>
      </w:r>
      <w:r>
        <w:rPr>
          <w:rFonts w:hint="eastAsia" w:ascii="宋体" w:hAnsi="宋体" w:cs="宋体"/>
          <w:color w:val="000000"/>
          <w:kern w:val="0"/>
          <w:sz w:val="21"/>
          <w:szCs w:val="21"/>
          <w:highlight w:val="none"/>
          <w:lang w:val="en-US" w:eastAsia="zh-CN" w:bidi="ar"/>
        </w:rPr>
        <w:t>进行</w:t>
      </w:r>
      <w:r>
        <w:rPr>
          <w:rFonts w:hint="eastAsia" w:ascii="宋体" w:hAnsi="宋体" w:eastAsia="宋体" w:cs="宋体"/>
          <w:color w:val="000000"/>
          <w:kern w:val="0"/>
          <w:sz w:val="21"/>
          <w:szCs w:val="21"/>
          <w:highlight w:val="none"/>
          <w:lang w:val="en-US" w:eastAsia="zh-CN" w:bidi="ar"/>
        </w:rPr>
        <w:t>数据分类分级。</w:t>
      </w:r>
    </w:p>
    <w:p w14:paraId="1B840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pPr>
      <w:r>
        <w:rPr>
          <w:rFonts w:hint="eastAsia" w:ascii="黑体" w:hAnsi="黑体" w:eastAsia="黑体" w:cs="黑体"/>
          <w:color w:val="000000"/>
          <w:kern w:val="0"/>
          <w:sz w:val="21"/>
          <w:szCs w:val="21"/>
          <w:lang w:val="en-US" w:eastAsia="zh-CN" w:bidi="ar"/>
        </w:rPr>
        <w:t>表 B.1 采选企业工业数据分类分级清单示例</w:t>
      </w:r>
    </w:p>
    <w:tbl>
      <w:tblPr>
        <w:tblStyle w:val="10"/>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774"/>
        <w:gridCol w:w="1304"/>
        <w:gridCol w:w="768"/>
        <w:gridCol w:w="1032"/>
        <w:gridCol w:w="2512"/>
        <w:gridCol w:w="2532"/>
        <w:gridCol w:w="2431"/>
        <w:gridCol w:w="825"/>
        <w:gridCol w:w="1420"/>
      </w:tblGrid>
      <w:tr w14:paraId="55C4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607" w:type="pct"/>
            <w:shd w:val="clear" w:color="auto" w:fill="auto"/>
            <w:tcMar>
              <w:top w:w="113" w:type="dxa"/>
              <w:left w:w="170" w:type="dxa"/>
              <w:bottom w:w="113" w:type="dxa"/>
              <w:right w:w="170" w:type="dxa"/>
            </w:tcMar>
            <w:vAlign w:val="center"/>
          </w:tcPr>
          <w:p w14:paraId="7DCE812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446" w:type="pct"/>
            <w:shd w:val="clear" w:color="auto" w:fill="auto"/>
            <w:tcMar>
              <w:top w:w="113" w:type="dxa"/>
              <w:left w:w="170" w:type="dxa"/>
              <w:bottom w:w="113" w:type="dxa"/>
              <w:right w:w="170" w:type="dxa"/>
            </w:tcMar>
            <w:vAlign w:val="center"/>
          </w:tcPr>
          <w:p w14:paraId="42AA481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数据项名称</w:t>
            </w:r>
          </w:p>
        </w:tc>
        <w:tc>
          <w:tcPr>
            <w:tcW w:w="263" w:type="pct"/>
            <w:shd w:val="clear" w:color="auto" w:fill="auto"/>
            <w:tcMar>
              <w:top w:w="113" w:type="dxa"/>
              <w:left w:w="170" w:type="dxa"/>
              <w:bottom w:w="113" w:type="dxa"/>
              <w:right w:w="170" w:type="dxa"/>
            </w:tcMar>
            <w:vAlign w:val="center"/>
          </w:tcPr>
          <w:p w14:paraId="3946EF2B">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数据级别</w:t>
            </w:r>
          </w:p>
        </w:tc>
        <w:tc>
          <w:tcPr>
            <w:tcW w:w="353" w:type="pct"/>
            <w:shd w:val="clear" w:color="auto" w:fill="auto"/>
            <w:tcMar>
              <w:top w:w="113" w:type="dxa"/>
              <w:left w:w="170" w:type="dxa"/>
              <w:bottom w:w="113" w:type="dxa"/>
              <w:right w:w="170" w:type="dxa"/>
            </w:tcMar>
            <w:vAlign w:val="center"/>
          </w:tcPr>
          <w:p w14:paraId="0D193ECB">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数据量</w:t>
            </w:r>
          </w:p>
          <w:p w14:paraId="6F4BF329">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（参考）</w:t>
            </w:r>
          </w:p>
        </w:tc>
        <w:tc>
          <w:tcPr>
            <w:tcW w:w="860" w:type="pct"/>
            <w:shd w:val="clear" w:color="auto" w:fill="auto"/>
            <w:tcMar>
              <w:top w:w="113" w:type="dxa"/>
              <w:left w:w="170" w:type="dxa"/>
              <w:bottom w:w="113" w:type="dxa"/>
              <w:right w:w="170" w:type="dxa"/>
            </w:tcMar>
            <w:vAlign w:val="center"/>
          </w:tcPr>
          <w:p w14:paraId="689E4CD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数据处理目的和意义</w:t>
            </w:r>
          </w:p>
        </w:tc>
        <w:tc>
          <w:tcPr>
            <w:tcW w:w="867" w:type="pct"/>
            <w:shd w:val="clear" w:color="auto" w:fill="auto"/>
            <w:tcMar>
              <w:top w:w="113" w:type="dxa"/>
              <w:left w:w="170" w:type="dxa"/>
              <w:bottom w:w="113" w:type="dxa"/>
              <w:right w:w="170" w:type="dxa"/>
            </w:tcMar>
            <w:vAlign w:val="center"/>
          </w:tcPr>
          <w:p w14:paraId="43C9075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数据处理场景</w:t>
            </w:r>
          </w:p>
        </w:tc>
        <w:tc>
          <w:tcPr>
            <w:tcW w:w="832" w:type="pct"/>
            <w:shd w:val="clear" w:color="auto" w:fill="auto"/>
            <w:tcMar>
              <w:top w:w="113" w:type="dxa"/>
              <w:left w:w="170" w:type="dxa"/>
              <w:bottom w:w="113" w:type="dxa"/>
              <w:right w:w="170" w:type="dxa"/>
            </w:tcMar>
            <w:vAlign w:val="center"/>
          </w:tcPr>
          <w:p w14:paraId="28A51CD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数据载体</w:t>
            </w:r>
          </w:p>
        </w:tc>
        <w:tc>
          <w:tcPr>
            <w:tcW w:w="282" w:type="pct"/>
            <w:shd w:val="clear" w:color="auto" w:fill="auto"/>
            <w:tcMar>
              <w:top w:w="113" w:type="dxa"/>
              <w:left w:w="170" w:type="dxa"/>
              <w:bottom w:w="113" w:type="dxa"/>
              <w:right w:w="170" w:type="dxa"/>
            </w:tcMar>
            <w:vAlign w:val="center"/>
          </w:tcPr>
          <w:p w14:paraId="253C5B4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是否涉及数据出境</w:t>
            </w:r>
          </w:p>
        </w:tc>
        <w:tc>
          <w:tcPr>
            <w:tcW w:w="486" w:type="pct"/>
            <w:shd w:val="clear" w:color="auto" w:fill="auto"/>
            <w:tcMar>
              <w:top w:w="113" w:type="dxa"/>
              <w:left w:w="170" w:type="dxa"/>
              <w:bottom w:w="113" w:type="dxa"/>
              <w:right w:w="170" w:type="dxa"/>
            </w:tcMar>
            <w:vAlign w:val="center"/>
          </w:tcPr>
          <w:p w14:paraId="6F45508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数据备份情况</w:t>
            </w:r>
          </w:p>
        </w:tc>
      </w:tr>
      <w:tr w14:paraId="056C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64DD183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稀有金属/贵金属→采选→研发设计→工艺优化</w:t>
            </w:r>
          </w:p>
        </w:tc>
        <w:tc>
          <w:tcPr>
            <w:tcW w:w="446" w:type="pct"/>
            <w:shd w:val="clear" w:color="auto" w:fill="auto"/>
            <w:tcMar>
              <w:top w:w="113" w:type="dxa"/>
              <w:left w:w="170" w:type="dxa"/>
              <w:bottom w:w="113" w:type="dxa"/>
              <w:right w:w="170" w:type="dxa"/>
            </w:tcMar>
            <w:vAlign w:val="center"/>
          </w:tcPr>
          <w:p w14:paraId="017968D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选矿工艺优化实验数据</w:t>
            </w:r>
          </w:p>
        </w:tc>
        <w:tc>
          <w:tcPr>
            <w:tcW w:w="263" w:type="pct"/>
            <w:shd w:val="clear" w:color="auto" w:fill="auto"/>
            <w:tcMar>
              <w:top w:w="113" w:type="dxa"/>
              <w:left w:w="170" w:type="dxa"/>
              <w:bottom w:w="113" w:type="dxa"/>
              <w:right w:w="170" w:type="dxa"/>
            </w:tcMar>
            <w:vAlign w:val="center"/>
          </w:tcPr>
          <w:p w14:paraId="4B008FF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53" w:type="pct"/>
            <w:shd w:val="clear" w:color="auto" w:fill="auto"/>
            <w:tcMar>
              <w:top w:w="113" w:type="dxa"/>
              <w:left w:w="170" w:type="dxa"/>
              <w:bottom w:w="113" w:type="dxa"/>
              <w:right w:w="170" w:type="dxa"/>
            </w:tcMar>
            <w:vAlign w:val="center"/>
          </w:tcPr>
          <w:p w14:paraId="283490E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1-10GB</w:t>
            </w:r>
          </w:p>
        </w:tc>
        <w:tc>
          <w:tcPr>
            <w:tcW w:w="860" w:type="pct"/>
            <w:shd w:val="clear" w:color="auto" w:fill="auto"/>
            <w:tcMar>
              <w:top w:w="113" w:type="dxa"/>
              <w:left w:w="170" w:type="dxa"/>
              <w:bottom w:w="113" w:type="dxa"/>
              <w:right w:w="170" w:type="dxa"/>
            </w:tcMar>
            <w:vAlign w:val="center"/>
          </w:tcPr>
          <w:p w14:paraId="58D20D2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提升资源利用率、降低生产成本、实现绿色高效选矿、突破关键选矿技术瓶颈</w:t>
            </w:r>
          </w:p>
        </w:tc>
        <w:tc>
          <w:tcPr>
            <w:tcW w:w="867" w:type="pct"/>
            <w:shd w:val="clear" w:color="auto" w:fill="auto"/>
            <w:tcMar>
              <w:top w:w="113" w:type="dxa"/>
              <w:left w:w="170" w:type="dxa"/>
              <w:bottom w:w="113" w:type="dxa"/>
              <w:right w:w="170" w:type="dxa"/>
            </w:tcMar>
            <w:vAlign w:val="center"/>
          </w:tcPr>
          <w:p w14:paraId="041C0F8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选矿工艺研发系统、实验室数据管理系统的工艺参数优化、技术研发功能</w:t>
            </w:r>
          </w:p>
        </w:tc>
        <w:tc>
          <w:tcPr>
            <w:tcW w:w="832" w:type="pct"/>
            <w:shd w:val="clear" w:color="auto" w:fill="auto"/>
            <w:tcMar>
              <w:top w:w="113" w:type="dxa"/>
              <w:left w:w="170" w:type="dxa"/>
              <w:bottom w:w="113" w:type="dxa"/>
              <w:right w:w="170" w:type="dxa"/>
            </w:tcMar>
            <w:vAlign w:val="center"/>
          </w:tcPr>
          <w:p w14:paraId="682A3CD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不与互联网连接的内网研发系统、实验室数据服务器、纸质实验记录</w:t>
            </w:r>
          </w:p>
        </w:tc>
        <w:tc>
          <w:tcPr>
            <w:tcW w:w="282" w:type="pct"/>
            <w:shd w:val="clear" w:color="auto" w:fill="auto"/>
            <w:tcMar>
              <w:top w:w="113" w:type="dxa"/>
              <w:left w:w="170" w:type="dxa"/>
              <w:bottom w:w="113" w:type="dxa"/>
              <w:right w:w="170" w:type="dxa"/>
            </w:tcMar>
            <w:vAlign w:val="center"/>
          </w:tcPr>
          <w:p w14:paraId="6F6971D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91B054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7951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07BF174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重金属→采选→研发设计→工艺优化</w:t>
            </w:r>
          </w:p>
        </w:tc>
        <w:tc>
          <w:tcPr>
            <w:tcW w:w="446" w:type="pct"/>
            <w:shd w:val="clear" w:color="auto" w:fill="auto"/>
            <w:tcMar>
              <w:top w:w="113" w:type="dxa"/>
              <w:left w:w="170" w:type="dxa"/>
              <w:bottom w:w="113" w:type="dxa"/>
              <w:right w:w="170" w:type="dxa"/>
            </w:tcMar>
            <w:vAlign w:val="center"/>
          </w:tcPr>
          <w:p w14:paraId="3D905EA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选矿工艺优化实验数据</w:t>
            </w:r>
          </w:p>
        </w:tc>
        <w:tc>
          <w:tcPr>
            <w:tcW w:w="263" w:type="pct"/>
            <w:shd w:val="clear" w:color="auto" w:fill="auto"/>
            <w:tcMar>
              <w:top w:w="113" w:type="dxa"/>
              <w:left w:w="170" w:type="dxa"/>
              <w:bottom w:w="113" w:type="dxa"/>
              <w:right w:w="170" w:type="dxa"/>
            </w:tcMar>
            <w:vAlign w:val="center"/>
          </w:tcPr>
          <w:p w14:paraId="6A7B0B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53E36FB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1-10GB</w:t>
            </w:r>
          </w:p>
        </w:tc>
        <w:tc>
          <w:tcPr>
            <w:tcW w:w="860" w:type="pct"/>
            <w:shd w:val="clear" w:color="auto" w:fill="auto"/>
            <w:tcMar>
              <w:top w:w="113" w:type="dxa"/>
              <w:left w:w="170" w:type="dxa"/>
              <w:bottom w:w="113" w:type="dxa"/>
              <w:right w:w="170" w:type="dxa"/>
            </w:tcMar>
            <w:vAlign w:val="center"/>
          </w:tcPr>
          <w:p w14:paraId="730208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提升选矿效率及精矿品质</w:t>
            </w:r>
          </w:p>
        </w:tc>
        <w:tc>
          <w:tcPr>
            <w:tcW w:w="867" w:type="pct"/>
            <w:shd w:val="clear" w:color="auto" w:fill="auto"/>
            <w:tcMar>
              <w:top w:w="113" w:type="dxa"/>
              <w:left w:w="170" w:type="dxa"/>
              <w:bottom w:w="113" w:type="dxa"/>
              <w:right w:w="170" w:type="dxa"/>
            </w:tcMar>
            <w:vAlign w:val="center"/>
          </w:tcPr>
          <w:p w14:paraId="0B27095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选矿工艺模拟系统、生产管理系统的工艺参数调整、效率提升功能</w:t>
            </w:r>
          </w:p>
        </w:tc>
        <w:tc>
          <w:tcPr>
            <w:tcW w:w="832" w:type="pct"/>
            <w:shd w:val="clear" w:color="auto" w:fill="auto"/>
            <w:tcMar>
              <w:top w:w="113" w:type="dxa"/>
              <w:left w:w="170" w:type="dxa"/>
              <w:bottom w:w="113" w:type="dxa"/>
              <w:right w:w="170" w:type="dxa"/>
            </w:tcMar>
            <w:vAlign w:val="center"/>
          </w:tcPr>
          <w:p w14:paraId="17ECC2A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内网生产管理系统、工艺模拟数据库、纸质实验记录</w:t>
            </w:r>
          </w:p>
        </w:tc>
        <w:tc>
          <w:tcPr>
            <w:tcW w:w="282" w:type="pct"/>
            <w:shd w:val="clear" w:color="auto" w:fill="auto"/>
            <w:tcMar>
              <w:top w:w="113" w:type="dxa"/>
              <w:left w:w="170" w:type="dxa"/>
              <w:bottom w:w="113" w:type="dxa"/>
              <w:right w:w="170" w:type="dxa"/>
            </w:tcMar>
            <w:vAlign w:val="center"/>
          </w:tcPr>
          <w:p w14:paraId="5326833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D7F0EA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2F90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6AB14F3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重金属/稀有金属→采选→研发设计→采矿方法</w:t>
            </w:r>
          </w:p>
        </w:tc>
        <w:tc>
          <w:tcPr>
            <w:tcW w:w="446" w:type="pct"/>
            <w:shd w:val="clear" w:color="auto" w:fill="auto"/>
            <w:tcMar>
              <w:top w:w="113" w:type="dxa"/>
              <w:left w:w="170" w:type="dxa"/>
              <w:bottom w:w="113" w:type="dxa"/>
              <w:right w:w="170" w:type="dxa"/>
            </w:tcMar>
            <w:vAlign w:val="center"/>
          </w:tcPr>
          <w:p w14:paraId="6E20ED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采矿方法开发数据</w:t>
            </w:r>
          </w:p>
        </w:tc>
        <w:tc>
          <w:tcPr>
            <w:tcW w:w="263" w:type="pct"/>
            <w:shd w:val="clear" w:color="auto" w:fill="auto"/>
            <w:tcMar>
              <w:top w:w="113" w:type="dxa"/>
              <w:left w:w="170" w:type="dxa"/>
              <w:bottom w:w="113" w:type="dxa"/>
              <w:right w:w="170" w:type="dxa"/>
            </w:tcMar>
            <w:vAlign w:val="center"/>
          </w:tcPr>
          <w:p w14:paraId="2190EEA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03E1ED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5-20GB</w:t>
            </w:r>
          </w:p>
        </w:tc>
        <w:tc>
          <w:tcPr>
            <w:tcW w:w="860" w:type="pct"/>
            <w:shd w:val="clear" w:color="auto" w:fill="auto"/>
            <w:tcMar>
              <w:top w:w="113" w:type="dxa"/>
              <w:left w:w="170" w:type="dxa"/>
              <w:bottom w:w="113" w:type="dxa"/>
              <w:right w:w="170" w:type="dxa"/>
            </w:tcMar>
            <w:vAlign w:val="center"/>
          </w:tcPr>
          <w:p w14:paraId="6595EE2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保障采矿作业的安全性和资源回收率</w:t>
            </w:r>
          </w:p>
        </w:tc>
        <w:tc>
          <w:tcPr>
            <w:tcW w:w="867" w:type="pct"/>
            <w:shd w:val="clear" w:color="auto" w:fill="auto"/>
            <w:tcMar>
              <w:top w:w="113" w:type="dxa"/>
              <w:left w:w="170" w:type="dxa"/>
              <w:bottom w:w="113" w:type="dxa"/>
              <w:right w:w="170" w:type="dxa"/>
            </w:tcMar>
            <w:vAlign w:val="center"/>
          </w:tcPr>
          <w:p w14:paraId="3BB48E8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采矿设计系统、数值模拟系统的采矿方案设计、稳定性验证功能</w:t>
            </w:r>
          </w:p>
        </w:tc>
        <w:tc>
          <w:tcPr>
            <w:tcW w:w="832" w:type="pct"/>
            <w:shd w:val="clear" w:color="auto" w:fill="auto"/>
            <w:tcMar>
              <w:top w:w="113" w:type="dxa"/>
              <w:left w:w="170" w:type="dxa"/>
              <w:bottom w:w="113" w:type="dxa"/>
              <w:right w:w="170" w:type="dxa"/>
            </w:tcMar>
            <w:vAlign w:val="center"/>
          </w:tcPr>
          <w:p w14:paraId="6B84CCE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内网设计研发系统、采矿方案数据库、纸质设计图纸</w:t>
            </w:r>
          </w:p>
        </w:tc>
        <w:tc>
          <w:tcPr>
            <w:tcW w:w="282" w:type="pct"/>
            <w:shd w:val="clear" w:color="auto" w:fill="auto"/>
            <w:tcMar>
              <w:top w:w="113" w:type="dxa"/>
              <w:left w:w="170" w:type="dxa"/>
              <w:bottom w:w="113" w:type="dxa"/>
              <w:right w:w="170" w:type="dxa"/>
            </w:tcMar>
            <w:vAlign w:val="center"/>
          </w:tcPr>
          <w:p w14:paraId="12E61E7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5F47E16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58BE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778F3BE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重金属/稀有金属→采选→生产制造→过程控制</w:t>
            </w:r>
          </w:p>
        </w:tc>
        <w:tc>
          <w:tcPr>
            <w:tcW w:w="446" w:type="pct"/>
            <w:shd w:val="clear" w:color="auto" w:fill="auto"/>
            <w:tcMar>
              <w:top w:w="113" w:type="dxa"/>
              <w:left w:w="170" w:type="dxa"/>
              <w:bottom w:w="113" w:type="dxa"/>
              <w:right w:w="170" w:type="dxa"/>
            </w:tcMar>
            <w:vAlign w:val="center"/>
          </w:tcPr>
          <w:p w14:paraId="761AC7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采矿作业控制信息</w:t>
            </w:r>
          </w:p>
        </w:tc>
        <w:tc>
          <w:tcPr>
            <w:tcW w:w="263" w:type="pct"/>
            <w:shd w:val="clear" w:color="auto" w:fill="auto"/>
            <w:tcMar>
              <w:top w:w="113" w:type="dxa"/>
              <w:left w:w="170" w:type="dxa"/>
              <w:bottom w:w="113" w:type="dxa"/>
              <w:right w:w="170" w:type="dxa"/>
            </w:tcMar>
            <w:vAlign w:val="center"/>
          </w:tcPr>
          <w:p w14:paraId="43B3496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53" w:type="pct"/>
            <w:shd w:val="clear" w:color="auto" w:fill="auto"/>
            <w:tcMar>
              <w:top w:w="113" w:type="dxa"/>
              <w:left w:w="170" w:type="dxa"/>
              <w:bottom w:w="113" w:type="dxa"/>
              <w:right w:w="170" w:type="dxa"/>
            </w:tcMar>
            <w:vAlign w:val="center"/>
          </w:tcPr>
          <w:p w14:paraId="663DAA9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100GB-1TB/年</w:t>
            </w:r>
          </w:p>
        </w:tc>
        <w:tc>
          <w:tcPr>
            <w:tcW w:w="860" w:type="pct"/>
            <w:shd w:val="clear" w:color="auto" w:fill="auto"/>
            <w:tcMar>
              <w:top w:w="113" w:type="dxa"/>
              <w:left w:w="170" w:type="dxa"/>
              <w:bottom w:w="113" w:type="dxa"/>
              <w:right w:w="170" w:type="dxa"/>
            </w:tcMar>
            <w:vAlign w:val="center"/>
          </w:tcPr>
          <w:p w14:paraId="1CE8FA0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直接控制采矿作业流程，保障生产安全与连续性</w:t>
            </w:r>
          </w:p>
        </w:tc>
        <w:tc>
          <w:tcPr>
            <w:tcW w:w="867" w:type="pct"/>
            <w:shd w:val="clear" w:color="auto" w:fill="auto"/>
            <w:tcMar>
              <w:top w:w="113" w:type="dxa"/>
              <w:left w:w="170" w:type="dxa"/>
              <w:bottom w:w="113" w:type="dxa"/>
              <w:right w:w="170" w:type="dxa"/>
            </w:tcMar>
            <w:vAlign w:val="center"/>
          </w:tcPr>
          <w:p w14:paraId="37CB265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井下采矿控制系统、PLC系统的实时作业控制、安全联锁功能</w:t>
            </w:r>
          </w:p>
        </w:tc>
        <w:tc>
          <w:tcPr>
            <w:tcW w:w="832" w:type="pct"/>
            <w:shd w:val="clear" w:color="auto" w:fill="auto"/>
            <w:tcMar>
              <w:top w:w="113" w:type="dxa"/>
              <w:left w:w="170" w:type="dxa"/>
              <w:bottom w:w="113" w:type="dxa"/>
              <w:right w:w="170" w:type="dxa"/>
            </w:tcMar>
            <w:vAlign w:val="center"/>
          </w:tcPr>
          <w:p w14:paraId="15E9BF8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不与互联网连接的工业控制系统、实时数据采集服务器、本地控制终端</w:t>
            </w:r>
          </w:p>
        </w:tc>
        <w:tc>
          <w:tcPr>
            <w:tcW w:w="282" w:type="pct"/>
            <w:shd w:val="clear" w:color="auto" w:fill="auto"/>
            <w:tcMar>
              <w:top w:w="113" w:type="dxa"/>
              <w:left w:w="170" w:type="dxa"/>
              <w:bottom w:w="113" w:type="dxa"/>
              <w:right w:w="170" w:type="dxa"/>
            </w:tcMar>
            <w:vAlign w:val="center"/>
          </w:tcPr>
          <w:p w14:paraId="49E0CC7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71A5D9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本地实时冗余备份、异地每日增量备份、每周全量备份</w:t>
            </w:r>
          </w:p>
        </w:tc>
      </w:tr>
      <w:tr w14:paraId="673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775D75A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重金属/稀有金属→采选→生产制造→工况监测</w:t>
            </w:r>
          </w:p>
        </w:tc>
        <w:tc>
          <w:tcPr>
            <w:tcW w:w="446" w:type="pct"/>
            <w:shd w:val="clear" w:color="auto" w:fill="auto"/>
            <w:tcMar>
              <w:top w:w="113" w:type="dxa"/>
              <w:left w:w="170" w:type="dxa"/>
              <w:bottom w:w="113" w:type="dxa"/>
              <w:right w:w="170" w:type="dxa"/>
            </w:tcMar>
            <w:vAlign w:val="center"/>
          </w:tcPr>
          <w:p w14:paraId="05B6410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选矿工况状态数据</w:t>
            </w:r>
          </w:p>
        </w:tc>
        <w:tc>
          <w:tcPr>
            <w:tcW w:w="263" w:type="pct"/>
            <w:shd w:val="clear" w:color="auto" w:fill="auto"/>
            <w:tcMar>
              <w:top w:w="113" w:type="dxa"/>
              <w:left w:w="170" w:type="dxa"/>
              <w:bottom w:w="113" w:type="dxa"/>
              <w:right w:w="170" w:type="dxa"/>
            </w:tcMar>
            <w:vAlign w:val="center"/>
          </w:tcPr>
          <w:p w14:paraId="7A00DEB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5DD8FC1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50GB-500GB/年</w:t>
            </w:r>
          </w:p>
        </w:tc>
        <w:tc>
          <w:tcPr>
            <w:tcW w:w="860" w:type="pct"/>
            <w:shd w:val="clear" w:color="auto" w:fill="auto"/>
            <w:tcMar>
              <w:top w:w="113" w:type="dxa"/>
              <w:left w:w="170" w:type="dxa"/>
              <w:bottom w:w="113" w:type="dxa"/>
              <w:right w:w="170" w:type="dxa"/>
            </w:tcMar>
            <w:vAlign w:val="center"/>
          </w:tcPr>
          <w:p w14:paraId="0440D14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判断选矿生产是否稳定，及时发现和处理生产异常</w:t>
            </w:r>
          </w:p>
        </w:tc>
        <w:tc>
          <w:tcPr>
            <w:tcW w:w="867" w:type="pct"/>
            <w:shd w:val="clear" w:color="auto" w:fill="auto"/>
            <w:tcMar>
              <w:top w:w="113" w:type="dxa"/>
              <w:left w:w="170" w:type="dxa"/>
              <w:bottom w:w="113" w:type="dxa"/>
              <w:right w:w="170" w:type="dxa"/>
            </w:tcMar>
            <w:vAlign w:val="center"/>
          </w:tcPr>
          <w:p w14:paraId="39D3304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选矿生产监控系统、SCADA系统的实时工况监测、异常预警功能</w:t>
            </w:r>
          </w:p>
        </w:tc>
        <w:tc>
          <w:tcPr>
            <w:tcW w:w="832" w:type="pct"/>
            <w:shd w:val="clear" w:color="auto" w:fill="auto"/>
            <w:tcMar>
              <w:top w:w="113" w:type="dxa"/>
              <w:left w:w="170" w:type="dxa"/>
              <w:bottom w:w="113" w:type="dxa"/>
              <w:right w:w="170" w:type="dxa"/>
            </w:tcMar>
            <w:vAlign w:val="center"/>
          </w:tcPr>
          <w:p w14:paraId="5AEB914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内网生产监控系统、SCADA数据服务器、现场传感器终端</w:t>
            </w:r>
          </w:p>
        </w:tc>
        <w:tc>
          <w:tcPr>
            <w:tcW w:w="282" w:type="pct"/>
            <w:shd w:val="clear" w:color="auto" w:fill="auto"/>
            <w:tcMar>
              <w:top w:w="113" w:type="dxa"/>
              <w:left w:w="170" w:type="dxa"/>
              <w:bottom w:w="113" w:type="dxa"/>
              <w:right w:w="170" w:type="dxa"/>
            </w:tcMar>
            <w:vAlign w:val="center"/>
          </w:tcPr>
          <w:p w14:paraId="1B5C15D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3A50753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936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731A74C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重金属/稀有金属→采选→生产制造→工艺参数</w:t>
            </w:r>
          </w:p>
        </w:tc>
        <w:tc>
          <w:tcPr>
            <w:tcW w:w="446" w:type="pct"/>
            <w:shd w:val="clear" w:color="auto" w:fill="auto"/>
            <w:tcMar>
              <w:top w:w="113" w:type="dxa"/>
              <w:left w:w="170" w:type="dxa"/>
              <w:bottom w:w="113" w:type="dxa"/>
              <w:right w:w="170" w:type="dxa"/>
            </w:tcMar>
            <w:vAlign w:val="center"/>
          </w:tcPr>
          <w:p w14:paraId="741A1C2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关键工艺参数</w:t>
            </w:r>
          </w:p>
        </w:tc>
        <w:tc>
          <w:tcPr>
            <w:tcW w:w="263" w:type="pct"/>
            <w:shd w:val="clear" w:color="auto" w:fill="auto"/>
            <w:tcMar>
              <w:top w:w="113" w:type="dxa"/>
              <w:left w:w="170" w:type="dxa"/>
              <w:bottom w:w="113" w:type="dxa"/>
              <w:right w:w="170" w:type="dxa"/>
            </w:tcMar>
            <w:vAlign w:val="center"/>
          </w:tcPr>
          <w:p w14:paraId="760780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694D7F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5-50GB/年</w:t>
            </w:r>
          </w:p>
        </w:tc>
        <w:tc>
          <w:tcPr>
            <w:tcW w:w="860" w:type="pct"/>
            <w:shd w:val="clear" w:color="auto" w:fill="auto"/>
            <w:tcMar>
              <w:top w:w="113" w:type="dxa"/>
              <w:left w:w="170" w:type="dxa"/>
              <w:bottom w:w="113" w:type="dxa"/>
              <w:right w:w="170" w:type="dxa"/>
            </w:tcMar>
            <w:vAlign w:val="center"/>
          </w:tcPr>
          <w:p w14:paraId="2BA926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决定产品质量与资源利用率，是采选企业生产的核心指标</w:t>
            </w:r>
          </w:p>
        </w:tc>
        <w:tc>
          <w:tcPr>
            <w:tcW w:w="867" w:type="pct"/>
            <w:shd w:val="clear" w:color="auto" w:fill="auto"/>
            <w:tcMar>
              <w:top w:w="113" w:type="dxa"/>
              <w:left w:w="170" w:type="dxa"/>
              <w:bottom w:w="113" w:type="dxa"/>
              <w:right w:w="170" w:type="dxa"/>
            </w:tcMar>
            <w:vAlign w:val="center"/>
          </w:tcPr>
          <w:p w14:paraId="24E119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生产管理系统、工艺优化系统的参数管控、指标分析功能</w:t>
            </w:r>
          </w:p>
        </w:tc>
        <w:tc>
          <w:tcPr>
            <w:tcW w:w="832" w:type="pct"/>
            <w:shd w:val="clear" w:color="auto" w:fill="auto"/>
            <w:tcMar>
              <w:top w:w="113" w:type="dxa"/>
              <w:left w:w="170" w:type="dxa"/>
              <w:bottom w:w="113" w:type="dxa"/>
              <w:right w:w="170" w:type="dxa"/>
            </w:tcMar>
            <w:vAlign w:val="center"/>
          </w:tcPr>
          <w:p w14:paraId="08DAFD3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内网生产管理数据库、工艺参数档案、纸质指标文件</w:t>
            </w:r>
          </w:p>
        </w:tc>
        <w:tc>
          <w:tcPr>
            <w:tcW w:w="282" w:type="pct"/>
            <w:shd w:val="clear" w:color="auto" w:fill="auto"/>
            <w:tcMar>
              <w:top w:w="113" w:type="dxa"/>
              <w:left w:w="170" w:type="dxa"/>
              <w:bottom w:w="113" w:type="dxa"/>
              <w:right w:w="170" w:type="dxa"/>
            </w:tcMar>
            <w:vAlign w:val="center"/>
          </w:tcPr>
          <w:p w14:paraId="1DFB904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C8182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7EBC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B5AFF2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重金属/稀有金属→采选→生产制造→系统运维</w:t>
            </w:r>
          </w:p>
        </w:tc>
        <w:tc>
          <w:tcPr>
            <w:tcW w:w="446" w:type="pct"/>
            <w:shd w:val="clear" w:color="auto" w:fill="auto"/>
            <w:tcMar>
              <w:top w:w="113" w:type="dxa"/>
              <w:left w:w="170" w:type="dxa"/>
              <w:bottom w:w="113" w:type="dxa"/>
              <w:right w:w="170" w:type="dxa"/>
            </w:tcMar>
            <w:vAlign w:val="center"/>
          </w:tcPr>
          <w:p w14:paraId="3EC3E1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生产系统运行日志</w:t>
            </w:r>
          </w:p>
        </w:tc>
        <w:tc>
          <w:tcPr>
            <w:tcW w:w="263" w:type="pct"/>
            <w:shd w:val="clear" w:color="auto" w:fill="auto"/>
            <w:tcMar>
              <w:top w:w="113" w:type="dxa"/>
              <w:left w:w="170" w:type="dxa"/>
              <w:bottom w:w="113" w:type="dxa"/>
              <w:right w:w="170" w:type="dxa"/>
            </w:tcMar>
            <w:vAlign w:val="center"/>
          </w:tcPr>
          <w:p w14:paraId="79A18E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20276C4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10-100GB/年</w:t>
            </w:r>
          </w:p>
        </w:tc>
        <w:tc>
          <w:tcPr>
            <w:tcW w:w="860" w:type="pct"/>
            <w:shd w:val="clear" w:color="auto" w:fill="auto"/>
            <w:tcMar>
              <w:top w:w="113" w:type="dxa"/>
              <w:left w:w="170" w:type="dxa"/>
              <w:bottom w:w="113" w:type="dxa"/>
              <w:right w:w="170" w:type="dxa"/>
            </w:tcMar>
            <w:vAlign w:val="center"/>
          </w:tcPr>
          <w:p w14:paraId="6FCC51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用于故障追溯和系统维护</w:t>
            </w:r>
          </w:p>
        </w:tc>
        <w:tc>
          <w:tcPr>
            <w:tcW w:w="867" w:type="pct"/>
            <w:shd w:val="clear" w:color="auto" w:fill="auto"/>
            <w:tcMar>
              <w:top w:w="113" w:type="dxa"/>
              <w:left w:w="170" w:type="dxa"/>
              <w:bottom w:w="113" w:type="dxa"/>
              <w:right w:w="170" w:type="dxa"/>
            </w:tcMar>
            <w:vAlign w:val="center"/>
          </w:tcPr>
          <w:p w14:paraId="27633C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系统运维平台、故障管理系统的日志查询、故障追溯功能</w:t>
            </w:r>
          </w:p>
        </w:tc>
        <w:tc>
          <w:tcPr>
            <w:tcW w:w="832" w:type="pct"/>
            <w:shd w:val="clear" w:color="auto" w:fill="auto"/>
            <w:tcMar>
              <w:top w:w="113" w:type="dxa"/>
              <w:left w:w="170" w:type="dxa"/>
              <w:bottom w:w="113" w:type="dxa"/>
              <w:right w:w="170" w:type="dxa"/>
            </w:tcMar>
            <w:vAlign w:val="center"/>
          </w:tcPr>
          <w:p w14:paraId="0C10310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内网运维管理系统、系统日志服务器、纸质运维记录</w:t>
            </w:r>
          </w:p>
        </w:tc>
        <w:tc>
          <w:tcPr>
            <w:tcW w:w="282" w:type="pct"/>
            <w:shd w:val="clear" w:color="auto" w:fill="auto"/>
            <w:tcMar>
              <w:top w:w="113" w:type="dxa"/>
              <w:left w:w="170" w:type="dxa"/>
              <w:bottom w:w="113" w:type="dxa"/>
              <w:right w:w="170" w:type="dxa"/>
            </w:tcMar>
            <w:vAlign w:val="center"/>
          </w:tcPr>
          <w:p w14:paraId="25E93A9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2BBB3B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257D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429C747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重金属/稀有金属→采选→生产制造→设备运维</w:t>
            </w:r>
          </w:p>
        </w:tc>
        <w:tc>
          <w:tcPr>
            <w:tcW w:w="446" w:type="pct"/>
            <w:shd w:val="clear" w:color="auto" w:fill="auto"/>
            <w:tcMar>
              <w:top w:w="113" w:type="dxa"/>
              <w:left w:w="170" w:type="dxa"/>
              <w:bottom w:w="113" w:type="dxa"/>
              <w:right w:w="170" w:type="dxa"/>
            </w:tcMar>
            <w:vAlign w:val="center"/>
          </w:tcPr>
          <w:p w14:paraId="38BDEA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设备运维记录数据</w:t>
            </w:r>
          </w:p>
        </w:tc>
        <w:tc>
          <w:tcPr>
            <w:tcW w:w="263" w:type="pct"/>
            <w:shd w:val="clear" w:color="auto" w:fill="auto"/>
            <w:tcMar>
              <w:top w:w="113" w:type="dxa"/>
              <w:left w:w="170" w:type="dxa"/>
              <w:bottom w:w="113" w:type="dxa"/>
              <w:right w:w="170" w:type="dxa"/>
            </w:tcMar>
            <w:vAlign w:val="center"/>
          </w:tcPr>
          <w:p w14:paraId="3D02080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42E7E24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860" w:type="pct"/>
            <w:shd w:val="clear" w:color="auto" w:fill="auto"/>
            <w:tcMar>
              <w:top w:w="113" w:type="dxa"/>
              <w:left w:w="170" w:type="dxa"/>
              <w:bottom w:w="113" w:type="dxa"/>
              <w:right w:w="170" w:type="dxa"/>
            </w:tcMar>
            <w:vAlign w:val="center"/>
          </w:tcPr>
          <w:p w14:paraId="553CBA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保障设备的可靠性和使用寿命，保障生产连续稳定运行</w:t>
            </w:r>
          </w:p>
        </w:tc>
        <w:tc>
          <w:tcPr>
            <w:tcW w:w="867" w:type="pct"/>
            <w:shd w:val="clear" w:color="auto" w:fill="auto"/>
            <w:tcMar>
              <w:top w:w="113" w:type="dxa"/>
              <w:left w:w="170" w:type="dxa"/>
              <w:bottom w:w="113" w:type="dxa"/>
              <w:right w:w="170" w:type="dxa"/>
            </w:tcMar>
            <w:vAlign w:val="center"/>
          </w:tcPr>
          <w:p w14:paraId="602C56B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设备管理系统、EAM系统的设备运维、备件管理、寿命预测功能</w:t>
            </w:r>
          </w:p>
        </w:tc>
        <w:tc>
          <w:tcPr>
            <w:tcW w:w="832" w:type="pct"/>
            <w:shd w:val="clear" w:color="auto" w:fill="auto"/>
            <w:tcMar>
              <w:top w:w="113" w:type="dxa"/>
              <w:left w:w="170" w:type="dxa"/>
              <w:bottom w:w="113" w:type="dxa"/>
              <w:right w:w="170" w:type="dxa"/>
            </w:tcMar>
            <w:vAlign w:val="center"/>
          </w:tcPr>
          <w:p w14:paraId="6538C7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内网设备管理数据库、运维记录档案、纸质维修单据</w:t>
            </w:r>
          </w:p>
        </w:tc>
        <w:tc>
          <w:tcPr>
            <w:tcW w:w="282" w:type="pct"/>
            <w:shd w:val="clear" w:color="auto" w:fill="auto"/>
            <w:tcMar>
              <w:top w:w="113" w:type="dxa"/>
              <w:left w:w="170" w:type="dxa"/>
              <w:bottom w:w="113" w:type="dxa"/>
              <w:right w:w="170" w:type="dxa"/>
            </w:tcMar>
            <w:vAlign w:val="center"/>
          </w:tcPr>
          <w:p w14:paraId="2C9BDC4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2B44283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A28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53A795F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重金属/稀有金属→采选→生产制造→物流调度</w:t>
            </w:r>
          </w:p>
        </w:tc>
        <w:tc>
          <w:tcPr>
            <w:tcW w:w="446" w:type="pct"/>
            <w:shd w:val="clear" w:color="auto" w:fill="auto"/>
            <w:tcMar>
              <w:top w:w="113" w:type="dxa"/>
              <w:left w:w="170" w:type="dxa"/>
              <w:bottom w:w="113" w:type="dxa"/>
              <w:right w:w="170" w:type="dxa"/>
            </w:tcMar>
            <w:vAlign w:val="center"/>
          </w:tcPr>
          <w:p w14:paraId="4275F60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矿山物流调度数据</w:t>
            </w:r>
          </w:p>
        </w:tc>
        <w:tc>
          <w:tcPr>
            <w:tcW w:w="263" w:type="pct"/>
            <w:shd w:val="clear" w:color="auto" w:fill="auto"/>
            <w:tcMar>
              <w:top w:w="113" w:type="dxa"/>
              <w:left w:w="170" w:type="dxa"/>
              <w:bottom w:w="113" w:type="dxa"/>
              <w:right w:w="170" w:type="dxa"/>
            </w:tcMar>
            <w:vAlign w:val="center"/>
          </w:tcPr>
          <w:p w14:paraId="2290BB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67A9661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500MB-2GB/年</w:t>
            </w:r>
          </w:p>
        </w:tc>
        <w:tc>
          <w:tcPr>
            <w:tcW w:w="860" w:type="pct"/>
            <w:shd w:val="clear" w:color="auto" w:fill="auto"/>
            <w:tcMar>
              <w:top w:w="113" w:type="dxa"/>
              <w:left w:w="170" w:type="dxa"/>
              <w:bottom w:w="113" w:type="dxa"/>
              <w:right w:w="170" w:type="dxa"/>
            </w:tcMar>
            <w:vAlign w:val="center"/>
          </w:tcPr>
          <w:p w14:paraId="21CD600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反映矿山物流的效率和合理性</w:t>
            </w:r>
          </w:p>
        </w:tc>
        <w:tc>
          <w:tcPr>
            <w:tcW w:w="867" w:type="pct"/>
            <w:shd w:val="clear" w:color="auto" w:fill="auto"/>
            <w:tcMar>
              <w:top w:w="113" w:type="dxa"/>
              <w:left w:w="170" w:type="dxa"/>
              <w:bottom w:w="113" w:type="dxa"/>
              <w:right w:w="170" w:type="dxa"/>
            </w:tcMar>
            <w:vAlign w:val="center"/>
          </w:tcPr>
          <w:p w14:paraId="3EF91C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物流调度系统、运输管理系统的路线规划、转运管控功能</w:t>
            </w:r>
          </w:p>
        </w:tc>
        <w:tc>
          <w:tcPr>
            <w:tcW w:w="832" w:type="pct"/>
            <w:shd w:val="clear" w:color="auto" w:fill="auto"/>
            <w:tcMar>
              <w:top w:w="113" w:type="dxa"/>
              <w:left w:w="170" w:type="dxa"/>
              <w:bottom w:w="113" w:type="dxa"/>
              <w:right w:w="170" w:type="dxa"/>
            </w:tcMar>
            <w:vAlign w:val="center"/>
          </w:tcPr>
          <w:p w14:paraId="2CEA61D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内网物流管理系统、运输调度数据库、纸质调度记录</w:t>
            </w:r>
          </w:p>
        </w:tc>
        <w:tc>
          <w:tcPr>
            <w:tcW w:w="282" w:type="pct"/>
            <w:shd w:val="clear" w:color="auto" w:fill="auto"/>
            <w:tcMar>
              <w:top w:w="113" w:type="dxa"/>
              <w:left w:w="170" w:type="dxa"/>
              <w:bottom w:w="113" w:type="dxa"/>
              <w:right w:w="170" w:type="dxa"/>
            </w:tcMar>
            <w:vAlign w:val="center"/>
          </w:tcPr>
          <w:p w14:paraId="2B29D1D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7B7D564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6F3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07C6016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重金属/稀有金属→采选→安全生产→尾矿库运维</w:t>
            </w:r>
          </w:p>
        </w:tc>
        <w:tc>
          <w:tcPr>
            <w:tcW w:w="446" w:type="pct"/>
            <w:shd w:val="clear" w:color="auto" w:fill="auto"/>
            <w:tcMar>
              <w:top w:w="113" w:type="dxa"/>
              <w:left w:w="170" w:type="dxa"/>
              <w:bottom w:w="113" w:type="dxa"/>
              <w:right w:w="170" w:type="dxa"/>
            </w:tcMar>
            <w:vAlign w:val="center"/>
          </w:tcPr>
          <w:p w14:paraId="168A74A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尾矿库运维数据</w:t>
            </w:r>
          </w:p>
        </w:tc>
        <w:tc>
          <w:tcPr>
            <w:tcW w:w="263" w:type="pct"/>
            <w:shd w:val="clear" w:color="auto" w:fill="auto"/>
            <w:tcMar>
              <w:top w:w="113" w:type="dxa"/>
              <w:left w:w="170" w:type="dxa"/>
              <w:bottom w:w="113" w:type="dxa"/>
              <w:right w:w="170" w:type="dxa"/>
            </w:tcMar>
            <w:vAlign w:val="center"/>
          </w:tcPr>
          <w:p w14:paraId="34849FA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53" w:type="pct"/>
            <w:shd w:val="clear" w:color="auto" w:fill="auto"/>
            <w:tcMar>
              <w:top w:w="113" w:type="dxa"/>
              <w:left w:w="170" w:type="dxa"/>
              <w:bottom w:w="113" w:type="dxa"/>
              <w:right w:w="170" w:type="dxa"/>
            </w:tcMar>
            <w:vAlign w:val="center"/>
          </w:tcPr>
          <w:p w14:paraId="2E75A68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2-10GB/年</w:t>
            </w:r>
          </w:p>
        </w:tc>
        <w:tc>
          <w:tcPr>
            <w:tcW w:w="860" w:type="pct"/>
            <w:shd w:val="clear" w:color="auto" w:fill="auto"/>
            <w:tcMar>
              <w:top w:w="113" w:type="dxa"/>
              <w:left w:w="170" w:type="dxa"/>
              <w:bottom w:w="113" w:type="dxa"/>
              <w:right w:w="170" w:type="dxa"/>
            </w:tcMar>
            <w:vAlign w:val="center"/>
          </w:tcPr>
          <w:p w14:paraId="0E7E1B6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直接关系尾矿库的安全，避免发生溃坝等重大安全事故</w:t>
            </w:r>
          </w:p>
        </w:tc>
        <w:tc>
          <w:tcPr>
            <w:tcW w:w="867" w:type="pct"/>
            <w:shd w:val="clear" w:color="auto" w:fill="auto"/>
            <w:tcMar>
              <w:top w:w="113" w:type="dxa"/>
              <w:left w:w="170" w:type="dxa"/>
              <w:bottom w:w="113" w:type="dxa"/>
              <w:right w:w="170" w:type="dxa"/>
            </w:tcMar>
            <w:vAlign w:val="center"/>
          </w:tcPr>
          <w:p w14:paraId="547534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尾矿库安全监测系统、环保管理系统的坝体安全监测、渗流管控功能</w:t>
            </w:r>
          </w:p>
        </w:tc>
        <w:tc>
          <w:tcPr>
            <w:tcW w:w="832" w:type="pct"/>
            <w:shd w:val="clear" w:color="auto" w:fill="auto"/>
            <w:tcMar>
              <w:top w:w="113" w:type="dxa"/>
              <w:left w:w="170" w:type="dxa"/>
              <w:bottom w:w="113" w:type="dxa"/>
              <w:right w:w="170" w:type="dxa"/>
            </w:tcMar>
            <w:vAlign w:val="center"/>
          </w:tcPr>
          <w:p w14:paraId="17ABA2A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不与互联网连接的内网安全监测系统、实时数据采集服务器、纸质监测记录</w:t>
            </w:r>
          </w:p>
        </w:tc>
        <w:tc>
          <w:tcPr>
            <w:tcW w:w="282" w:type="pct"/>
            <w:shd w:val="clear" w:color="auto" w:fill="auto"/>
            <w:tcMar>
              <w:top w:w="113" w:type="dxa"/>
              <w:left w:w="170" w:type="dxa"/>
              <w:bottom w:w="113" w:type="dxa"/>
              <w:right w:w="170" w:type="dxa"/>
            </w:tcMar>
            <w:vAlign w:val="center"/>
          </w:tcPr>
          <w:p w14:paraId="4B922EB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4B97BD1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本地实时冗余备份、异地每日增量备份、每周全量备份</w:t>
            </w:r>
          </w:p>
        </w:tc>
      </w:tr>
      <w:tr w14:paraId="332E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361C9A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重金属/稀有金属→采选→经营管理→资源储备</w:t>
            </w:r>
          </w:p>
        </w:tc>
        <w:tc>
          <w:tcPr>
            <w:tcW w:w="446" w:type="pct"/>
            <w:shd w:val="clear" w:color="auto" w:fill="auto"/>
            <w:tcMar>
              <w:top w:w="113" w:type="dxa"/>
              <w:left w:w="170" w:type="dxa"/>
              <w:bottom w:w="113" w:type="dxa"/>
              <w:right w:w="170" w:type="dxa"/>
            </w:tcMar>
            <w:vAlign w:val="center"/>
          </w:tcPr>
          <w:p w14:paraId="49D9494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矿产资源储备数据</w:t>
            </w:r>
          </w:p>
        </w:tc>
        <w:tc>
          <w:tcPr>
            <w:tcW w:w="263" w:type="pct"/>
            <w:shd w:val="clear" w:color="auto" w:fill="auto"/>
            <w:tcMar>
              <w:top w:w="113" w:type="dxa"/>
              <w:left w:w="170" w:type="dxa"/>
              <w:bottom w:w="113" w:type="dxa"/>
              <w:right w:w="170" w:type="dxa"/>
            </w:tcMar>
            <w:vAlign w:val="center"/>
          </w:tcPr>
          <w:p w14:paraId="6C1C092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核心数据</w:t>
            </w:r>
          </w:p>
        </w:tc>
        <w:tc>
          <w:tcPr>
            <w:tcW w:w="353" w:type="pct"/>
            <w:shd w:val="clear" w:color="auto" w:fill="auto"/>
            <w:tcMar>
              <w:top w:w="113" w:type="dxa"/>
              <w:left w:w="170" w:type="dxa"/>
              <w:bottom w:w="113" w:type="dxa"/>
              <w:right w:w="170" w:type="dxa"/>
            </w:tcMar>
            <w:vAlign w:val="center"/>
          </w:tcPr>
          <w:p w14:paraId="345B20E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5-30GB</w:t>
            </w:r>
          </w:p>
        </w:tc>
        <w:tc>
          <w:tcPr>
            <w:tcW w:w="860" w:type="pct"/>
            <w:shd w:val="clear" w:color="auto" w:fill="auto"/>
            <w:tcMar>
              <w:top w:w="113" w:type="dxa"/>
              <w:left w:w="170" w:type="dxa"/>
              <w:bottom w:w="113" w:type="dxa"/>
              <w:right w:w="170" w:type="dxa"/>
            </w:tcMar>
            <w:vAlign w:val="center"/>
          </w:tcPr>
          <w:p w14:paraId="10592AB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企业可持续生产的基础，关系国家资源安全和企业长远发展</w:t>
            </w:r>
          </w:p>
        </w:tc>
        <w:tc>
          <w:tcPr>
            <w:tcW w:w="867" w:type="pct"/>
            <w:shd w:val="clear" w:color="auto" w:fill="auto"/>
            <w:tcMar>
              <w:top w:w="113" w:type="dxa"/>
              <w:left w:w="170" w:type="dxa"/>
              <w:bottom w:w="113" w:type="dxa"/>
              <w:right w:w="170" w:type="dxa"/>
            </w:tcMar>
            <w:vAlign w:val="center"/>
          </w:tcPr>
          <w:p w14:paraId="02F2410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企业资源规划系统、战略管理系统的储量管理、开采规划功能</w:t>
            </w:r>
          </w:p>
        </w:tc>
        <w:tc>
          <w:tcPr>
            <w:tcW w:w="832" w:type="pct"/>
            <w:shd w:val="clear" w:color="auto" w:fill="auto"/>
            <w:tcMar>
              <w:top w:w="113" w:type="dxa"/>
              <w:left w:w="170" w:type="dxa"/>
              <w:bottom w:w="113" w:type="dxa"/>
              <w:right w:w="170" w:type="dxa"/>
            </w:tcMar>
            <w:vAlign w:val="center"/>
          </w:tcPr>
          <w:p w14:paraId="44451C4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不与互联网连接的内网核心数据库、纸质资源储量报告、权证文件</w:t>
            </w:r>
          </w:p>
        </w:tc>
        <w:tc>
          <w:tcPr>
            <w:tcW w:w="282" w:type="pct"/>
            <w:shd w:val="clear" w:color="auto" w:fill="auto"/>
            <w:tcMar>
              <w:top w:w="113" w:type="dxa"/>
              <w:left w:w="170" w:type="dxa"/>
              <w:bottom w:w="113" w:type="dxa"/>
              <w:right w:w="170" w:type="dxa"/>
            </w:tcMar>
            <w:vAlign w:val="center"/>
          </w:tcPr>
          <w:p w14:paraId="1D20733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25C227E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本地每日全量备份、异地实时冗余备份、云端每月归档备份</w:t>
            </w:r>
          </w:p>
        </w:tc>
      </w:tr>
      <w:tr w14:paraId="2CA6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18A20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重金属/稀有金属→采选→经营管理→物资储备</w:t>
            </w:r>
          </w:p>
        </w:tc>
        <w:tc>
          <w:tcPr>
            <w:tcW w:w="446" w:type="pct"/>
            <w:shd w:val="clear" w:color="auto" w:fill="auto"/>
            <w:tcMar>
              <w:top w:w="113" w:type="dxa"/>
              <w:left w:w="170" w:type="dxa"/>
              <w:bottom w:w="113" w:type="dxa"/>
              <w:right w:w="170" w:type="dxa"/>
            </w:tcMar>
            <w:vAlign w:val="center"/>
          </w:tcPr>
          <w:p w14:paraId="61947F5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生产物资储备数据</w:t>
            </w:r>
          </w:p>
        </w:tc>
        <w:tc>
          <w:tcPr>
            <w:tcW w:w="263" w:type="pct"/>
            <w:shd w:val="clear" w:color="auto" w:fill="auto"/>
            <w:tcMar>
              <w:top w:w="113" w:type="dxa"/>
              <w:left w:w="170" w:type="dxa"/>
              <w:bottom w:w="113" w:type="dxa"/>
              <w:right w:w="170" w:type="dxa"/>
            </w:tcMar>
            <w:vAlign w:val="center"/>
          </w:tcPr>
          <w:p w14:paraId="1CC9C5B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2B02227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1-10GB</w:t>
            </w:r>
          </w:p>
        </w:tc>
        <w:tc>
          <w:tcPr>
            <w:tcW w:w="860" w:type="pct"/>
            <w:shd w:val="clear" w:color="auto" w:fill="auto"/>
            <w:tcMar>
              <w:top w:w="113" w:type="dxa"/>
              <w:left w:w="170" w:type="dxa"/>
              <w:bottom w:w="113" w:type="dxa"/>
              <w:right w:w="170" w:type="dxa"/>
            </w:tcMar>
            <w:vAlign w:val="center"/>
          </w:tcPr>
          <w:p w14:paraId="5D8EF45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保障生产的连续性和应对突发情况的能力</w:t>
            </w:r>
          </w:p>
        </w:tc>
        <w:tc>
          <w:tcPr>
            <w:tcW w:w="867" w:type="pct"/>
            <w:shd w:val="clear" w:color="auto" w:fill="auto"/>
            <w:tcMar>
              <w:top w:w="113" w:type="dxa"/>
              <w:left w:w="170" w:type="dxa"/>
              <w:bottom w:w="113" w:type="dxa"/>
              <w:right w:w="170" w:type="dxa"/>
            </w:tcMar>
            <w:vAlign w:val="center"/>
          </w:tcPr>
          <w:p w14:paraId="608771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仓储管理系统、ERP系统的库存管理、物资储备管控功能</w:t>
            </w:r>
          </w:p>
        </w:tc>
        <w:tc>
          <w:tcPr>
            <w:tcW w:w="832" w:type="pct"/>
            <w:shd w:val="clear" w:color="auto" w:fill="auto"/>
            <w:tcMar>
              <w:top w:w="113" w:type="dxa"/>
              <w:left w:w="170" w:type="dxa"/>
              <w:bottom w:w="113" w:type="dxa"/>
              <w:right w:w="170" w:type="dxa"/>
            </w:tcMar>
            <w:vAlign w:val="center"/>
          </w:tcPr>
          <w:p w14:paraId="3C942D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内网ERP系统、仓储管理数据库、纸质库存台账</w:t>
            </w:r>
          </w:p>
        </w:tc>
        <w:tc>
          <w:tcPr>
            <w:tcW w:w="282" w:type="pct"/>
            <w:shd w:val="clear" w:color="auto" w:fill="auto"/>
            <w:tcMar>
              <w:top w:w="113" w:type="dxa"/>
              <w:left w:w="170" w:type="dxa"/>
              <w:bottom w:w="113" w:type="dxa"/>
              <w:right w:w="170" w:type="dxa"/>
            </w:tcMar>
            <w:vAlign w:val="center"/>
          </w:tcPr>
          <w:p w14:paraId="6AEC60B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3FCEA4F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D1A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0111BC2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重金属/稀有金属→采选→经营管理→资产管理</w:t>
            </w:r>
          </w:p>
        </w:tc>
        <w:tc>
          <w:tcPr>
            <w:tcW w:w="446" w:type="pct"/>
            <w:shd w:val="clear" w:color="auto" w:fill="auto"/>
            <w:tcMar>
              <w:top w:w="113" w:type="dxa"/>
              <w:left w:w="170" w:type="dxa"/>
              <w:bottom w:w="113" w:type="dxa"/>
              <w:right w:w="170" w:type="dxa"/>
            </w:tcMar>
            <w:vAlign w:val="center"/>
          </w:tcPr>
          <w:p w14:paraId="51DADB8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矿山资产台账数据</w:t>
            </w:r>
          </w:p>
        </w:tc>
        <w:tc>
          <w:tcPr>
            <w:tcW w:w="263" w:type="pct"/>
            <w:shd w:val="clear" w:color="auto" w:fill="auto"/>
            <w:tcMar>
              <w:top w:w="113" w:type="dxa"/>
              <w:left w:w="170" w:type="dxa"/>
              <w:bottom w:w="113" w:type="dxa"/>
              <w:right w:w="170" w:type="dxa"/>
            </w:tcMar>
            <w:vAlign w:val="center"/>
          </w:tcPr>
          <w:p w14:paraId="2ED0583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59EAA28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w:t>
            </w:r>
          </w:p>
        </w:tc>
        <w:tc>
          <w:tcPr>
            <w:tcW w:w="860" w:type="pct"/>
            <w:shd w:val="clear" w:color="auto" w:fill="auto"/>
            <w:tcMar>
              <w:top w:w="113" w:type="dxa"/>
              <w:left w:w="170" w:type="dxa"/>
              <w:bottom w:w="113" w:type="dxa"/>
              <w:right w:w="170" w:type="dxa"/>
            </w:tcMar>
            <w:vAlign w:val="center"/>
          </w:tcPr>
          <w:p w14:paraId="11122FE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企业合法运营的基础，关系企业的权益和生存发展</w:t>
            </w:r>
          </w:p>
        </w:tc>
        <w:tc>
          <w:tcPr>
            <w:tcW w:w="867" w:type="pct"/>
            <w:shd w:val="clear" w:color="auto" w:fill="auto"/>
            <w:tcMar>
              <w:top w:w="113" w:type="dxa"/>
              <w:left w:w="170" w:type="dxa"/>
              <w:bottom w:w="113" w:type="dxa"/>
              <w:right w:w="170" w:type="dxa"/>
            </w:tcMar>
            <w:vAlign w:val="center"/>
          </w:tcPr>
          <w:p w14:paraId="3574F6B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资产管理系统、法务管理系统的资产台账、权证管理功能</w:t>
            </w:r>
          </w:p>
        </w:tc>
        <w:tc>
          <w:tcPr>
            <w:tcW w:w="832" w:type="pct"/>
            <w:shd w:val="clear" w:color="auto" w:fill="auto"/>
            <w:tcMar>
              <w:top w:w="113" w:type="dxa"/>
              <w:left w:w="170" w:type="dxa"/>
              <w:bottom w:w="113" w:type="dxa"/>
              <w:right w:w="170" w:type="dxa"/>
            </w:tcMar>
            <w:vAlign w:val="center"/>
          </w:tcPr>
          <w:p w14:paraId="038019B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内网资产管理数据库、纸质权证文件、资产台账档案</w:t>
            </w:r>
          </w:p>
        </w:tc>
        <w:tc>
          <w:tcPr>
            <w:tcW w:w="282" w:type="pct"/>
            <w:shd w:val="clear" w:color="auto" w:fill="auto"/>
            <w:tcMar>
              <w:top w:w="113" w:type="dxa"/>
              <w:left w:w="170" w:type="dxa"/>
              <w:bottom w:w="113" w:type="dxa"/>
              <w:right w:w="170" w:type="dxa"/>
            </w:tcMar>
            <w:vAlign w:val="center"/>
          </w:tcPr>
          <w:p w14:paraId="6EB9915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3461047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1BA5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E0975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重金属/稀有金属→采选→安全生产→安全管理</w:t>
            </w:r>
          </w:p>
        </w:tc>
        <w:tc>
          <w:tcPr>
            <w:tcW w:w="446" w:type="pct"/>
            <w:shd w:val="clear" w:color="auto" w:fill="auto"/>
            <w:tcMar>
              <w:top w:w="113" w:type="dxa"/>
              <w:left w:w="170" w:type="dxa"/>
              <w:bottom w:w="113" w:type="dxa"/>
              <w:right w:w="170" w:type="dxa"/>
            </w:tcMar>
            <w:vAlign w:val="center"/>
          </w:tcPr>
          <w:p w14:paraId="105675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安全生产管理数据</w:t>
            </w:r>
          </w:p>
        </w:tc>
        <w:tc>
          <w:tcPr>
            <w:tcW w:w="263" w:type="pct"/>
            <w:shd w:val="clear" w:color="auto" w:fill="auto"/>
            <w:tcMar>
              <w:top w:w="113" w:type="dxa"/>
              <w:left w:w="170" w:type="dxa"/>
              <w:bottom w:w="113" w:type="dxa"/>
              <w:right w:w="170" w:type="dxa"/>
            </w:tcMar>
            <w:vAlign w:val="center"/>
          </w:tcPr>
          <w:p w14:paraId="36D5AC5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7DB4494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500MB-2GB/年</w:t>
            </w:r>
          </w:p>
        </w:tc>
        <w:tc>
          <w:tcPr>
            <w:tcW w:w="860" w:type="pct"/>
            <w:shd w:val="clear" w:color="auto" w:fill="auto"/>
            <w:tcMar>
              <w:top w:w="113" w:type="dxa"/>
              <w:left w:w="170" w:type="dxa"/>
              <w:bottom w:w="113" w:type="dxa"/>
              <w:right w:w="170" w:type="dxa"/>
            </w:tcMar>
            <w:vAlign w:val="center"/>
          </w:tcPr>
          <w:p w14:paraId="790A5F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保障矿山生产安全，避免发生安全事故</w:t>
            </w:r>
          </w:p>
        </w:tc>
        <w:tc>
          <w:tcPr>
            <w:tcW w:w="867" w:type="pct"/>
            <w:shd w:val="clear" w:color="auto" w:fill="auto"/>
            <w:tcMar>
              <w:top w:w="113" w:type="dxa"/>
              <w:left w:w="170" w:type="dxa"/>
              <w:bottom w:w="113" w:type="dxa"/>
              <w:right w:w="170" w:type="dxa"/>
            </w:tcMar>
            <w:vAlign w:val="center"/>
          </w:tcPr>
          <w:p w14:paraId="5FCE343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安全管理系统、隐患排查系统的安全检查、隐患整改管控功能</w:t>
            </w:r>
          </w:p>
        </w:tc>
        <w:tc>
          <w:tcPr>
            <w:tcW w:w="832" w:type="pct"/>
            <w:shd w:val="clear" w:color="auto" w:fill="auto"/>
            <w:tcMar>
              <w:top w:w="113" w:type="dxa"/>
              <w:left w:w="170" w:type="dxa"/>
              <w:bottom w:w="113" w:type="dxa"/>
              <w:right w:w="170" w:type="dxa"/>
            </w:tcMar>
            <w:vAlign w:val="center"/>
          </w:tcPr>
          <w:p w14:paraId="4C4FC14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内网安全管理数据库、纸质安全检查记录、整改档案</w:t>
            </w:r>
          </w:p>
        </w:tc>
        <w:tc>
          <w:tcPr>
            <w:tcW w:w="282" w:type="pct"/>
            <w:shd w:val="clear" w:color="auto" w:fill="auto"/>
            <w:tcMar>
              <w:top w:w="113" w:type="dxa"/>
              <w:left w:w="170" w:type="dxa"/>
              <w:bottom w:w="113" w:type="dxa"/>
              <w:right w:w="170" w:type="dxa"/>
            </w:tcMar>
            <w:vAlign w:val="center"/>
          </w:tcPr>
          <w:p w14:paraId="3C55D1B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23AD550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0BB6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3C277C2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通用→采选→经营管理→人力资源</w:t>
            </w:r>
          </w:p>
        </w:tc>
        <w:tc>
          <w:tcPr>
            <w:tcW w:w="446" w:type="pct"/>
            <w:shd w:val="clear" w:color="auto" w:fill="auto"/>
            <w:tcMar>
              <w:top w:w="113" w:type="dxa"/>
              <w:left w:w="170" w:type="dxa"/>
              <w:bottom w:w="113" w:type="dxa"/>
              <w:right w:w="170" w:type="dxa"/>
            </w:tcMar>
            <w:vAlign w:val="center"/>
          </w:tcPr>
          <w:p w14:paraId="13C3335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人力资源数据</w:t>
            </w:r>
          </w:p>
        </w:tc>
        <w:tc>
          <w:tcPr>
            <w:tcW w:w="263" w:type="pct"/>
            <w:shd w:val="clear" w:color="auto" w:fill="auto"/>
            <w:tcMar>
              <w:top w:w="113" w:type="dxa"/>
              <w:left w:w="170" w:type="dxa"/>
              <w:bottom w:w="113" w:type="dxa"/>
              <w:right w:w="170" w:type="dxa"/>
            </w:tcMar>
            <w:vAlign w:val="center"/>
          </w:tcPr>
          <w:p w14:paraId="4407408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49E663A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100-500MB</w:t>
            </w:r>
          </w:p>
        </w:tc>
        <w:tc>
          <w:tcPr>
            <w:tcW w:w="860" w:type="pct"/>
            <w:shd w:val="clear" w:color="auto" w:fill="auto"/>
            <w:tcMar>
              <w:top w:w="113" w:type="dxa"/>
              <w:left w:w="170" w:type="dxa"/>
              <w:bottom w:w="113" w:type="dxa"/>
              <w:right w:w="170" w:type="dxa"/>
            </w:tcMar>
            <w:vAlign w:val="center"/>
          </w:tcPr>
          <w:p w14:paraId="2CCC84F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用于企业内部人力资源管理</w:t>
            </w:r>
          </w:p>
        </w:tc>
        <w:tc>
          <w:tcPr>
            <w:tcW w:w="867" w:type="pct"/>
            <w:shd w:val="clear" w:color="auto" w:fill="auto"/>
            <w:tcMar>
              <w:top w:w="113" w:type="dxa"/>
              <w:left w:w="170" w:type="dxa"/>
              <w:bottom w:w="113" w:type="dxa"/>
              <w:right w:w="170" w:type="dxa"/>
            </w:tcMar>
            <w:vAlign w:val="center"/>
          </w:tcPr>
          <w:p w14:paraId="11A92C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人力资源管理系统、OA系统的员工信息管理、考勤薪酬核算功能</w:t>
            </w:r>
          </w:p>
        </w:tc>
        <w:tc>
          <w:tcPr>
            <w:tcW w:w="832" w:type="pct"/>
            <w:shd w:val="clear" w:color="auto" w:fill="auto"/>
            <w:tcMar>
              <w:top w:w="113" w:type="dxa"/>
              <w:left w:w="170" w:type="dxa"/>
              <w:bottom w:w="113" w:type="dxa"/>
              <w:right w:w="170" w:type="dxa"/>
            </w:tcMar>
            <w:vAlign w:val="center"/>
          </w:tcPr>
          <w:p w14:paraId="4995E5F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内网人力资源管理系统、员工信息数据库、纸质人事档案</w:t>
            </w:r>
          </w:p>
        </w:tc>
        <w:tc>
          <w:tcPr>
            <w:tcW w:w="282" w:type="pct"/>
            <w:shd w:val="clear" w:color="auto" w:fill="auto"/>
            <w:tcMar>
              <w:top w:w="113" w:type="dxa"/>
              <w:left w:w="170" w:type="dxa"/>
              <w:bottom w:w="113" w:type="dxa"/>
              <w:right w:w="170" w:type="dxa"/>
            </w:tcMar>
            <w:vAlign w:val="center"/>
          </w:tcPr>
          <w:p w14:paraId="5F4E319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3EEF742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5793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7BEDA31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重金属/稀有金属→采选→环保管理→环境监测</w:t>
            </w:r>
          </w:p>
        </w:tc>
        <w:tc>
          <w:tcPr>
            <w:tcW w:w="446" w:type="pct"/>
            <w:shd w:val="clear" w:color="auto" w:fill="auto"/>
            <w:tcMar>
              <w:top w:w="113" w:type="dxa"/>
              <w:left w:w="170" w:type="dxa"/>
              <w:bottom w:w="113" w:type="dxa"/>
              <w:right w:w="170" w:type="dxa"/>
            </w:tcMar>
            <w:vAlign w:val="center"/>
          </w:tcPr>
          <w:p w14:paraId="76E7B54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环保管理数据</w:t>
            </w:r>
          </w:p>
        </w:tc>
        <w:tc>
          <w:tcPr>
            <w:tcW w:w="263" w:type="pct"/>
            <w:shd w:val="clear" w:color="auto" w:fill="auto"/>
            <w:tcMar>
              <w:top w:w="113" w:type="dxa"/>
              <w:left w:w="170" w:type="dxa"/>
              <w:bottom w:w="113" w:type="dxa"/>
              <w:right w:w="170" w:type="dxa"/>
            </w:tcMar>
            <w:vAlign w:val="center"/>
          </w:tcPr>
          <w:p w14:paraId="7CF1D5C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79C3EAF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50GB-300GB/年</w:t>
            </w:r>
          </w:p>
        </w:tc>
        <w:tc>
          <w:tcPr>
            <w:tcW w:w="860" w:type="pct"/>
            <w:shd w:val="clear" w:color="auto" w:fill="auto"/>
            <w:tcMar>
              <w:top w:w="113" w:type="dxa"/>
              <w:left w:w="170" w:type="dxa"/>
              <w:bottom w:w="113" w:type="dxa"/>
              <w:right w:w="170" w:type="dxa"/>
            </w:tcMar>
            <w:vAlign w:val="center"/>
          </w:tcPr>
          <w:p w14:paraId="2E8C313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关系企业可持续发展及周边生态环境安全</w:t>
            </w:r>
          </w:p>
        </w:tc>
        <w:tc>
          <w:tcPr>
            <w:tcW w:w="867" w:type="pct"/>
            <w:shd w:val="clear" w:color="auto" w:fill="auto"/>
            <w:tcMar>
              <w:top w:w="113" w:type="dxa"/>
              <w:left w:w="170" w:type="dxa"/>
              <w:bottom w:w="113" w:type="dxa"/>
              <w:right w:w="170" w:type="dxa"/>
            </w:tcMar>
            <w:vAlign w:val="center"/>
          </w:tcPr>
          <w:p w14:paraId="70B1E7F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环保管理系统、环境监测平台的污染物监测、合规管控功能</w:t>
            </w:r>
          </w:p>
        </w:tc>
        <w:tc>
          <w:tcPr>
            <w:tcW w:w="832" w:type="pct"/>
            <w:shd w:val="clear" w:color="auto" w:fill="auto"/>
            <w:tcMar>
              <w:top w:w="113" w:type="dxa"/>
              <w:left w:w="170" w:type="dxa"/>
              <w:bottom w:w="113" w:type="dxa"/>
              <w:right w:w="170" w:type="dxa"/>
            </w:tcMar>
            <w:vAlign w:val="center"/>
          </w:tcPr>
          <w:p w14:paraId="2568089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内网环保管理系统、环境监测数据服务器、纸质监测报告</w:t>
            </w:r>
          </w:p>
        </w:tc>
        <w:tc>
          <w:tcPr>
            <w:tcW w:w="282" w:type="pct"/>
            <w:shd w:val="clear" w:color="auto" w:fill="auto"/>
            <w:tcMar>
              <w:top w:w="113" w:type="dxa"/>
              <w:left w:w="170" w:type="dxa"/>
              <w:bottom w:w="113" w:type="dxa"/>
              <w:right w:w="170" w:type="dxa"/>
            </w:tcMar>
            <w:vAlign w:val="center"/>
          </w:tcPr>
          <w:p w14:paraId="2D89323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7C9E9EE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11F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184FD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重金属/稀有金属→采选→经营管理→销售管理</w:t>
            </w:r>
          </w:p>
        </w:tc>
        <w:tc>
          <w:tcPr>
            <w:tcW w:w="446" w:type="pct"/>
            <w:shd w:val="clear" w:color="auto" w:fill="auto"/>
            <w:tcMar>
              <w:top w:w="113" w:type="dxa"/>
              <w:left w:w="170" w:type="dxa"/>
              <w:bottom w:w="113" w:type="dxa"/>
              <w:right w:w="170" w:type="dxa"/>
            </w:tcMar>
            <w:vAlign w:val="center"/>
          </w:tcPr>
          <w:p w14:paraId="3069EAB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精矿产品销售数据</w:t>
            </w:r>
          </w:p>
        </w:tc>
        <w:tc>
          <w:tcPr>
            <w:tcW w:w="263" w:type="pct"/>
            <w:shd w:val="clear" w:color="auto" w:fill="auto"/>
            <w:tcMar>
              <w:top w:w="113" w:type="dxa"/>
              <w:left w:w="170" w:type="dxa"/>
              <w:bottom w:w="113" w:type="dxa"/>
              <w:right w:w="170" w:type="dxa"/>
            </w:tcMar>
            <w:vAlign w:val="center"/>
          </w:tcPr>
          <w:p w14:paraId="42862AF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62B2092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860" w:type="pct"/>
            <w:shd w:val="clear" w:color="auto" w:fill="auto"/>
            <w:tcMar>
              <w:top w:w="113" w:type="dxa"/>
              <w:left w:w="170" w:type="dxa"/>
              <w:bottom w:w="113" w:type="dxa"/>
              <w:right w:w="170" w:type="dxa"/>
            </w:tcMar>
            <w:vAlign w:val="center"/>
          </w:tcPr>
          <w:p w14:paraId="10C280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关系企业的市场份额和经济效益，反映企业的市场竞争力</w:t>
            </w:r>
          </w:p>
        </w:tc>
        <w:tc>
          <w:tcPr>
            <w:tcW w:w="867" w:type="pct"/>
            <w:shd w:val="clear" w:color="auto" w:fill="auto"/>
            <w:tcMar>
              <w:top w:w="113" w:type="dxa"/>
              <w:left w:w="170" w:type="dxa"/>
              <w:bottom w:w="113" w:type="dxa"/>
              <w:right w:w="170" w:type="dxa"/>
            </w:tcMar>
            <w:vAlign w:val="center"/>
          </w:tcPr>
          <w:p w14:paraId="42B929E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销售管理系统、CRM系统的合同管理、客户管理、销售统计功能</w:t>
            </w:r>
          </w:p>
        </w:tc>
        <w:tc>
          <w:tcPr>
            <w:tcW w:w="832" w:type="pct"/>
            <w:shd w:val="clear" w:color="auto" w:fill="auto"/>
            <w:tcMar>
              <w:top w:w="113" w:type="dxa"/>
              <w:left w:w="170" w:type="dxa"/>
              <w:bottom w:w="113" w:type="dxa"/>
              <w:right w:w="170" w:type="dxa"/>
            </w:tcMar>
            <w:vAlign w:val="center"/>
          </w:tcPr>
          <w:p w14:paraId="209C24C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内网销售管理系统、销售数据库、纸质合同档案</w:t>
            </w:r>
          </w:p>
        </w:tc>
        <w:tc>
          <w:tcPr>
            <w:tcW w:w="282" w:type="pct"/>
            <w:shd w:val="clear" w:color="auto" w:fill="auto"/>
            <w:tcMar>
              <w:top w:w="113" w:type="dxa"/>
              <w:left w:w="170" w:type="dxa"/>
              <w:bottom w:w="113" w:type="dxa"/>
              <w:right w:w="170" w:type="dxa"/>
            </w:tcMar>
            <w:vAlign w:val="center"/>
          </w:tcPr>
          <w:p w14:paraId="2922668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6260330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1828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0755E6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重金属/稀有金属→采选→经营管理→采购管理</w:t>
            </w:r>
          </w:p>
        </w:tc>
        <w:tc>
          <w:tcPr>
            <w:tcW w:w="446" w:type="pct"/>
            <w:shd w:val="clear" w:color="auto" w:fill="auto"/>
            <w:tcMar>
              <w:top w:w="113" w:type="dxa"/>
              <w:left w:w="170" w:type="dxa"/>
              <w:bottom w:w="113" w:type="dxa"/>
              <w:right w:w="170" w:type="dxa"/>
            </w:tcMar>
            <w:vAlign w:val="center"/>
          </w:tcPr>
          <w:p w14:paraId="56AB32F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原材料采购数据</w:t>
            </w:r>
          </w:p>
        </w:tc>
        <w:tc>
          <w:tcPr>
            <w:tcW w:w="263" w:type="pct"/>
            <w:shd w:val="clear" w:color="auto" w:fill="auto"/>
            <w:tcMar>
              <w:top w:w="113" w:type="dxa"/>
              <w:left w:w="170" w:type="dxa"/>
              <w:bottom w:w="113" w:type="dxa"/>
              <w:right w:w="170" w:type="dxa"/>
            </w:tcMar>
            <w:vAlign w:val="center"/>
          </w:tcPr>
          <w:p w14:paraId="028C04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59499D4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860" w:type="pct"/>
            <w:shd w:val="clear" w:color="auto" w:fill="auto"/>
            <w:tcMar>
              <w:top w:w="113" w:type="dxa"/>
              <w:left w:w="170" w:type="dxa"/>
              <w:bottom w:w="113" w:type="dxa"/>
              <w:right w:w="170" w:type="dxa"/>
            </w:tcMar>
            <w:vAlign w:val="center"/>
          </w:tcPr>
          <w:p w14:paraId="2DE31E3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保障原材料的稳定供应，影响生产的连续性</w:t>
            </w:r>
          </w:p>
        </w:tc>
        <w:tc>
          <w:tcPr>
            <w:tcW w:w="867" w:type="pct"/>
            <w:shd w:val="clear" w:color="auto" w:fill="auto"/>
            <w:tcMar>
              <w:top w:w="113" w:type="dxa"/>
              <w:left w:w="170" w:type="dxa"/>
              <w:bottom w:w="113" w:type="dxa"/>
              <w:right w:w="170" w:type="dxa"/>
            </w:tcMar>
            <w:vAlign w:val="center"/>
          </w:tcPr>
          <w:p w14:paraId="2B4A187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采购管理系统、供应链管理系统的供应商管理、采购合同管控功能</w:t>
            </w:r>
          </w:p>
        </w:tc>
        <w:tc>
          <w:tcPr>
            <w:tcW w:w="832" w:type="pct"/>
            <w:shd w:val="clear" w:color="auto" w:fill="auto"/>
            <w:tcMar>
              <w:top w:w="113" w:type="dxa"/>
              <w:left w:w="170" w:type="dxa"/>
              <w:bottom w:w="113" w:type="dxa"/>
              <w:right w:w="170" w:type="dxa"/>
            </w:tcMar>
            <w:vAlign w:val="center"/>
          </w:tcPr>
          <w:p w14:paraId="6E73C1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内网采购管理系统、采购数据库、纸质合同档案</w:t>
            </w:r>
          </w:p>
        </w:tc>
        <w:tc>
          <w:tcPr>
            <w:tcW w:w="282" w:type="pct"/>
            <w:shd w:val="clear" w:color="auto" w:fill="auto"/>
            <w:tcMar>
              <w:top w:w="113" w:type="dxa"/>
              <w:left w:w="170" w:type="dxa"/>
              <w:bottom w:w="113" w:type="dxa"/>
              <w:right w:w="170" w:type="dxa"/>
            </w:tcMar>
            <w:vAlign w:val="center"/>
          </w:tcPr>
          <w:p w14:paraId="4B7EE21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22F1666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50E3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6A81287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重金属/稀有金属→采选→经营管理→经营统计</w:t>
            </w:r>
          </w:p>
        </w:tc>
        <w:tc>
          <w:tcPr>
            <w:tcW w:w="446" w:type="pct"/>
            <w:shd w:val="clear" w:color="auto" w:fill="auto"/>
            <w:tcMar>
              <w:top w:w="113" w:type="dxa"/>
              <w:left w:w="170" w:type="dxa"/>
              <w:bottom w:w="113" w:type="dxa"/>
              <w:right w:w="170" w:type="dxa"/>
            </w:tcMar>
            <w:vAlign w:val="center"/>
          </w:tcPr>
          <w:p w14:paraId="5B98B5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生产经营统计数据</w:t>
            </w:r>
          </w:p>
        </w:tc>
        <w:tc>
          <w:tcPr>
            <w:tcW w:w="263" w:type="pct"/>
            <w:shd w:val="clear" w:color="auto" w:fill="auto"/>
            <w:tcMar>
              <w:top w:w="113" w:type="dxa"/>
              <w:left w:w="170" w:type="dxa"/>
              <w:bottom w:w="113" w:type="dxa"/>
              <w:right w:w="170" w:type="dxa"/>
            </w:tcMar>
            <w:vAlign w:val="center"/>
          </w:tcPr>
          <w:p w14:paraId="1E55E9F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3BA59E0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500MB-2GB/年</w:t>
            </w:r>
          </w:p>
        </w:tc>
        <w:tc>
          <w:tcPr>
            <w:tcW w:w="860" w:type="pct"/>
            <w:shd w:val="clear" w:color="auto" w:fill="auto"/>
            <w:tcMar>
              <w:top w:w="113" w:type="dxa"/>
              <w:left w:w="170" w:type="dxa"/>
              <w:bottom w:w="113" w:type="dxa"/>
              <w:right w:w="170" w:type="dxa"/>
            </w:tcMar>
            <w:vAlign w:val="center"/>
          </w:tcPr>
          <w:p w14:paraId="6351209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用于企业内部经营管理和决策分析</w:t>
            </w:r>
          </w:p>
        </w:tc>
        <w:tc>
          <w:tcPr>
            <w:tcW w:w="867" w:type="pct"/>
            <w:shd w:val="clear" w:color="auto" w:fill="auto"/>
            <w:tcMar>
              <w:top w:w="113" w:type="dxa"/>
              <w:left w:w="170" w:type="dxa"/>
              <w:bottom w:w="113" w:type="dxa"/>
              <w:right w:w="170" w:type="dxa"/>
            </w:tcMar>
            <w:vAlign w:val="center"/>
          </w:tcPr>
          <w:p w14:paraId="0FF7564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经营管理系统、BI系统的经营统计、成本核算、决策分析功能</w:t>
            </w:r>
          </w:p>
        </w:tc>
        <w:tc>
          <w:tcPr>
            <w:tcW w:w="832" w:type="pct"/>
            <w:shd w:val="clear" w:color="auto" w:fill="auto"/>
            <w:tcMar>
              <w:top w:w="113" w:type="dxa"/>
              <w:left w:w="170" w:type="dxa"/>
              <w:bottom w:w="113" w:type="dxa"/>
              <w:right w:w="170" w:type="dxa"/>
            </w:tcMar>
            <w:vAlign w:val="center"/>
          </w:tcPr>
          <w:p w14:paraId="23E72B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内网经营管理数据库、统计报表档案、纸质财务报告</w:t>
            </w:r>
          </w:p>
        </w:tc>
        <w:tc>
          <w:tcPr>
            <w:tcW w:w="282" w:type="pct"/>
            <w:shd w:val="clear" w:color="auto" w:fill="auto"/>
            <w:tcMar>
              <w:top w:w="113" w:type="dxa"/>
              <w:left w:w="170" w:type="dxa"/>
              <w:bottom w:w="113" w:type="dxa"/>
              <w:right w:w="170" w:type="dxa"/>
            </w:tcMar>
            <w:vAlign w:val="center"/>
          </w:tcPr>
          <w:p w14:paraId="4596E56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11B3E98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279B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591F4D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通用→采选→合规管理→政策法规</w:t>
            </w:r>
          </w:p>
        </w:tc>
        <w:tc>
          <w:tcPr>
            <w:tcW w:w="446" w:type="pct"/>
            <w:shd w:val="clear" w:color="auto" w:fill="auto"/>
            <w:tcMar>
              <w:top w:w="113" w:type="dxa"/>
              <w:left w:w="170" w:type="dxa"/>
              <w:bottom w:w="113" w:type="dxa"/>
              <w:right w:w="170" w:type="dxa"/>
            </w:tcMar>
            <w:vAlign w:val="center"/>
          </w:tcPr>
          <w:p w14:paraId="0BFF9C6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行业政策法规数据</w:t>
            </w:r>
          </w:p>
        </w:tc>
        <w:tc>
          <w:tcPr>
            <w:tcW w:w="263" w:type="pct"/>
            <w:shd w:val="clear" w:color="auto" w:fill="auto"/>
            <w:tcMar>
              <w:top w:w="113" w:type="dxa"/>
              <w:left w:w="170" w:type="dxa"/>
              <w:bottom w:w="113" w:type="dxa"/>
              <w:right w:w="170" w:type="dxa"/>
            </w:tcMar>
            <w:vAlign w:val="center"/>
          </w:tcPr>
          <w:p w14:paraId="196E4BC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0FFA06B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100-500MB</w:t>
            </w:r>
          </w:p>
        </w:tc>
        <w:tc>
          <w:tcPr>
            <w:tcW w:w="860" w:type="pct"/>
            <w:shd w:val="clear" w:color="auto" w:fill="auto"/>
            <w:tcMar>
              <w:top w:w="113" w:type="dxa"/>
              <w:left w:w="170" w:type="dxa"/>
              <w:bottom w:w="113" w:type="dxa"/>
              <w:right w:w="170" w:type="dxa"/>
            </w:tcMar>
            <w:vAlign w:val="center"/>
          </w:tcPr>
          <w:p w14:paraId="26E871E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用于企业合规经营和战略调整</w:t>
            </w:r>
          </w:p>
        </w:tc>
        <w:tc>
          <w:tcPr>
            <w:tcW w:w="867" w:type="pct"/>
            <w:shd w:val="clear" w:color="auto" w:fill="auto"/>
            <w:tcMar>
              <w:top w:w="113" w:type="dxa"/>
              <w:left w:w="170" w:type="dxa"/>
              <w:bottom w:w="113" w:type="dxa"/>
              <w:right w:w="170" w:type="dxa"/>
            </w:tcMar>
            <w:vAlign w:val="center"/>
          </w:tcPr>
          <w:p w14:paraId="2C22D69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合规管理系统、OA系统的政策文件管理、合规培训功能</w:t>
            </w:r>
          </w:p>
        </w:tc>
        <w:tc>
          <w:tcPr>
            <w:tcW w:w="832" w:type="pct"/>
            <w:shd w:val="clear" w:color="auto" w:fill="auto"/>
            <w:tcMar>
              <w:top w:w="113" w:type="dxa"/>
              <w:left w:w="170" w:type="dxa"/>
              <w:bottom w:w="113" w:type="dxa"/>
              <w:right w:w="170" w:type="dxa"/>
            </w:tcMar>
            <w:vAlign w:val="center"/>
          </w:tcPr>
          <w:p w14:paraId="281B54E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内网合规管理数据库、纸质政策文件、法规解读档案</w:t>
            </w:r>
          </w:p>
        </w:tc>
        <w:tc>
          <w:tcPr>
            <w:tcW w:w="282" w:type="pct"/>
            <w:shd w:val="clear" w:color="auto" w:fill="auto"/>
            <w:tcMar>
              <w:top w:w="113" w:type="dxa"/>
              <w:left w:w="170" w:type="dxa"/>
              <w:bottom w:w="113" w:type="dxa"/>
              <w:right w:w="170" w:type="dxa"/>
            </w:tcMar>
            <w:vAlign w:val="center"/>
          </w:tcPr>
          <w:p w14:paraId="526A70F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6082A90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本地每月增量备份、异地每季度全量备份</w:t>
            </w:r>
          </w:p>
        </w:tc>
      </w:tr>
      <w:tr w14:paraId="3DE3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3D86FE1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通用→采选→市场分析→行情数据</w:t>
            </w:r>
          </w:p>
        </w:tc>
        <w:tc>
          <w:tcPr>
            <w:tcW w:w="446" w:type="pct"/>
            <w:shd w:val="clear" w:color="auto" w:fill="auto"/>
            <w:tcMar>
              <w:top w:w="113" w:type="dxa"/>
              <w:left w:w="170" w:type="dxa"/>
              <w:bottom w:w="113" w:type="dxa"/>
              <w:right w:w="170" w:type="dxa"/>
            </w:tcMar>
            <w:vAlign w:val="center"/>
          </w:tcPr>
          <w:p w14:paraId="0A9C4A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市场行情数据</w:t>
            </w:r>
          </w:p>
        </w:tc>
        <w:tc>
          <w:tcPr>
            <w:tcW w:w="263" w:type="pct"/>
            <w:shd w:val="clear" w:color="auto" w:fill="auto"/>
            <w:tcMar>
              <w:top w:w="113" w:type="dxa"/>
              <w:left w:w="170" w:type="dxa"/>
              <w:bottom w:w="113" w:type="dxa"/>
              <w:right w:w="170" w:type="dxa"/>
            </w:tcMar>
            <w:vAlign w:val="center"/>
          </w:tcPr>
          <w:p w14:paraId="62ECE76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53" w:type="pct"/>
            <w:shd w:val="clear" w:color="auto" w:fill="auto"/>
            <w:tcMar>
              <w:top w:w="113" w:type="dxa"/>
              <w:left w:w="170" w:type="dxa"/>
              <w:bottom w:w="113" w:type="dxa"/>
              <w:right w:w="170" w:type="dxa"/>
            </w:tcMar>
            <w:vAlign w:val="center"/>
          </w:tcPr>
          <w:p w14:paraId="4CB83B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w:t>
            </w:r>
          </w:p>
        </w:tc>
        <w:tc>
          <w:tcPr>
            <w:tcW w:w="860" w:type="pct"/>
            <w:shd w:val="clear" w:color="auto" w:fill="auto"/>
            <w:tcMar>
              <w:top w:w="113" w:type="dxa"/>
              <w:left w:w="170" w:type="dxa"/>
              <w:bottom w:w="113" w:type="dxa"/>
              <w:right w:w="170" w:type="dxa"/>
            </w:tcMar>
            <w:vAlign w:val="center"/>
          </w:tcPr>
          <w:p w14:paraId="44B0CD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用于企业调整生产计划和销售策略，应对市场变化</w:t>
            </w:r>
          </w:p>
        </w:tc>
        <w:tc>
          <w:tcPr>
            <w:tcW w:w="867" w:type="pct"/>
            <w:shd w:val="clear" w:color="auto" w:fill="auto"/>
            <w:tcMar>
              <w:top w:w="113" w:type="dxa"/>
              <w:left w:w="170" w:type="dxa"/>
              <w:bottom w:w="113" w:type="dxa"/>
              <w:right w:w="170" w:type="dxa"/>
            </w:tcMar>
            <w:vAlign w:val="center"/>
          </w:tcPr>
          <w:p w14:paraId="0B5D502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市场分析系统、经营决策系统的行情监测、市场预测功能</w:t>
            </w:r>
          </w:p>
        </w:tc>
        <w:tc>
          <w:tcPr>
            <w:tcW w:w="832" w:type="pct"/>
            <w:shd w:val="clear" w:color="auto" w:fill="auto"/>
            <w:tcMar>
              <w:top w:w="113" w:type="dxa"/>
              <w:left w:w="170" w:type="dxa"/>
              <w:bottom w:w="113" w:type="dxa"/>
              <w:right w:w="170" w:type="dxa"/>
            </w:tcMar>
            <w:vAlign w:val="center"/>
          </w:tcPr>
          <w:p w14:paraId="591860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内网市场分析数据库、第三方行情数据平台、纸质市场分析报告</w:t>
            </w:r>
          </w:p>
        </w:tc>
        <w:tc>
          <w:tcPr>
            <w:tcW w:w="282" w:type="pct"/>
            <w:shd w:val="clear" w:color="auto" w:fill="auto"/>
            <w:tcMar>
              <w:top w:w="113" w:type="dxa"/>
              <w:left w:w="170" w:type="dxa"/>
              <w:bottom w:w="113" w:type="dxa"/>
              <w:right w:w="170" w:type="dxa"/>
            </w:tcMar>
            <w:vAlign w:val="center"/>
          </w:tcPr>
          <w:p w14:paraId="719B579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08EBD81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00ED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07" w:type="pct"/>
            <w:shd w:val="clear" w:color="auto" w:fill="auto"/>
            <w:tcMar>
              <w:top w:w="113" w:type="dxa"/>
              <w:left w:w="170" w:type="dxa"/>
              <w:bottom w:w="113" w:type="dxa"/>
              <w:right w:w="170" w:type="dxa"/>
            </w:tcMar>
            <w:vAlign w:val="center"/>
          </w:tcPr>
          <w:p w14:paraId="271E5FD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稀有金属/贵金属→采选→研发设计→工艺优化</w:t>
            </w:r>
          </w:p>
        </w:tc>
        <w:tc>
          <w:tcPr>
            <w:tcW w:w="446" w:type="pct"/>
            <w:shd w:val="clear" w:color="auto" w:fill="auto"/>
            <w:tcMar>
              <w:top w:w="113" w:type="dxa"/>
              <w:left w:w="170" w:type="dxa"/>
              <w:bottom w:w="113" w:type="dxa"/>
              <w:right w:w="170" w:type="dxa"/>
            </w:tcMar>
            <w:vAlign w:val="center"/>
          </w:tcPr>
          <w:p w14:paraId="417F55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选矿工艺优化实验数据</w:t>
            </w:r>
          </w:p>
        </w:tc>
        <w:tc>
          <w:tcPr>
            <w:tcW w:w="263" w:type="pct"/>
            <w:shd w:val="clear" w:color="auto" w:fill="auto"/>
            <w:tcMar>
              <w:top w:w="113" w:type="dxa"/>
              <w:left w:w="170" w:type="dxa"/>
              <w:bottom w:w="113" w:type="dxa"/>
              <w:right w:w="170" w:type="dxa"/>
            </w:tcMar>
            <w:vAlign w:val="center"/>
          </w:tcPr>
          <w:p w14:paraId="63B27EE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53" w:type="pct"/>
            <w:shd w:val="clear" w:color="auto" w:fill="auto"/>
            <w:tcMar>
              <w:top w:w="113" w:type="dxa"/>
              <w:left w:w="170" w:type="dxa"/>
              <w:bottom w:w="113" w:type="dxa"/>
              <w:right w:w="170" w:type="dxa"/>
            </w:tcMar>
            <w:vAlign w:val="center"/>
          </w:tcPr>
          <w:p w14:paraId="235A78F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1-10GB</w:t>
            </w:r>
          </w:p>
        </w:tc>
        <w:tc>
          <w:tcPr>
            <w:tcW w:w="860" w:type="pct"/>
            <w:shd w:val="clear" w:color="auto" w:fill="auto"/>
            <w:tcMar>
              <w:top w:w="113" w:type="dxa"/>
              <w:left w:w="170" w:type="dxa"/>
              <w:bottom w:w="113" w:type="dxa"/>
              <w:right w:w="170" w:type="dxa"/>
            </w:tcMar>
            <w:vAlign w:val="center"/>
          </w:tcPr>
          <w:p w14:paraId="44B1E22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提升资源利用率、降低生产成本、实现绿色高效选矿、突破关键选矿技术瓶颈</w:t>
            </w:r>
          </w:p>
        </w:tc>
        <w:tc>
          <w:tcPr>
            <w:tcW w:w="867" w:type="pct"/>
            <w:shd w:val="clear" w:color="auto" w:fill="auto"/>
            <w:tcMar>
              <w:top w:w="113" w:type="dxa"/>
              <w:left w:w="170" w:type="dxa"/>
              <w:bottom w:w="113" w:type="dxa"/>
              <w:right w:w="170" w:type="dxa"/>
            </w:tcMar>
            <w:vAlign w:val="center"/>
          </w:tcPr>
          <w:p w14:paraId="59BF1AE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选矿工艺研发系统、实验室数据管理系统的工艺参数优化、技术研发功能</w:t>
            </w:r>
          </w:p>
        </w:tc>
        <w:tc>
          <w:tcPr>
            <w:tcW w:w="832" w:type="pct"/>
            <w:shd w:val="clear" w:color="auto" w:fill="auto"/>
            <w:tcMar>
              <w:top w:w="113" w:type="dxa"/>
              <w:left w:w="170" w:type="dxa"/>
              <w:bottom w:w="113" w:type="dxa"/>
              <w:right w:w="170" w:type="dxa"/>
            </w:tcMar>
            <w:vAlign w:val="center"/>
          </w:tcPr>
          <w:p w14:paraId="51D5167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不与互联网连接的内网研发系统、实验室数据服务器、纸质实验记录</w:t>
            </w:r>
          </w:p>
        </w:tc>
        <w:tc>
          <w:tcPr>
            <w:tcW w:w="282" w:type="pct"/>
            <w:shd w:val="clear" w:color="auto" w:fill="auto"/>
            <w:tcMar>
              <w:top w:w="113" w:type="dxa"/>
              <w:left w:w="170" w:type="dxa"/>
              <w:bottom w:w="113" w:type="dxa"/>
              <w:right w:w="170" w:type="dxa"/>
            </w:tcMar>
            <w:vAlign w:val="center"/>
          </w:tcPr>
          <w:p w14:paraId="739D792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486" w:type="pct"/>
            <w:shd w:val="clear" w:color="auto" w:fill="auto"/>
            <w:tcMar>
              <w:top w:w="113" w:type="dxa"/>
              <w:left w:w="170" w:type="dxa"/>
              <w:bottom w:w="113" w:type="dxa"/>
              <w:right w:w="170" w:type="dxa"/>
            </w:tcMar>
            <w:vAlign w:val="center"/>
          </w:tcPr>
          <w:p w14:paraId="2EE109B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4FC9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607" w:type="pct"/>
            <w:shd w:val="clear" w:color="auto" w:fill="auto"/>
            <w:tcMar>
              <w:top w:w="113" w:type="dxa"/>
              <w:left w:w="170" w:type="dxa"/>
              <w:bottom w:w="113" w:type="dxa"/>
              <w:right w:w="170" w:type="dxa"/>
            </w:tcMar>
            <w:vAlign w:val="center"/>
          </w:tcPr>
          <w:p w14:paraId="7CA21A1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446" w:type="pct"/>
            <w:shd w:val="clear" w:color="auto" w:fill="auto"/>
            <w:tcMar>
              <w:top w:w="113" w:type="dxa"/>
              <w:left w:w="170" w:type="dxa"/>
              <w:bottom w:w="113" w:type="dxa"/>
              <w:right w:w="170" w:type="dxa"/>
            </w:tcMar>
            <w:vAlign w:val="center"/>
          </w:tcPr>
          <w:p w14:paraId="73F07E8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263" w:type="pct"/>
            <w:shd w:val="clear" w:color="auto" w:fill="auto"/>
            <w:tcMar>
              <w:top w:w="113" w:type="dxa"/>
              <w:left w:w="170" w:type="dxa"/>
              <w:bottom w:w="113" w:type="dxa"/>
              <w:right w:w="170" w:type="dxa"/>
            </w:tcMar>
            <w:vAlign w:val="center"/>
          </w:tcPr>
          <w:p w14:paraId="2BF70EA3">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353" w:type="pct"/>
            <w:shd w:val="clear" w:color="auto" w:fill="auto"/>
            <w:tcMar>
              <w:top w:w="113" w:type="dxa"/>
              <w:left w:w="170" w:type="dxa"/>
              <w:bottom w:w="113" w:type="dxa"/>
              <w:right w:w="170" w:type="dxa"/>
            </w:tcMar>
            <w:vAlign w:val="center"/>
          </w:tcPr>
          <w:p w14:paraId="245BDB68">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860" w:type="pct"/>
            <w:shd w:val="clear" w:color="auto" w:fill="auto"/>
            <w:tcMar>
              <w:top w:w="113" w:type="dxa"/>
              <w:left w:w="170" w:type="dxa"/>
              <w:bottom w:w="113" w:type="dxa"/>
              <w:right w:w="170" w:type="dxa"/>
            </w:tcMar>
            <w:vAlign w:val="center"/>
          </w:tcPr>
          <w:p w14:paraId="2D016216">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867" w:type="pct"/>
            <w:shd w:val="clear" w:color="auto" w:fill="auto"/>
            <w:tcMar>
              <w:top w:w="113" w:type="dxa"/>
              <w:left w:w="170" w:type="dxa"/>
              <w:bottom w:w="113" w:type="dxa"/>
              <w:right w:w="170" w:type="dxa"/>
            </w:tcMar>
            <w:vAlign w:val="center"/>
          </w:tcPr>
          <w:p w14:paraId="6E76219B">
            <w:pPr>
              <w:jc w:val="both"/>
              <w:rPr>
                <w:rFonts w:hint="eastAsia" w:ascii="宋体" w:hAnsi="宋体" w:eastAsia="宋体" w:cs="宋体"/>
                <w:sz w:val="18"/>
                <w:szCs w:val="18"/>
                <w:lang w:val="en-US" w:eastAsia="zh-CN"/>
              </w:rPr>
            </w:pPr>
          </w:p>
        </w:tc>
        <w:tc>
          <w:tcPr>
            <w:tcW w:w="832" w:type="pct"/>
            <w:shd w:val="clear" w:color="auto" w:fill="auto"/>
            <w:tcMar>
              <w:top w:w="113" w:type="dxa"/>
              <w:left w:w="170" w:type="dxa"/>
              <w:bottom w:w="113" w:type="dxa"/>
              <w:right w:w="170" w:type="dxa"/>
            </w:tcMar>
            <w:vAlign w:val="center"/>
          </w:tcPr>
          <w:p w14:paraId="359F8529">
            <w:pPr>
              <w:jc w:val="both"/>
              <w:rPr>
                <w:rFonts w:hint="eastAsia" w:ascii="宋体" w:hAnsi="宋体" w:eastAsia="宋体" w:cs="宋体"/>
                <w:sz w:val="18"/>
                <w:szCs w:val="18"/>
                <w:lang w:val="en-US" w:eastAsia="zh-CN"/>
              </w:rPr>
            </w:pPr>
          </w:p>
        </w:tc>
        <w:tc>
          <w:tcPr>
            <w:tcW w:w="282" w:type="pct"/>
            <w:shd w:val="clear" w:color="auto" w:fill="auto"/>
            <w:tcMar>
              <w:top w:w="113" w:type="dxa"/>
              <w:left w:w="170" w:type="dxa"/>
              <w:bottom w:w="113" w:type="dxa"/>
              <w:right w:w="170" w:type="dxa"/>
            </w:tcMar>
            <w:vAlign w:val="center"/>
          </w:tcPr>
          <w:p w14:paraId="04DC33E1">
            <w:pPr>
              <w:jc w:val="center"/>
              <w:rPr>
                <w:rFonts w:hint="eastAsia" w:ascii="宋体" w:hAnsi="宋体" w:eastAsia="宋体" w:cs="宋体"/>
                <w:sz w:val="18"/>
                <w:szCs w:val="18"/>
                <w:lang w:val="en-US" w:eastAsia="zh-CN"/>
              </w:rPr>
            </w:pPr>
          </w:p>
        </w:tc>
        <w:tc>
          <w:tcPr>
            <w:tcW w:w="486" w:type="pct"/>
            <w:shd w:val="clear" w:color="auto" w:fill="auto"/>
            <w:tcMar>
              <w:top w:w="113" w:type="dxa"/>
              <w:left w:w="170" w:type="dxa"/>
              <w:bottom w:w="113" w:type="dxa"/>
              <w:right w:w="170" w:type="dxa"/>
            </w:tcMar>
            <w:vAlign w:val="center"/>
          </w:tcPr>
          <w:p w14:paraId="2687C832">
            <w:pPr>
              <w:jc w:val="both"/>
              <w:rPr>
                <w:rFonts w:hint="eastAsia" w:ascii="宋体" w:hAnsi="宋体" w:eastAsia="宋体" w:cs="宋体"/>
                <w:sz w:val="18"/>
                <w:szCs w:val="18"/>
                <w:lang w:val="en-US" w:eastAsia="zh-CN"/>
              </w:rPr>
            </w:pPr>
          </w:p>
        </w:tc>
      </w:tr>
    </w:tbl>
    <w:p w14:paraId="0C46B070">
      <w:pPr>
        <w:keepNext w:val="0"/>
        <w:keepLines w:val="0"/>
        <w:pageBreakBefore w:val="0"/>
        <w:widowControl/>
        <w:suppressLineNumbers w:val="0"/>
        <w:kinsoku/>
        <w:wordWrap/>
        <w:overflowPunct/>
        <w:topLinePunct w:val="0"/>
        <w:autoSpaceDE/>
        <w:autoSpaceDN/>
        <w:bidi w:val="0"/>
        <w:adjustRightInd/>
        <w:snapToGrid/>
        <w:spacing w:before="162" w:beforeLines="50"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表格字段填写说明：</w:t>
      </w:r>
    </w:p>
    <w:p w14:paraId="63F1380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类别：可按照“金属门类（轻金属/重金属/贵金属/稀有金属）→流程环节（采选/冶炼/加工）→业务场景（研发设计/生产制造/经营管理/特种应用等）→对象集合（人/机/料/法/环/测）→属性集合（产能/品位/能耗等）”层级方式确定类别；</w:t>
      </w:r>
    </w:p>
    <w:p w14:paraId="1A35D7C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数据项名称：总结一类数据，非单独一条的数据名称；</w:t>
      </w:r>
    </w:p>
    <w:p w14:paraId="03CEE57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数据级别：一般数据、重要数据、核心数据；</w:t>
      </w:r>
    </w:p>
    <w:p w14:paraId="21C8271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数据量：一类数据的总合或一段时长内增长的数量，可以按条计数，也可以按照存储大小计数；</w:t>
      </w:r>
    </w:p>
    <w:p w14:paraId="020A251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数据处理目的和意义：简要写明归集治理该类数据用来干什么、带来什么价值；</w:t>
      </w:r>
    </w:p>
    <w:p w14:paraId="043BAA8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数据处理场景：XX系统/XX业务/XX场景的XX功能；</w:t>
      </w:r>
    </w:p>
    <w:p w14:paraId="007C8D6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数据载体：数据来源系统或出处，如：与互联网连接的信息系统、不与互联网连接的信息系统、其他电子化数据、非电子化数据等；</w:t>
      </w:r>
    </w:p>
    <w:p w14:paraId="65D97BC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是否涉及数据出境：是否涉及出境业务，是/否；</w:t>
      </w:r>
    </w:p>
    <w:p w14:paraId="0169B08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数据备份情况：数据备份方式（全量/增量/差异备份、本地/异地/云端备份）及备份周期，如：本地每日增量备份、异地每周全量备份。</w:t>
      </w:r>
    </w:p>
    <w:p w14:paraId="74ADD7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黑体" w:hAnsi="黑体" w:eastAsia="黑体" w:cs="黑体"/>
        </w:rPr>
      </w:pPr>
      <w:r>
        <w:rPr>
          <w:rFonts w:hint="eastAsia" w:ascii="黑体" w:hAnsi="黑体" w:eastAsia="黑体" w:cs="黑体"/>
          <w:color w:val="000000"/>
          <w:kern w:val="0"/>
          <w:sz w:val="21"/>
          <w:szCs w:val="21"/>
          <w:lang w:val="en-US" w:eastAsia="zh-CN" w:bidi="ar"/>
        </w:rPr>
        <w:t>B.2 冶炼企业工业数据分类分级清单示例</w:t>
      </w:r>
    </w:p>
    <w:p w14:paraId="42734F8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highlight w:val="none"/>
        </w:rPr>
      </w:pPr>
      <w:r>
        <w:rPr>
          <w:rFonts w:hint="eastAsia" w:ascii="宋体" w:hAnsi="宋体" w:cs="宋体"/>
          <w:color w:val="000000"/>
          <w:kern w:val="0"/>
          <w:sz w:val="21"/>
          <w:szCs w:val="21"/>
          <w:highlight w:val="none"/>
          <w:lang w:val="en-US" w:eastAsia="zh-CN" w:bidi="ar"/>
        </w:rPr>
        <w:t>有色金属行业</w:t>
      </w:r>
      <w:r>
        <w:rPr>
          <w:rFonts w:hint="eastAsia" w:ascii="宋体" w:hAnsi="宋体" w:eastAsia="宋体" w:cs="宋体"/>
          <w:color w:val="000000"/>
          <w:kern w:val="0"/>
          <w:sz w:val="21"/>
          <w:szCs w:val="21"/>
          <w:highlight w:val="none"/>
          <w:lang w:val="en-US" w:eastAsia="zh-CN" w:bidi="ar"/>
        </w:rPr>
        <w:t>冶炼企业工业数据具备高温高压工况下强实时性、多工序关联性、环保安全高敏感性等特征，企业可依据</w:t>
      </w:r>
      <w:r>
        <w:rPr>
          <w:rFonts w:hint="eastAsia" w:ascii="宋体" w:hAnsi="宋体" w:cs="宋体"/>
          <w:color w:val="000000"/>
          <w:kern w:val="0"/>
          <w:sz w:val="21"/>
          <w:szCs w:val="21"/>
          <w:highlight w:val="none"/>
          <w:lang w:val="en-US" w:eastAsia="zh-CN" w:bidi="ar"/>
        </w:rPr>
        <w:t>此</w:t>
      </w:r>
      <w:r>
        <w:rPr>
          <w:rFonts w:hint="eastAsia" w:ascii="宋体" w:hAnsi="宋体" w:eastAsia="宋体" w:cs="宋体"/>
          <w:color w:val="000000"/>
          <w:kern w:val="0"/>
          <w:sz w:val="21"/>
          <w:szCs w:val="21"/>
          <w:highlight w:val="none"/>
          <w:lang w:val="en-US" w:eastAsia="zh-CN" w:bidi="ar"/>
        </w:rPr>
        <w:t>特点，结合实际，参考表B.2示例</w:t>
      </w:r>
      <w:r>
        <w:rPr>
          <w:rFonts w:hint="eastAsia" w:ascii="宋体" w:hAnsi="宋体" w:cs="宋体"/>
          <w:color w:val="000000"/>
          <w:kern w:val="0"/>
          <w:sz w:val="21"/>
          <w:szCs w:val="21"/>
          <w:highlight w:val="none"/>
          <w:lang w:val="en-US" w:eastAsia="zh-CN" w:bidi="ar"/>
        </w:rPr>
        <w:t>进行</w:t>
      </w:r>
      <w:r>
        <w:rPr>
          <w:rFonts w:hint="eastAsia" w:ascii="宋体" w:hAnsi="宋体" w:eastAsia="宋体" w:cs="宋体"/>
          <w:color w:val="000000"/>
          <w:kern w:val="0"/>
          <w:sz w:val="21"/>
          <w:szCs w:val="21"/>
          <w:highlight w:val="none"/>
          <w:lang w:val="en-US" w:eastAsia="zh-CN" w:bidi="ar"/>
        </w:rPr>
        <w:t>数据分类分级。</w:t>
      </w:r>
    </w:p>
    <w:p w14:paraId="57431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B.2 冶炼企业工业数据分类分级清单示例</w:t>
      </w:r>
    </w:p>
    <w:tbl>
      <w:tblPr>
        <w:tblStyle w:val="10"/>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604"/>
        <w:gridCol w:w="1387"/>
        <w:gridCol w:w="763"/>
        <w:gridCol w:w="975"/>
        <w:gridCol w:w="2803"/>
        <w:gridCol w:w="2397"/>
        <w:gridCol w:w="2397"/>
        <w:gridCol w:w="778"/>
        <w:gridCol w:w="1497"/>
      </w:tblGrid>
      <w:tr w14:paraId="2240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549" w:type="pct"/>
            <w:shd w:val="clear" w:color="auto" w:fill="auto"/>
            <w:tcMar>
              <w:top w:w="113" w:type="dxa"/>
              <w:left w:w="170" w:type="dxa"/>
              <w:bottom w:w="113" w:type="dxa"/>
              <w:right w:w="170" w:type="dxa"/>
            </w:tcMar>
            <w:vAlign w:val="center"/>
          </w:tcPr>
          <w:p w14:paraId="72F1E36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474" w:type="pct"/>
            <w:shd w:val="clear" w:color="auto" w:fill="auto"/>
            <w:tcMar>
              <w:top w:w="113" w:type="dxa"/>
              <w:left w:w="170" w:type="dxa"/>
              <w:bottom w:w="113" w:type="dxa"/>
              <w:right w:w="170" w:type="dxa"/>
            </w:tcMar>
            <w:vAlign w:val="center"/>
          </w:tcPr>
          <w:p w14:paraId="3563DC7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数据项名称</w:t>
            </w:r>
          </w:p>
        </w:tc>
        <w:tc>
          <w:tcPr>
            <w:tcW w:w="261" w:type="pct"/>
            <w:shd w:val="clear" w:color="auto" w:fill="auto"/>
            <w:tcMar>
              <w:top w:w="113" w:type="dxa"/>
              <w:left w:w="170" w:type="dxa"/>
              <w:bottom w:w="113" w:type="dxa"/>
              <w:right w:w="170" w:type="dxa"/>
            </w:tcMar>
            <w:vAlign w:val="center"/>
          </w:tcPr>
          <w:p w14:paraId="4BF69033">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数据级别</w:t>
            </w:r>
          </w:p>
        </w:tc>
        <w:tc>
          <w:tcPr>
            <w:tcW w:w="333" w:type="pct"/>
            <w:shd w:val="clear" w:color="auto" w:fill="auto"/>
            <w:tcMar>
              <w:top w:w="113" w:type="dxa"/>
              <w:left w:w="170" w:type="dxa"/>
              <w:bottom w:w="113" w:type="dxa"/>
              <w:right w:w="170" w:type="dxa"/>
            </w:tcMar>
            <w:vAlign w:val="center"/>
          </w:tcPr>
          <w:p w14:paraId="690294F6">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数据量</w:t>
            </w:r>
          </w:p>
          <w:p w14:paraId="757CB51B">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（参考）</w:t>
            </w:r>
          </w:p>
        </w:tc>
        <w:tc>
          <w:tcPr>
            <w:tcW w:w="959" w:type="pct"/>
            <w:shd w:val="clear" w:color="auto" w:fill="auto"/>
            <w:tcMar>
              <w:top w:w="113" w:type="dxa"/>
              <w:left w:w="170" w:type="dxa"/>
              <w:bottom w:w="113" w:type="dxa"/>
              <w:right w:w="170" w:type="dxa"/>
            </w:tcMar>
            <w:vAlign w:val="center"/>
          </w:tcPr>
          <w:p w14:paraId="0944555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数据处理目的和意义</w:t>
            </w:r>
          </w:p>
        </w:tc>
        <w:tc>
          <w:tcPr>
            <w:tcW w:w="820" w:type="pct"/>
            <w:shd w:val="clear" w:color="auto" w:fill="auto"/>
            <w:tcMar>
              <w:top w:w="113" w:type="dxa"/>
              <w:left w:w="170" w:type="dxa"/>
              <w:bottom w:w="113" w:type="dxa"/>
              <w:right w:w="170" w:type="dxa"/>
            </w:tcMar>
            <w:vAlign w:val="center"/>
          </w:tcPr>
          <w:p w14:paraId="073E515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数据处理场景</w:t>
            </w:r>
          </w:p>
        </w:tc>
        <w:tc>
          <w:tcPr>
            <w:tcW w:w="820" w:type="pct"/>
            <w:shd w:val="clear" w:color="auto" w:fill="auto"/>
            <w:tcMar>
              <w:top w:w="113" w:type="dxa"/>
              <w:left w:w="170" w:type="dxa"/>
              <w:bottom w:w="113" w:type="dxa"/>
              <w:right w:w="170" w:type="dxa"/>
            </w:tcMar>
            <w:vAlign w:val="center"/>
          </w:tcPr>
          <w:p w14:paraId="04B4DFF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数据载体</w:t>
            </w:r>
          </w:p>
        </w:tc>
        <w:tc>
          <w:tcPr>
            <w:tcW w:w="266" w:type="pct"/>
            <w:shd w:val="clear" w:color="auto" w:fill="auto"/>
            <w:tcMar>
              <w:top w:w="113" w:type="dxa"/>
              <w:left w:w="170" w:type="dxa"/>
              <w:bottom w:w="113" w:type="dxa"/>
              <w:right w:w="170" w:type="dxa"/>
            </w:tcMar>
            <w:vAlign w:val="center"/>
          </w:tcPr>
          <w:p w14:paraId="336A28B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是否涉及数据出境</w:t>
            </w:r>
          </w:p>
        </w:tc>
        <w:tc>
          <w:tcPr>
            <w:tcW w:w="512" w:type="pct"/>
            <w:shd w:val="clear" w:color="auto" w:fill="auto"/>
            <w:tcMar>
              <w:top w:w="113" w:type="dxa"/>
              <w:left w:w="170" w:type="dxa"/>
              <w:bottom w:w="113" w:type="dxa"/>
              <w:right w:w="170" w:type="dxa"/>
            </w:tcMar>
            <w:vAlign w:val="center"/>
          </w:tcPr>
          <w:p w14:paraId="2741203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数据备份情况</w:t>
            </w:r>
          </w:p>
        </w:tc>
      </w:tr>
      <w:tr w14:paraId="5D36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5B4B9FB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稀有金属/贵金属→冶炼→研发设计→核心技术研发</w:t>
            </w:r>
          </w:p>
        </w:tc>
        <w:tc>
          <w:tcPr>
            <w:tcW w:w="474" w:type="pct"/>
            <w:shd w:val="clear" w:color="auto" w:fill="auto"/>
            <w:tcMar>
              <w:top w:w="113" w:type="dxa"/>
              <w:left w:w="170" w:type="dxa"/>
              <w:bottom w:w="113" w:type="dxa"/>
              <w:right w:w="170" w:type="dxa"/>
            </w:tcMar>
            <w:vAlign w:val="center"/>
          </w:tcPr>
          <w:p w14:paraId="68351D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冶炼关键技术开发及工艺优化科研项目数据</w:t>
            </w:r>
          </w:p>
        </w:tc>
        <w:tc>
          <w:tcPr>
            <w:tcW w:w="261" w:type="pct"/>
            <w:shd w:val="clear" w:color="auto" w:fill="auto"/>
            <w:tcMar>
              <w:top w:w="113" w:type="dxa"/>
              <w:left w:w="170" w:type="dxa"/>
              <w:bottom w:w="113" w:type="dxa"/>
              <w:right w:w="170" w:type="dxa"/>
            </w:tcMar>
            <w:vAlign w:val="center"/>
          </w:tcPr>
          <w:p w14:paraId="462284C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核心数据</w:t>
            </w:r>
          </w:p>
        </w:tc>
        <w:tc>
          <w:tcPr>
            <w:tcW w:w="333" w:type="pct"/>
            <w:shd w:val="clear" w:color="auto" w:fill="auto"/>
            <w:tcMar>
              <w:top w:w="113" w:type="dxa"/>
              <w:left w:w="170" w:type="dxa"/>
              <w:bottom w:w="113" w:type="dxa"/>
              <w:right w:w="170" w:type="dxa"/>
            </w:tcMar>
            <w:vAlign w:val="center"/>
          </w:tcPr>
          <w:p w14:paraId="2935BAA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10-50GB</w:t>
            </w:r>
          </w:p>
        </w:tc>
        <w:tc>
          <w:tcPr>
            <w:tcW w:w="959" w:type="pct"/>
            <w:shd w:val="clear" w:color="auto" w:fill="auto"/>
            <w:tcMar>
              <w:top w:w="113" w:type="dxa"/>
              <w:left w:w="170" w:type="dxa"/>
              <w:bottom w:w="113" w:type="dxa"/>
              <w:right w:w="170" w:type="dxa"/>
            </w:tcMar>
            <w:vAlign w:val="center"/>
          </w:tcPr>
          <w:p w14:paraId="289878E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国家科技计划项目相关数据，属于与国家科技安全相关高价值敏感数据</w:t>
            </w:r>
          </w:p>
        </w:tc>
        <w:tc>
          <w:tcPr>
            <w:tcW w:w="820" w:type="pct"/>
            <w:shd w:val="clear" w:color="auto" w:fill="auto"/>
            <w:tcMar>
              <w:top w:w="113" w:type="dxa"/>
              <w:left w:w="170" w:type="dxa"/>
              <w:bottom w:w="113" w:type="dxa"/>
              <w:right w:w="170" w:type="dxa"/>
            </w:tcMar>
            <w:vAlign w:val="center"/>
          </w:tcPr>
          <w:p w14:paraId="073384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科研项目管理系统、知识产权管理系统的项目研发、成果管理功能</w:t>
            </w:r>
          </w:p>
        </w:tc>
        <w:tc>
          <w:tcPr>
            <w:tcW w:w="820" w:type="pct"/>
            <w:shd w:val="clear" w:color="auto" w:fill="auto"/>
            <w:tcMar>
              <w:top w:w="113" w:type="dxa"/>
              <w:left w:w="170" w:type="dxa"/>
              <w:bottom w:w="113" w:type="dxa"/>
              <w:right w:w="170" w:type="dxa"/>
            </w:tcMar>
            <w:vAlign w:val="center"/>
          </w:tcPr>
          <w:p w14:paraId="5236080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不与互联网连接的内网核心研发系统、科研项目数据库、纸质技术文档</w:t>
            </w:r>
          </w:p>
        </w:tc>
        <w:tc>
          <w:tcPr>
            <w:tcW w:w="266" w:type="pct"/>
            <w:shd w:val="clear" w:color="auto" w:fill="auto"/>
            <w:tcMar>
              <w:top w:w="113" w:type="dxa"/>
              <w:left w:w="170" w:type="dxa"/>
              <w:bottom w:w="113" w:type="dxa"/>
              <w:right w:w="170" w:type="dxa"/>
            </w:tcMar>
            <w:vAlign w:val="center"/>
          </w:tcPr>
          <w:p w14:paraId="11CD684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1C8626D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本地每日全量备份、异地实时冗余备份、云端每月归档备份</w:t>
            </w:r>
          </w:p>
        </w:tc>
      </w:tr>
      <w:tr w14:paraId="10ED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0212F68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重金属/稀有金属→冶炼→研发设计→工艺研发</w:t>
            </w:r>
          </w:p>
        </w:tc>
        <w:tc>
          <w:tcPr>
            <w:tcW w:w="474" w:type="pct"/>
            <w:shd w:val="clear" w:color="auto" w:fill="auto"/>
            <w:tcMar>
              <w:top w:w="113" w:type="dxa"/>
              <w:left w:w="170" w:type="dxa"/>
              <w:bottom w:w="113" w:type="dxa"/>
              <w:right w:w="170" w:type="dxa"/>
            </w:tcMar>
            <w:vAlign w:val="center"/>
          </w:tcPr>
          <w:p w14:paraId="1B615B6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冶炼工艺研发数据</w:t>
            </w:r>
          </w:p>
        </w:tc>
        <w:tc>
          <w:tcPr>
            <w:tcW w:w="261" w:type="pct"/>
            <w:shd w:val="clear" w:color="auto" w:fill="auto"/>
            <w:tcMar>
              <w:top w:w="113" w:type="dxa"/>
              <w:left w:w="170" w:type="dxa"/>
              <w:bottom w:w="113" w:type="dxa"/>
              <w:right w:w="170" w:type="dxa"/>
            </w:tcMar>
            <w:vAlign w:val="center"/>
          </w:tcPr>
          <w:p w14:paraId="0DEF7F5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33" w:type="pct"/>
            <w:shd w:val="clear" w:color="auto" w:fill="auto"/>
            <w:tcMar>
              <w:top w:w="113" w:type="dxa"/>
              <w:left w:w="170" w:type="dxa"/>
              <w:bottom w:w="113" w:type="dxa"/>
              <w:right w:w="170" w:type="dxa"/>
            </w:tcMar>
            <w:vAlign w:val="center"/>
          </w:tcPr>
          <w:p w14:paraId="452A1E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15-80GB</w:t>
            </w:r>
          </w:p>
        </w:tc>
        <w:tc>
          <w:tcPr>
            <w:tcW w:w="959" w:type="pct"/>
            <w:shd w:val="clear" w:color="auto" w:fill="auto"/>
            <w:tcMar>
              <w:top w:w="113" w:type="dxa"/>
              <w:left w:w="170" w:type="dxa"/>
              <w:bottom w:w="113" w:type="dxa"/>
              <w:right w:w="170" w:type="dxa"/>
            </w:tcMar>
            <w:vAlign w:val="center"/>
          </w:tcPr>
          <w:p w14:paraId="1AB48BB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企业技术突破和降本增效的核心支撑，直接决定冶炼效率与产品竞争力</w:t>
            </w:r>
          </w:p>
        </w:tc>
        <w:tc>
          <w:tcPr>
            <w:tcW w:w="820" w:type="pct"/>
            <w:shd w:val="clear" w:color="auto" w:fill="auto"/>
            <w:tcMar>
              <w:top w:w="113" w:type="dxa"/>
              <w:left w:w="170" w:type="dxa"/>
              <w:bottom w:w="113" w:type="dxa"/>
              <w:right w:w="170" w:type="dxa"/>
            </w:tcMar>
            <w:vAlign w:val="center"/>
          </w:tcPr>
          <w:p w14:paraId="77AC4F5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冶炼工艺研发系统、中试数据管理系统的工艺设计、参数优化功能</w:t>
            </w:r>
          </w:p>
        </w:tc>
        <w:tc>
          <w:tcPr>
            <w:tcW w:w="820" w:type="pct"/>
            <w:shd w:val="clear" w:color="auto" w:fill="auto"/>
            <w:tcMar>
              <w:top w:w="113" w:type="dxa"/>
              <w:left w:w="170" w:type="dxa"/>
              <w:bottom w:w="113" w:type="dxa"/>
              <w:right w:w="170" w:type="dxa"/>
            </w:tcMar>
            <w:vAlign w:val="center"/>
          </w:tcPr>
          <w:p w14:paraId="6D2906B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不与互联网连接的内网研发系统、工艺实验数据库、纸质设计图纸</w:t>
            </w:r>
          </w:p>
        </w:tc>
        <w:tc>
          <w:tcPr>
            <w:tcW w:w="266" w:type="pct"/>
            <w:shd w:val="clear" w:color="auto" w:fill="auto"/>
            <w:tcMar>
              <w:top w:w="113" w:type="dxa"/>
              <w:left w:w="170" w:type="dxa"/>
              <w:bottom w:w="113" w:type="dxa"/>
              <w:right w:w="170" w:type="dxa"/>
            </w:tcMar>
            <w:vAlign w:val="center"/>
          </w:tcPr>
          <w:p w14:paraId="4F72DF2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3184B7F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5838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1DC39DC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通用→冶炼→研发设计→环保技术开发</w:t>
            </w:r>
          </w:p>
        </w:tc>
        <w:tc>
          <w:tcPr>
            <w:tcW w:w="474" w:type="pct"/>
            <w:shd w:val="clear" w:color="auto" w:fill="auto"/>
            <w:tcMar>
              <w:top w:w="113" w:type="dxa"/>
              <w:left w:w="170" w:type="dxa"/>
              <w:bottom w:w="113" w:type="dxa"/>
              <w:right w:w="170" w:type="dxa"/>
            </w:tcMar>
            <w:vAlign w:val="center"/>
          </w:tcPr>
          <w:p w14:paraId="1498E43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环保技术开发数据</w:t>
            </w:r>
          </w:p>
        </w:tc>
        <w:tc>
          <w:tcPr>
            <w:tcW w:w="261" w:type="pct"/>
            <w:shd w:val="clear" w:color="auto" w:fill="auto"/>
            <w:tcMar>
              <w:top w:w="113" w:type="dxa"/>
              <w:left w:w="170" w:type="dxa"/>
              <w:bottom w:w="113" w:type="dxa"/>
              <w:right w:w="170" w:type="dxa"/>
            </w:tcMar>
            <w:vAlign w:val="center"/>
          </w:tcPr>
          <w:p w14:paraId="6B4113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4AF9E90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5-30GB</w:t>
            </w:r>
          </w:p>
        </w:tc>
        <w:tc>
          <w:tcPr>
            <w:tcW w:w="959" w:type="pct"/>
            <w:shd w:val="clear" w:color="auto" w:fill="auto"/>
            <w:tcMar>
              <w:top w:w="113" w:type="dxa"/>
              <w:left w:w="170" w:type="dxa"/>
              <w:bottom w:w="113" w:type="dxa"/>
              <w:right w:w="170" w:type="dxa"/>
            </w:tcMar>
            <w:vAlign w:val="center"/>
          </w:tcPr>
          <w:p w14:paraId="2D45EB8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关系企业环保合规性与绿色生产竞争力</w:t>
            </w:r>
          </w:p>
        </w:tc>
        <w:tc>
          <w:tcPr>
            <w:tcW w:w="820" w:type="pct"/>
            <w:shd w:val="clear" w:color="auto" w:fill="auto"/>
            <w:tcMar>
              <w:top w:w="113" w:type="dxa"/>
              <w:left w:w="170" w:type="dxa"/>
              <w:bottom w:w="113" w:type="dxa"/>
              <w:right w:w="170" w:type="dxa"/>
            </w:tcMar>
            <w:vAlign w:val="center"/>
          </w:tcPr>
          <w:p w14:paraId="1BC717A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环保技术研发系统、实验室数据管理系统的工艺优化、技术验证功能</w:t>
            </w:r>
          </w:p>
        </w:tc>
        <w:tc>
          <w:tcPr>
            <w:tcW w:w="820" w:type="pct"/>
            <w:shd w:val="clear" w:color="auto" w:fill="auto"/>
            <w:tcMar>
              <w:top w:w="113" w:type="dxa"/>
              <w:left w:w="170" w:type="dxa"/>
              <w:bottom w:w="113" w:type="dxa"/>
              <w:right w:w="170" w:type="dxa"/>
            </w:tcMar>
            <w:vAlign w:val="center"/>
          </w:tcPr>
          <w:p w14:paraId="4CCCC58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内网研发系统、环保实验数据库、纸质实验报告</w:t>
            </w:r>
          </w:p>
        </w:tc>
        <w:tc>
          <w:tcPr>
            <w:tcW w:w="266" w:type="pct"/>
            <w:shd w:val="clear" w:color="auto" w:fill="auto"/>
            <w:tcMar>
              <w:top w:w="113" w:type="dxa"/>
              <w:left w:w="170" w:type="dxa"/>
              <w:bottom w:w="113" w:type="dxa"/>
              <w:right w:w="170" w:type="dxa"/>
            </w:tcMar>
            <w:vAlign w:val="center"/>
          </w:tcPr>
          <w:p w14:paraId="4B61883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6651BCC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ED0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119E622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重金属/稀有金属→冶炼→生产制造→过程控制</w:t>
            </w:r>
          </w:p>
        </w:tc>
        <w:tc>
          <w:tcPr>
            <w:tcW w:w="474" w:type="pct"/>
            <w:shd w:val="clear" w:color="auto" w:fill="auto"/>
            <w:tcMar>
              <w:top w:w="113" w:type="dxa"/>
              <w:left w:w="170" w:type="dxa"/>
              <w:bottom w:w="113" w:type="dxa"/>
              <w:right w:w="170" w:type="dxa"/>
            </w:tcMar>
            <w:vAlign w:val="center"/>
          </w:tcPr>
          <w:p w14:paraId="5C87A40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冶炼关键系统组件、设备控制数据</w:t>
            </w:r>
          </w:p>
        </w:tc>
        <w:tc>
          <w:tcPr>
            <w:tcW w:w="261" w:type="pct"/>
            <w:shd w:val="clear" w:color="auto" w:fill="auto"/>
            <w:tcMar>
              <w:top w:w="113" w:type="dxa"/>
              <w:left w:w="170" w:type="dxa"/>
              <w:bottom w:w="113" w:type="dxa"/>
              <w:right w:w="170" w:type="dxa"/>
            </w:tcMar>
            <w:vAlign w:val="center"/>
          </w:tcPr>
          <w:p w14:paraId="765046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33" w:type="pct"/>
            <w:shd w:val="clear" w:color="auto" w:fill="auto"/>
            <w:tcMar>
              <w:top w:w="113" w:type="dxa"/>
              <w:left w:w="170" w:type="dxa"/>
              <w:bottom w:w="113" w:type="dxa"/>
              <w:right w:w="170" w:type="dxa"/>
            </w:tcMar>
            <w:vAlign w:val="center"/>
          </w:tcPr>
          <w:p w14:paraId="245E757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200GB-2TB/年</w:t>
            </w:r>
          </w:p>
        </w:tc>
        <w:tc>
          <w:tcPr>
            <w:tcW w:w="959" w:type="pct"/>
            <w:shd w:val="clear" w:color="auto" w:fill="auto"/>
            <w:tcMar>
              <w:top w:w="113" w:type="dxa"/>
              <w:left w:w="170" w:type="dxa"/>
              <w:bottom w:w="113" w:type="dxa"/>
              <w:right w:w="170" w:type="dxa"/>
            </w:tcMar>
            <w:vAlign w:val="center"/>
          </w:tcPr>
          <w:p w14:paraId="2E9329B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用于冶炼生产过程中生产指令操作、控制和调度工作，涉及行业内未公开的先进基础工艺、重点危险化学品生产存储/严重影响生产安全的关键控制系统</w:t>
            </w:r>
          </w:p>
        </w:tc>
        <w:tc>
          <w:tcPr>
            <w:tcW w:w="820" w:type="pct"/>
            <w:shd w:val="clear" w:color="auto" w:fill="auto"/>
            <w:tcMar>
              <w:top w:w="113" w:type="dxa"/>
              <w:left w:w="170" w:type="dxa"/>
              <w:bottom w:w="113" w:type="dxa"/>
              <w:right w:w="170" w:type="dxa"/>
            </w:tcMar>
            <w:vAlign w:val="center"/>
          </w:tcPr>
          <w:p w14:paraId="0F8BA95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冶炼生产控制系统、PLC系统、SCADA系统的实时过程控制、安全联锁功能</w:t>
            </w:r>
          </w:p>
        </w:tc>
        <w:tc>
          <w:tcPr>
            <w:tcW w:w="820" w:type="pct"/>
            <w:shd w:val="clear" w:color="auto" w:fill="auto"/>
            <w:tcMar>
              <w:top w:w="113" w:type="dxa"/>
              <w:left w:w="170" w:type="dxa"/>
              <w:bottom w:w="113" w:type="dxa"/>
              <w:right w:w="170" w:type="dxa"/>
            </w:tcMar>
            <w:vAlign w:val="center"/>
          </w:tcPr>
          <w:p w14:paraId="136FDEE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不与互联网连接的工业控制系统、实时数据采集服务器、本地控制终端</w:t>
            </w:r>
          </w:p>
        </w:tc>
        <w:tc>
          <w:tcPr>
            <w:tcW w:w="266" w:type="pct"/>
            <w:shd w:val="clear" w:color="auto" w:fill="auto"/>
            <w:tcMar>
              <w:top w:w="113" w:type="dxa"/>
              <w:left w:w="170" w:type="dxa"/>
              <w:bottom w:w="113" w:type="dxa"/>
              <w:right w:w="170" w:type="dxa"/>
            </w:tcMar>
            <w:vAlign w:val="center"/>
          </w:tcPr>
          <w:p w14:paraId="54EC2D7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232A6A6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本地实时冗余备份、异地每日增量备份、每周全量备份</w:t>
            </w:r>
          </w:p>
        </w:tc>
      </w:tr>
      <w:tr w14:paraId="3627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59217EE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重金属/稀有金属→冶炼→生产制造→工况监测</w:t>
            </w:r>
          </w:p>
        </w:tc>
        <w:tc>
          <w:tcPr>
            <w:tcW w:w="474" w:type="pct"/>
            <w:shd w:val="clear" w:color="auto" w:fill="auto"/>
            <w:tcMar>
              <w:top w:w="113" w:type="dxa"/>
              <w:left w:w="170" w:type="dxa"/>
              <w:bottom w:w="113" w:type="dxa"/>
              <w:right w:w="170" w:type="dxa"/>
            </w:tcMar>
            <w:vAlign w:val="center"/>
          </w:tcPr>
          <w:p w14:paraId="6B5A0C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冶炼工况监测数据</w:t>
            </w:r>
          </w:p>
        </w:tc>
        <w:tc>
          <w:tcPr>
            <w:tcW w:w="261" w:type="pct"/>
            <w:shd w:val="clear" w:color="auto" w:fill="auto"/>
            <w:tcMar>
              <w:top w:w="113" w:type="dxa"/>
              <w:left w:w="170" w:type="dxa"/>
              <w:bottom w:w="113" w:type="dxa"/>
              <w:right w:w="170" w:type="dxa"/>
            </w:tcMar>
            <w:vAlign w:val="center"/>
          </w:tcPr>
          <w:p w14:paraId="4BEC27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665791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100GB-1TB/年</w:t>
            </w:r>
          </w:p>
        </w:tc>
        <w:tc>
          <w:tcPr>
            <w:tcW w:w="959" w:type="pct"/>
            <w:shd w:val="clear" w:color="auto" w:fill="auto"/>
            <w:tcMar>
              <w:top w:w="113" w:type="dxa"/>
              <w:left w:w="170" w:type="dxa"/>
              <w:bottom w:w="113" w:type="dxa"/>
              <w:right w:w="170" w:type="dxa"/>
            </w:tcMar>
            <w:vAlign w:val="center"/>
          </w:tcPr>
          <w:p w14:paraId="46D5721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用于判断生产状态是否正常，是故障预警的关键依据</w:t>
            </w:r>
          </w:p>
        </w:tc>
        <w:tc>
          <w:tcPr>
            <w:tcW w:w="820" w:type="pct"/>
            <w:shd w:val="clear" w:color="auto" w:fill="auto"/>
            <w:tcMar>
              <w:top w:w="113" w:type="dxa"/>
              <w:left w:w="170" w:type="dxa"/>
              <w:bottom w:w="113" w:type="dxa"/>
              <w:right w:w="170" w:type="dxa"/>
            </w:tcMar>
            <w:vAlign w:val="center"/>
          </w:tcPr>
          <w:p w14:paraId="21F5C4F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冶炼生产监控系统、SCADA系统的实时工况监测、异常预警功能</w:t>
            </w:r>
          </w:p>
        </w:tc>
        <w:tc>
          <w:tcPr>
            <w:tcW w:w="820" w:type="pct"/>
            <w:shd w:val="clear" w:color="auto" w:fill="auto"/>
            <w:tcMar>
              <w:top w:w="113" w:type="dxa"/>
              <w:left w:w="170" w:type="dxa"/>
              <w:bottom w:w="113" w:type="dxa"/>
              <w:right w:w="170" w:type="dxa"/>
            </w:tcMar>
            <w:vAlign w:val="center"/>
          </w:tcPr>
          <w:p w14:paraId="2A30E25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内网生产监控系统、SCADA数据服务器、现场传感器终端</w:t>
            </w:r>
          </w:p>
        </w:tc>
        <w:tc>
          <w:tcPr>
            <w:tcW w:w="266" w:type="pct"/>
            <w:shd w:val="clear" w:color="auto" w:fill="auto"/>
            <w:tcMar>
              <w:top w:w="113" w:type="dxa"/>
              <w:left w:w="170" w:type="dxa"/>
              <w:bottom w:w="113" w:type="dxa"/>
              <w:right w:w="170" w:type="dxa"/>
            </w:tcMar>
            <w:vAlign w:val="center"/>
          </w:tcPr>
          <w:p w14:paraId="609BC9A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5BC188F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41D5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69B71DD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通用→冶炼→生产制造→系统运维</w:t>
            </w:r>
          </w:p>
        </w:tc>
        <w:tc>
          <w:tcPr>
            <w:tcW w:w="474" w:type="pct"/>
            <w:shd w:val="clear" w:color="auto" w:fill="auto"/>
            <w:tcMar>
              <w:top w:w="113" w:type="dxa"/>
              <w:left w:w="170" w:type="dxa"/>
              <w:bottom w:w="113" w:type="dxa"/>
              <w:right w:w="170" w:type="dxa"/>
            </w:tcMar>
            <w:vAlign w:val="center"/>
          </w:tcPr>
          <w:p w14:paraId="06DC8F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生产系统运行日志</w:t>
            </w:r>
          </w:p>
        </w:tc>
        <w:tc>
          <w:tcPr>
            <w:tcW w:w="261" w:type="pct"/>
            <w:shd w:val="clear" w:color="auto" w:fill="auto"/>
            <w:tcMar>
              <w:top w:w="113" w:type="dxa"/>
              <w:left w:w="170" w:type="dxa"/>
              <w:bottom w:w="113" w:type="dxa"/>
              <w:right w:w="170" w:type="dxa"/>
            </w:tcMar>
            <w:vAlign w:val="center"/>
          </w:tcPr>
          <w:p w14:paraId="0A1CE05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7FBFEF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50-300GB/年</w:t>
            </w:r>
          </w:p>
        </w:tc>
        <w:tc>
          <w:tcPr>
            <w:tcW w:w="959" w:type="pct"/>
            <w:shd w:val="clear" w:color="auto" w:fill="auto"/>
            <w:tcMar>
              <w:top w:w="113" w:type="dxa"/>
              <w:left w:w="170" w:type="dxa"/>
              <w:bottom w:w="113" w:type="dxa"/>
              <w:right w:w="170" w:type="dxa"/>
            </w:tcMar>
            <w:vAlign w:val="center"/>
          </w:tcPr>
          <w:p w14:paraId="3EB58E2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主要用于事后追溯，不直接影响实时生产</w:t>
            </w:r>
          </w:p>
        </w:tc>
        <w:tc>
          <w:tcPr>
            <w:tcW w:w="820" w:type="pct"/>
            <w:shd w:val="clear" w:color="auto" w:fill="auto"/>
            <w:tcMar>
              <w:top w:w="113" w:type="dxa"/>
              <w:left w:w="170" w:type="dxa"/>
              <w:bottom w:w="113" w:type="dxa"/>
              <w:right w:w="170" w:type="dxa"/>
            </w:tcMar>
            <w:vAlign w:val="center"/>
          </w:tcPr>
          <w:p w14:paraId="1A4D42A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系统运维平台、故障管理系统的日志查询、故障追溯功能</w:t>
            </w:r>
          </w:p>
        </w:tc>
        <w:tc>
          <w:tcPr>
            <w:tcW w:w="820" w:type="pct"/>
            <w:shd w:val="clear" w:color="auto" w:fill="auto"/>
            <w:tcMar>
              <w:top w:w="113" w:type="dxa"/>
              <w:left w:w="170" w:type="dxa"/>
              <w:bottom w:w="113" w:type="dxa"/>
              <w:right w:w="170" w:type="dxa"/>
            </w:tcMar>
            <w:vAlign w:val="center"/>
          </w:tcPr>
          <w:p w14:paraId="566A0E8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内网运维管理系统、系统日志服务器、纸质运维记录</w:t>
            </w:r>
          </w:p>
        </w:tc>
        <w:tc>
          <w:tcPr>
            <w:tcW w:w="266" w:type="pct"/>
            <w:shd w:val="clear" w:color="auto" w:fill="auto"/>
            <w:tcMar>
              <w:top w:w="113" w:type="dxa"/>
              <w:left w:w="170" w:type="dxa"/>
              <w:bottom w:w="113" w:type="dxa"/>
              <w:right w:w="170" w:type="dxa"/>
            </w:tcMar>
            <w:vAlign w:val="center"/>
          </w:tcPr>
          <w:p w14:paraId="1AD4C64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06F59DD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7F3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4732D81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重金属/稀有金属→冶炼→生产制造→设备运维</w:t>
            </w:r>
          </w:p>
        </w:tc>
        <w:tc>
          <w:tcPr>
            <w:tcW w:w="474" w:type="pct"/>
            <w:shd w:val="clear" w:color="auto" w:fill="auto"/>
            <w:tcMar>
              <w:top w:w="113" w:type="dxa"/>
              <w:left w:w="170" w:type="dxa"/>
              <w:bottom w:w="113" w:type="dxa"/>
              <w:right w:w="170" w:type="dxa"/>
            </w:tcMar>
            <w:vAlign w:val="center"/>
          </w:tcPr>
          <w:p w14:paraId="329CF8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关键设备运维数据</w:t>
            </w:r>
          </w:p>
        </w:tc>
        <w:tc>
          <w:tcPr>
            <w:tcW w:w="261" w:type="pct"/>
            <w:shd w:val="clear" w:color="auto" w:fill="auto"/>
            <w:tcMar>
              <w:top w:w="113" w:type="dxa"/>
              <w:left w:w="170" w:type="dxa"/>
              <w:bottom w:w="113" w:type="dxa"/>
              <w:right w:w="170" w:type="dxa"/>
            </w:tcMar>
            <w:vAlign w:val="center"/>
          </w:tcPr>
          <w:p w14:paraId="4E33C18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BB8CC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5-30GB/年</w:t>
            </w:r>
          </w:p>
        </w:tc>
        <w:tc>
          <w:tcPr>
            <w:tcW w:w="959" w:type="pct"/>
            <w:shd w:val="clear" w:color="auto" w:fill="auto"/>
            <w:tcMar>
              <w:top w:w="113" w:type="dxa"/>
              <w:left w:w="170" w:type="dxa"/>
              <w:bottom w:w="113" w:type="dxa"/>
              <w:right w:w="170" w:type="dxa"/>
            </w:tcMar>
            <w:vAlign w:val="center"/>
          </w:tcPr>
          <w:p w14:paraId="5AD927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关系设备寿命与生产连续性，避免非计划停机</w:t>
            </w:r>
          </w:p>
        </w:tc>
        <w:tc>
          <w:tcPr>
            <w:tcW w:w="820" w:type="pct"/>
            <w:shd w:val="clear" w:color="auto" w:fill="auto"/>
            <w:tcMar>
              <w:top w:w="113" w:type="dxa"/>
              <w:left w:w="170" w:type="dxa"/>
              <w:bottom w:w="113" w:type="dxa"/>
              <w:right w:w="170" w:type="dxa"/>
            </w:tcMar>
            <w:vAlign w:val="center"/>
          </w:tcPr>
          <w:p w14:paraId="7ACFC55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设备管理系统、EAM系统的设备运维、备件管理、寿命预测功能</w:t>
            </w:r>
          </w:p>
        </w:tc>
        <w:tc>
          <w:tcPr>
            <w:tcW w:w="820" w:type="pct"/>
            <w:shd w:val="clear" w:color="auto" w:fill="auto"/>
            <w:tcMar>
              <w:top w:w="113" w:type="dxa"/>
              <w:left w:w="170" w:type="dxa"/>
              <w:bottom w:w="113" w:type="dxa"/>
              <w:right w:w="170" w:type="dxa"/>
            </w:tcMar>
            <w:vAlign w:val="center"/>
          </w:tcPr>
          <w:p w14:paraId="39B96E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内网设备管理数据库、运维记录档案、纸质维修单据</w:t>
            </w:r>
          </w:p>
        </w:tc>
        <w:tc>
          <w:tcPr>
            <w:tcW w:w="266" w:type="pct"/>
            <w:shd w:val="clear" w:color="auto" w:fill="auto"/>
            <w:tcMar>
              <w:top w:w="113" w:type="dxa"/>
              <w:left w:w="170" w:type="dxa"/>
              <w:bottom w:w="113" w:type="dxa"/>
              <w:right w:w="170" w:type="dxa"/>
            </w:tcMar>
            <w:vAlign w:val="center"/>
          </w:tcPr>
          <w:p w14:paraId="10C93E5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29CDD2C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09CC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0BC0DD8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重金属/稀有金属→冶炼→生产制造→物料调度</w:t>
            </w:r>
          </w:p>
        </w:tc>
        <w:tc>
          <w:tcPr>
            <w:tcW w:w="474" w:type="pct"/>
            <w:shd w:val="clear" w:color="auto" w:fill="auto"/>
            <w:tcMar>
              <w:top w:w="113" w:type="dxa"/>
              <w:left w:w="170" w:type="dxa"/>
              <w:bottom w:w="113" w:type="dxa"/>
              <w:right w:w="170" w:type="dxa"/>
            </w:tcMar>
            <w:vAlign w:val="center"/>
          </w:tcPr>
          <w:p w14:paraId="385DFB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冶炼物料调度数据</w:t>
            </w:r>
          </w:p>
        </w:tc>
        <w:tc>
          <w:tcPr>
            <w:tcW w:w="261" w:type="pct"/>
            <w:shd w:val="clear" w:color="auto" w:fill="auto"/>
            <w:tcMar>
              <w:top w:w="113" w:type="dxa"/>
              <w:left w:w="170" w:type="dxa"/>
              <w:bottom w:w="113" w:type="dxa"/>
              <w:right w:w="170" w:type="dxa"/>
            </w:tcMar>
            <w:vAlign w:val="center"/>
          </w:tcPr>
          <w:p w14:paraId="750C51A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3C59C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2-10GB/年</w:t>
            </w:r>
          </w:p>
        </w:tc>
        <w:tc>
          <w:tcPr>
            <w:tcW w:w="959" w:type="pct"/>
            <w:shd w:val="clear" w:color="auto" w:fill="auto"/>
            <w:tcMar>
              <w:top w:w="113" w:type="dxa"/>
              <w:left w:w="170" w:type="dxa"/>
              <w:bottom w:w="113" w:type="dxa"/>
              <w:right w:w="170" w:type="dxa"/>
            </w:tcMar>
            <w:vAlign w:val="center"/>
          </w:tcPr>
          <w:p w14:paraId="30AD634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反映物料流转效率</w:t>
            </w:r>
          </w:p>
        </w:tc>
        <w:tc>
          <w:tcPr>
            <w:tcW w:w="820" w:type="pct"/>
            <w:shd w:val="clear" w:color="auto" w:fill="auto"/>
            <w:tcMar>
              <w:top w:w="113" w:type="dxa"/>
              <w:left w:w="170" w:type="dxa"/>
              <w:bottom w:w="113" w:type="dxa"/>
              <w:right w:w="170" w:type="dxa"/>
            </w:tcMar>
            <w:vAlign w:val="center"/>
          </w:tcPr>
          <w:p w14:paraId="4D2EF59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物流调度系统、生产管理系统的物料配送、库存调配功能</w:t>
            </w:r>
          </w:p>
        </w:tc>
        <w:tc>
          <w:tcPr>
            <w:tcW w:w="820" w:type="pct"/>
            <w:shd w:val="clear" w:color="auto" w:fill="auto"/>
            <w:tcMar>
              <w:top w:w="113" w:type="dxa"/>
              <w:left w:w="170" w:type="dxa"/>
              <w:bottom w:w="113" w:type="dxa"/>
              <w:right w:w="170" w:type="dxa"/>
            </w:tcMar>
            <w:vAlign w:val="center"/>
          </w:tcPr>
          <w:p w14:paraId="506964B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内网生产管理系统、物料调度数据库、纸质调度记录</w:t>
            </w:r>
          </w:p>
        </w:tc>
        <w:tc>
          <w:tcPr>
            <w:tcW w:w="266" w:type="pct"/>
            <w:shd w:val="clear" w:color="auto" w:fill="auto"/>
            <w:tcMar>
              <w:top w:w="113" w:type="dxa"/>
              <w:left w:w="170" w:type="dxa"/>
              <w:bottom w:w="113" w:type="dxa"/>
              <w:right w:w="170" w:type="dxa"/>
            </w:tcMar>
            <w:vAlign w:val="center"/>
          </w:tcPr>
          <w:p w14:paraId="4AF6A90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102B667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987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3B26C4A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通用→冶炼→安全生产→危化品管理</w:t>
            </w:r>
          </w:p>
        </w:tc>
        <w:tc>
          <w:tcPr>
            <w:tcW w:w="474" w:type="pct"/>
            <w:shd w:val="clear" w:color="auto" w:fill="auto"/>
            <w:tcMar>
              <w:top w:w="113" w:type="dxa"/>
              <w:left w:w="170" w:type="dxa"/>
              <w:bottom w:w="113" w:type="dxa"/>
              <w:right w:w="170" w:type="dxa"/>
            </w:tcMar>
            <w:vAlign w:val="center"/>
          </w:tcPr>
          <w:p w14:paraId="5645990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危化品管理数据</w:t>
            </w:r>
          </w:p>
        </w:tc>
        <w:tc>
          <w:tcPr>
            <w:tcW w:w="261" w:type="pct"/>
            <w:shd w:val="clear" w:color="auto" w:fill="auto"/>
            <w:tcMar>
              <w:top w:w="113" w:type="dxa"/>
              <w:left w:w="170" w:type="dxa"/>
              <w:bottom w:w="113" w:type="dxa"/>
              <w:right w:w="170" w:type="dxa"/>
            </w:tcMar>
            <w:vAlign w:val="center"/>
          </w:tcPr>
          <w:p w14:paraId="4F5E350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33" w:type="pct"/>
            <w:shd w:val="clear" w:color="auto" w:fill="auto"/>
            <w:tcMar>
              <w:top w:w="113" w:type="dxa"/>
              <w:left w:w="170" w:type="dxa"/>
              <w:bottom w:w="113" w:type="dxa"/>
              <w:right w:w="170" w:type="dxa"/>
            </w:tcMar>
            <w:vAlign w:val="center"/>
          </w:tcPr>
          <w:p w14:paraId="5A7B575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59" w:type="pct"/>
            <w:shd w:val="clear" w:color="auto" w:fill="auto"/>
            <w:tcMar>
              <w:top w:w="113" w:type="dxa"/>
              <w:left w:w="170" w:type="dxa"/>
              <w:bottom w:w="113" w:type="dxa"/>
              <w:right w:w="170" w:type="dxa"/>
            </w:tcMar>
            <w:vAlign w:val="center"/>
          </w:tcPr>
          <w:p w14:paraId="7703347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直接关系厂区安全与人员健康</w:t>
            </w:r>
          </w:p>
        </w:tc>
        <w:tc>
          <w:tcPr>
            <w:tcW w:w="820" w:type="pct"/>
            <w:shd w:val="clear" w:color="auto" w:fill="auto"/>
            <w:tcMar>
              <w:top w:w="113" w:type="dxa"/>
              <w:left w:w="170" w:type="dxa"/>
              <w:bottom w:w="113" w:type="dxa"/>
              <w:right w:w="170" w:type="dxa"/>
            </w:tcMar>
            <w:vAlign w:val="center"/>
          </w:tcPr>
          <w:p w14:paraId="278D67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危化品管理系统、安全管理系统的存储管控、领用管理、应急处置功能</w:t>
            </w:r>
          </w:p>
        </w:tc>
        <w:tc>
          <w:tcPr>
            <w:tcW w:w="820" w:type="pct"/>
            <w:shd w:val="clear" w:color="auto" w:fill="auto"/>
            <w:tcMar>
              <w:top w:w="113" w:type="dxa"/>
              <w:left w:w="170" w:type="dxa"/>
              <w:bottom w:w="113" w:type="dxa"/>
              <w:right w:w="170" w:type="dxa"/>
            </w:tcMar>
            <w:vAlign w:val="center"/>
          </w:tcPr>
          <w:p w14:paraId="168A307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不与互联网连接的内网安全管理系统、危化品数据库、纸质管理台账</w:t>
            </w:r>
          </w:p>
        </w:tc>
        <w:tc>
          <w:tcPr>
            <w:tcW w:w="266" w:type="pct"/>
            <w:shd w:val="clear" w:color="auto" w:fill="auto"/>
            <w:tcMar>
              <w:top w:w="113" w:type="dxa"/>
              <w:left w:w="170" w:type="dxa"/>
              <w:bottom w:w="113" w:type="dxa"/>
              <w:right w:w="170" w:type="dxa"/>
            </w:tcMar>
            <w:vAlign w:val="center"/>
          </w:tcPr>
          <w:p w14:paraId="056720B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185FF0D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0078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07CCDBF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重金属/稀有金属→冶炼→经营管理→资产管理</w:t>
            </w:r>
          </w:p>
        </w:tc>
        <w:tc>
          <w:tcPr>
            <w:tcW w:w="474" w:type="pct"/>
            <w:shd w:val="clear" w:color="auto" w:fill="auto"/>
            <w:tcMar>
              <w:top w:w="113" w:type="dxa"/>
              <w:left w:w="170" w:type="dxa"/>
              <w:bottom w:w="113" w:type="dxa"/>
              <w:right w:w="170" w:type="dxa"/>
            </w:tcMar>
            <w:vAlign w:val="center"/>
          </w:tcPr>
          <w:p w14:paraId="357CD6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冶炼设备资产数据</w:t>
            </w:r>
          </w:p>
        </w:tc>
        <w:tc>
          <w:tcPr>
            <w:tcW w:w="261" w:type="pct"/>
            <w:shd w:val="clear" w:color="auto" w:fill="auto"/>
            <w:tcMar>
              <w:top w:w="113" w:type="dxa"/>
              <w:left w:w="170" w:type="dxa"/>
              <w:bottom w:w="113" w:type="dxa"/>
              <w:right w:w="170" w:type="dxa"/>
            </w:tcMar>
            <w:vAlign w:val="center"/>
          </w:tcPr>
          <w:p w14:paraId="536D06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FEE8BB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2-10GB</w:t>
            </w:r>
          </w:p>
        </w:tc>
        <w:tc>
          <w:tcPr>
            <w:tcW w:w="959" w:type="pct"/>
            <w:shd w:val="clear" w:color="auto" w:fill="auto"/>
            <w:tcMar>
              <w:top w:w="113" w:type="dxa"/>
              <w:left w:w="170" w:type="dxa"/>
              <w:bottom w:w="113" w:type="dxa"/>
              <w:right w:w="170" w:type="dxa"/>
            </w:tcMar>
            <w:vAlign w:val="center"/>
          </w:tcPr>
          <w:p w14:paraId="30E7524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企业生产能力的核心载体，关系固定资产管理与产能规划</w:t>
            </w:r>
          </w:p>
        </w:tc>
        <w:tc>
          <w:tcPr>
            <w:tcW w:w="820" w:type="pct"/>
            <w:shd w:val="clear" w:color="auto" w:fill="auto"/>
            <w:tcMar>
              <w:top w:w="113" w:type="dxa"/>
              <w:left w:w="170" w:type="dxa"/>
              <w:bottom w:w="113" w:type="dxa"/>
              <w:right w:w="170" w:type="dxa"/>
            </w:tcMar>
            <w:vAlign w:val="center"/>
          </w:tcPr>
          <w:p w14:paraId="36808BA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资产管理系统、ERP系统的资产台账、价值管理功能</w:t>
            </w:r>
          </w:p>
        </w:tc>
        <w:tc>
          <w:tcPr>
            <w:tcW w:w="820" w:type="pct"/>
            <w:shd w:val="clear" w:color="auto" w:fill="auto"/>
            <w:tcMar>
              <w:top w:w="113" w:type="dxa"/>
              <w:left w:w="170" w:type="dxa"/>
              <w:bottom w:w="113" w:type="dxa"/>
              <w:right w:w="170" w:type="dxa"/>
            </w:tcMar>
            <w:vAlign w:val="center"/>
          </w:tcPr>
          <w:p w14:paraId="334F342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内网资产管理数据库、纸质设备合同、资产台账档案</w:t>
            </w:r>
          </w:p>
        </w:tc>
        <w:tc>
          <w:tcPr>
            <w:tcW w:w="266" w:type="pct"/>
            <w:shd w:val="clear" w:color="auto" w:fill="auto"/>
            <w:tcMar>
              <w:top w:w="113" w:type="dxa"/>
              <w:left w:w="170" w:type="dxa"/>
              <w:bottom w:w="113" w:type="dxa"/>
              <w:right w:w="170" w:type="dxa"/>
            </w:tcMar>
            <w:vAlign w:val="center"/>
          </w:tcPr>
          <w:p w14:paraId="763F56A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14C6792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693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0A0E192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通用→冶炼→安全生产→安全管理</w:t>
            </w:r>
          </w:p>
        </w:tc>
        <w:tc>
          <w:tcPr>
            <w:tcW w:w="474" w:type="pct"/>
            <w:shd w:val="clear" w:color="auto" w:fill="auto"/>
            <w:tcMar>
              <w:top w:w="113" w:type="dxa"/>
              <w:left w:w="170" w:type="dxa"/>
              <w:bottom w:w="113" w:type="dxa"/>
              <w:right w:w="170" w:type="dxa"/>
            </w:tcMar>
            <w:vAlign w:val="center"/>
          </w:tcPr>
          <w:p w14:paraId="45BC239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安全生产管理数据</w:t>
            </w:r>
          </w:p>
        </w:tc>
        <w:tc>
          <w:tcPr>
            <w:tcW w:w="261" w:type="pct"/>
            <w:shd w:val="clear" w:color="auto" w:fill="auto"/>
            <w:tcMar>
              <w:top w:w="113" w:type="dxa"/>
              <w:left w:w="170" w:type="dxa"/>
              <w:bottom w:w="113" w:type="dxa"/>
              <w:right w:w="170" w:type="dxa"/>
            </w:tcMar>
            <w:vAlign w:val="center"/>
          </w:tcPr>
          <w:p w14:paraId="6EF2567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227682C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2-10GB/年</w:t>
            </w:r>
          </w:p>
        </w:tc>
        <w:tc>
          <w:tcPr>
            <w:tcW w:w="959" w:type="pct"/>
            <w:shd w:val="clear" w:color="auto" w:fill="auto"/>
            <w:tcMar>
              <w:top w:w="113" w:type="dxa"/>
              <w:left w:w="170" w:type="dxa"/>
              <w:bottom w:w="113" w:type="dxa"/>
              <w:right w:w="170" w:type="dxa"/>
            </w:tcMar>
            <w:vAlign w:val="center"/>
          </w:tcPr>
          <w:p w14:paraId="20BCFBC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用于保障冶炼高风险环境下的生产安全</w:t>
            </w:r>
          </w:p>
        </w:tc>
        <w:tc>
          <w:tcPr>
            <w:tcW w:w="820" w:type="pct"/>
            <w:shd w:val="clear" w:color="auto" w:fill="auto"/>
            <w:tcMar>
              <w:top w:w="113" w:type="dxa"/>
              <w:left w:w="170" w:type="dxa"/>
              <w:bottom w:w="113" w:type="dxa"/>
              <w:right w:w="170" w:type="dxa"/>
            </w:tcMar>
            <w:vAlign w:val="center"/>
          </w:tcPr>
          <w:p w14:paraId="1938EB2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安全管理系统、隐患排查系统的安全检查、应急管理功能</w:t>
            </w:r>
          </w:p>
        </w:tc>
        <w:tc>
          <w:tcPr>
            <w:tcW w:w="820" w:type="pct"/>
            <w:shd w:val="clear" w:color="auto" w:fill="auto"/>
            <w:tcMar>
              <w:top w:w="113" w:type="dxa"/>
              <w:left w:w="170" w:type="dxa"/>
              <w:bottom w:w="113" w:type="dxa"/>
              <w:right w:w="170" w:type="dxa"/>
            </w:tcMar>
            <w:vAlign w:val="center"/>
          </w:tcPr>
          <w:p w14:paraId="4A78927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内网安全管理数据库、纸质安全记录、演练档案</w:t>
            </w:r>
          </w:p>
        </w:tc>
        <w:tc>
          <w:tcPr>
            <w:tcW w:w="266" w:type="pct"/>
            <w:shd w:val="clear" w:color="auto" w:fill="auto"/>
            <w:tcMar>
              <w:top w:w="113" w:type="dxa"/>
              <w:left w:w="170" w:type="dxa"/>
              <w:bottom w:w="113" w:type="dxa"/>
              <w:right w:w="170" w:type="dxa"/>
            </w:tcMar>
            <w:vAlign w:val="center"/>
          </w:tcPr>
          <w:p w14:paraId="65EDC87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469DB54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411F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5966C30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通用→冶炼→经营管理→人力资源</w:t>
            </w:r>
          </w:p>
        </w:tc>
        <w:tc>
          <w:tcPr>
            <w:tcW w:w="474" w:type="pct"/>
            <w:shd w:val="clear" w:color="auto" w:fill="auto"/>
            <w:tcMar>
              <w:top w:w="113" w:type="dxa"/>
              <w:left w:w="170" w:type="dxa"/>
              <w:bottom w:w="113" w:type="dxa"/>
              <w:right w:w="170" w:type="dxa"/>
            </w:tcMar>
            <w:vAlign w:val="center"/>
          </w:tcPr>
          <w:p w14:paraId="75D772D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人力资源与培训数据</w:t>
            </w:r>
          </w:p>
        </w:tc>
        <w:tc>
          <w:tcPr>
            <w:tcW w:w="261" w:type="pct"/>
            <w:shd w:val="clear" w:color="auto" w:fill="auto"/>
            <w:tcMar>
              <w:top w:w="113" w:type="dxa"/>
              <w:left w:w="170" w:type="dxa"/>
              <w:bottom w:w="113" w:type="dxa"/>
              <w:right w:w="170" w:type="dxa"/>
            </w:tcMar>
            <w:vAlign w:val="center"/>
          </w:tcPr>
          <w:p w14:paraId="5EB7A21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B1AB58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w:t>
            </w:r>
          </w:p>
        </w:tc>
        <w:tc>
          <w:tcPr>
            <w:tcW w:w="959" w:type="pct"/>
            <w:shd w:val="clear" w:color="auto" w:fill="auto"/>
            <w:tcMar>
              <w:top w:w="113" w:type="dxa"/>
              <w:left w:w="170" w:type="dxa"/>
              <w:bottom w:w="113" w:type="dxa"/>
              <w:right w:w="170" w:type="dxa"/>
            </w:tcMar>
            <w:vAlign w:val="center"/>
          </w:tcPr>
          <w:p w14:paraId="79DD558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主要用于内部人事管理，不直接影响生产工艺</w:t>
            </w:r>
          </w:p>
        </w:tc>
        <w:tc>
          <w:tcPr>
            <w:tcW w:w="820" w:type="pct"/>
            <w:shd w:val="clear" w:color="auto" w:fill="auto"/>
            <w:tcMar>
              <w:top w:w="113" w:type="dxa"/>
              <w:left w:w="170" w:type="dxa"/>
              <w:bottom w:w="113" w:type="dxa"/>
              <w:right w:w="170" w:type="dxa"/>
            </w:tcMar>
            <w:vAlign w:val="center"/>
          </w:tcPr>
          <w:p w14:paraId="596C797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人力资源管理系统、OA系统的员工信息管理、培训考核功能</w:t>
            </w:r>
          </w:p>
        </w:tc>
        <w:tc>
          <w:tcPr>
            <w:tcW w:w="820" w:type="pct"/>
            <w:shd w:val="clear" w:color="auto" w:fill="auto"/>
            <w:tcMar>
              <w:top w:w="113" w:type="dxa"/>
              <w:left w:w="170" w:type="dxa"/>
              <w:bottom w:w="113" w:type="dxa"/>
              <w:right w:w="170" w:type="dxa"/>
            </w:tcMar>
            <w:vAlign w:val="center"/>
          </w:tcPr>
          <w:p w14:paraId="2B01860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内网人力资源管理系统、员工信息数据库、纸质人事档案</w:t>
            </w:r>
          </w:p>
        </w:tc>
        <w:tc>
          <w:tcPr>
            <w:tcW w:w="266" w:type="pct"/>
            <w:shd w:val="clear" w:color="auto" w:fill="auto"/>
            <w:tcMar>
              <w:top w:w="113" w:type="dxa"/>
              <w:left w:w="170" w:type="dxa"/>
              <w:bottom w:w="113" w:type="dxa"/>
              <w:right w:w="170" w:type="dxa"/>
            </w:tcMar>
            <w:vAlign w:val="center"/>
          </w:tcPr>
          <w:p w14:paraId="0F402FB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281EBE7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1289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4B324EA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重金属/稀有金属→冶炼→生产制造→质量管控</w:t>
            </w:r>
          </w:p>
        </w:tc>
        <w:tc>
          <w:tcPr>
            <w:tcW w:w="474" w:type="pct"/>
            <w:shd w:val="clear" w:color="auto" w:fill="auto"/>
            <w:tcMar>
              <w:top w:w="113" w:type="dxa"/>
              <w:left w:w="170" w:type="dxa"/>
              <w:bottom w:w="113" w:type="dxa"/>
              <w:right w:w="170" w:type="dxa"/>
            </w:tcMar>
            <w:vAlign w:val="center"/>
          </w:tcPr>
          <w:p w14:paraId="602CDFA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冶炼产品质量数据</w:t>
            </w:r>
          </w:p>
        </w:tc>
        <w:tc>
          <w:tcPr>
            <w:tcW w:w="261" w:type="pct"/>
            <w:shd w:val="clear" w:color="auto" w:fill="auto"/>
            <w:tcMar>
              <w:top w:w="113" w:type="dxa"/>
              <w:left w:w="170" w:type="dxa"/>
              <w:bottom w:w="113" w:type="dxa"/>
              <w:right w:w="170" w:type="dxa"/>
            </w:tcMar>
            <w:vAlign w:val="center"/>
          </w:tcPr>
          <w:p w14:paraId="6CD751B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0E0F9C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1-8GB/年</w:t>
            </w:r>
          </w:p>
        </w:tc>
        <w:tc>
          <w:tcPr>
            <w:tcW w:w="959" w:type="pct"/>
            <w:shd w:val="clear" w:color="auto" w:fill="auto"/>
            <w:tcMar>
              <w:top w:w="113" w:type="dxa"/>
              <w:left w:w="170" w:type="dxa"/>
              <w:bottom w:w="113" w:type="dxa"/>
              <w:right w:w="170" w:type="dxa"/>
            </w:tcMar>
            <w:vAlign w:val="center"/>
          </w:tcPr>
          <w:p w14:paraId="1F8404F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直接影响下游加工企业合作与品牌声誉</w:t>
            </w:r>
          </w:p>
        </w:tc>
        <w:tc>
          <w:tcPr>
            <w:tcW w:w="820" w:type="pct"/>
            <w:shd w:val="clear" w:color="auto" w:fill="auto"/>
            <w:tcMar>
              <w:top w:w="113" w:type="dxa"/>
              <w:left w:w="170" w:type="dxa"/>
              <w:bottom w:w="113" w:type="dxa"/>
              <w:right w:w="170" w:type="dxa"/>
            </w:tcMar>
            <w:vAlign w:val="center"/>
          </w:tcPr>
          <w:p w14:paraId="31E5BB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质量管理系统、LIMS系统的质量检测、产品追溯功能</w:t>
            </w:r>
          </w:p>
        </w:tc>
        <w:tc>
          <w:tcPr>
            <w:tcW w:w="820" w:type="pct"/>
            <w:shd w:val="clear" w:color="auto" w:fill="auto"/>
            <w:tcMar>
              <w:top w:w="113" w:type="dxa"/>
              <w:left w:w="170" w:type="dxa"/>
              <w:bottom w:w="113" w:type="dxa"/>
              <w:right w:w="170" w:type="dxa"/>
            </w:tcMar>
            <w:vAlign w:val="center"/>
          </w:tcPr>
          <w:p w14:paraId="2CADBE6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内网质量管理系统、质检数据库、纸质检测报告</w:t>
            </w:r>
          </w:p>
        </w:tc>
        <w:tc>
          <w:tcPr>
            <w:tcW w:w="266" w:type="pct"/>
            <w:shd w:val="clear" w:color="auto" w:fill="auto"/>
            <w:tcMar>
              <w:top w:w="113" w:type="dxa"/>
              <w:left w:w="170" w:type="dxa"/>
              <w:bottom w:w="113" w:type="dxa"/>
              <w:right w:w="170" w:type="dxa"/>
            </w:tcMar>
            <w:vAlign w:val="center"/>
          </w:tcPr>
          <w:p w14:paraId="3889F1C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6C2212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68A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12A3521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重金属/稀有金属→冶炼→经营管理→供应链管理</w:t>
            </w:r>
          </w:p>
        </w:tc>
        <w:tc>
          <w:tcPr>
            <w:tcW w:w="474" w:type="pct"/>
            <w:shd w:val="clear" w:color="auto" w:fill="auto"/>
            <w:tcMar>
              <w:top w:w="113" w:type="dxa"/>
              <w:left w:w="170" w:type="dxa"/>
              <w:bottom w:w="113" w:type="dxa"/>
              <w:right w:w="170" w:type="dxa"/>
            </w:tcMar>
            <w:vAlign w:val="center"/>
          </w:tcPr>
          <w:p w14:paraId="73309DB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原材料采购与供应链数据</w:t>
            </w:r>
          </w:p>
        </w:tc>
        <w:tc>
          <w:tcPr>
            <w:tcW w:w="261" w:type="pct"/>
            <w:shd w:val="clear" w:color="auto" w:fill="auto"/>
            <w:tcMar>
              <w:top w:w="113" w:type="dxa"/>
              <w:left w:w="170" w:type="dxa"/>
              <w:bottom w:w="113" w:type="dxa"/>
              <w:right w:w="170" w:type="dxa"/>
            </w:tcMar>
            <w:vAlign w:val="center"/>
          </w:tcPr>
          <w:p w14:paraId="7BC5F7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01793D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5-30GB/年</w:t>
            </w:r>
          </w:p>
        </w:tc>
        <w:tc>
          <w:tcPr>
            <w:tcW w:w="959" w:type="pct"/>
            <w:shd w:val="clear" w:color="auto" w:fill="auto"/>
            <w:tcMar>
              <w:top w:w="113" w:type="dxa"/>
              <w:left w:w="170" w:type="dxa"/>
              <w:bottom w:w="113" w:type="dxa"/>
              <w:right w:w="170" w:type="dxa"/>
            </w:tcMar>
            <w:vAlign w:val="center"/>
          </w:tcPr>
          <w:p w14:paraId="655CBE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关系原材料成本控制与供应链稳定性</w:t>
            </w:r>
          </w:p>
        </w:tc>
        <w:tc>
          <w:tcPr>
            <w:tcW w:w="820" w:type="pct"/>
            <w:shd w:val="clear" w:color="auto" w:fill="auto"/>
            <w:tcMar>
              <w:top w:w="113" w:type="dxa"/>
              <w:left w:w="170" w:type="dxa"/>
              <w:bottom w:w="113" w:type="dxa"/>
              <w:right w:w="170" w:type="dxa"/>
            </w:tcMar>
            <w:vAlign w:val="center"/>
          </w:tcPr>
          <w:p w14:paraId="1B93CAF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采购管理系统、供应链管理系统的供应商管理、采购管控功能</w:t>
            </w:r>
          </w:p>
        </w:tc>
        <w:tc>
          <w:tcPr>
            <w:tcW w:w="820" w:type="pct"/>
            <w:shd w:val="clear" w:color="auto" w:fill="auto"/>
            <w:tcMar>
              <w:top w:w="113" w:type="dxa"/>
              <w:left w:w="170" w:type="dxa"/>
              <w:bottom w:w="113" w:type="dxa"/>
              <w:right w:w="170" w:type="dxa"/>
            </w:tcMar>
            <w:vAlign w:val="center"/>
          </w:tcPr>
          <w:p w14:paraId="57469B9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内网供应链管理数据库、采购合同档案、纸质供应商资料</w:t>
            </w:r>
          </w:p>
        </w:tc>
        <w:tc>
          <w:tcPr>
            <w:tcW w:w="266" w:type="pct"/>
            <w:shd w:val="clear" w:color="auto" w:fill="auto"/>
            <w:tcMar>
              <w:top w:w="113" w:type="dxa"/>
              <w:left w:w="170" w:type="dxa"/>
              <w:bottom w:w="113" w:type="dxa"/>
              <w:right w:w="170" w:type="dxa"/>
            </w:tcMar>
            <w:vAlign w:val="center"/>
          </w:tcPr>
          <w:p w14:paraId="58D1EA0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7AC88BB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930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3AFB4F9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重金属/稀有金属→冶炼→经营管理→经营计划</w:t>
            </w:r>
          </w:p>
        </w:tc>
        <w:tc>
          <w:tcPr>
            <w:tcW w:w="474" w:type="pct"/>
            <w:shd w:val="clear" w:color="auto" w:fill="auto"/>
            <w:tcMar>
              <w:top w:w="113" w:type="dxa"/>
              <w:left w:w="170" w:type="dxa"/>
              <w:bottom w:w="113" w:type="dxa"/>
              <w:right w:w="170" w:type="dxa"/>
            </w:tcMar>
            <w:vAlign w:val="center"/>
          </w:tcPr>
          <w:p w14:paraId="7C7DDB6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生产经营计划与统计数据</w:t>
            </w:r>
          </w:p>
        </w:tc>
        <w:tc>
          <w:tcPr>
            <w:tcW w:w="261" w:type="pct"/>
            <w:shd w:val="clear" w:color="auto" w:fill="auto"/>
            <w:tcMar>
              <w:top w:w="113" w:type="dxa"/>
              <w:left w:w="170" w:type="dxa"/>
              <w:bottom w:w="113" w:type="dxa"/>
              <w:right w:w="170" w:type="dxa"/>
            </w:tcMar>
            <w:vAlign w:val="center"/>
          </w:tcPr>
          <w:p w14:paraId="7D01C23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0453CF6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59" w:type="pct"/>
            <w:shd w:val="clear" w:color="auto" w:fill="auto"/>
            <w:tcMar>
              <w:top w:w="113" w:type="dxa"/>
              <w:left w:w="170" w:type="dxa"/>
              <w:bottom w:w="113" w:type="dxa"/>
              <w:right w:w="170" w:type="dxa"/>
            </w:tcMar>
            <w:vAlign w:val="center"/>
          </w:tcPr>
          <w:p w14:paraId="4EA6034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用于经营分析</w:t>
            </w:r>
          </w:p>
        </w:tc>
        <w:tc>
          <w:tcPr>
            <w:tcW w:w="820" w:type="pct"/>
            <w:shd w:val="clear" w:color="auto" w:fill="auto"/>
            <w:tcMar>
              <w:top w:w="113" w:type="dxa"/>
              <w:left w:w="170" w:type="dxa"/>
              <w:bottom w:w="113" w:type="dxa"/>
              <w:right w:w="170" w:type="dxa"/>
            </w:tcMar>
            <w:vAlign w:val="center"/>
          </w:tcPr>
          <w:p w14:paraId="5BC4E22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经营管理系统、BI系统的计划管理、经营统计功能</w:t>
            </w:r>
          </w:p>
        </w:tc>
        <w:tc>
          <w:tcPr>
            <w:tcW w:w="820" w:type="pct"/>
            <w:shd w:val="clear" w:color="auto" w:fill="auto"/>
            <w:tcMar>
              <w:top w:w="113" w:type="dxa"/>
              <w:left w:w="170" w:type="dxa"/>
              <w:bottom w:w="113" w:type="dxa"/>
              <w:right w:w="170" w:type="dxa"/>
            </w:tcMar>
            <w:vAlign w:val="center"/>
          </w:tcPr>
          <w:p w14:paraId="725BF6F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内网经营管理数据库、统计报表档案、纸质经营报告</w:t>
            </w:r>
          </w:p>
        </w:tc>
        <w:tc>
          <w:tcPr>
            <w:tcW w:w="266" w:type="pct"/>
            <w:shd w:val="clear" w:color="auto" w:fill="auto"/>
            <w:tcMar>
              <w:top w:w="113" w:type="dxa"/>
              <w:left w:w="170" w:type="dxa"/>
              <w:bottom w:w="113" w:type="dxa"/>
              <w:right w:w="170" w:type="dxa"/>
            </w:tcMar>
            <w:vAlign w:val="center"/>
          </w:tcPr>
          <w:p w14:paraId="68CFD0A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678518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102A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4AE71B5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通用→冶炼→合规管理→环保标准</w:t>
            </w:r>
          </w:p>
        </w:tc>
        <w:tc>
          <w:tcPr>
            <w:tcW w:w="474" w:type="pct"/>
            <w:shd w:val="clear" w:color="auto" w:fill="auto"/>
            <w:tcMar>
              <w:top w:w="113" w:type="dxa"/>
              <w:left w:w="170" w:type="dxa"/>
              <w:bottom w:w="113" w:type="dxa"/>
              <w:right w:w="170" w:type="dxa"/>
            </w:tcMar>
            <w:vAlign w:val="center"/>
          </w:tcPr>
          <w:p w14:paraId="08A9BB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行业环保标准数据</w:t>
            </w:r>
          </w:p>
        </w:tc>
        <w:tc>
          <w:tcPr>
            <w:tcW w:w="261" w:type="pct"/>
            <w:shd w:val="clear" w:color="auto" w:fill="auto"/>
            <w:tcMar>
              <w:top w:w="113" w:type="dxa"/>
              <w:left w:w="170" w:type="dxa"/>
              <w:bottom w:w="113" w:type="dxa"/>
              <w:right w:w="170" w:type="dxa"/>
            </w:tcMar>
            <w:vAlign w:val="center"/>
          </w:tcPr>
          <w:p w14:paraId="7EC118B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4040EB5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500MB-2GB</w:t>
            </w:r>
          </w:p>
        </w:tc>
        <w:tc>
          <w:tcPr>
            <w:tcW w:w="959" w:type="pct"/>
            <w:shd w:val="clear" w:color="auto" w:fill="auto"/>
            <w:tcMar>
              <w:top w:w="113" w:type="dxa"/>
              <w:left w:w="170" w:type="dxa"/>
              <w:bottom w:w="113" w:type="dxa"/>
              <w:right w:w="170" w:type="dxa"/>
            </w:tcMar>
            <w:vAlign w:val="center"/>
          </w:tcPr>
          <w:p w14:paraId="03D7166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用于对标合规，不涉及企业核心技术</w:t>
            </w:r>
          </w:p>
        </w:tc>
        <w:tc>
          <w:tcPr>
            <w:tcW w:w="820" w:type="pct"/>
            <w:shd w:val="clear" w:color="auto" w:fill="auto"/>
            <w:tcMar>
              <w:top w:w="113" w:type="dxa"/>
              <w:left w:w="170" w:type="dxa"/>
              <w:bottom w:w="113" w:type="dxa"/>
              <w:right w:w="170" w:type="dxa"/>
            </w:tcMar>
            <w:vAlign w:val="center"/>
          </w:tcPr>
          <w:p w14:paraId="54306CB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合规管理系统、环保管理系统的标准管理、合规对标功能</w:t>
            </w:r>
          </w:p>
        </w:tc>
        <w:tc>
          <w:tcPr>
            <w:tcW w:w="820" w:type="pct"/>
            <w:shd w:val="clear" w:color="auto" w:fill="auto"/>
            <w:tcMar>
              <w:top w:w="113" w:type="dxa"/>
              <w:left w:w="170" w:type="dxa"/>
              <w:bottom w:w="113" w:type="dxa"/>
              <w:right w:w="170" w:type="dxa"/>
            </w:tcMar>
            <w:vAlign w:val="center"/>
          </w:tcPr>
          <w:p w14:paraId="1DC374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内网合规管理数据库、纸质标准文件、解读报告</w:t>
            </w:r>
          </w:p>
        </w:tc>
        <w:tc>
          <w:tcPr>
            <w:tcW w:w="266" w:type="pct"/>
            <w:shd w:val="clear" w:color="auto" w:fill="auto"/>
            <w:tcMar>
              <w:top w:w="113" w:type="dxa"/>
              <w:left w:w="170" w:type="dxa"/>
              <w:bottom w:w="113" w:type="dxa"/>
              <w:right w:w="170" w:type="dxa"/>
            </w:tcMar>
            <w:vAlign w:val="center"/>
          </w:tcPr>
          <w:p w14:paraId="152B387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3557F60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本地每月增量备份、异地每季度全量备份</w:t>
            </w:r>
          </w:p>
        </w:tc>
      </w:tr>
      <w:tr w14:paraId="53DC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49" w:type="pct"/>
            <w:shd w:val="clear" w:color="auto" w:fill="auto"/>
            <w:tcMar>
              <w:top w:w="113" w:type="dxa"/>
              <w:left w:w="170" w:type="dxa"/>
              <w:bottom w:w="113" w:type="dxa"/>
              <w:right w:w="170" w:type="dxa"/>
            </w:tcMar>
            <w:vAlign w:val="center"/>
          </w:tcPr>
          <w:p w14:paraId="7FB818A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重金属/稀有金属→冶炼→产业链协同→上下游数据</w:t>
            </w:r>
          </w:p>
        </w:tc>
        <w:tc>
          <w:tcPr>
            <w:tcW w:w="474" w:type="pct"/>
            <w:shd w:val="clear" w:color="auto" w:fill="auto"/>
            <w:tcMar>
              <w:top w:w="113" w:type="dxa"/>
              <w:left w:w="170" w:type="dxa"/>
              <w:bottom w:w="113" w:type="dxa"/>
              <w:right w:w="170" w:type="dxa"/>
            </w:tcMar>
            <w:vAlign w:val="center"/>
          </w:tcPr>
          <w:p w14:paraId="39B4BE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上下游企业共享数据</w:t>
            </w:r>
          </w:p>
        </w:tc>
        <w:tc>
          <w:tcPr>
            <w:tcW w:w="261" w:type="pct"/>
            <w:shd w:val="clear" w:color="auto" w:fill="auto"/>
            <w:tcMar>
              <w:top w:w="113" w:type="dxa"/>
              <w:left w:w="170" w:type="dxa"/>
              <w:bottom w:w="113" w:type="dxa"/>
              <w:right w:w="170" w:type="dxa"/>
            </w:tcMar>
            <w:vAlign w:val="center"/>
          </w:tcPr>
          <w:p w14:paraId="3F3B0EA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4A02FF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59" w:type="pct"/>
            <w:shd w:val="clear" w:color="auto" w:fill="auto"/>
            <w:tcMar>
              <w:top w:w="113" w:type="dxa"/>
              <w:left w:w="170" w:type="dxa"/>
              <w:bottom w:w="113" w:type="dxa"/>
              <w:right w:w="170" w:type="dxa"/>
            </w:tcMar>
            <w:vAlign w:val="center"/>
          </w:tcPr>
          <w:p w14:paraId="4F7A5EB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用于调整生产计划，保障产业链协同效率</w:t>
            </w:r>
          </w:p>
        </w:tc>
        <w:tc>
          <w:tcPr>
            <w:tcW w:w="820" w:type="pct"/>
            <w:shd w:val="clear" w:color="auto" w:fill="auto"/>
            <w:tcMar>
              <w:top w:w="113" w:type="dxa"/>
              <w:left w:w="170" w:type="dxa"/>
              <w:bottom w:w="113" w:type="dxa"/>
              <w:right w:w="170" w:type="dxa"/>
            </w:tcMar>
            <w:vAlign w:val="center"/>
          </w:tcPr>
          <w:p w14:paraId="37BA9F1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供应链协同系统、生产管理系统的需求对接、生产调整功能</w:t>
            </w:r>
          </w:p>
        </w:tc>
        <w:tc>
          <w:tcPr>
            <w:tcW w:w="820" w:type="pct"/>
            <w:shd w:val="clear" w:color="auto" w:fill="auto"/>
            <w:tcMar>
              <w:top w:w="113" w:type="dxa"/>
              <w:left w:w="170" w:type="dxa"/>
              <w:bottom w:w="113" w:type="dxa"/>
              <w:right w:w="170" w:type="dxa"/>
            </w:tcMar>
            <w:vAlign w:val="center"/>
          </w:tcPr>
          <w:p w14:paraId="369C506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内网协同管理系统、上下游数据共享平台、纸质合作协议</w:t>
            </w:r>
          </w:p>
        </w:tc>
        <w:tc>
          <w:tcPr>
            <w:tcW w:w="266" w:type="pct"/>
            <w:shd w:val="clear" w:color="auto" w:fill="auto"/>
            <w:tcMar>
              <w:top w:w="113" w:type="dxa"/>
              <w:left w:w="170" w:type="dxa"/>
              <w:bottom w:w="113" w:type="dxa"/>
              <w:right w:w="170" w:type="dxa"/>
            </w:tcMar>
            <w:vAlign w:val="center"/>
          </w:tcPr>
          <w:p w14:paraId="12E97D3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2" w:type="pct"/>
            <w:shd w:val="clear" w:color="auto" w:fill="auto"/>
            <w:tcMar>
              <w:top w:w="113" w:type="dxa"/>
              <w:left w:w="170" w:type="dxa"/>
              <w:bottom w:w="113" w:type="dxa"/>
              <w:right w:w="170" w:type="dxa"/>
            </w:tcMar>
            <w:vAlign w:val="center"/>
          </w:tcPr>
          <w:p w14:paraId="68FA8B0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5D5D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549" w:type="pct"/>
            <w:shd w:val="clear" w:color="auto" w:fill="auto"/>
            <w:tcMar>
              <w:top w:w="113" w:type="dxa"/>
              <w:left w:w="170" w:type="dxa"/>
              <w:bottom w:w="113" w:type="dxa"/>
              <w:right w:w="170" w:type="dxa"/>
            </w:tcMar>
            <w:vAlign w:val="center"/>
          </w:tcPr>
          <w:p w14:paraId="7CB2A4B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474" w:type="pct"/>
            <w:shd w:val="clear" w:color="auto" w:fill="auto"/>
            <w:tcMar>
              <w:top w:w="113" w:type="dxa"/>
              <w:left w:w="170" w:type="dxa"/>
              <w:bottom w:w="113" w:type="dxa"/>
              <w:right w:w="170" w:type="dxa"/>
            </w:tcMar>
            <w:vAlign w:val="center"/>
          </w:tcPr>
          <w:p w14:paraId="4D6E83D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261" w:type="pct"/>
            <w:shd w:val="clear" w:color="auto" w:fill="auto"/>
            <w:tcMar>
              <w:top w:w="113" w:type="dxa"/>
              <w:left w:w="170" w:type="dxa"/>
              <w:bottom w:w="113" w:type="dxa"/>
              <w:right w:w="170" w:type="dxa"/>
            </w:tcMar>
            <w:vAlign w:val="center"/>
          </w:tcPr>
          <w:p w14:paraId="738CB5F1">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333" w:type="pct"/>
            <w:shd w:val="clear" w:color="auto" w:fill="auto"/>
            <w:tcMar>
              <w:top w:w="113" w:type="dxa"/>
              <w:left w:w="170" w:type="dxa"/>
              <w:bottom w:w="113" w:type="dxa"/>
              <w:right w:w="170" w:type="dxa"/>
            </w:tcMar>
            <w:vAlign w:val="center"/>
          </w:tcPr>
          <w:p w14:paraId="258CA7EB">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959" w:type="pct"/>
            <w:shd w:val="clear" w:color="auto" w:fill="auto"/>
            <w:tcMar>
              <w:top w:w="113" w:type="dxa"/>
              <w:left w:w="170" w:type="dxa"/>
              <w:bottom w:w="113" w:type="dxa"/>
              <w:right w:w="170" w:type="dxa"/>
            </w:tcMar>
            <w:vAlign w:val="center"/>
          </w:tcPr>
          <w:p w14:paraId="4A9D5A56">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820" w:type="pct"/>
            <w:shd w:val="clear" w:color="auto" w:fill="auto"/>
            <w:tcMar>
              <w:top w:w="113" w:type="dxa"/>
              <w:left w:w="170" w:type="dxa"/>
              <w:bottom w:w="113" w:type="dxa"/>
              <w:right w:w="170" w:type="dxa"/>
            </w:tcMar>
            <w:vAlign w:val="center"/>
          </w:tcPr>
          <w:p w14:paraId="5D7F7032">
            <w:pPr>
              <w:jc w:val="both"/>
              <w:rPr>
                <w:rFonts w:hint="eastAsia" w:ascii="宋体" w:hAnsi="宋体" w:eastAsia="宋体" w:cs="宋体"/>
                <w:sz w:val="18"/>
                <w:szCs w:val="18"/>
                <w:lang w:val="en-US" w:eastAsia="zh-CN"/>
              </w:rPr>
            </w:pPr>
          </w:p>
        </w:tc>
        <w:tc>
          <w:tcPr>
            <w:tcW w:w="820" w:type="pct"/>
            <w:shd w:val="clear" w:color="auto" w:fill="auto"/>
            <w:tcMar>
              <w:top w:w="113" w:type="dxa"/>
              <w:left w:w="170" w:type="dxa"/>
              <w:bottom w:w="113" w:type="dxa"/>
              <w:right w:w="170" w:type="dxa"/>
            </w:tcMar>
            <w:vAlign w:val="center"/>
          </w:tcPr>
          <w:p w14:paraId="78F0843F">
            <w:pPr>
              <w:jc w:val="both"/>
              <w:rPr>
                <w:rFonts w:hint="eastAsia" w:ascii="宋体" w:hAnsi="宋体" w:eastAsia="宋体" w:cs="宋体"/>
                <w:sz w:val="18"/>
                <w:szCs w:val="18"/>
                <w:lang w:val="en-US" w:eastAsia="zh-CN"/>
              </w:rPr>
            </w:pPr>
          </w:p>
        </w:tc>
        <w:tc>
          <w:tcPr>
            <w:tcW w:w="266" w:type="pct"/>
            <w:shd w:val="clear" w:color="auto" w:fill="auto"/>
            <w:tcMar>
              <w:top w:w="113" w:type="dxa"/>
              <w:left w:w="170" w:type="dxa"/>
              <w:bottom w:w="113" w:type="dxa"/>
              <w:right w:w="170" w:type="dxa"/>
            </w:tcMar>
            <w:vAlign w:val="center"/>
          </w:tcPr>
          <w:p w14:paraId="7CDB97BD">
            <w:pPr>
              <w:jc w:val="center"/>
              <w:rPr>
                <w:rFonts w:hint="eastAsia" w:ascii="宋体" w:hAnsi="宋体" w:eastAsia="宋体" w:cs="宋体"/>
                <w:sz w:val="18"/>
                <w:szCs w:val="18"/>
                <w:lang w:val="en-US" w:eastAsia="zh-CN"/>
              </w:rPr>
            </w:pPr>
          </w:p>
        </w:tc>
        <w:tc>
          <w:tcPr>
            <w:tcW w:w="512" w:type="pct"/>
            <w:shd w:val="clear" w:color="auto" w:fill="auto"/>
            <w:tcMar>
              <w:top w:w="113" w:type="dxa"/>
              <w:left w:w="170" w:type="dxa"/>
              <w:bottom w:w="113" w:type="dxa"/>
              <w:right w:w="170" w:type="dxa"/>
            </w:tcMar>
            <w:vAlign w:val="center"/>
          </w:tcPr>
          <w:p w14:paraId="2ECCCF5B">
            <w:pPr>
              <w:jc w:val="both"/>
              <w:rPr>
                <w:rFonts w:hint="eastAsia" w:ascii="宋体" w:hAnsi="宋体" w:eastAsia="宋体" w:cs="宋体"/>
                <w:sz w:val="18"/>
                <w:szCs w:val="18"/>
                <w:lang w:val="en-US" w:eastAsia="zh-CN"/>
              </w:rPr>
            </w:pPr>
          </w:p>
        </w:tc>
      </w:tr>
    </w:tbl>
    <w:p w14:paraId="5E23B9D0">
      <w:pPr>
        <w:keepNext w:val="0"/>
        <w:keepLines w:val="0"/>
        <w:pageBreakBefore w:val="0"/>
        <w:widowControl/>
        <w:suppressLineNumbers w:val="0"/>
        <w:kinsoku/>
        <w:wordWrap/>
        <w:overflowPunct/>
        <w:topLinePunct w:val="0"/>
        <w:autoSpaceDE/>
        <w:autoSpaceDN/>
        <w:bidi w:val="0"/>
        <w:adjustRightInd/>
        <w:snapToGrid/>
        <w:spacing w:before="162" w:beforeLines="50" w:line="360" w:lineRule="auto"/>
        <w:ind w:firstLine="420" w:firstLineChars="200"/>
        <w:jc w:val="left"/>
        <w:textAlignment w:val="auto"/>
        <w:rPr>
          <w:rFonts w:hint="default" w:ascii="黑体" w:hAnsi="黑体" w:eastAsia="黑体" w:cs="黑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表格字段填写说明：同表B.1。</w:t>
      </w:r>
    </w:p>
    <w:p w14:paraId="5C5FCF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黑体" w:hAnsi="黑体" w:eastAsia="黑体" w:cs="黑体"/>
        </w:rPr>
      </w:pPr>
      <w:r>
        <w:rPr>
          <w:rFonts w:hint="eastAsia" w:ascii="黑体" w:hAnsi="黑体" w:eastAsia="黑体" w:cs="黑体"/>
          <w:color w:val="000000"/>
          <w:kern w:val="0"/>
          <w:sz w:val="21"/>
          <w:szCs w:val="21"/>
          <w:lang w:val="en-US" w:eastAsia="zh-CN" w:bidi="ar"/>
        </w:rPr>
        <w:t>B.3 加工企业工业数据分类分级清单示例</w:t>
      </w:r>
    </w:p>
    <w:p w14:paraId="3B020B2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highlight w:val="none"/>
        </w:rPr>
      </w:pPr>
      <w:r>
        <w:rPr>
          <w:rFonts w:hint="eastAsia" w:ascii="宋体" w:hAnsi="宋体" w:cs="宋体"/>
          <w:color w:val="000000"/>
          <w:kern w:val="0"/>
          <w:sz w:val="21"/>
          <w:szCs w:val="21"/>
          <w:highlight w:val="none"/>
          <w:lang w:val="en-US" w:eastAsia="zh-CN" w:bidi="ar"/>
        </w:rPr>
        <w:t>有色金属行业</w:t>
      </w:r>
      <w:r>
        <w:rPr>
          <w:rFonts w:hint="eastAsia" w:ascii="宋体" w:hAnsi="宋体" w:eastAsia="宋体" w:cs="宋体"/>
          <w:color w:val="000000"/>
          <w:kern w:val="0"/>
          <w:sz w:val="21"/>
          <w:szCs w:val="21"/>
          <w:highlight w:val="none"/>
          <w:lang w:val="en-US" w:eastAsia="zh-CN" w:bidi="ar"/>
        </w:rPr>
        <w:t>加工企业工业数据具有高精密性、多工序关联及强客户定制化等特征，企业可依据</w:t>
      </w:r>
      <w:r>
        <w:rPr>
          <w:rFonts w:hint="eastAsia" w:ascii="宋体" w:hAnsi="宋体" w:cs="宋体"/>
          <w:color w:val="000000"/>
          <w:kern w:val="0"/>
          <w:sz w:val="21"/>
          <w:szCs w:val="21"/>
          <w:highlight w:val="none"/>
          <w:lang w:val="en-US" w:eastAsia="zh-CN" w:bidi="ar"/>
        </w:rPr>
        <w:t>此</w:t>
      </w:r>
      <w:r>
        <w:rPr>
          <w:rFonts w:hint="eastAsia" w:ascii="宋体" w:hAnsi="宋体" w:eastAsia="宋体" w:cs="宋体"/>
          <w:color w:val="000000"/>
          <w:kern w:val="0"/>
          <w:sz w:val="21"/>
          <w:szCs w:val="21"/>
          <w:highlight w:val="none"/>
          <w:lang w:val="en-US" w:eastAsia="zh-CN" w:bidi="ar"/>
        </w:rPr>
        <w:t>特点，结合实际，参考表B.</w:t>
      </w:r>
      <w:r>
        <w:rPr>
          <w:rFonts w:hint="eastAsia" w:ascii="宋体" w:hAnsi="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val="en-US" w:eastAsia="zh-CN" w:bidi="ar"/>
        </w:rPr>
        <w:t>示例</w:t>
      </w:r>
      <w:r>
        <w:rPr>
          <w:rFonts w:hint="eastAsia" w:ascii="宋体" w:hAnsi="宋体" w:cs="宋体"/>
          <w:color w:val="000000"/>
          <w:kern w:val="0"/>
          <w:sz w:val="21"/>
          <w:szCs w:val="21"/>
          <w:highlight w:val="none"/>
          <w:lang w:val="en-US" w:eastAsia="zh-CN" w:bidi="ar"/>
        </w:rPr>
        <w:t>进行</w:t>
      </w:r>
      <w:r>
        <w:rPr>
          <w:rFonts w:hint="eastAsia" w:ascii="宋体" w:hAnsi="宋体" w:eastAsia="宋体" w:cs="宋体"/>
          <w:color w:val="000000"/>
          <w:kern w:val="0"/>
          <w:sz w:val="21"/>
          <w:szCs w:val="21"/>
          <w:highlight w:val="none"/>
          <w:lang w:val="en-US" w:eastAsia="zh-CN" w:bidi="ar"/>
        </w:rPr>
        <w:t>数据分类分级。</w:t>
      </w:r>
    </w:p>
    <w:p w14:paraId="3E347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表 B.3 加工企业工业数据分类分级清单示例</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575"/>
        <w:gridCol w:w="1424"/>
        <w:gridCol w:w="750"/>
        <w:gridCol w:w="975"/>
        <w:gridCol w:w="2825"/>
        <w:gridCol w:w="2408"/>
        <w:gridCol w:w="2467"/>
        <w:gridCol w:w="700"/>
        <w:gridCol w:w="1492"/>
      </w:tblGrid>
      <w:tr w14:paraId="5E5D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538" w:type="pct"/>
            <w:shd w:val="clear" w:color="auto" w:fill="auto"/>
            <w:tcMar>
              <w:top w:w="113" w:type="dxa"/>
              <w:left w:w="170" w:type="dxa"/>
              <w:bottom w:w="113" w:type="dxa"/>
              <w:right w:w="170" w:type="dxa"/>
            </w:tcMar>
            <w:vAlign w:val="center"/>
          </w:tcPr>
          <w:p w14:paraId="55A8E0F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数据类别</w:t>
            </w:r>
          </w:p>
        </w:tc>
        <w:tc>
          <w:tcPr>
            <w:tcW w:w="487" w:type="pct"/>
            <w:shd w:val="clear" w:color="auto" w:fill="auto"/>
            <w:tcMar>
              <w:top w:w="113" w:type="dxa"/>
              <w:left w:w="170" w:type="dxa"/>
              <w:bottom w:w="113" w:type="dxa"/>
              <w:right w:w="170" w:type="dxa"/>
            </w:tcMar>
            <w:vAlign w:val="center"/>
          </w:tcPr>
          <w:p w14:paraId="1248712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数据项名称</w:t>
            </w:r>
          </w:p>
        </w:tc>
        <w:tc>
          <w:tcPr>
            <w:tcW w:w="256" w:type="pct"/>
            <w:shd w:val="clear" w:color="auto" w:fill="auto"/>
            <w:tcMar>
              <w:top w:w="113" w:type="dxa"/>
              <w:left w:w="170" w:type="dxa"/>
              <w:bottom w:w="113" w:type="dxa"/>
              <w:right w:w="170" w:type="dxa"/>
            </w:tcMar>
            <w:vAlign w:val="center"/>
          </w:tcPr>
          <w:p w14:paraId="5F93EBE3">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数据级别</w:t>
            </w:r>
          </w:p>
        </w:tc>
        <w:tc>
          <w:tcPr>
            <w:tcW w:w="333" w:type="pct"/>
            <w:shd w:val="clear" w:color="auto" w:fill="auto"/>
            <w:tcMar>
              <w:top w:w="113" w:type="dxa"/>
              <w:left w:w="170" w:type="dxa"/>
              <w:bottom w:w="113" w:type="dxa"/>
              <w:right w:w="170" w:type="dxa"/>
            </w:tcMar>
            <w:vAlign w:val="center"/>
          </w:tcPr>
          <w:p w14:paraId="0606DCAE">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数据量</w:t>
            </w:r>
          </w:p>
          <w:p w14:paraId="35FA8087">
            <w:pPr>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（参考）</w:t>
            </w:r>
          </w:p>
        </w:tc>
        <w:tc>
          <w:tcPr>
            <w:tcW w:w="966" w:type="pct"/>
            <w:shd w:val="clear" w:color="auto" w:fill="auto"/>
            <w:tcMar>
              <w:top w:w="113" w:type="dxa"/>
              <w:left w:w="170" w:type="dxa"/>
              <w:bottom w:w="113" w:type="dxa"/>
              <w:right w:w="170" w:type="dxa"/>
            </w:tcMar>
            <w:vAlign w:val="center"/>
          </w:tcPr>
          <w:p w14:paraId="53D393F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数据处理目的和意义</w:t>
            </w:r>
          </w:p>
        </w:tc>
        <w:tc>
          <w:tcPr>
            <w:tcW w:w="823" w:type="pct"/>
            <w:shd w:val="clear" w:color="auto" w:fill="auto"/>
            <w:tcMar>
              <w:top w:w="113" w:type="dxa"/>
              <w:left w:w="170" w:type="dxa"/>
              <w:bottom w:w="113" w:type="dxa"/>
              <w:right w:w="170" w:type="dxa"/>
            </w:tcMar>
            <w:vAlign w:val="center"/>
          </w:tcPr>
          <w:p w14:paraId="77DB4F3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数据处理场景</w:t>
            </w:r>
          </w:p>
        </w:tc>
        <w:tc>
          <w:tcPr>
            <w:tcW w:w="843" w:type="pct"/>
            <w:shd w:val="clear" w:color="auto" w:fill="auto"/>
            <w:tcMar>
              <w:top w:w="113" w:type="dxa"/>
              <w:left w:w="170" w:type="dxa"/>
              <w:bottom w:w="113" w:type="dxa"/>
              <w:right w:w="170" w:type="dxa"/>
            </w:tcMar>
            <w:vAlign w:val="center"/>
          </w:tcPr>
          <w:p w14:paraId="7E11188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数据载体</w:t>
            </w:r>
          </w:p>
        </w:tc>
        <w:tc>
          <w:tcPr>
            <w:tcW w:w="239" w:type="pct"/>
            <w:shd w:val="clear" w:color="auto" w:fill="auto"/>
            <w:tcMar>
              <w:top w:w="113" w:type="dxa"/>
              <w:left w:w="170" w:type="dxa"/>
              <w:bottom w:w="113" w:type="dxa"/>
              <w:right w:w="170" w:type="dxa"/>
            </w:tcMar>
            <w:vAlign w:val="center"/>
          </w:tcPr>
          <w:p w14:paraId="69E2649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是否涉及数据出境</w:t>
            </w:r>
          </w:p>
        </w:tc>
        <w:tc>
          <w:tcPr>
            <w:tcW w:w="510" w:type="pct"/>
            <w:shd w:val="clear" w:color="auto" w:fill="auto"/>
            <w:tcMar>
              <w:top w:w="113" w:type="dxa"/>
              <w:left w:w="170" w:type="dxa"/>
              <w:bottom w:w="113" w:type="dxa"/>
              <w:right w:w="170" w:type="dxa"/>
            </w:tcMar>
            <w:vAlign w:val="center"/>
          </w:tcPr>
          <w:p w14:paraId="337D2D0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数据备份情况</w:t>
            </w:r>
          </w:p>
        </w:tc>
      </w:tr>
      <w:tr w14:paraId="5310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3C24892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有色金属全门类→加工→研发设计→产品研发</w:t>
            </w:r>
          </w:p>
        </w:tc>
        <w:tc>
          <w:tcPr>
            <w:tcW w:w="487" w:type="pct"/>
            <w:shd w:val="clear" w:color="auto" w:fill="auto"/>
            <w:tcMar>
              <w:top w:w="113" w:type="dxa"/>
              <w:left w:w="170" w:type="dxa"/>
              <w:bottom w:w="113" w:type="dxa"/>
              <w:right w:w="170" w:type="dxa"/>
            </w:tcMar>
            <w:vAlign w:val="center"/>
          </w:tcPr>
          <w:p w14:paraId="59E6793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产品研发设计数据</w:t>
            </w:r>
          </w:p>
        </w:tc>
        <w:tc>
          <w:tcPr>
            <w:tcW w:w="256" w:type="pct"/>
            <w:shd w:val="clear" w:color="auto" w:fill="auto"/>
            <w:tcMar>
              <w:top w:w="113" w:type="dxa"/>
              <w:left w:w="170" w:type="dxa"/>
              <w:bottom w:w="113" w:type="dxa"/>
              <w:right w:w="170" w:type="dxa"/>
            </w:tcMar>
            <w:vAlign w:val="center"/>
          </w:tcPr>
          <w:p w14:paraId="455A1EF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w:t>
            </w:r>
          </w:p>
        </w:tc>
        <w:tc>
          <w:tcPr>
            <w:tcW w:w="333" w:type="pct"/>
            <w:shd w:val="clear" w:color="auto" w:fill="auto"/>
            <w:tcMar>
              <w:top w:w="113" w:type="dxa"/>
              <w:left w:w="170" w:type="dxa"/>
              <w:bottom w:w="113" w:type="dxa"/>
              <w:right w:w="170" w:type="dxa"/>
            </w:tcMar>
            <w:vAlign w:val="center"/>
          </w:tcPr>
          <w:p w14:paraId="2358153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20-100GB</w:t>
            </w:r>
          </w:p>
        </w:tc>
        <w:tc>
          <w:tcPr>
            <w:tcW w:w="966" w:type="pct"/>
            <w:shd w:val="clear" w:color="auto" w:fill="auto"/>
            <w:tcMar>
              <w:top w:w="113" w:type="dxa"/>
              <w:left w:w="170" w:type="dxa"/>
              <w:bottom w:w="113" w:type="dxa"/>
              <w:right w:w="170" w:type="dxa"/>
            </w:tcMar>
            <w:vAlign w:val="center"/>
          </w:tcPr>
          <w:p w14:paraId="16D5F51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产品研发的核心成果，直接影响产品性能和市场竞争力</w:t>
            </w:r>
          </w:p>
        </w:tc>
        <w:tc>
          <w:tcPr>
            <w:tcW w:w="823" w:type="pct"/>
            <w:shd w:val="clear" w:color="auto" w:fill="auto"/>
            <w:tcMar>
              <w:top w:w="113" w:type="dxa"/>
              <w:left w:w="170" w:type="dxa"/>
              <w:bottom w:w="113" w:type="dxa"/>
              <w:right w:w="170" w:type="dxa"/>
            </w:tcMar>
            <w:vAlign w:val="center"/>
          </w:tcPr>
          <w:p w14:paraId="5D53954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产品研发系统、PLM系统的三维建模、结构设计、版本管理功能</w:t>
            </w:r>
          </w:p>
        </w:tc>
        <w:tc>
          <w:tcPr>
            <w:tcW w:w="843" w:type="pct"/>
            <w:shd w:val="clear" w:color="auto" w:fill="auto"/>
            <w:tcMar>
              <w:top w:w="113" w:type="dxa"/>
              <w:left w:w="170" w:type="dxa"/>
              <w:bottom w:w="113" w:type="dxa"/>
              <w:right w:w="170" w:type="dxa"/>
            </w:tcMar>
            <w:vAlign w:val="center"/>
          </w:tcPr>
          <w:p w14:paraId="7FE83E7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不与互联网连接的内网研发系统、产品设计数据库、纸质设计图纸</w:t>
            </w:r>
          </w:p>
        </w:tc>
        <w:tc>
          <w:tcPr>
            <w:tcW w:w="239" w:type="pct"/>
            <w:shd w:val="clear" w:color="auto" w:fill="auto"/>
            <w:tcMar>
              <w:top w:w="113" w:type="dxa"/>
              <w:left w:w="170" w:type="dxa"/>
              <w:bottom w:w="113" w:type="dxa"/>
              <w:right w:w="170" w:type="dxa"/>
            </w:tcMar>
            <w:vAlign w:val="center"/>
          </w:tcPr>
          <w:p w14:paraId="7102584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5A65651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3708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7EB2265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有色金属全门类→加工→研发设计→工艺改进</w:t>
            </w:r>
          </w:p>
        </w:tc>
        <w:tc>
          <w:tcPr>
            <w:tcW w:w="487" w:type="pct"/>
            <w:shd w:val="clear" w:color="auto" w:fill="auto"/>
            <w:tcMar>
              <w:top w:w="113" w:type="dxa"/>
              <w:left w:w="170" w:type="dxa"/>
              <w:bottom w:w="113" w:type="dxa"/>
              <w:right w:w="170" w:type="dxa"/>
            </w:tcMar>
            <w:vAlign w:val="center"/>
          </w:tcPr>
          <w:p w14:paraId="4CDE3C9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工艺改进实验数据</w:t>
            </w:r>
          </w:p>
        </w:tc>
        <w:tc>
          <w:tcPr>
            <w:tcW w:w="256" w:type="pct"/>
            <w:shd w:val="clear" w:color="auto" w:fill="auto"/>
            <w:tcMar>
              <w:top w:w="113" w:type="dxa"/>
              <w:left w:w="170" w:type="dxa"/>
              <w:bottom w:w="113" w:type="dxa"/>
              <w:right w:w="170" w:type="dxa"/>
            </w:tcMar>
            <w:vAlign w:val="center"/>
          </w:tcPr>
          <w:p w14:paraId="538F015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3B66C2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5-30GB</w:t>
            </w:r>
          </w:p>
        </w:tc>
        <w:tc>
          <w:tcPr>
            <w:tcW w:w="966" w:type="pct"/>
            <w:shd w:val="clear" w:color="auto" w:fill="auto"/>
            <w:tcMar>
              <w:top w:w="113" w:type="dxa"/>
              <w:left w:w="170" w:type="dxa"/>
              <w:bottom w:w="113" w:type="dxa"/>
              <w:right w:w="170" w:type="dxa"/>
            </w:tcMar>
            <w:vAlign w:val="center"/>
          </w:tcPr>
          <w:p w14:paraId="7B8B6FB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用于提升产品质量和生产效率，对企业经济效益有重要影响</w:t>
            </w:r>
          </w:p>
        </w:tc>
        <w:tc>
          <w:tcPr>
            <w:tcW w:w="823" w:type="pct"/>
            <w:shd w:val="clear" w:color="auto" w:fill="auto"/>
            <w:tcMar>
              <w:top w:w="113" w:type="dxa"/>
              <w:left w:w="170" w:type="dxa"/>
              <w:bottom w:w="113" w:type="dxa"/>
              <w:right w:w="170" w:type="dxa"/>
            </w:tcMar>
            <w:vAlign w:val="center"/>
          </w:tcPr>
          <w:p w14:paraId="0FA3AB9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工艺研发系统、实验室数据管理系统的工艺优化、参数调整功能</w:t>
            </w:r>
          </w:p>
        </w:tc>
        <w:tc>
          <w:tcPr>
            <w:tcW w:w="843" w:type="pct"/>
            <w:shd w:val="clear" w:color="auto" w:fill="auto"/>
            <w:tcMar>
              <w:top w:w="113" w:type="dxa"/>
              <w:left w:w="170" w:type="dxa"/>
              <w:bottom w:w="113" w:type="dxa"/>
              <w:right w:w="170" w:type="dxa"/>
            </w:tcMar>
            <w:vAlign w:val="center"/>
          </w:tcPr>
          <w:p w14:paraId="23DE9E6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内网研发系统、工艺实验数据库、纸质实验记录</w:t>
            </w:r>
          </w:p>
        </w:tc>
        <w:tc>
          <w:tcPr>
            <w:tcW w:w="239" w:type="pct"/>
            <w:shd w:val="clear" w:color="auto" w:fill="auto"/>
            <w:tcMar>
              <w:top w:w="113" w:type="dxa"/>
              <w:left w:w="170" w:type="dxa"/>
              <w:bottom w:w="113" w:type="dxa"/>
              <w:right w:w="170" w:type="dxa"/>
            </w:tcMar>
            <w:vAlign w:val="center"/>
          </w:tcPr>
          <w:p w14:paraId="5C78317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2C7754A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8FC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693B66B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有色金属全门类→加工→研发设计→设备适配</w:t>
            </w:r>
          </w:p>
        </w:tc>
        <w:tc>
          <w:tcPr>
            <w:tcW w:w="487" w:type="pct"/>
            <w:shd w:val="clear" w:color="auto" w:fill="auto"/>
            <w:tcMar>
              <w:top w:w="113" w:type="dxa"/>
              <w:left w:w="170" w:type="dxa"/>
              <w:bottom w:w="113" w:type="dxa"/>
              <w:right w:w="170" w:type="dxa"/>
            </w:tcMar>
            <w:vAlign w:val="center"/>
          </w:tcPr>
          <w:p w14:paraId="6018C80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新设备开发适配数据</w:t>
            </w:r>
          </w:p>
        </w:tc>
        <w:tc>
          <w:tcPr>
            <w:tcW w:w="256" w:type="pct"/>
            <w:shd w:val="clear" w:color="auto" w:fill="auto"/>
            <w:tcMar>
              <w:top w:w="113" w:type="dxa"/>
              <w:left w:w="170" w:type="dxa"/>
              <w:bottom w:w="113" w:type="dxa"/>
              <w:right w:w="170" w:type="dxa"/>
            </w:tcMar>
            <w:vAlign w:val="center"/>
          </w:tcPr>
          <w:p w14:paraId="6322B22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056508E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10-50GB</w:t>
            </w:r>
          </w:p>
        </w:tc>
        <w:tc>
          <w:tcPr>
            <w:tcW w:w="966" w:type="pct"/>
            <w:shd w:val="clear" w:color="auto" w:fill="auto"/>
            <w:tcMar>
              <w:top w:w="113" w:type="dxa"/>
              <w:left w:w="170" w:type="dxa"/>
              <w:bottom w:w="113" w:type="dxa"/>
              <w:right w:w="170" w:type="dxa"/>
            </w:tcMar>
            <w:vAlign w:val="center"/>
          </w:tcPr>
          <w:p w14:paraId="40480C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用于适配新型加工工艺，优化设备运行参数</w:t>
            </w:r>
          </w:p>
        </w:tc>
        <w:tc>
          <w:tcPr>
            <w:tcW w:w="823" w:type="pct"/>
            <w:shd w:val="clear" w:color="auto" w:fill="auto"/>
            <w:tcMar>
              <w:top w:w="113" w:type="dxa"/>
              <w:left w:w="170" w:type="dxa"/>
              <w:bottom w:w="113" w:type="dxa"/>
              <w:right w:w="170" w:type="dxa"/>
            </w:tcMar>
            <w:vAlign w:val="center"/>
          </w:tcPr>
          <w:p w14:paraId="64A3480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设备研发系统、生产管理系统的设备调试、参数匹配功能</w:t>
            </w:r>
          </w:p>
        </w:tc>
        <w:tc>
          <w:tcPr>
            <w:tcW w:w="843" w:type="pct"/>
            <w:shd w:val="clear" w:color="auto" w:fill="auto"/>
            <w:tcMar>
              <w:top w:w="113" w:type="dxa"/>
              <w:left w:w="170" w:type="dxa"/>
              <w:bottom w:w="113" w:type="dxa"/>
              <w:right w:w="170" w:type="dxa"/>
            </w:tcMar>
            <w:vAlign w:val="center"/>
          </w:tcPr>
          <w:p w14:paraId="65A34B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内网设备管理数据库、调试记录档案、纸质测试报告</w:t>
            </w:r>
          </w:p>
        </w:tc>
        <w:tc>
          <w:tcPr>
            <w:tcW w:w="239" w:type="pct"/>
            <w:shd w:val="clear" w:color="auto" w:fill="auto"/>
            <w:tcMar>
              <w:top w:w="113" w:type="dxa"/>
              <w:left w:w="170" w:type="dxa"/>
              <w:bottom w:w="113" w:type="dxa"/>
              <w:right w:w="170" w:type="dxa"/>
            </w:tcMar>
            <w:vAlign w:val="center"/>
          </w:tcPr>
          <w:p w14:paraId="162D84C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53CBE90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56C5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1892963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稀有金属/特种金属→加工→生产制造→核心工艺</w:t>
            </w:r>
          </w:p>
        </w:tc>
        <w:tc>
          <w:tcPr>
            <w:tcW w:w="487" w:type="pct"/>
            <w:shd w:val="clear" w:color="auto" w:fill="auto"/>
            <w:tcMar>
              <w:top w:w="113" w:type="dxa"/>
              <w:left w:w="170" w:type="dxa"/>
              <w:bottom w:w="113" w:type="dxa"/>
              <w:right w:w="170" w:type="dxa"/>
            </w:tcMar>
            <w:vAlign w:val="center"/>
          </w:tcPr>
          <w:p w14:paraId="1082ACE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关键工艺参数</w:t>
            </w:r>
          </w:p>
        </w:tc>
        <w:tc>
          <w:tcPr>
            <w:tcW w:w="256" w:type="pct"/>
            <w:shd w:val="clear" w:color="auto" w:fill="auto"/>
            <w:tcMar>
              <w:top w:w="113" w:type="dxa"/>
              <w:left w:w="170" w:type="dxa"/>
              <w:bottom w:w="113" w:type="dxa"/>
              <w:right w:w="170" w:type="dxa"/>
            </w:tcMar>
            <w:vAlign w:val="center"/>
          </w:tcPr>
          <w:p w14:paraId="1FD158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核心数据</w:t>
            </w:r>
          </w:p>
        </w:tc>
        <w:tc>
          <w:tcPr>
            <w:tcW w:w="333" w:type="pct"/>
            <w:shd w:val="clear" w:color="auto" w:fill="auto"/>
            <w:tcMar>
              <w:top w:w="113" w:type="dxa"/>
              <w:left w:w="170" w:type="dxa"/>
              <w:bottom w:w="113" w:type="dxa"/>
              <w:right w:w="170" w:type="dxa"/>
            </w:tcMar>
            <w:vAlign w:val="center"/>
          </w:tcPr>
          <w:p w14:paraId="549C49C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50-200GB/型号</w:t>
            </w:r>
          </w:p>
        </w:tc>
        <w:tc>
          <w:tcPr>
            <w:tcW w:w="966" w:type="pct"/>
            <w:shd w:val="clear" w:color="auto" w:fill="auto"/>
            <w:tcMar>
              <w:top w:w="113" w:type="dxa"/>
              <w:left w:w="170" w:type="dxa"/>
              <w:bottom w:w="113" w:type="dxa"/>
              <w:right w:w="170" w:type="dxa"/>
            </w:tcMar>
            <w:vAlign w:val="center"/>
          </w:tcPr>
          <w:p w14:paraId="03EC475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直接关系关键金属构件的组织性能、服役可靠性与核安全质量</w:t>
            </w:r>
          </w:p>
        </w:tc>
        <w:tc>
          <w:tcPr>
            <w:tcW w:w="823" w:type="pct"/>
            <w:shd w:val="clear" w:color="auto" w:fill="auto"/>
            <w:tcMar>
              <w:top w:w="113" w:type="dxa"/>
              <w:left w:w="170" w:type="dxa"/>
              <w:bottom w:w="113" w:type="dxa"/>
              <w:right w:w="170" w:type="dxa"/>
            </w:tcMar>
            <w:vAlign w:val="center"/>
          </w:tcPr>
          <w:p w14:paraId="1F8E5F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核心工艺管理系统、生产控制系统的参数管控、工艺执行功能</w:t>
            </w:r>
          </w:p>
        </w:tc>
        <w:tc>
          <w:tcPr>
            <w:tcW w:w="843" w:type="pct"/>
            <w:shd w:val="clear" w:color="auto" w:fill="auto"/>
            <w:tcMar>
              <w:top w:w="113" w:type="dxa"/>
              <w:left w:w="170" w:type="dxa"/>
              <w:bottom w:w="113" w:type="dxa"/>
              <w:right w:w="170" w:type="dxa"/>
            </w:tcMar>
            <w:vAlign w:val="center"/>
          </w:tcPr>
          <w:p w14:paraId="19BA3B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不与互联网连接的内网核心工艺数据库、纸质工艺参数档案</w:t>
            </w:r>
          </w:p>
        </w:tc>
        <w:tc>
          <w:tcPr>
            <w:tcW w:w="239" w:type="pct"/>
            <w:shd w:val="clear" w:color="auto" w:fill="auto"/>
            <w:tcMar>
              <w:top w:w="113" w:type="dxa"/>
              <w:left w:w="170" w:type="dxa"/>
              <w:bottom w:w="113" w:type="dxa"/>
              <w:right w:w="170" w:type="dxa"/>
            </w:tcMar>
            <w:vAlign w:val="center"/>
          </w:tcPr>
          <w:p w14:paraId="7B65CDA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3A6C62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本地每日全量备份、异地实时冗余备份、云端每月归档备份</w:t>
            </w:r>
          </w:p>
        </w:tc>
      </w:tr>
      <w:tr w14:paraId="5B81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5F58691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有色金属全门类→加工→生产制造→质量管控</w:t>
            </w:r>
          </w:p>
        </w:tc>
        <w:tc>
          <w:tcPr>
            <w:tcW w:w="487" w:type="pct"/>
            <w:shd w:val="clear" w:color="auto" w:fill="auto"/>
            <w:tcMar>
              <w:top w:w="113" w:type="dxa"/>
              <w:left w:w="170" w:type="dxa"/>
              <w:bottom w:w="113" w:type="dxa"/>
              <w:right w:w="170" w:type="dxa"/>
            </w:tcMar>
            <w:vAlign w:val="center"/>
          </w:tcPr>
          <w:p w14:paraId="08B1498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关键质量参数</w:t>
            </w:r>
          </w:p>
        </w:tc>
        <w:tc>
          <w:tcPr>
            <w:tcW w:w="256" w:type="pct"/>
            <w:shd w:val="clear" w:color="auto" w:fill="auto"/>
            <w:tcMar>
              <w:top w:w="113" w:type="dxa"/>
              <w:left w:w="170" w:type="dxa"/>
              <w:bottom w:w="113" w:type="dxa"/>
              <w:right w:w="170" w:type="dxa"/>
            </w:tcMar>
            <w:vAlign w:val="center"/>
          </w:tcPr>
          <w:p w14:paraId="5FBA245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6ED453B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10-80GB/年</w:t>
            </w:r>
          </w:p>
        </w:tc>
        <w:tc>
          <w:tcPr>
            <w:tcW w:w="966" w:type="pct"/>
            <w:shd w:val="clear" w:color="auto" w:fill="auto"/>
            <w:tcMar>
              <w:top w:w="113" w:type="dxa"/>
              <w:left w:w="170" w:type="dxa"/>
              <w:bottom w:w="113" w:type="dxa"/>
              <w:right w:w="170" w:type="dxa"/>
            </w:tcMar>
            <w:vAlign w:val="center"/>
          </w:tcPr>
          <w:p w14:paraId="37B52D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直接决定产品是否符合标准，是企业产品质量的核心体现</w:t>
            </w:r>
          </w:p>
        </w:tc>
        <w:tc>
          <w:tcPr>
            <w:tcW w:w="823" w:type="pct"/>
            <w:shd w:val="clear" w:color="auto" w:fill="auto"/>
            <w:tcMar>
              <w:top w:w="113" w:type="dxa"/>
              <w:left w:w="170" w:type="dxa"/>
              <w:bottom w:w="113" w:type="dxa"/>
              <w:right w:w="170" w:type="dxa"/>
            </w:tcMar>
            <w:vAlign w:val="center"/>
          </w:tcPr>
          <w:p w14:paraId="6FE3028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质量管理系统、LIMS系统的质量标准管控、检测结果分析功能</w:t>
            </w:r>
          </w:p>
        </w:tc>
        <w:tc>
          <w:tcPr>
            <w:tcW w:w="843" w:type="pct"/>
            <w:shd w:val="clear" w:color="auto" w:fill="auto"/>
            <w:tcMar>
              <w:top w:w="113" w:type="dxa"/>
              <w:left w:w="170" w:type="dxa"/>
              <w:bottom w:w="113" w:type="dxa"/>
              <w:right w:w="170" w:type="dxa"/>
            </w:tcMar>
            <w:vAlign w:val="center"/>
          </w:tcPr>
          <w:p w14:paraId="72E11E7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内网质量管理数据库、质量标准文件、纸质检测报告</w:t>
            </w:r>
          </w:p>
        </w:tc>
        <w:tc>
          <w:tcPr>
            <w:tcW w:w="239" w:type="pct"/>
            <w:shd w:val="clear" w:color="auto" w:fill="auto"/>
            <w:tcMar>
              <w:top w:w="113" w:type="dxa"/>
              <w:left w:w="170" w:type="dxa"/>
              <w:bottom w:w="113" w:type="dxa"/>
              <w:right w:w="170" w:type="dxa"/>
            </w:tcMar>
            <w:vAlign w:val="center"/>
          </w:tcPr>
          <w:p w14:paraId="791EDB7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1CEA4C6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D66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2B00E35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有色金属全门类→加工→生产制造→过程控制</w:t>
            </w:r>
          </w:p>
        </w:tc>
        <w:tc>
          <w:tcPr>
            <w:tcW w:w="487" w:type="pct"/>
            <w:shd w:val="clear" w:color="auto" w:fill="auto"/>
            <w:tcMar>
              <w:top w:w="113" w:type="dxa"/>
              <w:left w:w="170" w:type="dxa"/>
              <w:bottom w:w="113" w:type="dxa"/>
              <w:right w:w="170" w:type="dxa"/>
            </w:tcMar>
            <w:vAlign w:val="center"/>
          </w:tcPr>
          <w:p w14:paraId="7B20743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生产过程控制信息</w:t>
            </w:r>
          </w:p>
        </w:tc>
        <w:tc>
          <w:tcPr>
            <w:tcW w:w="256" w:type="pct"/>
            <w:shd w:val="clear" w:color="auto" w:fill="auto"/>
            <w:tcMar>
              <w:top w:w="113" w:type="dxa"/>
              <w:left w:w="170" w:type="dxa"/>
              <w:bottom w:w="113" w:type="dxa"/>
              <w:right w:w="170" w:type="dxa"/>
            </w:tcMar>
            <w:vAlign w:val="center"/>
          </w:tcPr>
          <w:p w14:paraId="06DFC48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4A349D3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200GB-2TB/年</w:t>
            </w:r>
          </w:p>
        </w:tc>
        <w:tc>
          <w:tcPr>
            <w:tcW w:w="966" w:type="pct"/>
            <w:shd w:val="clear" w:color="auto" w:fill="auto"/>
            <w:tcMar>
              <w:top w:w="113" w:type="dxa"/>
              <w:left w:w="170" w:type="dxa"/>
              <w:bottom w:w="113" w:type="dxa"/>
              <w:right w:w="170" w:type="dxa"/>
            </w:tcMar>
            <w:vAlign w:val="center"/>
          </w:tcPr>
          <w:p w14:paraId="1131B1A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直接控制加工生产流程，其准确性和稳定性关乎产品质量与生产安全</w:t>
            </w:r>
          </w:p>
        </w:tc>
        <w:tc>
          <w:tcPr>
            <w:tcW w:w="823" w:type="pct"/>
            <w:shd w:val="clear" w:color="auto" w:fill="auto"/>
            <w:tcMar>
              <w:top w:w="113" w:type="dxa"/>
              <w:left w:w="170" w:type="dxa"/>
              <w:bottom w:w="113" w:type="dxa"/>
              <w:right w:w="170" w:type="dxa"/>
            </w:tcMar>
            <w:vAlign w:val="center"/>
          </w:tcPr>
          <w:p w14:paraId="060C97A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生产加工控制系统、PLC系统的实时过程控制、参数调节功能</w:t>
            </w:r>
          </w:p>
        </w:tc>
        <w:tc>
          <w:tcPr>
            <w:tcW w:w="843" w:type="pct"/>
            <w:shd w:val="clear" w:color="auto" w:fill="auto"/>
            <w:tcMar>
              <w:top w:w="113" w:type="dxa"/>
              <w:left w:w="170" w:type="dxa"/>
              <w:bottom w:w="113" w:type="dxa"/>
              <w:right w:w="170" w:type="dxa"/>
            </w:tcMar>
            <w:vAlign w:val="center"/>
          </w:tcPr>
          <w:p w14:paraId="5C32EA3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不与互联网连接的工业控制系统、实时数据采集服务器、本地控制终端</w:t>
            </w:r>
          </w:p>
        </w:tc>
        <w:tc>
          <w:tcPr>
            <w:tcW w:w="239" w:type="pct"/>
            <w:shd w:val="clear" w:color="auto" w:fill="auto"/>
            <w:tcMar>
              <w:top w:w="113" w:type="dxa"/>
              <w:left w:w="170" w:type="dxa"/>
              <w:bottom w:w="113" w:type="dxa"/>
              <w:right w:w="170" w:type="dxa"/>
            </w:tcMar>
            <w:vAlign w:val="center"/>
          </w:tcPr>
          <w:p w14:paraId="77715C6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316E8C8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本地实时冗余备份、异地每日增量备份、每周全量备份</w:t>
            </w:r>
          </w:p>
        </w:tc>
      </w:tr>
      <w:tr w14:paraId="2B19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35C5B7C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有色金属全门类→加工→生产制造→工况监测</w:t>
            </w:r>
          </w:p>
        </w:tc>
        <w:tc>
          <w:tcPr>
            <w:tcW w:w="487" w:type="pct"/>
            <w:shd w:val="clear" w:color="auto" w:fill="auto"/>
            <w:tcMar>
              <w:top w:w="113" w:type="dxa"/>
              <w:left w:w="170" w:type="dxa"/>
              <w:bottom w:w="113" w:type="dxa"/>
              <w:right w:w="170" w:type="dxa"/>
            </w:tcMar>
            <w:vAlign w:val="center"/>
          </w:tcPr>
          <w:p w14:paraId="47C204B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生产工况监测数据</w:t>
            </w:r>
          </w:p>
        </w:tc>
        <w:tc>
          <w:tcPr>
            <w:tcW w:w="256" w:type="pct"/>
            <w:shd w:val="clear" w:color="auto" w:fill="auto"/>
            <w:tcMar>
              <w:top w:w="113" w:type="dxa"/>
              <w:left w:w="170" w:type="dxa"/>
              <w:bottom w:w="113" w:type="dxa"/>
              <w:right w:w="170" w:type="dxa"/>
            </w:tcMar>
            <w:vAlign w:val="center"/>
          </w:tcPr>
          <w:p w14:paraId="7C81068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5EA274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100GB-1TB/年</w:t>
            </w:r>
          </w:p>
        </w:tc>
        <w:tc>
          <w:tcPr>
            <w:tcW w:w="966" w:type="pct"/>
            <w:shd w:val="clear" w:color="auto" w:fill="auto"/>
            <w:tcMar>
              <w:top w:w="113" w:type="dxa"/>
              <w:left w:w="170" w:type="dxa"/>
              <w:bottom w:w="113" w:type="dxa"/>
              <w:right w:w="170" w:type="dxa"/>
            </w:tcMar>
            <w:vAlign w:val="center"/>
          </w:tcPr>
          <w:p w14:paraId="07C4828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是判断生产是否正常的重要依据，可及时发现生产异常</w:t>
            </w:r>
          </w:p>
        </w:tc>
        <w:tc>
          <w:tcPr>
            <w:tcW w:w="823" w:type="pct"/>
            <w:shd w:val="clear" w:color="auto" w:fill="auto"/>
            <w:tcMar>
              <w:top w:w="113" w:type="dxa"/>
              <w:left w:w="170" w:type="dxa"/>
              <w:bottom w:w="113" w:type="dxa"/>
              <w:right w:w="170" w:type="dxa"/>
            </w:tcMar>
            <w:vAlign w:val="center"/>
          </w:tcPr>
          <w:p w14:paraId="3D57765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生产监控系统、SCADA系统的实时工况监测、异常预警功能</w:t>
            </w:r>
          </w:p>
        </w:tc>
        <w:tc>
          <w:tcPr>
            <w:tcW w:w="843" w:type="pct"/>
            <w:shd w:val="clear" w:color="auto" w:fill="auto"/>
            <w:tcMar>
              <w:top w:w="113" w:type="dxa"/>
              <w:left w:w="170" w:type="dxa"/>
              <w:bottom w:w="113" w:type="dxa"/>
              <w:right w:w="170" w:type="dxa"/>
            </w:tcMar>
            <w:vAlign w:val="center"/>
          </w:tcPr>
          <w:p w14:paraId="5EFF2E3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内网生产监控系统、SCADA数据服务器、现场传感器终端</w:t>
            </w:r>
          </w:p>
        </w:tc>
        <w:tc>
          <w:tcPr>
            <w:tcW w:w="239" w:type="pct"/>
            <w:shd w:val="clear" w:color="auto" w:fill="auto"/>
            <w:tcMar>
              <w:top w:w="113" w:type="dxa"/>
              <w:left w:w="170" w:type="dxa"/>
              <w:bottom w:w="113" w:type="dxa"/>
              <w:right w:w="170" w:type="dxa"/>
            </w:tcMar>
            <w:vAlign w:val="center"/>
          </w:tcPr>
          <w:p w14:paraId="1743C73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EBFB2C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792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404A407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通用→加工→环保管理→环境监测</w:t>
            </w:r>
          </w:p>
        </w:tc>
        <w:tc>
          <w:tcPr>
            <w:tcW w:w="487" w:type="pct"/>
            <w:shd w:val="clear" w:color="auto" w:fill="auto"/>
            <w:tcMar>
              <w:top w:w="113" w:type="dxa"/>
              <w:left w:w="170" w:type="dxa"/>
              <w:bottom w:w="113" w:type="dxa"/>
              <w:right w:w="170" w:type="dxa"/>
            </w:tcMar>
            <w:vAlign w:val="center"/>
          </w:tcPr>
          <w:p w14:paraId="1409F84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环境数据</w:t>
            </w:r>
          </w:p>
        </w:tc>
        <w:tc>
          <w:tcPr>
            <w:tcW w:w="256" w:type="pct"/>
            <w:shd w:val="clear" w:color="auto" w:fill="auto"/>
            <w:tcMar>
              <w:top w:w="113" w:type="dxa"/>
              <w:left w:w="170" w:type="dxa"/>
              <w:bottom w:w="113" w:type="dxa"/>
              <w:right w:w="170" w:type="dxa"/>
            </w:tcMar>
            <w:vAlign w:val="center"/>
          </w:tcPr>
          <w:p w14:paraId="4A4867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362DA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10-50GB/年</w:t>
            </w:r>
          </w:p>
        </w:tc>
        <w:tc>
          <w:tcPr>
            <w:tcW w:w="966" w:type="pct"/>
            <w:shd w:val="clear" w:color="auto" w:fill="auto"/>
            <w:tcMar>
              <w:top w:w="113" w:type="dxa"/>
              <w:left w:w="170" w:type="dxa"/>
              <w:bottom w:w="113" w:type="dxa"/>
              <w:right w:w="170" w:type="dxa"/>
            </w:tcMar>
            <w:vAlign w:val="center"/>
          </w:tcPr>
          <w:p w14:paraId="6A2EBD6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是企业环保合规管控、保障生产环境安全的核心依据</w:t>
            </w:r>
          </w:p>
        </w:tc>
        <w:tc>
          <w:tcPr>
            <w:tcW w:w="823" w:type="pct"/>
            <w:shd w:val="clear" w:color="auto" w:fill="auto"/>
            <w:tcMar>
              <w:top w:w="113" w:type="dxa"/>
              <w:left w:w="170" w:type="dxa"/>
              <w:bottom w:w="113" w:type="dxa"/>
              <w:right w:w="170" w:type="dxa"/>
            </w:tcMar>
            <w:vAlign w:val="center"/>
          </w:tcPr>
          <w:p w14:paraId="0305DFF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环保管理系统、环境监测平台的环境参数监测、合规管控功能</w:t>
            </w:r>
          </w:p>
        </w:tc>
        <w:tc>
          <w:tcPr>
            <w:tcW w:w="843" w:type="pct"/>
            <w:shd w:val="clear" w:color="auto" w:fill="auto"/>
            <w:tcMar>
              <w:top w:w="113" w:type="dxa"/>
              <w:left w:w="170" w:type="dxa"/>
              <w:bottom w:w="113" w:type="dxa"/>
              <w:right w:w="170" w:type="dxa"/>
            </w:tcMar>
            <w:vAlign w:val="center"/>
          </w:tcPr>
          <w:p w14:paraId="4FEF18E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内网环保管理系统、环境监测数据服务器、纸质监测记录</w:t>
            </w:r>
          </w:p>
        </w:tc>
        <w:tc>
          <w:tcPr>
            <w:tcW w:w="239" w:type="pct"/>
            <w:shd w:val="clear" w:color="auto" w:fill="auto"/>
            <w:tcMar>
              <w:top w:w="113" w:type="dxa"/>
              <w:left w:w="170" w:type="dxa"/>
              <w:bottom w:w="113" w:type="dxa"/>
              <w:right w:w="170" w:type="dxa"/>
            </w:tcMar>
            <w:vAlign w:val="center"/>
          </w:tcPr>
          <w:p w14:paraId="4C95300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B42A5D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129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265A8B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有色金属全门类→加工→生产制造→设备运维</w:t>
            </w:r>
          </w:p>
        </w:tc>
        <w:tc>
          <w:tcPr>
            <w:tcW w:w="487" w:type="pct"/>
            <w:shd w:val="clear" w:color="auto" w:fill="auto"/>
            <w:tcMar>
              <w:top w:w="113" w:type="dxa"/>
              <w:left w:w="170" w:type="dxa"/>
              <w:bottom w:w="113" w:type="dxa"/>
              <w:right w:w="170" w:type="dxa"/>
            </w:tcMar>
            <w:vAlign w:val="center"/>
          </w:tcPr>
          <w:p w14:paraId="1CEAACF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设备维护保养数据</w:t>
            </w:r>
          </w:p>
        </w:tc>
        <w:tc>
          <w:tcPr>
            <w:tcW w:w="256" w:type="pct"/>
            <w:shd w:val="clear" w:color="auto" w:fill="auto"/>
            <w:tcMar>
              <w:top w:w="113" w:type="dxa"/>
              <w:left w:w="170" w:type="dxa"/>
              <w:bottom w:w="113" w:type="dxa"/>
              <w:right w:w="170" w:type="dxa"/>
            </w:tcMar>
            <w:vAlign w:val="center"/>
          </w:tcPr>
          <w:p w14:paraId="0679130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4862AEA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5-20GB/年</w:t>
            </w:r>
          </w:p>
        </w:tc>
        <w:tc>
          <w:tcPr>
            <w:tcW w:w="966" w:type="pct"/>
            <w:shd w:val="clear" w:color="auto" w:fill="auto"/>
            <w:tcMar>
              <w:top w:w="113" w:type="dxa"/>
              <w:left w:w="170" w:type="dxa"/>
              <w:bottom w:w="113" w:type="dxa"/>
              <w:right w:w="170" w:type="dxa"/>
            </w:tcMar>
            <w:vAlign w:val="center"/>
          </w:tcPr>
          <w:p w14:paraId="1CAAFD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关系设备的使用寿命和运行稳定性，保障生产连续进行</w:t>
            </w:r>
          </w:p>
        </w:tc>
        <w:tc>
          <w:tcPr>
            <w:tcW w:w="823" w:type="pct"/>
            <w:shd w:val="clear" w:color="auto" w:fill="auto"/>
            <w:tcMar>
              <w:top w:w="113" w:type="dxa"/>
              <w:left w:w="170" w:type="dxa"/>
              <w:bottom w:w="113" w:type="dxa"/>
              <w:right w:w="170" w:type="dxa"/>
            </w:tcMar>
            <w:vAlign w:val="center"/>
          </w:tcPr>
          <w:p w14:paraId="5DDC819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设备管理系统、EAM系统的设备运维、保养计划管理功能</w:t>
            </w:r>
          </w:p>
        </w:tc>
        <w:tc>
          <w:tcPr>
            <w:tcW w:w="843" w:type="pct"/>
            <w:shd w:val="clear" w:color="auto" w:fill="auto"/>
            <w:tcMar>
              <w:top w:w="113" w:type="dxa"/>
              <w:left w:w="170" w:type="dxa"/>
              <w:bottom w:w="113" w:type="dxa"/>
              <w:right w:w="170" w:type="dxa"/>
            </w:tcMar>
            <w:vAlign w:val="center"/>
          </w:tcPr>
          <w:p w14:paraId="0089205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内网设备管理数据库、运维记录档案、纸质维修单据</w:t>
            </w:r>
          </w:p>
        </w:tc>
        <w:tc>
          <w:tcPr>
            <w:tcW w:w="239" w:type="pct"/>
            <w:shd w:val="clear" w:color="auto" w:fill="auto"/>
            <w:tcMar>
              <w:top w:w="113" w:type="dxa"/>
              <w:left w:w="170" w:type="dxa"/>
              <w:bottom w:w="113" w:type="dxa"/>
              <w:right w:w="170" w:type="dxa"/>
            </w:tcMar>
            <w:vAlign w:val="center"/>
          </w:tcPr>
          <w:p w14:paraId="780BDAD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3742D10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FB8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5A2FBD3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有色金属全门类→加工→生产制造→物料调度</w:t>
            </w:r>
          </w:p>
        </w:tc>
        <w:tc>
          <w:tcPr>
            <w:tcW w:w="487" w:type="pct"/>
            <w:shd w:val="clear" w:color="auto" w:fill="auto"/>
            <w:tcMar>
              <w:top w:w="113" w:type="dxa"/>
              <w:left w:w="170" w:type="dxa"/>
              <w:bottom w:w="113" w:type="dxa"/>
              <w:right w:w="170" w:type="dxa"/>
            </w:tcMar>
            <w:vAlign w:val="center"/>
          </w:tcPr>
          <w:p w14:paraId="2AE3E00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生产物料调度数据</w:t>
            </w:r>
          </w:p>
        </w:tc>
        <w:tc>
          <w:tcPr>
            <w:tcW w:w="256" w:type="pct"/>
            <w:shd w:val="clear" w:color="auto" w:fill="auto"/>
            <w:tcMar>
              <w:top w:w="113" w:type="dxa"/>
              <w:left w:w="170" w:type="dxa"/>
              <w:bottom w:w="113" w:type="dxa"/>
              <w:right w:w="170" w:type="dxa"/>
            </w:tcMar>
            <w:vAlign w:val="center"/>
          </w:tcPr>
          <w:p w14:paraId="4DAD366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DE2D1C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66" w:type="pct"/>
            <w:shd w:val="clear" w:color="auto" w:fill="auto"/>
            <w:tcMar>
              <w:top w:w="113" w:type="dxa"/>
              <w:left w:w="170" w:type="dxa"/>
              <w:bottom w:w="113" w:type="dxa"/>
              <w:right w:w="170" w:type="dxa"/>
            </w:tcMar>
            <w:vAlign w:val="center"/>
          </w:tcPr>
          <w:p w14:paraId="03B4844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反映生产物料流转效率</w:t>
            </w:r>
          </w:p>
        </w:tc>
        <w:tc>
          <w:tcPr>
            <w:tcW w:w="823" w:type="pct"/>
            <w:shd w:val="clear" w:color="auto" w:fill="auto"/>
            <w:tcMar>
              <w:top w:w="113" w:type="dxa"/>
              <w:left w:w="170" w:type="dxa"/>
              <w:bottom w:w="113" w:type="dxa"/>
              <w:right w:w="170" w:type="dxa"/>
            </w:tcMar>
            <w:vAlign w:val="center"/>
          </w:tcPr>
          <w:p w14:paraId="041D2CB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物流调度系统、生产管理系统的物料配送、批次追溯功能</w:t>
            </w:r>
          </w:p>
        </w:tc>
        <w:tc>
          <w:tcPr>
            <w:tcW w:w="843" w:type="pct"/>
            <w:shd w:val="clear" w:color="auto" w:fill="auto"/>
            <w:tcMar>
              <w:top w:w="113" w:type="dxa"/>
              <w:left w:w="170" w:type="dxa"/>
              <w:bottom w:w="113" w:type="dxa"/>
              <w:right w:w="170" w:type="dxa"/>
            </w:tcMar>
            <w:vAlign w:val="center"/>
          </w:tcPr>
          <w:p w14:paraId="36839B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内网生产管理系统、物料调度数据库、纸质调度记录</w:t>
            </w:r>
          </w:p>
        </w:tc>
        <w:tc>
          <w:tcPr>
            <w:tcW w:w="239" w:type="pct"/>
            <w:shd w:val="clear" w:color="auto" w:fill="auto"/>
            <w:tcMar>
              <w:top w:w="113" w:type="dxa"/>
              <w:left w:w="170" w:type="dxa"/>
              <w:bottom w:w="113" w:type="dxa"/>
              <w:right w:w="170" w:type="dxa"/>
            </w:tcMar>
            <w:vAlign w:val="center"/>
          </w:tcPr>
          <w:p w14:paraId="355D125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A4EBB4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42FE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79A1167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有色金属全门类→加工→生产制造→工装管理</w:t>
            </w:r>
          </w:p>
        </w:tc>
        <w:tc>
          <w:tcPr>
            <w:tcW w:w="487" w:type="pct"/>
            <w:shd w:val="clear" w:color="auto" w:fill="auto"/>
            <w:tcMar>
              <w:top w:w="113" w:type="dxa"/>
              <w:left w:w="170" w:type="dxa"/>
              <w:bottom w:w="113" w:type="dxa"/>
              <w:right w:w="170" w:type="dxa"/>
            </w:tcMar>
            <w:vAlign w:val="center"/>
          </w:tcPr>
          <w:p w14:paraId="47C0EB6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工具工装管理数据</w:t>
            </w:r>
          </w:p>
        </w:tc>
        <w:tc>
          <w:tcPr>
            <w:tcW w:w="256" w:type="pct"/>
            <w:shd w:val="clear" w:color="auto" w:fill="auto"/>
            <w:tcMar>
              <w:top w:w="113" w:type="dxa"/>
              <w:left w:w="170" w:type="dxa"/>
              <w:bottom w:w="113" w:type="dxa"/>
              <w:right w:w="170" w:type="dxa"/>
            </w:tcMar>
            <w:vAlign w:val="center"/>
          </w:tcPr>
          <w:p w14:paraId="65784F1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043582D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2-10GB/年</w:t>
            </w:r>
          </w:p>
        </w:tc>
        <w:tc>
          <w:tcPr>
            <w:tcW w:w="966" w:type="pct"/>
            <w:shd w:val="clear" w:color="auto" w:fill="auto"/>
            <w:tcMar>
              <w:top w:w="113" w:type="dxa"/>
              <w:left w:w="170" w:type="dxa"/>
              <w:bottom w:w="113" w:type="dxa"/>
              <w:right w:w="170" w:type="dxa"/>
            </w:tcMar>
            <w:vAlign w:val="center"/>
          </w:tcPr>
          <w:p w14:paraId="0FEA45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直接影响加工精度和产品质量，避免因工具问题导致生产事故</w:t>
            </w:r>
          </w:p>
        </w:tc>
        <w:tc>
          <w:tcPr>
            <w:tcW w:w="823" w:type="pct"/>
            <w:shd w:val="clear" w:color="auto" w:fill="auto"/>
            <w:tcMar>
              <w:top w:w="113" w:type="dxa"/>
              <w:left w:w="170" w:type="dxa"/>
              <w:bottom w:w="113" w:type="dxa"/>
              <w:right w:w="170" w:type="dxa"/>
            </w:tcMar>
            <w:vAlign w:val="center"/>
          </w:tcPr>
          <w:p w14:paraId="7BB304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工装管理系统、设备管理系统的工装参数管控、寿命管理功能</w:t>
            </w:r>
          </w:p>
        </w:tc>
        <w:tc>
          <w:tcPr>
            <w:tcW w:w="843" w:type="pct"/>
            <w:shd w:val="clear" w:color="auto" w:fill="auto"/>
            <w:tcMar>
              <w:top w:w="113" w:type="dxa"/>
              <w:left w:w="170" w:type="dxa"/>
              <w:bottom w:w="113" w:type="dxa"/>
              <w:right w:w="170" w:type="dxa"/>
            </w:tcMar>
            <w:vAlign w:val="center"/>
          </w:tcPr>
          <w:p w14:paraId="78A9B1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内网工装管理数据库、纸质工装台账、维护记录</w:t>
            </w:r>
          </w:p>
        </w:tc>
        <w:tc>
          <w:tcPr>
            <w:tcW w:w="239" w:type="pct"/>
            <w:shd w:val="clear" w:color="auto" w:fill="auto"/>
            <w:tcMar>
              <w:top w:w="113" w:type="dxa"/>
              <w:left w:w="170" w:type="dxa"/>
              <w:bottom w:w="113" w:type="dxa"/>
              <w:right w:w="170" w:type="dxa"/>
            </w:tcMar>
            <w:vAlign w:val="center"/>
          </w:tcPr>
          <w:p w14:paraId="1914BCE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F6466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2AF1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1BA45B8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有色金属全门类→加工→经营管理→资产管理</w:t>
            </w:r>
          </w:p>
        </w:tc>
        <w:tc>
          <w:tcPr>
            <w:tcW w:w="487" w:type="pct"/>
            <w:shd w:val="clear" w:color="auto" w:fill="auto"/>
            <w:tcMar>
              <w:top w:w="113" w:type="dxa"/>
              <w:left w:w="170" w:type="dxa"/>
              <w:bottom w:w="113" w:type="dxa"/>
              <w:right w:w="170" w:type="dxa"/>
            </w:tcMar>
            <w:vAlign w:val="center"/>
          </w:tcPr>
          <w:p w14:paraId="6A6BAF2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生产设备资产数据</w:t>
            </w:r>
          </w:p>
        </w:tc>
        <w:tc>
          <w:tcPr>
            <w:tcW w:w="256" w:type="pct"/>
            <w:shd w:val="clear" w:color="auto" w:fill="auto"/>
            <w:tcMar>
              <w:top w:w="113" w:type="dxa"/>
              <w:left w:w="170" w:type="dxa"/>
              <w:bottom w:w="113" w:type="dxa"/>
              <w:right w:w="170" w:type="dxa"/>
            </w:tcMar>
            <w:vAlign w:val="center"/>
          </w:tcPr>
          <w:p w14:paraId="6CAE05D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2C57359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w:t>
            </w:r>
          </w:p>
        </w:tc>
        <w:tc>
          <w:tcPr>
            <w:tcW w:w="966" w:type="pct"/>
            <w:shd w:val="clear" w:color="auto" w:fill="auto"/>
            <w:tcMar>
              <w:top w:w="113" w:type="dxa"/>
              <w:left w:w="170" w:type="dxa"/>
              <w:bottom w:w="113" w:type="dxa"/>
              <w:right w:w="170" w:type="dxa"/>
            </w:tcMar>
            <w:vAlign w:val="center"/>
          </w:tcPr>
          <w:p w14:paraId="72A7180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企业生产资产的重要组成部分，关系企业生产能力</w:t>
            </w:r>
          </w:p>
        </w:tc>
        <w:tc>
          <w:tcPr>
            <w:tcW w:w="823" w:type="pct"/>
            <w:shd w:val="clear" w:color="auto" w:fill="auto"/>
            <w:tcMar>
              <w:top w:w="113" w:type="dxa"/>
              <w:left w:w="170" w:type="dxa"/>
              <w:bottom w:w="113" w:type="dxa"/>
              <w:right w:w="170" w:type="dxa"/>
            </w:tcMar>
            <w:vAlign w:val="center"/>
          </w:tcPr>
          <w:p w14:paraId="2F611C6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资产管理系统、ERP系统的资产台账、价值管理功能</w:t>
            </w:r>
          </w:p>
        </w:tc>
        <w:tc>
          <w:tcPr>
            <w:tcW w:w="843" w:type="pct"/>
            <w:shd w:val="clear" w:color="auto" w:fill="auto"/>
            <w:tcMar>
              <w:top w:w="113" w:type="dxa"/>
              <w:left w:w="170" w:type="dxa"/>
              <w:bottom w:w="113" w:type="dxa"/>
              <w:right w:w="170" w:type="dxa"/>
            </w:tcMar>
            <w:vAlign w:val="center"/>
          </w:tcPr>
          <w:p w14:paraId="37A24CB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内网资产管理数据库、纸质设备合同、资产台账档案</w:t>
            </w:r>
          </w:p>
        </w:tc>
        <w:tc>
          <w:tcPr>
            <w:tcW w:w="239" w:type="pct"/>
            <w:shd w:val="clear" w:color="auto" w:fill="auto"/>
            <w:tcMar>
              <w:top w:w="113" w:type="dxa"/>
              <w:left w:w="170" w:type="dxa"/>
              <w:bottom w:w="113" w:type="dxa"/>
              <w:right w:w="170" w:type="dxa"/>
            </w:tcMar>
            <w:vAlign w:val="center"/>
          </w:tcPr>
          <w:p w14:paraId="489CD38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3C90E29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5A4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312A02F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通用→加工→安全生产→安全管理</w:t>
            </w:r>
          </w:p>
        </w:tc>
        <w:tc>
          <w:tcPr>
            <w:tcW w:w="487" w:type="pct"/>
            <w:shd w:val="clear" w:color="auto" w:fill="auto"/>
            <w:tcMar>
              <w:top w:w="113" w:type="dxa"/>
              <w:left w:w="170" w:type="dxa"/>
              <w:bottom w:w="113" w:type="dxa"/>
              <w:right w:w="170" w:type="dxa"/>
            </w:tcMar>
            <w:vAlign w:val="center"/>
          </w:tcPr>
          <w:p w14:paraId="1433411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生产安全管理数据</w:t>
            </w:r>
          </w:p>
        </w:tc>
        <w:tc>
          <w:tcPr>
            <w:tcW w:w="256" w:type="pct"/>
            <w:shd w:val="clear" w:color="auto" w:fill="auto"/>
            <w:tcMar>
              <w:top w:w="113" w:type="dxa"/>
              <w:left w:w="170" w:type="dxa"/>
              <w:bottom w:w="113" w:type="dxa"/>
              <w:right w:w="170" w:type="dxa"/>
            </w:tcMar>
            <w:vAlign w:val="center"/>
          </w:tcPr>
          <w:p w14:paraId="2DDCC2C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636DD1E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66" w:type="pct"/>
            <w:shd w:val="clear" w:color="auto" w:fill="auto"/>
            <w:tcMar>
              <w:top w:w="113" w:type="dxa"/>
              <w:left w:w="170" w:type="dxa"/>
              <w:bottom w:w="113" w:type="dxa"/>
              <w:right w:w="170" w:type="dxa"/>
            </w:tcMar>
            <w:vAlign w:val="center"/>
          </w:tcPr>
          <w:p w14:paraId="5AE4A1C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保障生产过程中的人员和设备安全</w:t>
            </w:r>
          </w:p>
        </w:tc>
        <w:tc>
          <w:tcPr>
            <w:tcW w:w="823" w:type="pct"/>
            <w:shd w:val="clear" w:color="auto" w:fill="auto"/>
            <w:tcMar>
              <w:top w:w="113" w:type="dxa"/>
              <w:left w:w="170" w:type="dxa"/>
              <w:bottom w:w="113" w:type="dxa"/>
              <w:right w:w="170" w:type="dxa"/>
            </w:tcMar>
            <w:vAlign w:val="center"/>
          </w:tcPr>
          <w:p w14:paraId="36A84F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安全管理系统、隐患排查系统的安全检查、隐患整改功能</w:t>
            </w:r>
          </w:p>
        </w:tc>
        <w:tc>
          <w:tcPr>
            <w:tcW w:w="843" w:type="pct"/>
            <w:shd w:val="clear" w:color="auto" w:fill="auto"/>
            <w:tcMar>
              <w:top w:w="113" w:type="dxa"/>
              <w:left w:w="170" w:type="dxa"/>
              <w:bottom w:w="113" w:type="dxa"/>
              <w:right w:w="170" w:type="dxa"/>
            </w:tcMar>
            <w:vAlign w:val="center"/>
          </w:tcPr>
          <w:p w14:paraId="31ED2AD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内网安全管理数据库、纸质安全记录、演练档案</w:t>
            </w:r>
          </w:p>
        </w:tc>
        <w:tc>
          <w:tcPr>
            <w:tcW w:w="239" w:type="pct"/>
            <w:shd w:val="clear" w:color="auto" w:fill="auto"/>
            <w:tcMar>
              <w:top w:w="113" w:type="dxa"/>
              <w:left w:w="170" w:type="dxa"/>
              <w:bottom w:w="113" w:type="dxa"/>
              <w:right w:w="170" w:type="dxa"/>
            </w:tcMar>
            <w:vAlign w:val="center"/>
          </w:tcPr>
          <w:p w14:paraId="2E22685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16745BD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255F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0865EC5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通用→加工→经营管理→人力资源</w:t>
            </w:r>
          </w:p>
        </w:tc>
        <w:tc>
          <w:tcPr>
            <w:tcW w:w="487" w:type="pct"/>
            <w:shd w:val="clear" w:color="auto" w:fill="auto"/>
            <w:tcMar>
              <w:top w:w="113" w:type="dxa"/>
              <w:left w:w="170" w:type="dxa"/>
              <w:bottom w:w="113" w:type="dxa"/>
              <w:right w:w="170" w:type="dxa"/>
            </w:tcMar>
            <w:vAlign w:val="center"/>
          </w:tcPr>
          <w:p w14:paraId="5E90550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人员岗位技能数据</w:t>
            </w:r>
          </w:p>
        </w:tc>
        <w:tc>
          <w:tcPr>
            <w:tcW w:w="256" w:type="pct"/>
            <w:shd w:val="clear" w:color="auto" w:fill="auto"/>
            <w:tcMar>
              <w:top w:w="113" w:type="dxa"/>
              <w:left w:w="170" w:type="dxa"/>
              <w:bottom w:w="113" w:type="dxa"/>
              <w:right w:w="170" w:type="dxa"/>
            </w:tcMar>
            <w:vAlign w:val="center"/>
          </w:tcPr>
          <w:p w14:paraId="097B44A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30E9ACF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200-800MB</w:t>
            </w:r>
          </w:p>
        </w:tc>
        <w:tc>
          <w:tcPr>
            <w:tcW w:w="966" w:type="pct"/>
            <w:shd w:val="clear" w:color="auto" w:fill="auto"/>
            <w:tcMar>
              <w:top w:w="113" w:type="dxa"/>
              <w:left w:w="170" w:type="dxa"/>
              <w:bottom w:w="113" w:type="dxa"/>
              <w:right w:w="170" w:type="dxa"/>
            </w:tcMar>
            <w:vAlign w:val="center"/>
          </w:tcPr>
          <w:p w14:paraId="20112E7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主要用于人员岗位调配和技能提升管理</w:t>
            </w:r>
          </w:p>
        </w:tc>
        <w:tc>
          <w:tcPr>
            <w:tcW w:w="823" w:type="pct"/>
            <w:shd w:val="clear" w:color="auto" w:fill="auto"/>
            <w:tcMar>
              <w:top w:w="113" w:type="dxa"/>
              <w:left w:w="170" w:type="dxa"/>
              <w:bottom w:w="113" w:type="dxa"/>
              <w:right w:w="170" w:type="dxa"/>
            </w:tcMar>
            <w:vAlign w:val="center"/>
          </w:tcPr>
          <w:p w14:paraId="35C72CD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人力资源管理系统、OA系统的员工技能管理、培训考核功能</w:t>
            </w:r>
          </w:p>
        </w:tc>
        <w:tc>
          <w:tcPr>
            <w:tcW w:w="843" w:type="pct"/>
            <w:shd w:val="clear" w:color="auto" w:fill="auto"/>
            <w:tcMar>
              <w:top w:w="113" w:type="dxa"/>
              <w:left w:w="170" w:type="dxa"/>
              <w:bottom w:w="113" w:type="dxa"/>
              <w:right w:w="170" w:type="dxa"/>
            </w:tcMar>
            <w:vAlign w:val="center"/>
          </w:tcPr>
          <w:p w14:paraId="0C95F54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内网人力资源管理系统、员工信息数据库、纸质人事档案</w:t>
            </w:r>
          </w:p>
        </w:tc>
        <w:tc>
          <w:tcPr>
            <w:tcW w:w="239" w:type="pct"/>
            <w:shd w:val="clear" w:color="auto" w:fill="auto"/>
            <w:tcMar>
              <w:top w:w="113" w:type="dxa"/>
              <w:left w:w="170" w:type="dxa"/>
              <w:bottom w:w="113" w:type="dxa"/>
              <w:right w:w="170" w:type="dxa"/>
            </w:tcMar>
            <w:vAlign w:val="center"/>
          </w:tcPr>
          <w:p w14:paraId="642C512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2AD36A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4C3F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7210A67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有色金属全门类→加工→经营管理→销售管理</w:t>
            </w:r>
          </w:p>
        </w:tc>
        <w:tc>
          <w:tcPr>
            <w:tcW w:w="487" w:type="pct"/>
            <w:shd w:val="clear" w:color="auto" w:fill="auto"/>
            <w:tcMar>
              <w:top w:w="113" w:type="dxa"/>
              <w:left w:w="170" w:type="dxa"/>
              <w:bottom w:w="113" w:type="dxa"/>
              <w:right w:w="170" w:type="dxa"/>
            </w:tcMar>
            <w:vAlign w:val="center"/>
          </w:tcPr>
          <w:p w14:paraId="48D8F12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产品销售订单数据</w:t>
            </w:r>
          </w:p>
        </w:tc>
        <w:tc>
          <w:tcPr>
            <w:tcW w:w="256" w:type="pct"/>
            <w:shd w:val="clear" w:color="auto" w:fill="auto"/>
            <w:tcMar>
              <w:top w:w="113" w:type="dxa"/>
              <w:left w:w="170" w:type="dxa"/>
              <w:bottom w:w="113" w:type="dxa"/>
              <w:right w:w="170" w:type="dxa"/>
            </w:tcMar>
            <w:vAlign w:val="center"/>
          </w:tcPr>
          <w:p w14:paraId="43244CF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3B449D3D">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5-20GB/年</w:t>
            </w:r>
          </w:p>
        </w:tc>
        <w:tc>
          <w:tcPr>
            <w:tcW w:w="966" w:type="pct"/>
            <w:shd w:val="clear" w:color="auto" w:fill="auto"/>
            <w:tcMar>
              <w:top w:w="113" w:type="dxa"/>
              <w:left w:w="170" w:type="dxa"/>
              <w:bottom w:w="113" w:type="dxa"/>
              <w:right w:w="170" w:type="dxa"/>
            </w:tcMar>
            <w:vAlign w:val="center"/>
          </w:tcPr>
          <w:p w14:paraId="35E606C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关系企业的市场份额和客户满意度，反映企业市场响应能力</w:t>
            </w:r>
          </w:p>
        </w:tc>
        <w:tc>
          <w:tcPr>
            <w:tcW w:w="823" w:type="pct"/>
            <w:shd w:val="clear" w:color="auto" w:fill="auto"/>
            <w:tcMar>
              <w:top w:w="113" w:type="dxa"/>
              <w:left w:w="170" w:type="dxa"/>
              <w:bottom w:w="113" w:type="dxa"/>
              <w:right w:w="170" w:type="dxa"/>
            </w:tcMar>
            <w:vAlign w:val="center"/>
          </w:tcPr>
          <w:p w14:paraId="57F5749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销售管理系统、CRM系统的订单管理、客户需求管理功能</w:t>
            </w:r>
          </w:p>
        </w:tc>
        <w:tc>
          <w:tcPr>
            <w:tcW w:w="843" w:type="pct"/>
            <w:shd w:val="clear" w:color="auto" w:fill="auto"/>
            <w:tcMar>
              <w:top w:w="113" w:type="dxa"/>
              <w:left w:w="170" w:type="dxa"/>
              <w:bottom w:w="113" w:type="dxa"/>
              <w:right w:w="170" w:type="dxa"/>
            </w:tcMar>
            <w:vAlign w:val="center"/>
          </w:tcPr>
          <w:p w14:paraId="35E0D7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内网销售管理系统、销售数据库、纸质订单合同</w:t>
            </w:r>
          </w:p>
        </w:tc>
        <w:tc>
          <w:tcPr>
            <w:tcW w:w="239" w:type="pct"/>
            <w:shd w:val="clear" w:color="auto" w:fill="auto"/>
            <w:tcMar>
              <w:top w:w="113" w:type="dxa"/>
              <w:left w:w="170" w:type="dxa"/>
              <w:bottom w:w="113" w:type="dxa"/>
              <w:right w:w="170" w:type="dxa"/>
            </w:tcMar>
            <w:vAlign w:val="center"/>
          </w:tcPr>
          <w:p w14:paraId="4538CCE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60F372C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6EE0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54FD56D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有色金属全门类→加工→经营管理→采购管理</w:t>
            </w:r>
          </w:p>
        </w:tc>
        <w:tc>
          <w:tcPr>
            <w:tcW w:w="487" w:type="pct"/>
            <w:shd w:val="clear" w:color="auto" w:fill="auto"/>
            <w:tcMar>
              <w:top w:w="113" w:type="dxa"/>
              <w:left w:w="170" w:type="dxa"/>
              <w:bottom w:w="113" w:type="dxa"/>
              <w:right w:w="170" w:type="dxa"/>
            </w:tcMar>
            <w:vAlign w:val="center"/>
          </w:tcPr>
          <w:p w14:paraId="3FC9A1A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原材料采购供应数据</w:t>
            </w:r>
          </w:p>
        </w:tc>
        <w:tc>
          <w:tcPr>
            <w:tcW w:w="256" w:type="pct"/>
            <w:shd w:val="clear" w:color="auto" w:fill="auto"/>
            <w:tcMar>
              <w:top w:w="113" w:type="dxa"/>
              <w:left w:w="170" w:type="dxa"/>
              <w:bottom w:w="113" w:type="dxa"/>
              <w:right w:w="170" w:type="dxa"/>
            </w:tcMar>
            <w:vAlign w:val="center"/>
          </w:tcPr>
          <w:p w14:paraId="6F79C606">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9B6345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5-20GB/年</w:t>
            </w:r>
          </w:p>
        </w:tc>
        <w:tc>
          <w:tcPr>
            <w:tcW w:w="966" w:type="pct"/>
            <w:shd w:val="clear" w:color="auto" w:fill="auto"/>
            <w:tcMar>
              <w:top w:w="113" w:type="dxa"/>
              <w:left w:w="170" w:type="dxa"/>
              <w:bottom w:w="113" w:type="dxa"/>
              <w:right w:w="170" w:type="dxa"/>
            </w:tcMar>
            <w:vAlign w:val="center"/>
          </w:tcPr>
          <w:p w14:paraId="4B7CD3A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保障原材料稳定供应，影响生产连续性</w:t>
            </w:r>
          </w:p>
        </w:tc>
        <w:tc>
          <w:tcPr>
            <w:tcW w:w="823" w:type="pct"/>
            <w:shd w:val="clear" w:color="auto" w:fill="auto"/>
            <w:tcMar>
              <w:top w:w="113" w:type="dxa"/>
              <w:left w:w="170" w:type="dxa"/>
              <w:bottom w:w="113" w:type="dxa"/>
              <w:right w:w="170" w:type="dxa"/>
            </w:tcMar>
            <w:vAlign w:val="center"/>
          </w:tcPr>
          <w:p w14:paraId="34014D9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采购管理系统、供应链管理系统的供应商管理、采购计划管控功能</w:t>
            </w:r>
          </w:p>
        </w:tc>
        <w:tc>
          <w:tcPr>
            <w:tcW w:w="843" w:type="pct"/>
            <w:shd w:val="clear" w:color="auto" w:fill="auto"/>
            <w:tcMar>
              <w:top w:w="113" w:type="dxa"/>
              <w:left w:w="170" w:type="dxa"/>
              <w:bottom w:w="113" w:type="dxa"/>
              <w:right w:w="170" w:type="dxa"/>
            </w:tcMar>
            <w:vAlign w:val="center"/>
          </w:tcPr>
          <w:p w14:paraId="4A57793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内网采购管理系统、采购数据库、纸质合同档案</w:t>
            </w:r>
          </w:p>
        </w:tc>
        <w:tc>
          <w:tcPr>
            <w:tcW w:w="239" w:type="pct"/>
            <w:shd w:val="clear" w:color="auto" w:fill="auto"/>
            <w:tcMar>
              <w:top w:w="113" w:type="dxa"/>
              <w:left w:w="170" w:type="dxa"/>
              <w:bottom w:w="113" w:type="dxa"/>
              <w:right w:w="170" w:type="dxa"/>
            </w:tcMar>
            <w:vAlign w:val="center"/>
          </w:tcPr>
          <w:p w14:paraId="248F3C6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43D8E7C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3344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7E5D57A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有色金属全门类→加工→经营管理→经营分析</w:t>
            </w:r>
          </w:p>
        </w:tc>
        <w:tc>
          <w:tcPr>
            <w:tcW w:w="487" w:type="pct"/>
            <w:shd w:val="clear" w:color="auto" w:fill="auto"/>
            <w:tcMar>
              <w:top w:w="113" w:type="dxa"/>
              <w:left w:w="170" w:type="dxa"/>
              <w:bottom w:w="113" w:type="dxa"/>
              <w:right w:w="170" w:type="dxa"/>
            </w:tcMar>
            <w:vAlign w:val="center"/>
          </w:tcPr>
          <w:p w14:paraId="5D55023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生产经营分析数据</w:t>
            </w:r>
          </w:p>
        </w:tc>
        <w:tc>
          <w:tcPr>
            <w:tcW w:w="256" w:type="pct"/>
            <w:shd w:val="clear" w:color="auto" w:fill="auto"/>
            <w:tcMar>
              <w:top w:w="113" w:type="dxa"/>
              <w:left w:w="170" w:type="dxa"/>
              <w:bottom w:w="113" w:type="dxa"/>
              <w:right w:w="170" w:type="dxa"/>
            </w:tcMar>
            <w:vAlign w:val="center"/>
          </w:tcPr>
          <w:p w14:paraId="28B28D91">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79029FF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1-5GB/年</w:t>
            </w:r>
          </w:p>
        </w:tc>
        <w:tc>
          <w:tcPr>
            <w:tcW w:w="966" w:type="pct"/>
            <w:shd w:val="clear" w:color="auto" w:fill="auto"/>
            <w:tcMar>
              <w:top w:w="113" w:type="dxa"/>
              <w:left w:w="170" w:type="dxa"/>
              <w:bottom w:w="113" w:type="dxa"/>
              <w:right w:w="170" w:type="dxa"/>
            </w:tcMar>
            <w:vAlign w:val="center"/>
          </w:tcPr>
          <w:p w14:paraId="37658DCA">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用于企业内部经营决策和管理优化</w:t>
            </w:r>
          </w:p>
        </w:tc>
        <w:tc>
          <w:tcPr>
            <w:tcW w:w="823" w:type="pct"/>
            <w:shd w:val="clear" w:color="auto" w:fill="auto"/>
            <w:tcMar>
              <w:top w:w="113" w:type="dxa"/>
              <w:left w:w="170" w:type="dxa"/>
              <w:bottom w:w="113" w:type="dxa"/>
              <w:right w:w="170" w:type="dxa"/>
            </w:tcMar>
            <w:vAlign w:val="center"/>
          </w:tcPr>
          <w:p w14:paraId="2C9A11CF">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经营管理系统、BI系统的经营分析、成本核算功能</w:t>
            </w:r>
          </w:p>
        </w:tc>
        <w:tc>
          <w:tcPr>
            <w:tcW w:w="843" w:type="pct"/>
            <w:shd w:val="clear" w:color="auto" w:fill="auto"/>
            <w:tcMar>
              <w:top w:w="113" w:type="dxa"/>
              <w:left w:w="170" w:type="dxa"/>
              <w:bottom w:w="113" w:type="dxa"/>
              <w:right w:w="170" w:type="dxa"/>
            </w:tcMar>
            <w:vAlign w:val="center"/>
          </w:tcPr>
          <w:p w14:paraId="0914A14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内网经营管理数据库、统计报表档案、纸质经营报告</w:t>
            </w:r>
          </w:p>
        </w:tc>
        <w:tc>
          <w:tcPr>
            <w:tcW w:w="239" w:type="pct"/>
            <w:shd w:val="clear" w:color="auto" w:fill="auto"/>
            <w:tcMar>
              <w:top w:w="113" w:type="dxa"/>
              <w:left w:w="170" w:type="dxa"/>
              <w:bottom w:w="113" w:type="dxa"/>
              <w:right w:w="170" w:type="dxa"/>
            </w:tcMar>
            <w:vAlign w:val="center"/>
          </w:tcPr>
          <w:p w14:paraId="035DDB9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01E7558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本地每日增量备份、异地每周全量备份</w:t>
            </w:r>
          </w:p>
        </w:tc>
      </w:tr>
      <w:tr w14:paraId="1C18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2C5FB5C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通用→加工→合规管理→技术标准</w:t>
            </w:r>
          </w:p>
        </w:tc>
        <w:tc>
          <w:tcPr>
            <w:tcW w:w="487" w:type="pct"/>
            <w:shd w:val="clear" w:color="auto" w:fill="auto"/>
            <w:tcMar>
              <w:top w:w="113" w:type="dxa"/>
              <w:left w:w="170" w:type="dxa"/>
              <w:bottom w:w="113" w:type="dxa"/>
              <w:right w:w="170" w:type="dxa"/>
            </w:tcMar>
            <w:vAlign w:val="center"/>
          </w:tcPr>
          <w:p w14:paraId="1C93F6C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行业技术标准数据</w:t>
            </w:r>
          </w:p>
        </w:tc>
        <w:tc>
          <w:tcPr>
            <w:tcW w:w="256" w:type="pct"/>
            <w:shd w:val="clear" w:color="auto" w:fill="auto"/>
            <w:tcMar>
              <w:top w:w="113" w:type="dxa"/>
              <w:left w:w="170" w:type="dxa"/>
              <w:bottom w:w="113" w:type="dxa"/>
              <w:right w:w="170" w:type="dxa"/>
            </w:tcMar>
            <w:vAlign w:val="center"/>
          </w:tcPr>
          <w:p w14:paraId="42AF74F7">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154DE69B">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200-1000MB</w:t>
            </w:r>
          </w:p>
        </w:tc>
        <w:tc>
          <w:tcPr>
            <w:tcW w:w="966" w:type="pct"/>
            <w:shd w:val="clear" w:color="auto" w:fill="auto"/>
            <w:tcMar>
              <w:top w:w="113" w:type="dxa"/>
              <w:left w:w="170" w:type="dxa"/>
              <w:bottom w:w="113" w:type="dxa"/>
              <w:right w:w="170" w:type="dxa"/>
            </w:tcMar>
            <w:vAlign w:val="center"/>
          </w:tcPr>
          <w:p w14:paraId="06D93592">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用于指导企业生产合规产品</w:t>
            </w:r>
          </w:p>
        </w:tc>
        <w:tc>
          <w:tcPr>
            <w:tcW w:w="823" w:type="pct"/>
            <w:shd w:val="clear" w:color="auto" w:fill="auto"/>
            <w:tcMar>
              <w:top w:w="113" w:type="dxa"/>
              <w:left w:w="170" w:type="dxa"/>
              <w:bottom w:w="113" w:type="dxa"/>
              <w:right w:w="170" w:type="dxa"/>
            </w:tcMar>
            <w:vAlign w:val="center"/>
          </w:tcPr>
          <w:p w14:paraId="60790C2C">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合规管理系统、质量管理系统的标准管理、合规对标功能</w:t>
            </w:r>
          </w:p>
        </w:tc>
        <w:tc>
          <w:tcPr>
            <w:tcW w:w="843" w:type="pct"/>
            <w:shd w:val="clear" w:color="auto" w:fill="auto"/>
            <w:tcMar>
              <w:top w:w="113" w:type="dxa"/>
              <w:left w:w="170" w:type="dxa"/>
              <w:bottom w:w="113" w:type="dxa"/>
              <w:right w:w="170" w:type="dxa"/>
            </w:tcMar>
            <w:vAlign w:val="center"/>
          </w:tcPr>
          <w:p w14:paraId="40A3C5E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内网合规管理数据库、纸质标准文件、规范解读报告</w:t>
            </w:r>
          </w:p>
        </w:tc>
        <w:tc>
          <w:tcPr>
            <w:tcW w:w="239" w:type="pct"/>
            <w:shd w:val="clear" w:color="auto" w:fill="auto"/>
            <w:tcMar>
              <w:top w:w="113" w:type="dxa"/>
              <w:left w:w="170" w:type="dxa"/>
              <w:bottom w:w="113" w:type="dxa"/>
              <w:right w:w="170" w:type="dxa"/>
            </w:tcMar>
            <w:vAlign w:val="center"/>
          </w:tcPr>
          <w:p w14:paraId="1E196B4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7B1A75F3">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本地每月增量备份、异地每季度全量备份</w:t>
            </w:r>
          </w:p>
        </w:tc>
      </w:tr>
      <w:tr w14:paraId="7386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538" w:type="pct"/>
            <w:shd w:val="clear" w:color="auto" w:fill="auto"/>
            <w:tcMar>
              <w:top w:w="113" w:type="dxa"/>
              <w:left w:w="170" w:type="dxa"/>
              <w:bottom w:w="113" w:type="dxa"/>
              <w:right w:w="170" w:type="dxa"/>
            </w:tcMar>
            <w:vAlign w:val="center"/>
          </w:tcPr>
          <w:p w14:paraId="5F06B8A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通用→加工→市场分析→竞争动态</w:t>
            </w:r>
          </w:p>
        </w:tc>
        <w:tc>
          <w:tcPr>
            <w:tcW w:w="487" w:type="pct"/>
            <w:shd w:val="clear" w:color="auto" w:fill="auto"/>
            <w:tcMar>
              <w:top w:w="113" w:type="dxa"/>
              <w:left w:w="170" w:type="dxa"/>
              <w:bottom w:w="113" w:type="dxa"/>
              <w:right w:w="170" w:type="dxa"/>
            </w:tcMar>
            <w:vAlign w:val="center"/>
          </w:tcPr>
          <w:p w14:paraId="272354DE">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市场竞争动态数据</w:t>
            </w:r>
          </w:p>
        </w:tc>
        <w:tc>
          <w:tcPr>
            <w:tcW w:w="256" w:type="pct"/>
            <w:shd w:val="clear" w:color="auto" w:fill="auto"/>
            <w:tcMar>
              <w:top w:w="113" w:type="dxa"/>
              <w:left w:w="170" w:type="dxa"/>
              <w:bottom w:w="113" w:type="dxa"/>
              <w:right w:w="170" w:type="dxa"/>
            </w:tcMar>
            <w:vAlign w:val="center"/>
          </w:tcPr>
          <w:p w14:paraId="4B6A6858">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一般数据</w:t>
            </w:r>
          </w:p>
        </w:tc>
        <w:tc>
          <w:tcPr>
            <w:tcW w:w="333" w:type="pct"/>
            <w:shd w:val="clear" w:color="auto" w:fill="auto"/>
            <w:tcMar>
              <w:top w:w="113" w:type="dxa"/>
              <w:left w:w="170" w:type="dxa"/>
              <w:bottom w:w="113" w:type="dxa"/>
              <w:right w:w="170" w:type="dxa"/>
            </w:tcMar>
            <w:vAlign w:val="center"/>
          </w:tcPr>
          <w:p w14:paraId="2ACBEBF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1-5GB</w:t>
            </w:r>
          </w:p>
        </w:tc>
        <w:tc>
          <w:tcPr>
            <w:tcW w:w="966" w:type="pct"/>
            <w:shd w:val="clear" w:color="auto" w:fill="auto"/>
            <w:tcMar>
              <w:top w:w="113" w:type="dxa"/>
              <w:left w:w="170" w:type="dxa"/>
              <w:bottom w:w="113" w:type="dxa"/>
              <w:right w:w="170" w:type="dxa"/>
            </w:tcMar>
            <w:vAlign w:val="center"/>
          </w:tcPr>
          <w:p w14:paraId="749C9CB4">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用于企业制定市场竞争策略，应对市场变化</w:t>
            </w:r>
          </w:p>
        </w:tc>
        <w:tc>
          <w:tcPr>
            <w:tcW w:w="823" w:type="pct"/>
            <w:shd w:val="clear" w:color="auto" w:fill="auto"/>
            <w:tcMar>
              <w:top w:w="113" w:type="dxa"/>
              <w:left w:w="170" w:type="dxa"/>
              <w:bottom w:w="113" w:type="dxa"/>
              <w:right w:w="170" w:type="dxa"/>
            </w:tcMar>
            <w:vAlign w:val="center"/>
          </w:tcPr>
          <w:p w14:paraId="6373FC40">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市场分析系统、经营决策系统的竞争分析、市场预测功能</w:t>
            </w:r>
          </w:p>
        </w:tc>
        <w:tc>
          <w:tcPr>
            <w:tcW w:w="843" w:type="pct"/>
            <w:shd w:val="clear" w:color="auto" w:fill="auto"/>
            <w:tcMar>
              <w:top w:w="113" w:type="dxa"/>
              <w:left w:w="170" w:type="dxa"/>
              <w:bottom w:w="113" w:type="dxa"/>
              <w:right w:w="170" w:type="dxa"/>
            </w:tcMar>
            <w:vAlign w:val="center"/>
          </w:tcPr>
          <w:p w14:paraId="38F12B95">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内网市场分析数据库、第三方行业数据平台、纸质市场分析报告</w:t>
            </w:r>
          </w:p>
        </w:tc>
        <w:tc>
          <w:tcPr>
            <w:tcW w:w="239" w:type="pct"/>
            <w:shd w:val="clear" w:color="auto" w:fill="auto"/>
            <w:tcMar>
              <w:top w:w="113" w:type="dxa"/>
              <w:left w:w="170" w:type="dxa"/>
              <w:bottom w:w="113" w:type="dxa"/>
              <w:right w:w="170" w:type="dxa"/>
            </w:tcMar>
            <w:vAlign w:val="center"/>
          </w:tcPr>
          <w:p w14:paraId="0BC3746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否</w:t>
            </w:r>
          </w:p>
        </w:tc>
        <w:tc>
          <w:tcPr>
            <w:tcW w:w="510" w:type="pct"/>
            <w:shd w:val="clear" w:color="auto" w:fill="auto"/>
            <w:tcMar>
              <w:top w:w="113" w:type="dxa"/>
              <w:left w:w="170" w:type="dxa"/>
              <w:bottom w:w="113" w:type="dxa"/>
              <w:right w:w="170" w:type="dxa"/>
            </w:tcMar>
            <w:vAlign w:val="center"/>
          </w:tcPr>
          <w:p w14:paraId="291CC4E9">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本地每日增量备份、异地每月全量备份</w:t>
            </w:r>
          </w:p>
        </w:tc>
      </w:tr>
      <w:tr w14:paraId="73BF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538" w:type="pct"/>
            <w:shd w:val="clear" w:color="auto" w:fill="auto"/>
            <w:tcMar>
              <w:top w:w="113" w:type="dxa"/>
              <w:left w:w="170" w:type="dxa"/>
              <w:bottom w:w="113" w:type="dxa"/>
              <w:right w:w="170" w:type="dxa"/>
            </w:tcMar>
            <w:vAlign w:val="center"/>
          </w:tcPr>
          <w:p w14:paraId="04C72BF1">
            <w:pPr>
              <w:jc w:val="center"/>
              <w:rPr>
                <w:rFonts w:hint="eastAsia" w:ascii="宋体" w:hAnsi="宋体" w:eastAsia="宋体" w:cs="宋体"/>
                <w:sz w:val="18"/>
                <w:szCs w:val="18"/>
                <w:lang w:val="en-US" w:eastAsia="zh-CN"/>
              </w:rPr>
            </w:pPr>
          </w:p>
        </w:tc>
        <w:tc>
          <w:tcPr>
            <w:tcW w:w="487" w:type="pct"/>
            <w:shd w:val="clear" w:color="auto" w:fill="auto"/>
            <w:tcMar>
              <w:top w:w="113" w:type="dxa"/>
              <w:left w:w="170" w:type="dxa"/>
              <w:bottom w:w="113" w:type="dxa"/>
              <w:right w:w="170" w:type="dxa"/>
            </w:tcMar>
            <w:vAlign w:val="center"/>
          </w:tcPr>
          <w:p w14:paraId="61461B9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256" w:type="pct"/>
            <w:shd w:val="clear" w:color="auto" w:fill="auto"/>
            <w:tcMar>
              <w:top w:w="113" w:type="dxa"/>
              <w:left w:w="170" w:type="dxa"/>
              <w:bottom w:w="113" w:type="dxa"/>
              <w:right w:w="170" w:type="dxa"/>
            </w:tcMar>
            <w:vAlign w:val="center"/>
          </w:tcPr>
          <w:p w14:paraId="4FB8261D">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333" w:type="pct"/>
            <w:shd w:val="clear" w:color="auto" w:fill="auto"/>
            <w:tcMar>
              <w:top w:w="113" w:type="dxa"/>
              <w:left w:w="170" w:type="dxa"/>
              <w:bottom w:w="113" w:type="dxa"/>
              <w:right w:w="170" w:type="dxa"/>
            </w:tcMar>
            <w:vAlign w:val="center"/>
          </w:tcPr>
          <w:p w14:paraId="408F780F">
            <w:pPr>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w:t>
            </w:r>
          </w:p>
        </w:tc>
        <w:tc>
          <w:tcPr>
            <w:tcW w:w="966" w:type="pct"/>
            <w:shd w:val="clear" w:color="auto" w:fill="auto"/>
            <w:tcMar>
              <w:top w:w="113" w:type="dxa"/>
              <w:left w:w="170" w:type="dxa"/>
              <w:bottom w:w="113" w:type="dxa"/>
              <w:right w:w="170" w:type="dxa"/>
            </w:tcMar>
            <w:vAlign w:val="center"/>
          </w:tcPr>
          <w:p w14:paraId="7AF5C375">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823" w:type="pct"/>
            <w:shd w:val="clear" w:color="auto" w:fill="auto"/>
            <w:tcMar>
              <w:top w:w="113" w:type="dxa"/>
              <w:left w:w="170" w:type="dxa"/>
              <w:bottom w:w="113" w:type="dxa"/>
              <w:right w:w="170" w:type="dxa"/>
            </w:tcMar>
            <w:vAlign w:val="center"/>
          </w:tcPr>
          <w:p w14:paraId="44B42874">
            <w:pPr>
              <w:jc w:val="both"/>
              <w:rPr>
                <w:rFonts w:hint="eastAsia" w:ascii="宋体" w:hAnsi="宋体" w:eastAsia="宋体" w:cs="宋体"/>
                <w:sz w:val="18"/>
                <w:szCs w:val="18"/>
                <w:lang w:val="en-US" w:eastAsia="zh-CN"/>
              </w:rPr>
            </w:pPr>
          </w:p>
        </w:tc>
        <w:tc>
          <w:tcPr>
            <w:tcW w:w="843" w:type="pct"/>
            <w:shd w:val="clear" w:color="auto" w:fill="auto"/>
            <w:tcMar>
              <w:top w:w="113" w:type="dxa"/>
              <w:left w:w="170" w:type="dxa"/>
              <w:bottom w:w="113" w:type="dxa"/>
              <w:right w:w="170" w:type="dxa"/>
            </w:tcMar>
            <w:vAlign w:val="center"/>
          </w:tcPr>
          <w:p w14:paraId="0A5884FC">
            <w:pPr>
              <w:jc w:val="both"/>
              <w:rPr>
                <w:rFonts w:hint="eastAsia" w:ascii="宋体" w:hAnsi="宋体" w:eastAsia="宋体" w:cs="宋体"/>
                <w:sz w:val="18"/>
                <w:szCs w:val="18"/>
                <w:lang w:val="en-US" w:eastAsia="zh-CN"/>
              </w:rPr>
            </w:pPr>
          </w:p>
        </w:tc>
        <w:tc>
          <w:tcPr>
            <w:tcW w:w="239" w:type="pct"/>
            <w:shd w:val="clear" w:color="auto" w:fill="auto"/>
            <w:tcMar>
              <w:top w:w="113" w:type="dxa"/>
              <w:left w:w="170" w:type="dxa"/>
              <w:bottom w:w="113" w:type="dxa"/>
              <w:right w:w="170" w:type="dxa"/>
            </w:tcMar>
            <w:vAlign w:val="center"/>
          </w:tcPr>
          <w:p w14:paraId="264D1826">
            <w:pPr>
              <w:jc w:val="center"/>
              <w:rPr>
                <w:rFonts w:hint="eastAsia" w:ascii="宋体" w:hAnsi="宋体" w:eastAsia="宋体" w:cs="宋体"/>
                <w:sz w:val="18"/>
                <w:szCs w:val="18"/>
                <w:lang w:val="en-US" w:eastAsia="zh-CN"/>
              </w:rPr>
            </w:pPr>
          </w:p>
        </w:tc>
        <w:tc>
          <w:tcPr>
            <w:tcW w:w="510" w:type="pct"/>
            <w:shd w:val="clear" w:color="auto" w:fill="auto"/>
            <w:tcMar>
              <w:top w:w="113" w:type="dxa"/>
              <w:left w:w="170" w:type="dxa"/>
              <w:bottom w:w="113" w:type="dxa"/>
              <w:right w:w="170" w:type="dxa"/>
            </w:tcMar>
            <w:vAlign w:val="center"/>
          </w:tcPr>
          <w:p w14:paraId="7F097166">
            <w:pPr>
              <w:jc w:val="both"/>
              <w:rPr>
                <w:rFonts w:hint="eastAsia" w:ascii="宋体" w:hAnsi="宋体" w:eastAsia="宋体" w:cs="宋体"/>
                <w:sz w:val="18"/>
                <w:szCs w:val="18"/>
                <w:lang w:val="en-US" w:eastAsia="zh-CN"/>
              </w:rPr>
            </w:pPr>
          </w:p>
        </w:tc>
      </w:tr>
    </w:tbl>
    <w:p w14:paraId="0592F147">
      <w:pPr>
        <w:keepNext w:val="0"/>
        <w:keepLines w:val="0"/>
        <w:pageBreakBefore w:val="0"/>
        <w:widowControl w:val="0"/>
        <w:kinsoku/>
        <w:wordWrap/>
        <w:overflowPunct/>
        <w:topLinePunct w:val="0"/>
        <w:autoSpaceDE/>
        <w:autoSpaceDN/>
        <w:bidi w:val="0"/>
        <w:adjustRightInd/>
        <w:snapToGrid/>
        <w:spacing w:before="162" w:beforeLines="50"/>
        <w:ind w:firstLine="420" w:firstLineChars="200"/>
        <w:textAlignment w:val="auto"/>
      </w:pPr>
      <w:r>
        <w:rPr>
          <w:rFonts w:hint="eastAsia" w:ascii="宋体" w:hAnsi="宋体" w:cs="宋体"/>
          <w:color w:val="000000"/>
          <w:kern w:val="0"/>
          <w:sz w:val="21"/>
          <w:szCs w:val="21"/>
          <w:highlight w:val="none"/>
          <w:lang w:val="en-US" w:eastAsia="zh-CN" w:bidi="ar"/>
        </w:rPr>
        <w:t>表格字段填写说明：同表B.1。</w:t>
      </w:r>
    </w:p>
    <w:p w14:paraId="14142A7A"/>
    <w:p w14:paraId="6E6CD221">
      <w:pPr>
        <w:sectPr>
          <w:pgSz w:w="16838" w:h="11906" w:orient="landscape"/>
          <w:pgMar w:top="1417" w:right="1134" w:bottom="1134" w:left="1417" w:header="1418" w:footer="1134" w:gutter="0"/>
          <w:pgBorders>
            <w:top w:val="none" w:sz="0" w:space="0"/>
            <w:left w:val="none" w:sz="0" w:space="0"/>
            <w:bottom w:val="none" w:sz="0" w:space="0"/>
            <w:right w:val="none" w:sz="0" w:space="0"/>
          </w:pgBorders>
          <w:pgNumType w:fmt="decimal"/>
          <w:cols w:space="0" w:num="1"/>
          <w:formProt w:val="0"/>
          <w:rtlGutter w:val="0"/>
          <w:docGrid w:type="lines" w:linePitch="322" w:charSpace="0"/>
        </w:sectPr>
      </w:pPr>
    </w:p>
    <w:p w14:paraId="0A422159">
      <w:pPr>
        <w:pStyle w:val="33"/>
        <w:keepNext/>
        <w:keepLines w:val="0"/>
        <w:pageBreakBefore/>
        <w:widowControl/>
        <w:shd w:val="clear" w:color="FFFFFF" w:fill="FFFFFF"/>
        <w:kinsoku/>
        <w:wordWrap/>
        <w:overflowPunct/>
        <w:topLinePunct w:val="0"/>
        <w:autoSpaceDE/>
        <w:autoSpaceDN/>
        <w:bidi w:val="0"/>
        <w:adjustRightInd/>
        <w:snapToGrid/>
        <w:spacing w:before="0" w:after="0" w:line="360" w:lineRule="auto"/>
        <w:textAlignment w:val="auto"/>
        <w:rPr>
          <w:rFonts w:hint="eastAsia" w:ascii="黑体" w:hAnsi="黑体" w:eastAsia="黑体" w:cs="黑体"/>
          <w:b w:val="0"/>
          <w:bCs w:val="0"/>
          <w:sz w:val="21"/>
          <w:szCs w:val="21"/>
          <w:highlight w:val="none"/>
          <w:lang w:val="en-US" w:eastAsia="zh-CN"/>
        </w:rPr>
      </w:pPr>
      <w:bookmarkStart w:id="30" w:name="_Toc5682"/>
      <w:r>
        <w:rPr>
          <w:rFonts w:hint="eastAsia" w:ascii="黑体" w:hAnsi="黑体" w:eastAsia="黑体" w:cs="黑体"/>
          <w:b w:val="0"/>
          <w:bCs w:val="0"/>
          <w:sz w:val="21"/>
          <w:szCs w:val="21"/>
          <w:highlight w:val="none"/>
          <w:lang w:val="en-US" w:eastAsia="zh-CN"/>
        </w:rPr>
        <w:t xml:space="preserve">附 录 </w:t>
      </w:r>
      <w:r>
        <w:rPr>
          <w:rFonts w:hint="eastAsia" w:hAnsi="黑体" w:cs="黑体"/>
          <w:b w:val="0"/>
          <w:bCs w:val="0"/>
          <w:sz w:val="21"/>
          <w:szCs w:val="21"/>
          <w:highlight w:val="none"/>
          <w:lang w:val="en-US" w:eastAsia="zh-CN"/>
        </w:rPr>
        <w:t>C</w:t>
      </w:r>
      <w:bookmarkEnd w:id="30"/>
    </w:p>
    <w:p w14:paraId="2CE265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1"/>
          <w:szCs w:val="21"/>
          <w:highlight w:val="none"/>
        </w:rPr>
      </w:pPr>
      <w:r>
        <w:rPr>
          <w:rFonts w:hint="eastAsia" w:ascii="黑体" w:hAnsi="黑体" w:eastAsia="黑体" w:cs="黑体"/>
          <w:color w:val="000000"/>
          <w:kern w:val="0"/>
          <w:sz w:val="21"/>
          <w:szCs w:val="21"/>
          <w:highlight w:val="none"/>
          <w:lang w:val="en-US" w:eastAsia="zh-CN" w:bidi="ar"/>
        </w:rPr>
        <w:t>(资料性)</w:t>
      </w:r>
    </w:p>
    <w:p w14:paraId="12331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黑体" w:hAnsi="黑体" w:eastAsia="黑体" w:cs="黑体"/>
          <w:sz w:val="21"/>
          <w:szCs w:val="21"/>
          <w:highlight w:val="none"/>
          <w:lang w:val="en-US"/>
        </w:rPr>
      </w:pPr>
      <w:r>
        <w:rPr>
          <w:rFonts w:hint="eastAsia" w:ascii="黑体" w:hAnsi="黑体" w:eastAsia="黑体" w:cs="黑体"/>
          <w:color w:val="000000"/>
          <w:kern w:val="0"/>
          <w:sz w:val="21"/>
          <w:szCs w:val="21"/>
          <w:highlight w:val="none"/>
          <w:lang w:val="en-US" w:eastAsia="zh-CN" w:bidi="ar"/>
        </w:rPr>
        <w:t>有色金属行业工业重要数据和核心数据目录备案样表</w:t>
      </w:r>
    </w:p>
    <w:p w14:paraId="7B6AEC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黑体" w:hAnsi="黑体" w:eastAsia="黑体" w:cs="黑体"/>
          <w:highlight w:val="none"/>
          <w:lang w:val="en-US"/>
        </w:rPr>
      </w:pPr>
      <w:r>
        <w:rPr>
          <w:rFonts w:hint="eastAsia" w:ascii="黑体" w:hAnsi="黑体" w:eastAsia="黑体" w:cs="黑体"/>
          <w:color w:val="000000"/>
          <w:kern w:val="0"/>
          <w:sz w:val="21"/>
          <w:szCs w:val="21"/>
          <w:highlight w:val="none"/>
          <w:lang w:val="en-US" w:eastAsia="zh-CN" w:bidi="ar"/>
        </w:rPr>
        <w:t>C.1 备案样表说明</w:t>
      </w:r>
    </w:p>
    <w:p w14:paraId="71425AB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有色金属行业企业应将本单位重要数据和核心数据目录向属地工业和信息化主管部门等行业监管部门备案。备案内容包括数据基本情况、责任主体情况、数据处理情况、数据安全情况等。样表见表C.1。</w:t>
      </w:r>
    </w:p>
    <w:p w14:paraId="11215491">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ascii="黑体" w:hAnsi="黑体" w:eastAsia="黑体" w:cs="黑体"/>
          <w:color w:val="000000"/>
          <w:kern w:val="0"/>
          <w:sz w:val="21"/>
          <w:szCs w:val="21"/>
          <w:lang w:val="en-US" w:eastAsia="zh-CN" w:bidi="ar"/>
        </w:rPr>
        <w:t>表 C.1 备案样表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5"/>
        <w:gridCol w:w="249"/>
        <w:gridCol w:w="323"/>
        <w:gridCol w:w="264"/>
        <w:gridCol w:w="264"/>
        <w:gridCol w:w="264"/>
        <w:gridCol w:w="264"/>
        <w:gridCol w:w="234"/>
        <w:gridCol w:w="234"/>
        <w:gridCol w:w="234"/>
        <w:gridCol w:w="473"/>
        <w:gridCol w:w="473"/>
        <w:gridCol w:w="234"/>
        <w:gridCol w:w="234"/>
        <w:gridCol w:w="234"/>
        <w:gridCol w:w="234"/>
        <w:gridCol w:w="279"/>
        <w:gridCol w:w="234"/>
        <w:gridCol w:w="234"/>
        <w:gridCol w:w="234"/>
        <w:gridCol w:w="279"/>
        <w:gridCol w:w="234"/>
        <w:gridCol w:w="264"/>
        <w:gridCol w:w="205"/>
        <w:gridCol w:w="205"/>
        <w:gridCol w:w="234"/>
        <w:gridCol w:w="293"/>
        <w:gridCol w:w="264"/>
        <w:gridCol w:w="338"/>
        <w:gridCol w:w="234"/>
        <w:gridCol w:w="308"/>
        <w:gridCol w:w="264"/>
        <w:gridCol w:w="353"/>
        <w:gridCol w:w="323"/>
        <w:gridCol w:w="264"/>
        <w:gridCol w:w="338"/>
        <w:gridCol w:w="293"/>
        <w:gridCol w:w="308"/>
        <w:gridCol w:w="279"/>
        <w:gridCol w:w="264"/>
        <w:gridCol w:w="286"/>
        <w:gridCol w:w="264"/>
        <w:gridCol w:w="264"/>
        <w:gridCol w:w="323"/>
        <w:gridCol w:w="382"/>
        <w:gridCol w:w="338"/>
        <w:gridCol w:w="353"/>
        <w:gridCol w:w="234"/>
        <w:gridCol w:w="235"/>
        <w:gridCol w:w="235"/>
        <w:gridCol w:w="235"/>
        <w:gridCol w:w="206"/>
      </w:tblGrid>
      <w:tr w14:paraId="507A9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0" w:type="auto"/>
            <w:gridSpan w:val="52"/>
            <w:tcBorders>
              <w:top w:val="single" w:color="000000" w:sz="4" w:space="0"/>
              <w:left w:val="single" w:color="000000" w:sz="4" w:space="0"/>
              <w:bottom w:val="single" w:color="000000" w:sz="4" w:space="0"/>
              <w:right w:val="single" w:color="000000" w:sz="4" w:space="0"/>
            </w:tcBorders>
            <w:shd w:val="clear" w:color="auto" w:fill="C0C0C0"/>
            <w:vAlign w:val="center"/>
          </w:tcPr>
          <w:p w14:paraId="07C6BB05">
            <w:pPr>
              <w:jc w:val="center"/>
              <w:rPr>
                <w:rFonts w:hint="eastAsia" w:ascii="宋体" w:hAnsi="宋体" w:eastAsia="宋体" w:cs="宋体"/>
                <w:sz w:val="18"/>
                <w:szCs w:val="18"/>
                <w:lang w:val="en-US" w:eastAsia="zh-CN"/>
              </w:rPr>
            </w:pPr>
            <w:r>
              <w:rPr>
                <w:rFonts w:hint="eastAsia" w:ascii="宋体" w:hAnsi="宋体" w:eastAsia="宋体" w:cs="宋体"/>
                <w:b/>
                <w:bCs/>
                <w:sz w:val="18"/>
                <w:szCs w:val="18"/>
                <w:lang w:val="en-US" w:eastAsia="zh-CN"/>
              </w:rPr>
              <w:t>工业领域重要数据和核心数据目录备案表</w:t>
            </w:r>
          </w:p>
        </w:tc>
      </w:tr>
      <w:tr w14:paraId="049E7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3B1CAE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序号</w:t>
            </w:r>
          </w:p>
        </w:tc>
        <w:tc>
          <w:tcPr>
            <w:tcW w:w="0" w:type="auto"/>
            <w:gridSpan w:val="15"/>
            <w:tcBorders>
              <w:top w:val="single" w:color="000000" w:sz="4" w:space="0"/>
              <w:left w:val="single" w:color="000000" w:sz="4" w:space="0"/>
              <w:bottom w:val="single" w:color="000000" w:sz="4" w:space="0"/>
              <w:right w:val="single" w:color="000000" w:sz="4" w:space="0"/>
            </w:tcBorders>
            <w:shd w:val="clear" w:color="auto" w:fill="C0C0C0"/>
            <w:vAlign w:val="center"/>
          </w:tcPr>
          <w:p w14:paraId="2B5197C9">
            <w:pPr>
              <w:jc w:val="center"/>
              <w:rPr>
                <w:rFonts w:hint="eastAsia" w:ascii="宋体" w:hAnsi="宋体" w:eastAsia="宋体" w:cs="宋体"/>
                <w:sz w:val="18"/>
                <w:szCs w:val="18"/>
                <w:lang w:val="en-US" w:eastAsia="zh-CN"/>
              </w:rPr>
            </w:pPr>
            <w:r>
              <w:rPr>
                <w:rFonts w:hint="eastAsia" w:ascii="宋体" w:hAnsi="宋体" w:eastAsia="宋体" w:cs="宋体"/>
                <w:b/>
                <w:bCs/>
                <w:sz w:val="18"/>
                <w:szCs w:val="18"/>
                <w:lang w:val="en-US" w:eastAsia="zh-CN"/>
              </w:rPr>
              <w:t>数据基本情况</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C0C0C0"/>
            <w:vAlign w:val="center"/>
          </w:tcPr>
          <w:p w14:paraId="545641D9">
            <w:pPr>
              <w:jc w:val="center"/>
              <w:rPr>
                <w:rFonts w:hint="eastAsia" w:ascii="宋体" w:hAnsi="宋体" w:eastAsia="宋体" w:cs="宋体"/>
                <w:sz w:val="18"/>
                <w:szCs w:val="18"/>
                <w:lang w:val="en-US" w:eastAsia="zh-CN"/>
              </w:rPr>
            </w:pPr>
            <w:r>
              <w:rPr>
                <w:rFonts w:hint="eastAsia" w:ascii="宋体" w:hAnsi="宋体" w:eastAsia="宋体" w:cs="宋体"/>
                <w:b/>
                <w:bCs/>
                <w:sz w:val="18"/>
                <w:szCs w:val="18"/>
                <w:lang w:val="en-US" w:eastAsia="zh-CN"/>
              </w:rPr>
              <w:t>责任主体情况</w:t>
            </w:r>
          </w:p>
        </w:tc>
        <w:tc>
          <w:tcPr>
            <w:tcW w:w="0" w:type="auto"/>
            <w:gridSpan w:val="13"/>
            <w:tcBorders>
              <w:top w:val="single" w:color="000000" w:sz="4" w:space="0"/>
              <w:left w:val="single" w:color="000000" w:sz="4" w:space="0"/>
              <w:bottom w:val="single" w:color="000000" w:sz="4" w:space="0"/>
              <w:right w:val="single" w:color="000000" w:sz="4" w:space="0"/>
            </w:tcBorders>
            <w:shd w:val="clear" w:color="auto" w:fill="C0C0C0"/>
            <w:vAlign w:val="center"/>
          </w:tcPr>
          <w:p w14:paraId="2DCAB8D2">
            <w:pPr>
              <w:jc w:val="center"/>
              <w:rPr>
                <w:rFonts w:hint="eastAsia" w:ascii="宋体" w:hAnsi="宋体" w:eastAsia="宋体" w:cs="宋体"/>
                <w:sz w:val="18"/>
                <w:szCs w:val="18"/>
                <w:lang w:val="en-US" w:eastAsia="zh-CN"/>
              </w:rPr>
            </w:pPr>
            <w:r>
              <w:rPr>
                <w:rFonts w:hint="eastAsia" w:ascii="宋体" w:hAnsi="宋体" w:eastAsia="宋体" w:cs="宋体"/>
                <w:b/>
                <w:bCs/>
                <w:sz w:val="18"/>
                <w:szCs w:val="18"/>
                <w:lang w:val="en-US" w:eastAsia="zh-CN"/>
              </w:rPr>
              <w:t>数据处理情况</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C0C0C0"/>
            <w:vAlign w:val="center"/>
          </w:tcPr>
          <w:p w14:paraId="4CAADEE0">
            <w:pPr>
              <w:jc w:val="center"/>
              <w:rPr>
                <w:rFonts w:hint="eastAsia" w:ascii="宋体" w:hAnsi="宋体" w:eastAsia="宋体" w:cs="宋体"/>
                <w:sz w:val="18"/>
                <w:szCs w:val="18"/>
                <w:lang w:val="en-US" w:eastAsia="zh-CN"/>
              </w:rPr>
            </w:pPr>
            <w:r>
              <w:rPr>
                <w:rFonts w:hint="eastAsia" w:ascii="宋体" w:hAnsi="宋体" w:eastAsia="宋体" w:cs="宋体"/>
                <w:b/>
                <w:bCs/>
                <w:sz w:val="18"/>
                <w:szCs w:val="18"/>
                <w:lang w:val="en-US" w:eastAsia="zh-CN"/>
              </w:rPr>
              <w:t>数据安全情况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4A93B4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备注</w:t>
            </w:r>
          </w:p>
        </w:tc>
      </w:tr>
      <w:tr w14:paraId="34C0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A2AFAA7">
            <w:pPr>
              <w:jc w:val="center"/>
              <w:rPr>
                <w:rFonts w:hint="eastAsia" w:ascii="宋体" w:hAnsi="宋体" w:eastAsia="宋体" w:cs="宋体"/>
                <w:sz w:val="18"/>
                <w:szCs w:val="18"/>
                <w:lang w:val="en-US" w:eastAsia="zh-CN"/>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8C4275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306F13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依据数据分类分级规范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DB4215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数据一级类别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E24BB2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数据二级类别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703F38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数据三级类别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D28D17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数据四级类别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EA1947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数据级别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0C575D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数据载体</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9CE3E0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数据来源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7D4DD1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数据数量(单位：GB)</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9004FC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数据数量(单位：条)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2F5F85B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数据覆盖情况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E027C3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数据精度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E637F3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详细描述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4A750D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数据处理者名称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1A89BE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机构代码</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6E1046D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数据处理者所在地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FEDC9F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数据处理者性质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42A569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所属行业</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90F226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主要业务范围</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434B2A1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数据安全负责人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9801B1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数据处理活动方式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64DB65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数据处理目的</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40DA61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是否涉及算法自动化处理</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5A4D912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数据出境情况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2B3B0AB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数据对外共享情况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8E1B93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是否涉及跨主体流动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ACD24C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是否为涉外数据</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C0C0C0"/>
            <w:vAlign w:val="center"/>
          </w:tcPr>
          <w:p w14:paraId="0CC2DED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承载重要/核心数据的信息系统情况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603DFBC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重要安全风险评估情况</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0AD90ED">
            <w:pPr>
              <w:jc w:val="center"/>
              <w:rPr>
                <w:rFonts w:hint="eastAsia" w:ascii="宋体" w:hAnsi="宋体" w:eastAsia="宋体" w:cs="宋体"/>
                <w:sz w:val="18"/>
                <w:szCs w:val="18"/>
                <w:lang w:val="en-US" w:eastAsia="zh-CN"/>
              </w:rPr>
            </w:pPr>
          </w:p>
        </w:tc>
      </w:tr>
      <w:tr w14:paraId="466E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7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7B48666">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8A5C05A">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E2CC55A">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29724AD">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F4B046B">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813A439">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1DE9AD0">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3235F13">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B55E035">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B1997FD">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C9EDA77">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03125A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B27312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覆盖类型</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1E95966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覆盖占比</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4AD792A">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875E41D">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9C6DE0A">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039BB4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281DD3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省</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39B25D4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市</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E3C931F">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2CF36AA">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BE4D60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50B2B0F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60A34AD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职务</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9B57C4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联系方式</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77A7B0D">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4F9B020">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D750E4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B22140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是否出境</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25F8620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数据出境接收方名称</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680B417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数据出境方式</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7BCFB26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是否开展数据出境安全评估</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6C81131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数据出境安全评估结果</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760B3C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是否对外共享</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1FE861F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数据对外共享接收方名称</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0FE3FD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数据对外共享方式</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A71AEB2">
            <w:pPr>
              <w:jc w:val="center"/>
              <w:rPr>
                <w:rFonts w:hint="eastAsia" w:ascii="宋体" w:hAnsi="宋体" w:eastAsia="宋体" w:cs="宋体"/>
                <w:sz w:val="18"/>
                <w:szCs w:val="18"/>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5B281E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7A8F095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信息系统名称</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EA3D8D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信息系统IP地址</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026CC1D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信息系统域名</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385C44A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信息系统类型</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183EE68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网络安全等级保护情况</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0246F19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通信网络安全防护定级备案情况</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54066E2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是否为关键信息基础设施</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3B6D456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是否进行数据安全风险评估</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0C74CE9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评估机构</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77F996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评估规范</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3D971AA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评估时间</w:t>
            </w:r>
          </w:p>
        </w:tc>
        <w:tc>
          <w:tcPr>
            <w:tcW w:w="0" w:type="auto"/>
            <w:tcBorders>
              <w:top w:val="single" w:color="000000" w:sz="4" w:space="0"/>
              <w:left w:val="single" w:color="000000" w:sz="4" w:space="0"/>
              <w:bottom w:val="single" w:color="000000" w:sz="4" w:space="0"/>
              <w:right w:val="single" w:color="000000" w:sz="4" w:space="0"/>
            </w:tcBorders>
            <w:shd w:val="clear" w:color="auto" w:fill="C0C0C0"/>
            <w:vAlign w:val="center"/>
          </w:tcPr>
          <w:p w14:paraId="49EEAC9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评估结论</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90CC0E6">
            <w:pPr>
              <w:jc w:val="center"/>
              <w:rPr>
                <w:rFonts w:hint="eastAsia" w:ascii="宋体" w:hAnsi="宋体" w:eastAsia="宋体" w:cs="宋体"/>
                <w:sz w:val="18"/>
                <w:szCs w:val="18"/>
                <w:lang w:val="en-US" w:eastAsia="zh-CN"/>
              </w:rPr>
            </w:pPr>
          </w:p>
        </w:tc>
      </w:tr>
      <w:tr w14:paraId="04D14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7FB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A724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6D59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978C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13D6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8B49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B0FD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C69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AE56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5B6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AE9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AF5B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150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89B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0682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519E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E0A1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EF58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8E88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D5506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D5F2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F6D9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9D3E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568C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9627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4E0F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DEC4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5370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0E15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E016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FF0C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45BD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C44D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F08A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1396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29F44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677C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E107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838D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19A8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098C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427D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465D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0BE7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1097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4345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0D71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64C4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8697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EF7B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5E36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6686A2">
            <w:pPr>
              <w:jc w:val="center"/>
              <w:rPr>
                <w:rFonts w:hint="eastAsia" w:ascii="宋体" w:hAnsi="宋体" w:eastAsia="宋体" w:cs="宋体"/>
                <w:sz w:val="18"/>
                <w:szCs w:val="18"/>
                <w:lang w:val="en-US" w:eastAsia="zh-CN"/>
              </w:rPr>
            </w:pPr>
          </w:p>
        </w:tc>
      </w:tr>
      <w:tr w14:paraId="28D3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3CB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A234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3D54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D9A6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BA90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2455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3C648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358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74F6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D9B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D3F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3FA2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615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AB1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E91B1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3EC3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2C42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8A64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1E19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77D9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BD19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F05B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97EC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375D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3A92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6014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02FA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2FF4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A8F0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CF46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A756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93C3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EB6B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75B9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1F16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9B7F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78B9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A6C6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F495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160B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EFA0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7B89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F0DD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7ABD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4E9B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BBDD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08E4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F08A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7F2A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5452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1E95B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17D24">
            <w:pPr>
              <w:jc w:val="center"/>
              <w:rPr>
                <w:rFonts w:hint="eastAsia" w:ascii="宋体" w:hAnsi="宋体" w:eastAsia="宋体" w:cs="宋体"/>
                <w:sz w:val="18"/>
                <w:szCs w:val="18"/>
                <w:lang w:val="en-US" w:eastAsia="zh-CN"/>
              </w:rPr>
            </w:pPr>
          </w:p>
        </w:tc>
      </w:tr>
      <w:tr w14:paraId="129B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D29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BD85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84B9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CCFA8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E8D6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35BB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AB6C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09F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E25B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EE4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E0A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B1B7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4EB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158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9B91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1D49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83AC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C3155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4B90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106C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0596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37E8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75C9F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934A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FAD7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5BB0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F6C8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C5725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8B8F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107C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123A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7A30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66B4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1D94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4C34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CC34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7260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66D7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95B0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2477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BAFB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949A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E2E4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9939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6F36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0F49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9A3A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22781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B506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422C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6624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70FC2">
            <w:pPr>
              <w:jc w:val="center"/>
              <w:rPr>
                <w:rFonts w:hint="eastAsia" w:ascii="宋体" w:hAnsi="宋体" w:eastAsia="宋体" w:cs="宋体"/>
                <w:sz w:val="18"/>
                <w:szCs w:val="18"/>
                <w:lang w:val="en-US" w:eastAsia="zh-CN"/>
              </w:rPr>
            </w:pPr>
          </w:p>
        </w:tc>
      </w:tr>
      <w:tr w14:paraId="6DA0E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F72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50F1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636D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C1D1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721F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9011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AB5B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43E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502B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88E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7F0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4FA6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2EE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3B7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E2DB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4A22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28F8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B299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F189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FE04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24D9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37AD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4F58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93AEA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4293D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B821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4AD9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3CDC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AC45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491E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9145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7B66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077B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D3BA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5F4D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8244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0E0D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DEBF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668C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E6E7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7ED6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A6DB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4ABD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252F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92F2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FD51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F30F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4612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1795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A674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1D28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49B74">
            <w:pPr>
              <w:jc w:val="center"/>
              <w:rPr>
                <w:rFonts w:hint="eastAsia" w:ascii="宋体" w:hAnsi="宋体" w:eastAsia="宋体" w:cs="宋体"/>
                <w:sz w:val="18"/>
                <w:szCs w:val="18"/>
                <w:lang w:val="en-US" w:eastAsia="zh-CN"/>
              </w:rPr>
            </w:pPr>
          </w:p>
        </w:tc>
      </w:tr>
      <w:tr w14:paraId="7B37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C14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B4DD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88F1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6617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A399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7AF0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0C81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D74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60D0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613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8D6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B667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011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197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037B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99655">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52C2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3E891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C7E8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3F44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18BE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2EDB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3939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3AF70">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C240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4378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813986">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5C93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40AF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E699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64BBC">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4844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E98EB">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5296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6972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7FF8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6A26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C805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F066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83543">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E2862">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24F91">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C9144">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82A8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7544E">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DAFB7">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455CF">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E87ED">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B21E8">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52669">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65DFA">
            <w:pPr>
              <w:jc w:val="center"/>
              <w:rPr>
                <w:rFonts w:hint="eastAsia" w:ascii="宋体" w:hAnsi="宋体" w:eastAsia="宋体" w:cs="宋体"/>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E02FD">
            <w:pPr>
              <w:jc w:val="center"/>
              <w:rPr>
                <w:rFonts w:hint="eastAsia" w:ascii="宋体" w:hAnsi="宋体" w:eastAsia="宋体" w:cs="宋体"/>
                <w:sz w:val="18"/>
                <w:szCs w:val="18"/>
                <w:lang w:val="en-US" w:eastAsia="zh-CN"/>
              </w:rPr>
            </w:pPr>
          </w:p>
        </w:tc>
      </w:tr>
    </w:tbl>
    <w:p w14:paraId="09C464AC">
      <w:pPr>
        <w:rPr>
          <w:rFonts w:hint="eastAsia"/>
          <w:lang w:val="en-US" w:eastAsia="zh-CN"/>
        </w:rPr>
      </w:pPr>
    </w:p>
    <w:p w14:paraId="7449671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cs="宋体"/>
          <w:color w:val="000000"/>
          <w:kern w:val="0"/>
          <w:sz w:val="21"/>
          <w:szCs w:val="21"/>
          <w:highlight w:val="yellow"/>
          <w:lang w:val="en-US" w:eastAsia="zh-CN" w:bidi="ar"/>
        </w:rPr>
      </w:pPr>
      <w:r>
        <w:rPr>
          <w:rFonts w:hint="eastAsia" w:ascii="黑体" w:hAnsi="黑体" w:eastAsia="黑体" w:cs="黑体"/>
          <w:color w:val="000000"/>
          <w:kern w:val="0"/>
          <w:sz w:val="21"/>
          <w:szCs w:val="21"/>
          <w:lang w:val="en-US" w:eastAsia="zh-CN" w:bidi="ar"/>
        </w:rPr>
        <w:t>表 C.2 备案样表主要字段填写说明</w:t>
      </w:r>
    </w:p>
    <w:tbl>
      <w:tblPr>
        <w:tblStyle w:val="10"/>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347"/>
        <w:gridCol w:w="11999"/>
      </w:tblGrid>
      <w:tr w14:paraId="2CBE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818" w:type="pct"/>
            <w:shd w:val="clear" w:color="auto" w:fill="auto"/>
            <w:tcMar>
              <w:top w:w="113" w:type="dxa"/>
              <w:left w:w="170" w:type="dxa"/>
              <w:bottom w:w="113" w:type="dxa"/>
              <w:right w:w="170" w:type="dxa"/>
            </w:tcMar>
            <w:vAlign w:val="center"/>
          </w:tcPr>
          <w:p w14:paraId="4EE4C58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主要字段</w:t>
            </w:r>
          </w:p>
        </w:tc>
        <w:tc>
          <w:tcPr>
            <w:tcW w:w="4181" w:type="pct"/>
            <w:shd w:val="clear" w:color="auto" w:fill="auto"/>
            <w:tcMar>
              <w:top w:w="113" w:type="dxa"/>
              <w:left w:w="170" w:type="dxa"/>
              <w:bottom w:w="113" w:type="dxa"/>
              <w:right w:w="170" w:type="dxa"/>
            </w:tcMar>
            <w:vAlign w:val="center"/>
          </w:tcPr>
          <w:p w14:paraId="3AA23F6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填写说明或可供选项</w:t>
            </w:r>
          </w:p>
        </w:tc>
      </w:tr>
      <w:tr w14:paraId="09A1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54A564D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数据项名称</w:t>
            </w:r>
          </w:p>
        </w:tc>
        <w:tc>
          <w:tcPr>
            <w:tcW w:w="4181" w:type="pct"/>
            <w:shd w:val="clear" w:color="auto" w:fill="auto"/>
            <w:tcMar>
              <w:top w:w="113" w:type="dxa"/>
              <w:left w:w="170" w:type="dxa"/>
              <w:bottom w:w="113" w:type="dxa"/>
              <w:right w:w="170" w:type="dxa"/>
            </w:tcMar>
            <w:vAlign w:val="center"/>
          </w:tcPr>
          <w:p w14:paraId="6FFEF1B5">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一类数据名称，非单独一条的数据名称</w:t>
            </w:r>
          </w:p>
        </w:tc>
      </w:tr>
      <w:tr w14:paraId="18FA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0BFD43DD">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依据数据分类分级规范</w:t>
            </w:r>
          </w:p>
        </w:tc>
        <w:tc>
          <w:tcPr>
            <w:tcW w:w="4181" w:type="pct"/>
            <w:shd w:val="clear" w:color="auto" w:fill="auto"/>
            <w:tcMar>
              <w:top w:w="113" w:type="dxa"/>
              <w:left w:w="170" w:type="dxa"/>
              <w:bottom w:w="113" w:type="dxa"/>
              <w:right w:w="170" w:type="dxa"/>
            </w:tcMar>
            <w:vAlign w:val="center"/>
          </w:tcPr>
          <w:p w14:paraId="1276E4B0">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法律法规、管理办法或相关标准，如：GB/T 43697《数据安全技术 数据分类分级规则》、YD∕T 4981《工业领域重要数据识别指南》</w:t>
            </w:r>
          </w:p>
        </w:tc>
      </w:tr>
      <w:tr w14:paraId="5B08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2263BD9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数据一级类别</w:t>
            </w:r>
          </w:p>
        </w:tc>
        <w:tc>
          <w:tcPr>
            <w:tcW w:w="4181" w:type="pct"/>
            <w:shd w:val="clear" w:color="auto" w:fill="auto"/>
            <w:tcMar>
              <w:top w:w="113" w:type="dxa"/>
              <w:left w:w="170" w:type="dxa"/>
              <w:bottom w:w="113" w:type="dxa"/>
              <w:right w:w="170" w:type="dxa"/>
            </w:tcMar>
            <w:vAlign w:val="center"/>
          </w:tcPr>
          <w:p w14:paraId="03F46FCA">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轻金属/重金属/贵金属/稀有金属+采选/冶炼/加工，如：重金属-铜冶炼</w:t>
            </w:r>
          </w:p>
        </w:tc>
      </w:tr>
      <w:tr w14:paraId="369F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0D40711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w:t>
            </w:r>
            <w:r>
              <w:rPr>
                <w:rFonts w:hint="eastAsia" w:ascii="宋体" w:hAnsi="宋体" w:cs="宋体"/>
                <w:sz w:val="18"/>
                <w:szCs w:val="18"/>
                <w:lang w:val="en-US" w:eastAsia="zh-CN"/>
              </w:rPr>
              <w:t>二</w:t>
            </w:r>
            <w:r>
              <w:rPr>
                <w:rFonts w:hint="eastAsia" w:ascii="宋体" w:hAnsi="宋体" w:eastAsia="宋体" w:cs="宋体"/>
                <w:sz w:val="18"/>
                <w:szCs w:val="18"/>
                <w:lang w:val="en-US" w:eastAsia="zh-CN"/>
              </w:rPr>
              <w:t>级类别</w:t>
            </w:r>
          </w:p>
        </w:tc>
        <w:tc>
          <w:tcPr>
            <w:tcW w:w="4181" w:type="pct"/>
            <w:shd w:val="clear" w:color="auto" w:fill="auto"/>
            <w:tcMar>
              <w:top w:w="113" w:type="dxa"/>
              <w:left w:w="170" w:type="dxa"/>
              <w:bottom w:w="113" w:type="dxa"/>
              <w:right w:w="170" w:type="dxa"/>
            </w:tcMar>
            <w:vAlign w:val="center"/>
          </w:tcPr>
          <w:p w14:paraId="2B17F1A0">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研发设计</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生产制造</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经营管理</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特种应用等</w:t>
            </w:r>
          </w:p>
        </w:tc>
      </w:tr>
      <w:tr w14:paraId="1CE8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3AED466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w:t>
            </w:r>
            <w:r>
              <w:rPr>
                <w:rFonts w:hint="eastAsia" w:ascii="宋体" w:hAnsi="宋体" w:cs="宋体"/>
                <w:sz w:val="18"/>
                <w:szCs w:val="18"/>
                <w:lang w:val="en-US" w:eastAsia="zh-CN"/>
              </w:rPr>
              <w:t>三</w:t>
            </w:r>
            <w:r>
              <w:rPr>
                <w:rFonts w:hint="eastAsia" w:ascii="宋体" w:hAnsi="宋体" w:eastAsia="宋体" w:cs="宋体"/>
                <w:sz w:val="18"/>
                <w:szCs w:val="18"/>
                <w:lang w:val="en-US" w:eastAsia="zh-CN"/>
              </w:rPr>
              <w:t>级类别</w:t>
            </w:r>
          </w:p>
        </w:tc>
        <w:tc>
          <w:tcPr>
            <w:tcW w:w="4181" w:type="pct"/>
            <w:shd w:val="clear" w:color="auto" w:fill="auto"/>
            <w:tcMar>
              <w:top w:w="113" w:type="dxa"/>
              <w:left w:w="170" w:type="dxa"/>
              <w:bottom w:w="113" w:type="dxa"/>
              <w:right w:w="170" w:type="dxa"/>
            </w:tcMar>
            <w:vAlign w:val="center"/>
          </w:tcPr>
          <w:p w14:paraId="7827D8D5">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人员、设备、物料、工艺、环境、检测</w:t>
            </w:r>
          </w:p>
        </w:tc>
      </w:tr>
      <w:tr w14:paraId="2E0E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4516A04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w:t>
            </w:r>
            <w:r>
              <w:rPr>
                <w:rFonts w:hint="eastAsia" w:ascii="宋体" w:hAnsi="宋体" w:cs="宋体"/>
                <w:sz w:val="18"/>
                <w:szCs w:val="18"/>
                <w:lang w:val="en-US" w:eastAsia="zh-CN"/>
              </w:rPr>
              <w:t>四</w:t>
            </w:r>
            <w:r>
              <w:rPr>
                <w:rFonts w:hint="eastAsia" w:ascii="宋体" w:hAnsi="宋体" w:eastAsia="宋体" w:cs="宋体"/>
                <w:sz w:val="18"/>
                <w:szCs w:val="18"/>
                <w:lang w:val="en-US" w:eastAsia="zh-CN"/>
              </w:rPr>
              <w:t>级类别</w:t>
            </w:r>
          </w:p>
        </w:tc>
        <w:tc>
          <w:tcPr>
            <w:tcW w:w="4181" w:type="pct"/>
            <w:shd w:val="clear" w:color="auto" w:fill="auto"/>
            <w:tcMar>
              <w:top w:w="113" w:type="dxa"/>
              <w:left w:w="170" w:type="dxa"/>
              <w:bottom w:w="113" w:type="dxa"/>
              <w:right w:w="170" w:type="dxa"/>
            </w:tcMar>
            <w:vAlign w:val="center"/>
          </w:tcPr>
          <w:p w14:paraId="078BD0F3">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产能</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品位</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能耗等</w:t>
            </w:r>
          </w:p>
        </w:tc>
      </w:tr>
      <w:tr w14:paraId="34C0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532E84D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数据级别</w:t>
            </w:r>
          </w:p>
        </w:tc>
        <w:tc>
          <w:tcPr>
            <w:tcW w:w="4181" w:type="pct"/>
            <w:shd w:val="clear" w:color="auto" w:fill="auto"/>
            <w:tcMar>
              <w:top w:w="113" w:type="dxa"/>
              <w:left w:w="170" w:type="dxa"/>
              <w:bottom w:w="113" w:type="dxa"/>
              <w:right w:w="170" w:type="dxa"/>
            </w:tcMar>
            <w:vAlign w:val="center"/>
          </w:tcPr>
          <w:p w14:paraId="0D6ACE56">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重要数据、核心数据</w:t>
            </w:r>
          </w:p>
        </w:tc>
      </w:tr>
      <w:tr w14:paraId="2224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28B8BA3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数据载体</w:t>
            </w:r>
          </w:p>
        </w:tc>
        <w:tc>
          <w:tcPr>
            <w:tcW w:w="4181" w:type="pct"/>
            <w:shd w:val="clear" w:color="auto" w:fill="auto"/>
            <w:tcMar>
              <w:top w:w="113" w:type="dxa"/>
              <w:left w:w="170" w:type="dxa"/>
              <w:bottom w:w="113" w:type="dxa"/>
              <w:right w:w="170" w:type="dxa"/>
            </w:tcMar>
            <w:vAlign w:val="center"/>
          </w:tcPr>
          <w:p w14:paraId="1AE88FD2">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与互联网连接的信息系统、不与互联网连接的信息系统、其他电子化数据、非电子化数据、其他</w:t>
            </w:r>
          </w:p>
        </w:tc>
      </w:tr>
      <w:tr w14:paraId="4AD3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0FA5186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数据来源</w:t>
            </w:r>
          </w:p>
        </w:tc>
        <w:tc>
          <w:tcPr>
            <w:tcW w:w="4181" w:type="pct"/>
            <w:shd w:val="clear" w:color="auto" w:fill="auto"/>
            <w:tcMar>
              <w:top w:w="113" w:type="dxa"/>
              <w:left w:w="170" w:type="dxa"/>
              <w:bottom w:w="113" w:type="dxa"/>
              <w:right w:w="170" w:type="dxa"/>
            </w:tcMar>
            <w:vAlign w:val="center"/>
          </w:tcPr>
          <w:p w14:paraId="270DB397">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设备采集、设备产生、人工填报、交易购买、共享交换、其他</w:t>
            </w:r>
          </w:p>
        </w:tc>
      </w:tr>
      <w:tr w14:paraId="0591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2DB96B4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覆盖类型</w:t>
            </w:r>
          </w:p>
        </w:tc>
        <w:tc>
          <w:tcPr>
            <w:tcW w:w="4181" w:type="pct"/>
            <w:shd w:val="clear" w:color="auto" w:fill="auto"/>
            <w:tcMar>
              <w:top w:w="113" w:type="dxa"/>
              <w:left w:w="170" w:type="dxa"/>
              <w:bottom w:w="113" w:type="dxa"/>
              <w:right w:w="170" w:type="dxa"/>
            </w:tcMar>
            <w:vAlign w:val="center"/>
          </w:tcPr>
          <w:p w14:paraId="22CEB86D">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领域、群体、区域</w:t>
            </w:r>
          </w:p>
        </w:tc>
      </w:tr>
      <w:tr w14:paraId="4EE4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1EC5F38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覆盖占比</w:t>
            </w:r>
          </w:p>
        </w:tc>
        <w:tc>
          <w:tcPr>
            <w:tcW w:w="4181" w:type="pct"/>
            <w:shd w:val="clear" w:color="auto" w:fill="auto"/>
            <w:tcMar>
              <w:top w:w="113" w:type="dxa"/>
              <w:left w:w="170" w:type="dxa"/>
              <w:bottom w:w="113" w:type="dxa"/>
              <w:right w:w="170" w:type="dxa"/>
            </w:tcMar>
            <w:vAlign w:val="center"/>
          </w:tcPr>
          <w:p w14:paraId="7265FFD4">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超过80%、60%-80%、40%-60%、20%-40%、不足20%</w:t>
            </w:r>
          </w:p>
        </w:tc>
      </w:tr>
      <w:tr w14:paraId="1EAA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5C9F940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数据处理活动方式</w:t>
            </w:r>
          </w:p>
        </w:tc>
        <w:tc>
          <w:tcPr>
            <w:tcW w:w="4181" w:type="pct"/>
            <w:shd w:val="clear" w:color="auto" w:fill="auto"/>
            <w:tcMar>
              <w:top w:w="113" w:type="dxa"/>
              <w:left w:w="170" w:type="dxa"/>
              <w:bottom w:w="113" w:type="dxa"/>
              <w:right w:w="170" w:type="dxa"/>
            </w:tcMar>
            <w:vAlign w:val="center"/>
          </w:tcPr>
          <w:p w14:paraId="3AD2015B">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收集、存储、使用、加工、传输、提供、公开、其他</w:t>
            </w:r>
          </w:p>
        </w:tc>
      </w:tr>
      <w:tr w14:paraId="462A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3A90EEC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数据处理目的</w:t>
            </w:r>
          </w:p>
        </w:tc>
        <w:tc>
          <w:tcPr>
            <w:tcW w:w="4181" w:type="pct"/>
            <w:shd w:val="clear" w:color="auto" w:fill="auto"/>
            <w:tcMar>
              <w:top w:w="113" w:type="dxa"/>
              <w:left w:w="170" w:type="dxa"/>
              <w:bottom w:w="113" w:type="dxa"/>
              <w:right w:w="170" w:type="dxa"/>
            </w:tcMar>
            <w:vAlign w:val="center"/>
          </w:tcPr>
          <w:p w14:paraId="2D491ADB">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企业经营、运行维护、科学研究、监管支撑、其他</w:t>
            </w:r>
          </w:p>
        </w:tc>
      </w:tr>
      <w:tr w14:paraId="08CB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46CCC6F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是否选项</w:t>
            </w:r>
          </w:p>
        </w:tc>
        <w:tc>
          <w:tcPr>
            <w:tcW w:w="4181" w:type="pct"/>
            <w:shd w:val="clear" w:color="auto" w:fill="auto"/>
            <w:tcMar>
              <w:top w:w="113" w:type="dxa"/>
              <w:left w:w="170" w:type="dxa"/>
              <w:bottom w:w="113" w:type="dxa"/>
              <w:right w:w="170" w:type="dxa"/>
            </w:tcMar>
            <w:vAlign w:val="center"/>
          </w:tcPr>
          <w:p w14:paraId="4C75A7FE">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是、否</w:t>
            </w:r>
          </w:p>
        </w:tc>
      </w:tr>
      <w:tr w14:paraId="376D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10F228D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数据出境方式</w:t>
            </w:r>
          </w:p>
        </w:tc>
        <w:tc>
          <w:tcPr>
            <w:tcW w:w="4181" w:type="pct"/>
            <w:shd w:val="clear" w:color="auto" w:fill="auto"/>
            <w:tcMar>
              <w:top w:w="113" w:type="dxa"/>
              <w:left w:w="170" w:type="dxa"/>
              <w:bottom w:w="113" w:type="dxa"/>
              <w:right w:w="170" w:type="dxa"/>
            </w:tcMar>
            <w:vAlign w:val="center"/>
          </w:tcPr>
          <w:p w14:paraId="770AD039">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互联网点对点传输、专线传输、vpn传输、接口调用传输、离线传输-硬盘、离线传输-U盘、离线传输-光盘、离线传输-纸质文件、离线传输-其他、其他</w:t>
            </w:r>
          </w:p>
        </w:tc>
      </w:tr>
      <w:tr w14:paraId="0862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4D5889D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信息系统类型</w:t>
            </w:r>
          </w:p>
        </w:tc>
        <w:tc>
          <w:tcPr>
            <w:tcW w:w="4181" w:type="pct"/>
            <w:shd w:val="clear" w:color="auto" w:fill="auto"/>
            <w:tcMar>
              <w:top w:w="113" w:type="dxa"/>
              <w:left w:w="170" w:type="dxa"/>
              <w:bottom w:w="113" w:type="dxa"/>
              <w:right w:w="170" w:type="dxa"/>
            </w:tcMar>
            <w:vAlign w:val="center"/>
          </w:tcPr>
          <w:p w14:paraId="6D2FDB86">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生产系统、运维系统、管理系统、业务支撑系统、安全保障系统、其他</w:t>
            </w:r>
          </w:p>
        </w:tc>
      </w:tr>
      <w:tr w14:paraId="51FA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18" w:type="pct"/>
            <w:shd w:val="clear" w:color="auto" w:fill="auto"/>
            <w:tcMar>
              <w:top w:w="113" w:type="dxa"/>
              <w:left w:w="170" w:type="dxa"/>
              <w:bottom w:w="113" w:type="dxa"/>
              <w:right w:w="170" w:type="dxa"/>
            </w:tcMar>
            <w:vAlign w:val="center"/>
          </w:tcPr>
          <w:p w14:paraId="29BA22B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网络等级</w:t>
            </w:r>
          </w:p>
        </w:tc>
        <w:tc>
          <w:tcPr>
            <w:tcW w:w="4181" w:type="pct"/>
            <w:shd w:val="clear" w:color="auto" w:fill="auto"/>
            <w:tcMar>
              <w:top w:w="113" w:type="dxa"/>
              <w:left w:w="170" w:type="dxa"/>
              <w:bottom w:w="113" w:type="dxa"/>
              <w:right w:w="170" w:type="dxa"/>
            </w:tcMar>
            <w:vAlign w:val="center"/>
          </w:tcPr>
          <w:p w14:paraId="3CF2CBCD">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未开展、一级、二级、三级、四级、五级</w:t>
            </w:r>
          </w:p>
        </w:tc>
      </w:tr>
    </w:tbl>
    <w:p w14:paraId="36A318ED"/>
    <w:p w14:paraId="19915F05"/>
    <w:p w14:paraId="2C77E7B1">
      <w:pPr>
        <w:pStyle w:val="33"/>
        <w:rPr>
          <w:rFonts w:hint="eastAsia" w:ascii="黑体" w:hAnsi="黑体" w:eastAsia="黑体" w:cs="黑体"/>
          <w:b w:val="0"/>
          <w:bCs w:val="0"/>
          <w:sz w:val="21"/>
          <w:szCs w:val="21"/>
          <w:lang w:val="en-US" w:eastAsia="zh-CN"/>
        </w:rPr>
        <w:sectPr>
          <w:pgSz w:w="16838" w:h="11906" w:orient="landscape"/>
          <w:pgMar w:top="1417" w:right="1134" w:bottom="1134" w:left="1417" w:header="1418" w:footer="1134" w:gutter="0"/>
          <w:pgBorders>
            <w:top w:val="none" w:sz="0" w:space="0"/>
            <w:left w:val="none" w:sz="0" w:space="0"/>
            <w:bottom w:val="none" w:sz="0" w:space="0"/>
            <w:right w:val="none" w:sz="0" w:space="0"/>
          </w:pgBorders>
          <w:pgNumType w:fmt="decimal"/>
          <w:cols w:space="0" w:num="1"/>
          <w:formProt w:val="0"/>
          <w:rtlGutter w:val="0"/>
          <w:docGrid w:type="lines" w:linePitch="322" w:charSpace="0"/>
        </w:sectPr>
      </w:pPr>
    </w:p>
    <w:p w14:paraId="011DE129">
      <w:pPr>
        <w:pStyle w:val="33"/>
        <w:rPr>
          <w:rFonts w:hint="eastAsia"/>
        </w:rPr>
      </w:pPr>
      <w:bookmarkStart w:id="31" w:name="_Toc16806"/>
      <w:r>
        <w:rPr>
          <w:rFonts w:hint="eastAsia" w:ascii="黑体" w:hAnsi="黑体" w:eastAsia="黑体" w:cs="黑体"/>
          <w:b w:val="0"/>
          <w:bCs w:val="0"/>
          <w:sz w:val="21"/>
          <w:szCs w:val="21"/>
          <w:lang w:val="en-US" w:eastAsia="zh-CN"/>
        </w:rPr>
        <w:t>参 考 文 献</w:t>
      </w:r>
      <w:bookmarkEnd w:id="31"/>
    </w:p>
    <w:p w14:paraId="5D026798">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default"/>
          <w:lang w:val="en-US" w:eastAsia="zh-CN"/>
        </w:rPr>
      </w:pPr>
      <w:r>
        <w:rPr>
          <w:rFonts w:hint="eastAsia"/>
          <w:lang w:val="en-US" w:eastAsia="zh-CN"/>
        </w:rPr>
        <w:t>[1] 中华人民共和国网络安全法</w:t>
      </w:r>
    </w:p>
    <w:p w14:paraId="0454916E">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[2] 中华人民共和国数据安全法</w:t>
      </w:r>
    </w:p>
    <w:p w14:paraId="0CEB3A23">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[3] 中华人民共和国个人信息保护法</w:t>
      </w:r>
    </w:p>
    <w:p w14:paraId="7A14E1C9">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[4] 网络数据安全管理条例</w:t>
      </w:r>
    </w:p>
    <w:p w14:paraId="588F1FE7">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 xml:space="preserve">[5] </w:t>
      </w:r>
      <w:r>
        <w:rPr>
          <w:rFonts w:hint="eastAsia" w:ascii="宋体" w:hAnsi="Times New Roman" w:eastAsia="宋体" w:cs="Times New Roman"/>
        </w:rPr>
        <w:t>工业领域重要数据识别指南</w:t>
      </w:r>
    </w:p>
    <w:p w14:paraId="406089EE">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 xml:space="preserve">[6] </w:t>
      </w:r>
      <w:r>
        <w:rPr>
          <w:rFonts w:hint="eastAsia" w:ascii="宋体" w:hAnsi="宋体" w:eastAsia="宋体" w:cs="宋体"/>
          <w:color w:val="auto"/>
          <w:kern w:val="2"/>
          <w:sz w:val="21"/>
          <w:szCs w:val="21"/>
          <w:lang w:val="en-US" w:eastAsia="zh-CN"/>
        </w:rPr>
        <w:t>工业数据分类分级指南（试行）</w:t>
      </w:r>
    </w:p>
    <w:p w14:paraId="1CC3DB0B">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[7] 工业和信息化领域数据安全管理办法（试行）</w:t>
      </w:r>
    </w:p>
    <w:p w14:paraId="338EAAD8">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r>
        <w:rPr>
          <w:rFonts w:hint="eastAsia"/>
          <w:lang w:val="en-US" w:eastAsia="zh-CN"/>
        </w:rPr>
        <w:t>[8] 工业领域数据安全能力提升实施方案（2024-2026年）</w:t>
      </w:r>
    </w:p>
    <w:p w14:paraId="5009D616">
      <w:pPr>
        <w:pStyle w:val="30"/>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lang w:val="en-US" w:eastAsia="zh-CN"/>
        </w:rPr>
      </w:pPr>
    </w:p>
    <w:p w14:paraId="2C568D1D">
      <w:pPr>
        <w:pStyle w:val="30"/>
        <w:bidi w:val="0"/>
        <w:jc w:val="center"/>
        <w:rPr>
          <w:rFonts w:hint="default"/>
          <w:lang w:val="en-US" w:eastAsia="zh-CN"/>
        </w:rPr>
      </w:pPr>
      <w:r>
        <w:rPr>
          <w:rFonts w:hint="eastAsia"/>
          <w:lang w:val="en-US" w:eastAsia="zh-CN"/>
        </w:rPr>
        <w:t>______________________________</w:t>
      </w:r>
    </w:p>
    <w:sectPr>
      <w:pgSz w:w="11906" w:h="16838"/>
      <w:pgMar w:top="1417" w:right="1134" w:bottom="1134" w:left="1417" w:header="1418" w:footer="1134" w:gutter="0"/>
      <w:pgBorders>
        <w:top w:val="none" w:sz="0" w:space="0"/>
        <w:left w:val="none" w:sz="0" w:space="0"/>
        <w:bottom w:val="none" w:sz="0" w:space="0"/>
        <w:right w:val="none" w:sz="0" w:space="0"/>
      </w:pgBorders>
      <w:pgNumType w:fmt="decimal"/>
      <w:cols w:space="0" w:num="1"/>
      <w:formProt w:val="0"/>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FF28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4F2B5">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7094E">
                          <w:pPr>
                            <w:pStyle w:val="4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A7094E">
                    <w:pPr>
                      <w:pStyle w:val="4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D3EB">
    <w:pPr>
      <w:pStyle w:val="4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800B6">
                          <w:pPr>
                            <w:pStyle w:val="4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0800B6">
                    <w:pPr>
                      <w:pStyle w:val="4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9ABA9">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90E0B">
    <w:pPr>
      <w:pStyle w:val="38"/>
    </w:pPr>
    <w:r>
      <w:rPr>
        <w:rFonts w:hint="eastAsia"/>
      </w:rPr>
      <w:t>YS/T</w:t>
    </w:r>
    <w:r>
      <w:t xml:space="preserv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DFE66"/>
    <w:multiLevelType w:val="multilevel"/>
    <w:tmpl w:val="8AADFE66"/>
    <w:lvl w:ilvl="0" w:tentative="0">
      <w:start w:val="1"/>
      <w:numFmt w:val="lowerLetter"/>
      <w:lvlText w:val="%1）"/>
      <w:lvlJc w:val="left"/>
      <w:pPr>
        <w:ind w:left="780" w:hanging="360"/>
      </w:pPr>
      <w:rPr>
        <w:rFonts w:hint="default" w:ascii="宋体" w:hAnsi="宋体" w:eastAsia="宋体" w:cs="宋体"/>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93C870A6"/>
    <w:multiLevelType w:val="multilevel"/>
    <w:tmpl w:val="93C870A6"/>
    <w:lvl w:ilvl="0" w:tentative="0">
      <w:start w:val="1"/>
      <w:numFmt w:val="lowerLetter"/>
      <w:lvlText w:val="%1）"/>
      <w:lvlJc w:val="left"/>
      <w:pPr>
        <w:tabs>
          <w:tab w:val="left" w:pos="780"/>
        </w:tabs>
        <w:ind w:left="780" w:hanging="360"/>
      </w:pPr>
      <w:rPr>
        <w:rFonts w:hint="default" w:ascii="宋体" w:hAnsi="宋体" w:eastAsia="宋体" w:cs="宋体"/>
        <w:b w:val="0"/>
        <w:bCs w:val="0"/>
        <w:sz w:val="21"/>
        <w:szCs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A3B7D1F4"/>
    <w:multiLevelType w:val="multilevel"/>
    <w:tmpl w:val="A3B7D1F4"/>
    <w:lvl w:ilvl="0" w:tentative="0">
      <w:start w:val="1"/>
      <w:numFmt w:val="decimal"/>
      <w:lvlText w:val="%1)"/>
      <w:lvlJc w:val="left"/>
      <w:pPr>
        <w:ind w:left="1200" w:hanging="360"/>
      </w:pPr>
      <w:rPr>
        <w:rFonts w:hint="default"/>
        <w:sz w:val="21"/>
        <w:szCs w:val="21"/>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FCA8EC13"/>
    <w:multiLevelType w:val="multilevel"/>
    <w:tmpl w:val="FCA8EC13"/>
    <w:lvl w:ilvl="0" w:tentative="0">
      <w:start w:val="1"/>
      <w:numFmt w:val="lowerLetter"/>
      <w:lvlText w:val="%1）"/>
      <w:lvlJc w:val="left"/>
      <w:pPr>
        <w:tabs>
          <w:tab w:val="left" w:pos="780"/>
        </w:tabs>
        <w:ind w:left="780" w:hanging="360"/>
      </w:pPr>
      <w:rPr>
        <w:rFonts w:hint="default" w:ascii="宋体" w:hAnsi="宋体" w:eastAsia="宋体" w:cs="宋体"/>
        <w:b w:val="0"/>
        <w:bCs w:val="0"/>
        <w:sz w:val="21"/>
        <w:szCs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8EB0778"/>
    <w:multiLevelType w:val="multilevel"/>
    <w:tmpl w:val="08EB0778"/>
    <w:lvl w:ilvl="0" w:tentative="0">
      <w:start w:val="1"/>
      <w:numFmt w:val="lowerLetter"/>
      <w:lvlText w:val="%1）"/>
      <w:lvlJc w:val="left"/>
      <w:pPr>
        <w:ind w:left="780" w:hanging="360"/>
      </w:pPr>
      <w:rPr>
        <w:rFonts w:hint="default" w:ascii="宋体" w:hAnsi="宋体" w:eastAsia="宋体" w:cs="宋体"/>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F9C7C17"/>
    <w:multiLevelType w:val="multilevel"/>
    <w:tmpl w:val="0F9C7C17"/>
    <w:lvl w:ilvl="0" w:tentative="0">
      <w:start w:val="1"/>
      <w:numFmt w:val="decimal"/>
      <w:lvlText w:val="%1"/>
      <w:lvlJc w:val="left"/>
      <w:pPr>
        <w:ind w:left="432" w:hanging="432"/>
      </w:pPr>
      <w:rPr>
        <w:rFonts w:hint="default"/>
        <w:b/>
        <w:bCs/>
      </w:rPr>
    </w:lvl>
    <w:lvl w:ilvl="1" w:tentative="0">
      <w:start w:val="1"/>
      <w:numFmt w:val="decimal"/>
      <w:pStyle w:val="2"/>
      <w:lvlText w:val="%1.%2"/>
      <w:lvlJc w:val="left"/>
      <w:pPr>
        <w:ind w:left="576" w:hanging="576"/>
      </w:pPr>
      <w:rPr>
        <w:rFonts w:hint="default" w:ascii="黑体" w:hAnsi="黑体" w:eastAsia="黑体"/>
        <w:b/>
        <w:bCs/>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ascii="黑体" w:hAnsi="黑体" w:eastAsia="黑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6">
    <w:nsid w:val="1F6A8368"/>
    <w:multiLevelType w:val="multilevel"/>
    <w:tmpl w:val="1F6A8368"/>
    <w:lvl w:ilvl="0" w:tentative="0">
      <w:start w:val="1"/>
      <w:numFmt w:val="lowerLetter"/>
      <w:lvlText w:val="%1）"/>
      <w:lvlJc w:val="left"/>
      <w:pPr>
        <w:ind w:left="780" w:hanging="360"/>
      </w:pPr>
      <w:rPr>
        <w:rFonts w:hint="default" w:ascii="宋体" w:hAnsi="宋体" w:eastAsia="宋体" w:cs="宋体"/>
        <w:sz w:val="21"/>
        <w:szCs w:val="21"/>
      </w:rPr>
    </w:lvl>
    <w:lvl w:ilvl="1" w:tentative="0">
      <w:start w:val="1"/>
      <w:numFmt w:val="none"/>
      <w:lvlText w:val="注："/>
      <w:lvlJc w:val="left"/>
      <w:pPr>
        <w:ind w:left="1270" w:leftChars="0" w:hanging="430" w:firstLineChars="0"/>
      </w:pPr>
      <w:rPr>
        <w:rFonts w:hint="default" w:ascii="黑体" w:hAnsi="黑体" w:eastAsia="黑体" w:cs="黑体"/>
        <w:b w:val="0"/>
        <w:bCs/>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2B52EDBE"/>
    <w:multiLevelType w:val="multilevel"/>
    <w:tmpl w:val="2B52EDBE"/>
    <w:lvl w:ilvl="0" w:tentative="0">
      <w:start w:val="1"/>
      <w:numFmt w:val="lowerLetter"/>
      <w:lvlText w:val="%1）"/>
      <w:lvlJc w:val="left"/>
      <w:pPr>
        <w:tabs>
          <w:tab w:val="left" w:pos="780"/>
        </w:tabs>
        <w:ind w:left="780" w:hanging="360"/>
      </w:pPr>
      <w:rPr>
        <w:rFonts w:hint="default" w:ascii="宋体" w:hAnsi="宋体" w:eastAsia="宋体" w:cs="宋体"/>
        <w:b w:val="0"/>
        <w:bCs w:val="0"/>
        <w:sz w:val="21"/>
        <w:szCs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8">
    <w:nsid w:val="4D6E7ED1"/>
    <w:multiLevelType w:val="multilevel"/>
    <w:tmpl w:val="4D6E7ED1"/>
    <w:lvl w:ilvl="0" w:tentative="0">
      <w:start w:val="1"/>
      <w:numFmt w:val="decimal"/>
      <w:lvlText w:val="%1)"/>
      <w:lvlJc w:val="left"/>
      <w:pPr>
        <w:ind w:left="1200" w:hanging="360"/>
      </w:pPr>
      <w:rPr>
        <w:rFonts w:hint="default"/>
        <w:sz w:val="21"/>
        <w:szCs w:val="21"/>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500CA415"/>
    <w:multiLevelType w:val="multilevel"/>
    <w:tmpl w:val="500CA415"/>
    <w:lvl w:ilvl="0" w:tentative="0">
      <w:start w:val="1"/>
      <w:numFmt w:val="lowerLetter"/>
      <w:lvlText w:val="%1）"/>
      <w:lvlJc w:val="left"/>
      <w:pPr>
        <w:tabs>
          <w:tab w:val="left" w:pos="780"/>
        </w:tabs>
        <w:ind w:left="780" w:hanging="360"/>
      </w:pPr>
      <w:rPr>
        <w:rFonts w:hint="default" w:ascii="宋体" w:hAnsi="宋体" w:eastAsia="宋体" w:cs="宋体"/>
        <w:b w:val="0"/>
        <w:bCs w:val="0"/>
        <w:sz w:val="21"/>
        <w:szCs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646260FA"/>
    <w:multiLevelType w:val="multilevel"/>
    <w:tmpl w:val="646260FA"/>
    <w:lvl w:ilvl="0" w:tentative="0">
      <w:start w:val="1"/>
      <w:numFmt w:val="decimal"/>
      <w:pStyle w:val="4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1C5BB0"/>
    <w:multiLevelType w:val="multilevel"/>
    <w:tmpl w:val="6D1C5BB0"/>
    <w:lvl w:ilvl="0" w:tentative="0">
      <w:start w:val="1"/>
      <w:numFmt w:val="lowerLetter"/>
      <w:lvlText w:val="%1）"/>
      <w:lvlJc w:val="left"/>
      <w:pPr>
        <w:tabs>
          <w:tab w:val="left" w:pos="780"/>
        </w:tabs>
        <w:ind w:left="780" w:hanging="360"/>
      </w:pPr>
      <w:rPr>
        <w:rFonts w:hint="default" w:ascii="宋体" w:hAnsi="宋体" w:eastAsia="宋体" w:cs="宋体"/>
        <w:b w:val="0"/>
        <w:bCs w:val="0"/>
        <w:sz w:val="21"/>
        <w:szCs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7ACCCBAA"/>
    <w:multiLevelType w:val="multilevel"/>
    <w:tmpl w:val="7ACCCBAA"/>
    <w:lvl w:ilvl="0" w:tentative="0">
      <w:start w:val="1"/>
      <w:numFmt w:val="lowerLetter"/>
      <w:lvlText w:val="%1）"/>
      <w:lvlJc w:val="left"/>
      <w:pPr>
        <w:tabs>
          <w:tab w:val="left" w:pos="780"/>
        </w:tabs>
        <w:ind w:left="780" w:hanging="360"/>
      </w:pPr>
      <w:rPr>
        <w:rFonts w:hint="default" w:ascii="宋体" w:hAnsi="宋体" w:eastAsia="宋体" w:cs="宋体"/>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5"/>
  </w:num>
  <w:num w:numId="2">
    <w:abstractNumId w:val="10"/>
  </w:num>
  <w:num w:numId="3">
    <w:abstractNumId w:val="11"/>
  </w:num>
  <w:num w:numId="4">
    <w:abstractNumId w:val="13"/>
  </w:num>
  <w:num w:numId="5">
    <w:abstractNumId w:val="12"/>
  </w:num>
  <w:num w:numId="6">
    <w:abstractNumId w:val="1"/>
  </w:num>
  <w:num w:numId="7">
    <w:abstractNumId w:val="6"/>
  </w:num>
  <w:num w:numId="8">
    <w:abstractNumId w:val="7"/>
  </w:num>
  <w:num w:numId="9">
    <w:abstractNumId w:val="2"/>
  </w:num>
  <w:num w:numId="10">
    <w:abstractNumId w:val="9"/>
  </w:num>
  <w:num w:numId="11">
    <w:abstractNumId w:val="8"/>
  </w:num>
  <w:num w:numId="12">
    <w:abstractNumId w:val="3"/>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lZmNhODdlMGIxMDc1Mjk0NzgyMzFlNDY4MjM2MDAifQ=="/>
  </w:docVars>
  <w:rsids>
    <w:rsidRoot w:val="39F16015"/>
    <w:rsid w:val="003C4B21"/>
    <w:rsid w:val="003D49F4"/>
    <w:rsid w:val="004D720D"/>
    <w:rsid w:val="00C63F9E"/>
    <w:rsid w:val="00DF1B8E"/>
    <w:rsid w:val="010C0502"/>
    <w:rsid w:val="010D654B"/>
    <w:rsid w:val="017352C6"/>
    <w:rsid w:val="01975272"/>
    <w:rsid w:val="01BF7B19"/>
    <w:rsid w:val="01DA1937"/>
    <w:rsid w:val="01DF087E"/>
    <w:rsid w:val="01E305A8"/>
    <w:rsid w:val="01E65CA9"/>
    <w:rsid w:val="01EA7217"/>
    <w:rsid w:val="01F4435B"/>
    <w:rsid w:val="02014C63"/>
    <w:rsid w:val="02233590"/>
    <w:rsid w:val="022A2F1B"/>
    <w:rsid w:val="02453B66"/>
    <w:rsid w:val="02634379"/>
    <w:rsid w:val="02755A93"/>
    <w:rsid w:val="028C64FB"/>
    <w:rsid w:val="028E7122"/>
    <w:rsid w:val="029E2A92"/>
    <w:rsid w:val="02B01E28"/>
    <w:rsid w:val="02DD6DC6"/>
    <w:rsid w:val="02EB0DDA"/>
    <w:rsid w:val="02EC685C"/>
    <w:rsid w:val="02F7430E"/>
    <w:rsid w:val="030B000A"/>
    <w:rsid w:val="030D12B9"/>
    <w:rsid w:val="03161237"/>
    <w:rsid w:val="03256636"/>
    <w:rsid w:val="03435ED0"/>
    <w:rsid w:val="03713232"/>
    <w:rsid w:val="038100D5"/>
    <w:rsid w:val="03816D4F"/>
    <w:rsid w:val="03A7370C"/>
    <w:rsid w:val="03CE23D1"/>
    <w:rsid w:val="03EC379E"/>
    <w:rsid w:val="040B51EE"/>
    <w:rsid w:val="04253FDA"/>
    <w:rsid w:val="042C71E8"/>
    <w:rsid w:val="04447FB3"/>
    <w:rsid w:val="04492F15"/>
    <w:rsid w:val="04513BA5"/>
    <w:rsid w:val="0456002C"/>
    <w:rsid w:val="04787118"/>
    <w:rsid w:val="04CA68E2"/>
    <w:rsid w:val="04DB3800"/>
    <w:rsid w:val="04E318E3"/>
    <w:rsid w:val="04FB5FC0"/>
    <w:rsid w:val="05145458"/>
    <w:rsid w:val="051F680F"/>
    <w:rsid w:val="052E228E"/>
    <w:rsid w:val="054576D8"/>
    <w:rsid w:val="05471393"/>
    <w:rsid w:val="05502363"/>
    <w:rsid w:val="05541FAD"/>
    <w:rsid w:val="055424CE"/>
    <w:rsid w:val="055A6407"/>
    <w:rsid w:val="055F62E0"/>
    <w:rsid w:val="057B3CD5"/>
    <w:rsid w:val="05972365"/>
    <w:rsid w:val="05B74BAA"/>
    <w:rsid w:val="05CD5A38"/>
    <w:rsid w:val="05F33875"/>
    <w:rsid w:val="064A2E72"/>
    <w:rsid w:val="065751F3"/>
    <w:rsid w:val="065910BF"/>
    <w:rsid w:val="065D535C"/>
    <w:rsid w:val="06765AA8"/>
    <w:rsid w:val="06A922BE"/>
    <w:rsid w:val="06AA4FFE"/>
    <w:rsid w:val="06B6300F"/>
    <w:rsid w:val="06B75EE8"/>
    <w:rsid w:val="06F306ED"/>
    <w:rsid w:val="070E6216"/>
    <w:rsid w:val="072169E8"/>
    <w:rsid w:val="072858CC"/>
    <w:rsid w:val="07565116"/>
    <w:rsid w:val="077C7554"/>
    <w:rsid w:val="07903FF7"/>
    <w:rsid w:val="07CA2ED7"/>
    <w:rsid w:val="07F6721E"/>
    <w:rsid w:val="07FA7E23"/>
    <w:rsid w:val="081741D0"/>
    <w:rsid w:val="08444D9F"/>
    <w:rsid w:val="0853529F"/>
    <w:rsid w:val="08592589"/>
    <w:rsid w:val="085952CD"/>
    <w:rsid w:val="085A7C23"/>
    <w:rsid w:val="08670428"/>
    <w:rsid w:val="087538A2"/>
    <w:rsid w:val="08B4617E"/>
    <w:rsid w:val="08BB1E7B"/>
    <w:rsid w:val="08D73FE5"/>
    <w:rsid w:val="08E01DA3"/>
    <w:rsid w:val="09161874"/>
    <w:rsid w:val="098531AD"/>
    <w:rsid w:val="09883B98"/>
    <w:rsid w:val="098F0FA5"/>
    <w:rsid w:val="099B5BD7"/>
    <w:rsid w:val="09B14312"/>
    <w:rsid w:val="09BF1E8A"/>
    <w:rsid w:val="09D310CA"/>
    <w:rsid w:val="0A0100FD"/>
    <w:rsid w:val="0A413560"/>
    <w:rsid w:val="0A6506AD"/>
    <w:rsid w:val="0A742AB5"/>
    <w:rsid w:val="0A920D6E"/>
    <w:rsid w:val="0ADD4F4A"/>
    <w:rsid w:val="0AE5406E"/>
    <w:rsid w:val="0AE65372"/>
    <w:rsid w:val="0BA51A18"/>
    <w:rsid w:val="0BB9314C"/>
    <w:rsid w:val="0BC252F1"/>
    <w:rsid w:val="0C0011BA"/>
    <w:rsid w:val="0C02670B"/>
    <w:rsid w:val="0C1237DB"/>
    <w:rsid w:val="0C1F79E5"/>
    <w:rsid w:val="0C420E51"/>
    <w:rsid w:val="0C5A7452"/>
    <w:rsid w:val="0C630D59"/>
    <w:rsid w:val="0C89471E"/>
    <w:rsid w:val="0C911B2B"/>
    <w:rsid w:val="0C9E289C"/>
    <w:rsid w:val="0CD90829"/>
    <w:rsid w:val="0CDF2E28"/>
    <w:rsid w:val="0D003464"/>
    <w:rsid w:val="0D4C342B"/>
    <w:rsid w:val="0D4C6FD9"/>
    <w:rsid w:val="0D7748AE"/>
    <w:rsid w:val="0D7D62B0"/>
    <w:rsid w:val="0D9D78B8"/>
    <w:rsid w:val="0DAB6F43"/>
    <w:rsid w:val="0DAE2F9F"/>
    <w:rsid w:val="0DCF5612"/>
    <w:rsid w:val="0DFA7DB2"/>
    <w:rsid w:val="0E033F7A"/>
    <w:rsid w:val="0E246085"/>
    <w:rsid w:val="0E2F1962"/>
    <w:rsid w:val="0E324ADA"/>
    <w:rsid w:val="0E3A1CFF"/>
    <w:rsid w:val="0E46377B"/>
    <w:rsid w:val="0E62693A"/>
    <w:rsid w:val="0E7E7DD0"/>
    <w:rsid w:val="0E960F7B"/>
    <w:rsid w:val="0E972280"/>
    <w:rsid w:val="0EA17AC9"/>
    <w:rsid w:val="0EBA2435"/>
    <w:rsid w:val="0EDF5004"/>
    <w:rsid w:val="0EE2320B"/>
    <w:rsid w:val="0EE42D5D"/>
    <w:rsid w:val="0EF4232E"/>
    <w:rsid w:val="0F20631E"/>
    <w:rsid w:val="0F262DE9"/>
    <w:rsid w:val="0F3052F1"/>
    <w:rsid w:val="0F4C207B"/>
    <w:rsid w:val="0F530435"/>
    <w:rsid w:val="0F5F7EB5"/>
    <w:rsid w:val="0F642379"/>
    <w:rsid w:val="0F6707F9"/>
    <w:rsid w:val="0F697787"/>
    <w:rsid w:val="0F6D575B"/>
    <w:rsid w:val="0F7E1C23"/>
    <w:rsid w:val="0F914696"/>
    <w:rsid w:val="0F953D44"/>
    <w:rsid w:val="101E557F"/>
    <w:rsid w:val="102E0E8F"/>
    <w:rsid w:val="104E02CD"/>
    <w:rsid w:val="10677240"/>
    <w:rsid w:val="10B647F9"/>
    <w:rsid w:val="10D242CF"/>
    <w:rsid w:val="10D53811"/>
    <w:rsid w:val="111B2D62"/>
    <w:rsid w:val="111B4D7F"/>
    <w:rsid w:val="115050FF"/>
    <w:rsid w:val="11825B20"/>
    <w:rsid w:val="119B5D70"/>
    <w:rsid w:val="11B248DD"/>
    <w:rsid w:val="11B54A9B"/>
    <w:rsid w:val="11DC1F34"/>
    <w:rsid w:val="11DF2DD0"/>
    <w:rsid w:val="11E051E0"/>
    <w:rsid w:val="11F34201"/>
    <w:rsid w:val="120C4DAA"/>
    <w:rsid w:val="12290C30"/>
    <w:rsid w:val="1235718D"/>
    <w:rsid w:val="12396910"/>
    <w:rsid w:val="123D1F30"/>
    <w:rsid w:val="12552C20"/>
    <w:rsid w:val="125606A2"/>
    <w:rsid w:val="126C2760"/>
    <w:rsid w:val="12773960"/>
    <w:rsid w:val="128E689D"/>
    <w:rsid w:val="12B31535"/>
    <w:rsid w:val="12B90746"/>
    <w:rsid w:val="130609F7"/>
    <w:rsid w:val="130A68F5"/>
    <w:rsid w:val="13122451"/>
    <w:rsid w:val="13693592"/>
    <w:rsid w:val="13695162"/>
    <w:rsid w:val="138E0F73"/>
    <w:rsid w:val="139530F9"/>
    <w:rsid w:val="13A7230D"/>
    <w:rsid w:val="13BE2E63"/>
    <w:rsid w:val="13C4117D"/>
    <w:rsid w:val="13C92B52"/>
    <w:rsid w:val="13CF716E"/>
    <w:rsid w:val="140673BA"/>
    <w:rsid w:val="14155180"/>
    <w:rsid w:val="1429347C"/>
    <w:rsid w:val="143C0B97"/>
    <w:rsid w:val="143D2B06"/>
    <w:rsid w:val="14691EDC"/>
    <w:rsid w:val="146E3FB5"/>
    <w:rsid w:val="146F0FA4"/>
    <w:rsid w:val="1478454C"/>
    <w:rsid w:val="148771E4"/>
    <w:rsid w:val="148B0641"/>
    <w:rsid w:val="14994BCF"/>
    <w:rsid w:val="14C72A25"/>
    <w:rsid w:val="14DF394F"/>
    <w:rsid w:val="14F670A8"/>
    <w:rsid w:val="15170225"/>
    <w:rsid w:val="15200185"/>
    <w:rsid w:val="1554409C"/>
    <w:rsid w:val="158D1D41"/>
    <w:rsid w:val="15AF6042"/>
    <w:rsid w:val="15D12ED7"/>
    <w:rsid w:val="15D361A8"/>
    <w:rsid w:val="15ED751A"/>
    <w:rsid w:val="15FB3539"/>
    <w:rsid w:val="15FE79D5"/>
    <w:rsid w:val="16026F29"/>
    <w:rsid w:val="16241B5D"/>
    <w:rsid w:val="164C77AA"/>
    <w:rsid w:val="164E2118"/>
    <w:rsid w:val="16526AEE"/>
    <w:rsid w:val="16531E7D"/>
    <w:rsid w:val="165321AB"/>
    <w:rsid w:val="16761466"/>
    <w:rsid w:val="167C35DD"/>
    <w:rsid w:val="16A843D2"/>
    <w:rsid w:val="16BB13FE"/>
    <w:rsid w:val="16C005E1"/>
    <w:rsid w:val="16CF58CF"/>
    <w:rsid w:val="16DD5993"/>
    <w:rsid w:val="16E7123F"/>
    <w:rsid w:val="171C0D51"/>
    <w:rsid w:val="17231CAA"/>
    <w:rsid w:val="17761009"/>
    <w:rsid w:val="1784450F"/>
    <w:rsid w:val="17A53209"/>
    <w:rsid w:val="17AE5239"/>
    <w:rsid w:val="17C15C05"/>
    <w:rsid w:val="17C95FBA"/>
    <w:rsid w:val="17D2397F"/>
    <w:rsid w:val="17D271A5"/>
    <w:rsid w:val="18166994"/>
    <w:rsid w:val="181A03F2"/>
    <w:rsid w:val="181F1822"/>
    <w:rsid w:val="18210031"/>
    <w:rsid w:val="1822066F"/>
    <w:rsid w:val="185649B3"/>
    <w:rsid w:val="18565113"/>
    <w:rsid w:val="1865341D"/>
    <w:rsid w:val="18702526"/>
    <w:rsid w:val="187E50BF"/>
    <w:rsid w:val="187F72BD"/>
    <w:rsid w:val="188A20AD"/>
    <w:rsid w:val="18E86CED"/>
    <w:rsid w:val="19237DCB"/>
    <w:rsid w:val="19696774"/>
    <w:rsid w:val="19A17550"/>
    <w:rsid w:val="19AE52C2"/>
    <w:rsid w:val="19B6063F"/>
    <w:rsid w:val="19C24451"/>
    <w:rsid w:val="19E40BCA"/>
    <w:rsid w:val="1A0538E9"/>
    <w:rsid w:val="1A0E6C42"/>
    <w:rsid w:val="1A4274B5"/>
    <w:rsid w:val="1A6C44A8"/>
    <w:rsid w:val="1A6F1FEC"/>
    <w:rsid w:val="1A7A6085"/>
    <w:rsid w:val="1A7F13E7"/>
    <w:rsid w:val="1A821E92"/>
    <w:rsid w:val="1A953AA2"/>
    <w:rsid w:val="1AB62205"/>
    <w:rsid w:val="1B00735C"/>
    <w:rsid w:val="1B0A7C6C"/>
    <w:rsid w:val="1B0E0455"/>
    <w:rsid w:val="1B15245C"/>
    <w:rsid w:val="1B7262F1"/>
    <w:rsid w:val="1B884CB7"/>
    <w:rsid w:val="1B920E49"/>
    <w:rsid w:val="1B977736"/>
    <w:rsid w:val="1BAB527C"/>
    <w:rsid w:val="1BD318B3"/>
    <w:rsid w:val="1BF223F6"/>
    <w:rsid w:val="1C182059"/>
    <w:rsid w:val="1C1F0E48"/>
    <w:rsid w:val="1C3B2AED"/>
    <w:rsid w:val="1C8B0628"/>
    <w:rsid w:val="1C9828F5"/>
    <w:rsid w:val="1CBB4733"/>
    <w:rsid w:val="1CBF78B4"/>
    <w:rsid w:val="1CC80EC6"/>
    <w:rsid w:val="1CCA43C9"/>
    <w:rsid w:val="1CCD60E9"/>
    <w:rsid w:val="1CE6391A"/>
    <w:rsid w:val="1CE63CF9"/>
    <w:rsid w:val="1CEC280D"/>
    <w:rsid w:val="1CEF453F"/>
    <w:rsid w:val="1CF06807"/>
    <w:rsid w:val="1D033941"/>
    <w:rsid w:val="1D0D78A7"/>
    <w:rsid w:val="1D381F16"/>
    <w:rsid w:val="1D3E5AE1"/>
    <w:rsid w:val="1D40788B"/>
    <w:rsid w:val="1D8E0EC0"/>
    <w:rsid w:val="1D952165"/>
    <w:rsid w:val="1DAC5C38"/>
    <w:rsid w:val="1DCF01E8"/>
    <w:rsid w:val="1DD41F50"/>
    <w:rsid w:val="1DE01993"/>
    <w:rsid w:val="1DFC4721"/>
    <w:rsid w:val="1DFE2229"/>
    <w:rsid w:val="1E0D155D"/>
    <w:rsid w:val="1E0F6C5F"/>
    <w:rsid w:val="1E2123EB"/>
    <w:rsid w:val="1E2A528A"/>
    <w:rsid w:val="1E4D0963"/>
    <w:rsid w:val="1E5E4B58"/>
    <w:rsid w:val="1E6B2F5C"/>
    <w:rsid w:val="1E7B2C44"/>
    <w:rsid w:val="1EA0284E"/>
    <w:rsid w:val="1EA06BBB"/>
    <w:rsid w:val="1EC078F8"/>
    <w:rsid w:val="1EE737F3"/>
    <w:rsid w:val="1EEC53F8"/>
    <w:rsid w:val="1EF905BE"/>
    <w:rsid w:val="1F0957C1"/>
    <w:rsid w:val="1F251A49"/>
    <w:rsid w:val="1F272DE3"/>
    <w:rsid w:val="1F330341"/>
    <w:rsid w:val="1F356A41"/>
    <w:rsid w:val="1F4934E4"/>
    <w:rsid w:val="1F5155C6"/>
    <w:rsid w:val="1F607812"/>
    <w:rsid w:val="1F66378D"/>
    <w:rsid w:val="1F682713"/>
    <w:rsid w:val="1F946598"/>
    <w:rsid w:val="1FC11EA9"/>
    <w:rsid w:val="1FC2216B"/>
    <w:rsid w:val="1FC513E7"/>
    <w:rsid w:val="1FEA61C7"/>
    <w:rsid w:val="1FEC48D3"/>
    <w:rsid w:val="1FEC76AD"/>
    <w:rsid w:val="200A5B20"/>
    <w:rsid w:val="200D4526"/>
    <w:rsid w:val="200D799B"/>
    <w:rsid w:val="205729C5"/>
    <w:rsid w:val="20642787"/>
    <w:rsid w:val="206B7D6A"/>
    <w:rsid w:val="209059F9"/>
    <w:rsid w:val="20C813D6"/>
    <w:rsid w:val="20D538AC"/>
    <w:rsid w:val="20F47035"/>
    <w:rsid w:val="21346507"/>
    <w:rsid w:val="213B1715"/>
    <w:rsid w:val="21477726"/>
    <w:rsid w:val="21620E64"/>
    <w:rsid w:val="217E3234"/>
    <w:rsid w:val="21801C1F"/>
    <w:rsid w:val="21A97250"/>
    <w:rsid w:val="21BD09EA"/>
    <w:rsid w:val="21D02FC7"/>
    <w:rsid w:val="21D544E9"/>
    <w:rsid w:val="21DC7C19"/>
    <w:rsid w:val="21E819B8"/>
    <w:rsid w:val="22071169"/>
    <w:rsid w:val="220821C8"/>
    <w:rsid w:val="223363F5"/>
    <w:rsid w:val="223906CF"/>
    <w:rsid w:val="223919ED"/>
    <w:rsid w:val="223B6B95"/>
    <w:rsid w:val="224131C1"/>
    <w:rsid w:val="228274AE"/>
    <w:rsid w:val="229049BB"/>
    <w:rsid w:val="22974956"/>
    <w:rsid w:val="22BC2D38"/>
    <w:rsid w:val="22CC3FAD"/>
    <w:rsid w:val="22D66FF2"/>
    <w:rsid w:val="22DE117B"/>
    <w:rsid w:val="22E57F9E"/>
    <w:rsid w:val="22F85279"/>
    <w:rsid w:val="22FF4879"/>
    <w:rsid w:val="230B1E6C"/>
    <w:rsid w:val="231B17A8"/>
    <w:rsid w:val="2321399F"/>
    <w:rsid w:val="233B4DCB"/>
    <w:rsid w:val="234052E2"/>
    <w:rsid w:val="234E5CCC"/>
    <w:rsid w:val="23547806"/>
    <w:rsid w:val="235A4846"/>
    <w:rsid w:val="23781B21"/>
    <w:rsid w:val="23DD6465"/>
    <w:rsid w:val="24424E18"/>
    <w:rsid w:val="247B4B68"/>
    <w:rsid w:val="24952361"/>
    <w:rsid w:val="24976644"/>
    <w:rsid w:val="24DC3E0A"/>
    <w:rsid w:val="24E013A4"/>
    <w:rsid w:val="24E22490"/>
    <w:rsid w:val="24E84399"/>
    <w:rsid w:val="24F14CA9"/>
    <w:rsid w:val="24FD2909"/>
    <w:rsid w:val="25420DC4"/>
    <w:rsid w:val="25446CB1"/>
    <w:rsid w:val="256A59F3"/>
    <w:rsid w:val="25702FF9"/>
    <w:rsid w:val="2576388D"/>
    <w:rsid w:val="25847E20"/>
    <w:rsid w:val="259B2F43"/>
    <w:rsid w:val="25BE0B79"/>
    <w:rsid w:val="25DF7E8B"/>
    <w:rsid w:val="25E05437"/>
    <w:rsid w:val="25F57045"/>
    <w:rsid w:val="261C5A23"/>
    <w:rsid w:val="26567DF3"/>
    <w:rsid w:val="26793BE5"/>
    <w:rsid w:val="26844E74"/>
    <w:rsid w:val="268D703C"/>
    <w:rsid w:val="26935AE1"/>
    <w:rsid w:val="26946721"/>
    <w:rsid w:val="26E00AFE"/>
    <w:rsid w:val="26E543C0"/>
    <w:rsid w:val="27135C28"/>
    <w:rsid w:val="27544493"/>
    <w:rsid w:val="27663A80"/>
    <w:rsid w:val="276E106B"/>
    <w:rsid w:val="27AD3C28"/>
    <w:rsid w:val="27B43ACC"/>
    <w:rsid w:val="27C272BD"/>
    <w:rsid w:val="27DD6975"/>
    <w:rsid w:val="27FB3942"/>
    <w:rsid w:val="27FC1E61"/>
    <w:rsid w:val="280A007C"/>
    <w:rsid w:val="28193077"/>
    <w:rsid w:val="2839380C"/>
    <w:rsid w:val="284C5E4A"/>
    <w:rsid w:val="28520495"/>
    <w:rsid w:val="28564493"/>
    <w:rsid w:val="28726438"/>
    <w:rsid w:val="287F3F80"/>
    <w:rsid w:val="28A36CB5"/>
    <w:rsid w:val="28C706D2"/>
    <w:rsid w:val="28CB65FE"/>
    <w:rsid w:val="28F70669"/>
    <w:rsid w:val="28FE4149"/>
    <w:rsid w:val="290A232D"/>
    <w:rsid w:val="290B259E"/>
    <w:rsid w:val="29250FED"/>
    <w:rsid w:val="292F2731"/>
    <w:rsid w:val="2956295F"/>
    <w:rsid w:val="296C2904"/>
    <w:rsid w:val="29A63D54"/>
    <w:rsid w:val="29B11D74"/>
    <w:rsid w:val="29B35110"/>
    <w:rsid w:val="29BE7AA7"/>
    <w:rsid w:val="29C33313"/>
    <w:rsid w:val="29C70DEF"/>
    <w:rsid w:val="29E65846"/>
    <w:rsid w:val="2A072B1B"/>
    <w:rsid w:val="2A0D63FD"/>
    <w:rsid w:val="2A1C0109"/>
    <w:rsid w:val="2A5F27E7"/>
    <w:rsid w:val="2A68414C"/>
    <w:rsid w:val="2A7C15B5"/>
    <w:rsid w:val="2AC670C5"/>
    <w:rsid w:val="2AD748CF"/>
    <w:rsid w:val="2AE85674"/>
    <w:rsid w:val="2AF23A05"/>
    <w:rsid w:val="2B597F39"/>
    <w:rsid w:val="2B715282"/>
    <w:rsid w:val="2BB90718"/>
    <w:rsid w:val="2BCE1BDE"/>
    <w:rsid w:val="2BD04ED8"/>
    <w:rsid w:val="2BF54442"/>
    <w:rsid w:val="2C090FCE"/>
    <w:rsid w:val="2C0C79D5"/>
    <w:rsid w:val="2C545BC7"/>
    <w:rsid w:val="2C5D3253"/>
    <w:rsid w:val="2CE91E27"/>
    <w:rsid w:val="2CEB405C"/>
    <w:rsid w:val="2D364B93"/>
    <w:rsid w:val="2D3D1A3A"/>
    <w:rsid w:val="2D3E57C8"/>
    <w:rsid w:val="2D4609D6"/>
    <w:rsid w:val="2D6E658F"/>
    <w:rsid w:val="2D900586"/>
    <w:rsid w:val="2DA21723"/>
    <w:rsid w:val="2DCF50B7"/>
    <w:rsid w:val="2DD64A42"/>
    <w:rsid w:val="2DF74F76"/>
    <w:rsid w:val="2E0A1A19"/>
    <w:rsid w:val="2E14281A"/>
    <w:rsid w:val="2E3063D5"/>
    <w:rsid w:val="2E597998"/>
    <w:rsid w:val="2E5E5C1F"/>
    <w:rsid w:val="2E9E0C07"/>
    <w:rsid w:val="2EB922CE"/>
    <w:rsid w:val="2ED026DB"/>
    <w:rsid w:val="2ED15D2F"/>
    <w:rsid w:val="2F0F5A43"/>
    <w:rsid w:val="2F1A3DD4"/>
    <w:rsid w:val="2F352725"/>
    <w:rsid w:val="2F397228"/>
    <w:rsid w:val="2F70752B"/>
    <w:rsid w:val="2F7D000B"/>
    <w:rsid w:val="2FB36551"/>
    <w:rsid w:val="2FDA2024"/>
    <w:rsid w:val="30073ABF"/>
    <w:rsid w:val="30161F54"/>
    <w:rsid w:val="301A024A"/>
    <w:rsid w:val="301C48FC"/>
    <w:rsid w:val="301D237D"/>
    <w:rsid w:val="30233650"/>
    <w:rsid w:val="30263F71"/>
    <w:rsid w:val="302B4F16"/>
    <w:rsid w:val="302D0419"/>
    <w:rsid w:val="30642AF1"/>
    <w:rsid w:val="306E51F2"/>
    <w:rsid w:val="30AF613B"/>
    <w:rsid w:val="30B55C11"/>
    <w:rsid w:val="30F77AE2"/>
    <w:rsid w:val="3108391A"/>
    <w:rsid w:val="312456BF"/>
    <w:rsid w:val="316E7EDF"/>
    <w:rsid w:val="31937B62"/>
    <w:rsid w:val="31D574D0"/>
    <w:rsid w:val="321B5023"/>
    <w:rsid w:val="323077C6"/>
    <w:rsid w:val="324C0285"/>
    <w:rsid w:val="32807969"/>
    <w:rsid w:val="32917273"/>
    <w:rsid w:val="32E60304"/>
    <w:rsid w:val="32EF2E0A"/>
    <w:rsid w:val="32F47928"/>
    <w:rsid w:val="33111651"/>
    <w:rsid w:val="33121023"/>
    <w:rsid w:val="33134959"/>
    <w:rsid w:val="334A7032"/>
    <w:rsid w:val="339566D7"/>
    <w:rsid w:val="33964F33"/>
    <w:rsid w:val="33987FBA"/>
    <w:rsid w:val="339D5BD2"/>
    <w:rsid w:val="33A9069D"/>
    <w:rsid w:val="33B63EC8"/>
    <w:rsid w:val="33C0792A"/>
    <w:rsid w:val="33C84CBD"/>
    <w:rsid w:val="33CF2B0E"/>
    <w:rsid w:val="33D246F6"/>
    <w:rsid w:val="33D9561C"/>
    <w:rsid w:val="33DC7DA6"/>
    <w:rsid w:val="33E94FE0"/>
    <w:rsid w:val="33F407FF"/>
    <w:rsid w:val="343110A0"/>
    <w:rsid w:val="34463A51"/>
    <w:rsid w:val="344B530E"/>
    <w:rsid w:val="344D15FB"/>
    <w:rsid w:val="345614B9"/>
    <w:rsid w:val="346E5C12"/>
    <w:rsid w:val="347F4EB0"/>
    <w:rsid w:val="34836482"/>
    <w:rsid w:val="34B52A18"/>
    <w:rsid w:val="34BE410B"/>
    <w:rsid w:val="34C71F3F"/>
    <w:rsid w:val="34D80D6B"/>
    <w:rsid w:val="34DF2FE2"/>
    <w:rsid w:val="350D68A4"/>
    <w:rsid w:val="350F0980"/>
    <w:rsid w:val="351764EE"/>
    <w:rsid w:val="35215623"/>
    <w:rsid w:val="3530689D"/>
    <w:rsid w:val="353820E0"/>
    <w:rsid w:val="35726F83"/>
    <w:rsid w:val="35987B7B"/>
    <w:rsid w:val="35A3178F"/>
    <w:rsid w:val="35A95C9C"/>
    <w:rsid w:val="35B47D0F"/>
    <w:rsid w:val="35DF02EF"/>
    <w:rsid w:val="35E33F92"/>
    <w:rsid w:val="35E46CB8"/>
    <w:rsid w:val="361E5A4A"/>
    <w:rsid w:val="369A64A4"/>
    <w:rsid w:val="36C605ED"/>
    <w:rsid w:val="36D542C3"/>
    <w:rsid w:val="36E94025"/>
    <w:rsid w:val="370171F5"/>
    <w:rsid w:val="374643BF"/>
    <w:rsid w:val="374C4B42"/>
    <w:rsid w:val="37553E76"/>
    <w:rsid w:val="37670687"/>
    <w:rsid w:val="376C6257"/>
    <w:rsid w:val="37751A06"/>
    <w:rsid w:val="37BD1A7F"/>
    <w:rsid w:val="37C4673A"/>
    <w:rsid w:val="37E56B2E"/>
    <w:rsid w:val="37EB7B3F"/>
    <w:rsid w:val="381A4397"/>
    <w:rsid w:val="38455ACD"/>
    <w:rsid w:val="38542969"/>
    <w:rsid w:val="38712827"/>
    <w:rsid w:val="38834C85"/>
    <w:rsid w:val="38AD4243"/>
    <w:rsid w:val="38C05E29"/>
    <w:rsid w:val="38DA0B62"/>
    <w:rsid w:val="38FF5FAB"/>
    <w:rsid w:val="39251919"/>
    <w:rsid w:val="393F6939"/>
    <w:rsid w:val="39487007"/>
    <w:rsid w:val="39A43E9E"/>
    <w:rsid w:val="39B03534"/>
    <w:rsid w:val="39B244B8"/>
    <w:rsid w:val="39C22DE4"/>
    <w:rsid w:val="39CD5D7A"/>
    <w:rsid w:val="39F0651B"/>
    <w:rsid w:val="39F16015"/>
    <w:rsid w:val="39FB0130"/>
    <w:rsid w:val="3A0A3189"/>
    <w:rsid w:val="3A0C2FBD"/>
    <w:rsid w:val="3A234F15"/>
    <w:rsid w:val="3A4606E3"/>
    <w:rsid w:val="3A572A48"/>
    <w:rsid w:val="3A7E4E86"/>
    <w:rsid w:val="3A844811"/>
    <w:rsid w:val="3A861E43"/>
    <w:rsid w:val="3A9D7939"/>
    <w:rsid w:val="3AB662C6"/>
    <w:rsid w:val="3AC60AFD"/>
    <w:rsid w:val="3ADC741E"/>
    <w:rsid w:val="3AEB5566"/>
    <w:rsid w:val="3B056063"/>
    <w:rsid w:val="3B0752BB"/>
    <w:rsid w:val="3B2E1851"/>
    <w:rsid w:val="3B4007CD"/>
    <w:rsid w:val="3B553864"/>
    <w:rsid w:val="3B564B69"/>
    <w:rsid w:val="3B5725EA"/>
    <w:rsid w:val="3B5C15F8"/>
    <w:rsid w:val="3B5F2B1F"/>
    <w:rsid w:val="3B6B5FCD"/>
    <w:rsid w:val="3B70394A"/>
    <w:rsid w:val="3B75012B"/>
    <w:rsid w:val="3B77509E"/>
    <w:rsid w:val="3B927D15"/>
    <w:rsid w:val="3B993054"/>
    <w:rsid w:val="3B9D1A5A"/>
    <w:rsid w:val="3BA02506"/>
    <w:rsid w:val="3BC02F13"/>
    <w:rsid w:val="3BDF7DBF"/>
    <w:rsid w:val="3BEB698B"/>
    <w:rsid w:val="3BED2ADE"/>
    <w:rsid w:val="3C1557B6"/>
    <w:rsid w:val="3C353CE7"/>
    <w:rsid w:val="3C5E53AF"/>
    <w:rsid w:val="3C8C7AEE"/>
    <w:rsid w:val="3C97441D"/>
    <w:rsid w:val="3C9B60FA"/>
    <w:rsid w:val="3CC03DB6"/>
    <w:rsid w:val="3CE9344A"/>
    <w:rsid w:val="3CFE3C20"/>
    <w:rsid w:val="3D007B53"/>
    <w:rsid w:val="3D38727D"/>
    <w:rsid w:val="3D5D3C39"/>
    <w:rsid w:val="3D623944"/>
    <w:rsid w:val="3D8C40DD"/>
    <w:rsid w:val="3D947997"/>
    <w:rsid w:val="3DA33307"/>
    <w:rsid w:val="3DB44648"/>
    <w:rsid w:val="3DD37A74"/>
    <w:rsid w:val="3DD40558"/>
    <w:rsid w:val="3DDF6D04"/>
    <w:rsid w:val="3E106FC2"/>
    <w:rsid w:val="3E1F757A"/>
    <w:rsid w:val="3E383B83"/>
    <w:rsid w:val="3E3F0633"/>
    <w:rsid w:val="3E4B7B72"/>
    <w:rsid w:val="3E756A36"/>
    <w:rsid w:val="3E7D754F"/>
    <w:rsid w:val="3E7F2E17"/>
    <w:rsid w:val="3EAB715E"/>
    <w:rsid w:val="3EB43064"/>
    <w:rsid w:val="3EC13ECC"/>
    <w:rsid w:val="3ECC4B13"/>
    <w:rsid w:val="3EE51CD9"/>
    <w:rsid w:val="3EFA6251"/>
    <w:rsid w:val="3F034249"/>
    <w:rsid w:val="3F1B2C95"/>
    <w:rsid w:val="3F1F72CA"/>
    <w:rsid w:val="3F30526F"/>
    <w:rsid w:val="3F495844"/>
    <w:rsid w:val="3F846E42"/>
    <w:rsid w:val="3FAA093C"/>
    <w:rsid w:val="3FB50A00"/>
    <w:rsid w:val="3FB848CA"/>
    <w:rsid w:val="3FC456AD"/>
    <w:rsid w:val="3FC90D91"/>
    <w:rsid w:val="3FCF5C3C"/>
    <w:rsid w:val="3FD17BC1"/>
    <w:rsid w:val="3FDF3CD8"/>
    <w:rsid w:val="3FE32840"/>
    <w:rsid w:val="3FF403FA"/>
    <w:rsid w:val="4006103B"/>
    <w:rsid w:val="403411E4"/>
    <w:rsid w:val="4034639D"/>
    <w:rsid w:val="406C796F"/>
    <w:rsid w:val="408137D6"/>
    <w:rsid w:val="40A24C37"/>
    <w:rsid w:val="40BB71EE"/>
    <w:rsid w:val="40D27DE8"/>
    <w:rsid w:val="40F07398"/>
    <w:rsid w:val="412E144D"/>
    <w:rsid w:val="4148218A"/>
    <w:rsid w:val="414C7ECC"/>
    <w:rsid w:val="41626179"/>
    <w:rsid w:val="418561EB"/>
    <w:rsid w:val="41933FD4"/>
    <w:rsid w:val="41A1392E"/>
    <w:rsid w:val="41A13939"/>
    <w:rsid w:val="41A73FD7"/>
    <w:rsid w:val="41A847FE"/>
    <w:rsid w:val="41AD7A52"/>
    <w:rsid w:val="41D167BE"/>
    <w:rsid w:val="41D47692"/>
    <w:rsid w:val="41DD5436"/>
    <w:rsid w:val="41E71F48"/>
    <w:rsid w:val="41EC49D0"/>
    <w:rsid w:val="4205365D"/>
    <w:rsid w:val="42117470"/>
    <w:rsid w:val="421310E8"/>
    <w:rsid w:val="421D24FA"/>
    <w:rsid w:val="421D2BB5"/>
    <w:rsid w:val="425C68A4"/>
    <w:rsid w:val="42BF4F03"/>
    <w:rsid w:val="42C30598"/>
    <w:rsid w:val="42FB4E6F"/>
    <w:rsid w:val="4309548A"/>
    <w:rsid w:val="432557EC"/>
    <w:rsid w:val="433A3A5A"/>
    <w:rsid w:val="43673C46"/>
    <w:rsid w:val="436D32FA"/>
    <w:rsid w:val="43B226E8"/>
    <w:rsid w:val="43B655A2"/>
    <w:rsid w:val="43F4670C"/>
    <w:rsid w:val="43FE4A9D"/>
    <w:rsid w:val="442C0A64"/>
    <w:rsid w:val="44410A09"/>
    <w:rsid w:val="444A2D64"/>
    <w:rsid w:val="44546EE9"/>
    <w:rsid w:val="44831473"/>
    <w:rsid w:val="448A687F"/>
    <w:rsid w:val="44A51209"/>
    <w:rsid w:val="44A5514E"/>
    <w:rsid w:val="44B042CE"/>
    <w:rsid w:val="44CF12C8"/>
    <w:rsid w:val="44E53C46"/>
    <w:rsid w:val="450A0B8C"/>
    <w:rsid w:val="45115585"/>
    <w:rsid w:val="45131C52"/>
    <w:rsid w:val="454937BA"/>
    <w:rsid w:val="455C6204"/>
    <w:rsid w:val="45677D60"/>
    <w:rsid w:val="45737BDF"/>
    <w:rsid w:val="45757B02"/>
    <w:rsid w:val="4582269B"/>
    <w:rsid w:val="45823382"/>
    <w:rsid w:val="458A7911"/>
    <w:rsid w:val="45BD6A29"/>
    <w:rsid w:val="45F93AF0"/>
    <w:rsid w:val="46177DFD"/>
    <w:rsid w:val="46234A2B"/>
    <w:rsid w:val="46480997"/>
    <w:rsid w:val="464F66B7"/>
    <w:rsid w:val="468F3AD1"/>
    <w:rsid w:val="469F0499"/>
    <w:rsid w:val="470C444A"/>
    <w:rsid w:val="470D43A0"/>
    <w:rsid w:val="471B6F39"/>
    <w:rsid w:val="472268C3"/>
    <w:rsid w:val="472C13D1"/>
    <w:rsid w:val="473429D4"/>
    <w:rsid w:val="4735425F"/>
    <w:rsid w:val="474657FE"/>
    <w:rsid w:val="47555600"/>
    <w:rsid w:val="47626028"/>
    <w:rsid w:val="477B49D4"/>
    <w:rsid w:val="47A45888"/>
    <w:rsid w:val="47C076C6"/>
    <w:rsid w:val="47C22D66"/>
    <w:rsid w:val="47C608BA"/>
    <w:rsid w:val="47C7730F"/>
    <w:rsid w:val="47D93B3C"/>
    <w:rsid w:val="47EF7803"/>
    <w:rsid w:val="48357040"/>
    <w:rsid w:val="4849586A"/>
    <w:rsid w:val="48503071"/>
    <w:rsid w:val="4851260D"/>
    <w:rsid w:val="48765ABB"/>
    <w:rsid w:val="48804281"/>
    <w:rsid w:val="488F1019"/>
    <w:rsid w:val="48A04659"/>
    <w:rsid w:val="48A74206"/>
    <w:rsid w:val="48B028BF"/>
    <w:rsid w:val="48C00F6B"/>
    <w:rsid w:val="48D13C35"/>
    <w:rsid w:val="48E51A62"/>
    <w:rsid w:val="48ED1A5D"/>
    <w:rsid w:val="48FD2CED"/>
    <w:rsid w:val="49352AAB"/>
    <w:rsid w:val="493E28E4"/>
    <w:rsid w:val="49495EC9"/>
    <w:rsid w:val="4955555E"/>
    <w:rsid w:val="49774158"/>
    <w:rsid w:val="498966DE"/>
    <w:rsid w:val="49984538"/>
    <w:rsid w:val="49B51131"/>
    <w:rsid w:val="49BD3C89"/>
    <w:rsid w:val="49C01457"/>
    <w:rsid w:val="49C51AD6"/>
    <w:rsid w:val="49E366AE"/>
    <w:rsid w:val="49F0795B"/>
    <w:rsid w:val="49F20EE5"/>
    <w:rsid w:val="49F30B75"/>
    <w:rsid w:val="4A0766C9"/>
    <w:rsid w:val="4A1E1CDA"/>
    <w:rsid w:val="4A2E73B2"/>
    <w:rsid w:val="4A317863"/>
    <w:rsid w:val="4A5F5EDB"/>
    <w:rsid w:val="4A625BB4"/>
    <w:rsid w:val="4A6A3B47"/>
    <w:rsid w:val="4A941591"/>
    <w:rsid w:val="4A9A58AC"/>
    <w:rsid w:val="4AA56185"/>
    <w:rsid w:val="4ABA2E1D"/>
    <w:rsid w:val="4B3237EB"/>
    <w:rsid w:val="4B3E43C0"/>
    <w:rsid w:val="4B4F20F9"/>
    <w:rsid w:val="4B7B46F0"/>
    <w:rsid w:val="4BBD5522"/>
    <w:rsid w:val="4BBF3B21"/>
    <w:rsid w:val="4BC04353"/>
    <w:rsid w:val="4BC214A2"/>
    <w:rsid w:val="4BF21D7C"/>
    <w:rsid w:val="4BFE4527"/>
    <w:rsid w:val="4C053BB0"/>
    <w:rsid w:val="4C265CC6"/>
    <w:rsid w:val="4C4D523C"/>
    <w:rsid w:val="4C675DE6"/>
    <w:rsid w:val="4C8A729F"/>
    <w:rsid w:val="4C8F58B3"/>
    <w:rsid w:val="4CBA71E0"/>
    <w:rsid w:val="4CC103F0"/>
    <w:rsid w:val="4CD96D1A"/>
    <w:rsid w:val="4CE27C75"/>
    <w:rsid w:val="4CE64136"/>
    <w:rsid w:val="4CE82EBC"/>
    <w:rsid w:val="4D09071B"/>
    <w:rsid w:val="4D2D012D"/>
    <w:rsid w:val="4D322037"/>
    <w:rsid w:val="4D35565B"/>
    <w:rsid w:val="4D3A7CC9"/>
    <w:rsid w:val="4D453A21"/>
    <w:rsid w:val="4D5A40F4"/>
    <w:rsid w:val="4D5B106D"/>
    <w:rsid w:val="4D601FB1"/>
    <w:rsid w:val="4D7A191D"/>
    <w:rsid w:val="4D814CE1"/>
    <w:rsid w:val="4DA60576"/>
    <w:rsid w:val="4DD76D6F"/>
    <w:rsid w:val="4DE44EBC"/>
    <w:rsid w:val="4E0D0129"/>
    <w:rsid w:val="4E226D28"/>
    <w:rsid w:val="4E331BD9"/>
    <w:rsid w:val="4E4F3AF2"/>
    <w:rsid w:val="4E5F4707"/>
    <w:rsid w:val="4E803ED7"/>
    <w:rsid w:val="4E846CE7"/>
    <w:rsid w:val="4EB12A71"/>
    <w:rsid w:val="4EDF5575"/>
    <w:rsid w:val="4EEE5172"/>
    <w:rsid w:val="4F1A33B7"/>
    <w:rsid w:val="4F1F148C"/>
    <w:rsid w:val="4F275616"/>
    <w:rsid w:val="4F3007F7"/>
    <w:rsid w:val="4F3062A5"/>
    <w:rsid w:val="4F31425D"/>
    <w:rsid w:val="4F420554"/>
    <w:rsid w:val="4F696084"/>
    <w:rsid w:val="4F797BAB"/>
    <w:rsid w:val="4F925019"/>
    <w:rsid w:val="4F975561"/>
    <w:rsid w:val="4F9C201E"/>
    <w:rsid w:val="4FB229E9"/>
    <w:rsid w:val="4FCC3EF9"/>
    <w:rsid w:val="4FEC61F9"/>
    <w:rsid w:val="4FF86042"/>
    <w:rsid w:val="4FF9667E"/>
    <w:rsid w:val="501A1A7A"/>
    <w:rsid w:val="50233325"/>
    <w:rsid w:val="502718C3"/>
    <w:rsid w:val="505179D5"/>
    <w:rsid w:val="50671B79"/>
    <w:rsid w:val="508B2913"/>
    <w:rsid w:val="509B22D6"/>
    <w:rsid w:val="509F4119"/>
    <w:rsid w:val="50AB003F"/>
    <w:rsid w:val="50AF7D6F"/>
    <w:rsid w:val="50D30FAC"/>
    <w:rsid w:val="50EE1A52"/>
    <w:rsid w:val="51000A73"/>
    <w:rsid w:val="51062C1B"/>
    <w:rsid w:val="511A4EA0"/>
    <w:rsid w:val="512A02E4"/>
    <w:rsid w:val="51317043"/>
    <w:rsid w:val="513F39D2"/>
    <w:rsid w:val="51964985"/>
    <w:rsid w:val="51B82F1C"/>
    <w:rsid w:val="51BD0E26"/>
    <w:rsid w:val="520778F6"/>
    <w:rsid w:val="521D69FC"/>
    <w:rsid w:val="52362EA4"/>
    <w:rsid w:val="52671844"/>
    <w:rsid w:val="527B2466"/>
    <w:rsid w:val="52C23F57"/>
    <w:rsid w:val="52C51BE9"/>
    <w:rsid w:val="52CE44E6"/>
    <w:rsid w:val="52CF4836"/>
    <w:rsid w:val="52F01600"/>
    <w:rsid w:val="52F20089"/>
    <w:rsid w:val="53124FDB"/>
    <w:rsid w:val="531F686F"/>
    <w:rsid w:val="5335026B"/>
    <w:rsid w:val="533B56AA"/>
    <w:rsid w:val="5342371F"/>
    <w:rsid w:val="53463BFC"/>
    <w:rsid w:val="53614D5A"/>
    <w:rsid w:val="538C7C81"/>
    <w:rsid w:val="538F45A4"/>
    <w:rsid w:val="53A35FB7"/>
    <w:rsid w:val="53AE168A"/>
    <w:rsid w:val="540F6177"/>
    <w:rsid w:val="541303D5"/>
    <w:rsid w:val="543737DA"/>
    <w:rsid w:val="545C1D7C"/>
    <w:rsid w:val="545F66E9"/>
    <w:rsid w:val="548079D5"/>
    <w:rsid w:val="54A34230"/>
    <w:rsid w:val="54AF0B23"/>
    <w:rsid w:val="54B773D8"/>
    <w:rsid w:val="54D6013E"/>
    <w:rsid w:val="54E04737"/>
    <w:rsid w:val="54E253E0"/>
    <w:rsid w:val="54FD1AC9"/>
    <w:rsid w:val="551538D8"/>
    <w:rsid w:val="556077FC"/>
    <w:rsid w:val="55627D22"/>
    <w:rsid w:val="557D7F01"/>
    <w:rsid w:val="558B30E5"/>
    <w:rsid w:val="55AF78A6"/>
    <w:rsid w:val="55C51FC5"/>
    <w:rsid w:val="55D046D2"/>
    <w:rsid w:val="56010E3E"/>
    <w:rsid w:val="560C01BB"/>
    <w:rsid w:val="561A0B33"/>
    <w:rsid w:val="56AC4DB0"/>
    <w:rsid w:val="56BC4265"/>
    <w:rsid w:val="56BF6FF0"/>
    <w:rsid w:val="56D26C7F"/>
    <w:rsid w:val="56E0482D"/>
    <w:rsid w:val="57720D7B"/>
    <w:rsid w:val="577F009D"/>
    <w:rsid w:val="579221F0"/>
    <w:rsid w:val="57931F59"/>
    <w:rsid w:val="57C24823"/>
    <w:rsid w:val="57C807F4"/>
    <w:rsid w:val="57DB56EB"/>
    <w:rsid w:val="587A6C75"/>
    <w:rsid w:val="58923090"/>
    <w:rsid w:val="58A13AA3"/>
    <w:rsid w:val="58CE3242"/>
    <w:rsid w:val="58E575E4"/>
    <w:rsid w:val="59353EEB"/>
    <w:rsid w:val="59411F9C"/>
    <w:rsid w:val="595E51D7"/>
    <w:rsid w:val="598E57BD"/>
    <w:rsid w:val="599C7113"/>
    <w:rsid w:val="59C772F1"/>
    <w:rsid w:val="59E35ED0"/>
    <w:rsid w:val="59E94B19"/>
    <w:rsid w:val="59FC0431"/>
    <w:rsid w:val="5A12412E"/>
    <w:rsid w:val="5A3F7DB6"/>
    <w:rsid w:val="5A5F6E50"/>
    <w:rsid w:val="5A713DAF"/>
    <w:rsid w:val="5A9A4363"/>
    <w:rsid w:val="5AAB14CE"/>
    <w:rsid w:val="5AAD49D1"/>
    <w:rsid w:val="5AB83E23"/>
    <w:rsid w:val="5ABF3065"/>
    <w:rsid w:val="5AC828C5"/>
    <w:rsid w:val="5AE00C8C"/>
    <w:rsid w:val="5B030FC4"/>
    <w:rsid w:val="5B0E2582"/>
    <w:rsid w:val="5B1369AF"/>
    <w:rsid w:val="5B424EC5"/>
    <w:rsid w:val="5B653E6E"/>
    <w:rsid w:val="5B6E15E4"/>
    <w:rsid w:val="5B790649"/>
    <w:rsid w:val="5B81476F"/>
    <w:rsid w:val="5BA5726A"/>
    <w:rsid w:val="5BBF5B13"/>
    <w:rsid w:val="5BC94674"/>
    <w:rsid w:val="5BD71B75"/>
    <w:rsid w:val="5BE30FD5"/>
    <w:rsid w:val="5BE61256"/>
    <w:rsid w:val="5BEE2DDF"/>
    <w:rsid w:val="5BF32AEA"/>
    <w:rsid w:val="5C001C90"/>
    <w:rsid w:val="5C3166BC"/>
    <w:rsid w:val="5C3F2C2E"/>
    <w:rsid w:val="5C401B37"/>
    <w:rsid w:val="5C4C5058"/>
    <w:rsid w:val="5C4E40FD"/>
    <w:rsid w:val="5C8C1793"/>
    <w:rsid w:val="5C9033AA"/>
    <w:rsid w:val="5CC826A5"/>
    <w:rsid w:val="5CFE0FC7"/>
    <w:rsid w:val="5D152E0F"/>
    <w:rsid w:val="5D3808CD"/>
    <w:rsid w:val="5D6B3074"/>
    <w:rsid w:val="5D826A79"/>
    <w:rsid w:val="5D83481E"/>
    <w:rsid w:val="5D8A5474"/>
    <w:rsid w:val="5D995DEF"/>
    <w:rsid w:val="5DAF64AB"/>
    <w:rsid w:val="5DD12E91"/>
    <w:rsid w:val="5E4471A2"/>
    <w:rsid w:val="5E495364"/>
    <w:rsid w:val="5E4B3F43"/>
    <w:rsid w:val="5E5422DB"/>
    <w:rsid w:val="5E7008FF"/>
    <w:rsid w:val="5E766F86"/>
    <w:rsid w:val="5E7B6C91"/>
    <w:rsid w:val="5E9D5E35"/>
    <w:rsid w:val="5EB2508E"/>
    <w:rsid w:val="5EB9327E"/>
    <w:rsid w:val="5EC75A8B"/>
    <w:rsid w:val="5EF17565"/>
    <w:rsid w:val="5EFB537D"/>
    <w:rsid w:val="5EFD25E1"/>
    <w:rsid w:val="5EFF27C0"/>
    <w:rsid w:val="5EFF732E"/>
    <w:rsid w:val="5F220723"/>
    <w:rsid w:val="5F2C1A7B"/>
    <w:rsid w:val="5F2D46F6"/>
    <w:rsid w:val="5F605F9A"/>
    <w:rsid w:val="5F7D55BA"/>
    <w:rsid w:val="5F8E5854"/>
    <w:rsid w:val="5F902F55"/>
    <w:rsid w:val="5F983BE5"/>
    <w:rsid w:val="5FB80565"/>
    <w:rsid w:val="600E6E0D"/>
    <w:rsid w:val="6015453B"/>
    <w:rsid w:val="60680A3A"/>
    <w:rsid w:val="606E01A6"/>
    <w:rsid w:val="607C7302"/>
    <w:rsid w:val="60815C72"/>
    <w:rsid w:val="6093549F"/>
    <w:rsid w:val="60AA14A4"/>
    <w:rsid w:val="60AE331A"/>
    <w:rsid w:val="60C03647"/>
    <w:rsid w:val="60CA19D8"/>
    <w:rsid w:val="60E42582"/>
    <w:rsid w:val="60FD1644"/>
    <w:rsid w:val="60FE69AF"/>
    <w:rsid w:val="61135DC9"/>
    <w:rsid w:val="611F660B"/>
    <w:rsid w:val="61233DE1"/>
    <w:rsid w:val="61276FB4"/>
    <w:rsid w:val="61357BDD"/>
    <w:rsid w:val="617678F3"/>
    <w:rsid w:val="61803188"/>
    <w:rsid w:val="618F1AB2"/>
    <w:rsid w:val="61AD2AC7"/>
    <w:rsid w:val="61C54741"/>
    <w:rsid w:val="61D21B7D"/>
    <w:rsid w:val="61D554B4"/>
    <w:rsid w:val="620424D9"/>
    <w:rsid w:val="620C3034"/>
    <w:rsid w:val="6222328F"/>
    <w:rsid w:val="622F028B"/>
    <w:rsid w:val="623B41B9"/>
    <w:rsid w:val="62B45C9F"/>
    <w:rsid w:val="62B83782"/>
    <w:rsid w:val="62C236F2"/>
    <w:rsid w:val="62CC2C2D"/>
    <w:rsid w:val="62ED6869"/>
    <w:rsid w:val="62EE47AC"/>
    <w:rsid w:val="62F57841"/>
    <w:rsid w:val="631161E2"/>
    <w:rsid w:val="63562F74"/>
    <w:rsid w:val="63D412A5"/>
    <w:rsid w:val="642B6186"/>
    <w:rsid w:val="644B199A"/>
    <w:rsid w:val="646E3B0C"/>
    <w:rsid w:val="64FE420A"/>
    <w:rsid w:val="651803A5"/>
    <w:rsid w:val="65292074"/>
    <w:rsid w:val="655B398A"/>
    <w:rsid w:val="658265DD"/>
    <w:rsid w:val="658A6AA3"/>
    <w:rsid w:val="659F7039"/>
    <w:rsid w:val="65AC11C4"/>
    <w:rsid w:val="65D05019"/>
    <w:rsid w:val="65FA13F5"/>
    <w:rsid w:val="660C13BB"/>
    <w:rsid w:val="660D2DBF"/>
    <w:rsid w:val="662171F8"/>
    <w:rsid w:val="662D6FF1"/>
    <w:rsid w:val="662E5105"/>
    <w:rsid w:val="66437557"/>
    <w:rsid w:val="6656258F"/>
    <w:rsid w:val="66615CF5"/>
    <w:rsid w:val="668002B5"/>
    <w:rsid w:val="668B4C96"/>
    <w:rsid w:val="66C61D57"/>
    <w:rsid w:val="672542C6"/>
    <w:rsid w:val="672940C9"/>
    <w:rsid w:val="673603C8"/>
    <w:rsid w:val="673E21C8"/>
    <w:rsid w:val="676C4A3A"/>
    <w:rsid w:val="67A05FCC"/>
    <w:rsid w:val="67E46C83"/>
    <w:rsid w:val="682643EB"/>
    <w:rsid w:val="6829511B"/>
    <w:rsid w:val="6836320A"/>
    <w:rsid w:val="68471A9D"/>
    <w:rsid w:val="68845376"/>
    <w:rsid w:val="68924F9A"/>
    <w:rsid w:val="68A276A3"/>
    <w:rsid w:val="68A7750E"/>
    <w:rsid w:val="68E0459C"/>
    <w:rsid w:val="69112B6D"/>
    <w:rsid w:val="691873F2"/>
    <w:rsid w:val="691C30E3"/>
    <w:rsid w:val="692B7910"/>
    <w:rsid w:val="693B5546"/>
    <w:rsid w:val="6983542A"/>
    <w:rsid w:val="69A41DA4"/>
    <w:rsid w:val="69AE2548"/>
    <w:rsid w:val="6A384ADA"/>
    <w:rsid w:val="6A4860BB"/>
    <w:rsid w:val="6A4F12FC"/>
    <w:rsid w:val="6A571104"/>
    <w:rsid w:val="6AE7483F"/>
    <w:rsid w:val="6B23052E"/>
    <w:rsid w:val="6B3B3325"/>
    <w:rsid w:val="6B3C2484"/>
    <w:rsid w:val="6B664574"/>
    <w:rsid w:val="6BD04C6F"/>
    <w:rsid w:val="6BD44496"/>
    <w:rsid w:val="6BDA62CE"/>
    <w:rsid w:val="6BEF2A19"/>
    <w:rsid w:val="6BF90031"/>
    <w:rsid w:val="6BFD677B"/>
    <w:rsid w:val="6C0E2555"/>
    <w:rsid w:val="6C14665D"/>
    <w:rsid w:val="6C2016E9"/>
    <w:rsid w:val="6C37119B"/>
    <w:rsid w:val="6C3A4520"/>
    <w:rsid w:val="6C442A2F"/>
    <w:rsid w:val="6C4A1337"/>
    <w:rsid w:val="6C4B45B8"/>
    <w:rsid w:val="6C5C0714"/>
    <w:rsid w:val="6C645A02"/>
    <w:rsid w:val="6CC57954"/>
    <w:rsid w:val="6CDB15B9"/>
    <w:rsid w:val="6CE61263"/>
    <w:rsid w:val="6CEE155C"/>
    <w:rsid w:val="6D512242"/>
    <w:rsid w:val="6D6A4A10"/>
    <w:rsid w:val="6D7E14B2"/>
    <w:rsid w:val="6D7E5A8E"/>
    <w:rsid w:val="6D8E174D"/>
    <w:rsid w:val="6DAC5479"/>
    <w:rsid w:val="6DB07703"/>
    <w:rsid w:val="6DC26339"/>
    <w:rsid w:val="6DC31DCA"/>
    <w:rsid w:val="6DED797A"/>
    <w:rsid w:val="6E13678C"/>
    <w:rsid w:val="6E22773B"/>
    <w:rsid w:val="6E35795C"/>
    <w:rsid w:val="6E4C2A0A"/>
    <w:rsid w:val="6E563714"/>
    <w:rsid w:val="6E5C4E76"/>
    <w:rsid w:val="6E7219BF"/>
    <w:rsid w:val="6E8E04A4"/>
    <w:rsid w:val="6E8E7670"/>
    <w:rsid w:val="6ECC3397"/>
    <w:rsid w:val="6ED20ADF"/>
    <w:rsid w:val="6EF911B8"/>
    <w:rsid w:val="6F000AF2"/>
    <w:rsid w:val="6F15726E"/>
    <w:rsid w:val="6F422098"/>
    <w:rsid w:val="6F904395"/>
    <w:rsid w:val="6F93328A"/>
    <w:rsid w:val="6F9540A0"/>
    <w:rsid w:val="6F975F07"/>
    <w:rsid w:val="6FA21DDE"/>
    <w:rsid w:val="6FBC64DE"/>
    <w:rsid w:val="6FC41126"/>
    <w:rsid w:val="6FC778CB"/>
    <w:rsid w:val="6FEA15AC"/>
    <w:rsid w:val="6FFF6D20"/>
    <w:rsid w:val="702942A2"/>
    <w:rsid w:val="703E57B3"/>
    <w:rsid w:val="707B2194"/>
    <w:rsid w:val="70F33FDC"/>
    <w:rsid w:val="71116E10"/>
    <w:rsid w:val="71172F17"/>
    <w:rsid w:val="714A6763"/>
    <w:rsid w:val="71716B68"/>
    <w:rsid w:val="71791D1D"/>
    <w:rsid w:val="719A5A6F"/>
    <w:rsid w:val="71AA5A25"/>
    <w:rsid w:val="71C92D3B"/>
    <w:rsid w:val="71D701A8"/>
    <w:rsid w:val="71DC7568"/>
    <w:rsid w:val="71F87130"/>
    <w:rsid w:val="71FE3596"/>
    <w:rsid w:val="72012755"/>
    <w:rsid w:val="72036BBE"/>
    <w:rsid w:val="723D0FE7"/>
    <w:rsid w:val="7242215A"/>
    <w:rsid w:val="72B35F53"/>
    <w:rsid w:val="72BF1FCE"/>
    <w:rsid w:val="72EB4117"/>
    <w:rsid w:val="72EB6860"/>
    <w:rsid w:val="72FA21B3"/>
    <w:rsid w:val="72FE5C6B"/>
    <w:rsid w:val="72FF3F0E"/>
    <w:rsid w:val="730E3151"/>
    <w:rsid w:val="73260050"/>
    <w:rsid w:val="73460FAE"/>
    <w:rsid w:val="737838B2"/>
    <w:rsid w:val="73843011"/>
    <w:rsid w:val="738D4559"/>
    <w:rsid w:val="73C372CA"/>
    <w:rsid w:val="7409471B"/>
    <w:rsid w:val="74130FF0"/>
    <w:rsid w:val="74184818"/>
    <w:rsid w:val="744C2A5A"/>
    <w:rsid w:val="74E37FDC"/>
    <w:rsid w:val="74F556AA"/>
    <w:rsid w:val="75167F24"/>
    <w:rsid w:val="751C4038"/>
    <w:rsid w:val="75244B75"/>
    <w:rsid w:val="75390472"/>
    <w:rsid w:val="757D46F6"/>
    <w:rsid w:val="75866564"/>
    <w:rsid w:val="758B5965"/>
    <w:rsid w:val="759C11E6"/>
    <w:rsid w:val="759E4985"/>
    <w:rsid w:val="75E450FA"/>
    <w:rsid w:val="75F4155E"/>
    <w:rsid w:val="75FC27A0"/>
    <w:rsid w:val="76027B23"/>
    <w:rsid w:val="76120095"/>
    <w:rsid w:val="76175C62"/>
    <w:rsid w:val="761B0CC8"/>
    <w:rsid w:val="761E1FC2"/>
    <w:rsid w:val="76263B40"/>
    <w:rsid w:val="765C5BBE"/>
    <w:rsid w:val="76671E50"/>
    <w:rsid w:val="76985EA2"/>
    <w:rsid w:val="76A04B8A"/>
    <w:rsid w:val="76AE3D4D"/>
    <w:rsid w:val="7702492A"/>
    <w:rsid w:val="771D4F43"/>
    <w:rsid w:val="77412895"/>
    <w:rsid w:val="774C3647"/>
    <w:rsid w:val="775C1463"/>
    <w:rsid w:val="776A2977"/>
    <w:rsid w:val="77AB07A1"/>
    <w:rsid w:val="77B92649"/>
    <w:rsid w:val="77BF7E83"/>
    <w:rsid w:val="77CC4F9A"/>
    <w:rsid w:val="77E41559"/>
    <w:rsid w:val="77F451AC"/>
    <w:rsid w:val="77F50340"/>
    <w:rsid w:val="7823644F"/>
    <w:rsid w:val="78260975"/>
    <w:rsid w:val="7831493E"/>
    <w:rsid w:val="783C2CCF"/>
    <w:rsid w:val="78592911"/>
    <w:rsid w:val="7868492C"/>
    <w:rsid w:val="788C75D7"/>
    <w:rsid w:val="789D458E"/>
    <w:rsid w:val="78A413FA"/>
    <w:rsid w:val="79160434"/>
    <w:rsid w:val="7920451A"/>
    <w:rsid w:val="79382508"/>
    <w:rsid w:val="79471B51"/>
    <w:rsid w:val="79572523"/>
    <w:rsid w:val="79637177"/>
    <w:rsid w:val="79756293"/>
    <w:rsid w:val="797A4987"/>
    <w:rsid w:val="798450E7"/>
    <w:rsid w:val="79927E32"/>
    <w:rsid w:val="79A22C08"/>
    <w:rsid w:val="79B86F11"/>
    <w:rsid w:val="79BE4E3D"/>
    <w:rsid w:val="79ED56BC"/>
    <w:rsid w:val="79F205CB"/>
    <w:rsid w:val="79F77CCE"/>
    <w:rsid w:val="7A0E7050"/>
    <w:rsid w:val="7A1563A6"/>
    <w:rsid w:val="7A1C7734"/>
    <w:rsid w:val="7A2E1281"/>
    <w:rsid w:val="7A4B76EC"/>
    <w:rsid w:val="7A541141"/>
    <w:rsid w:val="7A5944E4"/>
    <w:rsid w:val="7A6621B9"/>
    <w:rsid w:val="7A6E7F35"/>
    <w:rsid w:val="7A703BEB"/>
    <w:rsid w:val="7A744BC5"/>
    <w:rsid w:val="7A7A3D98"/>
    <w:rsid w:val="7A8F43AA"/>
    <w:rsid w:val="7A8F5AA2"/>
    <w:rsid w:val="7A920C25"/>
    <w:rsid w:val="7AA82DC9"/>
    <w:rsid w:val="7AAB75D1"/>
    <w:rsid w:val="7AC95061"/>
    <w:rsid w:val="7AE9507F"/>
    <w:rsid w:val="7AF122C4"/>
    <w:rsid w:val="7B026231"/>
    <w:rsid w:val="7B172B57"/>
    <w:rsid w:val="7B5950FA"/>
    <w:rsid w:val="7BB035FB"/>
    <w:rsid w:val="7BBE37CE"/>
    <w:rsid w:val="7BC24B9B"/>
    <w:rsid w:val="7BDA2241"/>
    <w:rsid w:val="7BF001E1"/>
    <w:rsid w:val="7C081A8C"/>
    <w:rsid w:val="7C245BAD"/>
    <w:rsid w:val="7C536688"/>
    <w:rsid w:val="7C907C27"/>
    <w:rsid w:val="7CE0785C"/>
    <w:rsid w:val="7CF505C4"/>
    <w:rsid w:val="7D08162E"/>
    <w:rsid w:val="7D0A5AA1"/>
    <w:rsid w:val="7D183E47"/>
    <w:rsid w:val="7D1E3FE0"/>
    <w:rsid w:val="7D3014EE"/>
    <w:rsid w:val="7D355C5F"/>
    <w:rsid w:val="7D46126C"/>
    <w:rsid w:val="7D677C98"/>
    <w:rsid w:val="7D6A489F"/>
    <w:rsid w:val="7D70024B"/>
    <w:rsid w:val="7D7706EF"/>
    <w:rsid w:val="7D8442E1"/>
    <w:rsid w:val="7DB5691B"/>
    <w:rsid w:val="7DC67245"/>
    <w:rsid w:val="7DCB5C43"/>
    <w:rsid w:val="7E1E1177"/>
    <w:rsid w:val="7E294F89"/>
    <w:rsid w:val="7E7B2503"/>
    <w:rsid w:val="7EA53AC7"/>
    <w:rsid w:val="7EBE547D"/>
    <w:rsid w:val="7EC860DC"/>
    <w:rsid w:val="7EDE52EF"/>
    <w:rsid w:val="7EF377C6"/>
    <w:rsid w:val="7F1C77D1"/>
    <w:rsid w:val="7F455CF9"/>
    <w:rsid w:val="7F4B2A10"/>
    <w:rsid w:val="7F593D4F"/>
    <w:rsid w:val="7F7571AA"/>
    <w:rsid w:val="7FBF08A3"/>
    <w:rsid w:val="7FBF7D06"/>
    <w:rsid w:val="7FC5602F"/>
    <w:rsid w:val="7FE51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before="260" w:after="260"/>
      <w:outlineLvl w:val="1"/>
    </w:pPr>
    <w:rPr>
      <w:rFonts w:ascii="等线 Light" w:hAnsi="等线 Light" w:eastAsia="黑体"/>
      <w:bCs/>
      <w:szCs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rFonts w:ascii="Times New Roman" w:hAnsi="Times New Roman" w:eastAsia="黑体"/>
      <w:b/>
      <w:sz w:val="21"/>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39"/>
    <w:pPr>
      <w:tabs>
        <w:tab w:val="right" w:leader="dot" w:pos="9241"/>
      </w:tabs>
      <w:ind w:firstLine="210" w:firstLineChars="100"/>
      <w:jc w:val="left"/>
    </w:pPr>
    <w:rPr>
      <w:rFonts w:ascii="宋体"/>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39"/>
    <w:pPr>
      <w:tabs>
        <w:tab w:val="right" w:leader="dot" w:pos="9241"/>
      </w:tabs>
      <w:spacing w:before="78" w:beforeLines="25" w:after="78" w:afterLines="25"/>
      <w:jc w:val="left"/>
    </w:pPr>
    <w:rPr>
      <w:rFonts w:ascii="宋体"/>
      <w:szCs w:val="21"/>
    </w:rPr>
  </w:style>
  <w:style w:type="paragraph" w:styleId="9">
    <w:name w:val="toc 2"/>
    <w:basedOn w:val="1"/>
    <w:next w:val="1"/>
    <w:qFormat/>
    <w:uiPriority w:val="39"/>
    <w:pPr>
      <w:tabs>
        <w:tab w:val="left" w:pos="1470"/>
        <w:tab w:val="right" w:leader="dot" w:pos="9241"/>
      </w:tabs>
    </w:pPr>
    <w:rPr>
      <w:rFonts w:ascii="宋体"/>
      <w:szCs w:val="21"/>
    </w:rPr>
  </w:style>
  <w:style w:type="character" w:styleId="12">
    <w:name w:val="Strong"/>
    <w:basedOn w:val="11"/>
    <w:qFormat/>
    <w:uiPriority w:val="0"/>
    <w:rPr>
      <w:b/>
    </w:rPr>
  </w:style>
  <w:style w:type="character" w:styleId="13">
    <w:name w:val="Hyperlink"/>
    <w:qFormat/>
    <w:uiPriority w:val="99"/>
    <w:rPr>
      <w:color w:val="0000FF"/>
      <w:spacing w:val="0"/>
      <w:w w:val="100"/>
      <w:szCs w:val="21"/>
      <w:u w:val="single"/>
    </w:rPr>
  </w:style>
  <w:style w:type="paragraph" w:customStyle="1" w:styleId="14">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0">
    <w:name w:val="封面标准英文名称"/>
    <w:basedOn w:val="19"/>
    <w:qFormat/>
    <w:uiPriority w:val="0"/>
    <w:pPr>
      <w:spacing w:before="370" w:line="400" w:lineRule="exact"/>
    </w:pPr>
    <w:rPr>
      <w:rFonts w:ascii="Times New Roman"/>
      <w:sz w:val="28"/>
      <w:szCs w:val="28"/>
    </w:rPr>
  </w:style>
  <w:style w:type="paragraph" w:customStyle="1" w:styleId="21">
    <w:name w:val="封面一致性程度标识"/>
    <w:basedOn w:val="20"/>
    <w:qFormat/>
    <w:uiPriority w:val="0"/>
    <w:pPr>
      <w:spacing w:before="440"/>
    </w:pPr>
    <w:rPr>
      <w:rFonts w:ascii="宋体" w:eastAsia="宋体"/>
    </w:rPr>
  </w:style>
  <w:style w:type="paragraph" w:customStyle="1" w:styleId="22">
    <w:name w:val="封面标准文稿类别"/>
    <w:basedOn w:val="21"/>
    <w:qFormat/>
    <w:uiPriority w:val="0"/>
    <w:pPr>
      <w:spacing w:after="160" w:line="240" w:lineRule="auto"/>
    </w:pPr>
    <w:rPr>
      <w:sz w:val="24"/>
    </w:rPr>
  </w:style>
  <w:style w:type="paragraph" w:customStyle="1" w:styleId="23">
    <w:name w:val="封面标准文稿编辑信息"/>
    <w:basedOn w:val="22"/>
    <w:qFormat/>
    <w:uiPriority w:val="0"/>
    <w:pPr>
      <w:spacing w:before="180" w:line="180" w:lineRule="exact"/>
    </w:pPr>
    <w:rPr>
      <w:sz w:val="21"/>
    </w:rPr>
  </w:style>
  <w:style w:type="paragraph" w:customStyle="1" w:styleId="24">
    <w:name w:val="其他发布日期"/>
    <w:basedOn w:val="25"/>
    <w:qFormat/>
    <w:uiPriority w:val="0"/>
    <w:pPr>
      <w:framePr w:vAnchor="page" w:hAnchor="page" w:x="1419"/>
    </w:pPr>
  </w:style>
  <w:style w:type="paragraph" w:customStyle="1" w:styleId="25">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26">
    <w:name w:val="其他实施日期"/>
    <w:basedOn w:val="27"/>
    <w:qFormat/>
    <w:uiPriority w:val="0"/>
  </w:style>
  <w:style w:type="paragraph" w:customStyle="1" w:styleId="27">
    <w:name w:val="实施日期"/>
    <w:basedOn w:val="25"/>
    <w:qFormat/>
    <w:uiPriority w:val="0"/>
    <w:pPr>
      <w:framePr w:vAnchor="page" w:hAnchor="page"/>
      <w:jc w:val="right"/>
    </w:pPr>
  </w:style>
  <w:style w:type="paragraph" w:customStyle="1" w:styleId="28">
    <w:name w:val="其他发布部门"/>
    <w:basedOn w:val="29"/>
    <w:qFormat/>
    <w:uiPriority w:val="0"/>
    <w:pPr>
      <w:framePr w:y="15310"/>
      <w:spacing w:line="0" w:lineRule="atLeast"/>
    </w:pPr>
    <w:rPr>
      <w:rFonts w:ascii="黑体" w:eastAsia="黑体"/>
      <w:b w:val="0"/>
    </w:rPr>
  </w:style>
  <w:style w:type="paragraph" w:customStyle="1" w:styleId="29">
    <w:name w:val="发布部门"/>
    <w:next w:val="30"/>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30">
    <w:name w:val="段"/>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character" w:customStyle="1" w:styleId="31">
    <w:name w:val="发布"/>
    <w:qFormat/>
    <w:uiPriority w:val="0"/>
    <w:rPr>
      <w:rFonts w:ascii="黑体" w:eastAsia="黑体"/>
      <w:spacing w:val="85"/>
      <w:w w:val="100"/>
      <w:position w:val="3"/>
      <w:sz w:val="28"/>
      <w:szCs w:val="28"/>
    </w:rPr>
  </w:style>
  <w:style w:type="paragraph" w:customStyle="1" w:styleId="32">
    <w:name w:val="目次、标准名称标题"/>
    <w:basedOn w:val="1"/>
    <w:next w:val="3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33">
    <w:name w:val="前言、引言标题"/>
    <w:next w:val="3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
    <w:name w:val="章标题"/>
    <w:next w:val="30"/>
    <w:qFormat/>
    <w:uiPriority w:val="0"/>
    <w:pPr>
      <w:spacing w:before="100" w:beforeLines="100" w:after="100" w:afterLines="100"/>
      <w:jc w:val="both"/>
      <w:outlineLvl w:val="1"/>
    </w:pPr>
    <w:rPr>
      <w:rFonts w:ascii="黑体" w:hAnsi="黑体" w:eastAsia="黑体" w:cs="Times New Roman"/>
      <w:b/>
      <w:sz w:val="21"/>
      <w:lang w:val="en-US" w:eastAsia="zh-CN" w:bidi="ar-SA"/>
    </w:rPr>
  </w:style>
  <w:style w:type="paragraph" w:customStyle="1" w:styleId="35">
    <w:name w:val="样式7"/>
    <w:basedOn w:val="36"/>
    <w:qFormat/>
    <w:uiPriority w:val="0"/>
    <w:pPr>
      <w:ind w:left="576" w:hanging="576"/>
    </w:pPr>
    <w:rPr>
      <w:rFonts w:eastAsia="黑体"/>
      <w:b/>
      <w:sz w:val="21"/>
    </w:rPr>
  </w:style>
  <w:style w:type="paragraph" w:customStyle="1" w:styleId="36">
    <w:name w:val="样式6"/>
    <w:basedOn w:val="2"/>
    <w:qFormat/>
    <w:uiPriority w:val="0"/>
    <w:pPr>
      <w:ind w:left="0" w:hanging="578" w:hangingChars="275"/>
    </w:pPr>
  </w:style>
  <w:style w:type="paragraph" w:customStyle="1" w:styleId="37">
    <w:name w:val="标准书眉_偶数页"/>
    <w:basedOn w:val="38"/>
    <w:next w:val="1"/>
    <w:qFormat/>
    <w:uiPriority w:val="0"/>
    <w:pPr>
      <w:tabs>
        <w:tab w:val="center" w:pos="4154"/>
        <w:tab w:val="right" w:pos="8306"/>
      </w:tabs>
      <w:jc w:val="left"/>
    </w:pPr>
    <w:rPr>
      <w:rFonts w:ascii="黑体" w:eastAsia="黑体"/>
    </w:rPr>
  </w:style>
  <w:style w:type="paragraph" w:customStyle="1" w:styleId="3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9">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4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1">
    <w:name w:val="正文表标题"/>
    <w:next w:val="30"/>
    <w:qFormat/>
    <w:uiPriority w:val="0"/>
    <w:pPr>
      <w:numPr>
        <w:ilvl w:val="0"/>
        <w:numId w:val="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42">
    <w:name w:val="封面正文"/>
    <w:qFormat/>
    <w:uiPriority w:val="0"/>
    <w:pPr>
      <w:jc w:val="both"/>
    </w:pPr>
    <w:rPr>
      <w:rFonts w:ascii="Times New Roman" w:hAnsi="Times New Roman" w:eastAsia="宋体" w:cs="Times New Roman"/>
      <w:lang w:val="en-US" w:eastAsia="zh-CN" w:bidi="ar-SA"/>
    </w:rPr>
  </w:style>
  <w:style w:type="paragraph" w:customStyle="1" w:styleId="4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styleId="44">
    <w:name w:val="List Paragraph"/>
    <w:basedOn w:val="1"/>
    <w:qFormat/>
    <w:uiPriority w:val="34"/>
    <w:pPr>
      <w:ind w:firstLine="420" w:firstLineChars="200"/>
    </w:pPr>
    <w:rPr>
      <w:szCs w:val="24"/>
    </w:rPr>
  </w:style>
  <w:style w:type="paragraph" w:customStyle="1" w:styleId="4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江西铜业股份有限公司贵溪冶炼厂</Company>
  <Pages>45</Pages>
  <Words>7477</Words>
  <Characters>7881</Characters>
  <Lines>1</Lines>
  <Paragraphs>1</Paragraphs>
  <TotalTime>0</TotalTime>
  <ScaleCrop>false</ScaleCrop>
  <LinksUpToDate>false</LinksUpToDate>
  <CharactersWithSpaces>8037</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2025-02-25T06:53:00Z</dcterms:created>
  <dc:creator>（数字化部）徐娟华</dc:creator>
  <cp:lastModifiedBy>樊赣湘</cp:lastModifiedBy>
  <dcterms:modified xsi:type="dcterms:W3CDTF">2026-07-02T09:18:19Z</dcterms:modified>
  <dc:title>行业标准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A483A519D1604374984D2945349AE5A8</vt:lpwstr>
  </property>
  <property fmtid="{D5CDD505-2E9C-101B-9397-08002B2CF9AE}" pid="4" name="KSOTemplateDocerSaveRecord">
    <vt:lpwstr>eyJoZGlkIjoiMjJhNDg4MTAyZGQxZmY5OGVlZWQ5M2Y2NDY4MDBlMWMiLCJ1c2VySWQiOiIxNDkzNzg0NzAzIn0=</vt:lpwstr>
  </property>
</Properties>
</file>