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2F440">
      <w:pPr>
        <w:jc w:val="center"/>
        <w:rPr>
          <w:rFonts w:hint="eastAsia" w:eastAsia="黑体"/>
          <w:color w:val="auto"/>
          <w:sz w:val="32"/>
          <w:szCs w:val="32"/>
          <w:lang w:val="en-US" w:eastAsia="zh-CN"/>
        </w:rPr>
      </w:pPr>
    </w:p>
    <w:p w14:paraId="72C5E686">
      <w:pPr>
        <w:jc w:val="center"/>
        <w:rPr>
          <w:rFonts w:hint="eastAsia" w:eastAsia="黑体"/>
          <w:color w:val="auto"/>
          <w:sz w:val="32"/>
          <w:szCs w:val="32"/>
          <w:lang w:val="en-US" w:eastAsia="zh-CN"/>
        </w:rPr>
      </w:pPr>
    </w:p>
    <w:p w14:paraId="545D5ACB">
      <w:pPr>
        <w:jc w:val="center"/>
        <w:rPr>
          <w:rFonts w:hint="eastAsia" w:eastAsia="黑体"/>
          <w:color w:val="auto"/>
          <w:sz w:val="32"/>
          <w:szCs w:val="32"/>
          <w:lang w:val="en-US" w:eastAsia="zh-CN"/>
        </w:rPr>
      </w:pPr>
    </w:p>
    <w:p w14:paraId="0BB9D761">
      <w:pPr>
        <w:jc w:val="center"/>
        <w:rPr>
          <w:rFonts w:hint="eastAsia" w:eastAsia="黑体"/>
          <w:color w:val="auto"/>
          <w:sz w:val="32"/>
          <w:szCs w:val="32"/>
          <w:lang w:val="en-US" w:eastAsia="zh-CN"/>
        </w:rPr>
      </w:pPr>
    </w:p>
    <w:p w14:paraId="4012C58E">
      <w:pPr>
        <w:jc w:val="center"/>
        <w:rPr>
          <w:rFonts w:hint="eastAsia" w:eastAsia="黑体"/>
          <w:color w:val="auto"/>
          <w:sz w:val="32"/>
          <w:szCs w:val="32"/>
          <w:lang w:val="en-US" w:eastAsia="zh-CN"/>
        </w:rPr>
      </w:pPr>
    </w:p>
    <w:p w14:paraId="025AA78F">
      <w:pPr>
        <w:jc w:val="center"/>
        <w:rPr>
          <w:rFonts w:hint="eastAsia" w:eastAsia="黑体"/>
          <w:color w:val="auto"/>
          <w:sz w:val="44"/>
          <w:szCs w:val="44"/>
          <w:lang w:val="en-US" w:eastAsia="zh-CN"/>
        </w:rPr>
      </w:pPr>
    </w:p>
    <w:p w14:paraId="3322D948">
      <w:pPr>
        <w:jc w:val="center"/>
        <w:rPr>
          <w:rFonts w:hint="eastAsia" w:eastAsia="黑体"/>
          <w:color w:val="auto"/>
          <w:sz w:val="44"/>
          <w:szCs w:val="44"/>
          <w:lang w:val="en-US" w:eastAsia="zh-CN"/>
        </w:rPr>
      </w:pPr>
      <w:r>
        <w:rPr>
          <w:rFonts w:hint="eastAsia" w:eastAsia="黑体"/>
          <w:color w:val="auto"/>
          <w:sz w:val="44"/>
          <w:szCs w:val="44"/>
          <w:lang w:val="en-US" w:eastAsia="zh-CN"/>
        </w:rPr>
        <w:t>行业标准《有色金属行业工业数据分类分级指南》编制说明</w:t>
      </w:r>
    </w:p>
    <w:p w14:paraId="114DB06E">
      <w:pPr>
        <w:jc w:val="center"/>
        <w:rPr>
          <w:rFonts w:hint="eastAsia" w:eastAsia="黑体"/>
          <w:color w:val="auto"/>
          <w:sz w:val="44"/>
          <w:szCs w:val="44"/>
          <w:lang w:val="en-US" w:eastAsia="zh-CN"/>
        </w:rPr>
      </w:pPr>
    </w:p>
    <w:p w14:paraId="716C515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b w:val="0"/>
          <w:bCs/>
          <w:sz w:val="44"/>
          <w:szCs w:val="44"/>
          <w:lang w:eastAsia="zh-CN"/>
        </w:rPr>
      </w:pPr>
      <w:r>
        <w:rPr>
          <w:rFonts w:hint="eastAsia" w:eastAsia="黑体"/>
          <w:color w:val="auto"/>
          <w:sz w:val="32"/>
          <w:szCs w:val="32"/>
          <w:lang w:val="en-US" w:eastAsia="zh-CN"/>
        </w:rPr>
        <w:t>（</w:t>
      </w:r>
      <w:r>
        <w:rPr>
          <w:rFonts w:hint="eastAsia" w:eastAsia="黑体"/>
          <w:color w:val="auto"/>
          <w:sz w:val="32"/>
          <w:szCs w:val="32"/>
          <w:highlight w:val="none"/>
          <w:lang w:val="en-US" w:eastAsia="zh-CN"/>
        </w:rPr>
        <w:t>送审稿</w:t>
      </w:r>
      <w:r>
        <w:rPr>
          <w:rFonts w:hint="eastAsia" w:eastAsia="黑体"/>
          <w:color w:val="auto"/>
          <w:sz w:val="32"/>
          <w:szCs w:val="32"/>
          <w:lang w:val="en-US" w:eastAsia="zh-CN"/>
        </w:rPr>
        <w:t>）</w:t>
      </w:r>
    </w:p>
    <w:p w14:paraId="16C2F233">
      <w:pPr>
        <w:jc w:val="center"/>
        <w:rPr>
          <w:rFonts w:hint="eastAsia" w:eastAsia="黑体"/>
          <w:color w:val="auto"/>
          <w:sz w:val="28"/>
          <w:szCs w:val="28"/>
          <w:lang w:val="en-US" w:eastAsia="zh-CN"/>
        </w:rPr>
      </w:pPr>
    </w:p>
    <w:p w14:paraId="4DB5DFDD">
      <w:pPr>
        <w:jc w:val="center"/>
        <w:rPr>
          <w:rFonts w:hint="eastAsia" w:eastAsia="黑体"/>
          <w:color w:val="auto"/>
          <w:sz w:val="28"/>
          <w:szCs w:val="28"/>
          <w:lang w:val="en-US" w:eastAsia="zh-CN"/>
        </w:rPr>
      </w:pPr>
    </w:p>
    <w:p w14:paraId="6F7CAD7D">
      <w:pPr>
        <w:jc w:val="center"/>
        <w:rPr>
          <w:rFonts w:hint="eastAsia" w:eastAsia="黑体"/>
          <w:color w:val="auto"/>
          <w:sz w:val="28"/>
          <w:szCs w:val="28"/>
          <w:lang w:val="en-US" w:eastAsia="zh-CN"/>
        </w:rPr>
      </w:pPr>
    </w:p>
    <w:p w14:paraId="019F05CA">
      <w:pPr>
        <w:jc w:val="center"/>
        <w:rPr>
          <w:rFonts w:hint="eastAsia" w:eastAsia="黑体"/>
          <w:color w:val="auto"/>
          <w:sz w:val="28"/>
          <w:szCs w:val="28"/>
          <w:lang w:val="en-US" w:eastAsia="zh-CN"/>
        </w:rPr>
      </w:pPr>
    </w:p>
    <w:p w14:paraId="0D8591F1">
      <w:pPr>
        <w:jc w:val="center"/>
        <w:rPr>
          <w:rFonts w:hint="eastAsia" w:eastAsia="黑体"/>
          <w:color w:val="auto"/>
          <w:sz w:val="28"/>
          <w:szCs w:val="28"/>
          <w:lang w:val="en-US" w:eastAsia="zh-CN"/>
        </w:rPr>
      </w:pPr>
    </w:p>
    <w:p w14:paraId="60B144CE">
      <w:pPr>
        <w:jc w:val="center"/>
        <w:rPr>
          <w:rFonts w:hint="eastAsia" w:eastAsia="黑体"/>
          <w:color w:val="auto"/>
          <w:sz w:val="28"/>
          <w:szCs w:val="28"/>
          <w:lang w:val="en-US" w:eastAsia="zh-CN"/>
        </w:rPr>
      </w:pPr>
    </w:p>
    <w:p w14:paraId="487146B9">
      <w:pPr>
        <w:jc w:val="center"/>
        <w:rPr>
          <w:rFonts w:hint="eastAsia" w:eastAsia="黑体"/>
          <w:color w:val="auto"/>
          <w:sz w:val="28"/>
          <w:szCs w:val="28"/>
          <w:lang w:val="en-US" w:eastAsia="zh-CN"/>
        </w:rPr>
      </w:pPr>
    </w:p>
    <w:p w14:paraId="5BACCBD3">
      <w:pPr>
        <w:jc w:val="center"/>
        <w:rPr>
          <w:rFonts w:hint="default" w:eastAsia="黑体"/>
          <w:color w:val="auto"/>
          <w:sz w:val="28"/>
          <w:szCs w:val="28"/>
          <w:lang w:val="en-US" w:eastAsia="zh-CN"/>
        </w:rPr>
      </w:pPr>
      <w:r>
        <w:rPr>
          <w:rFonts w:hint="eastAsia" w:eastAsia="黑体"/>
          <w:color w:val="auto"/>
          <w:sz w:val="28"/>
          <w:szCs w:val="28"/>
          <w:lang w:val="en-US" w:eastAsia="zh-CN"/>
        </w:rPr>
        <w:t>江西铜业股份有限公司</w:t>
      </w:r>
    </w:p>
    <w:p w14:paraId="3D347534">
      <w:pPr>
        <w:jc w:val="center"/>
        <w:rPr>
          <w:rFonts w:hint="eastAsia" w:eastAsia="黑体"/>
          <w:color w:val="auto"/>
          <w:sz w:val="28"/>
          <w:szCs w:val="28"/>
          <w:lang w:val="en-US" w:eastAsia="zh-CN"/>
        </w:rPr>
      </w:pPr>
      <w:r>
        <w:rPr>
          <w:rFonts w:hint="eastAsia" w:eastAsia="黑体"/>
          <w:color w:val="auto"/>
          <w:sz w:val="28"/>
          <w:szCs w:val="28"/>
          <w:lang w:val="en-US" w:eastAsia="zh-CN"/>
        </w:rPr>
        <w:t>2026年6月</w:t>
      </w:r>
    </w:p>
    <w:p w14:paraId="3F489E65">
      <w:pPr>
        <w:keepNext w:val="0"/>
        <w:keepLines w:val="0"/>
        <w:pageBreakBefore w:val="0"/>
        <w:widowControl w:val="0"/>
        <w:kinsoku/>
        <w:wordWrap/>
        <w:overflowPunct/>
        <w:topLinePunct w:val="0"/>
        <w:autoSpaceDE w:val="0"/>
        <w:autoSpaceDN w:val="0"/>
        <w:bidi w:val="0"/>
        <w:adjustRightInd w:val="0"/>
        <w:snapToGrid/>
        <w:spacing w:after="0" w:line="360" w:lineRule="auto"/>
        <w:ind w:left="0" w:right="0" w:firstLine="0"/>
        <w:jc w:val="left"/>
        <w:textAlignment w:val="auto"/>
        <w:rPr>
          <w:rFonts w:hint="eastAsia" w:ascii="QWRLLA+MicrosoftYaHei-Bold"/>
          <w:color w:val="000000"/>
          <w:spacing w:val="0"/>
          <w:sz w:val="44"/>
        </w:rPr>
      </w:pPr>
    </w:p>
    <w:p w14:paraId="5304E46F">
      <w:pPr>
        <w:pStyle w:val="2"/>
        <w:rPr>
          <w:rFonts w:hint="eastAsia" w:eastAsia="黑体"/>
          <w:color w:val="auto"/>
          <w:sz w:val="28"/>
          <w:szCs w:val="28"/>
        </w:rPr>
      </w:pPr>
    </w:p>
    <w:p w14:paraId="53CC5E14">
      <w:pPr>
        <w:pStyle w:val="2"/>
        <w:rPr>
          <w:rFonts w:hint="eastAsia" w:eastAsia="黑体"/>
          <w:color w:val="auto"/>
          <w:sz w:val="28"/>
          <w:szCs w:val="28"/>
        </w:rPr>
        <w:sectPr>
          <w:pgSz w:w="11906" w:h="16838"/>
          <w:pgMar w:top="1440" w:right="1780" w:bottom="1440" w:left="1780" w:header="851" w:footer="992" w:gutter="0"/>
          <w:cols w:space="425" w:num="1"/>
          <w:docGrid w:type="lines" w:linePitch="312" w:charSpace="0"/>
        </w:sectPr>
      </w:pPr>
    </w:p>
    <w:p w14:paraId="6AE39A78">
      <w:pPr>
        <w:pStyle w:val="40"/>
        <w:jc w:val="center"/>
        <w:rPr>
          <w:rFonts w:hint="eastAsia" w:ascii="黑体" w:hAnsi="黑体" w:eastAsia="黑体" w:cs="黑体"/>
          <w:b w:val="0"/>
          <w:bCs w:val="0"/>
          <w:color w:val="auto"/>
          <w:sz w:val="32"/>
          <w:szCs w:val="32"/>
          <w:lang w:val="zh-CN" w:eastAsia="zh-CN"/>
        </w:rPr>
      </w:pPr>
      <w:r>
        <w:rPr>
          <w:rFonts w:hint="eastAsia" w:ascii="黑体" w:hAnsi="黑体" w:eastAsia="黑体" w:cs="黑体"/>
          <w:b w:val="0"/>
          <w:bCs w:val="0"/>
          <w:color w:val="auto"/>
          <w:sz w:val="32"/>
          <w:szCs w:val="32"/>
          <w:lang w:val="zh-CN"/>
        </w:rPr>
        <w:t>目</w:t>
      </w:r>
      <w:r>
        <w:rPr>
          <w:rFonts w:hint="eastAsia" w:ascii="黑体" w:hAnsi="黑体" w:eastAsia="黑体" w:cs="黑体"/>
          <w:b w:val="0"/>
          <w:bCs w:val="0"/>
          <w:color w:val="auto"/>
          <w:sz w:val="32"/>
          <w:szCs w:val="32"/>
          <w:lang w:val="en-US" w:eastAsia="zh-CN"/>
        </w:rPr>
        <w:t xml:space="preserve">  录</w:t>
      </w:r>
    </w:p>
    <w:p w14:paraId="35FB2D20">
      <w:pPr>
        <w:pStyle w:val="13"/>
        <w:tabs>
          <w:tab w:val="right" w:leader="dot" w:pos="8346"/>
        </w:tabs>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TOC \o "1-2" \h \u </w:instrText>
      </w:r>
      <w:r>
        <w:rPr>
          <w:rFonts w:hint="eastAsia" w:ascii="宋体" w:hAnsi="宋体" w:eastAsia="宋体" w:cs="宋体"/>
          <w:sz w:val="28"/>
          <w:szCs w:val="28"/>
          <w:lang w:val="en-US" w:eastAsia="zh-CN"/>
        </w:rPr>
        <w:fldChar w:fldCharType="separate"/>
      </w: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_Toc30393 </w:instrText>
      </w:r>
      <w:r>
        <w:rPr>
          <w:rFonts w:hint="eastAsia" w:ascii="宋体" w:hAnsi="宋体" w:eastAsia="宋体" w:cs="宋体"/>
          <w:szCs w:val="28"/>
          <w:lang w:val="en-US" w:eastAsia="zh-CN"/>
        </w:rPr>
        <w:fldChar w:fldCharType="separate"/>
      </w:r>
      <w:r>
        <w:rPr>
          <w:rFonts w:hint="eastAsia" w:ascii="黑体" w:hAnsi="黑体" w:eastAsia="黑体" w:cs="黑体"/>
          <w:bCs w:val="0"/>
          <w:szCs w:val="21"/>
        </w:rPr>
        <w:t xml:space="preserve">一、 </w:t>
      </w:r>
      <w:r>
        <w:rPr>
          <w:rFonts w:hint="eastAsia" w:ascii="黑体" w:hAnsi="宋体" w:eastAsia="黑体" w:cs="Arial"/>
          <w:bCs w:val="0"/>
          <w:szCs w:val="21"/>
        </w:rPr>
        <w:t>工作简况</w:t>
      </w:r>
      <w:r>
        <w:tab/>
      </w:r>
      <w:r>
        <w:fldChar w:fldCharType="begin"/>
      </w:r>
      <w:r>
        <w:instrText xml:space="preserve"> PAGEREF _Toc30393 \h </w:instrText>
      </w:r>
      <w:r>
        <w:fldChar w:fldCharType="separate"/>
      </w:r>
      <w:r>
        <w:t>2</w:t>
      </w:r>
      <w:r>
        <w:fldChar w:fldCharType="end"/>
      </w:r>
      <w:r>
        <w:rPr>
          <w:rFonts w:hint="eastAsia" w:ascii="宋体" w:hAnsi="宋体" w:eastAsia="宋体" w:cs="宋体"/>
          <w:szCs w:val="28"/>
          <w:lang w:val="en-US" w:eastAsia="zh-CN"/>
        </w:rPr>
        <w:fldChar w:fldCharType="end"/>
      </w:r>
    </w:p>
    <w:p w14:paraId="170CD4D8">
      <w:pPr>
        <w:pStyle w:val="14"/>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_Toc17630 </w:instrText>
      </w:r>
      <w:r>
        <w:rPr>
          <w:rFonts w:hint="eastAsia" w:ascii="宋体" w:hAnsi="宋体" w:eastAsia="宋体" w:cs="宋体"/>
          <w:szCs w:val="28"/>
          <w:lang w:val="en-US" w:eastAsia="zh-CN"/>
        </w:rPr>
        <w:fldChar w:fldCharType="separate"/>
      </w:r>
      <w:r>
        <w:rPr>
          <w:rFonts w:hint="eastAsia" w:hAnsi="黑体" w:cs="黑体"/>
          <w:szCs w:val="21"/>
          <w:lang w:val="en-US" w:eastAsia="zh-CN"/>
        </w:rPr>
        <w:t>1.1任务来源</w:t>
      </w:r>
      <w:r>
        <w:tab/>
      </w:r>
      <w:r>
        <w:fldChar w:fldCharType="begin"/>
      </w:r>
      <w:r>
        <w:instrText xml:space="preserve"> PAGEREF _Toc17630 \h </w:instrText>
      </w:r>
      <w:r>
        <w:fldChar w:fldCharType="separate"/>
      </w:r>
      <w:r>
        <w:t>2</w:t>
      </w:r>
      <w:r>
        <w:fldChar w:fldCharType="end"/>
      </w:r>
      <w:r>
        <w:rPr>
          <w:rFonts w:hint="eastAsia" w:ascii="宋体" w:hAnsi="宋体" w:eastAsia="宋体" w:cs="宋体"/>
          <w:szCs w:val="28"/>
          <w:lang w:val="en-US" w:eastAsia="zh-CN"/>
        </w:rPr>
        <w:fldChar w:fldCharType="end"/>
      </w:r>
    </w:p>
    <w:p w14:paraId="5F7F4556">
      <w:pPr>
        <w:pStyle w:val="14"/>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_Toc17224 </w:instrText>
      </w:r>
      <w:r>
        <w:rPr>
          <w:rFonts w:hint="eastAsia" w:ascii="宋体" w:hAnsi="宋体" w:eastAsia="宋体" w:cs="宋体"/>
          <w:szCs w:val="28"/>
          <w:lang w:val="en-US" w:eastAsia="zh-CN"/>
        </w:rPr>
        <w:fldChar w:fldCharType="separate"/>
      </w:r>
      <w:r>
        <w:rPr>
          <w:rFonts w:hint="eastAsia" w:hAnsi="黑体" w:cs="黑体"/>
          <w:szCs w:val="21"/>
          <w:lang w:val="en-US" w:eastAsia="zh-CN"/>
        </w:rPr>
        <w:t>1.2立项目的和意义</w:t>
      </w:r>
      <w:r>
        <w:tab/>
      </w:r>
      <w:r>
        <w:fldChar w:fldCharType="begin"/>
      </w:r>
      <w:r>
        <w:instrText xml:space="preserve"> PAGEREF _Toc17224 \h </w:instrText>
      </w:r>
      <w:r>
        <w:fldChar w:fldCharType="separate"/>
      </w:r>
      <w:r>
        <w:t>2</w:t>
      </w:r>
      <w:r>
        <w:fldChar w:fldCharType="end"/>
      </w:r>
      <w:r>
        <w:rPr>
          <w:rFonts w:hint="eastAsia" w:ascii="宋体" w:hAnsi="宋体" w:eastAsia="宋体" w:cs="宋体"/>
          <w:szCs w:val="28"/>
          <w:lang w:val="en-US" w:eastAsia="zh-CN"/>
        </w:rPr>
        <w:fldChar w:fldCharType="end"/>
      </w:r>
    </w:p>
    <w:p w14:paraId="78EA5E9D">
      <w:pPr>
        <w:pStyle w:val="14"/>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_Toc32749 </w:instrText>
      </w:r>
      <w:r>
        <w:rPr>
          <w:rFonts w:hint="eastAsia" w:ascii="宋体" w:hAnsi="宋体" w:eastAsia="宋体" w:cs="宋体"/>
          <w:szCs w:val="28"/>
          <w:lang w:val="en-US" w:eastAsia="zh-CN"/>
        </w:rPr>
        <w:fldChar w:fldCharType="separate"/>
      </w:r>
      <w:r>
        <w:rPr>
          <w:rFonts w:hint="eastAsia" w:hAnsi="黑体" w:cs="黑体"/>
          <w:szCs w:val="21"/>
          <w:lang w:val="en-US" w:eastAsia="zh-CN"/>
        </w:rPr>
        <w:t>1.3主要参加单位和工作成员所作的工作</w:t>
      </w:r>
      <w:r>
        <w:tab/>
      </w:r>
      <w:r>
        <w:fldChar w:fldCharType="begin"/>
      </w:r>
      <w:r>
        <w:instrText xml:space="preserve"> PAGEREF _Toc32749 \h </w:instrText>
      </w:r>
      <w:r>
        <w:fldChar w:fldCharType="separate"/>
      </w:r>
      <w:r>
        <w:t>3</w:t>
      </w:r>
      <w:r>
        <w:fldChar w:fldCharType="end"/>
      </w:r>
      <w:r>
        <w:rPr>
          <w:rFonts w:hint="eastAsia" w:ascii="宋体" w:hAnsi="宋体" w:eastAsia="宋体" w:cs="宋体"/>
          <w:szCs w:val="28"/>
          <w:lang w:val="en-US" w:eastAsia="zh-CN"/>
        </w:rPr>
        <w:fldChar w:fldCharType="end"/>
      </w:r>
    </w:p>
    <w:p w14:paraId="66F6E6F4">
      <w:pPr>
        <w:pStyle w:val="14"/>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_Toc2823 </w:instrText>
      </w:r>
      <w:r>
        <w:rPr>
          <w:rFonts w:hint="eastAsia" w:ascii="宋体" w:hAnsi="宋体" w:eastAsia="宋体" w:cs="宋体"/>
          <w:szCs w:val="28"/>
          <w:lang w:val="en-US" w:eastAsia="zh-CN"/>
        </w:rPr>
        <w:fldChar w:fldCharType="separate"/>
      </w:r>
      <w:r>
        <w:rPr>
          <w:rFonts w:hint="eastAsia" w:hAnsi="黑体" w:cs="黑体"/>
          <w:szCs w:val="21"/>
          <w:lang w:val="en-US" w:eastAsia="zh-CN"/>
        </w:rPr>
        <w:t>1.4主要工作过程</w:t>
      </w:r>
      <w:r>
        <w:tab/>
      </w:r>
      <w:r>
        <w:fldChar w:fldCharType="begin"/>
      </w:r>
      <w:r>
        <w:instrText xml:space="preserve"> PAGEREF _Toc2823 \h </w:instrText>
      </w:r>
      <w:r>
        <w:fldChar w:fldCharType="separate"/>
      </w:r>
      <w:r>
        <w:t>6</w:t>
      </w:r>
      <w:r>
        <w:fldChar w:fldCharType="end"/>
      </w:r>
      <w:r>
        <w:rPr>
          <w:rFonts w:hint="eastAsia" w:ascii="宋体" w:hAnsi="宋体" w:eastAsia="宋体" w:cs="宋体"/>
          <w:szCs w:val="28"/>
          <w:lang w:val="en-US" w:eastAsia="zh-CN"/>
        </w:rPr>
        <w:fldChar w:fldCharType="end"/>
      </w:r>
    </w:p>
    <w:p w14:paraId="27912315">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_Toc11406 </w:instrText>
      </w:r>
      <w:r>
        <w:rPr>
          <w:rFonts w:hint="eastAsia" w:ascii="宋体" w:hAnsi="宋体" w:eastAsia="宋体" w:cs="宋体"/>
          <w:szCs w:val="28"/>
          <w:lang w:val="en-US" w:eastAsia="zh-CN"/>
        </w:rPr>
        <w:fldChar w:fldCharType="separate"/>
      </w:r>
      <w:r>
        <w:rPr>
          <w:rFonts w:hint="eastAsia" w:ascii="黑体" w:hAnsi="黑体" w:eastAsia="黑体" w:cs="黑体"/>
          <w:bCs w:val="0"/>
          <w:szCs w:val="21"/>
          <w:lang w:val="en-US" w:eastAsia="zh-CN"/>
        </w:rPr>
        <w:t xml:space="preserve">二、 </w:t>
      </w:r>
      <w:r>
        <w:rPr>
          <w:rFonts w:hint="eastAsia" w:ascii="黑体" w:eastAsia="黑体" w:cs="Arial"/>
          <w:szCs w:val="21"/>
        </w:rPr>
        <w:t>编制原则</w:t>
      </w:r>
      <w:r>
        <w:rPr>
          <w:rFonts w:hint="eastAsia" w:ascii="黑体" w:eastAsia="黑体" w:cs="Arial"/>
          <w:szCs w:val="21"/>
          <w:lang w:eastAsia="zh-CN"/>
        </w:rPr>
        <w:t>、</w:t>
      </w:r>
      <w:r>
        <w:rPr>
          <w:rFonts w:hint="eastAsia" w:ascii="黑体" w:eastAsia="黑体" w:cs="Arial"/>
          <w:szCs w:val="21"/>
          <w:lang w:val="en-US" w:eastAsia="zh-CN"/>
        </w:rPr>
        <w:t>主要内容及其确定依据</w:t>
      </w:r>
      <w:r>
        <w:tab/>
      </w:r>
      <w:r>
        <w:fldChar w:fldCharType="begin"/>
      </w:r>
      <w:r>
        <w:instrText xml:space="preserve"> PAGEREF _Toc11406 \h </w:instrText>
      </w:r>
      <w:r>
        <w:fldChar w:fldCharType="separate"/>
      </w:r>
      <w:r>
        <w:t>7</w:t>
      </w:r>
      <w:r>
        <w:fldChar w:fldCharType="end"/>
      </w:r>
      <w:r>
        <w:rPr>
          <w:rFonts w:hint="eastAsia" w:ascii="宋体" w:hAnsi="宋体" w:eastAsia="宋体" w:cs="宋体"/>
          <w:szCs w:val="28"/>
          <w:lang w:val="en-US" w:eastAsia="zh-CN"/>
        </w:rPr>
        <w:fldChar w:fldCharType="end"/>
      </w:r>
    </w:p>
    <w:p w14:paraId="2BBEB57B">
      <w:pPr>
        <w:pStyle w:val="14"/>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_Toc11687 </w:instrText>
      </w:r>
      <w:r>
        <w:rPr>
          <w:rFonts w:hint="eastAsia" w:ascii="宋体" w:hAnsi="宋体" w:eastAsia="宋体" w:cs="宋体"/>
          <w:szCs w:val="28"/>
          <w:lang w:val="en-US" w:eastAsia="zh-CN"/>
        </w:rPr>
        <w:fldChar w:fldCharType="separate"/>
      </w:r>
      <w:r>
        <w:rPr>
          <w:rFonts w:hint="eastAsia" w:hAnsi="黑体" w:cs="黑体"/>
          <w:szCs w:val="21"/>
          <w:lang w:val="en-US" w:eastAsia="zh-CN"/>
        </w:rPr>
        <w:t>2.1 编制原则</w:t>
      </w:r>
      <w:r>
        <w:tab/>
      </w:r>
      <w:r>
        <w:fldChar w:fldCharType="begin"/>
      </w:r>
      <w:r>
        <w:instrText xml:space="preserve"> PAGEREF _Toc11687 \h </w:instrText>
      </w:r>
      <w:r>
        <w:fldChar w:fldCharType="separate"/>
      </w:r>
      <w:r>
        <w:t>7</w:t>
      </w:r>
      <w:r>
        <w:fldChar w:fldCharType="end"/>
      </w:r>
      <w:r>
        <w:rPr>
          <w:rFonts w:hint="eastAsia" w:ascii="宋体" w:hAnsi="宋体" w:eastAsia="宋体" w:cs="宋体"/>
          <w:szCs w:val="28"/>
          <w:lang w:val="en-US" w:eastAsia="zh-CN"/>
        </w:rPr>
        <w:fldChar w:fldCharType="end"/>
      </w:r>
    </w:p>
    <w:p w14:paraId="5B27DA64">
      <w:pPr>
        <w:pStyle w:val="14"/>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_Toc11967 </w:instrText>
      </w:r>
      <w:r>
        <w:rPr>
          <w:rFonts w:hint="eastAsia" w:ascii="宋体" w:hAnsi="宋体" w:eastAsia="宋体" w:cs="宋体"/>
          <w:szCs w:val="28"/>
          <w:lang w:val="en-US" w:eastAsia="zh-CN"/>
        </w:rPr>
        <w:fldChar w:fldCharType="separate"/>
      </w:r>
      <w:r>
        <w:rPr>
          <w:rFonts w:hint="eastAsia" w:hAnsi="黑体" w:cs="黑体"/>
          <w:szCs w:val="21"/>
          <w:highlight w:val="none"/>
          <w:lang w:val="en-US" w:eastAsia="zh-CN"/>
        </w:rPr>
        <w:t>2.2 标准主要技术内容的确定依据</w:t>
      </w:r>
      <w:r>
        <w:tab/>
      </w:r>
      <w:r>
        <w:fldChar w:fldCharType="begin"/>
      </w:r>
      <w:r>
        <w:instrText xml:space="preserve"> PAGEREF _Toc11967 \h </w:instrText>
      </w:r>
      <w:r>
        <w:fldChar w:fldCharType="separate"/>
      </w:r>
      <w:r>
        <w:t>7</w:t>
      </w:r>
      <w:r>
        <w:fldChar w:fldCharType="end"/>
      </w:r>
      <w:r>
        <w:rPr>
          <w:rFonts w:hint="eastAsia" w:ascii="宋体" w:hAnsi="宋体" w:eastAsia="宋体" w:cs="宋体"/>
          <w:szCs w:val="28"/>
          <w:lang w:val="en-US" w:eastAsia="zh-CN"/>
        </w:rPr>
        <w:fldChar w:fldCharType="end"/>
      </w:r>
    </w:p>
    <w:p w14:paraId="1DACCAEE">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_Toc15868 </w:instrText>
      </w:r>
      <w:r>
        <w:rPr>
          <w:rFonts w:hint="eastAsia" w:ascii="宋体" w:hAnsi="宋体" w:eastAsia="宋体" w:cs="宋体"/>
          <w:szCs w:val="28"/>
          <w:lang w:val="en-US" w:eastAsia="zh-CN"/>
        </w:rPr>
        <w:fldChar w:fldCharType="separate"/>
      </w:r>
      <w:r>
        <w:rPr>
          <w:rFonts w:hint="eastAsia" w:ascii="黑体" w:hAnsi="黑体" w:eastAsia="黑体" w:cs="黑体"/>
          <w:kern w:val="0"/>
          <w:szCs w:val="21"/>
          <w:lang w:val="en-US" w:eastAsia="zh-CN"/>
        </w:rPr>
        <w:t xml:space="preserve">三、 </w:t>
      </w:r>
      <w:r>
        <w:rPr>
          <w:rFonts w:hint="eastAsia" w:ascii="黑体" w:hAnsi="宋体" w:eastAsia="黑体" w:cs="Arial"/>
          <w:kern w:val="0"/>
          <w:szCs w:val="21"/>
          <w:lang w:val="en-US" w:eastAsia="zh-CN"/>
        </w:rPr>
        <w:t>试验验证分析、综述报告、技术经济论证、预期达到的经济效益、社会效益和生态效益</w:t>
      </w:r>
      <w:r>
        <w:tab/>
      </w:r>
      <w:r>
        <w:fldChar w:fldCharType="begin"/>
      </w:r>
      <w:r>
        <w:instrText xml:space="preserve"> PAGEREF _Toc15868 \h </w:instrText>
      </w:r>
      <w:r>
        <w:fldChar w:fldCharType="separate"/>
      </w:r>
      <w:r>
        <w:t>9</w:t>
      </w:r>
      <w:r>
        <w:fldChar w:fldCharType="end"/>
      </w:r>
      <w:r>
        <w:rPr>
          <w:rFonts w:hint="eastAsia" w:ascii="宋体" w:hAnsi="宋体" w:eastAsia="宋体" w:cs="宋体"/>
          <w:szCs w:val="28"/>
          <w:lang w:val="en-US" w:eastAsia="zh-CN"/>
        </w:rPr>
        <w:fldChar w:fldCharType="end"/>
      </w:r>
    </w:p>
    <w:p w14:paraId="4337205A">
      <w:pPr>
        <w:pStyle w:val="14"/>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_Toc14762 </w:instrText>
      </w:r>
      <w:r>
        <w:rPr>
          <w:rFonts w:hint="eastAsia" w:ascii="宋体" w:hAnsi="宋体" w:eastAsia="宋体" w:cs="宋体"/>
          <w:szCs w:val="28"/>
          <w:lang w:val="en-US" w:eastAsia="zh-CN"/>
        </w:rPr>
        <w:fldChar w:fldCharType="separate"/>
      </w:r>
      <w:r>
        <w:rPr>
          <w:rFonts w:hint="eastAsia" w:hAnsi="黑体" w:cs="黑体"/>
          <w:szCs w:val="21"/>
          <w:lang w:val="en-US" w:eastAsia="zh-CN"/>
        </w:rPr>
        <w:t>3.</w:t>
      </w:r>
      <w:r>
        <w:rPr>
          <w:rFonts w:hint="default" w:hAnsi="黑体" w:cs="黑体"/>
          <w:szCs w:val="21"/>
          <w:lang w:val="en-US" w:eastAsia="zh-CN"/>
        </w:rPr>
        <w:t>1</w:t>
      </w:r>
      <w:r>
        <w:rPr>
          <w:rFonts w:hint="eastAsia" w:hAnsi="黑体" w:cs="黑体"/>
          <w:szCs w:val="21"/>
          <w:lang w:val="en-US" w:eastAsia="zh-CN"/>
        </w:rPr>
        <w:t xml:space="preserve"> </w:t>
      </w:r>
      <w:r>
        <w:rPr>
          <w:rFonts w:hint="default" w:hAnsi="黑体" w:cs="黑体"/>
          <w:szCs w:val="21"/>
          <w:lang w:val="en-US" w:eastAsia="zh-CN"/>
        </w:rPr>
        <w:t>试验验证分析</w:t>
      </w:r>
      <w:r>
        <w:rPr>
          <w:rFonts w:hint="eastAsia" w:hAnsi="黑体" w:cs="黑体"/>
          <w:szCs w:val="21"/>
          <w:lang w:val="en-US" w:eastAsia="zh-CN"/>
        </w:rPr>
        <w:t>、</w:t>
      </w:r>
      <w:r>
        <w:rPr>
          <w:rFonts w:hint="default" w:hAnsi="黑体" w:cs="黑体"/>
          <w:szCs w:val="21"/>
          <w:lang w:val="en-US" w:eastAsia="zh-CN"/>
        </w:rPr>
        <w:t>综述报告</w:t>
      </w:r>
      <w:r>
        <w:rPr>
          <w:rFonts w:hint="eastAsia" w:hAnsi="黑体" w:cs="黑体"/>
          <w:szCs w:val="21"/>
          <w:lang w:val="en-US" w:eastAsia="zh-CN"/>
        </w:rPr>
        <w:t>和技术经济论证</w:t>
      </w:r>
      <w:r>
        <w:tab/>
      </w:r>
      <w:r>
        <w:fldChar w:fldCharType="begin"/>
      </w:r>
      <w:r>
        <w:instrText xml:space="preserve"> PAGEREF _Toc14762 \h </w:instrText>
      </w:r>
      <w:r>
        <w:fldChar w:fldCharType="separate"/>
      </w:r>
      <w:r>
        <w:t>9</w:t>
      </w:r>
      <w:r>
        <w:fldChar w:fldCharType="end"/>
      </w:r>
      <w:r>
        <w:rPr>
          <w:rFonts w:hint="eastAsia" w:ascii="宋体" w:hAnsi="宋体" w:eastAsia="宋体" w:cs="宋体"/>
          <w:szCs w:val="28"/>
          <w:lang w:val="en-US" w:eastAsia="zh-CN"/>
        </w:rPr>
        <w:fldChar w:fldCharType="end"/>
      </w:r>
    </w:p>
    <w:p w14:paraId="3DF3CA0C">
      <w:pPr>
        <w:pStyle w:val="14"/>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_Toc26527 </w:instrText>
      </w:r>
      <w:r>
        <w:rPr>
          <w:rFonts w:hint="eastAsia" w:ascii="宋体" w:hAnsi="宋体" w:eastAsia="宋体" w:cs="宋体"/>
          <w:szCs w:val="28"/>
          <w:lang w:val="en-US" w:eastAsia="zh-CN"/>
        </w:rPr>
        <w:fldChar w:fldCharType="separate"/>
      </w:r>
      <w:r>
        <w:rPr>
          <w:rFonts w:hint="eastAsia" w:hAnsi="黑体" w:cs="黑体"/>
          <w:szCs w:val="21"/>
          <w:lang w:val="en-US" w:eastAsia="zh-CN"/>
        </w:rPr>
        <w:t xml:space="preserve">3.2 </w:t>
      </w:r>
      <w:r>
        <w:rPr>
          <w:rFonts w:hint="default" w:hAnsi="黑体" w:cs="黑体"/>
          <w:szCs w:val="21"/>
          <w:lang w:val="en-US" w:eastAsia="zh-CN"/>
        </w:rPr>
        <w:t>标准的先进性、创新性、标准实施后预期产生的经济效益和社会效益</w:t>
      </w:r>
      <w:r>
        <w:tab/>
      </w:r>
      <w:r>
        <w:fldChar w:fldCharType="begin"/>
      </w:r>
      <w:r>
        <w:instrText xml:space="preserve"> PAGEREF _Toc26527 \h </w:instrText>
      </w:r>
      <w:r>
        <w:fldChar w:fldCharType="separate"/>
      </w:r>
      <w:r>
        <w:t>10</w:t>
      </w:r>
      <w:r>
        <w:fldChar w:fldCharType="end"/>
      </w:r>
      <w:r>
        <w:rPr>
          <w:rFonts w:hint="eastAsia" w:ascii="宋体" w:hAnsi="宋体" w:eastAsia="宋体" w:cs="宋体"/>
          <w:szCs w:val="28"/>
          <w:lang w:val="en-US" w:eastAsia="zh-CN"/>
        </w:rPr>
        <w:fldChar w:fldCharType="end"/>
      </w:r>
    </w:p>
    <w:p w14:paraId="5E38814A">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_Toc25394 </w:instrText>
      </w:r>
      <w:r>
        <w:rPr>
          <w:rFonts w:hint="eastAsia" w:ascii="宋体" w:hAnsi="宋体" w:eastAsia="宋体" w:cs="宋体"/>
          <w:szCs w:val="28"/>
          <w:lang w:val="en-US" w:eastAsia="zh-CN"/>
        </w:rPr>
        <w:fldChar w:fldCharType="separate"/>
      </w:r>
      <w:r>
        <w:rPr>
          <w:rFonts w:hint="eastAsia" w:ascii="黑体" w:hAnsi="黑体" w:eastAsia="黑体" w:cs="黑体"/>
          <w:kern w:val="0"/>
          <w:szCs w:val="21"/>
          <w:lang w:val="en-US" w:eastAsia="zh-CN"/>
        </w:rPr>
        <w:t xml:space="preserve">四、 </w:t>
      </w:r>
      <w:r>
        <w:rPr>
          <w:rFonts w:hint="eastAsia" w:ascii="黑体" w:hAnsi="宋体" w:eastAsia="黑体" w:cs="Arial"/>
          <w:kern w:val="0"/>
          <w:szCs w:val="21"/>
          <w:lang w:val="en-US" w:eastAsia="zh-CN"/>
        </w:rPr>
        <w:t>与国际标准和国外先进标准技术内容的对比</w:t>
      </w:r>
      <w:r>
        <w:tab/>
      </w:r>
      <w:r>
        <w:fldChar w:fldCharType="begin"/>
      </w:r>
      <w:r>
        <w:instrText xml:space="preserve"> PAGEREF _Toc25394 \h </w:instrText>
      </w:r>
      <w:r>
        <w:fldChar w:fldCharType="separate"/>
      </w:r>
      <w:r>
        <w:t>10</w:t>
      </w:r>
      <w:r>
        <w:fldChar w:fldCharType="end"/>
      </w:r>
      <w:r>
        <w:rPr>
          <w:rFonts w:hint="eastAsia" w:ascii="宋体" w:hAnsi="宋体" w:eastAsia="宋体" w:cs="宋体"/>
          <w:szCs w:val="28"/>
          <w:lang w:val="en-US" w:eastAsia="zh-CN"/>
        </w:rPr>
        <w:fldChar w:fldCharType="end"/>
      </w:r>
    </w:p>
    <w:p w14:paraId="318B845E">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_Toc26323 </w:instrText>
      </w:r>
      <w:r>
        <w:rPr>
          <w:rFonts w:hint="eastAsia" w:ascii="宋体" w:hAnsi="宋体" w:eastAsia="宋体" w:cs="宋体"/>
          <w:szCs w:val="28"/>
          <w:lang w:val="en-US" w:eastAsia="zh-CN"/>
        </w:rPr>
        <w:fldChar w:fldCharType="separate"/>
      </w:r>
      <w:r>
        <w:rPr>
          <w:rFonts w:hint="eastAsia" w:ascii="黑体" w:hAnsi="黑体" w:eastAsia="黑体" w:cs="黑体"/>
          <w:kern w:val="0"/>
          <w:szCs w:val="21"/>
          <w:lang w:val="en-US" w:eastAsia="zh-CN"/>
        </w:rPr>
        <w:t xml:space="preserve">五、 </w:t>
      </w:r>
      <w:r>
        <w:rPr>
          <w:rFonts w:hint="eastAsia" w:ascii="黑体" w:hAnsi="宋体" w:eastAsia="黑体" w:cs="Arial"/>
          <w:kern w:val="0"/>
          <w:szCs w:val="21"/>
          <w:lang w:val="en-US" w:eastAsia="zh-CN"/>
        </w:rPr>
        <w:t>以国际标准为基础的起草情况以及是否合规采用国际国外标准、未采用国际标准的原因</w:t>
      </w:r>
      <w:r>
        <w:tab/>
      </w:r>
      <w:r>
        <w:fldChar w:fldCharType="begin"/>
      </w:r>
      <w:r>
        <w:instrText xml:space="preserve"> PAGEREF _Toc26323 \h </w:instrText>
      </w:r>
      <w:r>
        <w:fldChar w:fldCharType="separate"/>
      </w:r>
      <w:r>
        <w:t>11</w:t>
      </w:r>
      <w:r>
        <w:fldChar w:fldCharType="end"/>
      </w:r>
      <w:r>
        <w:rPr>
          <w:rFonts w:hint="eastAsia" w:ascii="宋体" w:hAnsi="宋体" w:eastAsia="宋体" w:cs="宋体"/>
          <w:szCs w:val="28"/>
          <w:lang w:val="en-US" w:eastAsia="zh-CN"/>
        </w:rPr>
        <w:fldChar w:fldCharType="end"/>
      </w:r>
    </w:p>
    <w:p w14:paraId="3ED627D0">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_Toc9425 </w:instrText>
      </w:r>
      <w:r>
        <w:rPr>
          <w:rFonts w:hint="eastAsia" w:ascii="宋体" w:hAnsi="宋体" w:eastAsia="宋体" w:cs="宋体"/>
          <w:szCs w:val="28"/>
          <w:lang w:val="en-US" w:eastAsia="zh-CN"/>
        </w:rPr>
        <w:fldChar w:fldCharType="separate"/>
      </w:r>
      <w:r>
        <w:rPr>
          <w:rFonts w:hint="eastAsia" w:ascii="黑体" w:hAnsi="黑体" w:eastAsia="黑体" w:cs="黑体"/>
          <w:kern w:val="0"/>
          <w:szCs w:val="21"/>
          <w:lang w:val="en-US" w:eastAsia="zh-CN"/>
        </w:rPr>
        <w:t xml:space="preserve">六、 </w:t>
      </w:r>
      <w:r>
        <w:rPr>
          <w:rFonts w:hint="eastAsia" w:ascii="黑体" w:hAnsi="宋体" w:eastAsia="黑体" w:cs="Arial"/>
          <w:kern w:val="0"/>
          <w:szCs w:val="21"/>
          <w:lang w:val="en-US" w:eastAsia="zh-CN"/>
        </w:rPr>
        <w:t>与有关法律、行政法规及相关标准的关系</w:t>
      </w:r>
      <w:r>
        <w:tab/>
      </w:r>
      <w:r>
        <w:fldChar w:fldCharType="begin"/>
      </w:r>
      <w:r>
        <w:instrText xml:space="preserve"> PAGEREF _Toc9425 \h </w:instrText>
      </w:r>
      <w:r>
        <w:fldChar w:fldCharType="separate"/>
      </w:r>
      <w:r>
        <w:t>11</w:t>
      </w:r>
      <w:r>
        <w:fldChar w:fldCharType="end"/>
      </w:r>
      <w:r>
        <w:rPr>
          <w:rFonts w:hint="eastAsia" w:ascii="宋体" w:hAnsi="宋体" w:eastAsia="宋体" w:cs="宋体"/>
          <w:szCs w:val="28"/>
          <w:lang w:val="en-US" w:eastAsia="zh-CN"/>
        </w:rPr>
        <w:fldChar w:fldCharType="end"/>
      </w:r>
    </w:p>
    <w:p w14:paraId="2299F9B3">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_Toc19557 </w:instrText>
      </w:r>
      <w:r>
        <w:rPr>
          <w:rFonts w:hint="eastAsia" w:ascii="宋体" w:hAnsi="宋体" w:eastAsia="宋体" w:cs="宋体"/>
          <w:szCs w:val="28"/>
          <w:lang w:val="en-US" w:eastAsia="zh-CN"/>
        </w:rPr>
        <w:fldChar w:fldCharType="separate"/>
      </w:r>
      <w:r>
        <w:rPr>
          <w:rFonts w:hint="eastAsia" w:ascii="黑体" w:hAnsi="黑体" w:eastAsia="黑体" w:cs="黑体"/>
          <w:kern w:val="0"/>
          <w:szCs w:val="21"/>
          <w:lang w:val="en-US" w:eastAsia="zh-CN"/>
        </w:rPr>
        <w:t xml:space="preserve">七、 </w:t>
      </w:r>
      <w:r>
        <w:rPr>
          <w:rFonts w:hint="eastAsia" w:ascii="黑体" w:hAnsi="宋体" w:eastAsia="黑体" w:cs="Arial"/>
          <w:kern w:val="0"/>
          <w:szCs w:val="21"/>
          <w:lang w:val="en-US" w:eastAsia="zh-CN"/>
        </w:rPr>
        <w:t>重大分歧意见的处理经过和依据</w:t>
      </w:r>
      <w:r>
        <w:tab/>
      </w:r>
      <w:r>
        <w:fldChar w:fldCharType="begin"/>
      </w:r>
      <w:r>
        <w:instrText xml:space="preserve"> PAGEREF _Toc19557 \h </w:instrText>
      </w:r>
      <w:r>
        <w:fldChar w:fldCharType="separate"/>
      </w:r>
      <w:r>
        <w:t>11</w:t>
      </w:r>
      <w:r>
        <w:fldChar w:fldCharType="end"/>
      </w:r>
      <w:r>
        <w:rPr>
          <w:rFonts w:hint="eastAsia" w:ascii="宋体" w:hAnsi="宋体" w:eastAsia="宋体" w:cs="宋体"/>
          <w:szCs w:val="28"/>
          <w:lang w:val="en-US" w:eastAsia="zh-CN"/>
        </w:rPr>
        <w:fldChar w:fldCharType="end"/>
      </w:r>
    </w:p>
    <w:p w14:paraId="1493B44A">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_Toc15476 </w:instrText>
      </w:r>
      <w:r>
        <w:rPr>
          <w:rFonts w:hint="eastAsia" w:ascii="宋体" w:hAnsi="宋体" w:eastAsia="宋体" w:cs="宋体"/>
          <w:szCs w:val="28"/>
          <w:lang w:val="en-US" w:eastAsia="zh-CN"/>
        </w:rPr>
        <w:fldChar w:fldCharType="separate"/>
      </w:r>
      <w:r>
        <w:rPr>
          <w:rFonts w:hint="eastAsia" w:ascii="黑体" w:hAnsi="黑体" w:eastAsia="黑体" w:cs="黑体"/>
          <w:kern w:val="0"/>
          <w:szCs w:val="21"/>
          <w:lang w:val="en-US" w:eastAsia="zh-CN"/>
        </w:rPr>
        <w:t xml:space="preserve">八、 </w:t>
      </w:r>
      <w:r>
        <w:rPr>
          <w:rFonts w:hint="eastAsia" w:ascii="黑体" w:hAnsi="宋体" w:eastAsia="黑体" w:cs="Arial"/>
          <w:kern w:val="0"/>
          <w:szCs w:val="21"/>
          <w:lang w:val="en-US" w:eastAsia="zh-CN"/>
        </w:rPr>
        <w:t>涉及专利的有关说明</w:t>
      </w:r>
      <w:r>
        <w:tab/>
      </w:r>
      <w:r>
        <w:fldChar w:fldCharType="begin"/>
      </w:r>
      <w:r>
        <w:instrText xml:space="preserve"> PAGEREF _Toc15476 \h </w:instrText>
      </w:r>
      <w:r>
        <w:fldChar w:fldCharType="separate"/>
      </w:r>
      <w:r>
        <w:t>11</w:t>
      </w:r>
      <w:r>
        <w:fldChar w:fldCharType="end"/>
      </w:r>
      <w:r>
        <w:rPr>
          <w:rFonts w:hint="eastAsia" w:ascii="宋体" w:hAnsi="宋体" w:eastAsia="宋体" w:cs="宋体"/>
          <w:szCs w:val="28"/>
          <w:lang w:val="en-US" w:eastAsia="zh-CN"/>
        </w:rPr>
        <w:fldChar w:fldCharType="end"/>
      </w:r>
    </w:p>
    <w:p w14:paraId="30EF7E72">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_Toc21907 </w:instrText>
      </w:r>
      <w:r>
        <w:rPr>
          <w:rFonts w:hint="eastAsia" w:ascii="宋体" w:hAnsi="宋体" w:eastAsia="宋体" w:cs="宋体"/>
          <w:szCs w:val="28"/>
          <w:lang w:val="en-US" w:eastAsia="zh-CN"/>
        </w:rPr>
        <w:fldChar w:fldCharType="separate"/>
      </w:r>
      <w:r>
        <w:rPr>
          <w:rFonts w:hint="eastAsia" w:ascii="黑体" w:hAnsi="黑体" w:eastAsia="黑体" w:cs="黑体"/>
          <w:kern w:val="0"/>
          <w:szCs w:val="21"/>
          <w:lang w:val="en-US" w:eastAsia="zh-CN"/>
        </w:rPr>
        <w:t xml:space="preserve">九、 </w:t>
      </w:r>
      <w:r>
        <w:rPr>
          <w:rFonts w:hint="eastAsia" w:ascii="黑体" w:hAnsi="宋体" w:eastAsia="黑体" w:cs="Arial"/>
          <w:kern w:val="0"/>
          <w:szCs w:val="21"/>
          <w:lang w:val="en-US" w:eastAsia="zh-CN"/>
        </w:rPr>
        <w:t>实施国家标准的要求以及组织措施、技术措施、过渡期和实施日期的建议等措施建议</w:t>
      </w:r>
      <w:r>
        <w:tab/>
      </w:r>
      <w:r>
        <w:fldChar w:fldCharType="begin"/>
      </w:r>
      <w:r>
        <w:instrText xml:space="preserve"> PAGEREF _Toc21907 \h </w:instrText>
      </w:r>
      <w:r>
        <w:fldChar w:fldCharType="separate"/>
      </w:r>
      <w:r>
        <w:t>11</w:t>
      </w:r>
      <w:r>
        <w:fldChar w:fldCharType="end"/>
      </w:r>
      <w:r>
        <w:rPr>
          <w:rFonts w:hint="eastAsia" w:ascii="宋体" w:hAnsi="宋体" w:eastAsia="宋体" w:cs="宋体"/>
          <w:szCs w:val="28"/>
          <w:lang w:val="en-US" w:eastAsia="zh-CN"/>
        </w:rPr>
        <w:fldChar w:fldCharType="end"/>
      </w:r>
    </w:p>
    <w:p w14:paraId="49F891FB">
      <w:pPr>
        <w:pStyle w:val="13"/>
        <w:tabs>
          <w:tab w:val="right" w:leader="dot" w:pos="8346"/>
        </w:tabs>
      </w:pPr>
      <w:r>
        <w:rPr>
          <w:rFonts w:hint="eastAsia" w:ascii="宋体" w:hAnsi="宋体" w:eastAsia="宋体" w:cs="宋体"/>
          <w:szCs w:val="28"/>
          <w:lang w:val="en-US" w:eastAsia="zh-CN"/>
        </w:rPr>
        <w:fldChar w:fldCharType="begin"/>
      </w:r>
      <w:r>
        <w:rPr>
          <w:rFonts w:hint="eastAsia" w:ascii="宋体" w:hAnsi="宋体" w:eastAsia="宋体" w:cs="宋体"/>
          <w:szCs w:val="28"/>
          <w:lang w:val="en-US" w:eastAsia="zh-CN"/>
        </w:rPr>
        <w:instrText xml:space="preserve"> HYPERLINK \l _Toc13633 </w:instrText>
      </w:r>
      <w:r>
        <w:rPr>
          <w:rFonts w:hint="eastAsia" w:ascii="宋体" w:hAnsi="宋体" w:eastAsia="宋体" w:cs="宋体"/>
          <w:szCs w:val="28"/>
          <w:lang w:val="en-US" w:eastAsia="zh-CN"/>
        </w:rPr>
        <w:fldChar w:fldCharType="separate"/>
      </w:r>
      <w:r>
        <w:rPr>
          <w:rFonts w:hint="eastAsia" w:ascii="黑体" w:hAnsi="黑体" w:eastAsia="黑体" w:cs="黑体"/>
          <w:kern w:val="0"/>
          <w:szCs w:val="21"/>
          <w:lang w:val="en-US" w:eastAsia="zh-CN"/>
        </w:rPr>
        <w:t xml:space="preserve">十、 </w:t>
      </w:r>
      <w:r>
        <w:rPr>
          <w:rFonts w:hint="eastAsia" w:ascii="黑体" w:hAnsi="宋体" w:eastAsia="黑体" w:cs="Arial"/>
          <w:kern w:val="0"/>
          <w:szCs w:val="21"/>
          <w:lang w:val="en-US" w:eastAsia="zh-CN"/>
        </w:rPr>
        <w:t>其他应予说明的事项</w:t>
      </w:r>
      <w:r>
        <w:tab/>
      </w:r>
      <w:r>
        <w:fldChar w:fldCharType="begin"/>
      </w:r>
      <w:r>
        <w:instrText xml:space="preserve"> PAGEREF _Toc13633 \h </w:instrText>
      </w:r>
      <w:r>
        <w:fldChar w:fldCharType="separate"/>
      </w:r>
      <w:r>
        <w:t>11</w:t>
      </w:r>
      <w:r>
        <w:fldChar w:fldCharType="end"/>
      </w:r>
      <w:r>
        <w:rPr>
          <w:rFonts w:hint="eastAsia" w:ascii="宋体" w:hAnsi="宋体" w:eastAsia="宋体" w:cs="宋体"/>
          <w:szCs w:val="28"/>
          <w:lang w:val="en-US" w:eastAsia="zh-CN"/>
        </w:rPr>
        <w:fldChar w:fldCharType="end"/>
      </w:r>
    </w:p>
    <w:p w14:paraId="7143A179">
      <w:pPr>
        <w:pStyle w:val="6"/>
        <w:keepNext w:val="0"/>
        <w:keepLines w:val="0"/>
        <w:pageBreakBefore w:val="0"/>
        <w:widowControl w:val="0"/>
        <w:kinsoku/>
        <w:wordWrap/>
        <w:overflowPunct/>
        <w:topLinePunct w:val="0"/>
        <w:autoSpaceDE/>
        <w:autoSpaceDN/>
        <w:bidi w:val="0"/>
        <w:adjustRightInd/>
        <w:snapToGrid/>
        <w:spacing w:before="0" w:beforeLines="0" w:afterAutospacing="0" w:line="360" w:lineRule="auto"/>
        <w:textAlignment w:val="auto"/>
        <w:rPr>
          <w:rFonts w:hint="eastAsia" w:eastAsia="黑体"/>
          <w:color w:val="auto"/>
          <w:sz w:val="28"/>
          <w:szCs w:val="28"/>
        </w:rPr>
      </w:pPr>
      <w:r>
        <w:rPr>
          <w:rFonts w:hint="eastAsia" w:ascii="宋体" w:hAnsi="宋体" w:eastAsia="宋体" w:cs="宋体"/>
          <w:szCs w:val="28"/>
          <w:lang w:val="en-US" w:eastAsia="zh-CN"/>
        </w:rPr>
        <w:fldChar w:fldCharType="end"/>
      </w:r>
    </w:p>
    <w:p w14:paraId="64B0B0A1">
      <w:pPr>
        <w:pStyle w:val="6"/>
        <w:rPr>
          <w:rFonts w:hint="eastAsia" w:eastAsia="黑体"/>
          <w:color w:val="auto"/>
          <w:sz w:val="28"/>
          <w:szCs w:val="28"/>
        </w:rPr>
      </w:pPr>
    </w:p>
    <w:p w14:paraId="3F7A6D71">
      <w:pPr>
        <w:rPr>
          <w:rFonts w:hint="eastAsia"/>
        </w:rPr>
        <w:sectPr>
          <w:footerReference r:id="rId3" w:type="default"/>
          <w:pgSz w:w="11906" w:h="16838"/>
          <w:pgMar w:top="1440" w:right="1780" w:bottom="1440" w:left="1780" w:header="851" w:footer="992" w:gutter="0"/>
          <w:pgNumType w:fmt="decimal" w:start="1"/>
          <w:cols w:space="425" w:num="1"/>
          <w:docGrid w:type="lines" w:linePitch="312" w:charSpace="0"/>
        </w:sectPr>
      </w:pPr>
    </w:p>
    <w:p w14:paraId="22509439">
      <w:pPr>
        <w:jc w:val="center"/>
        <w:rPr>
          <w:rFonts w:hint="eastAsia" w:eastAsia="黑体"/>
          <w:color w:val="auto"/>
          <w:sz w:val="44"/>
          <w:szCs w:val="44"/>
          <w:lang w:val="en-US" w:eastAsia="zh-CN"/>
        </w:rPr>
      </w:pPr>
      <w:r>
        <w:rPr>
          <w:rFonts w:hint="eastAsia" w:eastAsia="黑体"/>
          <w:color w:val="auto"/>
          <w:sz w:val="44"/>
          <w:szCs w:val="44"/>
          <w:lang w:val="en-US" w:eastAsia="zh-CN"/>
        </w:rPr>
        <w:t>行业标准《有色金属行业工业数据分类分级指南》编制说明</w:t>
      </w:r>
    </w:p>
    <w:p w14:paraId="75F20C7F">
      <w:pPr>
        <w:jc w:val="center"/>
        <w:rPr>
          <w:lang w:val="de-DE"/>
        </w:rPr>
      </w:pPr>
      <w:r>
        <w:rPr>
          <w:rFonts w:hint="eastAsia" w:eastAsia="黑体"/>
          <w:color w:val="auto"/>
          <w:sz w:val="44"/>
          <w:szCs w:val="44"/>
          <w:lang w:val="en-US" w:eastAsia="zh-CN"/>
        </w:rPr>
        <w:t>（送审稿）</w:t>
      </w:r>
    </w:p>
    <w:p w14:paraId="60F2FBB6">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firstLine="0" w:firstLineChars="0"/>
        <w:jc w:val="both"/>
        <w:textAlignment w:val="auto"/>
        <w:outlineLvl w:val="0"/>
        <w:rPr>
          <w:rFonts w:hint="eastAsia" w:ascii="黑体" w:hAnsi="宋体" w:eastAsia="黑体" w:cs="Arial"/>
          <w:b w:val="0"/>
          <w:bCs w:val="0"/>
          <w:color w:val="auto"/>
          <w:sz w:val="21"/>
          <w:szCs w:val="21"/>
        </w:rPr>
      </w:pPr>
      <w:bookmarkStart w:id="0" w:name="_Toc30393"/>
      <w:r>
        <w:rPr>
          <w:rFonts w:hint="eastAsia" w:ascii="黑体" w:hAnsi="宋体" w:eastAsia="黑体" w:cs="Arial"/>
          <w:b w:val="0"/>
          <w:bCs w:val="0"/>
          <w:color w:val="auto"/>
          <w:sz w:val="21"/>
          <w:szCs w:val="21"/>
        </w:rPr>
        <w:t>工作简况</w:t>
      </w:r>
      <w:bookmarkEnd w:id="0"/>
    </w:p>
    <w:p w14:paraId="03E04791">
      <w:pPr>
        <w:pStyle w:val="26"/>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hAnsi="黑体" w:cs="黑体"/>
          <w:color w:val="auto"/>
          <w:szCs w:val="21"/>
          <w:lang w:val="en-US" w:eastAsia="zh-CN"/>
        </w:rPr>
      </w:pPr>
      <w:bookmarkStart w:id="1" w:name="_Toc17630"/>
      <w:r>
        <w:rPr>
          <w:rFonts w:hint="eastAsia" w:hAnsi="黑体" w:cs="黑体"/>
          <w:color w:val="auto"/>
          <w:szCs w:val="21"/>
          <w:lang w:val="en-US" w:eastAsia="zh-CN"/>
        </w:rPr>
        <w:t>1.1任务来源</w:t>
      </w:r>
      <w:bookmarkEnd w:id="1"/>
    </w:p>
    <w:p w14:paraId="5C2AD092">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2025年3月26日，全国有色金属标准化技术委员会在广东韶关召开有色金属行业智能制造标准大会，经大会论证，《有色金属行业数据安全管理技术要求》修改为《有色金属行业工业数据分类分级指南》，修订后进行申报。</w:t>
      </w:r>
    </w:p>
    <w:p w14:paraId="2668245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2025年12月29日，根据《工业和信息化部办公厅关于印发2025年第五批行业标准制修订和外文版项目计划的通知》（工信厅科函〔2025〕528号）文件要求，行业标准《有色金属行业工业数据分类分级指南》由全国有色金属标准化技术委员会重金属分技术委员会归口，标准计划编号：2025-1176T-YS，项目周期为12个月，计划于2026年12月完成。</w:t>
      </w:r>
    </w:p>
    <w:p w14:paraId="26A0A798">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标准由江西铜业股份有限公司牵头组织编制，</w:t>
      </w:r>
      <w:r>
        <w:rPr>
          <w:rFonts w:hint="eastAsia" w:ascii="宋体" w:hAnsi="宋体" w:cs="宋体"/>
          <w:kern w:val="0"/>
          <w:highlight w:val="none"/>
        </w:rPr>
        <w:t>国家工业信息安全发展研究中心、中国有色金属工业协会、云南铜业股份有限公司西南铜业分公司、江西铜锐信息技术有限公司、北矿智云科技（北京）有限公司、矿冶科技集团有限公司、宁波金田铜业（集团）股份有限公司、江苏中商碳素研究院有限公司、宝钛集团有限公司、江西铜业股份有限公司贵溪冶炼厂、中铝郑州有色金属研究院有限公司、深圳市中金岭南有色金属股份有限公司、江西铜业铅锌金属有限公司、北方铜业股份有限公司、云南驰宏锌锗股份有限公司、云南铝业股份有限公司、云南锡业集团（控股）有限责任公司、中色科技股份有限公司、金川集团股份有限公司、铜陵有色金属集团股份有限公司</w:t>
      </w:r>
      <w:r>
        <w:rPr>
          <w:rFonts w:hint="eastAsia" w:ascii="宋体" w:hAnsi="宋体" w:eastAsia="宋体" w:cs="宋体"/>
          <w:color w:val="auto"/>
          <w:kern w:val="2"/>
          <w:sz w:val="21"/>
          <w:szCs w:val="21"/>
          <w:lang w:val="en-US" w:eastAsia="zh-CN"/>
        </w:rPr>
        <w:t>等共同组成编制组，开展标准编制工作。</w:t>
      </w:r>
    </w:p>
    <w:p w14:paraId="1C0ED4BF">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根据《国家智能制造标准体系建设指南（2024版）》，本标准在国家智能制造标准体系中属于“C行业应用-CB有色金属”行业应用标准，位于“B关键技术-BE智能赋能技术-BEB大数据”层级。</w:t>
      </w:r>
    </w:p>
    <w:p w14:paraId="16A2E9C4">
      <w:pPr>
        <w:pStyle w:val="26"/>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hAnsi="黑体" w:cs="黑体"/>
          <w:color w:val="auto"/>
          <w:szCs w:val="21"/>
          <w:lang w:val="en-US" w:eastAsia="zh-CN"/>
        </w:rPr>
      </w:pPr>
      <w:bookmarkStart w:id="2" w:name="_Toc17224"/>
      <w:r>
        <w:rPr>
          <w:rFonts w:hint="eastAsia" w:hAnsi="黑体" w:cs="黑体"/>
          <w:color w:val="auto"/>
          <w:szCs w:val="21"/>
          <w:lang w:val="en-US" w:eastAsia="zh-CN"/>
        </w:rPr>
        <w:t>1.2立项目的和意义</w:t>
      </w:r>
      <w:bookmarkEnd w:id="2"/>
    </w:p>
    <w:p w14:paraId="2429F627">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有色金属行业作为国民经济的重要支柱产业，其数字化转型是实现高质量发展的关键途径。随着大数据、云计算、人工智能等信息技术与有色金属行业的深度融合，数据已成为行业发展的核心生产要素，保障数据安全，关乎行业发展、国家安全大局。开展数据安全保护工作，首先需要对数据进行分类分级，识别重要数据和核心数据，然后建立相应的数据安全保护措施。因此，制定有色金属行业工业数据分类分级指南，不仅是推动《中华人民共和国数据安全法》《工业和信息化领域数据安全管理办法（试行）》等在工业领域的落地实施，更为工业企业提高数据安全治理能力、促进数据要素在产业链上下游有序流动和价值释放提供有力支撑，助力行业高质量发展。</w:t>
      </w:r>
    </w:p>
    <w:p w14:paraId="5F2EE89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1、应对有色金属数据安全威胁，保护核心数据和重要数据</w:t>
      </w:r>
    </w:p>
    <w:p w14:paraId="4AD75F49">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有色金属行业的数据安全直接关系到国家资源战略、经济运行和社会秩序。例如，稀有金属的储备数据一旦泄露，可能影响国家资源战略安全；冶炼工艺参数的泄露则可能损害企业的核心竞争力。本标准通过识别分级要素（如业务领域、责任主体、流程环节、描述对象、数据用途等），分析数据在泄露、篡改、损毁或非法使用时可能造成的影响对象（如国家安全、经济运行、社会秩序、公共利益、组织权益、个人权益）及影响程度（特别严重危害、严重危害、一般危害），综合确定数据级别（核心数据、重要数据、一般数据）。这种精细化的分级方法能够帮助企业明确数据的重要程度，从而开展重点安全防护。</w:t>
      </w:r>
    </w:p>
    <w:p w14:paraId="76F4E2BE">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2、有色金属行业数据管理规范的基础</w:t>
      </w:r>
    </w:p>
    <w:p w14:paraId="63808C8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目前有色金属行业缺少数据管理规范体系的相关标准，而数据分类分级是实现数据管理的基础，该标准的建立可为构建有色金属行业数据管理标准体系奠定基础。</w:t>
      </w:r>
    </w:p>
    <w:p w14:paraId="57DF46F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3、促进行业内部数据共享流通</w:t>
      </w:r>
    </w:p>
    <w:p w14:paraId="033FC4CA">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标准通过统一数据分类分级规则，明确安全责任与共享边界，推动地质勘探、生产调度、供应链等关键数据在采矿、冶炼、加工等环节的高效互通，实现矿产储量与下游产能精准匹配，为行业构建可信数据生态、释放数据价值奠定基础。</w:t>
      </w:r>
    </w:p>
    <w:p w14:paraId="2B4B47E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4、贯彻落实国家战略部署和法规要求的重要举措</w:t>
      </w:r>
    </w:p>
    <w:p w14:paraId="345FAD9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标准的制定是贯彻落实国家“制造强国”“网络强国”等战略部署的关键抓手，通过将法规要求转化为行业可操作的分类分级细则，推动数据要素安全流通与价值释放；同时，通过规范战略资源数据的全流程管控，保障国家资源安全底线，助力“一带一路”倡议中中国技术标准与数据治理模式的海外输出，为构建新发展格局提供行业实践范例，实现国家战略与产业升级的同频共振。</w:t>
      </w:r>
    </w:p>
    <w:p w14:paraId="3C0F2D5A">
      <w:pPr>
        <w:pStyle w:val="26"/>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hAnsi="黑体" w:cs="黑体"/>
          <w:color w:val="auto"/>
          <w:szCs w:val="21"/>
          <w:lang w:val="en-US" w:eastAsia="zh-CN"/>
        </w:rPr>
      </w:pPr>
      <w:bookmarkStart w:id="3" w:name="_Toc32749"/>
      <w:r>
        <w:rPr>
          <w:rFonts w:hint="eastAsia" w:hAnsi="黑体" w:cs="黑体"/>
          <w:color w:val="auto"/>
          <w:szCs w:val="21"/>
          <w:lang w:val="en-US" w:eastAsia="zh-CN"/>
        </w:rPr>
        <w:t>1.3主要参加单位和工作成员所作的工作</w:t>
      </w:r>
      <w:bookmarkEnd w:id="3"/>
    </w:p>
    <w:p w14:paraId="5E56CFB7">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default" w:ascii="黑体" w:hAnsi="黑体" w:eastAsia="黑体" w:cs="黑体"/>
          <w:color w:val="auto"/>
          <w:kern w:val="0"/>
          <w:sz w:val="21"/>
          <w:szCs w:val="21"/>
          <w:lang w:val="en-US" w:eastAsia="zh-CN"/>
        </w:rPr>
      </w:pPr>
      <w:r>
        <w:rPr>
          <w:rFonts w:hint="eastAsia" w:ascii="黑体" w:hAnsi="黑体" w:eastAsia="黑体" w:cs="黑体"/>
          <w:color w:val="auto"/>
          <w:kern w:val="0"/>
          <w:sz w:val="21"/>
          <w:szCs w:val="21"/>
          <w:lang w:val="en-US" w:eastAsia="zh-CN"/>
        </w:rPr>
        <w:t>1.3.1主要参加单位情况</w:t>
      </w:r>
    </w:p>
    <w:p w14:paraId="43331FDC">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本标准由江西铜业股份有限公司牵头，主要参加单位包括</w:t>
      </w:r>
      <w:r>
        <w:rPr>
          <w:rFonts w:hint="eastAsia" w:ascii="宋体" w:hAnsi="宋体" w:eastAsia="宋体" w:cs="宋体"/>
          <w:color w:val="auto"/>
          <w:kern w:val="2"/>
          <w:sz w:val="21"/>
          <w:szCs w:val="21"/>
          <w:highlight w:val="none"/>
          <w:lang w:val="en-US" w:eastAsia="zh-CN"/>
        </w:rPr>
        <w:t>国家工业信息安全发展研究中心、中国有色金属工业协会、云南铜业股份有限公司西南铜业分公司、江西铜锐信息技术有限公司、北矿智云科技（北京）有限公司、矿冶科技集团有限公司、宁波金田铜业（集团）股份有限公司、江苏中商碳素研究院有限公司、宝钛集团有限公司、江西铜业股份有限公司贵溪冶炼厂、中铝郑州有色金属研究院有限公司、深圳市中金岭南有色金属股份有限公司、江西铜业铅锌金属有限公司、北方铜业股份有限公司、云南驰宏锌锗股份有限公司、云南铝业股份有限公司、云南锡业集团（控股）有限责任公司、中色科技股份有限公司、金川集团股份有限公司、铜陵有色金属集团股份有限公司</w:t>
      </w:r>
      <w:r>
        <w:rPr>
          <w:rFonts w:hint="eastAsia" w:ascii="宋体" w:hAnsi="宋体" w:eastAsia="宋体" w:cs="宋体"/>
          <w:color w:val="auto"/>
          <w:kern w:val="2"/>
          <w:sz w:val="21"/>
          <w:szCs w:val="21"/>
          <w:lang w:val="en-US" w:eastAsia="zh-CN"/>
        </w:rPr>
        <w:t>等。</w:t>
      </w:r>
    </w:p>
    <w:p w14:paraId="2F92B27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firstLine="420" w:firstLineChars="200"/>
        <w:jc w:val="both"/>
        <w:textAlignment w:val="auto"/>
        <w:rPr>
          <w:rFonts w:hint="eastAsia" w:hAnsi="黑体" w:cs="黑体"/>
          <w:color w:val="auto"/>
          <w:kern w:val="2"/>
          <w:sz w:val="21"/>
          <w:szCs w:val="21"/>
          <w:lang w:val="en-US" w:eastAsia="zh-CN"/>
        </w:rPr>
      </w:pPr>
      <w:r>
        <w:rPr>
          <w:rFonts w:hint="eastAsia" w:hAnsi="黑体" w:cs="黑体"/>
          <w:color w:val="auto"/>
          <w:kern w:val="2"/>
          <w:sz w:val="21"/>
          <w:szCs w:val="21"/>
          <w:lang w:val="en-US" w:eastAsia="zh-CN"/>
        </w:rPr>
        <w:t>江西铜业股份有限公司</w:t>
      </w:r>
    </w:p>
    <w:p w14:paraId="43D7E8D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hAnsi="黑体" w:cs="黑体" w:asciiTheme="minorHAnsi" w:eastAsiaTheme="minorEastAsia"/>
          <w:color w:val="auto"/>
          <w:kern w:val="2"/>
          <w:sz w:val="21"/>
          <w:szCs w:val="21"/>
          <w:lang w:val="en-US" w:eastAsia="zh-CN"/>
        </w:rPr>
      </w:pPr>
      <w:r>
        <w:rPr>
          <w:rFonts w:hint="eastAsia" w:hAnsi="黑体" w:cs="黑体" w:asciiTheme="minorHAnsi" w:eastAsiaTheme="minorEastAsia"/>
          <w:color w:val="auto"/>
          <w:kern w:val="2"/>
          <w:sz w:val="21"/>
          <w:szCs w:val="21"/>
          <w:lang w:val="en-US" w:eastAsia="zh-CN"/>
        </w:rPr>
        <w:t>江西铜业股份有限公司（简称“江铜”）成立于1979年，并于1997年在香港、伦敦同时上市，成为国内首支境外上市矿业股，也是中国铜行业和江西省首家世界500强企业。2019年，江铜成功完成恒邦股份控股收购；由江铜作为主要股东的佳鑫国际资源投资有限公司于2025年8月28日正式在香港联交所主板、阿斯塔纳国际交易所“一带一路”板同步上市，江铜旗下上市公司增至三家。2025年，江铜实现营业收入5735亿元，利润107亿元，现位列《财富》世界500强第165位。目前，江铜在铜以及相关有色金属领域，拥有勘探、采矿、选矿、冶炼、加工为一体的全产业链，国内以江西省内为主体，环黄渤海地区、长三角地区、粤港澳大湾区、西南地区五大产业基地，实现了沿江、沿海T字型产业布局；境外形成了中亚哈萨克斯坦、非洲赞比亚、香港为“桥头堡”，南美智利、新加坡等办事处为“触角”的布局雏形，建立了覆盖全国、辐射海外的投资、金融和贸易等多元产业，旗下拥有143个成员单位。江铜产品质量优良，拥有多个“世界名牌”产品。主要涵盖阴极铜、黄金、白银、铅锌、硫酸等冶炼产品，钼、硒、碲、铼、铂、钯、铋等稀贵稀散金属产品，高端铜箔、铜板带、铜管、高压电缆、铜银合金细线、铜杆等铜加工产品，单壁碳纳米管、石墨-铜（铝）复合材料等新型材料产品，阳极炉圆盘浇铸机、球磨机衬板、高分子PE管材等制造产品，共100余品种，其中，“江铜牌”和“贵冶牌”阴极铜为伦敦金属交易所注册产品，“江铜牌”黄金、白银为伦敦金银市场协会注册产品。展望未来，江铜将围绕“主业聚焦、创新突破、资源增储、高质发展、迈向一流”战略方针，坚持四大发展原则，全力推进十一大业务板块转型升级，加快与供应链创新链价值链的深入融合，全面构建以上市公司为主体的产业集群，坚定不移做实、做强、做优、做大实体经济，通过不断追求卓越，至2030年，基本建成具有全球核心竞争力世界一流企业。</w:t>
      </w:r>
    </w:p>
    <w:p w14:paraId="125729B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firstLine="420" w:firstLineChars="200"/>
        <w:jc w:val="both"/>
        <w:textAlignment w:val="auto"/>
        <w:rPr>
          <w:rFonts w:hint="eastAsia" w:hAnsi="黑体" w:cs="黑体"/>
          <w:color w:val="auto"/>
          <w:kern w:val="2"/>
          <w:sz w:val="21"/>
          <w:szCs w:val="21"/>
          <w:lang w:val="en-US" w:eastAsia="zh-CN"/>
        </w:rPr>
      </w:pPr>
      <w:r>
        <w:rPr>
          <w:rFonts w:hint="eastAsia" w:hAnsi="黑体" w:cs="黑体"/>
          <w:color w:val="auto"/>
          <w:kern w:val="2"/>
          <w:sz w:val="21"/>
          <w:szCs w:val="21"/>
          <w:lang w:val="en-US" w:eastAsia="zh-CN"/>
        </w:rPr>
        <w:t>国家工业信息安全发展研究中心</w:t>
      </w:r>
    </w:p>
    <w:p w14:paraId="586D6640">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hAnsi="黑体" w:cs="黑体"/>
          <w:color w:val="auto"/>
          <w:kern w:val="2"/>
          <w:sz w:val="21"/>
          <w:szCs w:val="21"/>
          <w:lang w:val="en-US" w:eastAsia="zh-CN"/>
        </w:rPr>
      </w:pPr>
      <w:r>
        <w:rPr>
          <w:rFonts w:hint="default" w:hAnsi="黑体" w:cs="黑体"/>
          <w:color w:val="auto"/>
          <w:kern w:val="2"/>
          <w:sz w:val="21"/>
          <w:szCs w:val="21"/>
          <w:lang w:val="en-US" w:eastAsia="zh-CN"/>
        </w:rPr>
        <w:t>国家工业信息安全发展研究中心（工业和信息化部电子第一研究所）成立于1959年，是工业和信息化部直属事业单位，是我国工业信息安全领域重要的服务保障机构。经过60多年的发展与积淀，国家工信安全中心始终坚持以“支撑政府、服务行业”为宗旨，聚焦工业信息安全、关键软件自主可控、制造业数字化转型三个重点领域，持续提升决策支撑、安全保障、转型服务、生态促进四种核心能力，业务范围涵盖工业领域网络与数据安全、两化融合、工业互联网、软件、知识产权、大数据、人工智能、数字经济、工业经济等领域，服务对象包括国家部委、国家级行业协会、地方政府、央企集团、头部企业、产业园区、高校院所等各类主体。标准工作方面，国家工业信息安全发展研究中心牵头编写10余项国家政策文件，参与6项国家标准编制，参与编制《数据安全技术 数据分类分级规则》《数据基础设施 标识管理规范》等国家标准，牵头编制《工业领域重要数据识别指南》《工业企业数据安全防护要求》《工业领域数据安全风险评估规范》等行业标准，在15个省市305家企业组织开展工业领域数据安全管理试点工作推进《工业领域重要数据识别指南》等标准的应用验证，涉及6大类行业，推进工业领域数据安全全流程管理工作机制进一步完善。支持指导北京、山东、江苏、辽宁等29个省（区、市）和5家央企集团开展数据安全政策标准宣贯培训。</w:t>
      </w:r>
    </w:p>
    <w:p w14:paraId="66EB83B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firstLine="420" w:firstLineChars="200"/>
        <w:jc w:val="both"/>
        <w:textAlignment w:val="auto"/>
        <w:rPr>
          <w:rFonts w:hint="default" w:hAnsi="黑体" w:cs="黑体"/>
          <w:color w:val="auto"/>
          <w:kern w:val="2"/>
          <w:sz w:val="21"/>
          <w:szCs w:val="21"/>
          <w:lang w:val="en-US" w:eastAsia="zh-CN"/>
        </w:rPr>
      </w:pPr>
      <w:r>
        <w:rPr>
          <w:rFonts w:hint="default" w:hAnsi="黑体" w:cs="黑体"/>
          <w:color w:val="auto"/>
          <w:kern w:val="2"/>
          <w:sz w:val="21"/>
          <w:szCs w:val="21"/>
          <w:lang w:val="en-US" w:eastAsia="zh-CN"/>
        </w:rPr>
        <w:t>中国有色金属工业协会</w:t>
      </w:r>
    </w:p>
    <w:p w14:paraId="111D82C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hAnsi="黑体" w:cs="黑体"/>
          <w:color w:val="auto"/>
          <w:kern w:val="2"/>
          <w:sz w:val="21"/>
          <w:szCs w:val="21"/>
          <w:lang w:val="en-US" w:eastAsia="zh-CN"/>
        </w:rPr>
      </w:pPr>
      <w:r>
        <w:rPr>
          <w:rFonts w:hint="default" w:hAnsi="黑体" w:cs="黑体"/>
          <w:color w:val="auto"/>
          <w:kern w:val="2"/>
          <w:sz w:val="21"/>
          <w:szCs w:val="21"/>
          <w:lang w:val="en-US" w:eastAsia="zh-CN"/>
        </w:rPr>
        <w:t>中国有色金属工业协会是由我国有色金属行业的企业、事业单位、社会团体为实现共同意愿而自愿组成的全国性、非营利性、行业性的经济类社会团体，是依法成立的社团法人。本会遵守国家法律法规，坚持为政府、行业、企业服务的宗旨，建立和完善行业自律机制，充分发挥政府的参谋助手作用，发挥在政府和企业之间的桥梁和纽带作用，维护会员的合法权益，促进我国有色金属工业的健康发展。党建领导机关是中央社会工作部，行业管理部门是工信部，登记管理机关是民政部。</w:t>
      </w:r>
    </w:p>
    <w:p w14:paraId="39ED3FA5">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firstLine="420" w:firstLineChars="200"/>
        <w:jc w:val="both"/>
        <w:textAlignment w:val="auto"/>
        <w:rPr>
          <w:rFonts w:hint="eastAsia" w:hAnsi="黑体" w:cs="黑体"/>
          <w:color w:val="auto"/>
          <w:kern w:val="2"/>
          <w:sz w:val="21"/>
          <w:szCs w:val="21"/>
          <w:lang w:val="en-US" w:eastAsia="zh-CN"/>
        </w:rPr>
      </w:pPr>
      <w:r>
        <w:rPr>
          <w:rFonts w:hint="eastAsia" w:hAnsi="黑体" w:cs="黑体"/>
          <w:color w:val="auto"/>
          <w:kern w:val="2"/>
          <w:sz w:val="21"/>
          <w:szCs w:val="21"/>
          <w:lang w:val="en-US" w:eastAsia="zh-CN"/>
        </w:rPr>
        <w:t>云南铜业股份有限公司西南铜业分公司</w:t>
      </w:r>
    </w:p>
    <w:p w14:paraId="17970A58">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hAnsi="黑体" w:cs="黑体"/>
          <w:color w:val="auto"/>
          <w:kern w:val="2"/>
          <w:sz w:val="21"/>
          <w:szCs w:val="21"/>
          <w:lang w:val="en-US" w:eastAsia="zh-CN"/>
        </w:rPr>
      </w:pPr>
      <w:r>
        <w:rPr>
          <w:rFonts w:hint="eastAsia" w:hAnsi="黑体" w:cs="黑体"/>
          <w:color w:val="auto"/>
          <w:kern w:val="2"/>
          <w:sz w:val="21"/>
          <w:szCs w:val="21"/>
          <w:lang w:val="en-US" w:eastAsia="zh-CN"/>
        </w:rPr>
        <w:t>云南铜业股份有限公司西南铜业分公司（简称“西南铜业”）为云南铜业股份有限公司下属的冶炼加工企业，前身为云南冶炼厂，始建于1958年 ，是国家“一五”计划重点项目之一。西南铜业主要生产阴极铜、工业硫酸、金、银、硫酸铜、工业盐、工业无水硫酸钠等副产品，并能回收铅锌以及铋、硒、铂、钯等多种有色金属和稀贵金属，累计生产阴极铜1026.6万吨、黄金247.87吨、白银1.15万吨、工业硫酸1680万吨、工业总产值5290亿元、利税77亿元，近三年利润均在8亿元以上。其中，主产品“铁峰”牌阴极铜在上海期货交易所和伦敦金属交易所注册，“铁峰”牌金锭在上海期货交易所和上海黄金交易所注册，“铁峰”牌银锭在上海期货交易所、上海黄金交易所和伦敦金银市场协会注册。</w:t>
      </w:r>
    </w:p>
    <w:p w14:paraId="2ADD89F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firstLine="420" w:firstLineChars="200"/>
        <w:jc w:val="both"/>
        <w:textAlignment w:val="auto"/>
        <w:rPr>
          <w:rFonts w:hint="eastAsia" w:hAnsi="黑体" w:cs="黑体"/>
          <w:color w:val="auto"/>
          <w:kern w:val="2"/>
          <w:sz w:val="21"/>
          <w:szCs w:val="21"/>
          <w:lang w:val="en-US" w:eastAsia="zh-CN"/>
        </w:rPr>
      </w:pPr>
      <w:r>
        <w:rPr>
          <w:rFonts w:hint="eastAsia" w:hAnsi="黑体" w:cs="黑体"/>
          <w:color w:val="auto"/>
          <w:kern w:val="2"/>
          <w:sz w:val="21"/>
          <w:szCs w:val="21"/>
          <w:lang w:val="en-US" w:eastAsia="zh-CN"/>
        </w:rPr>
        <w:t>江西铜锐信息技术有限公司</w:t>
      </w:r>
    </w:p>
    <w:p w14:paraId="21C4206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hAnsi="黑体" w:cs="黑体"/>
          <w:color w:val="auto"/>
          <w:kern w:val="2"/>
          <w:sz w:val="21"/>
          <w:szCs w:val="21"/>
          <w:lang w:val="en-US" w:eastAsia="zh-CN"/>
        </w:rPr>
      </w:pPr>
      <w:r>
        <w:rPr>
          <w:rFonts w:hint="eastAsia" w:hAnsi="黑体" w:cs="黑体"/>
          <w:color w:val="auto"/>
          <w:kern w:val="2"/>
          <w:sz w:val="21"/>
          <w:szCs w:val="21"/>
          <w:lang w:val="en-US" w:eastAsia="zh-CN"/>
        </w:rPr>
        <w:t>江西铜锐信息技术有限公司是江西铜业集团下属公司。作为江铜集团推动“产业数字化、数字产业化”双使命的重要平台公司，铜锐公司立足集团实际，服务有色行业，聚焦企业数字化转型、智能化发展等关键领域，致力于打造行业前列的数字化平台服务商和高科技企业代表。自成立以来，铜锐公司紧贴有色行业工艺特征与管理需求，围绕采选、冶炼、加工、化工、物流、贸易、产融等业务场景，持续构建覆盖咨询规划、平台研发、系统集成、运维服务等在内的一体化数字化服务体系，积累了丰富的工程实践经验与技术成果。公司深入融合云计算、大数据、物联网、人工智能等新一代信息技术，打造了以“技术中台 + 数据治理 + 场景赋能”为核心的产品能力体系，具备多系统协同集成、多平台统一管理、多场景快速复制的技术优势，能够面向集团不同板块及行业外部客户，灵活支撑复杂业务需求。依托典型工业场景沉淀出的平台架构，公司持续打磨设备接入、实时采集、流程驱动、可视化分析等核心模块，推动形成标准化、可复用的技术底座，加快项目实施效率，降低重复建设成本。同时，铜锐公司高度重视数据价值释放与行业经验转化，持续构建面向运维管理、能效分析、指标预警等方向的业务组件与算法模型，不断完善自主可控的工业互联网平台体系，助力企业实现从“业务上云”到“管理用数”的转型升级。</w:t>
      </w:r>
    </w:p>
    <w:p w14:paraId="6EA0FEC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firstLine="420" w:firstLineChars="200"/>
        <w:jc w:val="both"/>
        <w:textAlignment w:val="auto"/>
        <w:rPr>
          <w:rFonts w:hint="eastAsia" w:hAnsi="黑体" w:cs="黑体"/>
          <w:color w:val="auto"/>
          <w:kern w:val="2"/>
          <w:sz w:val="21"/>
          <w:szCs w:val="21"/>
          <w:lang w:val="en-US" w:eastAsia="zh-CN"/>
        </w:rPr>
      </w:pPr>
      <w:r>
        <w:rPr>
          <w:rFonts w:hint="eastAsia" w:hAnsi="黑体" w:cs="黑体"/>
          <w:color w:val="auto"/>
          <w:kern w:val="2"/>
          <w:sz w:val="21"/>
          <w:szCs w:val="21"/>
          <w:lang w:val="en-US" w:eastAsia="zh-CN"/>
        </w:rPr>
        <w:t>北矿智云科技（北京）有限公司</w:t>
      </w:r>
    </w:p>
    <w:p w14:paraId="7BC7390A">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hAnsi="黑体" w:cs="黑体"/>
          <w:color w:val="auto"/>
          <w:kern w:val="2"/>
          <w:sz w:val="21"/>
          <w:szCs w:val="21"/>
          <w:lang w:val="en-US" w:eastAsia="zh-CN"/>
        </w:rPr>
      </w:pPr>
      <w:r>
        <w:rPr>
          <w:rFonts w:hint="eastAsia" w:hAnsi="黑体" w:cs="黑体"/>
          <w:color w:val="auto"/>
          <w:kern w:val="2"/>
          <w:sz w:val="21"/>
          <w:szCs w:val="21"/>
          <w:lang w:val="en-US" w:eastAsia="zh-CN"/>
        </w:rPr>
        <w:t>北矿智云科技（北京）有限公司成立于2015年，2021年被评为国家高新技术企业，2024年通过国家高新技术企业复审；2018年获得山东省科技进步奖二等奖1项，2024年获得江西省科技进步奖二等奖1项。公司目前拥有9项发明专利、9项软件著作权。公司主营方向：为矿冶工业的高质量可持续发展提供数据智能软件技术服务，通过工业全要素、全生命周期的数据采集、数据治理、数据挖掘与工业智能应用软件开发，消灭数据孤岛和信息孤岛，为矿冶建立起高品质数据资产、解决生产管控的技术痛点与难点，实现工业系统的降本增效。服务优势：自研面向工业互联网的矿冶工业元宇宙与大模型平台，依托自主开发的矿冶工业元数据注册系统（涵盖矿产、采矿、选矿、机械、自动化、计算机等11个学科、3000+元数据对象、6000+特性参数），形成矿冶工业数据治理的完整技术体系。平台以“低代码”方式快速生成覆盖矿冶全场景的工业应用软件系统并进而实现企业全生命周期的数据标准化和高质量，数据带有明确知识标识、业务标识和功能标识，因而能够成为深度学习和人工智能的原材料。服务能力：从2016年开始，已经为江铜集团、紫金集团、山东黄金集团、西部矿业等数十家矿山、冶炼厂提供服务；2023年开始服务于多家海外矿山和冶炼厂。</w:t>
      </w:r>
    </w:p>
    <w:p w14:paraId="531272A1">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default" w:ascii="黑体" w:hAnsi="黑体" w:eastAsia="黑体" w:cs="黑体"/>
          <w:color w:val="auto"/>
          <w:kern w:val="0"/>
          <w:sz w:val="21"/>
          <w:szCs w:val="21"/>
          <w:lang w:val="en-US" w:eastAsia="zh-CN"/>
        </w:rPr>
      </w:pPr>
      <w:r>
        <w:rPr>
          <w:rFonts w:hint="eastAsia" w:ascii="黑体" w:hAnsi="黑体" w:eastAsia="黑体" w:cs="黑体"/>
          <w:color w:val="auto"/>
          <w:kern w:val="0"/>
          <w:sz w:val="21"/>
          <w:szCs w:val="21"/>
          <w:lang w:val="en-US" w:eastAsia="zh-CN"/>
        </w:rPr>
        <w:t>1.3.2主要工作人员所负责的工作情况</w:t>
      </w:r>
    </w:p>
    <w:p w14:paraId="221B96A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本标准主要工作人员及工作职责见下表。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2"/>
        <w:gridCol w:w="3479"/>
        <w:gridCol w:w="2"/>
        <w:gridCol w:w="1511"/>
        <w:gridCol w:w="2"/>
        <w:gridCol w:w="3946"/>
        <w:gridCol w:w="6"/>
      </w:tblGrid>
      <w:tr w14:paraId="2FB0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321" w:type="pct"/>
            <w:gridSpan w:val="2"/>
            <w:noWrap w:val="0"/>
            <w:vAlign w:val="center"/>
          </w:tcPr>
          <w:p w14:paraId="75310CCD">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序号</w:t>
            </w:r>
          </w:p>
        </w:tc>
        <w:tc>
          <w:tcPr>
            <w:tcW w:w="1820" w:type="pct"/>
            <w:gridSpan w:val="2"/>
            <w:noWrap w:val="0"/>
            <w:vAlign w:val="center"/>
          </w:tcPr>
          <w:p w14:paraId="51ADB824">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单位名称</w:t>
            </w:r>
          </w:p>
        </w:tc>
        <w:tc>
          <w:tcPr>
            <w:tcW w:w="791" w:type="pct"/>
            <w:gridSpan w:val="2"/>
            <w:noWrap w:val="0"/>
            <w:vAlign w:val="center"/>
          </w:tcPr>
          <w:p w14:paraId="043DEC05">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工作组成员</w:t>
            </w:r>
          </w:p>
        </w:tc>
        <w:tc>
          <w:tcPr>
            <w:tcW w:w="2066" w:type="pct"/>
            <w:gridSpan w:val="2"/>
            <w:noWrap w:val="0"/>
            <w:vAlign w:val="center"/>
          </w:tcPr>
          <w:p w14:paraId="403F0223">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工作职责</w:t>
            </w:r>
          </w:p>
        </w:tc>
      </w:tr>
      <w:tr w14:paraId="567D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noWrap w:val="0"/>
            <w:vAlign w:val="center"/>
          </w:tcPr>
          <w:p w14:paraId="00CF9673">
            <w:pPr>
              <w:widowControl w:val="0"/>
              <w:numPr>
                <w:ilvl w:val="0"/>
                <w:numId w:val="4"/>
              </w:numPr>
              <w:tabs>
                <w:tab w:val="left" w:pos="0"/>
              </w:tabs>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lang w:val="en-US" w:eastAsia="zh-CN"/>
              </w:rPr>
            </w:pPr>
          </w:p>
        </w:tc>
        <w:tc>
          <w:tcPr>
            <w:tcW w:w="1820" w:type="pct"/>
            <w:gridSpan w:val="2"/>
            <w:noWrap w:val="0"/>
            <w:vAlign w:val="center"/>
          </w:tcPr>
          <w:p w14:paraId="37EE00DA">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江西铜业股份有限公司</w:t>
            </w:r>
          </w:p>
        </w:tc>
        <w:tc>
          <w:tcPr>
            <w:tcW w:w="791" w:type="pct"/>
            <w:gridSpan w:val="2"/>
            <w:noWrap w:val="0"/>
            <w:vAlign w:val="center"/>
          </w:tcPr>
          <w:p w14:paraId="412080A4">
            <w:pPr>
              <w:widowControl w:val="0"/>
              <w:autoSpaceDE/>
              <w:autoSpaceDN/>
              <w:adjustRightInd/>
              <w:snapToGrid/>
              <w:spacing w:after="0"/>
              <w:ind w:right="0" w:firstLine="0" w:firstLineChars="0"/>
              <w:jc w:val="center"/>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周炳、胡意文、曹战飞、廖峰、赵黎明、樊赣湘</w:t>
            </w:r>
          </w:p>
        </w:tc>
        <w:tc>
          <w:tcPr>
            <w:tcW w:w="2066" w:type="pct"/>
            <w:gridSpan w:val="2"/>
            <w:noWrap w:val="0"/>
            <w:vAlign w:val="center"/>
          </w:tcPr>
          <w:p w14:paraId="333C6E46">
            <w:pPr>
              <w:widowControl w:val="0"/>
              <w:autoSpaceDE/>
              <w:autoSpaceDN/>
              <w:adjustRightInd/>
              <w:snapToGrid/>
              <w:spacing w:after="0"/>
              <w:ind w:right="0" w:firstLine="0" w:firstLineChars="0"/>
              <w:jc w:val="center"/>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负责标准编制过程质量把关、指导及协调工作</w:t>
            </w:r>
          </w:p>
        </w:tc>
      </w:tr>
      <w:tr w14:paraId="5116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noWrap w:val="0"/>
            <w:vAlign w:val="center"/>
          </w:tcPr>
          <w:p w14:paraId="1B0292D0">
            <w:pPr>
              <w:widowControl w:val="0"/>
              <w:numPr>
                <w:ilvl w:val="0"/>
                <w:numId w:val="4"/>
              </w:numPr>
              <w:tabs>
                <w:tab w:val="left" w:pos="0"/>
              </w:tabs>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lang w:val="en-US" w:eastAsia="zh-CN"/>
              </w:rPr>
            </w:pPr>
          </w:p>
        </w:tc>
        <w:tc>
          <w:tcPr>
            <w:tcW w:w="1820" w:type="pct"/>
            <w:gridSpan w:val="2"/>
            <w:shd w:val="clear" w:color="auto" w:fill="auto"/>
            <w:noWrap w:val="0"/>
            <w:vAlign w:val="center"/>
          </w:tcPr>
          <w:p w14:paraId="04EA9CFD">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国家工业信息安全发展研究中心</w:t>
            </w:r>
          </w:p>
        </w:tc>
        <w:tc>
          <w:tcPr>
            <w:tcW w:w="791" w:type="pct"/>
            <w:gridSpan w:val="2"/>
            <w:shd w:val="clear" w:color="auto" w:fill="auto"/>
            <w:noWrap w:val="0"/>
            <w:vAlign w:val="center"/>
          </w:tcPr>
          <w:p w14:paraId="1399D121">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王墨、江浩、</w:t>
            </w:r>
            <w:bookmarkStart w:id="18" w:name="_GoBack"/>
            <w:bookmarkEnd w:id="18"/>
            <w:r>
              <w:rPr>
                <w:rFonts w:hint="eastAsia" w:ascii="宋体" w:hAnsi="宋体" w:eastAsia="宋体" w:cs="宋体"/>
                <w:color w:val="auto"/>
                <w:kern w:val="2"/>
                <w:sz w:val="18"/>
                <w:szCs w:val="18"/>
                <w:lang w:val="en-US" w:eastAsia="zh-CN"/>
              </w:rPr>
              <w:t>张煜珠</w:t>
            </w:r>
          </w:p>
        </w:tc>
        <w:tc>
          <w:tcPr>
            <w:tcW w:w="2066" w:type="pct"/>
            <w:gridSpan w:val="2"/>
            <w:shd w:val="clear" w:color="auto" w:fill="auto"/>
            <w:noWrap w:val="0"/>
            <w:vAlign w:val="center"/>
          </w:tcPr>
          <w:p w14:paraId="753D6B2D">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负责提供标准编制相关资料、技术支持</w:t>
            </w:r>
          </w:p>
        </w:tc>
      </w:tr>
      <w:tr w14:paraId="5CAE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noWrap w:val="0"/>
            <w:vAlign w:val="center"/>
          </w:tcPr>
          <w:p w14:paraId="002A8AD7">
            <w:pPr>
              <w:widowControl w:val="0"/>
              <w:numPr>
                <w:ilvl w:val="0"/>
                <w:numId w:val="4"/>
              </w:numPr>
              <w:tabs>
                <w:tab w:val="left" w:pos="0"/>
              </w:tabs>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lang w:val="en-US" w:eastAsia="zh-CN"/>
              </w:rPr>
            </w:pPr>
          </w:p>
        </w:tc>
        <w:tc>
          <w:tcPr>
            <w:tcW w:w="1820" w:type="pct"/>
            <w:gridSpan w:val="2"/>
            <w:noWrap w:val="0"/>
            <w:vAlign w:val="center"/>
          </w:tcPr>
          <w:p w14:paraId="3407523B">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中国有色金属工业协会</w:t>
            </w:r>
          </w:p>
        </w:tc>
        <w:tc>
          <w:tcPr>
            <w:tcW w:w="791" w:type="pct"/>
            <w:gridSpan w:val="2"/>
            <w:noWrap w:val="0"/>
            <w:vAlign w:val="center"/>
          </w:tcPr>
          <w:p w14:paraId="7A20671A">
            <w:pPr>
              <w:widowControl w:val="0"/>
              <w:autoSpaceDE/>
              <w:autoSpaceDN/>
              <w:adjustRightInd/>
              <w:snapToGrid/>
              <w:spacing w:after="0"/>
              <w:ind w:right="0" w:firstLine="0" w:firstLineChars="0"/>
              <w:jc w:val="center"/>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马骏、赵然、杨铄华</w:t>
            </w:r>
          </w:p>
        </w:tc>
        <w:tc>
          <w:tcPr>
            <w:tcW w:w="2066" w:type="pct"/>
            <w:gridSpan w:val="2"/>
            <w:noWrap w:val="0"/>
            <w:vAlign w:val="center"/>
          </w:tcPr>
          <w:p w14:paraId="5D96CE1F">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负责标准编制过程质量把关、指导</w:t>
            </w:r>
          </w:p>
        </w:tc>
      </w:tr>
      <w:tr w14:paraId="2893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noWrap w:val="0"/>
            <w:vAlign w:val="center"/>
          </w:tcPr>
          <w:p w14:paraId="6989B82E">
            <w:pPr>
              <w:widowControl w:val="0"/>
              <w:numPr>
                <w:ilvl w:val="0"/>
                <w:numId w:val="4"/>
              </w:numPr>
              <w:tabs>
                <w:tab w:val="left" w:pos="0"/>
              </w:tabs>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lang w:val="en-US" w:eastAsia="zh-CN"/>
              </w:rPr>
            </w:pPr>
          </w:p>
        </w:tc>
        <w:tc>
          <w:tcPr>
            <w:tcW w:w="1820" w:type="pct"/>
            <w:gridSpan w:val="2"/>
            <w:shd w:val="clear" w:color="auto" w:fill="auto"/>
            <w:noWrap w:val="0"/>
            <w:vAlign w:val="center"/>
          </w:tcPr>
          <w:p w14:paraId="0FEA13FF">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云南铜业股份有限公司西南铜业分公司</w:t>
            </w:r>
          </w:p>
        </w:tc>
        <w:tc>
          <w:tcPr>
            <w:tcW w:w="791" w:type="pct"/>
            <w:gridSpan w:val="2"/>
            <w:shd w:val="clear" w:color="auto" w:fill="auto"/>
            <w:noWrap w:val="0"/>
            <w:vAlign w:val="center"/>
          </w:tcPr>
          <w:p w14:paraId="29DFA6EE">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周正坤、陈蓓蓓</w:t>
            </w:r>
          </w:p>
        </w:tc>
        <w:tc>
          <w:tcPr>
            <w:tcW w:w="2066" w:type="pct"/>
            <w:gridSpan w:val="2"/>
            <w:shd w:val="clear" w:color="auto" w:fill="auto"/>
            <w:noWrap w:val="0"/>
            <w:vAlign w:val="center"/>
          </w:tcPr>
          <w:p w14:paraId="7B06BB52">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6DF7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noWrap w:val="0"/>
            <w:vAlign w:val="center"/>
          </w:tcPr>
          <w:p w14:paraId="4A2C8C06">
            <w:pPr>
              <w:widowControl w:val="0"/>
              <w:numPr>
                <w:ilvl w:val="0"/>
                <w:numId w:val="4"/>
              </w:numPr>
              <w:autoSpaceDE/>
              <w:autoSpaceDN/>
              <w:adjustRightInd/>
              <w:snapToGrid/>
              <w:spacing w:after="0"/>
              <w:ind w:left="425" w:leftChars="0" w:right="0" w:hanging="425" w:firstLineChars="0"/>
              <w:jc w:val="center"/>
              <w:rPr>
                <w:rFonts w:hint="default" w:ascii="宋体" w:hAnsi="宋体" w:eastAsia="宋体" w:cs="宋体"/>
                <w:color w:val="auto"/>
                <w:kern w:val="2"/>
                <w:sz w:val="18"/>
                <w:szCs w:val="18"/>
                <w:lang w:val="en-US" w:eastAsia="zh-CN"/>
              </w:rPr>
            </w:pPr>
          </w:p>
        </w:tc>
        <w:tc>
          <w:tcPr>
            <w:tcW w:w="1820" w:type="pct"/>
            <w:gridSpan w:val="2"/>
            <w:shd w:val="clear" w:color="auto" w:fill="auto"/>
            <w:noWrap w:val="0"/>
            <w:vAlign w:val="center"/>
          </w:tcPr>
          <w:p w14:paraId="696E8D02">
            <w:pPr>
              <w:widowControl w:val="0"/>
              <w:autoSpaceDE/>
              <w:autoSpaceDN/>
              <w:adjustRightInd/>
              <w:snapToGrid/>
              <w:spacing w:after="0"/>
              <w:ind w:right="0" w:rightChars="0" w:firstLine="0" w:firstLineChars="0"/>
              <w:jc w:val="center"/>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江西铜锐信息技术有限公司</w:t>
            </w:r>
          </w:p>
        </w:tc>
        <w:tc>
          <w:tcPr>
            <w:tcW w:w="791" w:type="pct"/>
            <w:gridSpan w:val="2"/>
            <w:shd w:val="clear" w:color="auto" w:fill="auto"/>
            <w:noWrap w:val="0"/>
            <w:vAlign w:val="center"/>
          </w:tcPr>
          <w:p w14:paraId="4328AC47">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章奇科、刘虎</w:t>
            </w:r>
          </w:p>
        </w:tc>
        <w:tc>
          <w:tcPr>
            <w:tcW w:w="2066" w:type="pct"/>
            <w:gridSpan w:val="2"/>
            <w:shd w:val="clear" w:color="auto" w:fill="auto"/>
            <w:noWrap w:val="0"/>
            <w:vAlign w:val="center"/>
          </w:tcPr>
          <w:p w14:paraId="5FDAC05A">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负责提供标准编制相关资料、技术支持</w:t>
            </w:r>
          </w:p>
        </w:tc>
      </w:tr>
      <w:tr w14:paraId="497D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66" w:hRule="atLeast"/>
          <w:jc w:val="center"/>
        </w:trPr>
        <w:tc>
          <w:tcPr>
            <w:tcW w:w="320" w:type="pct"/>
            <w:shd w:val="clear" w:color="auto" w:fill="auto"/>
            <w:noWrap w:val="0"/>
            <w:vAlign w:val="center"/>
          </w:tcPr>
          <w:p w14:paraId="07AB3AC1">
            <w:pPr>
              <w:widowControl w:val="0"/>
              <w:numPr>
                <w:ilvl w:val="0"/>
                <w:numId w:val="4"/>
              </w:numPr>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lang w:val="en-US" w:eastAsia="zh-CN" w:bidi="ar-SA"/>
              </w:rPr>
            </w:pPr>
          </w:p>
        </w:tc>
        <w:tc>
          <w:tcPr>
            <w:tcW w:w="1820" w:type="pct"/>
            <w:gridSpan w:val="2"/>
            <w:shd w:val="clear" w:color="auto" w:fill="auto"/>
            <w:noWrap w:val="0"/>
            <w:vAlign w:val="center"/>
          </w:tcPr>
          <w:p w14:paraId="5098C939">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北矿智云科技（北京）有限公司</w:t>
            </w:r>
          </w:p>
        </w:tc>
        <w:tc>
          <w:tcPr>
            <w:tcW w:w="791" w:type="pct"/>
            <w:gridSpan w:val="2"/>
            <w:shd w:val="clear" w:color="auto" w:fill="auto"/>
            <w:noWrap w:val="0"/>
            <w:vAlign w:val="center"/>
          </w:tcPr>
          <w:p w14:paraId="1E8C6F50">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徐宁</w:t>
            </w:r>
          </w:p>
        </w:tc>
        <w:tc>
          <w:tcPr>
            <w:tcW w:w="2064" w:type="pct"/>
            <w:gridSpan w:val="2"/>
            <w:shd w:val="clear" w:color="auto" w:fill="auto"/>
            <w:noWrap w:val="0"/>
            <w:vAlign w:val="center"/>
          </w:tcPr>
          <w:p w14:paraId="0FC15450">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7D00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noWrap w:val="0"/>
            <w:vAlign w:val="center"/>
          </w:tcPr>
          <w:p w14:paraId="32E83B66">
            <w:pPr>
              <w:widowControl w:val="0"/>
              <w:numPr>
                <w:ilvl w:val="0"/>
                <w:numId w:val="4"/>
              </w:numPr>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lang w:val="en-US" w:eastAsia="zh-CN" w:bidi="ar-SA"/>
              </w:rPr>
            </w:pPr>
          </w:p>
        </w:tc>
        <w:tc>
          <w:tcPr>
            <w:tcW w:w="1820" w:type="pct"/>
            <w:gridSpan w:val="2"/>
            <w:shd w:val="clear" w:color="auto" w:fill="auto"/>
            <w:noWrap w:val="0"/>
            <w:vAlign w:val="center"/>
          </w:tcPr>
          <w:p w14:paraId="049DE990">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矿冶科技集团有限公司</w:t>
            </w:r>
          </w:p>
        </w:tc>
        <w:tc>
          <w:tcPr>
            <w:tcW w:w="791" w:type="pct"/>
            <w:gridSpan w:val="2"/>
            <w:shd w:val="clear" w:color="auto" w:fill="auto"/>
            <w:noWrap w:val="0"/>
            <w:vAlign w:val="center"/>
          </w:tcPr>
          <w:p w14:paraId="5BFF1842">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张元生、吕潇</w:t>
            </w:r>
          </w:p>
        </w:tc>
        <w:tc>
          <w:tcPr>
            <w:tcW w:w="2066" w:type="pct"/>
            <w:gridSpan w:val="2"/>
            <w:shd w:val="clear" w:color="auto" w:fill="auto"/>
            <w:noWrap w:val="0"/>
            <w:vAlign w:val="center"/>
          </w:tcPr>
          <w:p w14:paraId="53457D51">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4FDB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noWrap w:val="0"/>
            <w:vAlign w:val="center"/>
          </w:tcPr>
          <w:p w14:paraId="14A26E71">
            <w:pPr>
              <w:widowControl w:val="0"/>
              <w:numPr>
                <w:ilvl w:val="0"/>
                <w:numId w:val="4"/>
              </w:numPr>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lang w:val="en-US" w:eastAsia="zh-CN" w:bidi="ar-SA"/>
              </w:rPr>
            </w:pPr>
          </w:p>
        </w:tc>
        <w:tc>
          <w:tcPr>
            <w:tcW w:w="1820" w:type="pct"/>
            <w:gridSpan w:val="2"/>
            <w:shd w:val="clear" w:color="auto" w:fill="auto"/>
            <w:noWrap w:val="0"/>
            <w:vAlign w:val="center"/>
          </w:tcPr>
          <w:p w14:paraId="0699C900">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宁波金田铜业（集团）股份有限公司</w:t>
            </w:r>
          </w:p>
        </w:tc>
        <w:tc>
          <w:tcPr>
            <w:tcW w:w="791" w:type="pct"/>
            <w:gridSpan w:val="2"/>
            <w:shd w:val="clear" w:color="auto" w:fill="auto"/>
            <w:noWrap w:val="0"/>
            <w:vAlign w:val="center"/>
          </w:tcPr>
          <w:p w14:paraId="44E1DC1E">
            <w:pPr>
              <w:widowControl w:val="0"/>
              <w:autoSpaceDE/>
              <w:autoSpaceDN/>
              <w:adjustRightInd/>
              <w:snapToGrid/>
              <w:spacing w:after="0"/>
              <w:ind w:right="0" w:rightChars="0" w:firstLine="0" w:firstLineChars="0"/>
              <w:jc w:val="center"/>
              <w:rPr>
                <w:rFonts w:hint="default" w:ascii="宋体" w:hAnsi="宋体" w:eastAsia="宋体" w:cs="宋体"/>
                <w:color w:val="auto"/>
                <w:kern w:val="2"/>
                <w:sz w:val="18"/>
                <w:szCs w:val="18"/>
                <w:highlight w:val="none"/>
                <w:lang w:val="en-US" w:eastAsia="zh-CN"/>
              </w:rPr>
            </w:pPr>
            <w:r>
              <w:rPr>
                <w:rFonts w:hint="default" w:ascii="宋体" w:hAnsi="宋体" w:eastAsia="宋体" w:cs="宋体"/>
                <w:color w:val="auto"/>
                <w:kern w:val="2"/>
                <w:sz w:val="18"/>
                <w:szCs w:val="18"/>
                <w:highlight w:val="none"/>
                <w:lang w:val="en-US" w:eastAsia="zh-CN"/>
              </w:rPr>
              <w:t>郭巍</w:t>
            </w:r>
            <w:r>
              <w:rPr>
                <w:rFonts w:hint="eastAsia" w:ascii="宋体" w:hAnsi="宋体" w:eastAsia="宋体" w:cs="宋体"/>
                <w:color w:val="auto"/>
                <w:kern w:val="2"/>
                <w:sz w:val="18"/>
                <w:szCs w:val="18"/>
                <w:highlight w:val="none"/>
                <w:lang w:val="en-US" w:eastAsia="zh-CN"/>
              </w:rPr>
              <w:t>、</w:t>
            </w:r>
            <w:r>
              <w:rPr>
                <w:rFonts w:hint="default" w:ascii="宋体" w:hAnsi="宋体" w:eastAsia="宋体" w:cs="宋体"/>
                <w:color w:val="auto"/>
                <w:kern w:val="2"/>
                <w:sz w:val="18"/>
                <w:szCs w:val="18"/>
                <w:highlight w:val="none"/>
                <w:lang w:val="en-US" w:eastAsia="zh-CN"/>
              </w:rPr>
              <w:t>赵炎</w:t>
            </w:r>
          </w:p>
        </w:tc>
        <w:tc>
          <w:tcPr>
            <w:tcW w:w="2066" w:type="pct"/>
            <w:gridSpan w:val="2"/>
            <w:shd w:val="clear" w:color="auto" w:fill="auto"/>
            <w:noWrap w:val="0"/>
            <w:vAlign w:val="center"/>
          </w:tcPr>
          <w:p w14:paraId="3D085C43">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负责提供标准编制相关资料、技术支持</w:t>
            </w:r>
          </w:p>
        </w:tc>
      </w:tr>
      <w:tr w14:paraId="2653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noWrap w:val="0"/>
            <w:vAlign w:val="center"/>
          </w:tcPr>
          <w:p w14:paraId="68A09935">
            <w:pPr>
              <w:widowControl w:val="0"/>
              <w:numPr>
                <w:ilvl w:val="0"/>
                <w:numId w:val="4"/>
              </w:numPr>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lang w:val="en-US" w:eastAsia="zh-CN" w:bidi="ar-SA"/>
              </w:rPr>
            </w:pPr>
          </w:p>
        </w:tc>
        <w:tc>
          <w:tcPr>
            <w:tcW w:w="1820" w:type="pct"/>
            <w:gridSpan w:val="2"/>
            <w:shd w:val="clear" w:color="auto" w:fill="auto"/>
            <w:noWrap w:val="0"/>
            <w:vAlign w:val="center"/>
          </w:tcPr>
          <w:p w14:paraId="1E7F0A4E">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江苏中商碳素研究院有限公司</w:t>
            </w:r>
          </w:p>
        </w:tc>
        <w:tc>
          <w:tcPr>
            <w:tcW w:w="791" w:type="pct"/>
            <w:gridSpan w:val="2"/>
            <w:shd w:val="clear" w:color="auto" w:fill="auto"/>
            <w:noWrap w:val="0"/>
            <w:vAlign w:val="center"/>
          </w:tcPr>
          <w:p w14:paraId="0B465FF2">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卜红、陈杰</w:t>
            </w:r>
          </w:p>
        </w:tc>
        <w:tc>
          <w:tcPr>
            <w:tcW w:w="2066" w:type="pct"/>
            <w:gridSpan w:val="2"/>
            <w:shd w:val="clear" w:color="auto" w:fill="auto"/>
            <w:noWrap w:val="0"/>
            <w:vAlign w:val="center"/>
          </w:tcPr>
          <w:p w14:paraId="6A02434F">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4C95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269E60AB">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2BDCFD6A">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宝钛集团有限公司</w:t>
            </w:r>
          </w:p>
        </w:tc>
        <w:tc>
          <w:tcPr>
            <w:tcW w:w="791" w:type="pct"/>
            <w:gridSpan w:val="2"/>
            <w:shd w:val="clear" w:color="auto" w:fill="auto"/>
            <w:noWrap w:val="0"/>
            <w:vAlign w:val="center"/>
          </w:tcPr>
          <w:p w14:paraId="7741436F">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胡志杰、文豪</w:t>
            </w:r>
          </w:p>
        </w:tc>
        <w:tc>
          <w:tcPr>
            <w:tcW w:w="2066" w:type="pct"/>
            <w:gridSpan w:val="2"/>
            <w:shd w:val="clear" w:color="auto" w:fill="auto"/>
            <w:noWrap w:val="0"/>
            <w:vAlign w:val="center"/>
          </w:tcPr>
          <w:p w14:paraId="24657090">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7614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422E1957">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6FE159F7">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江西铜业股份有限公司贵溪冶炼厂</w:t>
            </w:r>
          </w:p>
        </w:tc>
        <w:tc>
          <w:tcPr>
            <w:tcW w:w="791" w:type="pct"/>
            <w:gridSpan w:val="2"/>
            <w:shd w:val="clear" w:color="auto" w:fill="auto"/>
            <w:noWrap w:val="0"/>
            <w:vAlign w:val="center"/>
          </w:tcPr>
          <w:p w14:paraId="55389BE3">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徐娟华、张鹏洲</w:t>
            </w:r>
          </w:p>
        </w:tc>
        <w:tc>
          <w:tcPr>
            <w:tcW w:w="2066" w:type="pct"/>
            <w:gridSpan w:val="2"/>
            <w:shd w:val="clear" w:color="auto" w:fill="auto"/>
            <w:noWrap w:val="0"/>
            <w:vAlign w:val="center"/>
          </w:tcPr>
          <w:p w14:paraId="5CFE4E1A">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负责整体结构编制、资料汇总梳理及执笔</w:t>
            </w:r>
          </w:p>
        </w:tc>
      </w:tr>
      <w:tr w14:paraId="3030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70E22738">
            <w:pPr>
              <w:widowControl w:val="0"/>
              <w:numPr>
                <w:ilvl w:val="0"/>
                <w:numId w:val="4"/>
              </w:numPr>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03D90E5F">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中铝郑州有色金属研究院有限公司</w:t>
            </w:r>
          </w:p>
        </w:tc>
        <w:tc>
          <w:tcPr>
            <w:tcW w:w="791" w:type="pct"/>
            <w:gridSpan w:val="2"/>
            <w:shd w:val="clear" w:color="auto" w:fill="auto"/>
            <w:noWrap w:val="0"/>
            <w:vAlign w:val="center"/>
          </w:tcPr>
          <w:p w14:paraId="2BD65CE6">
            <w:pPr>
              <w:widowControl w:val="0"/>
              <w:autoSpaceDE/>
              <w:autoSpaceDN/>
              <w:adjustRightInd/>
              <w:snapToGrid/>
              <w:spacing w:after="0"/>
              <w:ind w:right="0" w:righ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鄢锋、陈威</w:t>
            </w:r>
          </w:p>
        </w:tc>
        <w:tc>
          <w:tcPr>
            <w:tcW w:w="2066" w:type="pct"/>
            <w:gridSpan w:val="2"/>
            <w:shd w:val="clear" w:color="auto" w:fill="auto"/>
            <w:noWrap w:val="0"/>
            <w:vAlign w:val="center"/>
          </w:tcPr>
          <w:p w14:paraId="0521BFA5">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63DC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4831E9D5">
            <w:pPr>
              <w:widowControl w:val="0"/>
              <w:numPr>
                <w:ilvl w:val="0"/>
                <w:numId w:val="4"/>
              </w:numPr>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70680768">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深圳市中金岭南有色金属股份有限公司</w:t>
            </w:r>
          </w:p>
        </w:tc>
        <w:tc>
          <w:tcPr>
            <w:tcW w:w="791" w:type="pct"/>
            <w:gridSpan w:val="2"/>
            <w:shd w:val="clear" w:color="auto" w:fill="auto"/>
            <w:noWrap w:val="0"/>
            <w:vAlign w:val="center"/>
          </w:tcPr>
          <w:p w14:paraId="6C49804F">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刘晓明、王佳恒</w:t>
            </w:r>
          </w:p>
        </w:tc>
        <w:tc>
          <w:tcPr>
            <w:tcW w:w="2066" w:type="pct"/>
            <w:gridSpan w:val="2"/>
            <w:shd w:val="clear" w:color="auto" w:fill="auto"/>
            <w:noWrap w:val="0"/>
            <w:vAlign w:val="center"/>
          </w:tcPr>
          <w:p w14:paraId="247C1E5A">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25E7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393766BB">
            <w:pPr>
              <w:widowControl w:val="0"/>
              <w:numPr>
                <w:ilvl w:val="0"/>
                <w:numId w:val="4"/>
              </w:numPr>
              <w:autoSpaceDE/>
              <w:autoSpaceDN/>
              <w:adjustRightInd/>
              <w:snapToGrid/>
              <w:spacing w:after="0"/>
              <w:ind w:left="425" w:leftChars="0" w:right="0" w:rightChars="0" w:hanging="425" w:firstLineChars="0"/>
              <w:jc w:val="center"/>
              <w:rPr>
                <w:rFonts w:hint="eastAsia"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4F75BBC1">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江西铜业铅锌金属有限公司</w:t>
            </w:r>
          </w:p>
        </w:tc>
        <w:tc>
          <w:tcPr>
            <w:tcW w:w="791" w:type="pct"/>
            <w:gridSpan w:val="2"/>
            <w:shd w:val="clear" w:color="auto" w:fill="auto"/>
            <w:noWrap w:val="0"/>
            <w:vAlign w:val="center"/>
          </w:tcPr>
          <w:p w14:paraId="38CB6C23">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徐波林、张自强</w:t>
            </w:r>
          </w:p>
        </w:tc>
        <w:tc>
          <w:tcPr>
            <w:tcW w:w="2066" w:type="pct"/>
            <w:gridSpan w:val="2"/>
            <w:shd w:val="clear" w:color="auto" w:fill="auto"/>
            <w:noWrap w:val="0"/>
            <w:vAlign w:val="center"/>
          </w:tcPr>
          <w:p w14:paraId="6DA7380F">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3D7F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54B6AA4F">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3DC8C6CF">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北方铜业股份有限公司</w:t>
            </w:r>
          </w:p>
        </w:tc>
        <w:tc>
          <w:tcPr>
            <w:tcW w:w="791" w:type="pct"/>
            <w:gridSpan w:val="2"/>
            <w:shd w:val="clear" w:color="auto" w:fill="auto"/>
            <w:noWrap w:val="0"/>
            <w:vAlign w:val="center"/>
          </w:tcPr>
          <w:p w14:paraId="6CA14F19">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丁宏、孟飞</w:t>
            </w:r>
          </w:p>
        </w:tc>
        <w:tc>
          <w:tcPr>
            <w:tcW w:w="2066" w:type="pct"/>
            <w:gridSpan w:val="2"/>
            <w:shd w:val="clear" w:color="auto" w:fill="auto"/>
            <w:noWrap w:val="0"/>
            <w:vAlign w:val="center"/>
          </w:tcPr>
          <w:p w14:paraId="380BDFEF">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51FA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06B2501A">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7733F97C">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云南驰宏锌锗股份有限公司</w:t>
            </w:r>
          </w:p>
        </w:tc>
        <w:tc>
          <w:tcPr>
            <w:tcW w:w="791" w:type="pct"/>
            <w:gridSpan w:val="2"/>
            <w:shd w:val="clear" w:color="auto" w:fill="auto"/>
            <w:noWrap w:val="0"/>
            <w:vAlign w:val="center"/>
          </w:tcPr>
          <w:p w14:paraId="16AAA115">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韩冰莓、王浩男</w:t>
            </w:r>
          </w:p>
        </w:tc>
        <w:tc>
          <w:tcPr>
            <w:tcW w:w="2066" w:type="pct"/>
            <w:gridSpan w:val="2"/>
            <w:shd w:val="clear" w:color="auto" w:fill="auto"/>
            <w:noWrap w:val="0"/>
            <w:vAlign w:val="center"/>
          </w:tcPr>
          <w:p w14:paraId="0906A689">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0781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1152961C">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5BE60D4D">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云南铝业股份有限公司</w:t>
            </w:r>
          </w:p>
        </w:tc>
        <w:tc>
          <w:tcPr>
            <w:tcW w:w="791" w:type="pct"/>
            <w:gridSpan w:val="2"/>
            <w:shd w:val="clear" w:color="auto" w:fill="auto"/>
            <w:noWrap w:val="0"/>
            <w:vAlign w:val="center"/>
          </w:tcPr>
          <w:p w14:paraId="2E20A4BA">
            <w:pPr>
              <w:widowControl w:val="0"/>
              <w:autoSpaceDE/>
              <w:autoSpaceDN/>
              <w:adjustRightInd/>
              <w:snapToGrid/>
              <w:spacing w:after="0"/>
              <w:ind w:right="0" w:rightChars="0" w:firstLine="0" w:firstLineChars="0"/>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和珍寿、王必荣</w:t>
            </w:r>
          </w:p>
        </w:tc>
        <w:tc>
          <w:tcPr>
            <w:tcW w:w="2066" w:type="pct"/>
            <w:gridSpan w:val="2"/>
            <w:shd w:val="clear" w:color="auto" w:fill="auto"/>
            <w:noWrap w:val="0"/>
            <w:vAlign w:val="center"/>
          </w:tcPr>
          <w:p w14:paraId="1E350E26">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4C2B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4FE3624E">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noWrap w:val="0"/>
            <w:vAlign w:val="center"/>
          </w:tcPr>
          <w:p w14:paraId="2BEEA719">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云南锡业集团（控股）有限责任公司</w:t>
            </w:r>
          </w:p>
        </w:tc>
        <w:tc>
          <w:tcPr>
            <w:tcW w:w="791" w:type="pct"/>
            <w:gridSpan w:val="2"/>
            <w:noWrap w:val="0"/>
            <w:vAlign w:val="center"/>
          </w:tcPr>
          <w:p w14:paraId="0D975047">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彭巨擘、罗蓉丽</w:t>
            </w:r>
          </w:p>
        </w:tc>
        <w:tc>
          <w:tcPr>
            <w:tcW w:w="2066" w:type="pct"/>
            <w:gridSpan w:val="2"/>
            <w:noWrap w:val="0"/>
            <w:vAlign w:val="center"/>
          </w:tcPr>
          <w:p w14:paraId="7646DBA6">
            <w:pPr>
              <w:widowControl w:val="0"/>
              <w:autoSpaceDE/>
              <w:autoSpaceDN/>
              <w:adjustRightInd/>
              <w:snapToGrid/>
              <w:spacing w:after="0"/>
              <w:ind w:right="0" w:firstLine="0" w:firstLineChars="0"/>
              <w:jc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负责提供标准编制相关资料、技术支持</w:t>
            </w:r>
          </w:p>
        </w:tc>
      </w:tr>
      <w:tr w14:paraId="5316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517D3B49">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1A616CF4">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中色科技股份有限公司</w:t>
            </w:r>
          </w:p>
        </w:tc>
        <w:tc>
          <w:tcPr>
            <w:tcW w:w="791" w:type="pct"/>
            <w:gridSpan w:val="2"/>
            <w:shd w:val="clear" w:color="auto" w:fill="auto"/>
            <w:noWrap w:val="0"/>
            <w:vAlign w:val="center"/>
          </w:tcPr>
          <w:p w14:paraId="472AFD10">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陈春灿、何向问</w:t>
            </w:r>
          </w:p>
        </w:tc>
        <w:tc>
          <w:tcPr>
            <w:tcW w:w="2066" w:type="pct"/>
            <w:gridSpan w:val="2"/>
            <w:shd w:val="clear" w:color="auto" w:fill="auto"/>
            <w:noWrap w:val="0"/>
            <w:vAlign w:val="center"/>
          </w:tcPr>
          <w:p w14:paraId="6A1B51D1">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092A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0D73BEAA">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508D8F79">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金川集团股份有限公司</w:t>
            </w:r>
          </w:p>
        </w:tc>
        <w:tc>
          <w:tcPr>
            <w:tcW w:w="791" w:type="pct"/>
            <w:gridSpan w:val="2"/>
            <w:shd w:val="clear" w:color="auto" w:fill="auto"/>
            <w:noWrap w:val="0"/>
            <w:vAlign w:val="center"/>
          </w:tcPr>
          <w:p w14:paraId="7B3DD2B5">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杨鹤年</w:t>
            </w:r>
          </w:p>
        </w:tc>
        <w:tc>
          <w:tcPr>
            <w:tcW w:w="2066" w:type="pct"/>
            <w:gridSpan w:val="2"/>
            <w:shd w:val="clear" w:color="auto" w:fill="auto"/>
            <w:noWrap w:val="0"/>
            <w:vAlign w:val="center"/>
          </w:tcPr>
          <w:p w14:paraId="2CFCB81A">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rPr>
              <w:t>负责提供标准编制相关资料、技术支持</w:t>
            </w:r>
          </w:p>
        </w:tc>
      </w:tr>
      <w:tr w14:paraId="1339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321" w:type="pct"/>
            <w:gridSpan w:val="2"/>
            <w:shd w:val="clear" w:color="auto" w:fill="auto"/>
            <w:noWrap w:val="0"/>
            <w:vAlign w:val="center"/>
          </w:tcPr>
          <w:p w14:paraId="1A22D8EC">
            <w:pPr>
              <w:widowControl w:val="0"/>
              <w:numPr>
                <w:ilvl w:val="0"/>
                <w:numId w:val="4"/>
              </w:numPr>
              <w:autoSpaceDE/>
              <w:autoSpaceDN/>
              <w:adjustRightInd/>
              <w:snapToGrid/>
              <w:spacing w:after="0"/>
              <w:ind w:left="425" w:leftChars="0" w:right="0" w:rightChars="0" w:hanging="425" w:firstLineChars="0"/>
              <w:jc w:val="center"/>
              <w:rPr>
                <w:rFonts w:hint="default" w:ascii="宋体" w:hAnsi="宋体" w:eastAsia="宋体" w:cs="宋体"/>
                <w:color w:val="auto"/>
                <w:kern w:val="2"/>
                <w:sz w:val="18"/>
                <w:szCs w:val="18"/>
                <w:highlight w:val="none"/>
                <w:lang w:val="en-US" w:eastAsia="zh-CN" w:bidi="ar-SA"/>
              </w:rPr>
            </w:pPr>
          </w:p>
        </w:tc>
        <w:tc>
          <w:tcPr>
            <w:tcW w:w="1820" w:type="pct"/>
            <w:gridSpan w:val="2"/>
            <w:shd w:val="clear" w:color="auto" w:fill="auto"/>
            <w:noWrap w:val="0"/>
            <w:vAlign w:val="center"/>
          </w:tcPr>
          <w:p w14:paraId="6453E84A">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铜陵有色金属集团股份有限公司</w:t>
            </w:r>
          </w:p>
        </w:tc>
        <w:tc>
          <w:tcPr>
            <w:tcW w:w="791" w:type="pct"/>
            <w:gridSpan w:val="2"/>
            <w:shd w:val="clear" w:color="auto" w:fill="auto"/>
            <w:noWrap w:val="0"/>
            <w:vAlign w:val="center"/>
          </w:tcPr>
          <w:p w14:paraId="25AB7DA6">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邱金峰、洪行</w:t>
            </w:r>
          </w:p>
        </w:tc>
        <w:tc>
          <w:tcPr>
            <w:tcW w:w="2066" w:type="pct"/>
            <w:gridSpan w:val="2"/>
            <w:shd w:val="clear" w:color="auto" w:fill="auto"/>
            <w:noWrap w:val="0"/>
            <w:vAlign w:val="center"/>
          </w:tcPr>
          <w:p w14:paraId="18FCDC11">
            <w:pPr>
              <w:widowControl w:val="0"/>
              <w:autoSpaceDE/>
              <w:autoSpaceDN/>
              <w:adjustRightInd/>
              <w:snapToGrid/>
              <w:spacing w:after="0"/>
              <w:ind w:right="0" w:rightChars="0" w:firstLine="0" w:firstLineChars="0"/>
              <w:jc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负责提供标准编制相关资料、技术支持</w:t>
            </w:r>
          </w:p>
        </w:tc>
      </w:tr>
    </w:tbl>
    <w:p w14:paraId="130CAEA7">
      <w:pPr>
        <w:rPr>
          <w:rFonts w:hint="default"/>
          <w:lang w:val="en-US" w:eastAsia="zh-CN"/>
        </w:rPr>
      </w:pPr>
    </w:p>
    <w:p w14:paraId="6B959490">
      <w:pPr>
        <w:pStyle w:val="26"/>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hAnsi="黑体" w:cs="黑体"/>
          <w:color w:val="auto"/>
          <w:szCs w:val="21"/>
          <w:lang w:val="en-US" w:eastAsia="zh-CN"/>
        </w:rPr>
      </w:pPr>
      <w:bookmarkStart w:id="4" w:name="_Toc2823"/>
      <w:r>
        <w:rPr>
          <w:rFonts w:hint="eastAsia" w:hAnsi="黑体" w:cs="黑体"/>
          <w:color w:val="auto"/>
          <w:szCs w:val="21"/>
          <w:lang w:val="en-US" w:eastAsia="zh-CN"/>
        </w:rPr>
        <w:t>1.4主要工作过程</w:t>
      </w:r>
      <w:bookmarkEnd w:id="4"/>
    </w:p>
    <w:p w14:paraId="42C70248">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1.</w:t>
      </w:r>
      <w:r>
        <w:rPr>
          <w:rFonts w:hint="eastAsia" w:ascii="黑体" w:hAnsi="黑体" w:eastAsia="黑体" w:cs="黑体"/>
          <w:color w:val="auto"/>
          <w:kern w:val="0"/>
          <w:sz w:val="21"/>
          <w:szCs w:val="21"/>
          <w:lang w:val="en-US" w:eastAsia="zh-CN"/>
        </w:rPr>
        <w:t>4</w:t>
      </w:r>
      <w:r>
        <w:rPr>
          <w:rFonts w:hint="eastAsia" w:ascii="黑体" w:hAnsi="黑体" w:eastAsia="黑体" w:cs="黑体"/>
          <w:color w:val="auto"/>
          <w:kern w:val="0"/>
          <w:sz w:val="21"/>
          <w:szCs w:val="21"/>
        </w:rPr>
        <w:t>.1预研阶段</w:t>
      </w:r>
    </w:p>
    <w:p w14:paraId="10C12679">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ascii="宋体" w:hAnsi="宋体" w:eastAsia="宋体" w:cs="宋体"/>
          <w:color w:val="auto"/>
          <w:kern w:val="2"/>
          <w:sz w:val="21"/>
          <w:szCs w:val="21"/>
          <w:lang w:val="en-US" w:eastAsia="zh-CN"/>
        </w:rPr>
      </w:pPr>
      <w:r>
        <w:rPr>
          <w:rFonts w:hint="default" w:ascii="宋体" w:hAnsi="宋体" w:eastAsia="宋体" w:cs="宋体"/>
          <w:color w:val="auto"/>
          <w:kern w:val="2"/>
          <w:sz w:val="21"/>
          <w:szCs w:val="21"/>
          <w:lang w:val="en-US" w:eastAsia="zh-CN"/>
        </w:rPr>
        <w:t>202</w:t>
      </w:r>
      <w:r>
        <w:rPr>
          <w:rFonts w:hint="eastAsia" w:ascii="宋体" w:hAnsi="宋体" w:eastAsia="宋体" w:cs="宋体"/>
          <w:color w:val="auto"/>
          <w:kern w:val="2"/>
          <w:sz w:val="21"/>
          <w:szCs w:val="21"/>
          <w:lang w:val="en-US" w:eastAsia="zh-CN"/>
        </w:rPr>
        <w:t>5</w:t>
      </w:r>
      <w:r>
        <w:rPr>
          <w:rFonts w:hint="default" w:ascii="宋体" w:hAnsi="宋体" w:eastAsia="宋体" w:cs="宋体"/>
          <w:color w:val="auto"/>
          <w:kern w:val="2"/>
          <w:sz w:val="21"/>
          <w:szCs w:val="21"/>
          <w:lang w:val="en-US" w:eastAsia="zh-CN"/>
        </w:rPr>
        <w:t>年</w:t>
      </w:r>
      <w:r>
        <w:rPr>
          <w:rFonts w:hint="eastAsia" w:ascii="宋体" w:hAnsi="宋体" w:eastAsia="宋体" w:cs="宋体"/>
          <w:color w:val="auto"/>
          <w:kern w:val="2"/>
          <w:sz w:val="21"/>
          <w:szCs w:val="21"/>
          <w:lang w:val="en-US" w:eastAsia="zh-CN"/>
        </w:rPr>
        <w:t>2</w:t>
      </w:r>
      <w:r>
        <w:rPr>
          <w:rFonts w:hint="default" w:ascii="宋体" w:hAnsi="宋体" w:eastAsia="宋体" w:cs="宋体"/>
          <w:color w:val="auto"/>
          <w:kern w:val="2"/>
          <w:sz w:val="21"/>
          <w:szCs w:val="21"/>
          <w:lang w:val="en-US" w:eastAsia="zh-CN"/>
        </w:rPr>
        <w:t>月</w:t>
      </w:r>
      <w:r>
        <w:rPr>
          <w:rFonts w:hint="eastAsia" w:ascii="宋体" w:hAnsi="宋体" w:eastAsia="宋体" w:cs="宋体"/>
          <w:color w:val="auto"/>
          <w:kern w:val="2"/>
          <w:sz w:val="21"/>
          <w:szCs w:val="21"/>
          <w:lang w:val="en-US" w:eastAsia="zh-CN"/>
        </w:rPr>
        <w:t>，落实《原材料工业数字化转型工作方案（2024-2026年）》</w:t>
      </w:r>
      <w:r>
        <w:rPr>
          <w:rFonts w:hint="default" w:ascii="宋体" w:hAnsi="宋体" w:eastAsia="宋体" w:cs="宋体"/>
          <w:color w:val="auto"/>
          <w:kern w:val="2"/>
          <w:sz w:val="21"/>
          <w:szCs w:val="21"/>
          <w:lang w:val="en-US" w:eastAsia="zh-CN"/>
        </w:rPr>
        <w:t>《有色金属行业智能制造标准体系建设指南（2023版）》</w:t>
      </w:r>
      <w:r>
        <w:rPr>
          <w:rFonts w:hint="eastAsia" w:ascii="宋体" w:hAnsi="宋体" w:eastAsia="宋体" w:cs="宋体"/>
          <w:color w:val="auto"/>
          <w:kern w:val="2"/>
          <w:sz w:val="21"/>
          <w:szCs w:val="21"/>
          <w:lang w:val="en-US" w:eastAsia="zh-CN"/>
        </w:rPr>
        <w:t>和《标准提升引领原材料工业优化升级行动方案（2025-2027年）》</w:t>
      </w:r>
      <w:r>
        <w:rPr>
          <w:rFonts w:hint="eastAsia" w:ascii="宋体" w:hAnsi="宋体" w:eastAsia="宋体" w:cs="宋体"/>
          <w:color w:val="000000" w:themeColor="text1"/>
          <w:kern w:val="2"/>
          <w:sz w:val="21"/>
          <w:szCs w:val="21"/>
          <w:lang w:val="en-US" w:eastAsia="zh-CN"/>
          <w14:textFill>
            <w14:solidFill>
              <w14:schemeClr w14:val="tx1"/>
            </w14:solidFill>
          </w14:textFill>
        </w:rPr>
        <w:t>等政策文件</w:t>
      </w:r>
      <w:r>
        <w:rPr>
          <w:rFonts w:hint="eastAsia" w:ascii="宋体" w:hAnsi="宋体" w:eastAsia="宋体" w:cs="宋体"/>
          <w:color w:val="auto"/>
          <w:kern w:val="2"/>
          <w:sz w:val="21"/>
          <w:szCs w:val="21"/>
          <w:lang w:val="en-US" w:eastAsia="zh-CN"/>
        </w:rPr>
        <w:t>，根据国家标准化管理委员会、工业和信息化部及中国有色金属工业协会的工作部署，</w:t>
      </w:r>
      <w:r>
        <w:rPr>
          <w:rFonts w:hint="default" w:ascii="宋体" w:hAnsi="宋体" w:eastAsia="宋体" w:cs="宋体"/>
          <w:color w:val="auto"/>
          <w:kern w:val="2"/>
          <w:sz w:val="21"/>
          <w:szCs w:val="21"/>
          <w:lang w:val="en-US" w:eastAsia="zh-CN"/>
        </w:rPr>
        <w:t>江西铜业股份有限公司</w:t>
      </w:r>
      <w:r>
        <w:rPr>
          <w:rFonts w:hint="eastAsia" w:ascii="宋体" w:hAnsi="宋体" w:eastAsia="宋体" w:cs="宋体"/>
          <w:color w:val="auto"/>
          <w:kern w:val="2"/>
          <w:sz w:val="21"/>
          <w:szCs w:val="21"/>
          <w:lang w:val="en-US" w:eastAsia="zh-CN"/>
        </w:rPr>
        <w:t>依托行业优势，结合江铜贵溪冶炼厂“工业数据安全防护建设”项目的成功实施，牵头</w:t>
      </w:r>
      <w:r>
        <w:rPr>
          <w:rFonts w:hint="default" w:ascii="宋体" w:hAnsi="宋体" w:eastAsia="宋体" w:cs="宋体"/>
          <w:color w:val="auto"/>
          <w:kern w:val="2"/>
          <w:sz w:val="21"/>
          <w:szCs w:val="21"/>
          <w:lang w:val="en-US" w:eastAsia="zh-CN"/>
        </w:rPr>
        <w:t>启动</w:t>
      </w:r>
      <w:r>
        <w:rPr>
          <w:rFonts w:hint="eastAsia" w:ascii="宋体" w:hAnsi="宋体" w:eastAsia="宋体" w:cs="宋体"/>
          <w:color w:val="auto"/>
          <w:kern w:val="2"/>
          <w:sz w:val="21"/>
          <w:szCs w:val="21"/>
          <w:lang w:val="en-US" w:eastAsia="zh-CN"/>
        </w:rPr>
        <w:t>《有色金属行业数据安全管理技术要求》</w:t>
      </w:r>
      <w:r>
        <w:rPr>
          <w:rFonts w:hint="default" w:ascii="宋体" w:hAnsi="宋体" w:eastAsia="宋体" w:cs="宋体"/>
          <w:color w:val="auto"/>
          <w:kern w:val="2"/>
          <w:sz w:val="21"/>
          <w:szCs w:val="21"/>
          <w:lang w:val="en-US" w:eastAsia="zh-CN"/>
        </w:rPr>
        <w:t>标准立项申报、草案编制工作。同时与</w:t>
      </w:r>
      <w:r>
        <w:rPr>
          <w:rFonts w:hint="eastAsia" w:ascii="宋体" w:hAnsi="宋体" w:eastAsia="宋体" w:cs="宋体"/>
          <w:color w:val="auto"/>
          <w:kern w:val="2"/>
          <w:sz w:val="21"/>
          <w:szCs w:val="21"/>
          <w:lang w:val="en-US" w:eastAsia="zh-CN"/>
        </w:rPr>
        <w:t>实施“工业数据安全防护建设”项目的</w:t>
      </w:r>
      <w:r>
        <w:rPr>
          <w:rFonts w:hint="default" w:ascii="宋体" w:hAnsi="宋体" w:eastAsia="宋体" w:cs="宋体"/>
          <w:color w:val="auto"/>
          <w:kern w:val="2"/>
          <w:sz w:val="21"/>
          <w:szCs w:val="21"/>
          <w:lang w:val="en-US" w:eastAsia="zh-CN"/>
        </w:rPr>
        <w:t>国家工业信息安全发展研究中心深入讨论了标准的技术路线与方案，并根据讨论情况，形成标准编制思路和方向。</w:t>
      </w:r>
    </w:p>
    <w:p w14:paraId="596C01D0">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1.</w:t>
      </w:r>
      <w:r>
        <w:rPr>
          <w:rFonts w:hint="eastAsia" w:ascii="黑体" w:hAnsi="黑体" w:eastAsia="黑体" w:cs="黑体"/>
          <w:color w:val="auto"/>
          <w:kern w:val="0"/>
          <w:sz w:val="21"/>
          <w:szCs w:val="21"/>
          <w:lang w:val="en-US" w:eastAsia="zh-CN"/>
        </w:rPr>
        <w:t>4</w:t>
      </w:r>
      <w:r>
        <w:rPr>
          <w:rFonts w:hint="eastAsia" w:ascii="黑体" w:hAnsi="黑体" w:eastAsia="黑体" w:cs="黑体"/>
          <w:color w:val="auto"/>
          <w:kern w:val="0"/>
          <w:sz w:val="21"/>
          <w:szCs w:val="21"/>
        </w:rPr>
        <w:t>.2标准立项</w:t>
      </w:r>
    </w:p>
    <w:p w14:paraId="60D1F772">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2025年3月，全国有色金属标准化技术委员会在广东韶关召开有色金属行业智能制造标准大会，</w:t>
      </w:r>
      <w:r>
        <w:rPr>
          <w:rFonts w:hint="default" w:ascii="宋体" w:hAnsi="宋体" w:eastAsia="宋体" w:cs="宋体"/>
          <w:color w:val="auto"/>
          <w:kern w:val="2"/>
          <w:sz w:val="21"/>
          <w:szCs w:val="21"/>
          <w:lang w:val="en-US" w:eastAsia="zh-CN"/>
        </w:rPr>
        <w:t>江西铜业股份有限公司</w:t>
      </w:r>
      <w:r>
        <w:rPr>
          <w:rFonts w:hint="eastAsia" w:hAnsi="黑体" w:cs="黑体"/>
          <w:color w:val="auto"/>
          <w:kern w:val="2"/>
          <w:sz w:val="21"/>
          <w:szCs w:val="21"/>
          <w:lang w:val="en-US" w:eastAsia="zh-CN"/>
        </w:rPr>
        <w:t>作为主起草单位在会上发布了《</w:t>
      </w:r>
      <w:r>
        <w:rPr>
          <w:rFonts w:hint="eastAsia" w:ascii="宋体" w:hAnsi="宋体" w:eastAsia="宋体" w:cs="宋体"/>
          <w:color w:val="auto"/>
          <w:kern w:val="2"/>
          <w:sz w:val="21"/>
          <w:szCs w:val="21"/>
          <w:lang w:val="en-US" w:eastAsia="zh-CN"/>
        </w:rPr>
        <w:t>有色金属行业数据安全管理技术要求</w:t>
      </w:r>
      <w:r>
        <w:rPr>
          <w:rFonts w:hint="eastAsia" w:hAnsi="黑体" w:cs="黑体"/>
          <w:color w:val="auto"/>
          <w:kern w:val="2"/>
          <w:sz w:val="21"/>
          <w:szCs w:val="21"/>
          <w:lang w:val="en-US" w:eastAsia="zh-CN"/>
        </w:rPr>
        <w:t>》。</w:t>
      </w:r>
      <w:r>
        <w:rPr>
          <w:rFonts w:hint="eastAsia" w:ascii="宋体" w:hAnsi="宋体" w:eastAsia="宋体" w:cs="宋体"/>
          <w:color w:val="auto"/>
          <w:kern w:val="2"/>
          <w:sz w:val="21"/>
          <w:szCs w:val="21"/>
          <w:lang w:val="en-US" w:eastAsia="zh-CN"/>
        </w:rPr>
        <w:t>经大会论证，标准改为《有色金属行业工业数据分类分级指南》，修订后申请立项。</w:t>
      </w:r>
    </w:p>
    <w:p w14:paraId="103924A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hAnsi="黑体" w:cs="黑体"/>
          <w:color w:val="auto"/>
          <w:kern w:val="2"/>
          <w:sz w:val="21"/>
          <w:szCs w:val="21"/>
          <w:lang w:val="en-US" w:eastAsia="zh-CN"/>
        </w:rPr>
      </w:pPr>
      <w:r>
        <w:rPr>
          <w:rFonts w:hint="eastAsia" w:ascii="宋体" w:hAnsi="宋体" w:eastAsia="宋体" w:cs="宋体"/>
          <w:color w:val="auto"/>
          <w:kern w:val="2"/>
          <w:sz w:val="21"/>
          <w:szCs w:val="21"/>
          <w:lang w:val="en-US" w:eastAsia="zh-CN"/>
        </w:rPr>
        <w:t>2025年12月29日，根据《工业和信息化部办公厅关于印发2025年第五批行业标准制修订和外文版项目计划的通知》（工信厅科函〔2025〕528号）文件要求，行业标准《有色金属行业工业数据分类分级指南》通过立项，标准计划编号：2025-1176T-YS，项目周期为12个月，计划于2026年12月完成。</w:t>
      </w:r>
    </w:p>
    <w:p w14:paraId="2A3AA856">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1.</w:t>
      </w:r>
      <w:r>
        <w:rPr>
          <w:rFonts w:hint="eastAsia" w:ascii="黑体" w:hAnsi="黑体" w:eastAsia="黑体" w:cs="黑体"/>
          <w:color w:val="auto"/>
          <w:kern w:val="0"/>
          <w:sz w:val="21"/>
          <w:szCs w:val="21"/>
          <w:lang w:val="en-US" w:eastAsia="zh-CN"/>
        </w:rPr>
        <w:t>4</w:t>
      </w:r>
      <w:r>
        <w:rPr>
          <w:rFonts w:hint="eastAsia" w:ascii="黑体" w:hAnsi="黑体" w:eastAsia="黑体" w:cs="黑体"/>
          <w:color w:val="auto"/>
          <w:kern w:val="0"/>
          <w:sz w:val="21"/>
          <w:szCs w:val="21"/>
        </w:rPr>
        <w:t>.3起草阶段</w:t>
      </w:r>
    </w:p>
    <w:p w14:paraId="382DFDF9">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2025年5月，由江铜牵头成立了《有色金属行业工业数据分类分级指南》编制组，制定相关工作计划，起草标准，形成标准草案。</w:t>
      </w:r>
    </w:p>
    <w:p w14:paraId="6D798FF2">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2025年7月，编制组在贵州贵阳参加标准工作会，讨论标准征求意见1稿，收集与会专家意见建议进行修改完善。</w:t>
      </w:r>
    </w:p>
    <w:p w14:paraId="6332D810">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2026年1月，编制组在广东珠海参加标准工作会，讨论预审征求意见2稿，收集与会专家意见建议进行修改完善。</w:t>
      </w:r>
    </w:p>
    <w:p w14:paraId="17F4DE03">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eastAsia" w:ascii="黑体" w:hAnsi="黑体" w:eastAsia="黑体" w:cs="黑体"/>
          <w:color w:val="auto"/>
          <w:kern w:val="0"/>
          <w:sz w:val="21"/>
          <w:szCs w:val="21"/>
          <w:lang w:val="en-US" w:eastAsia="zh-CN"/>
        </w:rPr>
      </w:pPr>
      <w:r>
        <w:rPr>
          <w:rFonts w:hint="eastAsia" w:ascii="黑体" w:hAnsi="黑体" w:eastAsia="黑体" w:cs="黑体"/>
          <w:color w:val="auto"/>
          <w:kern w:val="0"/>
          <w:sz w:val="21"/>
          <w:szCs w:val="21"/>
          <w:lang w:val="en-US" w:eastAsia="zh-CN"/>
        </w:rPr>
        <w:t>1.4.4征求意见阶段</w:t>
      </w:r>
    </w:p>
    <w:p w14:paraId="049FEDCA">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2026年1月，牵头单位江铜向行业内相关单位下发调查表、调研问卷及讨论稿，广泛征集意见和建议，共16家单位反馈，收集意见建议</w:t>
      </w:r>
      <w:r>
        <w:rPr>
          <w:rFonts w:hint="eastAsia" w:ascii="宋体" w:hAnsi="宋体" w:eastAsia="宋体" w:cs="宋体"/>
          <w:color w:val="auto"/>
          <w:kern w:val="2"/>
          <w:sz w:val="21"/>
          <w:szCs w:val="21"/>
          <w:highlight w:val="none"/>
          <w:lang w:val="en-US" w:eastAsia="zh-CN"/>
        </w:rPr>
        <w:t>88</w:t>
      </w:r>
      <w:r>
        <w:rPr>
          <w:rFonts w:hint="eastAsia" w:ascii="宋体" w:hAnsi="宋体" w:eastAsia="宋体" w:cs="宋体"/>
          <w:color w:val="auto"/>
          <w:kern w:val="2"/>
          <w:sz w:val="21"/>
          <w:szCs w:val="21"/>
          <w:lang w:val="en-US" w:eastAsia="zh-CN"/>
        </w:rPr>
        <w:t>条，采纳</w:t>
      </w:r>
      <w:r>
        <w:rPr>
          <w:rFonts w:hint="eastAsia" w:ascii="宋体" w:hAnsi="宋体" w:eastAsia="宋体" w:cs="宋体"/>
          <w:color w:val="auto"/>
          <w:kern w:val="2"/>
          <w:sz w:val="21"/>
          <w:szCs w:val="21"/>
          <w:highlight w:val="none"/>
          <w:lang w:val="en-US" w:eastAsia="zh-CN"/>
        </w:rPr>
        <w:t>63</w:t>
      </w:r>
      <w:r>
        <w:rPr>
          <w:rFonts w:hint="eastAsia" w:ascii="宋体" w:hAnsi="宋体" w:eastAsia="宋体" w:cs="宋体"/>
          <w:color w:val="auto"/>
          <w:kern w:val="2"/>
          <w:sz w:val="21"/>
          <w:szCs w:val="21"/>
          <w:lang w:val="en-US" w:eastAsia="zh-CN"/>
        </w:rPr>
        <w:t>条，修改完善形成预审稿。</w:t>
      </w:r>
    </w:p>
    <w:p w14:paraId="111688C9">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eastAsia" w:ascii="黑体" w:hAnsi="黑体" w:eastAsia="黑体" w:cs="黑体"/>
          <w:color w:val="auto"/>
          <w:kern w:val="0"/>
          <w:sz w:val="21"/>
          <w:szCs w:val="21"/>
          <w:lang w:val="en-US" w:eastAsia="zh-CN"/>
        </w:rPr>
      </w:pPr>
      <w:r>
        <w:rPr>
          <w:rFonts w:hint="eastAsia" w:ascii="黑体" w:hAnsi="黑体" w:eastAsia="黑体" w:cs="黑体"/>
          <w:color w:val="auto"/>
          <w:kern w:val="0"/>
          <w:sz w:val="21"/>
          <w:szCs w:val="21"/>
          <w:lang w:val="en-US" w:eastAsia="zh-CN"/>
        </w:rPr>
        <w:t>1.4.5审查阶段</w:t>
      </w:r>
    </w:p>
    <w:p w14:paraId="5F1F5ECF">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2026年4月，编制组在浙江衢州参加标准工作会，讨论预审稿，收集与会专家意见建议进行修改完善，形成送审稿。</w:t>
      </w:r>
    </w:p>
    <w:p w14:paraId="718C0649">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eastAsia" w:ascii="黑体" w:hAnsi="黑体" w:eastAsia="黑体" w:cs="黑体"/>
          <w:color w:val="auto"/>
          <w:kern w:val="0"/>
          <w:sz w:val="21"/>
          <w:szCs w:val="21"/>
          <w:lang w:val="en-US" w:eastAsia="zh-CN"/>
        </w:rPr>
      </w:pPr>
      <w:r>
        <w:rPr>
          <w:rFonts w:hint="eastAsia" w:ascii="黑体" w:hAnsi="黑体" w:eastAsia="黑体" w:cs="黑体"/>
          <w:color w:val="auto"/>
          <w:kern w:val="0"/>
          <w:sz w:val="21"/>
          <w:szCs w:val="21"/>
          <w:lang w:val="en-US" w:eastAsia="zh-CN"/>
        </w:rPr>
        <w:t>1.4.5审定阶段</w:t>
      </w:r>
    </w:p>
    <w:p w14:paraId="4489114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lang w:val="en-US" w:eastAsia="zh-CN"/>
        </w:rPr>
      </w:pPr>
      <w:r>
        <w:rPr>
          <w:rFonts w:hint="eastAsia" w:ascii="宋体" w:hAnsi="宋体" w:eastAsia="宋体" w:cs="宋体"/>
          <w:color w:val="auto"/>
          <w:kern w:val="2"/>
          <w:sz w:val="21"/>
          <w:szCs w:val="21"/>
          <w:lang w:val="en-US" w:eastAsia="zh-CN"/>
        </w:rPr>
        <w:t>2026年7月，编制组在安徽合肥参加标准工作会，讨论送审稿，收集与会专家意见建议进行修改完善，形成审定稿。</w:t>
      </w:r>
    </w:p>
    <w:p w14:paraId="0B10BE28">
      <w:pPr>
        <w:pStyle w:val="2"/>
        <w:keepNext w:val="0"/>
        <w:keepLines w:val="0"/>
        <w:pageBreakBefore w:val="0"/>
        <w:widowControl w:val="0"/>
        <w:kinsoku/>
        <w:wordWrap/>
        <w:overflowPunct/>
        <w:topLinePunct w:val="0"/>
        <w:autoSpaceDE/>
        <w:autoSpaceDN/>
        <w:bidi w:val="0"/>
        <w:adjustRightInd/>
        <w:snapToGrid/>
        <w:spacing w:after="0" w:line="360" w:lineRule="auto"/>
        <w:ind w:right="0" w:firstLine="0" w:firstLineChars="0"/>
        <w:jc w:val="both"/>
        <w:textAlignment w:val="auto"/>
        <w:outlineLvl w:val="2"/>
        <w:rPr>
          <w:rFonts w:hint="eastAsia" w:ascii="黑体" w:hAnsi="黑体" w:eastAsia="黑体" w:cs="黑体"/>
          <w:color w:val="auto"/>
          <w:kern w:val="0"/>
          <w:sz w:val="21"/>
          <w:szCs w:val="21"/>
          <w:lang w:val="en-US" w:eastAsia="zh-CN"/>
        </w:rPr>
      </w:pPr>
      <w:r>
        <w:rPr>
          <w:rFonts w:hint="eastAsia" w:ascii="黑体" w:hAnsi="黑体" w:eastAsia="黑体" w:cs="黑体"/>
          <w:color w:val="auto"/>
          <w:kern w:val="0"/>
          <w:sz w:val="21"/>
          <w:szCs w:val="21"/>
          <w:lang w:val="en-US" w:eastAsia="zh-CN"/>
        </w:rPr>
        <w:t>1.4.6报批阶段</w:t>
      </w:r>
    </w:p>
    <w:p w14:paraId="7CFD13CF">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w:t>
      </w:r>
    </w:p>
    <w:p w14:paraId="26D8D69E">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firstLine="0" w:firstLineChars="0"/>
        <w:jc w:val="both"/>
        <w:textAlignment w:val="auto"/>
        <w:outlineLvl w:val="0"/>
        <w:rPr>
          <w:rFonts w:hint="eastAsia" w:ascii="黑体" w:hAnsi="宋体" w:eastAsia="黑体" w:cs="Arial"/>
          <w:b w:val="0"/>
          <w:bCs w:val="0"/>
          <w:color w:val="auto"/>
          <w:sz w:val="21"/>
          <w:szCs w:val="21"/>
          <w:lang w:val="en-US" w:eastAsia="zh-CN"/>
        </w:rPr>
      </w:pPr>
      <w:bookmarkStart w:id="5" w:name="_Toc11406"/>
      <w:r>
        <w:rPr>
          <w:rFonts w:hint="eastAsia" w:ascii="黑体" w:eastAsia="黑体" w:cs="Arial"/>
          <w:color w:val="auto"/>
          <w:sz w:val="21"/>
          <w:szCs w:val="21"/>
        </w:rPr>
        <w:t>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主要内容及其确定依据</w:t>
      </w:r>
      <w:bookmarkEnd w:id="5"/>
    </w:p>
    <w:p w14:paraId="26A2E4BD">
      <w:pPr>
        <w:pStyle w:val="26"/>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hAnsi="黑体" w:cs="黑体"/>
          <w:color w:val="auto"/>
          <w:szCs w:val="21"/>
          <w:lang w:val="en-US" w:eastAsia="zh-CN"/>
        </w:rPr>
      </w:pPr>
      <w:bookmarkStart w:id="6" w:name="_Toc11687"/>
      <w:r>
        <w:rPr>
          <w:rFonts w:hint="eastAsia" w:hAnsi="黑体" w:cs="黑体"/>
          <w:color w:val="auto"/>
          <w:szCs w:val="21"/>
          <w:lang w:val="en-US" w:eastAsia="zh-CN"/>
        </w:rPr>
        <w:t>2.1 编制原则</w:t>
      </w:r>
      <w:bookmarkEnd w:id="6"/>
    </w:p>
    <w:p w14:paraId="656EFBAF">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1、本标准按照GB/T 1.1-2020《标准化工作导则 第1部分：标准化文件的结构和起草规则》给出的规则起草。</w:t>
      </w:r>
    </w:p>
    <w:p w14:paraId="0B37C98F">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2、本标准立足有色金属行业实际和智能制造标准体系的要求，与其他标准共同丰富智能制造标准体系，在编制的过程中，始终遵循符合行业特色、满足市场需求、技术内容合理的原则。</w:t>
      </w:r>
    </w:p>
    <w:p w14:paraId="669592EA">
      <w:pPr>
        <w:pStyle w:val="26"/>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eastAsia" w:hAnsi="黑体" w:cs="黑体"/>
          <w:color w:val="auto"/>
          <w:szCs w:val="21"/>
          <w:highlight w:val="none"/>
          <w:lang w:val="en-US" w:eastAsia="zh-CN"/>
        </w:rPr>
      </w:pPr>
      <w:bookmarkStart w:id="7" w:name="_Toc11967"/>
      <w:r>
        <w:rPr>
          <w:rFonts w:hint="eastAsia" w:hAnsi="黑体" w:cs="黑体"/>
          <w:color w:val="auto"/>
          <w:szCs w:val="21"/>
          <w:highlight w:val="none"/>
          <w:lang w:val="en-US" w:eastAsia="zh-CN"/>
        </w:rPr>
        <w:t>2.2 标准主要技术内容的确定依据</w:t>
      </w:r>
      <w:bookmarkEnd w:id="7"/>
    </w:p>
    <w:p w14:paraId="69D4363F">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1、范围</w:t>
      </w:r>
    </w:p>
    <w:p w14:paraId="7051269C">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hAnsi="黑体" w:cs="黑体" w:asciiTheme="minorHAnsi" w:eastAsiaTheme="minorEastAsia"/>
          <w:color w:val="000000" w:themeColor="text1"/>
          <w:kern w:val="2"/>
          <w:sz w:val="21"/>
          <w:szCs w:val="21"/>
          <w:highlight w:val="none"/>
          <w:lang w:val="en-US" w:eastAsia="zh-CN"/>
          <w14:textFill>
            <w14:solidFill>
              <w14:schemeClr w14:val="tx1"/>
            </w14:solidFill>
          </w14:textFill>
        </w:rPr>
        <w:t>本</w:t>
      </w:r>
      <w:r>
        <w:rPr>
          <w:rFonts w:hint="eastAsia" w:hAnsi="黑体" w:cs="黑体"/>
          <w:color w:val="000000" w:themeColor="text1"/>
          <w:kern w:val="2"/>
          <w:sz w:val="21"/>
          <w:szCs w:val="21"/>
          <w:highlight w:val="none"/>
          <w:lang w:val="en-US" w:eastAsia="zh-CN"/>
          <w14:textFill>
            <w14:solidFill>
              <w14:schemeClr w14:val="tx1"/>
            </w14:solidFill>
          </w14:textFill>
        </w:rPr>
        <w:t>标准</w:t>
      </w:r>
      <w:r>
        <w:rPr>
          <w:rFonts w:hint="eastAsia" w:hAnsi="黑体" w:cs="黑体" w:asciiTheme="minorHAnsi" w:eastAsiaTheme="minorEastAsia"/>
          <w:color w:val="000000" w:themeColor="text1"/>
          <w:kern w:val="2"/>
          <w:sz w:val="21"/>
          <w:szCs w:val="21"/>
          <w:highlight w:val="none"/>
          <w:lang w:val="en-US" w:eastAsia="zh-CN"/>
          <w14:textFill>
            <w14:solidFill>
              <w14:schemeClr w14:val="tx1"/>
            </w14:solidFill>
          </w14:textFill>
        </w:rPr>
        <w:t>规定了有色金属行业工业数据分类分级的基本原则、规则及流程，并提供了数据示例。适用于有色金属行业采选、冶炼、加工企业参考本标准开展数据分类分级工作，同时为各类数据处理者开展数据安全管理、合规处理及风险防控工作提供参考依据。</w:t>
      </w:r>
    </w:p>
    <w:p w14:paraId="27A2307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2、基本原则</w:t>
      </w:r>
    </w:p>
    <w:p w14:paraId="47F0D49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除遵循GB/T 43697基本原则外，还应当遵循以下原则：</w:t>
      </w:r>
    </w:p>
    <w:p w14:paraId="197F958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1）战略资源评估原则：从有色金属资源战略属性进行评估，识别对国家资源安全、产业链自主可控及国际市场话语权具有直接影响的数据，一旦泄露或滥用可能削弱国家在全球资源竞争中的优势，影响产业链关键环节的稳定性；</w:t>
      </w:r>
    </w:p>
    <w:p w14:paraId="5C926F7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2）安全风险影响原则：从国家安全、社会秩序、经济运行、行业发展和工业生产等角度识别工业数据的影响力，数据一旦遭到泄露、篡改、损毁或者非法获取、非法使用、非法共享，会对国家、社会、经济、行业和企业造成的安全事故风险和经济损失程度；</w:t>
      </w:r>
    </w:p>
    <w:p w14:paraId="2F892778">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（3）定性定量结合原则：以定性与定量相结合的方式识别重要数据，并根据具体数据类别、数据用途、数据来源采取不同的定性和定量方法。</w:t>
      </w:r>
    </w:p>
    <w:p w14:paraId="61CE3A9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3、数据分类规则</w:t>
      </w:r>
    </w:p>
    <w:p w14:paraId="410F3DB8">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（1）数据分类框架</w:t>
      </w:r>
    </w:p>
    <w:p w14:paraId="158E1227">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有色金属行业的数据分类框架应结合行业特点，按照业务属性进行细化分类。常见业务属性包括但不限于金属门类、流程环节、业务场景、业务对象等属性进行细化分类；如涉及法律法规有专门管理要求的数据类别，应按照有关规定和标准进行识别和分类。</w:t>
      </w:r>
    </w:p>
    <w:p w14:paraId="39C22C4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（2）数据分类方法</w:t>
      </w:r>
    </w:p>
    <w:p w14:paraId="327FEF0A">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数据分类应根据数据管理和使用需求，结合已有数据分类基础，灵活选择业务属性将数据细化分类。有色金属行业企业可参考以下步骤开展工业数据分类：明确数据范围、细化业务分类、选择业务属性、确定分类规则，可采取“金属门类→</w:t>
      </w:r>
      <w:r>
        <w:rPr>
          <w:rFonts w:hint="eastAsia" w:ascii="宋体" w:hAnsi="宋体" w:eastAsia="宋体" w:cs="Times New Roman"/>
          <w:spacing w:val="0"/>
          <w:highlight w:val="none"/>
          <w:lang w:val="en-US" w:eastAsia="zh-CN"/>
        </w:rPr>
        <w:t>流程</w:t>
      </w:r>
      <w:r>
        <w:rPr>
          <w:rFonts w:hint="eastAsia" w:ascii="宋体" w:hAnsi="宋体" w:cs="Times New Roman"/>
          <w:spacing w:val="0"/>
          <w:highlight w:val="none"/>
          <w:lang w:val="en-US" w:eastAsia="zh-CN"/>
        </w:rPr>
        <w:t>环节</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→业务场景→对象集合→属性集合”方式</w:t>
      </w:r>
      <w:r>
        <w:rPr>
          <w:rFonts w:hint="eastAsia" w:ascii="宋体" w:hAnsi="宋体" w:cs="Times New Roman"/>
          <w:spacing w:val="0"/>
          <w:highlight w:val="none"/>
          <w:lang w:val="en-US" w:eastAsia="zh-CN"/>
        </w:rPr>
        <w:t>确定</w:t>
      </w:r>
      <w:r>
        <w:rPr>
          <w:rFonts w:hint="eastAsia" w:ascii="宋体" w:hAnsi="宋体" w:eastAsia="宋体" w:cs="Times New Roman"/>
          <w:spacing w:val="0"/>
          <w:highlight w:val="none"/>
          <w:lang w:val="en-US" w:eastAsia="zh-CN"/>
        </w:rPr>
        <w:t>分类规则，</w:t>
      </w:r>
      <w:r>
        <w:rPr>
          <w:rFonts w:hint="eastAsia" w:ascii="宋体" w:hAnsi="宋体" w:cs="Times New Roman"/>
          <w:spacing w:val="0"/>
          <w:highlight w:val="none"/>
          <w:lang w:val="en-US" w:eastAsia="zh-CN"/>
        </w:rPr>
        <w:t>可</w:t>
      </w:r>
      <w:r>
        <w:rPr>
          <w:rFonts w:hint="eastAsia" w:ascii="宋体" w:hAnsi="宋体" w:eastAsia="宋体" w:cs="Times New Roman"/>
          <w:spacing w:val="0"/>
          <w:highlight w:val="none"/>
          <w:lang w:val="en-US" w:eastAsia="zh-CN"/>
        </w:rPr>
        <w:t>对数据分类结果进</w:t>
      </w:r>
      <w:r>
        <w:rPr>
          <w:rFonts w:hint="eastAsia" w:ascii="宋体" w:hAnsi="宋体" w:cs="Times New Roman"/>
          <w:spacing w:val="0"/>
          <w:highlight w:val="none"/>
          <w:lang w:val="en-US" w:eastAsia="zh-CN"/>
        </w:rPr>
        <w:t>一步</w:t>
      </w:r>
      <w:r>
        <w:rPr>
          <w:rFonts w:hint="eastAsia" w:ascii="宋体" w:hAnsi="宋体" w:eastAsia="宋体" w:cs="Times New Roman"/>
          <w:spacing w:val="0"/>
          <w:highlight w:val="none"/>
          <w:lang w:val="en-US" w:eastAsia="zh-CN"/>
        </w:rPr>
        <w:t>归类，将具有相似主题的数据子类进行归</w:t>
      </w:r>
      <w:r>
        <w:rPr>
          <w:rFonts w:hint="eastAsia" w:ascii="宋体" w:hAnsi="宋体" w:cs="Times New Roman"/>
          <w:spacing w:val="0"/>
          <w:highlight w:val="none"/>
          <w:lang w:val="en-US" w:eastAsia="zh-CN"/>
        </w:rPr>
        <w:t>并</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w:t>
      </w:r>
    </w:p>
    <w:p w14:paraId="114D78F0">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4、数据分级规则</w:t>
      </w:r>
    </w:p>
    <w:p w14:paraId="43855B48">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（1）数据分级框架</w:t>
      </w:r>
    </w:p>
    <w:p w14:paraId="42EAC0BA">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根据数据在国家安全、社会秩序、经济运行、行业发展和工业生产中的重要程度，以及一旦遭到泄露、篡改、损毁或者非法获取、非法使用、非法共享造成的危害程度，将数据从高到低分为核心数据、重要数据、一般数据三个级别。</w:t>
      </w:r>
    </w:p>
    <w:p w14:paraId="756F27A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（2）数据分级方法</w:t>
      </w:r>
    </w:p>
    <w:p w14:paraId="04DA5655">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数据分级是为了确保数据在全生命周期内的安全性和合规性，有色金属行业采选、冶炼、加工企业可按照“确定分级对象、重要数据识别、综合确定级别”步骤进行数据分级。</w:t>
      </w:r>
    </w:p>
    <w:p w14:paraId="2F032C18">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5、重要数据识别</w:t>
      </w:r>
    </w:p>
    <w:p w14:paraId="36A5B25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有色金属行业工业数据识别维度包括与国家秘密生成相关、与国家安全相关、与行业发展相关、与工业领域出口管制物项相关、与</w:t>
      </w:r>
      <w:r>
        <w:rPr>
          <w:rFonts w:hint="eastAsia" w:ascii="宋体" w:hAnsi="宋体" w:eastAsia="宋体" w:cs="Times New Roman"/>
          <w:highlight w:val="none"/>
          <w:lang w:val="en-US" w:eastAsia="zh-CN"/>
        </w:rPr>
        <w:t>行业经济效益和产业保障</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相关、其他，按照数据与分级维度的相符性确定数据为核心数据、重要数据或一般数据。</w:t>
      </w:r>
    </w:p>
    <w:p w14:paraId="5D2FC562">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6、综合确定级别</w:t>
      </w:r>
    </w:p>
    <w:p w14:paraId="4FAF8AFE">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有色金属行业企业确定工业数据分级对象后，完成重要数据识别，进一步分析数据影响和危害程度，按照以下规则综合确定数据级别：</w:t>
      </w:r>
    </w:p>
    <w:p w14:paraId="689FF7C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（1）重要数据：符合重要数据识别中任意一个识别维度的数据均属于重要数据；</w:t>
      </w:r>
    </w:p>
    <w:p w14:paraId="682ACD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（2）核心数据：</w:t>
      </w:r>
      <w:r>
        <w:rPr>
          <w:rFonts w:hint="eastAsia" w:ascii="宋体" w:hAnsi="宋体" w:eastAsia="宋体" w:cs="宋体"/>
          <w:i w:val="0"/>
          <w:iCs w:val="0"/>
          <w:caps w:val="0"/>
          <w:color w:val="060607"/>
          <w:spacing w:val="0"/>
          <w:sz w:val="21"/>
          <w:szCs w:val="21"/>
          <w:highlight w:val="none"/>
          <w:shd w:val="clear" w:fill="FFFFFF"/>
          <w:lang w:val="en-US" w:eastAsia="zh-CN"/>
        </w:rPr>
        <w:t>在重要数据范围内，对国家战略保障造成直接危害或重大风险，或易引发特别重大生产安全事故、特别重大质量事故或突发环境事件，或造成直接经济损失特别巨大的重要数据识别为核心数据；</w:t>
      </w:r>
    </w:p>
    <w:p w14:paraId="3537FEF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（3）一般数据：未识别为核心数据、重要数据的其他数据,确定为一般数据；</w:t>
      </w:r>
    </w:p>
    <w:p w14:paraId="0D6CE96F">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（4）如待分级数据涉及多个要素、多个影响对象或影响程度,应按照就高从严原则确定数据级别；</w:t>
      </w:r>
    </w:p>
    <w:p w14:paraId="41EDCA7A">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（5）根据数据重要程度和可能造成的危害程度的变化,应对数据级别进行动态更新。</w:t>
      </w:r>
    </w:p>
    <w:p w14:paraId="4B1C4CD9">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7、数据分类分级流程</w:t>
      </w:r>
    </w:p>
    <w:p w14:paraId="7C8A2CE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有色金属行业企业作为工业数据处理者，可按照数据资产梳理、重要数据识别、内部审批、重要数据目录备案四个阶段开展数据分类分级工作。</w:t>
      </w:r>
    </w:p>
    <w:p w14:paraId="5B03007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（1）数据资产梳理</w:t>
      </w:r>
    </w:p>
    <w:p w14:paraId="0F60ABC9">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组织相关数据归属部门（如研发、生产、运维部门等），梳理盘点数据资产，先分类再分级，对涉及国家秘密的数据依据《中华人民共和国保守国家秘密法》等法律、行政法规进行管理，对不涉及国家秘密的数据进一步分类，形成数据资产清单，其中对外共享、出境数据等处理情况应加以标识。</w:t>
      </w:r>
    </w:p>
    <w:p w14:paraId="2DCCA5D8">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（2）重要数据识别</w:t>
      </w:r>
    </w:p>
    <w:p w14:paraId="3B52CF1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依据6.3对数据资产进行重要数据识别，识别重要数据后，再根据影响对象和危害程度进一步判定核心数据，最终确定核心数据、重要数据和一般数据的范围，形成数据分类分级清单。</w:t>
      </w:r>
    </w:p>
    <w:p w14:paraId="667B351C">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（3）内部审批</w:t>
      </w:r>
    </w:p>
    <w:p w14:paraId="2B108DC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有色金属行业企业应对形成的重要数据清单进行内部审批，如审批通过，生成重要数据目录，如审批未通过，应重新开展重要数据识别工作。</w:t>
      </w:r>
    </w:p>
    <w:p w14:paraId="195EF63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（4）重要数据目录备案</w:t>
      </w:r>
    </w:p>
    <w:p w14:paraId="361503D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有色金属行业企业应当将本单位重要数据和核心数据目录向本地区行业监管部门（工业和信息化主管部门等）备案。备案内容发生重大变化的，如变更重要数据和核心数据的详细描述、数据安全风险评估情况、数据安全负责人等，应在发生变化的三个月内完成备案信息变更。</w:t>
      </w:r>
    </w:p>
    <w:p w14:paraId="6131519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动态更新机制</w:t>
      </w:r>
    </w:p>
    <w:p w14:paraId="40D49F12">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highlight w:val="none"/>
          <w:lang w:val="en-US" w:eastAsia="zh-CN"/>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遇到数据范围、数据量级、数据用途、影响对象等发生重大变化的，应依据流程对数据分类分级结果进行动态更新及履行备案变更手续。</w:t>
      </w:r>
    </w:p>
    <w:p w14:paraId="5523F126">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right="0" w:firstLine="0" w:firstLineChars="0"/>
        <w:jc w:val="both"/>
        <w:textAlignment w:val="auto"/>
        <w:outlineLvl w:val="0"/>
        <w:rPr>
          <w:rFonts w:hint="default" w:ascii="黑体" w:hAnsi="宋体" w:eastAsia="黑体" w:cs="Arial"/>
          <w:color w:val="auto"/>
          <w:kern w:val="0"/>
          <w:sz w:val="21"/>
          <w:szCs w:val="21"/>
          <w:lang w:val="en-US" w:eastAsia="zh-CN"/>
        </w:rPr>
      </w:pPr>
      <w:bookmarkStart w:id="8" w:name="_Toc15868"/>
      <w:r>
        <w:rPr>
          <w:rFonts w:hint="eastAsia" w:ascii="黑体" w:hAnsi="宋体" w:eastAsia="黑体" w:cs="Arial"/>
          <w:color w:val="auto"/>
          <w:kern w:val="0"/>
          <w:sz w:val="21"/>
          <w:szCs w:val="21"/>
          <w:lang w:val="en-US" w:eastAsia="zh-CN"/>
        </w:rPr>
        <w:t>试验验证分析、综述报告、技术经济论证、预期达到的经济效益、社会效益和生态效益</w:t>
      </w:r>
      <w:bookmarkEnd w:id="8"/>
    </w:p>
    <w:p w14:paraId="294933A4">
      <w:pPr>
        <w:pStyle w:val="26"/>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default" w:hAnsi="黑体" w:cs="黑体"/>
          <w:color w:val="auto"/>
          <w:szCs w:val="21"/>
          <w:lang w:val="en-US" w:eastAsia="zh-CN"/>
        </w:rPr>
      </w:pPr>
      <w:bookmarkStart w:id="9" w:name="_Toc14762"/>
      <w:r>
        <w:rPr>
          <w:rFonts w:hint="eastAsia" w:hAnsi="黑体" w:cs="黑体"/>
          <w:color w:val="auto"/>
          <w:szCs w:val="21"/>
          <w:lang w:val="en-US" w:eastAsia="zh-CN"/>
        </w:rPr>
        <w:t>3.</w:t>
      </w:r>
      <w:r>
        <w:rPr>
          <w:rFonts w:hint="default" w:hAnsi="黑体" w:cs="黑体"/>
          <w:color w:val="auto"/>
          <w:szCs w:val="21"/>
          <w:lang w:val="en-US" w:eastAsia="zh-CN"/>
        </w:rPr>
        <w:t>1</w:t>
      </w:r>
      <w:r>
        <w:rPr>
          <w:rFonts w:hint="eastAsia" w:hAnsi="黑体" w:cs="黑体"/>
          <w:color w:val="auto"/>
          <w:szCs w:val="21"/>
          <w:lang w:val="en-US" w:eastAsia="zh-CN"/>
        </w:rPr>
        <w:t xml:space="preserve"> </w:t>
      </w:r>
      <w:r>
        <w:rPr>
          <w:rFonts w:hint="default" w:hAnsi="黑体" w:cs="黑体"/>
          <w:color w:val="auto"/>
          <w:szCs w:val="21"/>
          <w:lang w:val="en-US" w:eastAsia="zh-CN"/>
        </w:rPr>
        <w:t>试验验证分析</w:t>
      </w:r>
      <w:r>
        <w:rPr>
          <w:rFonts w:hint="eastAsia" w:hAnsi="黑体" w:cs="黑体"/>
          <w:color w:val="auto"/>
          <w:szCs w:val="21"/>
          <w:lang w:val="en-US" w:eastAsia="zh-CN"/>
        </w:rPr>
        <w:t>、</w:t>
      </w:r>
      <w:r>
        <w:rPr>
          <w:rFonts w:hint="default" w:hAnsi="黑体" w:cs="黑体"/>
          <w:color w:val="auto"/>
          <w:szCs w:val="21"/>
          <w:lang w:val="en-US" w:eastAsia="zh-CN"/>
        </w:rPr>
        <w:t>综述报告</w:t>
      </w:r>
      <w:r>
        <w:rPr>
          <w:rFonts w:hint="eastAsia" w:hAnsi="黑体" w:cs="黑体"/>
          <w:color w:val="auto"/>
          <w:szCs w:val="21"/>
          <w:lang w:val="en-US" w:eastAsia="zh-CN"/>
        </w:rPr>
        <w:t>和技术经济论证</w:t>
      </w:r>
      <w:bookmarkEnd w:id="9"/>
    </w:p>
    <w:p w14:paraId="70AF558A">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1、</w:t>
      </w:r>
      <w:r>
        <w:rPr>
          <w:rFonts w:hint="default" w:ascii="宋体" w:hAnsi="宋体" w:eastAsia="宋体" w:cs="宋体"/>
          <w:color w:val="000000" w:themeColor="text1"/>
          <w:kern w:val="2"/>
          <w:sz w:val="21"/>
          <w:szCs w:val="21"/>
          <w:lang w:val="en-US" w:eastAsia="zh-CN"/>
          <w14:textFill>
            <w14:solidFill>
              <w14:schemeClr w14:val="tx1"/>
            </w14:solidFill>
          </w14:textFill>
        </w:rPr>
        <w:t>项目的必要性</w:t>
      </w:r>
    </w:p>
    <w:p w14:paraId="287EAF94">
      <w:pPr>
        <w:spacing w:after="0" w:line="360" w:lineRule="auto"/>
        <w:ind w:firstLine="420" w:firstLineChars="200"/>
        <w:jc w:val="both"/>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2024年2月23日，工业和信息化部印发《工业领域数据安全能力提升实施方案（2024-2026年）》，明确提出“分行业分领域研究制定重要数据和核心数据识别细则，形成‘1+N’的工业领域数据分类分级规范体系，科学指导各行业落地实施”的工作要求。</w:t>
      </w:r>
    </w:p>
    <w:p w14:paraId="6BF12874">
      <w:pPr>
        <w:spacing w:after="0" w:line="360" w:lineRule="auto"/>
        <w:ind w:firstLine="420" w:firstLineChars="200"/>
        <w:jc w:val="both"/>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工业数据安全能力提升的核心前提是做好数据分类分级、精准识别重要与核心数据，进而建立健全安全保护机制。为此，制定《有色金属行业工业数据分类分级指南》，既是落实《实施方案》的关键举措，也是推动《数据安全法》《工业和信息化领域数据安全管理办法（试行）》等法规在工业领域全面落地深化的具体实践，更为有色金属企业提升数据安全治理水平、促进数据要素在产业链上下游有序流转及价值释放提供坚实支撑。</w:t>
      </w:r>
    </w:p>
    <w:p w14:paraId="603B54EF">
      <w:pPr>
        <w:spacing w:after="0" w:line="360" w:lineRule="auto"/>
        <w:ind w:firstLine="420" w:firstLineChars="200"/>
        <w:jc w:val="both"/>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在国家数据安全工作统筹指导下，以《数据安全法》《网络安全法》等法律法规为遵循，依据相关管理办法编制，为有色金属行业提供全面系统、科学适用的分类分级标准，旨在指导行业采选、冶炼、加工全链条企业规范开展数据分类分级工作，为企业合规数据处理、强化安全管理、高效开发利用数据筑牢基础，助力行业数字化转型，赋能制造业高质量发展。</w:t>
      </w:r>
    </w:p>
    <w:p w14:paraId="5F8AFD25">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2、</w:t>
      </w:r>
      <w:r>
        <w:rPr>
          <w:rFonts w:hint="default" w:ascii="宋体" w:hAnsi="宋体" w:eastAsia="宋体" w:cs="宋体"/>
          <w:color w:val="000000" w:themeColor="text1"/>
          <w:kern w:val="2"/>
          <w:sz w:val="21"/>
          <w:szCs w:val="21"/>
          <w:lang w:val="en-US" w:eastAsia="zh-CN"/>
          <w14:textFill>
            <w14:solidFill>
              <w14:schemeClr w14:val="tx1"/>
            </w14:solidFill>
          </w14:textFill>
        </w:rPr>
        <w:t>项目的</w:t>
      </w:r>
      <w:r>
        <w:rPr>
          <w:rFonts w:hint="eastAsia" w:ascii="宋体" w:hAnsi="宋体" w:eastAsia="宋体" w:cs="宋体"/>
          <w:color w:val="000000" w:themeColor="text1"/>
          <w:kern w:val="2"/>
          <w:sz w:val="21"/>
          <w:szCs w:val="21"/>
          <w:lang w:val="en-US" w:eastAsia="zh-CN"/>
          <w14:textFill>
            <w14:solidFill>
              <w14:schemeClr w14:val="tx1"/>
            </w14:solidFill>
          </w14:textFill>
        </w:rPr>
        <w:t>可行性</w:t>
      </w:r>
    </w:p>
    <w:p w14:paraId="1BB6105A">
      <w:pPr>
        <w:spacing w:after="0" w:line="360" w:lineRule="auto"/>
        <w:ind w:firstLine="420" w:firstLineChars="200"/>
        <w:jc w:val="both"/>
        <w:rPr>
          <w:rFonts w:hint="eastAsia"/>
          <w:lang w:val="en-US" w:eastAsia="zh-CN"/>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本标准从有色金属行业工业数据分类分级的基本原则、数据分类规则和数据分级规则</w:t>
      </w:r>
      <w:r>
        <w:rPr>
          <w:rFonts w:hint="eastAsia" w:hAnsi="黑体" w:cs="黑体"/>
          <w:color w:val="000000" w:themeColor="text1"/>
          <w:kern w:val="2"/>
          <w:sz w:val="21"/>
          <w:szCs w:val="21"/>
          <w:lang w:val="en-US" w:eastAsia="zh-CN" w:bidi="ar-SA"/>
          <w14:textFill>
            <w14:solidFill>
              <w14:schemeClr w14:val="tx1"/>
            </w14:solidFill>
          </w14:textFill>
        </w:rPr>
        <w:t>提供参考指南，</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面向采选、冶炼、加工等细分业务领域，在流程环节、业务场景</w:t>
      </w:r>
      <w:r>
        <w:rPr>
          <w:rFonts w:hint="eastAsia" w:hAnsi="黑体" w:cs="黑体"/>
          <w:color w:val="000000" w:themeColor="text1"/>
          <w:kern w:val="2"/>
          <w:sz w:val="21"/>
          <w:szCs w:val="21"/>
          <w:lang w:val="en-US" w:eastAsia="zh-CN" w:bidi="ar-SA"/>
          <w14:textFill>
            <w14:solidFill>
              <w14:schemeClr w14:val="tx1"/>
            </w14:solidFill>
          </w14:textFill>
        </w:rPr>
        <w:t>、业务</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对象等方面进行分类</w:t>
      </w:r>
      <w:r>
        <w:rPr>
          <w:rFonts w:hint="eastAsia" w:hAnsi="黑体" w:cs="黑体"/>
          <w:color w:val="000000" w:themeColor="text1"/>
          <w:kern w:val="2"/>
          <w:sz w:val="21"/>
          <w:szCs w:val="21"/>
          <w:lang w:val="en-US" w:eastAsia="zh-CN" w:bidi="ar-SA"/>
          <w14:textFill>
            <w14:solidFill>
              <w14:schemeClr w14:val="tx1"/>
            </w14:solidFill>
          </w14:textFill>
        </w:rPr>
        <w:t>，</w:t>
      </w:r>
      <w:r>
        <w:rPr>
          <w:rFonts w:hint="eastAsia" w:ascii="宋体" w:hAnsi="宋体" w:eastAsia="宋体" w:cs="宋体"/>
          <w:color w:val="000000" w:themeColor="text1"/>
          <w:kern w:val="2"/>
          <w:sz w:val="21"/>
          <w:szCs w:val="21"/>
          <w:lang w:val="en-US" w:eastAsia="zh-CN"/>
          <w14:textFill>
            <w14:solidFill>
              <w14:schemeClr w14:val="tx1"/>
            </w14:solidFill>
          </w14:textFill>
        </w:rPr>
        <w:t>对国家安全、社会秩序、经济运行和行业发展等方面带来的潜在影响进行数据分级</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，对于科学引导有色金属行业企业开展数据分类分级工作</w:t>
      </w:r>
      <w:r>
        <w:rPr>
          <w:rFonts w:hint="eastAsia" w:hAnsi="黑体" w:cs="黑体"/>
          <w:color w:val="000000" w:themeColor="text1"/>
          <w:kern w:val="2"/>
          <w:sz w:val="21"/>
          <w:szCs w:val="21"/>
          <w:lang w:val="en-US" w:eastAsia="zh-CN" w:bidi="ar-SA"/>
          <w14:textFill>
            <w14:solidFill>
              <w14:schemeClr w14:val="tx1"/>
            </w14:solidFill>
          </w14:textFill>
        </w:rPr>
        <w:t>，</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明确数字化转型路径具有指导性意义。</w:t>
      </w:r>
    </w:p>
    <w:p w14:paraId="2E084C06">
      <w:pPr>
        <w:pStyle w:val="26"/>
        <w:keepNext w:val="0"/>
        <w:keepLines w:val="0"/>
        <w:pageBreakBefore w:val="0"/>
        <w:widowControl/>
        <w:kinsoku/>
        <w:wordWrap/>
        <w:overflowPunct/>
        <w:topLinePunct w:val="0"/>
        <w:autoSpaceDE/>
        <w:autoSpaceDN/>
        <w:bidi w:val="0"/>
        <w:adjustRightInd/>
        <w:snapToGrid/>
        <w:spacing w:beforeLines="0" w:afterLines="0" w:line="360" w:lineRule="auto"/>
        <w:textAlignment w:val="auto"/>
        <w:outlineLvl w:val="1"/>
        <w:rPr>
          <w:rFonts w:hint="default" w:hAnsi="黑体" w:cs="黑体"/>
          <w:color w:val="auto"/>
          <w:szCs w:val="21"/>
          <w:lang w:val="en-US" w:eastAsia="zh-CN"/>
        </w:rPr>
      </w:pPr>
      <w:bookmarkStart w:id="10" w:name="_Toc26527"/>
      <w:r>
        <w:rPr>
          <w:rFonts w:hint="eastAsia" w:hAnsi="黑体" w:cs="黑体"/>
          <w:color w:val="auto"/>
          <w:szCs w:val="21"/>
          <w:lang w:val="en-US" w:eastAsia="zh-CN"/>
        </w:rPr>
        <w:t xml:space="preserve">3.2 </w:t>
      </w:r>
      <w:r>
        <w:rPr>
          <w:rFonts w:hint="default" w:hAnsi="黑体" w:cs="黑体"/>
          <w:color w:val="auto"/>
          <w:szCs w:val="21"/>
          <w:lang w:val="en-US" w:eastAsia="zh-CN"/>
        </w:rPr>
        <w:t>标准的先进性、创新性、标准实施后预期产生的经济效益和社会效益</w:t>
      </w:r>
      <w:bookmarkEnd w:id="10"/>
    </w:p>
    <w:p w14:paraId="333582A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right="0" w:firstLine="420" w:firstLineChars="200"/>
        <w:jc w:val="both"/>
        <w:textAlignment w:val="auto"/>
        <w:rPr>
          <w:rFonts w:hint="default" w:ascii="宋体" w:hAnsi="宋体" w:eastAsia="宋体" w:cs="宋体"/>
          <w:color w:val="auto"/>
          <w:kern w:val="2"/>
          <w:sz w:val="21"/>
          <w:szCs w:val="21"/>
          <w:lang w:val="en-US" w:eastAsia="zh-CN"/>
        </w:rPr>
      </w:pPr>
      <w:r>
        <w:rPr>
          <w:rFonts w:hint="default" w:ascii="宋体" w:hAnsi="宋体" w:eastAsia="宋体" w:cs="宋体"/>
          <w:color w:val="auto"/>
          <w:kern w:val="2"/>
          <w:sz w:val="21"/>
          <w:szCs w:val="21"/>
          <w:lang w:val="en-US" w:eastAsia="zh-CN"/>
        </w:rPr>
        <w:t>先进性、创新性</w:t>
      </w:r>
    </w:p>
    <w:p w14:paraId="24176268">
      <w:pPr>
        <w:spacing w:after="0" w:line="360" w:lineRule="auto"/>
        <w:ind w:firstLine="420" w:firstLineChars="200"/>
        <w:jc w:val="both"/>
        <w:rPr>
          <w:rFonts w:hint="default"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default" w:hAnsi="黑体" w:cs="黑体" w:asciiTheme="minorHAnsi" w:eastAsiaTheme="minorEastAsia"/>
          <w:color w:val="000000" w:themeColor="text1"/>
          <w:kern w:val="2"/>
          <w:sz w:val="21"/>
          <w:szCs w:val="21"/>
          <w:lang w:val="en-US" w:eastAsia="zh-CN" w:bidi="ar-SA"/>
          <w14:textFill>
            <w14:solidFill>
              <w14:schemeClr w14:val="tx1"/>
            </w14:solidFill>
          </w14:textFill>
        </w:rPr>
        <w:t>作为行业首个针对性指南，衔接国家法规与智能制造战略，填补行业数据分类分级空白。创新构建“多要素识别+影响程度评估”分级逻辑，覆盖全产业链及多元数据形态，通过“政产学研用”协同模式，实现通用标准向行业专用标准的精准升级，兼顾技术适配性与战略导向性。</w:t>
      </w:r>
    </w:p>
    <w:p w14:paraId="54A107D8">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2、经济效益</w:t>
      </w:r>
    </w:p>
    <w:p w14:paraId="194123E7">
      <w:pPr>
        <w:spacing w:after="0" w:line="360" w:lineRule="auto"/>
        <w:ind w:firstLine="420" w:firstLineChars="200"/>
        <w:jc w:val="both"/>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default" w:hAnsi="黑体" w:cs="黑体" w:asciiTheme="minorHAnsi" w:eastAsiaTheme="minorEastAsia"/>
          <w:color w:val="000000" w:themeColor="text1"/>
          <w:kern w:val="2"/>
          <w:sz w:val="21"/>
          <w:szCs w:val="21"/>
          <w:lang w:val="en-US" w:eastAsia="zh-CN" w:bidi="ar-SA"/>
          <w14:textFill>
            <w14:solidFill>
              <w14:schemeClr w14:val="tx1"/>
            </w14:solidFill>
          </w14:textFill>
        </w:rPr>
        <w:t>本标准的制定和实施能够</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打破数据孤岛，优化产业链资源配置，提升全流程运行效率</w:t>
      </w:r>
      <w:r>
        <w:rPr>
          <w:rFonts w:hint="eastAsia" w:hAnsi="黑体" w:cs="黑体"/>
          <w:color w:val="000000" w:themeColor="text1"/>
          <w:kern w:val="2"/>
          <w:sz w:val="21"/>
          <w:szCs w:val="21"/>
          <w:lang w:val="en-US" w:eastAsia="zh-CN" w:bidi="ar-SA"/>
          <w14:textFill>
            <w14:solidFill>
              <w14:schemeClr w14:val="tx1"/>
            </w14:solidFill>
          </w14:textFill>
        </w:rPr>
        <w:t>，</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降低企业试错与运维成本，助力数字化转型及生产工艺优化，压缩能耗物料消耗</w:t>
      </w:r>
      <w:r>
        <w:rPr>
          <w:rFonts w:hint="eastAsia" w:hAnsi="黑体" w:cs="黑体"/>
          <w:color w:val="000000" w:themeColor="text1"/>
          <w:kern w:val="2"/>
          <w:sz w:val="21"/>
          <w:szCs w:val="21"/>
          <w:lang w:val="en-US" w:eastAsia="zh-CN" w:bidi="ar-SA"/>
          <w14:textFill>
            <w14:solidFill>
              <w14:schemeClr w14:val="tx1"/>
            </w14:solidFill>
          </w14:textFill>
        </w:rPr>
        <w:t>。同时，</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强化核心数据保护与技术创新，提升产品附加值，增强国际市场话语权与产业竞争力。</w:t>
      </w:r>
    </w:p>
    <w:p w14:paraId="077153F0">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3、社会效益</w:t>
      </w:r>
    </w:p>
    <w:p w14:paraId="7DBFD5A4">
      <w:pPr>
        <w:spacing w:after="0" w:line="360" w:lineRule="auto"/>
        <w:ind w:firstLine="420" w:firstLineChars="200"/>
        <w:jc w:val="both"/>
        <w:rPr>
          <w:rFonts w:hint="eastAsia"/>
          <w:lang w:val="en-US" w:eastAsia="zh-CN"/>
        </w:rPr>
      </w:pPr>
      <w:r>
        <w:rPr>
          <w:rFonts w:hint="default" w:hAnsi="黑体" w:cs="黑体" w:asciiTheme="minorHAnsi" w:eastAsiaTheme="minorEastAsia"/>
          <w:color w:val="000000" w:themeColor="text1"/>
          <w:kern w:val="2"/>
          <w:sz w:val="21"/>
          <w:szCs w:val="21"/>
          <w:lang w:val="en-US" w:eastAsia="zh-CN" w:bidi="ar-SA"/>
          <w14:textFill>
            <w14:solidFill>
              <w14:schemeClr w14:val="tx1"/>
            </w14:solidFill>
          </w14:textFill>
        </w:rPr>
        <w:t>本标准的制定和实施能够发挥好标准在有色金属行业数字化转型的规范和引导作用，提升企业数字化转型的认识，在促进行业高质量发展等方面发挥重要社会效益。</w:t>
      </w:r>
    </w:p>
    <w:p w14:paraId="7D7D6F10">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4、生态效益</w:t>
      </w:r>
    </w:p>
    <w:p w14:paraId="39B37B3C">
      <w:pPr>
        <w:spacing w:after="0" w:line="360" w:lineRule="auto"/>
        <w:ind w:firstLine="420" w:firstLineChars="200"/>
        <w:jc w:val="both"/>
        <w:rPr>
          <w:rFonts w:hint="default"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本标准的制定和实施为有色金属行业提供了统一的、</w:t>
      </w:r>
      <w:r>
        <w:rPr>
          <w:rFonts w:hint="eastAsia" w:hAnsi="黑体" w:cs="黑体"/>
          <w:color w:val="000000" w:themeColor="text1"/>
          <w:kern w:val="2"/>
          <w:sz w:val="21"/>
          <w:szCs w:val="21"/>
          <w:lang w:val="en-US" w:eastAsia="zh-CN" w:bidi="ar-SA"/>
          <w14:textFill>
            <w14:solidFill>
              <w14:schemeClr w14:val="tx1"/>
            </w14:solidFill>
          </w14:textFill>
        </w:rPr>
        <w:t>标准</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化的</w:t>
      </w:r>
      <w:r>
        <w:rPr>
          <w:rFonts w:hint="eastAsia" w:hAnsi="黑体" w:cs="黑体"/>
          <w:color w:val="000000" w:themeColor="text1"/>
          <w:kern w:val="2"/>
          <w:sz w:val="21"/>
          <w:szCs w:val="21"/>
          <w:lang w:val="en-US" w:eastAsia="zh-CN" w:bidi="ar-SA"/>
          <w14:textFill>
            <w14:solidFill>
              <w14:schemeClr w14:val="tx1"/>
            </w14:solidFill>
          </w14:textFill>
        </w:rPr>
        <w:t>数据分类分级规则</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，为有色金属行业各细分领域数字化转型成熟度评估诊断提供依据，能够推动行业企业对标找差距，推动行业提质升级、降本增效、绿色安全发展。</w:t>
      </w:r>
    </w:p>
    <w:p w14:paraId="6DD1D968">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right="0" w:firstLine="0" w:firstLineChars="0"/>
        <w:jc w:val="both"/>
        <w:textAlignment w:val="auto"/>
        <w:outlineLvl w:val="0"/>
        <w:rPr>
          <w:rFonts w:hint="default" w:ascii="黑体" w:hAnsi="宋体" w:eastAsia="黑体" w:cs="Arial"/>
          <w:color w:val="auto"/>
          <w:kern w:val="0"/>
          <w:sz w:val="21"/>
          <w:szCs w:val="21"/>
          <w:lang w:val="en-US" w:eastAsia="zh-CN"/>
        </w:rPr>
      </w:pPr>
      <w:bookmarkStart w:id="11" w:name="_Toc25394"/>
      <w:r>
        <w:rPr>
          <w:rFonts w:hint="eastAsia" w:ascii="黑体" w:hAnsi="宋体" w:eastAsia="黑体" w:cs="Arial"/>
          <w:color w:val="auto"/>
          <w:kern w:val="0"/>
          <w:sz w:val="21"/>
          <w:szCs w:val="21"/>
          <w:lang w:val="en-US" w:eastAsia="zh-CN"/>
        </w:rPr>
        <w:t>与国际标准和国外先进标准技术内容的对比</w:t>
      </w:r>
      <w:bookmarkEnd w:id="11"/>
    </w:p>
    <w:p w14:paraId="4FA66B6C">
      <w:pPr>
        <w:spacing w:after="0" w:line="360" w:lineRule="auto"/>
        <w:ind w:firstLine="420" w:firstLineChars="200"/>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未标准没有国际标准和国外先进标准技术</w:t>
      </w:r>
      <w:r>
        <w:rPr>
          <w:rFonts w:hint="eastAsia" w:hAnsi="黑体" w:cs="黑体"/>
          <w:color w:val="000000" w:themeColor="text1"/>
          <w:kern w:val="2"/>
          <w:sz w:val="21"/>
          <w:szCs w:val="21"/>
          <w:lang w:val="en-US" w:eastAsia="zh-CN" w:bidi="ar-SA"/>
          <w14:textFill>
            <w14:solidFill>
              <w14:schemeClr w14:val="tx1"/>
            </w14:solidFill>
          </w14:textFill>
        </w:rPr>
        <w:t>内容</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可以</w:t>
      </w:r>
      <w:r>
        <w:rPr>
          <w:rFonts w:hint="eastAsia" w:hAnsi="黑体" w:cs="黑体"/>
          <w:color w:val="000000" w:themeColor="text1"/>
          <w:kern w:val="2"/>
          <w:sz w:val="21"/>
          <w:szCs w:val="21"/>
          <w:lang w:val="en-US" w:eastAsia="zh-CN" w:bidi="ar-SA"/>
          <w14:textFill>
            <w14:solidFill>
              <w14:schemeClr w14:val="tx1"/>
            </w14:solidFill>
          </w14:textFill>
        </w:rPr>
        <w:t xml:space="preserve">对比 </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w:t>
      </w:r>
    </w:p>
    <w:p w14:paraId="34772F3B">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right="0" w:firstLine="0" w:firstLineChars="0"/>
        <w:jc w:val="both"/>
        <w:textAlignment w:val="auto"/>
        <w:outlineLvl w:val="0"/>
        <w:rPr>
          <w:rFonts w:hint="eastAsia" w:ascii="黑体" w:hAnsi="宋体" w:eastAsia="黑体" w:cs="Arial"/>
          <w:color w:val="auto"/>
          <w:kern w:val="0"/>
          <w:sz w:val="21"/>
          <w:szCs w:val="21"/>
          <w:lang w:val="en-US" w:eastAsia="zh-CN"/>
        </w:rPr>
      </w:pPr>
      <w:bookmarkStart w:id="12" w:name="_Toc26323"/>
      <w:r>
        <w:rPr>
          <w:rFonts w:hint="eastAsia" w:ascii="黑体" w:hAnsi="宋体" w:eastAsia="黑体" w:cs="Arial"/>
          <w:color w:val="auto"/>
          <w:kern w:val="0"/>
          <w:sz w:val="21"/>
          <w:szCs w:val="21"/>
          <w:lang w:val="en-US" w:eastAsia="zh-CN"/>
        </w:rPr>
        <w:t>以国际标准为基础的起草情况以及是否合规采用国际国外标准、未采用国际标准的原因</w:t>
      </w:r>
      <w:bookmarkEnd w:id="12"/>
    </w:p>
    <w:p w14:paraId="4B2374E1">
      <w:pPr>
        <w:spacing w:after="0" w:line="360" w:lineRule="auto"/>
        <w:ind w:firstLine="420" w:firstLineChars="200"/>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本标准制订过程中未查到同类国际国外标准。</w:t>
      </w:r>
    </w:p>
    <w:p w14:paraId="3BB5FF34">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right="0" w:firstLine="0" w:firstLineChars="0"/>
        <w:jc w:val="both"/>
        <w:textAlignment w:val="auto"/>
        <w:outlineLvl w:val="0"/>
        <w:rPr>
          <w:rFonts w:hint="default" w:ascii="黑体" w:hAnsi="宋体" w:eastAsia="黑体" w:cs="Arial"/>
          <w:color w:val="auto"/>
          <w:kern w:val="0"/>
          <w:sz w:val="21"/>
          <w:szCs w:val="21"/>
          <w:lang w:val="en-US" w:eastAsia="zh-CN"/>
        </w:rPr>
      </w:pPr>
      <w:bookmarkStart w:id="13" w:name="_Toc9425"/>
      <w:r>
        <w:rPr>
          <w:rFonts w:hint="eastAsia" w:ascii="黑体" w:hAnsi="宋体" w:eastAsia="黑体" w:cs="Arial"/>
          <w:color w:val="auto"/>
          <w:kern w:val="0"/>
          <w:sz w:val="21"/>
          <w:szCs w:val="21"/>
          <w:lang w:val="en-US" w:eastAsia="zh-CN"/>
        </w:rPr>
        <w:t>与有关法律、行政法规及相关标准的关系</w:t>
      </w:r>
      <w:bookmarkEnd w:id="13"/>
    </w:p>
    <w:p w14:paraId="44DFCAEC">
      <w:pPr>
        <w:spacing w:after="0" w:line="360" w:lineRule="auto"/>
        <w:ind w:firstLine="420" w:firstLineChars="200"/>
        <w:rPr>
          <w:rFonts w:hint="eastAsia"/>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本标准符合现行法律、法规的要求，并与其他同类国家标准、国家J用标准、行业标准无冲突、重叠和不协调之处。</w:t>
      </w:r>
    </w:p>
    <w:p w14:paraId="0E7941F0">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right="0" w:firstLine="0" w:firstLineChars="0"/>
        <w:jc w:val="both"/>
        <w:textAlignment w:val="auto"/>
        <w:outlineLvl w:val="0"/>
        <w:rPr>
          <w:rFonts w:hint="eastAsia" w:ascii="黑体" w:hAnsi="宋体" w:eastAsia="黑体" w:cs="Arial"/>
          <w:color w:val="auto"/>
          <w:kern w:val="0"/>
          <w:sz w:val="21"/>
          <w:szCs w:val="21"/>
          <w:lang w:val="en-US" w:eastAsia="zh-CN"/>
        </w:rPr>
      </w:pPr>
      <w:bookmarkStart w:id="14" w:name="_Toc19557"/>
      <w:r>
        <w:rPr>
          <w:rFonts w:hint="eastAsia" w:ascii="黑体" w:hAnsi="宋体" w:eastAsia="黑体" w:cs="Arial"/>
          <w:color w:val="auto"/>
          <w:kern w:val="0"/>
          <w:sz w:val="21"/>
          <w:szCs w:val="21"/>
          <w:lang w:val="en-US" w:eastAsia="zh-CN"/>
        </w:rPr>
        <w:t>重大分歧意见的处理经过和依据</w:t>
      </w:r>
      <w:bookmarkEnd w:id="14"/>
    </w:p>
    <w:p w14:paraId="19510C24">
      <w:pPr>
        <w:spacing w:after="0" w:line="360" w:lineRule="auto"/>
        <w:ind w:firstLine="420" w:firstLineChars="200"/>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本标准未产生重大分歧意见。</w:t>
      </w:r>
    </w:p>
    <w:p w14:paraId="3ABD6F37">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right="0" w:firstLine="0" w:firstLineChars="0"/>
        <w:jc w:val="both"/>
        <w:textAlignment w:val="auto"/>
        <w:outlineLvl w:val="0"/>
        <w:rPr>
          <w:rFonts w:hint="default" w:ascii="黑体" w:hAnsi="宋体" w:eastAsia="黑体" w:cs="Arial"/>
          <w:color w:val="auto"/>
          <w:kern w:val="0"/>
          <w:sz w:val="21"/>
          <w:szCs w:val="21"/>
          <w:lang w:val="en-US" w:eastAsia="zh-CN"/>
        </w:rPr>
      </w:pPr>
      <w:bookmarkStart w:id="15" w:name="_Toc15476"/>
      <w:r>
        <w:rPr>
          <w:rFonts w:hint="eastAsia" w:ascii="黑体" w:hAnsi="宋体" w:eastAsia="黑体" w:cs="Arial"/>
          <w:color w:val="auto"/>
          <w:kern w:val="0"/>
          <w:sz w:val="21"/>
          <w:szCs w:val="21"/>
          <w:lang w:val="en-US" w:eastAsia="zh-CN"/>
        </w:rPr>
        <w:t>涉及专利的有关说明</w:t>
      </w:r>
      <w:bookmarkEnd w:id="15"/>
    </w:p>
    <w:p w14:paraId="0C474088">
      <w:pPr>
        <w:spacing w:after="0" w:line="360" w:lineRule="auto"/>
        <w:ind w:firstLine="420" w:firstLineChars="200"/>
        <w:rPr>
          <w:rFonts w:hint="default"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default" w:hAnsi="黑体" w:cs="黑体" w:asciiTheme="minorHAnsi" w:eastAsiaTheme="minorEastAsia"/>
          <w:color w:val="000000" w:themeColor="text1"/>
          <w:kern w:val="2"/>
          <w:sz w:val="21"/>
          <w:szCs w:val="21"/>
          <w:lang w:val="en-US" w:eastAsia="zh-CN" w:bidi="ar-SA"/>
          <w14:textFill>
            <w14:solidFill>
              <w14:schemeClr w14:val="tx1"/>
            </w14:solidFill>
          </w14:textFill>
        </w:rPr>
        <w:t>本标准不涉及专利问题。</w:t>
      </w:r>
    </w:p>
    <w:p w14:paraId="73220765">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right="0" w:firstLine="0" w:firstLineChars="0"/>
        <w:jc w:val="both"/>
        <w:textAlignment w:val="auto"/>
        <w:outlineLvl w:val="0"/>
        <w:rPr>
          <w:rFonts w:hint="eastAsia" w:ascii="黑体" w:hAnsi="宋体" w:eastAsia="黑体" w:cs="Arial"/>
          <w:color w:val="auto"/>
          <w:kern w:val="0"/>
          <w:sz w:val="21"/>
          <w:szCs w:val="21"/>
          <w:lang w:val="en-US" w:eastAsia="zh-CN"/>
        </w:rPr>
      </w:pPr>
      <w:bookmarkStart w:id="16" w:name="_Toc21907"/>
      <w:r>
        <w:rPr>
          <w:rFonts w:hint="eastAsia" w:ascii="黑体" w:hAnsi="宋体" w:eastAsia="黑体" w:cs="Arial"/>
          <w:color w:val="auto"/>
          <w:kern w:val="0"/>
          <w:sz w:val="21"/>
          <w:szCs w:val="21"/>
          <w:lang w:val="en-US" w:eastAsia="zh-CN"/>
        </w:rPr>
        <w:t>实施国家标准的要求以及组织措施、技术措施、过渡期和实施日期的建议等措施建议</w:t>
      </w:r>
      <w:bookmarkEnd w:id="16"/>
    </w:p>
    <w:p w14:paraId="278E9CF4">
      <w:pPr>
        <w:spacing w:after="0" w:line="360" w:lineRule="auto"/>
        <w:ind w:firstLine="420" w:firstLineChars="200"/>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根据标准化法和有关规定，本标准建议作为推荐性行业标准发布。</w:t>
      </w:r>
    </w:p>
    <w:p w14:paraId="3322285B">
      <w:pPr>
        <w:spacing w:after="0" w:line="360" w:lineRule="auto"/>
        <w:ind w:firstLine="420" w:firstLineChars="200"/>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本标准的内容是推荐性的，建议标准发布后即可实施，建议本标准由</w:t>
      </w:r>
      <w:r>
        <w:rPr>
          <w:rFonts w:hint="eastAsia" w:hAnsi="黑体" w:cs="黑体"/>
          <w:color w:val="000000" w:themeColor="text1"/>
          <w:kern w:val="2"/>
          <w:sz w:val="21"/>
          <w:szCs w:val="21"/>
          <w:lang w:val="en-US" w:eastAsia="zh-CN" w:bidi="ar-SA"/>
          <w14:textFill>
            <w14:solidFill>
              <w14:schemeClr w14:val="tx1"/>
            </w14:solidFill>
          </w14:textFill>
        </w:rPr>
        <w:t>各级人民政府的工业和信息化行政主管部门负责</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监督</w:t>
      </w:r>
      <w:r>
        <w:rPr>
          <w:rFonts w:hint="eastAsia" w:hAnsi="黑体" w:cs="黑体"/>
          <w:color w:val="000000" w:themeColor="text1"/>
          <w:kern w:val="2"/>
          <w:sz w:val="21"/>
          <w:szCs w:val="21"/>
          <w:lang w:val="en-US" w:eastAsia="zh-CN" w:bidi="ar-SA"/>
          <w14:textFill>
            <w14:solidFill>
              <w14:schemeClr w14:val="tx1"/>
            </w14:solidFill>
          </w14:textFill>
        </w:rPr>
        <w:t>实施</w:t>
      </w:r>
      <w:r>
        <w:rPr>
          <w:rFonts w:hint="eastAsia" w:hAnsi="黑体" w:cs="黑体" w:asciiTheme="minorHAnsi" w:eastAsiaTheme="minorEastAsia"/>
          <w:color w:val="000000" w:themeColor="text1"/>
          <w:kern w:val="2"/>
          <w:sz w:val="21"/>
          <w:szCs w:val="21"/>
          <w:lang w:val="en-US" w:eastAsia="zh-CN" w:bidi="ar-SA"/>
          <w14:textFill>
            <w14:solidFill>
              <w14:schemeClr w14:val="tx1"/>
            </w14:solidFill>
          </w14:textFill>
        </w:rPr>
        <w:t>。</w:t>
      </w:r>
    </w:p>
    <w:p w14:paraId="7E25D702">
      <w:pPr>
        <w:spacing w:after="0" w:line="360" w:lineRule="auto"/>
        <w:ind w:firstLine="420" w:firstLineChars="200"/>
        <w:rPr>
          <w:rFonts w:hint="default" w:hAnsi="黑体" w:cs="黑体" w:asciiTheme="minorHAnsi" w:eastAsiaTheme="minorEastAsia"/>
          <w:color w:val="000000" w:themeColor="text1"/>
          <w:kern w:val="2"/>
          <w:sz w:val="21"/>
          <w:szCs w:val="21"/>
          <w:lang w:val="en-US" w:eastAsia="zh-CN" w:bidi="ar-SA"/>
          <w14:textFill>
            <w14:solidFill>
              <w14:schemeClr w14:val="tx1"/>
            </w14:solidFill>
          </w14:textFill>
        </w:rPr>
      </w:pPr>
      <w:r>
        <w:rPr>
          <w:rFonts w:hint="eastAsia" w:hAnsi="黑体" w:cs="黑体"/>
          <w:color w:val="000000" w:themeColor="text1"/>
          <w:kern w:val="2"/>
          <w:sz w:val="21"/>
          <w:szCs w:val="21"/>
          <w:lang w:val="en-US" w:eastAsia="zh-CN" w:bidi="ar-SA"/>
          <w14:textFill>
            <w14:solidFill>
              <w14:schemeClr w14:val="tx1"/>
            </w14:solidFill>
          </w14:textFill>
        </w:rPr>
        <w:t>本标准制定的内容不仅与生产企业有关，而且与评估机构、行业监督管理部门等相关，对于标准使用过程中容易出现的问题，起草单位有义务进行必要的解释。</w:t>
      </w:r>
    </w:p>
    <w:p w14:paraId="74F5651D">
      <w:pPr>
        <w:pStyle w:val="15"/>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right="0" w:firstLine="0" w:firstLineChars="0"/>
        <w:jc w:val="both"/>
        <w:textAlignment w:val="auto"/>
        <w:outlineLvl w:val="0"/>
        <w:rPr>
          <w:rFonts w:hint="default" w:ascii="黑体" w:hAnsi="宋体" w:eastAsia="黑体" w:cs="Arial"/>
          <w:color w:val="auto"/>
          <w:kern w:val="0"/>
          <w:sz w:val="21"/>
          <w:szCs w:val="21"/>
          <w:lang w:val="en-US" w:eastAsia="zh-CN"/>
        </w:rPr>
      </w:pPr>
      <w:bookmarkStart w:id="17" w:name="_Toc13633"/>
      <w:r>
        <w:rPr>
          <w:rFonts w:hint="eastAsia" w:ascii="黑体" w:hAnsi="宋体" w:eastAsia="黑体" w:cs="Arial"/>
          <w:color w:val="auto"/>
          <w:kern w:val="0"/>
          <w:sz w:val="21"/>
          <w:szCs w:val="21"/>
          <w:lang w:val="en-US" w:eastAsia="zh-CN"/>
        </w:rPr>
        <w:t>其他应予说明的事项</w:t>
      </w:r>
      <w:bookmarkEnd w:id="17"/>
    </w:p>
    <w:p w14:paraId="0BDE62F3">
      <w:pPr>
        <w:spacing w:after="0" w:line="360" w:lineRule="auto"/>
        <w:ind w:firstLine="420" w:firstLineChars="200"/>
        <w:rPr>
          <w:rFonts w:hint="eastAsia" w:hAnsi="黑体" w:cs="黑体"/>
          <w:color w:val="000000" w:themeColor="text1"/>
          <w:kern w:val="2"/>
          <w:sz w:val="21"/>
          <w:szCs w:val="21"/>
          <w:lang w:val="en-US" w:eastAsia="zh-CN" w:bidi="ar-SA"/>
          <w14:textFill>
            <w14:solidFill>
              <w14:schemeClr w14:val="tx1"/>
            </w14:solidFill>
          </w14:textFill>
        </w:rPr>
      </w:pPr>
      <w:r>
        <w:rPr>
          <w:rFonts w:hint="eastAsia" w:hAnsi="黑体" w:cs="黑体"/>
          <w:color w:val="000000" w:themeColor="text1"/>
          <w:kern w:val="2"/>
          <w:sz w:val="21"/>
          <w:szCs w:val="21"/>
          <w:lang w:val="en-US" w:eastAsia="zh-CN" w:bidi="ar-SA"/>
          <w14:textFill>
            <w14:solidFill>
              <w14:schemeClr w14:val="tx1"/>
            </w14:solidFill>
          </w14:textFill>
        </w:rPr>
        <w:t>无。</w:t>
      </w:r>
    </w:p>
    <w:p w14:paraId="7E908421">
      <w:pPr>
        <w:spacing w:line="440" w:lineRule="exact"/>
        <w:jc w:val="right"/>
        <w:rPr>
          <w:rFonts w:hint="eastAsia"/>
          <w:color w:val="auto"/>
          <w:sz w:val="21"/>
          <w:szCs w:val="21"/>
        </w:rPr>
      </w:pPr>
    </w:p>
    <w:p w14:paraId="6F20A244">
      <w:pPr>
        <w:spacing w:line="440" w:lineRule="exact"/>
        <w:jc w:val="right"/>
        <w:rPr>
          <w:rFonts w:hint="eastAsia"/>
          <w:color w:val="auto"/>
          <w:sz w:val="21"/>
          <w:szCs w:val="21"/>
        </w:rPr>
      </w:pPr>
    </w:p>
    <w:p w14:paraId="4BBB03DC">
      <w:pPr>
        <w:spacing w:line="440" w:lineRule="exact"/>
        <w:jc w:val="right"/>
        <w:rPr>
          <w:rFonts w:ascii="宋体" w:hAnsi="宋体" w:eastAsia="宋体"/>
          <w:color w:val="auto"/>
          <w:sz w:val="21"/>
          <w:szCs w:val="21"/>
        </w:rPr>
      </w:pPr>
      <w:r>
        <w:rPr>
          <w:rFonts w:hint="eastAsia"/>
          <w:color w:val="auto"/>
          <w:sz w:val="21"/>
          <w:szCs w:val="21"/>
        </w:rPr>
        <w:t>《</w:t>
      </w:r>
      <w:r>
        <w:rPr>
          <w:rFonts w:hint="eastAsia"/>
          <w:color w:val="auto"/>
          <w:sz w:val="21"/>
          <w:szCs w:val="21"/>
          <w:lang w:val="en-US" w:eastAsia="zh-CN"/>
        </w:rPr>
        <w:t>有色金属行业工业数据分类分级指南</w:t>
      </w:r>
      <w:r>
        <w:rPr>
          <w:rFonts w:hint="eastAsia"/>
          <w:color w:val="auto"/>
          <w:sz w:val="21"/>
          <w:szCs w:val="21"/>
        </w:rPr>
        <w:t>》</w:t>
      </w:r>
      <w:r>
        <w:rPr>
          <w:rFonts w:hint="eastAsia" w:ascii="宋体" w:hAnsi="宋体" w:eastAsia="宋体"/>
          <w:color w:val="auto"/>
          <w:sz w:val="21"/>
          <w:szCs w:val="21"/>
        </w:rPr>
        <w:t>编制组</w:t>
      </w:r>
    </w:p>
    <w:p w14:paraId="6909EAAD">
      <w:pPr>
        <w:spacing w:before="312" w:beforeLines="100" w:line="440" w:lineRule="exact"/>
        <w:jc w:val="right"/>
        <w:rPr>
          <w:rFonts w:ascii="宋体" w:hAnsi="宋体" w:eastAsia="宋体"/>
          <w:color w:val="auto"/>
          <w:szCs w:val="21"/>
        </w:rPr>
      </w:pPr>
      <w:r>
        <w:rPr>
          <w:rFonts w:hint="eastAsia" w:ascii="宋体" w:hAnsi="宋体" w:eastAsia="宋体"/>
          <w:color w:val="auto"/>
          <w:sz w:val="21"/>
          <w:szCs w:val="21"/>
        </w:rPr>
        <w:t>202</w:t>
      </w:r>
      <w:r>
        <w:rPr>
          <w:rFonts w:hint="eastAsia" w:ascii="宋体" w:hAnsi="宋体" w:eastAsia="宋体"/>
          <w:color w:val="auto"/>
          <w:sz w:val="21"/>
          <w:szCs w:val="21"/>
          <w:lang w:val="en-US" w:eastAsia="zh-CN"/>
        </w:rPr>
        <w:t>6</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6</w:t>
      </w:r>
      <w:r>
        <w:rPr>
          <w:rFonts w:hint="eastAsia" w:ascii="宋体" w:hAnsi="宋体" w:eastAsia="宋体"/>
          <w:color w:val="auto"/>
          <w:sz w:val="21"/>
          <w:szCs w:val="21"/>
        </w:rPr>
        <w:t>月</w:t>
      </w:r>
    </w:p>
    <w:p w14:paraId="714F8516">
      <w:pPr>
        <w:spacing w:before="312" w:beforeLines="100" w:line="440" w:lineRule="exact"/>
        <w:jc w:val="right"/>
        <w:rPr>
          <w:rFonts w:ascii="宋体" w:hAnsi="宋体" w:eastAsia="宋体"/>
          <w:color w:val="auto"/>
          <w:szCs w:val="21"/>
        </w:rPr>
      </w:pPr>
    </w:p>
    <w:sectPr>
      <w:pgSz w:w="11906" w:h="16838"/>
      <w:pgMar w:top="1417" w:right="1134" w:bottom="1134"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QWRLLA+MicrosoftYaHei-Bold">
    <w:altName w:val="Segoe UI Symbol"/>
    <w:panose1 w:val="02000500000000000000"/>
    <w:charset w:val="01"/>
    <w:family w:val="auto"/>
    <w:pitch w:val="default"/>
    <w:sig w:usb0="00000000" w:usb1="00000000" w:usb2="00000000" w:usb3="00000000" w:csb0="00000000" w:csb1="00000000"/>
  </w:font>
  <w:font w:name="Segoe UI Symbol">
    <w:panose1 w:val="020B0502040204020203"/>
    <w:charset w:val="00"/>
    <w:family w:val="auto"/>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2986D">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AF4C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3FAF4C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21D00"/>
    <w:multiLevelType w:val="singleLevel"/>
    <w:tmpl w:val="82921D00"/>
    <w:lvl w:ilvl="0" w:tentative="0">
      <w:start w:val="1"/>
      <w:numFmt w:val="decimal"/>
      <w:suff w:val="nothing"/>
      <w:lvlText w:val="%1、"/>
      <w:lvlJc w:val="left"/>
    </w:lvl>
  </w:abstractNum>
  <w:abstractNum w:abstractNumId="1">
    <w:nsid w:val="1349A11B"/>
    <w:multiLevelType w:val="singleLevel"/>
    <w:tmpl w:val="1349A11B"/>
    <w:lvl w:ilvl="0" w:tentative="0">
      <w:start w:val="1"/>
      <w:numFmt w:val="decimal"/>
      <w:suff w:val="nothing"/>
      <w:lvlText w:val="（%1）"/>
      <w:lvlJc w:val="left"/>
      <w:pPr>
        <w:tabs>
          <w:tab w:val="left" w:pos="0"/>
        </w:tabs>
      </w:pPr>
      <w:rPr>
        <w:rFonts w:hint="default"/>
      </w:rPr>
    </w:lvl>
  </w:abstractNum>
  <w:abstractNum w:abstractNumId="2">
    <w:nsid w:val="60E00295"/>
    <w:multiLevelType w:val="singleLevel"/>
    <w:tmpl w:val="60E00295"/>
    <w:lvl w:ilvl="0" w:tentative="0">
      <w:start w:val="5"/>
      <w:numFmt w:val="decimal"/>
      <w:suff w:val="nothing"/>
      <w:lvlText w:val="（%1）"/>
      <w:lvlJc w:val="left"/>
    </w:lvl>
  </w:abstractNum>
  <w:abstractNum w:abstractNumId="3">
    <w:nsid w:val="657D3FBC"/>
    <w:multiLevelType w:val="multilevel"/>
    <w:tmpl w:val="657D3FBC"/>
    <w:lvl w:ilvl="0" w:tentative="0">
      <w:start w:val="1"/>
      <w:numFmt w:val="upperLetter"/>
      <w:pStyle w:val="4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7CE05C3F"/>
    <w:multiLevelType w:val="singleLevel"/>
    <w:tmpl w:val="7CE05C3F"/>
    <w:lvl w:ilvl="0" w:tentative="0">
      <w:start w:val="1"/>
      <w:numFmt w:val="decimal"/>
      <w:suff w:val="nothing"/>
      <w:lvlText w:val="%1"/>
      <w:lvlJc w:val="left"/>
      <w:pPr>
        <w:ind w:left="425" w:leftChars="0" w:hanging="425" w:firstLineChars="0"/>
      </w:pPr>
      <w:rPr>
        <w:rFonts w:hint="default"/>
      </w:rPr>
    </w:lvl>
  </w:abstractNum>
  <w:abstractNum w:abstractNumId="5">
    <w:nsid w:val="7F986064"/>
    <w:multiLevelType w:val="singleLevel"/>
    <w:tmpl w:val="7F986064"/>
    <w:lvl w:ilvl="0" w:tentative="0">
      <w:start w:val="1"/>
      <w:numFmt w:val="chineseCounting"/>
      <w:suff w:val="nothing"/>
      <w:lvlText w:val="%1、"/>
      <w:lvlJc w:val="left"/>
      <w:pPr>
        <w:ind w:left="0" w:firstLine="0"/>
      </w:pPr>
      <w:rPr>
        <w:rFonts w:hint="eastAsia" w:ascii="黑体" w:hAnsi="黑体" w:eastAsia="黑体" w:cs="黑体"/>
        <w:sz w:val="21"/>
        <w:szCs w:val="21"/>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hNjFiYzEyMGYxNjdhN2I2ODlmY2E1MmZjYThkZWYifQ=="/>
  </w:docVars>
  <w:rsids>
    <w:rsidRoot w:val="0049152D"/>
    <w:rsid w:val="00000899"/>
    <w:rsid w:val="00002C81"/>
    <w:rsid w:val="0000483E"/>
    <w:rsid w:val="000052AC"/>
    <w:rsid w:val="0000533A"/>
    <w:rsid w:val="00006069"/>
    <w:rsid w:val="00007345"/>
    <w:rsid w:val="0000734E"/>
    <w:rsid w:val="000119A5"/>
    <w:rsid w:val="00011F52"/>
    <w:rsid w:val="0001287D"/>
    <w:rsid w:val="00013051"/>
    <w:rsid w:val="00013700"/>
    <w:rsid w:val="00013B39"/>
    <w:rsid w:val="00014230"/>
    <w:rsid w:val="000142A3"/>
    <w:rsid w:val="0001434A"/>
    <w:rsid w:val="000146E1"/>
    <w:rsid w:val="00015683"/>
    <w:rsid w:val="00015B66"/>
    <w:rsid w:val="00016452"/>
    <w:rsid w:val="00016C1B"/>
    <w:rsid w:val="000174E9"/>
    <w:rsid w:val="00017703"/>
    <w:rsid w:val="00020B8D"/>
    <w:rsid w:val="00020E6C"/>
    <w:rsid w:val="000233F9"/>
    <w:rsid w:val="0002350F"/>
    <w:rsid w:val="00025C36"/>
    <w:rsid w:val="00026B44"/>
    <w:rsid w:val="00026C0C"/>
    <w:rsid w:val="000312D7"/>
    <w:rsid w:val="00032958"/>
    <w:rsid w:val="00033C9E"/>
    <w:rsid w:val="00035A30"/>
    <w:rsid w:val="000362EA"/>
    <w:rsid w:val="0003648A"/>
    <w:rsid w:val="0003697D"/>
    <w:rsid w:val="000370C9"/>
    <w:rsid w:val="000376FC"/>
    <w:rsid w:val="00041459"/>
    <w:rsid w:val="000425E5"/>
    <w:rsid w:val="00043943"/>
    <w:rsid w:val="00045C0A"/>
    <w:rsid w:val="00047256"/>
    <w:rsid w:val="00047805"/>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6D6"/>
    <w:rsid w:val="00063E72"/>
    <w:rsid w:val="000647B0"/>
    <w:rsid w:val="000647D1"/>
    <w:rsid w:val="000648D5"/>
    <w:rsid w:val="00064F0E"/>
    <w:rsid w:val="0006509C"/>
    <w:rsid w:val="00065850"/>
    <w:rsid w:val="000661DC"/>
    <w:rsid w:val="0006634E"/>
    <w:rsid w:val="00067F99"/>
    <w:rsid w:val="0007025D"/>
    <w:rsid w:val="0007113B"/>
    <w:rsid w:val="00072938"/>
    <w:rsid w:val="00072B7E"/>
    <w:rsid w:val="00073823"/>
    <w:rsid w:val="00073860"/>
    <w:rsid w:val="000738A3"/>
    <w:rsid w:val="00073EA4"/>
    <w:rsid w:val="00073F45"/>
    <w:rsid w:val="00074BD0"/>
    <w:rsid w:val="00075228"/>
    <w:rsid w:val="00076905"/>
    <w:rsid w:val="00081042"/>
    <w:rsid w:val="00082E8F"/>
    <w:rsid w:val="00083504"/>
    <w:rsid w:val="00083671"/>
    <w:rsid w:val="0008539E"/>
    <w:rsid w:val="0008748A"/>
    <w:rsid w:val="00087579"/>
    <w:rsid w:val="00090932"/>
    <w:rsid w:val="0009564E"/>
    <w:rsid w:val="000956AA"/>
    <w:rsid w:val="00095716"/>
    <w:rsid w:val="00095B00"/>
    <w:rsid w:val="000968E7"/>
    <w:rsid w:val="00096C0A"/>
    <w:rsid w:val="000A25DA"/>
    <w:rsid w:val="000A2674"/>
    <w:rsid w:val="000A46E3"/>
    <w:rsid w:val="000A68B0"/>
    <w:rsid w:val="000A68DC"/>
    <w:rsid w:val="000B0288"/>
    <w:rsid w:val="000B12AD"/>
    <w:rsid w:val="000B20BA"/>
    <w:rsid w:val="000B4AD4"/>
    <w:rsid w:val="000C2E3D"/>
    <w:rsid w:val="000C4435"/>
    <w:rsid w:val="000C782F"/>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46"/>
    <w:rsid w:val="000E7398"/>
    <w:rsid w:val="000E7492"/>
    <w:rsid w:val="000E75F6"/>
    <w:rsid w:val="000F0726"/>
    <w:rsid w:val="000F21CD"/>
    <w:rsid w:val="000F2931"/>
    <w:rsid w:val="000F60BA"/>
    <w:rsid w:val="000F7755"/>
    <w:rsid w:val="000F7CA9"/>
    <w:rsid w:val="000F7EE8"/>
    <w:rsid w:val="0010164F"/>
    <w:rsid w:val="00101FD6"/>
    <w:rsid w:val="00103B79"/>
    <w:rsid w:val="00103F5A"/>
    <w:rsid w:val="001043C6"/>
    <w:rsid w:val="0010446D"/>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41AB"/>
    <w:rsid w:val="00125817"/>
    <w:rsid w:val="00125CAC"/>
    <w:rsid w:val="00125DB0"/>
    <w:rsid w:val="00126111"/>
    <w:rsid w:val="001268D7"/>
    <w:rsid w:val="00130CC9"/>
    <w:rsid w:val="00133DCA"/>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3968"/>
    <w:rsid w:val="00164041"/>
    <w:rsid w:val="001641AA"/>
    <w:rsid w:val="00164320"/>
    <w:rsid w:val="0016453D"/>
    <w:rsid w:val="00165B11"/>
    <w:rsid w:val="00167FF7"/>
    <w:rsid w:val="001710BE"/>
    <w:rsid w:val="00171C88"/>
    <w:rsid w:val="001728AD"/>
    <w:rsid w:val="00173330"/>
    <w:rsid w:val="00175F20"/>
    <w:rsid w:val="0017788A"/>
    <w:rsid w:val="00180B07"/>
    <w:rsid w:val="00180F34"/>
    <w:rsid w:val="00181FDF"/>
    <w:rsid w:val="00183DBE"/>
    <w:rsid w:val="00183F8C"/>
    <w:rsid w:val="00184A11"/>
    <w:rsid w:val="00185294"/>
    <w:rsid w:val="00186280"/>
    <w:rsid w:val="00186327"/>
    <w:rsid w:val="001866BE"/>
    <w:rsid w:val="001868B2"/>
    <w:rsid w:val="0019074F"/>
    <w:rsid w:val="001909E7"/>
    <w:rsid w:val="001921B3"/>
    <w:rsid w:val="0019306C"/>
    <w:rsid w:val="001936E4"/>
    <w:rsid w:val="001945B5"/>
    <w:rsid w:val="00194AB3"/>
    <w:rsid w:val="00195204"/>
    <w:rsid w:val="0019675D"/>
    <w:rsid w:val="00196900"/>
    <w:rsid w:val="00196D91"/>
    <w:rsid w:val="0019747E"/>
    <w:rsid w:val="001976D2"/>
    <w:rsid w:val="00197920"/>
    <w:rsid w:val="001A0EA6"/>
    <w:rsid w:val="001A2F17"/>
    <w:rsid w:val="001A2FAE"/>
    <w:rsid w:val="001A577D"/>
    <w:rsid w:val="001B1F37"/>
    <w:rsid w:val="001B2EA2"/>
    <w:rsid w:val="001B4D60"/>
    <w:rsid w:val="001B548E"/>
    <w:rsid w:val="001B6C1B"/>
    <w:rsid w:val="001B7658"/>
    <w:rsid w:val="001B7E54"/>
    <w:rsid w:val="001C010F"/>
    <w:rsid w:val="001C1800"/>
    <w:rsid w:val="001C1A61"/>
    <w:rsid w:val="001C1C7F"/>
    <w:rsid w:val="001C3BD9"/>
    <w:rsid w:val="001C3C44"/>
    <w:rsid w:val="001C5F5B"/>
    <w:rsid w:val="001C63FA"/>
    <w:rsid w:val="001C6400"/>
    <w:rsid w:val="001C64E2"/>
    <w:rsid w:val="001C7F8B"/>
    <w:rsid w:val="001D122A"/>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5066"/>
    <w:rsid w:val="001F5E39"/>
    <w:rsid w:val="001F64BD"/>
    <w:rsid w:val="001F7AA9"/>
    <w:rsid w:val="001F7D16"/>
    <w:rsid w:val="001F7D87"/>
    <w:rsid w:val="002007E1"/>
    <w:rsid w:val="00201957"/>
    <w:rsid w:val="002028F6"/>
    <w:rsid w:val="00202F21"/>
    <w:rsid w:val="00203916"/>
    <w:rsid w:val="00204E1B"/>
    <w:rsid w:val="00205696"/>
    <w:rsid w:val="002066A0"/>
    <w:rsid w:val="00210806"/>
    <w:rsid w:val="00210D97"/>
    <w:rsid w:val="00211DAA"/>
    <w:rsid w:val="00212C2F"/>
    <w:rsid w:val="00213C05"/>
    <w:rsid w:val="00213CB8"/>
    <w:rsid w:val="00213CDF"/>
    <w:rsid w:val="002149D3"/>
    <w:rsid w:val="00215CF2"/>
    <w:rsid w:val="00217EB2"/>
    <w:rsid w:val="00221489"/>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35CB5"/>
    <w:rsid w:val="00240AED"/>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DE6"/>
    <w:rsid w:val="00264E80"/>
    <w:rsid w:val="002653CB"/>
    <w:rsid w:val="002662BE"/>
    <w:rsid w:val="00267B20"/>
    <w:rsid w:val="00271A24"/>
    <w:rsid w:val="002727E2"/>
    <w:rsid w:val="002727F2"/>
    <w:rsid w:val="002759A5"/>
    <w:rsid w:val="00276418"/>
    <w:rsid w:val="002766E1"/>
    <w:rsid w:val="00277D55"/>
    <w:rsid w:val="00277DE9"/>
    <w:rsid w:val="00280742"/>
    <w:rsid w:val="00281A43"/>
    <w:rsid w:val="0028345E"/>
    <w:rsid w:val="00283F0D"/>
    <w:rsid w:val="002870F4"/>
    <w:rsid w:val="00291441"/>
    <w:rsid w:val="002931B8"/>
    <w:rsid w:val="00293432"/>
    <w:rsid w:val="00293797"/>
    <w:rsid w:val="002A119B"/>
    <w:rsid w:val="002A1596"/>
    <w:rsid w:val="002A38ED"/>
    <w:rsid w:val="002A39FC"/>
    <w:rsid w:val="002A477A"/>
    <w:rsid w:val="002A52DB"/>
    <w:rsid w:val="002A5373"/>
    <w:rsid w:val="002A61D8"/>
    <w:rsid w:val="002A7451"/>
    <w:rsid w:val="002B0BEE"/>
    <w:rsid w:val="002B1152"/>
    <w:rsid w:val="002B12B9"/>
    <w:rsid w:val="002B1C35"/>
    <w:rsid w:val="002B2BCB"/>
    <w:rsid w:val="002B3266"/>
    <w:rsid w:val="002B33F4"/>
    <w:rsid w:val="002B351D"/>
    <w:rsid w:val="002B45E4"/>
    <w:rsid w:val="002B4A70"/>
    <w:rsid w:val="002B6C88"/>
    <w:rsid w:val="002C11C3"/>
    <w:rsid w:val="002C33FD"/>
    <w:rsid w:val="002C3F54"/>
    <w:rsid w:val="002C42AC"/>
    <w:rsid w:val="002C6308"/>
    <w:rsid w:val="002C6478"/>
    <w:rsid w:val="002C7E20"/>
    <w:rsid w:val="002D16DB"/>
    <w:rsid w:val="002D29B7"/>
    <w:rsid w:val="002D6F42"/>
    <w:rsid w:val="002D75D7"/>
    <w:rsid w:val="002E0513"/>
    <w:rsid w:val="002E22A3"/>
    <w:rsid w:val="002E34A8"/>
    <w:rsid w:val="002E3C9C"/>
    <w:rsid w:val="002E3FAA"/>
    <w:rsid w:val="002E4B56"/>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13BE"/>
    <w:rsid w:val="00304AE0"/>
    <w:rsid w:val="003058A9"/>
    <w:rsid w:val="00306204"/>
    <w:rsid w:val="003066E1"/>
    <w:rsid w:val="00310C92"/>
    <w:rsid w:val="00311726"/>
    <w:rsid w:val="00311A03"/>
    <w:rsid w:val="00311EF2"/>
    <w:rsid w:val="00311F46"/>
    <w:rsid w:val="00311F5A"/>
    <w:rsid w:val="00321BF3"/>
    <w:rsid w:val="003222DE"/>
    <w:rsid w:val="00323A14"/>
    <w:rsid w:val="00326E25"/>
    <w:rsid w:val="00327C26"/>
    <w:rsid w:val="0033114F"/>
    <w:rsid w:val="00332590"/>
    <w:rsid w:val="0033375D"/>
    <w:rsid w:val="003341F6"/>
    <w:rsid w:val="00334FD6"/>
    <w:rsid w:val="003375AA"/>
    <w:rsid w:val="0033778F"/>
    <w:rsid w:val="00337C4B"/>
    <w:rsid w:val="00340915"/>
    <w:rsid w:val="00340C08"/>
    <w:rsid w:val="00340C89"/>
    <w:rsid w:val="0034101B"/>
    <w:rsid w:val="00341EAD"/>
    <w:rsid w:val="0034335F"/>
    <w:rsid w:val="0034452B"/>
    <w:rsid w:val="00344AA8"/>
    <w:rsid w:val="00345E08"/>
    <w:rsid w:val="0034682F"/>
    <w:rsid w:val="00350386"/>
    <w:rsid w:val="003520BC"/>
    <w:rsid w:val="003530CC"/>
    <w:rsid w:val="00353342"/>
    <w:rsid w:val="00353EE8"/>
    <w:rsid w:val="00354085"/>
    <w:rsid w:val="0035503B"/>
    <w:rsid w:val="00357AB2"/>
    <w:rsid w:val="003600EF"/>
    <w:rsid w:val="0036126F"/>
    <w:rsid w:val="0036236D"/>
    <w:rsid w:val="0036516E"/>
    <w:rsid w:val="00365702"/>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46D1"/>
    <w:rsid w:val="00395D8B"/>
    <w:rsid w:val="003966FD"/>
    <w:rsid w:val="003A004A"/>
    <w:rsid w:val="003A0A71"/>
    <w:rsid w:val="003A0D28"/>
    <w:rsid w:val="003A0E43"/>
    <w:rsid w:val="003A0F8D"/>
    <w:rsid w:val="003A226A"/>
    <w:rsid w:val="003A2716"/>
    <w:rsid w:val="003A3735"/>
    <w:rsid w:val="003A3C95"/>
    <w:rsid w:val="003B0813"/>
    <w:rsid w:val="003B159B"/>
    <w:rsid w:val="003B193E"/>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5F4E"/>
    <w:rsid w:val="003D6715"/>
    <w:rsid w:val="003D697A"/>
    <w:rsid w:val="003D70CD"/>
    <w:rsid w:val="003D763B"/>
    <w:rsid w:val="003D77DA"/>
    <w:rsid w:val="003E0B81"/>
    <w:rsid w:val="003E1850"/>
    <w:rsid w:val="003E28B7"/>
    <w:rsid w:val="003E29D5"/>
    <w:rsid w:val="003E56DB"/>
    <w:rsid w:val="003E57D1"/>
    <w:rsid w:val="003E6ADF"/>
    <w:rsid w:val="003E6EF7"/>
    <w:rsid w:val="003F1FE4"/>
    <w:rsid w:val="003F49C6"/>
    <w:rsid w:val="003F555E"/>
    <w:rsid w:val="003F614E"/>
    <w:rsid w:val="003F7502"/>
    <w:rsid w:val="003F7BA1"/>
    <w:rsid w:val="004022DF"/>
    <w:rsid w:val="00403ADC"/>
    <w:rsid w:val="00404211"/>
    <w:rsid w:val="00406567"/>
    <w:rsid w:val="0040765C"/>
    <w:rsid w:val="004076E2"/>
    <w:rsid w:val="0040773D"/>
    <w:rsid w:val="00407C11"/>
    <w:rsid w:val="00410088"/>
    <w:rsid w:val="004116FB"/>
    <w:rsid w:val="00412931"/>
    <w:rsid w:val="00414A71"/>
    <w:rsid w:val="00414AB7"/>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5FBC"/>
    <w:rsid w:val="0044667C"/>
    <w:rsid w:val="00446C4C"/>
    <w:rsid w:val="004514C8"/>
    <w:rsid w:val="00451F87"/>
    <w:rsid w:val="00452906"/>
    <w:rsid w:val="004529DD"/>
    <w:rsid w:val="00452DAC"/>
    <w:rsid w:val="004532A0"/>
    <w:rsid w:val="00453850"/>
    <w:rsid w:val="00454EB1"/>
    <w:rsid w:val="004565BC"/>
    <w:rsid w:val="004576A5"/>
    <w:rsid w:val="00460FA1"/>
    <w:rsid w:val="00462143"/>
    <w:rsid w:val="00462622"/>
    <w:rsid w:val="0046322F"/>
    <w:rsid w:val="004666E1"/>
    <w:rsid w:val="0046734F"/>
    <w:rsid w:val="004720CB"/>
    <w:rsid w:val="004728DF"/>
    <w:rsid w:val="00473AA0"/>
    <w:rsid w:val="0047455F"/>
    <w:rsid w:val="00474C54"/>
    <w:rsid w:val="004765D1"/>
    <w:rsid w:val="004767A9"/>
    <w:rsid w:val="00476946"/>
    <w:rsid w:val="00476BD5"/>
    <w:rsid w:val="00480137"/>
    <w:rsid w:val="00480F80"/>
    <w:rsid w:val="00480FD3"/>
    <w:rsid w:val="00481581"/>
    <w:rsid w:val="0048184E"/>
    <w:rsid w:val="00482782"/>
    <w:rsid w:val="00483F90"/>
    <w:rsid w:val="004840FC"/>
    <w:rsid w:val="00486195"/>
    <w:rsid w:val="004863ED"/>
    <w:rsid w:val="00486436"/>
    <w:rsid w:val="004869D0"/>
    <w:rsid w:val="00486D21"/>
    <w:rsid w:val="00487974"/>
    <w:rsid w:val="004900F7"/>
    <w:rsid w:val="0049152D"/>
    <w:rsid w:val="00494307"/>
    <w:rsid w:val="004943AB"/>
    <w:rsid w:val="00495C7F"/>
    <w:rsid w:val="00496CFF"/>
    <w:rsid w:val="00497207"/>
    <w:rsid w:val="004A1953"/>
    <w:rsid w:val="004A28E4"/>
    <w:rsid w:val="004A2B95"/>
    <w:rsid w:val="004A5387"/>
    <w:rsid w:val="004B0F1A"/>
    <w:rsid w:val="004B12D0"/>
    <w:rsid w:val="004B2DFA"/>
    <w:rsid w:val="004C37E3"/>
    <w:rsid w:val="004C5DDC"/>
    <w:rsid w:val="004C639B"/>
    <w:rsid w:val="004C7324"/>
    <w:rsid w:val="004D0ACA"/>
    <w:rsid w:val="004D14B7"/>
    <w:rsid w:val="004D29DA"/>
    <w:rsid w:val="004D3777"/>
    <w:rsid w:val="004E166F"/>
    <w:rsid w:val="004E1E35"/>
    <w:rsid w:val="004E353D"/>
    <w:rsid w:val="004E4B54"/>
    <w:rsid w:val="004E5227"/>
    <w:rsid w:val="004E555F"/>
    <w:rsid w:val="004E6E7F"/>
    <w:rsid w:val="004F3C9C"/>
    <w:rsid w:val="004F40C5"/>
    <w:rsid w:val="004F4C96"/>
    <w:rsid w:val="004F69A5"/>
    <w:rsid w:val="004F76C2"/>
    <w:rsid w:val="00500130"/>
    <w:rsid w:val="005011DC"/>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47C6B"/>
    <w:rsid w:val="00550C8A"/>
    <w:rsid w:val="00550D1E"/>
    <w:rsid w:val="00552199"/>
    <w:rsid w:val="0055331E"/>
    <w:rsid w:val="005562D8"/>
    <w:rsid w:val="00557088"/>
    <w:rsid w:val="00557CB4"/>
    <w:rsid w:val="00561267"/>
    <w:rsid w:val="00561B33"/>
    <w:rsid w:val="00563071"/>
    <w:rsid w:val="005652D7"/>
    <w:rsid w:val="0057237B"/>
    <w:rsid w:val="00573390"/>
    <w:rsid w:val="005757B3"/>
    <w:rsid w:val="0057757C"/>
    <w:rsid w:val="00580D96"/>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65"/>
    <w:rsid w:val="005947B8"/>
    <w:rsid w:val="0059508E"/>
    <w:rsid w:val="00595137"/>
    <w:rsid w:val="00595729"/>
    <w:rsid w:val="00596591"/>
    <w:rsid w:val="005972B3"/>
    <w:rsid w:val="005A0829"/>
    <w:rsid w:val="005A0EB2"/>
    <w:rsid w:val="005A1119"/>
    <w:rsid w:val="005A264C"/>
    <w:rsid w:val="005A3477"/>
    <w:rsid w:val="005A366C"/>
    <w:rsid w:val="005A3B0F"/>
    <w:rsid w:val="005A3B3F"/>
    <w:rsid w:val="005B1210"/>
    <w:rsid w:val="005B1340"/>
    <w:rsid w:val="005B15F5"/>
    <w:rsid w:val="005B2378"/>
    <w:rsid w:val="005B36D7"/>
    <w:rsid w:val="005B58D2"/>
    <w:rsid w:val="005B6AD4"/>
    <w:rsid w:val="005B6B92"/>
    <w:rsid w:val="005B6D45"/>
    <w:rsid w:val="005B7284"/>
    <w:rsid w:val="005C0088"/>
    <w:rsid w:val="005C0357"/>
    <w:rsid w:val="005C0611"/>
    <w:rsid w:val="005C0980"/>
    <w:rsid w:val="005C0D65"/>
    <w:rsid w:val="005C0EE2"/>
    <w:rsid w:val="005C14A3"/>
    <w:rsid w:val="005C153A"/>
    <w:rsid w:val="005C1E43"/>
    <w:rsid w:val="005C40D0"/>
    <w:rsid w:val="005C566E"/>
    <w:rsid w:val="005D069C"/>
    <w:rsid w:val="005D1463"/>
    <w:rsid w:val="005D179F"/>
    <w:rsid w:val="005D1EDE"/>
    <w:rsid w:val="005D489F"/>
    <w:rsid w:val="005D6DF8"/>
    <w:rsid w:val="005E1C8C"/>
    <w:rsid w:val="005E200B"/>
    <w:rsid w:val="005E2355"/>
    <w:rsid w:val="005E3A3E"/>
    <w:rsid w:val="005E4DA4"/>
    <w:rsid w:val="005E6CA1"/>
    <w:rsid w:val="005E702C"/>
    <w:rsid w:val="005E73C2"/>
    <w:rsid w:val="005E7C44"/>
    <w:rsid w:val="005F197A"/>
    <w:rsid w:val="005F2927"/>
    <w:rsid w:val="005F2DF7"/>
    <w:rsid w:val="005F3007"/>
    <w:rsid w:val="005F304B"/>
    <w:rsid w:val="005F3B3D"/>
    <w:rsid w:val="005F5F6F"/>
    <w:rsid w:val="005F698A"/>
    <w:rsid w:val="00600538"/>
    <w:rsid w:val="006008DD"/>
    <w:rsid w:val="00605CDD"/>
    <w:rsid w:val="00605EA7"/>
    <w:rsid w:val="0060674D"/>
    <w:rsid w:val="00606A00"/>
    <w:rsid w:val="00607A0D"/>
    <w:rsid w:val="006107CF"/>
    <w:rsid w:val="0061083F"/>
    <w:rsid w:val="006110A4"/>
    <w:rsid w:val="0061333F"/>
    <w:rsid w:val="0061335C"/>
    <w:rsid w:val="00613FB1"/>
    <w:rsid w:val="006147B6"/>
    <w:rsid w:val="006155CA"/>
    <w:rsid w:val="0061668E"/>
    <w:rsid w:val="00616F62"/>
    <w:rsid w:val="006170F3"/>
    <w:rsid w:val="0061742C"/>
    <w:rsid w:val="006179B6"/>
    <w:rsid w:val="00621FD6"/>
    <w:rsid w:val="00624E56"/>
    <w:rsid w:val="00625747"/>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2FDF"/>
    <w:rsid w:val="0065321E"/>
    <w:rsid w:val="006533FD"/>
    <w:rsid w:val="00653D6B"/>
    <w:rsid w:val="006550B2"/>
    <w:rsid w:val="0065605D"/>
    <w:rsid w:val="0065659B"/>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A35"/>
    <w:rsid w:val="00665C20"/>
    <w:rsid w:val="00672D4A"/>
    <w:rsid w:val="00673DCE"/>
    <w:rsid w:val="006749E5"/>
    <w:rsid w:val="00675C9D"/>
    <w:rsid w:val="00675DA5"/>
    <w:rsid w:val="00676165"/>
    <w:rsid w:val="00676CB1"/>
    <w:rsid w:val="00680ED2"/>
    <w:rsid w:val="00686291"/>
    <w:rsid w:val="00686FA4"/>
    <w:rsid w:val="006903A7"/>
    <w:rsid w:val="00691712"/>
    <w:rsid w:val="00691CEB"/>
    <w:rsid w:val="00691E65"/>
    <w:rsid w:val="00691EA1"/>
    <w:rsid w:val="006921EB"/>
    <w:rsid w:val="00693886"/>
    <w:rsid w:val="00694BE9"/>
    <w:rsid w:val="00696114"/>
    <w:rsid w:val="0069667F"/>
    <w:rsid w:val="00696D4A"/>
    <w:rsid w:val="006974AF"/>
    <w:rsid w:val="00697728"/>
    <w:rsid w:val="006A03C8"/>
    <w:rsid w:val="006A07EB"/>
    <w:rsid w:val="006A1279"/>
    <w:rsid w:val="006A1CD6"/>
    <w:rsid w:val="006A362D"/>
    <w:rsid w:val="006A3E3C"/>
    <w:rsid w:val="006A5E39"/>
    <w:rsid w:val="006A615E"/>
    <w:rsid w:val="006A641C"/>
    <w:rsid w:val="006B048C"/>
    <w:rsid w:val="006B210C"/>
    <w:rsid w:val="006B2C4A"/>
    <w:rsid w:val="006B2D1C"/>
    <w:rsid w:val="006B35DA"/>
    <w:rsid w:val="006B53F6"/>
    <w:rsid w:val="006B655F"/>
    <w:rsid w:val="006B6A28"/>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02D"/>
    <w:rsid w:val="0071373D"/>
    <w:rsid w:val="00713758"/>
    <w:rsid w:val="00715907"/>
    <w:rsid w:val="00716B3E"/>
    <w:rsid w:val="00720307"/>
    <w:rsid w:val="00722D85"/>
    <w:rsid w:val="007236C0"/>
    <w:rsid w:val="00724361"/>
    <w:rsid w:val="00724564"/>
    <w:rsid w:val="007255E3"/>
    <w:rsid w:val="007265F0"/>
    <w:rsid w:val="007269E3"/>
    <w:rsid w:val="00726BCA"/>
    <w:rsid w:val="00727582"/>
    <w:rsid w:val="00727873"/>
    <w:rsid w:val="00732460"/>
    <w:rsid w:val="00733D7B"/>
    <w:rsid w:val="00735881"/>
    <w:rsid w:val="00735F13"/>
    <w:rsid w:val="007364A0"/>
    <w:rsid w:val="007408D5"/>
    <w:rsid w:val="0074154C"/>
    <w:rsid w:val="00741EE1"/>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2A01"/>
    <w:rsid w:val="0077338A"/>
    <w:rsid w:val="00773A59"/>
    <w:rsid w:val="00774701"/>
    <w:rsid w:val="00776218"/>
    <w:rsid w:val="007771DC"/>
    <w:rsid w:val="00777F89"/>
    <w:rsid w:val="00781D10"/>
    <w:rsid w:val="007820E3"/>
    <w:rsid w:val="00782574"/>
    <w:rsid w:val="007831CE"/>
    <w:rsid w:val="0078347B"/>
    <w:rsid w:val="00784F06"/>
    <w:rsid w:val="007852BF"/>
    <w:rsid w:val="007852F1"/>
    <w:rsid w:val="00790B45"/>
    <w:rsid w:val="0079220D"/>
    <w:rsid w:val="00792719"/>
    <w:rsid w:val="00792749"/>
    <w:rsid w:val="007928CE"/>
    <w:rsid w:val="00792ADA"/>
    <w:rsid w:val="00793ECE"/>
    <w:rsid w:val="00796E22"/>
    <w:rsid w:val="0079778C"/>
    <w:rsid w:val="00797E1A"/>
    <w:rsid w:val="00797F54"/>
    <w:rsid w:val="007A301E"/>
    <w:rsid w:val="007A35C4"/>
    <w:rsid w:val="007A3CC4"/>
    <w:rsid w:val="007A4418"/>
    <w:rsid w:val="007A45F1"/>
    <w:rsid w:val="007A56FF"/>
    <w:rsid w:val="007A5B54"/>
    <w:rsid w:val="007A6E2E"/>
    <w:rsid w:val="007A766F"/>
    <w:rsid w:val="007B1720"/>
    <w:rsid w:val="007B1B31"/>
    <w:rsid w:val="007B2921"/>
    <w:rsid w:val="007B392C"/>
    <w:rsid w:val="007B4388"/>
    <w:rsid w:val="007B45BA"/>
    <w:rsid w:val="007B49CE"/>
    <w:rsid w:val="007B4E9A"/>
    <w:rsid w:val="007B5178"/>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7F688A"/>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0F3F"/>
    <w:rsid w:val="0082207A"/>
    <w:rsid w:val="00823429"/>
    <w:rsid w:val="00823888"/>
    <w:rsid w:val="008309E3"/>
    <w:rsid w:val="008314BA"/>
    <w:rsid w:val="00832337"/>
    <w:rsid w:val="00832B7B"/>
    <w:rsid w:val="00832FFA"/>
    <w:rsid w:val="008347F7"/>
    <w:rsid w:val="008353FC"/>
    <w:rsid w:val="00836C5C"/>
    <w:rsid w:val="00837C2E"/>
    <w:rsid w:val="00837FDA"/>
    <w:rsid w:val="00841543"/>
    <w:rsid w:val="00841833"/>
    <w:rsid w:val="008418E3"/>
    <w:rsid w:val="00841FB9"/>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2BEA"/>
    <w:rsid w:val="0085300C"/>
    <w:rsid w:val="008608E6"/>
    <w:rsid w:val="00860B78"/>
    <w:rsid w:val="00860BCC"/>
    <w:rsid w:val="00861880"/>
    <w:rsid w:val="0086195A"/>
    <w:rsid w:val="00861B47"/>
    <w:rsid w:val="00861C03"/>
    <w:rsid w:val="0086229E"/>
    <w:rsid w:val="00862CED"/>
    <w:rsid w:val="0086480A"/>
    <w:rsid w:val="00864CD8"/>
    <w:rsid w:val="00867F87"/>
    <w:rsid w:val="00870279"/>
    <w:rsid w:val="00870603"/>
    <w:rsid w:val="0087096F"/>
    <w:rsid w:val="00873838"/>
    <w:rsid w:val="008755BA"/>
    <w:rsid w:val="00881208"/>
    <w:rsid w:val="00884FC6"/>
    <w:rsid w:val="0089080C"/>
    <w:rsid w:val="00890C8E"/>
    <w:rsid w:val="00895D8D"/>
    <w:rsid w:val="008A172E"/>
    <w:rsid w:val="008A1F51"/>
    <w:rsid w:val="008A2695"/>
    <w:rsid w:val="008A33D5"/>
    <w:rsid w:val="008A42E1"/>
    <w:rsid w:val="008A45E8"/>
    <w:rsid w:val="008A5278"/>
    <w:rsid w:val="008A5D75"/>
    <w:rsid w:val="008A7719"/>
    <w:rsid w:val="008A7A9A"/>
    <w:rsid w:val="008B0AFD"/>
    <w:rsid w:val="008B3B41"/>
    <w:rsid w:val="008B44DA"/>
    <w:rsid w:val="008B4D42"/>
    <w:rsid w:val="008B5CA8"/>
    <w:rsid w:val="008B6FB0"/>
    <w:rsid w:val="008C1AB9"/>
    <w:rsid w:val="008C288A"/>
    <w:rsid w:val="008C32CD"/>
    <w:rsid w:val="008C4891"/>
    <w:rsid w:val="008C64BD"/>
    <w:rsid w:val="008C7A4C"/>
    <w:rsid w:val="008C7F9B"/>
    <w:rsid w:val="008D1583"/>
    <w:rsid w:val="008D38F1"/>
    <w:rsid w:val="008D509B"/>
    <w:rsid w:val="008D53A8"/>
    <w:rsid w:val="008D60C6"/>
    <w:rsid w:val="008D716B"/>
    <w:rsid w:val="008E047F"/>
    <w:rsid w:val="008E0678"/>
    <w:rsid w:val="008E110C"/>
    <w:rsid w:val="008E11F8"/>
    <w:rsid w:val="008E4D3C"/>
    <w:rsid w:val="008E4E14"/>
    <w:rsid w:val="008E7F39"/>
    <w:rsid w:val="008F0191"/>
    <w:rsid w:val="008F0A69"/>
    <w:rsid w:val="008F102D"/>
    <w:rsid w:val="008F14A2"/>
    <w:rsid w:val="008F3EF3"/>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37E1A"/>
    <w:rsid w:val="00941C1D"/>
    <w:rsid w:val="00941EF0"/>
    <w:rsid w:val="009423AA"/>
    <w:rsid w:val="009423AC"/>
    <w:rsid w:val="00943218"/>
    <w:rsid w:val="009453A2"/>
    <w:rsid w:val="00946AB1"/>
    <w:rsid w:val="00946D33"/>
    <w:rsid w:val="009504B8"/>
    <w:rsid w:val="009517F6"/>
    <w:rsid w:val="00953281"/>
    <w:rsid w:val="00953B8E"/>
    <w:rsid w:val="00956565"/>
    <w:rsid w:val="00957FDC"/>
    <w:rsid w:val="009601AB"/>
    <w:rsid w:val="00960D92"/>
    <w:rsid w:val="00961947"/>
    <w:rsid w:val="00962390"/>
    <w:rsid w:val="00962C7C"/>
    <w:rsid w:val="00962F2C"/>
    <w:rsid w:val="0096331D"/>
    <w:rsid w:val="00963579"/>
    <w:rsid w:val="00963C26"/>
    <w:rsid w:val="00963D08"/>
    <w:rsid w:val="00963E4F"/>
    <w:rsid w:val="00965CA7"/>
    <w:rsid w:val="00966160"/>
    <w:rsid w:val="0096706B"/>
    <w:rsid w:val="009672AC"/>
    <w:rsid w:val="00967EDD"/>
    <w:rsid w:val="00970564"/>
    <w:rsid w:val="00970BC7"/>
    <w:rsid w:val="00971910"/>
    <w:rsid w:val="00972551"/>
    <w:rsid w:val="00972B8E"/>
    <w:rsid w:val="00973A55"/>
    <w:rsid w:val="009744D1"/>
    <w:rsid w:val="00974C45"/>
    <w:rsid w:val="00975A1E"/>
    <w:rsid w:val="00975C75"/>
    <w:rsid w:val="009774AE"/>
    <w:rsid w:val="00980B13"/>
    <w:rsid w:val="00980F6D"/>
    <w:rsid w:val="00981871"/>
    <w:rsid w:val="00982E2D"/>
    <w:rsid w:val="00982F94"/>
    <w:rsid w:val="00983EDA"/>
    <w:rsid w:val="00985422"/>
    <w:rsid w:val="0098571D"/>
    <w:rsid w:val="009867CF"/>
    <w:rsid w:val="00986DCF"/>
    <w:rsid w:val="00991021"/>
    <w:rsid w:val="00991D18"/>
    <w:rsid w:val="00992A6C"/>
    <w:rsid w:val="00992B39"/>
    <w:rsid w:val="00996DF4"/>
    <w:rsid w:val="009A02E4"/>
    <w:rsid w:val="009A0A3D"/>
    <w:rsid w:val="009A1442"/>
    <w:rsid w:val="009A1C7C"/>
    <w:rsid w:val="009A2D3A"/>
    <w:rsid w:val="009A3F87"/>
    <w:rsid w:val="009A4588"/>
    <w:rsid w:val="009A4F82"/>
    <w:rsid w:val="009A5325"/>
    <w:rsid w:val="009A5DC3"/>
    <w:rsid w:val="009A659A"/>
    <w:rsid w:val="009A67B4"/>
    <w:rsid w:val="009A7570"/>
    <w:rsid w:val="009B475F"/>
    <w:rsid w:val="009B4A1E"/>
    <w:rsid w:val="009B56DC"/>
    <w:rsid w:val="009C07B0"/>
    <w:rsid w:val="009C0E14"/>
    <w:rsid w:val="009C1DA6"/>
    <w:rsid w:val="009C32A2"/>
    <w:rsid w:val="009C3472"/>
    <w:rsid w:val="009C6B17"/>
    <w:rsid w:val="009C6BD9"/>
    <w:rsid w:val="009D1983"/>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1DA4"/>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31B3"/>
    <w:rsid w:val="00A246A8"/>
    <w:rsid w:val="00A2660D"/>
    <w:rsid w:val="00A2730C"/>
    <w:rsid w:val="00A27CF3"/>
    <w:rsid w:val="00A30BC4"/>
    <w:rsid w:val="00A30C4E"/>
    <w:rsid w:val="00A320EF"/>
    <w:rsid w:val="00A32843"/>
    <w:rsid w:val="00A33131"/>
    <w:rsid w:val="00A40C00"/>
    <w:rsid w:val="00A4126E"/>
    <w:rsid w:val="00A42D32"/>
    <w:rsid w:val="00A43BE4"/>
    <w:rsid w:val="00A46A63"/>
    <w:rsid w:val="00A47F91"/>
    <w:rsid w:val="00A50A3C"/>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39CC"/>
    <w:rsid w:val="00A75BF2"/>
    <w:rsid w:val="00A824D5"/>
    <w:rsid w:val="00A8270A"/>
    <w:rsid w:val="00A86745"/>
    <w:rsid w:val="00A928A8"/>
    <w:rsid w:val="00A93F20"/>
    <w:rsid w:val="00A94AAE"/>
    <w:rsid w:val="00A94C7E"/>
    <w:rsid w:val="00A952DC"/>
    <w:rsid w:val="00A9692C"/>
    <w:rsid w:val="00A97867"/>
    <w:rsid w:val="00A97F66"/>
    <w:rsid w:val="00AA324F"/>
    <w:rsid w:val="00AA539D"/>
    <w:rsid w:val="00AA56B6"/>
    <w:rsid w:val="00AA763A"/>
    <w:rsid w:val="00AA7A54"/>
    <w:rsid w:val="00AB046D"/>
    <w:rsid w:val="00AB074C"/>
    <w:rsid w:val="00AB1416"/>
    <w:rsid w:val="00AB29C1"/>
    <w:rsid w:val="00AB4BB2"/>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28CB"/>
    <w:rsid w:val="00AD3BBA"/>
    <w:rsid w:val="00AD3C09"/>
    <w:rsid w:val="00AD3C7F"/>
    <w:rsid w:val="00AD48C6"/>
    <w:rsid w:val="00AD4B16"/>
    <w:rsid w:val="00AD528D"/>
    <w:rsid w:val="00AD6C53"/>
    <w:rsid w:val="00AD71DC"/>
    <w:rsid w:val="00AE433E"/>
    <w:rsid w:val="00AF1E7D"/>
    <w:rsid w:val="00AF26BD"/>
    <w:rsid w:val="00AF51F2"/>
    <w:rsid w:val="00B000EC"/>
    <w:rsid w:val="00B00D48"/>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6C5"/>
    <w:rsid w:val="00B239A7"/>
    <w:rsid w:val="00B245DB"/>
    <w:rsid w:val="00B26620"/>
    <w:rsid w:val="00B27045"/>
    <w:rsid w:val="00B27C98"/>
    <w:rsid w:val="00B27FD1"/>
    <w:rsid w:val="00B300F4"/>
    <w:rsid w:val="00B30765"/>
    <w:rsid w:val="00B31DD6"/>
    <w:rsid w:val="00B32630"/>
    <w:rsid w:val="00B34CAA"/>
    <w:rsid w:val="00B36F48"/>
    <w:rsid w:val="00B412DC"/>
    <w:rsid w:val="00B41CD9"/>
    <w:rsid w:val="00B41DD3"/>
    <w:rsid w:val="00B426B4"/>
    <w:rsid w:val="00B46CCD"/>
    <w:rsid w:val="00B5039F"/>
    <w:rsid w:val="00B51FC9"/>
    <w:rsid w:val="00B5314F"/>
    <w:rsid w:val="00B54DDA"/>
    <w:rsid w:val="00B54F3A"/>
    <w:rsid w:val="00B5537A"/>
    <w:rsid w:val="00B567B2"/>
    <w:rsid w:val="00B56A7D"/>
    <w:rsid w:val="00B571FF"/>
    <w:rsid w:val="00B60946"/>
    <w:rsid w:val="00B60BD3"/>
    <w:rsid w:val="00B6558E"/>
    <w:rsid w:val="00B67193"/>
    <w:rsid w:val="00B67D35"/>
    <w:rsid w:val="00B67E9F"/>
    <w:rsid w:val="00B70F4B"/>
    <w:rsid w:val="00B718C4"/>
    <w:rsid w:val="00B71B75"/>
    <w:rsid w:val="00B74F18"/>
    <w:rsid w:val="00B75762"/>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366B"/>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13E9"/>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204"/>
    <w:rsid w:val="00BE5598"/>
    <w:rsid w:val="00BE5A42"/>
    <w:rsid w:val="00BE6C70"/>
    <w:rsid w:val="00BE6DA3"/>
    <w:rsid w:val="00BE6F9F"/>
    <w:rsid w:val="00BE7612"/>
    <w:rsid w:val="00BF109A"/>
    <w:rsid w:val="00BF3586"/>
    <w:rsid w:val="00C03BA0"/>
    <w:rsid w:val="00C078B4"/>
    <w:rsid w:val="00C07D37"/>
    <w:rsid w:val="00C1073D"/>
    <w:rsid w:val="00C123A9"/>
    <w:rsid w:val="00C125CE"/>
    <w:rsid w:val="00C131D6"/>
    <w:rsid w:val="00C13379"/>
    <w:rsid w:val="00C13F24"/>
    <w:rsid w:val="00C15DA6"/>
    <w:rsid w:val="00C165DE"/>
    <w:rsid w:val="00C214C2"/>
    <w:rsid w:val="00C25ED7"/>
    <w:rsid w:val="00C26002"/>
    <w:rsid w:val="00C26983"/>
    <w:rsid w:val="00C274C9"/>
    <w:rsid w:val="00C30622"/>
    <w:rsid w:val="00C31586"/>
    <w:rsid w:val="00C316C2"/>
    <w:rsid w:val="00C31ADD"/>
    <w:rsid w:val="00C3339F"/>
    <w:rsid w:val="00C34EA3"/>
    <w:rsid w:val="00C3551D"/>
    <w:rsid w:val="00C35FC9"/>
    <w:rsid w:val="00C3704C"/>
    <w:rsid w:val="00C377C5"/>
    <w:rsid w:val="00C43BE1"/>
    <w:rsid w:val="00C44DBD"/>
    <w:rsid w:val="00C461DC"/>
    <w:rsid w:val="00C46671"/>
    <w:rsid w:val="00C46E46"/>
    <w:rsid w:val="00C50BA4"/>
    <w:rsid w:val="00C51628"/>
    <w:rsid w:val="00C52F3F"/>
    <w:rsid w:val="00C55615"/>
    <w:rsid w:val="00C57204"/>
    <w:rsid w:val="00C57FA6"/>
    <w:rsid w:val="00C60DFE"/>
    <w:rsid w:val="00C611F1"/>
    <w:rsid w:val="00C616EE"/>
    <w:rsid w:val="00C63123"/>
    <w:rsid w:val="00C63D0D"/>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AEF"/>
    <w:rsid w:val="00CA7EF2"/>
    <w:rsid w:val="00CA7F73"/>
    <w:rsid w:val="00CB162D"/>
    <w:rsid w:val="00CB1736"/>
    <w:rsid w:val="00CB5EF9"/>
    <w:rsid w:val="00CB77E9"/>
    <w:rsid w:val="00CB7FE6"/>
    <w:rsid w:val="00CC0327"/>
    <w:rsid w:val="00CC1E9D"/>
    <w:rsid w:val="00CC269C"/>
    <w:rsid w:val="00CC3C57"/>
    <w:rsid w:val="00CC4EE1"/>
    <w:rsid w:val="00CC6124"/>
    <w:rsid w:val="00CC671A"/>
    <w:rsid w:val="00CC72F2"/>
    <w:rsid w:val="00CC76BC"/>
    <w:rsid w:val="00CD01B1"/>
    <w:rsid w:val="00CD07D4"/>
    <w:rsid w:val="00CD12BB"/>
    <w:rsid w:val="00CD6611"/>
    <w:rsid w:val="00CD6966"/>
    <w:rsid w:val="00CE090F"/>
    <w:rsid w:val="00CE11ED"/>
    <w:rsid w:val="00CE1291"/>
    <w:rsid w:val="00CE2583"/>
    <w:rsid w:val="00CE289E"/>
    <w:rsid w:val="00CE2ED3"/>
    <w:rsid w:val="00CE337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1A67"/>
    <w:rsid w:val="00D2229E"/>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03C9"/>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76DF4"/>
    <w:rsid w:val="00D816E6"/>
    <w:rsid w:val="00D830F3"/>
    <w:rsid w:val="00D84245"/>
    <w:rsid w:val="00D84264"/>
    <w:rsid w:val="00D85B2B"/>
    <w:rsid w:val="00D86727"/>
    <w:rsid w:val="00D941C7"/>
    <w:rsid w:val="00D94661"/>
    <w:rsid w:val="00D94930"/>
    <w:rsid w:val="00D95A89"/>
    <w:rsid w:val="00D95D4E"/>
    <w:rsid w:val="00D966A4"/>
    <w:rsid w:val="00D966F4"/>
    <w:rsid w:val="00D96904"/>
    <w:rsid w:val="00D97FC7"/>
    <w:rsid w:val="00DA0C6A"/>
    <w:rsid w:val="00DA0EA1"/>
    <w:rsid w:val="00DA1558"/>
    <w:rsid w:val="00DA1891"/>
    <w:rsid w:val="00DA31A6"/>
    <w:rsid w:val="00DA3763"/>
    <w:rsid w:val="00DA6543"/>
    <w:rsid w:val="00DB0A43"/>
    <w:rsid w:val="00DB2A93"/>
    <w:rsid w:val="00DB6435"/>
    <w:rsid w:val="00DB6BA8"/>
    <w:rsid w:val="00DB7F50"/>
    <w:rsid w:val="00DC05C6"/>
    <w:rsid w:val="00DC0AFF"/>
    <w:rsid w:val="00DC0D5D"/>
    <w:rsid w:val="00DC0F59"/>
    <w:rsid w:val="00DC1118"/>
    <w:rsid w:val="00DC1B4D"/>
    <w:rsid w:val="00DC1EE1"/>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D7A88"/>
    <w:rsid w:val="00DE06BD"/>
    <w:rsid w:val="00DE1107"/>
    <w:rsid w:val="00DE2848"/>
    <w:rsid w:val="00DE3511"/>
    <w:rsid w:val="00DE3CCF"/>
    <w:rsid w:val="00DE403C"/>
    <w:rsid w:val="00DE459E"/>
    <w:rsid w:val="00DE4C0D"/>
    <w:rsid w:val="00DE5FE8"/>
    <w:rsid w:val="00DE66E7"/>
    <w:rsid w:val="00DE7104"/>
    <w:rsid w:val="00DE7C48"/>
    <w:rsid w:val="00DF2795"/>
    <w:rsid w:val="00DF4176"/>
    <w:rsid w:val="00DF4C0F"/>
    <w:rsid w:val="00DF5045"/>
    <w:rsid w:val="00DF5BB3"/>
    <w:rsid w:val="00DF62F9"/>
    <w:rsid w:val="00DF7057"/>
    <w:rsid w:val="00DF7937"/>
    <w:rsid w:val="00E0023D"/>
    <w:rsid w:val="00E0111A"/>
    <w:rsid w:val="00E01169"/>
    <w:rsid w:val="00E017A6"/>
    <w:rsid w:val="00E02E01"/>
    <w:rsid w:val="00E04563"/>
    <w:rsid w:val="00E07309"/>
    <w:rsid w:val="00E077D4"/>
    <w:rsid w:val="00E07C98"/>
    <w:rsid w:val="00E10B0F"/>
    <w:rsid w:val="00E11ABE"/>
    <w:rsid w:val="00E1281A"/>
    <w:rsid w:val="00E14896"/>
    <w:rsid w:val="00E1628E"/>
    <w:rsid w:val="00E208B5"/>
    <w:rsid w:val="00E20BEE"/>
    <w:rsid w:val="00E2126B"/>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3441"/>
    <w:rsid w:val="00E44792"/>
    <w:rsid w:val="00E44814"/>
    <w:rsid w:val="00E44FFF"/>
    <w:rsid w:val="00E4610E"/>
    <w:rsid w:val="00E4738F"/>
    <w:rsid w:val="00E51633"/>
    <w:rsid w:val="00E5245D"/>
    <w:rsid w:val="00E5274B"/>
    <w:rsid w:val="00E53EE6"/>
    <w:rsid w:val="00E549AA"/>
    <w:rsid w:val="00E54B99"/>
    <w:rsid w:val="00E55819"/>
    <w:rsid w:val="00E560F1"/>
    <w:rsid w:val="00E6161B"/>
    <w:rsid w:val="00E61FCC"/>
    <w:rsid w:val="00E62057"/>
    <w:rsid w:val="00E6290C"/>
    <w:rsid w:val="00E62ED4"/>
    <w:rsid w:val="00E6334B"/>
    <w:rsid w:val="00E651D0"/>
    <w:rsid w:val="00E653C7"/>
    <w:rsid w:val="00E67634"/>
    <w:rsid w:val="00E67763"/>
    <w:rsid w:val="00E701CD"/>
    <w:rsid w:val="00E728C5"/>
    <w:rsid w:val="00E72A47"/>
    <w:rsid w:val="00E731A1"/>
    <w:rsid w:val="00E777FD"/>
    <w:rsid w:val="00E81BCB"/>
    <w:rsid w:val="00E82AD6"/>
    <w:rsid w:val="00E82E2C"/>
    <w:rsid w:val="00E83CB6"/>
    <w:rsid w:val="00E8477B"/>
    <w:rsid w:val="00E84C73"/>
    <w:rsid w:val="00E852D3"/>
    <w:rsid w:val="00E86C6D"/>
    <w:rsid w:val="00E91F16"/>
    <w:rsid w:val="00E927D1"/>
    <w:rsid w:val="00E9529C"/>
    <w:rsid w:val="00EA0835"/>
    <w:rsid w:val="00EA12F8"/>
    <w:rsid w:val="00EA219D"/>
    <w:rsid w:val="00EA23AB"/>
    <w:rsid w:val="00EA2B7E"/>
    <w:rsid w:val="00EA6CBC"/>
    <w:rsid w:val="00EB0229"/>
    <w:rsid w:val="00EB0BA2"/>
    <w:rsid w:val="00EB113C"/>
    <w:rsid w:val="00EB178D"/>
    <w:rsid w:val="00EB1850"/>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C7D22"/>
    <w:rsid w:val="00ED1496"/>
    <w:rsid w:val="00ED187D"/>
    <w:rsid w:val="00ED27CB"/>
    <w:rsid w:val="00ED2997"/>
    <w:rsid w:val="00ED3B99"/>
    <w:rsid w:val="00ED5530"/>
    <w:rsid w:val="00ED67F0"/>
    <w:rsid w:val="00ED7BF8"/>
    <w:rsid w:val="00ED7DAF"/>
    <w:rsid w:val="00ED7F88"/>
    <w:rsid w:val="00EE3498"/>
    <w:rsid w:val="00EE3BB1"/>
    <w:rsid w:val="00EE50B9"/>
    <w:rsid w:val="00EE5257"/>
    <w:rsid w:val="00EE7488"/>
    <w:rsid w:val="00EE7EA8"/>
    <w:rsid w:val="00EF04A1"/>
    <w:rsid w:val="00EF05E6"/>
    <w:rsid w:val="00EF1488"/>
    <w:rsid w:val="00EF1E76"/>
    <w:rsid w:val="00EF3FF1"/>
    <w:rsid w:val="00EF4571"/>
    <w:rsid w:val="00EF564A"/>
    <w:rsid w:val="00EF72E5"/>
    <w:rsid w:val="00EF778C"/>
    <w:rsid w:val="00F02D20"/>
    <w:rsid w:val="00F03EAC"/>
    <w:rsid w:val="00F0584C"/>
    <w:rsid w:val="00F05FB0"/>
    <w:rsid w:val="00F10080"/>
    <w:rsid w:val="00F113B0"/>
    <w:rsid w:val="00F11B8A"/>
    <w:rsid w:val="00F1264C"/>
    <w:rsid w:val="00F1534B"/>
    <w:rsid w:val="00F16179"/>
    <w:rsid w:val="00F17F04"/>
    <w:rsid w:val="00F20246"/>
    <w:rsid w:val="00F22756"/>
    <w:rsid w:val="00F233D8"/>
    <w:rsid w:val="00F25618"/>
    <w:rsid w:val="00F2761F"/>
    <w:rsid w:val="00F312FC"/>
    <w:rsid w:val="00F31D7C"/>
    <w:rsid w:val="00F31EB6"/>
    <w:rsid w:val="00F34773"/>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68CE"/>
    <w:rsid w:val="00F77803"/>
    <w:rsid w:val="00F77947"/>
    <w:rsid w:val="00F8057F"/>
    <w:rsid w:val="00F805C2"/>
    <w:rsid w:val="00F80991"/>
    <w:rsid w:val="00F810C0"/>
    <w:rsid w:val="00F81430"/>
    <w:rsid w:val="00F818E2"/>
    <w:rsid w:val="00F86DAF"/>
    <w:rsid w:val="00F90F78"/>
    <w:rsid w:val="00F92C1F"/>
    <w:rsid w:val="00F93877"/>
    <w:rsid w:val="00F93EB8"/>
    <w:rsid w:val="00F93EF3"/>
    <w:rsid w:val="00F945CD"/>
    <w:rsid w:val="00F94E99"/>
    <w:rsid w:val="00F96986"/>
    <w:rsid w:val="00FA27DF"/>
    <w:rsid w:val="00FA33A5"/>
    <w:rsid w:val="00FA4826"/>
    <w:rsid w:val="00FA4EE7"/>
    <w:rsid w:val="00FA5476"/>
    <w:rsid w:val="00FA74C7"/>
    <w:rsid w:val="00FA7CC4"/>
    <w:rsid w:val="00FB1955"/>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1844"/>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478B"/>
    <w:rsid w:val="00FF5BB4"/>
    <w:rsid w:val="00FF67C0"/>
    <w:rsid w:val="012A01EB"/>
    <w:rsid w:val="01354276"/>
    <w:rsid w:val="016966E0"/>
    <w:rsid w:val="016E044A"/>
    <w:rsid w:val="01E01BA1"/>
    <w:rsid w:val="020A3D46"/>
    <w:rsid w:val="02253674"/>
    <w:rsid w:val="022C0A8A"/>
    <w:rsid w:val="03152DD6"/>
    <w:rsid w:val="034B6875"/>
    <w:rsid w:val="034D3112"/>
    <w:rsid w:val="035E5896"/>
    <w:rsid w:val="03984491"/>
    <w:rsid w:val="040C7E74"/>
    <w:rsid w:val="042F48EA"/>
    <w:rsid w:val="04D979FC"/>
    <w:rsid w:val="04EB6322"/>
    <w:rsid w:val="0515703E"/>
    <w:rsid w:val="05465378"/>
    <w:rsid w:val="056F2CF7"/>
    <w:rsid w:val="0585466D"/>
    <w:rsid w:val="05FA26E3"/>
    <w:rsid w:val="061F2E9B"/>
    <w:rsid w:val="06C47DA6"/>
    <w:rsid w:val="080552C4"/>
    <w:rsid w:val="082A6E29"/>
    <w:rsid w:val="09891BB3"/>
    <w:rsid w:val="09AC268D"/>
    <w:rsid w:val="09CF0D9D"/>
    <w:rsid w:val="09F81E67"/>
    <w:rsid w:val="0ADA6264"/>
    <w:rsid w:val="0AE35D83"/>
    <w:rsid w:val="0AEA04F5"/>
    <w:rsid w:val="0AF15F44"/>
    <w:rsid w:val="0BC44020"/>
    <w:rsid w:val="0C13228F"/>
    <w:rsid w:val="0C482343"/>
    <w:rsid w:val="0D782503"/>
    <w:rsid w:val="0DE50247"/>
    <w:rsid w:val="0E2D4CFC"/>
    <w:rsid w:val="0E4B2BE5"/>
    <w:rsid w:val="0E592E65"/>
    <w:rsid w:val="0E6257ED"/>
    <w:rsid w:val="0F334BB6"/>
    <w:rsid w:val="0F796FF0"/>
    <w:rsid w:val="0F9A2F00"/>
    <w:rsid w:val="0FAD1A2A"/>
    <w:rsid w:val="0FCA5AF5"/>
    <w:rsid w:val="0FF07438"/>
    <w:rsid w:val="10474EE9"/>
    <w:rsid w:val="105A3058"/>
    <w:rsid w:val="1078297D"/>
    <w:rsid w:val="1158397C"/>
    <w:rsid w:val="11591036"/>
    <w:rsid w:val="11597885"/>
    <w:rsid w:val="12DA5F3C"/>
    <w:rsid w:val="1410457B"/>
    <w:rsid w:val="14D577BC"/>
    <w:rsid w:val="14F873AE"/>
    <w:rsid w:val="15090F10"/>
    <w:rsid w:val="15381F3D"/>
    <w:rsid w:val="15BA32B2"/>
    <w:rsid w:val="16C10A43"/>
    <w:rsid w:val="16D05547"/>
    <w:rsid w:val="16F10DB0"/>
    <w:rsid w:val="174B7216"/>
    <w:rsid w:val="17D271A5"/>
    <w:rsid w:val="17E219BD"/>
    <w:rsid w:val="182B2CFB"/>
    <w:rsid w:val="183677E2"/>
    <w:rsid w:val="183A58CF"/>
    <w:rsid w:val="18704CB4"/>
    <w:rsid w:val="18A20777"/>
    <w:rsid w:val="192E28F8"/>
    <w:rsid w:val="19514C21"/>
    <w:rsid w:val="198A0DC9"/>
    <w:rsid w:val="19ED2B8B"/>
    <w:rsid w:val="19F56315"/>
    <w:rsid w:val="1AB132A6"/>
    <w:rsid w:val="1B137662"/>
    <w:rsid w:val="1B301885"/>
    <w:rsid w:val="1B5231B9"/>
    <w:rsid w:val="1BE475CF"/>
    <w:rsid w:val="1BEF1650"/>
    <w:rsid w:val="1C2E01A0"/>
    <w:rsid w:val="1DA93A37"/>
    <w:rsid w:val="1DE87571"/>
    <w:rsid w:val="1E073DD1"/>
    <w:rsid w:val="1E442E29"/>
    <w:rsid w:val="1E6964F9"/>
    <w:rsid w:val="1F50496A"/>
    <w:rsid w:val="1F726568"/>
    <w:rsid w:val="1F7B0539"/>
    <w:rsid w:val="1FA75645"/>
    <w:rsid w:val="1FBF5A85"/>
    <w:rsid w:val="1FD208DA"/>
    <w:rsid w:val="207B44FF"/>
    <w:rsid w:val="2105123B"/>
    <w:rsid w:val="22C80A1D"/>
    <w:rsid w:val="22D846ED"/>
    <w:rsid w:val="22F84EEE"/>
    <w:rsid w:val="234A68AA"/>
    <w:rsid w:val="23F13E30"/>
    <w:rsid w:val="24367C48"/>
    <w:rsid w:val="247849A4"/>
    <w:rsid w:val="247C2B58"/>
    <w:rsid w:val="25201366"/>
    <w:rsid w:val="26C8143A"/>
    <w:rsid w:val="271B246D"/>
    <w:rsid w:val="273E5B72"/>
    <w:rsid w:val="286670BE"/>
    <w:rsid w:val="28E92B74"/>
    <w:rsid w:val="290B611E"/>
    <w:rsid w:val="2A405D5A"/>
    <w:rsid w:val="2AA13E5A"/>
    <w:rsid w:val="2AAB7381"/>
    <w:rsid w:val="2B0514B0"/>
    <w:rsid w:val="2B9F43ED"/>
    <w:rsid w:val="2C523826"/>
    <w:rsid w:val="2CF17ED9"/>
    <w:rsid w:val="2CFC3A5A"/>
    <w:rsid w:val="2D132788"/>
    <w:rsid w:val="2D491F9E"/>
    <w:rsid w:val="2D953FD8"/>
    <w:rsid w:val="2D9B00E0"/>
    <w:rsid w:val="2DB37BF4"/>
    <w:rsid w:val="2DD6396D"/>
    <w:rsid w:val="2E150B56"/>
    <w:rsid w:val="2E1F4936"/>
    <w:rsid w:val="2E9C0F87"/>
    <w:rsid w:val="2EDB5839"/>
    <w:rsid w:val="2F0E473E"/>
    <w:rsid w:val="2F20599A"/>
    <w:rsid w:val="2F3D5393"/>
    <w:rsid w:val="2F534F90"/>
    <w:rsid w:val="2F7F0AAA"/>
    <w:rsid w:val="2FBE5B11"/>
    <w:rsid w:val="2FE50BA9"/>
    <w:rsid w:val="312C253A"/>
    <w:rsid w:val="31770ADE"/>
    <w:rsid w:val="317F0BCA"/>
    <w:rsid w:val="31D15C10"/>
    <w:rsid w:val="322B443E"/>
    <w:rsid w:val="327E50EF"/>
    <w:rsid w:val="32832A04"/>
    <w:rsid w:val="32A65E1D"/>
    <w:rsid w:val="337A6C9E"/>
    <w:rsid w:val="337F1A8A"/>
    <w:rsid w:val="33AF45D2"/>
    <w:rsid w:val="34164C19"/>
    <w:rsid w:val="34A32605"/>
    <w:rsid w:val="34C907ED"/>
    <w:rsid w:val="350C3578"/>
    <w:rsid w:val="352275ED"/>
    <w:rsid w:val="356713FC"/>
    <w:rsid w:val="3601226B"/>
    <w:rsid w:val="36331599"/>
    <w:rsid w:val="367E28A9"/>
    <w:rsid w:val="3730221B"/>
    <w:rsid w:val="373E53F4"/>
    <w:rsid w:val="375223CF"/>
    <w:rsid w:val="375E0068"/>
    <w:rsid w:val="37645BAC"/>
    <w:rsid w:val="379B1C93"/>
    <w:rsid w:val="380A4A95"/>
    <w:rsid w:val="386F5D34"/>
    <w:rsid w:val="38E27663"/>
    <w:rsid w:val="391C28EE"/>
    <w:rsid w:val="392E09A2"/>
    <w:rsid w:val="3A6C3919"/>
    <w:rsid w:val="3ABA41E1"/>
    <w:rsid w:val="3B7A0F58"/>
    <w:rsid w:val="3BB24E20"/>
    <w:rsid w:val="3C0241A3"/>
    <w:rsid w:val="3C672EE2"/>
    <w:rsid w:val="3D407F0C"/>
    <w:rsid w:val="3D641F1A"/>
    <w:rsid w:val="3E407AAF"/>
    <w:rsid w:val="3E5073E4"/>
    <w:rsid w:val="3ED633E0"/>
    <w:rsid w:val="3EEE694E"/>
    <w:rsid w:val="402407F9"/>
    <w:rsid w:val="402853D1"/>
    <w:rsid w:val="40721A71"/>
    <w:rsid w:val="40B173DB"/>
    <w:rsid w:val="410A1179"/>
    <w:rsid w:val="413A6646"/>
    <w:rsid w:val="43111BB0"/>
    <w:rsid w:val="43552086"/>
    <w:rsid w:val="43C3257B"/>
    <w:rsid w:val="43E821A5"/>
    <w:rsid w:val="45205E79"/>
    <w:rsid w:val="45A24AB5"/>
    <w:rsid w:val="45C646A1"/>
    <w:rsid w:val="45D81A43"/>
    <w:rsid w:val="46781F09"/>
    <w:rsid w:val="468B58CA"/>
    <w:rsid w:val="4796550F"/>
    <w:rsid w:val="47D84D6D"/>
    <w:rsid w:val="48691305"/>
    <w:rsid w:val="487A4E8B"/>
    <w:rsid w:val="48960B41"/>
    <w:rsid w:val="48E15025"/>
    <w:rsid w:val="493733B5"/>
    <w:rsid w:val="498B2BE2"/>
    <w:rsid w:val="4A1543F7"/>
    <w:rsid w:val="4AF61407"/>
    <w:rsid w:val="4B00559A"/>
    <w:rsid w:val="4B3F2B00"/>
    <w:rsid w:val="4B4F2D9B"/>
    <w:rsid w:val="4B8E3DD1"/>
    <w:rsid w:val="4BF10ACB"/>
    <w:rsid w:val="4C31571C"/>
    <w:rsid w:val="4C4C62F7"/>
    <w:rsid w:val="4C673E0C"/>
    <w:rsid w:val="4CF626D0"/>
    <w:rsid w:val="4E9B6644"/>
    <w:rsid w:val="4FF1342D"/>
    <w:rsid w:val="50750E8F"/>
    <w:rsid w:val="50C664D1"/>
    <w:rsid w:val="50CE10DD"/>
    <w:rsid w:val="524349D3"/>
    <w:rsid w:val="52644545"/>
    <w:rsid w:val="52A50B2F"/>
    <w:rsid w:val="52EA0300"/>
    <w:rsid w:val="532B327A"/>
    <w:rsid w:val="53383669"/>
    <w:rsid w:val="534A773C"/>
    <w:rsid w:val="53E41080"/>
    <w:rsid w:val="543C0AB5"/>
    <w:rsid w:val="544215DC"/>
    <w:rsid w:val="54451B20"/>
    <w:rsid w:val="54591A6E"/>
    <w:rsid w:val="54E60802"/>
    <w:rsid w:val="55320861"/>
    <w:rsid w:val="55C43B63"/>
    <w:rsid w:val="5706673B"/>
    <w:rsid w:val="57204800"/>
    <w:rsid w:val="5749211B"/>
    <w:rsid w:val="577C0305"/>
    <w:rsid w:val="58832DC3"/>
    <w:rsid w:val="58872597"/>
    <w:rsid w:val="58DD7FD9"/>
    <w:rsid w:val="59163C38"/>
    <w:rsid w:val="5A6A31CC"/>
    <w:rsid w:val="5A8042EB"/>
    <w:rsid w:val="5A84380D"/>
    <w:rsid w:val="5AA33C99"/>
    <w:rsid w:val="5AF2665F"/>
    <w:rsid w:val="5B59036D"/>
    <w:rsid w:val="5B8B239D"/>
    <w:rsid w:val="5B935CA5"/>
    <w:rsid w:val="5BF4242F"/>
    <w:rsid w:val="5D106C09"/>
    <w:rsid w:val="5E437B09"/>
    <w:rsid w:val="5E53564E"/>
    <w:rsid w:val="5EAE7497"/>
    <w:rsid w:val="5F3C34CB"/>
    <w:rsid w:val="5F4E2319"/>
    <w:rsid w:val="5FD65425"/>
    <w:rsid w:val="603B13E0"/>
    <w:rsid w:val="60EE54CE"/>
    <w:rsid w:val="617C17FC"/>
    <w:rsid w:val="61A65EC3"/>
    <w:rsid w:val="621B53A6"/>
    <w:rsid w:val="63065151"/>
    <w:rsid w:val="6337702C"/>
    <w:rsid w:val="63B636A5"/>
    <w:rsid w:val="646B23D8"/>
    <w:rsid w:val="646D7455"/>
    <w:rsid w:val="64D678D3"/>
    <w:rsid w:val="658D7A28"/>
    <w:rsid w:val="65DF0783"/>
    <w:rsid w:val="65EF46BF"/>
    <w:rsid w:val="660541EF"/>
    <w:rsid w:val="66C1360C"/>
    <w:rsid w:val="66DF3B52"/>
    <w:rsid w:val="66ED216E"/>
    <w:rsid w:val="66F66E58"/>
    <w:rsid w:val="66F7531E"/>
    <w:rsid w:val="670C04C4"/>
    <w:rsid w:val="67D85153"/>
    <w:rsid w:val="68400296"/>
    <w:rsid w:val="696C5805"/>
    <w:rsid w:val="6A873B85"/>
    <w:rsid w:val="6AC43745"/>
    <w:rsid w:val="6B2E4839"/>
    <w:rsid w:val="6B34156D"/>
    <w:rsid w:val="6B3E697D"/>
    <w:rsid w:val="6C863C24"/>
    <w:rsid w:val="6CBB55F0"/>
    <w:rsid w:val="6CE520DA"/>
    <w:rsid w:val="6D6C689E"/>
    <w:rsid w:val="6E3C6504"/>
    <w:rsid w:val="6E856042"/>
    <w:rsid w:val="6F3335BA"/>
    <w:rsid w:val="6F455FAB"/>
    <w:rsid w:val="6F7A45C3"/>
    <w:rsid w:val="6FA5218B"/>
    <w:rsid w:val="6FF84EDF"/>
    <w:rsid w:val="727B12D9"/>
    <w:rsid w:val="72914998"/>
    <w:rsid w:val="73075151"/>
    <w:rsid w:val="734D2715"/>
    <w:rsid w:val="73A11255"/>
    <w:rsid w:val="73B472AE"/>
    <w:rsid w:val="73DF5CA9"/>
    <w:rsid w:val="74D23FB8"/>
    <w:rsid w:val="7510601B"/>
    <w:rsid w:val="75D1652A"/>
    <w:rsid w:val="764713C8"/>
    <w:rsid w:val="76A76695"/>
    <w:rsid w:val="76E521D9"/>
    <w:rsid w:val="77183DD1"/>
    <w:rsid w:val="77253507"/>
    <w:rsid w:val="77990D70"/>
    <w:rsid w:val="77D84F67"/>
    <w:rsid w:val="77D86F7B"/>
    <w:rsid w:val="79030169"/>
    <w:rsid w:val="79636867"/>
    <w:rsid w:val="79B45B38"/>
    <w:rsid w:val="7A0016B7"/>
    <w:rsid w:val="7A00219D"/>
    <w:rsid w:val="7A241826"/>
    <w:rsid w:val="7A423641"/>
    <w:rsid w:val="7A67422A"/>
    <w:rsid w:val="7AAA62CC"/>
    <w:rsid w:val="7AC85234"/>
    <w:rsid w:val="7ADB3CF5"/>
    <w:rsid w:val="7B12308C"/>
    <w:rsid w:val="7B197A65"/>
    <w:rsid w:val="7B304B57"/>
    <w:rsid w:val="7B985F55"/>
    <w:rsid w:val="7BD90588"/>
    <w:rsid w:val="7BE11BCC"/>
    <w:rsid w:val="7BF86E4A"/>
    <w:rsid w:val="7BFE2CEC"/>
    <w:rsid w:val="7C825488"/>
    <w:rsid w:val="7C826230"/>
    <w:rsid w:val="7CC04B01"/>
    <w:rsid w:val="7CFF4B8D"/>
    <w:rsid w:val="7D10465D"/>
    <w:rsid w:val="7DF80F37"/>
    <w:rsid w:val="7E476EFF"/>
    <w:rsid w:val="7E545869"/>
    <w:rsid w:val="7E6A3F92"/>
    <w:rsid w:val="7ECB34D7"/>
    <w:rsid w:val="7ED52CBB"/>
    <w:rsid w:val="7F0B7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5"/>
    <w:qFormat/>
    <w:uiPriority w:val="9"/>
    <w:pPr>
      <w:keepNext/>
      <w:keepLines/>
      <w:widowControl/>
      <w:adjustRightInd w:val="0"/>
      <w:snapToGrid w:val="0"/>
      <w:jc w:val="left"/>
      <w:outlineLvl w:val="0"/>
    </w:pPr>
    <w:rPr>
      <w:rFonts w:ascii="Tahoma" w:hAnsi="Tahoma" w:eastAsia="微软雅黑" w:cs="Times New Roman"/>
      <w:b/>
      <w:bCs/>
      <w:kern w:val="44"/>
      <w:sz w:val="30"/>
      <w:szCs w:val="44"/>
    </w:rPr>
  </w:style>
  <w:style w:type="paragraph" w:styleId="4">
    <w:name w:val="heading 2"/>
    <w:basedOn w:val="1"/>
    <w:next w:val="1"/>
    <w:link w:val="36"/>
    <w:qFormat/>
    <w:uiPriority w:val="9"/>
    <w:pPr>
      <w:keepNext/>
      <w:keepLines/>
      <w:spacing w:before="260" w:after="260" w:afterAutospacing="1" w:line="416" w:lineRule="auto"/>
      <w:outlineLvl w:val="1"/>
    </w:pPr>
    <w:rPr>
      <w:rFonts w:ascii="Cambria" w:hAnsi="Cambria" w:eastAsia="宋体" w:cs="Times New Roman"/>
      <w:b/>
      <w:bCs/>
      <w:kern w:val="0"/>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4"/>
    <w:unhideWhenUsed/>
    <w:qFormat/>
    <w:uiPriority w:val="99"/>
    <w:pPr>
      <w:spacing w:after="120"/>
    </w:pPr>
    <w:rPr>
      <w:rFonts w:eastAsia="仿宋_GB2312"/>
    </w:rPr>
  </w:style>
  <w:style w:type="paragraph" w:styleId="5">
    <w:name w:val="caption"/>
    <w:basedOn w:val="1"/>
    <w:next w:val="1"/>
    <w:semiHidden/>
    <w:unhideWhenUsed/>
    <w:qFormat/>
    <w:uiPriority w:val="35"/>
    <w:rPr>
      <w:rFonts w:ascii="Arial" w:hAnsi="Arial" w:eastAsia="黑体"/>
      <w:sz w:val="20"/>
    </w:rPr>
  </w:style>
  <w:style w:type="paragraph" w:styleId="6">
    <w:name w:val="toa heading"/>
    <w:basedOn w:val="1"/>
    <w:next w:val="1"/>
    <w:qFormat/>
    <w:uiPriority w:val="0"/>
    <w:pPr>
      <w:spacing w:before="120" w:beforeLines="0" w:beforeAutospacing="0"/>
    </w:pPr>
    <w:rPr>
      <w:rFonts w:ascii="Arial" w:hAnsi="Arial"/>
      <w:sz w:val="24"/>
    </w:rPr>
  </w:style>
  <w:style w:type="paragraph" w:styleId="7">
    <w:name w:val="annotation text"/>
    <w:basedOn w:val="1"/>
    <w:link w:val="29"/>
    <w:qFormat/>
    <w:uiPriority w:val="99"/>
    <w:pPr>
      <w:spacing w:line="360" w:lineRule="auto"/>
      <w:jc w:val="left"/>
    </w:pPr>
    <w:rPr>
      <w:rFonts w:ascii="宋体" w:hAnsi="宋体" w:eastAsia="宋体" w:cs="Times New Roman"/>
      <w:szCs w:val="24"/>
    </w:rPr>
  </w:style>
  <w:style w:type="paragraph" w:styleId="8">
    <w:name w:val="Body Text Indent"/>
    <w:basedOn w:val="1"/>
    <w:link w:val="28"/>
    <w:qFormat/>
    <w:uiPriority w:val="0"/>
    <w:pPr>
      <w:ind w:firstLine="420"/>
    </w:pPr>
    <w:rPr>
      <w:rFonts w:ascii="Times New Roman" w:hAnsi="Times New Roman" w:eastAsia="宋体" w:cs="Times New Roman"/>
      <w:sz w:val="24"/>
      <w:szCs w:val="24"/>
    </w:rPr>
  </w:style>
  <w:style w:type="paragraph" w:styleId="9">
    <w:name w:val="Date"/>
    <w:basedOn w:val="1"/>
    <w:next w:val="1"/>
    <w:link w:val="33"/>
    <w:unhideWhenUsed/>
    <w:qFormat/>
    <w:uiPriority w:val="99"/>
    <w:pPr>
      <w:ind w:left="100" w:leftChars="2500"/>
    </w:pPr>
  </w:style>
  <w:style w:type="paragraph" w:styleId="10">
    <w:name w:val="Balloon Text"/>
    <w:basedOn w:val="1"/>
    <w:link w:val="23"/>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spacing w:after="100" w:afterAutospacing="1"/>
    </w:pPr>
    <w:rPr>
      <w:rFonts w:ascii="Times New Roman" w:hAnsi="Times New Roman" w:eastAsia="宋体" w:cs="Times New Roman"/>
    </w:rPr>
  </w:style>
  <w:style w:type="paragraph" w:styleId="14">
    <w:name w:val="toc 2"/>
    <w:basedOn w:val="1"/>
    <w:next w:val="1"/>
    <w:unhideWhenUsed/>
    <w:qFormat/>
    <w:uiPriority w:val="39"/>
    <w:pPr>
      <w:spacing w:after="100" w:afterAutospacing="1"/>
      <w:ind w:left="420" w:leftChars="200"/>
    </w:pPr>
    <w:rPr>
      <w:rFonts w:ascii="Times New Roman" w:hAnsi="Times New Roman" w:eastAsia="宋体" w:cs="Times New Roman"/>
    </w:rPr>
  </w:style>
  <w:style w:type="paragraph" w:styleId="1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FollowedHyperlink"/>
    <w:unhideWhenUsed/>
    <w:qFormat/>
    <w:uiPriority w:val="99"/>
    <w:rPr>
      <w:color w:val="800080"/>
      <w:u w:val="single"/>
    </w:rPr>
  </w:style>
  <w:style w:type="character" w:styleId="21">
    <w:name w:val="Hyperlink"/>
    <w:unhideWhenUsed/>
    <w:qFormat/>
    <w:uiPriority w:val="99"/>
    <w:rPr>
      <w:color w:val="0000FF"/>
      <w:u w:val="single"/>
    </w:rPr>
  </w:style>
  <w:style w:type="character" w:styleId="22">
    <w:name w:val="annotation reference"/>
    <w:basedOn w:val="18"/>
    <w:semiHidden/>
    <w:unhideWhenUsed/>
    <w:qFormat/>
    <w:uiPriority w:val="99"/>
    <w:rPr>
      <w:sz w:val="21"/>
      <w:szCs w:val="21"/>
    </w:rPr>
  </w:style>
  <w:style w:type="character" w:customStyle="1" w:styleId="23">
    <w:name w:val="批注框文本 Char"/>
    <w:basedOn w:val="18"/>
    <w:link w:val="10"/>
    <w:qFormat/>
    <w:uiPriority w:val="99"/>
    <w:rPr>
      <w:sz w:val="18"/>
      <w:szCs w:val="18"/>
    </w:rPr>
  </w:style>
  <w:style w:type="character" w:customStyle="1" w:styleId="24">
    <w:name w:val="页眉 Char"/>
    <w:basedOn w:val="18"/>
    <w:link w:val="12"/>
    <w:qFormat/>
    <w:uiPriority w:val="99"/>
    <w:rPr>
      <w:sz w:val="18"/>
      <w:szCs w:val="18"/>
    </w:rPr>
  </w:style>
  <w:style w:type="character" w:customStyle="1" w:styleId="25">
    <w:name w:val="页脚 Char"/>
    <w:basedOn w:val="18"/>
    <w:link w:val="11"/>
    <w:qFormat/>
    <w:uiPriority w:val="99"/>
    <w:rPr>
      <w:sz w:val="18"/>
      <w:szCs w:val="18"/>
    </w:rPr>
  </w:style>
  <w:style w:type="paragraph" w:customStyle="1" w:styleId="26">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27">
    <w:name w:val="段"/>
    <w:link w:val="3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28">
    <w:name w:val="正文文本缩进 Char"/>
    <w:basedOn w:val="18"/>
    <w:link w:val="8"/>
    <w:qFormat/>
    <w:uiPriority w:val="0"/>
    <w:rPr>
      <w:rFonts w:ascii="Times New Roman" w:hAnsi="Times New Roman" w:eastAsia="宋体" w:cs="Times New Roman"/>
      <w:sz w:val="24"/>
      <w:szCs w:val="24"/>
    </w:rPr>
  </w:style>
  <w:style w:type="character" w:customStyle="1" w:styleId="29">
    <w:name w:val="批注文字 Char"/>
    <w:basedOn w:val="18"/>
    <w:link w:val="7"/>
    <w:qFormat/>
    <w:uiPriority w:val="99"/>
    <w:rPr>
      <w:rFonts w:ascii="宋体" w:hAnsi="宋体" w:eastAsia="宋体" w:cs="Times New Roman"/>
      <w:szCs w:val="24"/>
    </w:rPr>
  </w:style>
  <w:style w:type="paragraph" w:styleId="30">
    <w:name w:val="List Paragraph"/>
    <w:basedOn w:val="1"/>
    <w:qFormat/>
    <w:uiPriority w:val="34"/>
    <w:pPr>
      <w:ind w:firstLine="420" w:firstLineChars="200"/>
    </w:pPr>
  </w:style>
  <w:style w:type="character" w:customStyle="1" w:styleId="31">
    <w:name w:val="段 Char"/>
    <w:link w:val="27"/>
    <w:qFormat/>
    <w:uiPriority w:val="0"/>
    <w:rPr>
      <w:rFonts w:ascii="宋体" w:hAnsi="Times New Roman" w:eastAsia="宋体" w:cs="Times New Roman"/>
      <w:kern w:val="0"/>
    </w:rPr>
  </w:style>
  <w:style w:type="paragraph" w:customStyle="1" w:styleId="32">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3">
    <w:name w:val="日期 Char"/>
    <w:basedOn w:val="18"/>
    <w:link w:val="9"/>
    <w:qFormat/>
    <w:uiPriority w:val="99"/>
    <w:rPr>
      <w:rFonts w:asciiTheme="minorHAnsi" w:hAnsiTheme="minorHAnsi" w:eastAsiaTheme="minorEastAsia" w:cstheme="minorBidi"/>
      <w:kern w:val="2"/>
      <w:sz w:val="21"/>
      <w:szCs w:val="22"/>
    </w:rPr>
  </w:style>
  <w:style w:type="character" w:customStyle="1" w:styleId="34">
    <w:name w:val="正文文本 Char"/>
    <w:basedOn w:val="18"/>
    <w:link w:val="2"/>
    <w:qFormat/>
    <w:uiPriority w:val="99"/>
    <w:rPr>
      <w:rFonts w:eastAsia="仿宋_GB2312" w:asciiTheme="minorHAnsi" w:hAnsiTheme="minorHAnsi" w:cstheme="minorBidi"/>
      <w:kern w:val="2"/>
      <w:sz w:val="21"/>
      <w:szCs w:val="22"/>
    </w:rPr>
  </w:style>
  <w:style w:type="character" w:customStyle="1" w:styleId="35">
    <w:name w:val="标题 1 Char"/>
    <w:basedOn w:val="18"/>
    <w:link w:val="3"/>
    <w:qFormat/>
    <w:uiPriority w:val="9"/>
    <w:rPr>
      <w:rFonts w:ascii="Tahoma" w:hAnsi="Tahoma" w:eastAsia="微软雅黑"/>
      <w:b/>
      <w:bCs/>
      <w:kern w:val="44"/>
      <w:sz w:val="30"/>
      <w:szCs w:val="44"/>
    </w:rPr>
  </w:style>
  <w:style w:type="character" w:customStyle="1" w:styleId="36">
    <w:name w:val="标题 2 Char"/>
    <w:basedOn w:val="18"/>
    <w:link w:val="4"/>
    <w:qFormat/>
    <w:uiPriority w:val="9"/>
    <w:rPr>
      <w:rFonts w:ascii="Cambria" w:hAnsi="Cambria"/>
      <w:b/>
      <w:bCs/>
      <w:sz w:val="32"/>
      <w:szCs w:val="32"/>
    </w:rPr>
  </w:style>
  <w:style w:type="paragraph" w:customStyle="1" w:styleId="37">
    <w:name w:val="列出段落1"/>
    <w:basedOn w:val="1"/>
    <w:qFormat/>
    <w:uiPriority w:val="0"/>
    <w:pPr>
      <w:spacing w:after="100" w:afterAutospacing="1"/>
      <w:ind w:firstLine="420" w:firstLineChars="200"/>
    </w:pPr>
    <w:rPr>
      <w:rFonts w:ascii="Times New Roman" w:hAnsi="Times New Roman" w:eastAsia="宋体" w:cs="Times New Roman"/>
    </w:rPr>
  </w:style>
  <w:style w:type="paragraph" w:customStyle="1" w:styleId="38">
    <w:name w:val="TOC 标题1"/>
    <w:basedOn w:val="3"/>
    <w:next w:val="1"/>
    <w:qFormat/>
    <w:uiPriority w:val="39"/>
    <w:pPr>
      <w:adjustRightInd/>
      <w:snapToGrid/>
      <w:spacing w:before="480" w:line="276" w:lineRule="auto"/>
      <w:outlineLvl w:val="9"/>
    </w:pPr>
    <w:rPr>
      <w:rFonts w:ascii="Cambria" w:hAnsi="Cambria" w:eastAsia="宋体"/>
      <w:color w:val="365F91"/>
      <w:kern w:val="0"/>
      <w:sz w:val="28"/>
      <w:szCs w:val="28"/>
    </w:rPr>
  </w:style>
  <w:style w:type="paragraph" w:customStyle="1" w:styleId="39">
    <w:name w:val="列出段落11"/>
    <w:basedOn w:val="1"/>
    <w:qFormat/>
    <w:uiPriority w:val="0"/>
    <w:pPr>
      <w:ind w:firstLine="420" w:firstLineChars="200"/>
    </w:pPr>
    <w:rPr>
      <w:rFonts w:ascii="Times New Roman" w:hAnsi="Times New Roman" w:eastAsia="宋体" w:cs="Times New Roman"/>
      <w:szCs w:val="21"/>
    </w:rPr>
  </w:style>
  <w:style w:type="paragraph" w:customStyle="1" w:styleId="40">
    <w:name w:val="_Style 2"/>
    <w:basedOn w:val="3"/>
    <w:next w:val="1"/>
    <w:unhideWhenUsed/>
    <w:qFormat/>
    <w:uiPriority w:val="39"/>
    <w:pPr>
      <w:adjustRightInd/>
      <w:snapToGrid/>
      <w:spacing w:before="480" w:line="276" w:lineRule="auto"/>
      <w:outlineLvl w:val="9"/>
    </w:pPr>
    <w:rPr>
      <w:rFonts w:ascii="Cambria" w:hAnsi="Cambria" w:eastAsia="宋体" w:cs="Times New Roman"/>
      <w:color w:val="365F91"/>
      <w:kern w:val="0"/>
      <w:szCs w:val="28"/>
    </w:rPr>
  </w:style>
  <w:style w:type="paragraph" w:customStyle="1" w:styleId="41">
    <w:name w:val="Normal Indent1"/>
    <w:basedOn w:val="1"/>
    <w:qFormat/>
    <w:uiPriority w:val="0"/>
    <w:pPr>
      <w:spacing w:line="360" w:lineRule="auto"/>
      <w:ind w:firstLine="420"/>
    </w:pPr>
    <w:rPr>
      <w:rFonts w:ascii="宋体" w:hAnsi="Calibri"/>
      <w:sz w:val="20"/>
      <w:szCs w:val="20"/>
    </w:rPr>
  </w:style>
  <w:style w:type="paragraph" w:customStyle="1" w:styleId="42">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3">
    <w:name w:val="附录标识"/>
    <w:basedOn w:val="1"/>
    <w:next w:val="27"/>
    <w:qFormat/>
    <w:uiPriority w:val="0"/>
    <w:pPr>
      <w:keepNext/>
      <w:widowControl/>
      <w:numPr>
        <w:ilvl w:val="0"/>
        <w:numId w:val="1"/>
      </w:numPr>
      <w:shd w:val="clear" w:color="FFFFFF" w:fill="FFFFFF"/>
      <w:spacing w:before="640" w:after="280"/>
      <w:jc w:val="center"/>
      <w:outlineLvl w:val="0"/>
    </w:pPr>
    <w:rPr>
      <w:rFonts w:ascii="黑体" w:eastAsia="黑体"/>
      <w:kern w:val="0"/>
      <w:szCs w:val="20"/>
    </w:rPr>
  </w:style>
  <w:style w:type="paragraph" w:customStyle="1" w:styleId="44">
    <w:name w:val="样式7"/>
    <w:basedOn w:val="45"/>
    <w:qFormat/>
    <w:uiPriority w:val="0"/>
    <w:pPr>
      <w:ind w:left="576" w:hanging="576"/>
    </w:pPr>
    <w:rPr>
      <w:rFonts w:eastAsia="黑体"/>
      <w:sz w:val="21"/>
    </w:rPr>
  </w:style>
  <w:style w:type="paragraph" w:customStyle="1" w:styleId="45">
    <w:name w:val="样式6"/>
    <w:basedOn w:val="4"/>
    <w:qFormat/>
    <w:uiPriority w:val="0"/>
    <w:pPr>
      <w:ind w:left="0" w:hanging="578" w:hangingChars="275"/>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江西铜业股份有限公司贵溪冶炼厂</Company>
  <Pages>14</Pages>
  <Words>10744</Words>
  <Characters>11081</Characters>
  <Lines>169</Lines>
  <Paragraphs>47</Paragraphs>
  <TotalTime>1</TotalTime>
  <ScaleCrop>false</ScaleCrop>
  <LinksUpToDate>false</LinksUpToDate>
  <CharactersWithSpaces>11130</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2024-11-07T09:41:00Z</dcterms:created>
  <dc:creator>（数字化部）徐娟华</dc:creator>
  <cp:lastModifiedBy>樊赣湘</cp:lastModifiedBy>
  <cp:lastPrinted>2024-09-29T08:10:00Z</cp:lastPrinted>
  <dcterms:modified xsi:type="dcterms:W3CDTF">2026-07-02T09:17:55Z</dcterms:modified>
  <dc:title>行业标准编制说明</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1B8A9D1A41FF4112B2AF3A0D95A37AE5</vt:lpwstr>
  </property>
  <property fmtid="{D5CDD505-2E9C-101B-9397-08002B2CF9AE}" pid="4" name="KSOTemplateDocerSaveRecord">
    <vt:lpwstr>eyJoZGlkIjoiMjJhNDg4MTAyZGQxZmY5OGVlZWQ5M2Y2NDY4MDBlMWMiLCJ1c2VySWQiOiIxNDkzNzg0NzAzIn0=</vt:lpwstr>
  </property>
</Properties>
</file>