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CAB2">
      <w:pPr>
        <w:rPr>
          <w:rFonts w:ascii="Times New Roman" w:hAnsi="Times New Roman"/>
          <w:b/>
          <w:sz w:val="30"/>
          <w:szCs w:val="30"/>
        </w:rPr>
      </w:pPr>
    </w:p>
    <w:p w14:paraId="7E1DD000">
      <w:pPr>
        <w:rPr>
          <w:rFonts w:ascii="Times New Roman" w:hAnsi="Times New Roman"/>
          <w:b/>
          <w:sz w:val="30"/>
          <w:szCs w:val="30"/>
        </w:rPr>
      </w:pPr>
    </w:p>
    <w:p w14:paraId="58C178D3">
      <w:pPr>
        <w:rPr>
          <w:rFonts w:ascii="Times New Roman" w:hAnsi="Times New Roman"/>
          <w:b/>
          <w:sz w:val="30"/>
          <w:szCs w:val="30"/>
        </w:rPr>
      </w:pPr>
    </w:p>
    <w:p w14:paraId="114514FE">
      <w:pPr>
        <w:rPr>
          <w:rFonts w:ascii="Times New Roman" w:hAnsi="Times New Roman"/>
          <w:b/>
          <w:sz w:val="30"/>
          <w:szCs w:val="30"/>
        </w:rPr>
      </w:pPr>
    </w:p>
    <w:p w14:paraId="2242FBB0">
      <w:pPr>
        <w:rPr>
          <w:rFonts w:ascii="Times New Roman" w:hAnsi="Times New Roman"/>
          <w:b/>
          <w:sz w:val="30"/>
          <w:szCs w:val="30"/>
        </w:rPr>
      </w:pPr>
    </w:p>
    <w:p w14:paraId="7EBE573D">
      <w:pPr>
        <w:spacing w:line="480" w:lineRule="auto"/>
        <w:ind w:firstLine="0" w:firstLineChars="0"/>
        <w:jc w:val="center"/>
        <w:rPr>
          <w:rFonts w:ascii="Times New Roman" w:hAnsi="Times New Roman"/>
          <w:b/>
          <w:sz w:val="48"/>
          <w:szCs w:val="48"/>
        </w:rPr>
      </w:pPr>
      <w:r>
        <w:rPr>
          <w:rFonts w:hint="eastAsia" w:ascii="Times New Roman" w:hAnsi="Times New Roman"/>
          <w:b/>
          <w:sz w:val="48"/>
          <w:szCs w:val="48"/>
          <w:lang w:val="en-US" w:eastAsia="zh-CN"/>
        </w:rPr>
        <w:t>行业</w:t>
      </w:r>
      <w:r>
        <w:rPr>
          <w:rFonts w:ascii="Times New Roman" w:hAnsi="Times New Roman"/>
          <w:b/>
          <w:sz w:val="48"/>
          <w:szCs w:val="48"/>
        </w:rPr>
        <w:t>标准《</w:t>
      </w:r>
      <w:r>
        <w:rPr>
          <w:rFonts w:hint="eastAsia" w:ascii="Times New Roman" w:hAnsi="Times New Roman"/>
          <w:b/>
          <w:sz w:val="48"/>
          <w:szCs w:val="48"/>
        </w:rPr>
        <w:t>有色</w:t>
      </w:r>
      <w:r>
        <w:rPr>
          <w:rFonts w:ascii="Times New Roman" w:hAnsi="Times New Roman"/>
          <w:b/>
          <w:sz w:val="48"/>
          <w:szCs w:val="48"/>
        </w:rPr>
        <w:t>金属矿山高浓度膏体充填智能系统</w:t>
      </w:r>
      <w:r>
        <w:rPr>
          <w:rFonts w:hint="eastAsia" w:ascii="Times New Roman" w:hAnsi="Times New Roman"/>
          <w:b/>
          <w:sz w:val="48"/>
          <w:szCs w:val="48"/>
        </w:rPr>
        <w:t>技术规范</w:t>
      </w:r>
      <w:r>
        <w:rPr>
          <w:rFonts w:ascii="Times New Roman" w:hAnsi="Times New Roman"/>
          <w:b/>
          <w:sz w:val="48"/>
          <w:szCs w:val="48"/>
        </w:rPr>
        <w:t>》</w:t>
      </w:r>
    </w:p>
    <w:p w14:paraId="6725CA3A">
      <w:pPr>
        <w:spacing w:line="480" w:lineRule="auto"/>
        <w:ind w:firstLine="0" w:firstLineChars="0"/>
        <w:jc w:val="center"/>
        <w:rPr>
          <w:rFonts w:ascii="Times New Roman" w:hAnsi="Times New Roman"/>
          <w:b/>
          <w:sz w:val="48"/>
          <w:szCs w:val="48"/>
        </w:rPr>
      </w:pPr>
    </w:p>
    <w:p w14:paraId="2FCBF1B5">
      <w:pPr>
        <w:spacing w:line="480" w:lineRule="auto"/>
        <w:ind w:firstLine="0" w:firstLineChars="0"/>
        <w:jc w:val="center"/>
        <w:rPr>
          <w:rFonts w:ascii="Times New Roman" w:hAnsi="Times New Roman"/>
          <w:b/>
          <w:sz w:val="48"/>
          <w:szCs w:val="48"/>
        </w:rPr>
      </w:pPr>
      <w:r>
        <w:rPr>
          <w:rFonts w:ascii="Times New Roman" w:hAnsi="Times New Roman"/>
          <w:b/>
          <w:sz w:val="48"/>
          <w:szCs w:val="48"/>
        </w:rPr>
        <w:t>编制说明</w:t>
      </w:r>
    </w:p>
    <w:p w14:paraId="3E04700A">
      <w:pPr>
        <w:ind w:firstLine="0" w:firstLineChars="0"/>
        <w:jc w:val="center"/>
        <w:rPr>
          <w:rFonts w:ascii="Times New Roman" w:hAnsi="Times New Roman" w:eastAsia="微软雅黑"/>
          <w:b/>
          <w:sz w:val="44"/>
          <w:szCs w:val="44"/>
        </w:rPr>
      </w:pPr>
    </w:p>
    <w:p w14:paraId="4B4B0DD1">
      <w:pPr>
        <w:ind w:firstLine="0" w:firstLineChars="0"/>
        <w:jc w:val="center"/>
        <w:rPr>
          <w:rFonts w:ascii="Times New Roman" w:hAnsi="Times New Roman" w:eastAsia="微软雅黑"/>
          <w:b/>
          <w:sz w:val="44"/>
          <w:szCs w:val="44"/>
        </w:rPr>
      </w:pPr>
    </w:p>
    <w:p w14:paraId="195DF121">
      <w:pPr>
        <w:ind w:firstLine="0" w:firstLineChars="0"/>
        <w:jc w:val="center"/>
        <w:rPr>
          <w:rFonts w:ascii="Times New Roman" w:hAnsi="Times New Roman" w:eastAsia="微软雅黑"/>
          <w:b/>
          <w:sz w:val="44"/>
          <w:szCs w:val="44"/>
        </w:rPr>
      </w:pPr>
    </w:p>
    <w:p w14:paraId="43F84F89">
      <w:pPr>
        <w:ind w:firstLine="964"/>
        <w:rPr>
          <w:rFonts w:ascii="Times New Roman" w:hAnsi="Times New Roman" w:eastAsia="黑体"/>
          <w:b/>
          <w:sz w:val="48"/>
          <w:szCs w:val="48"/>
        </w:rPr>
      </w:pPr>
    </w:p>
    <w:p w14:paraId="28101EBA">
      <w:pPr>
        <w:ind w:firstLine="964"/>
        <w:rPr>
          <w:rFonts w:ascii="Times New Roman" w:hAnsi="Times New Roman" w:eastAsia="黑体"/>
          <w:b/>
          <w:sz w:val="48"/>
          <w:szCs w:val="48"/>
        </w:rPr>
      </w:pPr>
    </w:p>
    <w:p w14:paraId="0D7784E3">
      <w:pPr>
        <w:pStyle w:val="2"/>
      </w:pPr>
    </w:p>
    <w:p w14:paraId="3D31BE99">
      <w:pPr>
        <w:pStyle w:val="2"/>
      </w:pPr>
    </w:p>
    <w:p w14:paraId="3869CE05">
      <w:pPr>
        <w:ind w:firstLine="0" w:firstLineChars="0"/>
        <w:rPr>
          <w:rFonts w:ascii="Times New Roman" w:hAnsi="Times New Roman" w:eastAsia="黑体"/>
          <w:b/>
          <w:sz w:val="32"/>
          <w:szCs w:val="32"/>
        </w:rPr>
      </w:pPr>
    </w:p>
    <w:p w14:paraId="4E1178DF">
      <w:pPr>
        <w:ind w:firstLine="0" w:firstLineChars="0"/>
        <w:jc w:val="center"/>
        <w:rPr>
          <w:rFonts w:ascii="Times New Roman" w:hAnsi="Times New Roman" w:eastAsia="黑体"/>
          <w:b/>
          <w:sz w:val="32"/>
          <w:szCs w:val="32"/>
        </w:rPr>
      </w:pPr>
      <w:r>
        <w:rPr>
          <w:rFonts w:ascii="Times New Roman" w:hAnsi="Times New Roman" w:eastAsia="黑体"/>
          <w:b/>
          <w:sz w:val="32"/>
          <w:szCs w:val="32"/>
        </w:rPr>
        <w:t>《</w:t>
      </w:r>
      <w:r>
        <w:rPr>
          <w:rFonts w:hint="eastAsia" w:ascii="Times New Roman" w:hAnsi="Times New Roman" w:eastAsia="黑体"/>
          <w:b/>
          <w:sz w:val="32"/>
          <w:szCs w:val="32"/>
        </w:rPr>
        <w:t>有色</w:t>
      </w:r>
      <w:r>
        <w:rPr>
          <w:rFonts w:ascii="Times New Roman" w:hAnsi="Times New Roman" w:eastAsia="黑体"/>
          <w:b/>
          <w:sz w:val="32"/>
          <w:szCs w:val="32"/>
        </w:rPr>
        <w:t>金属矿山高浓度膏体充填智能系统</w:t>
      </w:r>
      <w:r>
        <w:rPr>
          <w:rFonts w:hint="eastAsia" w:ascii="Times New Roman" w:hAnsi="Times New Roman" w:eastAsia="黑体"/>
          <w:b/>
          <w:sz w:val="32"/>
          <w:szCs w:val="32"/>
        </w:rPr>
        <w:t>技术规范</w:t>
      </w:r>
      <w:r>
        <w:rPr>
          <w:rFonts w:ascii="Times New Roman" w:hAnsi="Times New Roman" w:eastAsia="黑体"/>
          <w:b/>
          <w:sz w:val="32"/>
          <w:szCs w:val="32"/>
        </w:rPr>
        <w:t>》编制组</w:t>
      </w:r>
    </w:p>
    <w:p w14:paraId="0F56E1CD">
      <w:pPr>
        <w:ind w:firstLine="0" w:firstLineChars="0"/>
        <w:jc w:val="center"/>
        <w:rPr>
          <w:rFonts w:ascii="Times New Roman" w:hAnsi="Times New Roman" w:eastAsia="黑体"/>
          <w:b/>
          <w:sz w:val="32"/>
          <w:szCs w:val="32"/>
        </w:rPr>
      </w:pPr>
      <w:r>
        <w:rPr>
          <w:rFonts w:ascii="Times New Roman" w:hAnsi="Times New Roman" w:eastAsia="黑体"/>
          <w:b/>
          <w:sz w:val="32"/>
          <w:szCs w:val="32"/>
        </w:rPr>
        <w:t>主编单位：中国恩菲工程技术有限公司</w:t>
      </w:r>
    </w:p>
    <w:p w14:paraId="1B86F1F2">
      <w:pPr>
        <w:pStyle w:val="2"/>
        <w:rPr>
          <w:rFonts w:ascii="Times New Roman" w:hAnsi="Times New Roman" w:eastAsia="黑体"/>
          <w:b/>
          <w:sz w:val="32"/>
          <w:szCs w:val="32"/>
        </w:rPr>
      </w:pPr>
    </w:p>
    <w:p w14:paraId="5B222911">
      <w:pPr>
        <w:pStyle w:val="2"/>
        <w:rPr>
          <w:rFonts w:ascii="Times New Roman" w:hAnsi="Times New Roman" w:eastAsia="黑体"/>
          <w:b/>
          <w:sz w:val="32"/>
          <w:szCs w:val="32"/>
        </w:rPr>
      </w:pPr>
    </w:p>
    <w:p w14:paraId="13212056">
      <w:pPr>
        <w:ind w:firstLine="0" w:firstLineChars="0"/>
        <w:jc w:val="center"/>
        <w:rPr>
          <w:rFonts w:ascii="Times New Roman" w:hAnsi="Times New Roman" w:eastAsia="黑体"/>
          <w:b/>
          <w:sz w:val="32"/>
          <w:szCs w:val="32"/>
        </w:rPr>
      </w:pPr>
      <w:r>
        <w:rPr>
          <w:rFonts w:ascii="Times New Roman" w:hAnsi="Times New Roman" w:eastAsia="黑体"/>
          <w:b/>
          <w:sz w:val="32"/>
          <w:szCs w:val="32"/>
        </w:rPr>
        <w:t>202</w:t>
      </w:r>
      <w:r>
        <w:rPr>
          <w:rFonts w:hint="eastAsia" w:ascii="Times New Roman" w:hAnsi="Times New Roman" w:eastAsia="黑体"/>
          <w:b/>
          <w:sz w:val="32"/>
          <w:szCs w:val="32"/>
          <w:lang w:val="en-US" w:eastAsia="zh-CN"/>
        </w:rPr>
        <w:t>6</w:t>
      </w:r>
      <w:r>
        <w:rPr>
          <w:rFonts w:ascii="Times New Roman" w:hAnsi="Times New Roman" w:eastAsia="黑体"/>
          <w:b/>
          <w:sz w:val="32"/>
          <w:szCs w:val="32"/>
        </w:rPr>
        <w:t>年</w:t>
      </w:r>
      <w:r>
        <w:rPr>
          <w:rFonts w:hint="eastAsia" w:ascii="Times New Roman" w:hAnsi="Times New Roman" w:eastAsia="黑体"/>
          <w:b/>
          <w:sz w:val="32"/>
          <w:szCs w:val="32"/>
          <w:lang w:val="en-US" w:eastAsia="zh-CN"/>
        </w:rPr>
        <w:t>6</w:t>
      </w:r>
      <w:r>
        <w:rPr>
          <w:rFonts w:ascii="Times New Roman" w:hAnsi="Times New Roman" w:eastAsia="黑体"/>
          <w:b/>
          <w:sz w:val="32"/>
          <w:szCs w:val="32"/>
        </w:rPr>
        <w:t>月</w:t>
      </w:r>
    </w:p>
    <w:p w14:paraId="1A8EA14C">
      <w:pPr>
        <w:ind w:firstLine="0" w:firstLineChars="0"/>
        <w:jc w:val="center"/>
        <w:rPr>
          <w:rFonts w:ascii="Times New Roman" w:hAnsi="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upperRoman"/>
          <w:cols w:space="720" w:num="1"/>
          <w:docGrid w:type="lines" w:linePitch="312" w:charSpace="0"/>
        </w:sectPr>
      </w:pPr>
    </w:p>
    <w:p w14:paraId="18C4893E">
      <w:pPr>
        <w:ind w:firstLine="0" w:firstLineChars="0"/>
        <w:jc w:val="center"/>
        <w:rPr>
          <w:rFonts w:ascii="Times New Roman" w:hAnsi="Times New Roman"/>
        </w:rPr>
      </w:pPr>
      <w:r>
        <w:rPr>
          <w:rFonts w:ascii="Times New Roman" w:hAnsi="Times New Roman"/>
          <w:b/>
          <w:bCs/>
          <w:sz w:val="28"/>
          <w:szCs w:val="28"/>
        </w:rPr>
        <w:t>目</w:t>
      </w:r>
      <w:r>
        <w:rPr>
          <w:rFonts w:hint="eastAsia" w:ascii="Times New Roman" w:hAnsi="Times New Roman"/>
          <w:b/>
          <w:bCs/>
          <w:sz w:val="28"/>
          <w:szCs w:val="28"/>
        </w:rPr>
        <w:t xml:space="preserve"> </w:t>
      </w:r>
      <w:r>
        <w:rPr>
          <w:rFonts w:ascii="Times New Roman" w:hAnsi="Times New Roman"/>
          <w:b/>
          <w:bCs/>
          <w:sz w:val="28"/>
          <w:szCs w:val="28"/>
        </w:rPr>
        <w:t xml:space="preserve"> 录</w:t>
      </w:r>
    </w:p>
    <w:p w14:paraId="46D1D92E">
      <w:pPr>
        <w:pStyle w:val="15"/>
        <w:tabs>
          <w:tab w:val="right" w:leader="dot" w:pos="8296"/>
        </w:tabs>
        <w:ind w:firstLine="420"/>
        <w:rPr>
          <w:rFonts w:asciiTheme="minorHAnsi" w:hAnsiTheme="minorHAnsi" w:eastAsiaTheme="minorEastAsia" w:cstheme="minorBidi"/>
          <w:szCs w:val="22"/>
          <w14:ligatures w14:val="standardContextual"/>
        </w:rPr>
      </w:pPr>
      <w:r>
        <w:rPr>
          <w:rFonts w:asciiTheme="minorEastAsia" w:hAnsiTheme="minorEastAsia" w:eastAsiaTheme="minorEastAsia"/>
        </w:rPr>
        <w:fldChar w:fldCharType="begin"/>
      </w:r>
      <w:r>
        <w:rPr>
          <w:rFonts w:asciiTheme="minorEastAsia" w:hAnsiTheme="minorEastAsia" w:eastAsiaTheme="minorEastAsia"/>
        </w:rPr>
        <w:instrText xml:space="preserve">TOC \o "1-3" \h \u </w:instrText>
      </w:r>
      <w:r>
        <w:rPr>
          <w:rFonts w:asciiTheme="minorEastAsia" w:hAnsiTheme="minorEastAsia" w:eastAsiaTheme="minorEastAsia"/>
        </w:rPr>
        <w:fldChar w:fldCharType="separate"/>
      </w:r>
      <w:r>
        <w:fldChar w:fldCharType="begin"/>
      </w:r>
      <w:r>
        <w:instrText xml:space="preserve"> HYPERLINK \l "_Toc135064408" </w:instrText>
      </w:r>
      <w:r>
        <w:fldChar w:fldCharType="separate"/>
      </w:r>
      <w:r>
        <w:rPr>
          <w:rStyle w:val="29"/>
          <w:rFonts w:ascii="Times New Roman" w:hAnsi="Times New Roman"/>
        </w:rPr>
        <w:t>一、工作简况</w:t>
      </w:r>
      <w:r>
        <w:tab/>
      </w:r>
      <w:r>
        <w:fldChar w:fldCharType="begin"/>
      </w:r>
      <w:r>
        <w:instrText xml:space="preserve"> PAGEREF _Toc135064408 \h </w:instrText>
      </w:r>
      <w:r>
        <w:fldChar w:fldCharType="separate"/>
      </w:r>
      <w:r>
        <w:t>1</w:t>
      </w:r>
      <w:r>
        <w:fldChar w:fldCharType="end"/>
      </w:r>
      <w:r>
        <w:fldChar w:fldCharType="end"/>
      </w:r>
    </w:p>
    <w:p w14:paraId="7B858263">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"_Toc135064409" </w:instrText>
      </w:r>
      <w:r>
        <w:fldChar w:fldCharType="separate"/>
      </w:r>
      <w:r>
        <w:rPr>
          <w:rStyle w:val="29"/>
        </w:rPr>
        <w:t>1、任务来源</w:t>
      </w:r>
      <w:r>
        <w:tab/>
      </w:r>
      <w:r>
        <w:fldChar w:fldCharType="begin"/>
      </w:r>
      <w:r>
        <w:instrText xml:space="preserve"> PAGEREF _Toc135064409 \h </w:instrText>
      </w:r>
      <w:r>
        <w:fldChar w:fldCharType="separate"/>
      </w:r>
      <w:r>
        <w:t>1</w:t>
      </w:r>
      <w:r>
        <w:fldChar w:fldCharType="end"/>
      </w:r>
      <w:r>
        <w:fldChar w:fldCharType="end"/>
      </w:r>
    </w:p>
    <w:p w14:paraId="4BE81782">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"_Toc135064412" </w:instrText>
      </w:r>
      <w:r>
        <w:fldChar w:fldCharType="separate"/>
      </w:r>
      <w:r>
        <w:rPr>
          <w:rStyle w:val="29"/>
        </w:rPr>
        <w:t>2、目的与意义</w:t>
      </w:r>
      <w:r>
        <w:tab/>
      </w:r>
      <w:r>
        <w:fldChar w:fldCharType="begin"/>
      </w:r>
      <w:r>
        <w:instrText xml:space="preserve"> PAGEREF _Toc135064412 \h </w:instrText>
      </w:r>
      <w:r>
        <w:fldChar w:fldCharType="separate"/>
      </w:r>
      <w:r>
        <w:t>2</w:t>
      </w:r>
      <w:r>
        <w:fldChar w:fldCharType="end"/>
      </w:r>
      <w:r>
        <w:fldChar w:fldCharType="end"/>
      </w:r>
    </w:p>
    <w:p w14:paraId="21DAC6B2">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"_Toc135064413" </w:instrText>
      </w:r>
      <w:r>
        <w:fldChar w:fldCharType="separate"/>
      </w:r>
      <w:r>
        <w:rPr>
          <w:rStyle w:val="29"/>
        </w:rPr>
        <w:t>3、主要参加单位和工作人员及其所作工作</w:t>
      </w:r>
      <w:r>
        <w:tab/>
      </w:r>
      <w:r>
        <w:fldChar w:fldCharType="begin"/>
      </w:r>
      <w:r>
        <w:instrText xml:space="preserve"> PAGEREF _Toc135064413 \h </w:instrText>
      </w:r>
      <w:r>
        <w:fldChar w:fldCharType="separate"/>
      </w:r>
      <w:r>
        <w:t>3</w:t>
      </w:r>
      <w:r>
        <w:fldChar w:fldCharType="end"/>
      </w:r>
      <w:r>
        <w:fldChar w:fldCharType="end"/>
      </w:r>
    </w:p>
    <w:p w14:paraId="610566CA">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"_Toc135064416" </w:instrText>
      </w:r>
      <w:r>
        <w:fldChar w:fldCharType="separate"/>
      </w:r>
      <w:r>
        <w:rPr>
          <w:rStyle w:val="29"/>
        </w:rPr>
        <w:t>4、主要工作过程</w:t>
      </w:r>
      <w:r>
        <w:tab/>
      </w:r>
      <w:r>
        <w:fldChar w:fldCharType="begin"/>
      </w:r>
      <w:r>
        <w:instrText xml:space="preserve"> PAGEREF _Toc135064416 \h </w:instrText>
      </w:r>
      <w:r>
        <w:fldChar w:fldCharType="separate"/>
      </w:r>
      <w:r>
        <w:t>6</w:t>
      </w:r>
      <w:r>
        <w:fldChar w:fldCharType="end"/>
      </w:r>
      <w:r>
        <w:fldChar w:fldCharType="end"/>
      </w:r>
    </w:p>
    <w:p w14:paraId="27454234">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"_Toc135064421" </w:instrText>
      </w:r>
      <w:r>
        <w:fldChar w:fldCharType="separate"/>
      </w:r>
      <w:r>
        <w:rPr>
          <w:rStyle w:val="29"/>
          <w:rFonts w:ascii="Times New Roman" w:hAnsi="Times New Roman"/>
        </w:rPr>
        <w:t>二、标准编制原则和依据</w:t>
      </w:r>
      <w:r>
        <w:tab/>
      </w:r>
      <w:r>
        <w:fldChar w:fldCharType="begin"/>
      </w:r>
      <w:r>
        <w:instrText xml:space="preserve"> PAGEREF _Toc135064421 \h </w:instrText>
      </w:r>
      <w:r>
        <w:fldChar w:fldCharType="separate"/>
      </w:r>
      <w:r>
        <w:t>8</w:t>
      </w:r>
      <w:r>
        <w:fldChar w:fldCharType="end"/>
      </w:r>
      <w:r>
        <w:fldChar w:fldCharType="end"/>
      </w:r>
    </w:p>
    <w:p w14:paraId="2709912B">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"_Toc135064422" </w:instrText>
      </w:r>
      <w:r>
        <w:fldChar w:fldCharType="separate"/>
      </w:r>
      <w:r>
        <w:rPr>
          <w:rStyle w:val="29"/>
        </w:rPr>
        <w:t>1、编制原则</w:t>
      </w:r>
      <w:r>
        <w:tab/>
      </w:r>
      <w:r>
        <w:fldChar w:fldCharType="begin"/>
      </w:r>
      <w:r>
        <w:instrText xml:space="preserve"> PAGEREF _Toc135064422 \h </w:instrText>
      </w:r>
      <w:r>
        <w:fldChar w:fldCharType="separate"/>
      </w:r>
      <w:r>
        <w:t>8</w:t>
      </w:r>
      <w:r>
        <w:fldChar w:fldCharType="end"/>
      </w:r>
      <w:r>
        <w:fldChar w:fldCharType="end"/>
      </w:r>
    </w:p>
    <w:p w14:paraId="3512F504">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"_Toc135064423" </w:instrText>
      </w:r>
      <w:r>
        <w:fldChar w:fldCharType="separate"/>
      </w:r>
      <w:r>
        <w:rPr>
          <w:rStyle w:val="29"/>
        </w:rPr>
        <w:t>2、编制依据</w:t>
      </w:r>
      <w:r>
        <w:tab/>
      </w:r>
      <w:r>
        <w:fldChar w:fldCharType="begin"/>
      </w:r>
      <w:r>
        <w:instrText xml:space="preserve"> PAGEREF _Toc135064423 \h </w:instrText>
      </w:r>
      <w:r>
        <w:fldChar w:fldCharType="separate"/>
      </w:r>
      <w:r>
        <w:t>9</w:t>
      </w:r>
      <w:r>
        <w:fldChar w:fldCharType="end"/>
      </w:r>
      <w:r>
        <w:fldChar w:fldCharType="end"/>
      </w:r>
    </w:p>
    <w:p w14:paraId="334E5E7D">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"_Toc135064424" </w:instrText>
      </w:r>
      <w:r>
        <w:fldChar w:fldCharType="separate"/>
      </w:r>
      <w:r>
        <w:rPr>
          <w:rStyle w:val="29"/>
          <w:rFonts w:ascii="Times New Roman" w:hAnsi="Times New Roman"/>
        </w:rPr>
        <w:t>三、 主要技术内容</w:t>
      </w:r>
      <w:r>
        <w:tab/>
      </w:r>
      <w:r>
        <w:fldChar w:fldCharType="begin"/>
      </w:r>
      <w:r>
        <w:instrText xml:space="preserve"> PAGEREF _Toc135064424 \h </w:instrText>
      </w:r>
      <w:r>
        <w:fldChar w:fldCharType="separate"/>
      </w:r>
      <w:r>
        <w:t>10</w:t>
      </w:r>
      <w:r>
        <w:fldChar w:fldCharType="end"/>
      </w:r>
      <w:r>
        <w:fldChar w:fldCharType="end"/>
      </w:r>
    </w:p>
    <w:p w14:paraId="608BB88D">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"_Toc135064425" </w:instrText>
      </w:r>
      <w:r>
        <w:fldChar w:fldCharType="separate"/>
      </w:r>
      <w:r>
        <w:rPr>
          <w:rStyle w:val="29"/>
        </w:rPr>
        <w:t>1、范围</w:t>
      </w:r>
      <w:r>
        <w:tab/>
      </w:r>
      <w:r>
        <w:fldChar w:fldCharType="begin"/>
      </w:r>
      <w:r>
        <w:instrText xml:space="preserve"> PAGEREF _Toc135064425 \h </w:instrText>
      </w:r>
      <w:r>
        <w:fldChar w:fldCharType="separate"/>
      </w:r>
      <w:r>
        <w:t>10</w:t>
      </w:r>
      <w:r>
        <w:fldChar w:fldCharType="end"/>
      </w:r>
      <w:r>
        <w:fldChar w:fldCharType="end"/>
      </w:r>
    </w:p>
    <w:p w14:paraId="6B33DC93">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"_Toc135064426" </w:instrText>
      </w:r>
      <w:r>
        <w:fldChar w:fldCharType="separate"/>
      </w:r>
      <w:r>
        <w:rPr>
          <w:rStyle w:val="29"/>
        </w:rPr>
        <w:t>2、规范性引用文件</w:t>
      </w:r>
      <w:r>
        <w:tab/>
      </w:r>
      <w:r>
        <w:fldChar w:fldCharType="begin"/>
      </w:r>
      <w:r>
        <w:instrText xml:space="preserve"> PAGEREF _Toc135064426 \h </w:instrText>
      </w:r>
      <w:r>
        <w:fldChar w:fldCharType="separate"/>
      </w:r>
      <w:r>
        <w:t>10</w:t>
      </w:r>
      <w:r>
        <w:fldChar w:fldCharType="end"/>
      </w:r>
      <w:r>
        <w:fldChar w:fldCharType="end"/>
      </w:r>
    </w:p>
    <w:p w14:paraId="3FA1EE0F">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"_Toc135064427" </w:instrText>
      </w:r>
      <w:r>
        <w:fldChar w:fldCharType="separate"/>
      </w:r>
      <w:r>
        <w:rPr>
          <w:rStyle w:val="29"/>
        </w:rPr>
        <w:t>3、术语和定义</w:t>
      </w:r>
      <w:r>
        <w:tab/>
      </w:r>
      <w:r>
        <w:fldChar w:fldCharType="begin"/>
      </w:r>
      <w:r>
        <w:instrText xml:space="preserve"> PAGEREF _Toc135064427 \h </w:instrText>
      </w:r>
      <w:r>
        <w:fldChar w:fldCharType="separate"/>
      </w:r>
      <w:r>
        <w:t>10</w:t>
      </w:r>
      <w:r>
        <w:fldChar w:fldCharType="end"/>
      </w:r>
      <w:r>
        <w:fldChar w:fldCharType="end"/>
      </w:r>
    </w:p>
    <w:p w14:paraId="42369CA0">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"_Toc135064428" </w:instrText>
      </w:r>
      <w:r>
        <w:fldChar w:fldCharType="separate"/>
      </w:r>
      <w:r>
        <w:rPr>
          <w:rStyle w:val="29"/>
        </w:rPr>
        <w:t>4、系统架构</w:t>
      </w:r>
      <w:r>
        <w:tab/>
      </w:r>
      <w:r>
        <w:fldChar w:fldCharType="begin"/>
      </w:r>
      <w:r>
        <w:instrText xml:space="preserve"> PAGEREF _Toc135064428 \h </w:instrText>
      </w:r>
      <w:r>
        <w:fldChar w:fldCharType="separate"/>
      </w:r>
      <w:r>
        <w:t>11</w:t>
      </w:r>
      <w:r>
        <w:fldChar w:fldCharType="end"/>
      </w:r>
      <w:r>
        <w:fldChar w:fldCharType="end"/>
      </w:r>
    </w:p>
    <w:p w14:paraId="44238489">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"_Toc135064429" </w:instrText>
      </w:r>
      <w:r>
        <w:fldChar w:fldCharType="separate"/>
      </w:r>
      <w:r>
        <w:rPr>
          <w:rStyle w:val="29"/>
        </w:rPr>
        <w:t>5、过程检测及数据采集</w:t>
      </w:r>
      <w:r>
        <w:tab/>
      </w:r>
      <w:r>
        <w:fldChar w:fldCharType="begin"/>
      </w:r>
      <w:r>
        <w:instrText xml:space="preserve"> PAGEREF _Toc135064429 \h </w:instrText>
      </w:r>
      <w:r>
        <w:fldChar w:fldCharType="separate"/>
      </w:r>
      <w:r>
        <w:t>11</w:t>
      </w:r>
      <w:r>
        <w:fldChar w:fldCharType="end"/>
      </w:r>
      <w:r>
        <w:fldChar w:fldCharType="end"/>
      </w:r>
    </w:p>
    <w:p w14:paraId="21A05084">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"_Toc135064434" </w:instrText>
      </w:r>
      <w:r>
        <w:fldChar w:fldCharType="separate"/>
      </w:r>
      <w:r>
        <w:rPr>
          <w:rStyle w:val="29"/>
        </w:rPr>
        <w:t>6、自动化控制</w:t>
      </w:r>
      <w:r>
        <w:tab/>
      </w:r>
      <w:r>
        <w:fldChar w:fldCharType="begin"/>
      </w:r>
      <w:r>
        <w:instrText xml:space="preserve"> PAGEREF _Toc135064434 \h </w:instrText>
      </w:r>
      <w:r>
        <w:fldChar w:fldCharType="separate"/>
      </w:r>
      <w:r>
        <w:t>12</w:t>
      </w:r>
      <w:r>
        <w:fldChar w:fldCharType="end"/>
      </w:r>
      <w:r>
        <w:fldChar w:fldCharType="end"/>
      </w:r>
    </w:p>
    <w:p w14:paraId="1E3D9C24">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"_Toc135064435" </w:instrText>
      </w:r>
      <w:r>
        <w:fldChar w:fldCharType="separate"/>
      </w:r>
      <w:r>
        <w:rPr>
          <w:rStyle w:val="29"/>
        </w:rPr>
        <w:t>7、智能化</w:t>
      </w:r>
      <w:r>
        <w:tab/>
      </w:r>
      <w:r>
        <w:fldChar w:fldCharType="begin"/>
      </w:r>
      <w:r>
        <w:instrText xml:space="preserve"> PAGEREF _Toc135064435 \h </w:instrText>
      </w:r>
      <w:r>
        <w:fldChar w:fldCharType="separate"/>
      </w:r>
      <w:r>
        <w:t>13</w:t>
      </w:r>
      <w:r>
        <w:fldChar w:fldCharType="end"/>
      </w:r>
      <w:r>
        <w:fldChar w:fldCharType="end"/>
      </w:r>
    </w:p>
    <w:p w14:paraId="3C9BCFCB">
      <w:pPr>
        <w:pStyle w:val="17"/>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"_Toc135064436" </w:instrText>
      </w:r>
      <w:r>
        <w:fldChar w:fldCharType="separate"/>
      </w:r>
      <w:r>
        <w:rPr>
          <w:rStyle w:val="29"/>
        </w:rPr>
        <w:t>8、信息化</w:t>
      </w:r>
      <w:r>
        <w:tab/>
      </w:r>
      <w:r>
        <w:fldChar w:fldCharType="begin"/>
      </w:r>
      <w:r>
        <w:instrText xml:space="preserve"> PAGEREF _Toc135064436 \h </w:instrText>
      </w:r>
      <w:r>
        <w:fldChar w:fldCharType="separate"/>
      </w:r>
      <w:r>
        <w:t>14</w:t>
      </w:r>
      <w:r>
        <w:fldChar w:fldCharType="end"/>
      </w:r>
      <w:r>
        <w:fldChar w:fldCharType="end"/>
      </w:r>
    </w:p>
    <w:p w14:paraId="407F79DC">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"_Toc135064437" </w:instrText>
      </w:r>
      <w:r>
        <w:fldChar w:fldCharType="separate"/>
      </w:r>
      <w:r>
        <w:rPr>
          <w:rStyle w:val="29"/>
          <w:rFonts w:ascii="Times New Roman" w:hAnsi="Times New Roman"/>
        </w:rPr>
        <w:t>四、主要试验（或验证）情况分析</w:t>
      </w:r>
      <w:r>
        <w:tab/>
      </w:r>
      <w:r>
        <w:fldChar w:fldCharType="begin"/>
      </w:r>
      <w:r>
        <w:instrText xml:space="preserve"> PAGEREF _Toc135064437 \h </w:instrText>
      </w:r>
      <w:r>
        <w:fldChar w:fldCharType="separate"/>
      </w:r>
      <w:r>
        <w:t>14</w:t>
      </w:r>
      <w:r>
        <w:fldChar w:fldCharType="end"/>
      </w:r>
      <w:r>
        <w:fldChar w:fldCharType="end"/>
      </w:r>
    </w:p>
    <w:p w14:paraId="7572C1F6">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"_Toc135064438" </w:instrText>
      </w:r>
      <w:r>
        <w:fldChar w:fldCharType="separate"/>
      </w:r>
      <w:r>
        <w:rPr>
          <w:rStyle w:val="29"/>
          <w:rFonts w:ascii="Times New Roman" w:hAnsi="Times New Roman"/>
        </w:rPr>
        <w:t>五、标准中如涉及专利，应有明确的知识产权说明</w:t>
      </w:r>
      <w:r>
        <w:tab/>
      </w:r>
      <w:r>
        <w:fldChar w:fldCharType="begin"/>
      </w:r>
      <w:r>
        <w:instrText xml:space="preserve"> PAGEREF _Toc135064438 \h </w:instrText>
      </w:r>
      <w:r>
        <w:fldChar w:fldCharType="separate"/>
      </w:r>
      <w:r>
        <w:t>14</w:t>
      </w:r>
      <w:r>
        <w:fldChar w:fldCharType="end"/>
      </w:r>
      <w:r>
        <w:fldChar w:fldCharType="end"/>
      </w:r>
    </w:p>
    <w:p w14:paraId="4E8800CA">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"_Toc135064439" </w:instrText>
      </w:r>
      <w:r>
        <w:fldChar w:fldCharType="separate"/>
      </w:r>
      <w:r>
        <w:rPr>
          <w:rStyle w:val="29"/>
          <w:rFonts w:ascii="Times New Roman" w:hAnsi="Times New Roman"/>
        </w:rPr>
        <w:t>六、预期达到的经济效果</w:t>
      </w:r>
      <w:r>
        <w:tab/>
      </w:r>
      <w:r>
        <w:fldChar w:fldCharType="begin"/>
      </w:r>
      <w:r>
        <w:instrText xml:space="preserve"> PAGEREF _Toc135064439 \h </w:instrText>
      </w:r>
      <w:r>
        <w:fldChar w:fldCharType="separate"/>
      </w:r>
      <w:r>
        <w:t>15</w:t>
      </w:r>
      <w:r>
        <w:fldChar w:fldCharType="end"/>
      </w:r>
      <w:r>
        <w:fldChar w:fldCharType="end"/>
      </w:r>
    </w:p>
    <w:p w14:paraId="52931A20">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"_Toc135064443" </w:instrText>
      </w:r>
      <w:r>
        <w:fldChar w:fldCharType="separate"/>
      </w:r>
      <w:r>
        <w:rPr>
          <w:rStyle w:val="29"/>
          <w:rFonts w:ascii="Times New Roman" w:hAnsi="Times New Roman"/>
        </w:rPr>
        <w:t>七、采用国际标准或国外先进标准的对比情况</w:t>
      </w:r>
      <w:r>
        <w:tab/>
      </w:r>
      <w:r>
        <w:fldChar w:fldCharType="begin"/>
      </w:r>
      <w:r>
        <w:instrText xml:space="preserve"> PAGEREF _Toc135064443 \h </w:instrText>
      </w:r>
      <w:r>
        <w:fldChar w:fldCharType="separate"/>
      </w:r>
      <w:r>
        <w:t>16</w:t>
      </w:r>
      <w:r>
        <w:fldChar w:fldCharType="end"/>
      </w:r>
      <w:r>
        <w:fldChar w:fldCharType="end"/>
      </w:r>
    </w:p>
    <w:p w14:paraId="705E282C">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"_Toc135064444" </w:instrText>
      </w:r>
      <w:r>
        <w:fldChar w:fldCharType="separate"/>
      </w:r>
      <w:r>
        <w:rPr>
          <w:rStyle w:val="29"/>
          <w:rFonts w:ascii="Times New Roman" w:hAnsi="Times New Roman"/>
        </w:rPr>
        <w:t>八、与现行法律、法规、强制性国家标准及相关标准协调配套情况</w:t>
      </w:r>
      <w:r>
        <w:tab/>
      </w:r>
      <w:r>
        <w:fldChar w:fldCharType="begin"/>
      </w:r>
      <w:r>
        <w:instrText xml:space="preserve"> PAGEREF _Toc135064444 \h </w:instrText>
      </w:r>
      <w:r>
        <w:fldChar w:fldCharType="separate"/>
      </w:r>
      <w:r>
        <w:t>16</w:t>
      </w:r>
      <w:r>
        <w:fldChar w:fldCharType="end"/>
      </w:r>
      <w:r>
        <w:fldChar w:fldCharType="end"/>
      </w:r>
    </w:p>
    <w:p w14:paraId="67380510">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"_Toc135064445" </w:instrText>
      </w:r>
      <w:r>
        <w:fldChar w:fldCharType="separate"/>
      </w:r>
      <w:r>
        <w:rPr>
          <w:rStyle w:val="29"/>
          <w:rFonts w:ascii="Times New Roman" w:hAnsi="Times New Roman"/>
        </w:rPr>
        <w:t>九、重大分歧意见的处理经过和依据</w:t>
      </w:r>
      <w:r>
        <w:tab/>
      </w:r>
      <w:r>
        <w:fldChar w:fldCharType="begin"/>
      </w:r>
      <w:r>
        <w:instrText xml:space="preserve"> PAGEREF _Toc135064445 \h </w:instrText>
      </w:r>
      <w:r>
        <w:fldChar w:fldCharType="separate"/>
      </w:r>
      <w:r>
        <w:t>16</w:t>
      </w:r>
      <w:r>
        <w:fldChar w:fldCharType="end"/>
      </w:r>
      <w:r>
        <w:fldChar w:fldCharType="end"/>
      </w:r>
    </w:p>
    <w:p w14:paraId="6B2711FF">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"_Toc135064446" </w:instrText>
      </w:r>
      <w:r>
        <w:fldChar w:fldCharType="separate"/>
      </w:r>
      <w:r>
        <w:rPr>
          <w:rStyle w:val="29"/>
          <w:rFonts w:ascii="Times New Roman" w:hAnsi="Times New Roman"/>
        </w:rPr>
        <w:t>十、标准性质的建议说明</w:t>
      </w:r>
      <w:r>
        <w:tab/>
      </w:r>
      <w:r>
        <w:fldChar w:fldCharType="begin"/>
      </w:r>
      <w:r>
        <w:instrText xml:space="preserve"> PAGEREF _Toc135064446 \h </w:instrText>
      </w:r>
      <w:r>
        <w:fldChar w:fldCharType="separate"/>
      </w:r>
      <w:r>
        <w:t>16</w:t>
      </w:r>
      <w:r>
        <w:fldChar w:fldCharType="end"/>
      </w:r>
      <w:r>
        <w:fldChar w:fldCharType="end"/>
      </w:r>
    </w:p>
    <w:p w14:paraId="54EA6603">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"_Toc135064447" </w:instrText>
      </w:r>
      <w:r>
        <w:fldChar w:fldCharType="separate"/>
      </w:r>
      <w:r>
        <w:rPr>
          <w:rStyle w:val="29"/>
          <w:rFonts w:ascii="Times New Roman" w:hAnsi="Times New Roman"/>
        </w:rPr>
        <w:t>十一、贯彻标准的要求和措施建议</w:t>
      </w:r>
      <w:r>
        <w:tab/>
      </w:r>
      <w:r>
        <w:fldChar w:fldCharType="begin"/>
      </w:r>
      <w:r>
        <w:instrText xml:space="preserve"> PAGEREF _Toc135064447 \h </w:instrText>
      </w:r>
      <w:r>
        <w:fldChar w:fldCharType="separate"/>
      </w:r>
      <w:r>
        <w:t>16</w:t>
      </w:r>
      <w:r>
        <w:fldChar w:fldCharType="end"/>
      </w:r>
      <w:r>
        <w:fldChar w:fldCharType="end"/>
      </w:r>
    </w:p>
    <w:p w14:paraId="3F585D07">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"_Toc135064448" </w:instrText>
      </w:r>
      <w:r>
        <w:fldChar w:fldCharType="separate"/>
      </w:r>
      <w:r>
        <w:rPr>
          <w:rStyle w:val="29"/>
          <w:rFonts w:ascii="Times New Roman" w:hAnsi="Times New Roman"/>
        </w:rPr>
        <w:t>十二、废止现行有关标准的建议</w:t>
      </w:r>
      <w:r>
        <w:tab/>
      </w:r>
      <w:r>
        <w:fldChar w:fldCharType="begin"/>
      </w:r>
      <w:r>
        <w:instrText xml:space="preserve"> PAGEREF _Toc135064448 \h </w:instrText>
      </w:r>
      <w:r>
        <w:fldChar w:fldCharType="separate"/>
      </w:r>
      <w:r>
        <w:t>17</w:t>
      </w:r>
      <w:r>
        <w:fldChar w:fldCharType="end"/>
      </w:r>
      <w:r>
        <w:fldChar w:fldCharType="end"/>
      </w:r>
    </w:p>
    <w:p w14:paraId="3BF5AA83">
      <w:pPr>
        <w:pStyle w:val="15"/>
        <w:tabs>
          <w:tab w:val="right" w:leader="dot" w:pos="8296"/>
        </w:tabs>
        <w:ind w:firstLine="420"/>
        <w:rPr>
          <w:rFonts w:asciiTheme="minorHAnsi" w:hAnsiTheme="minorHAnsi" w:eastAsiaTheme="minorEastAsia" w:cstheme="minorBidi"/>
          <w:szCs w:val="22"/>
          <w14:ligatures w14:val="standardContextual"/>
        </w:rPr>
      </w:pPr>
      <w:r>
        <w:fldChar w:fldCharType="begin"/>
      </w:r>
      <w:r>
        <w:instrText xml:space="preserve"> HYPERLINK \l "_Toc135064449" </w:instrText>
      </w:r>
      <w:r>
        <w:fldChar w:fldCharType="separate"/>
      </w:r>
      <w:r>
        <w:rPr>
          <w:rStyle w:val="29"/>
          <w:rFonts w:ascii="Times New Roman" w:hAnsi="Times New Roman"/>
        </w:rPr>
        <w:t>十三、其他应予说明的事项</w:t>
      </w:r>
      <w:r>
        <w:tab/>
      </w:r>
      <w:r>
        <w:fldChar w:fldCharType="begin"/>
      </w:r>
      <w:r>
        <w:instrText xml:space="preserve"> PAGEREF _Toc135064449 \h </w:instrText>
      </w:r>
      <w:r>
        <w:fldChar w:fldCharType="separate"/>
      </w:r>
      <w:r>
        <w:t>17</w:t>
      </w:r>
      <w:r>
        <w:fldChar w:fldCharType="end"/>
      </w:r>
      <w:r>
        <w:fldChar w:fldCharType="end"/>
      </w:r>
    </w:p>
    <w:p w14:paraId="5A9B3CAE">
      <w:pPr>
        <w:ind w:firstLine="420"/>
        <w:rPr>
          <w:rFonts w:ascii="Times New Roman" w:hAnsi="Times New Roman"/>
        </w:rPr>
      </w:pPr>
      <w:r>
        <w:rPr>
          <w:rFonts w:asciiTheme="minorEastAsia" w:hAnsiTheme="minorEastAsia" w:eastAsiaTheme="minorEastAsia"/>
        </w:rPr>
        <w:fldChar w:fldCharType="end"/>
      </w:r>
    </w:p>
    <w:p w14:paraId="0F009FE0">
      <w:pPr>
        <w:ind w:firstLine="600"/>
        <w:jc w:val="center"/>
        <w:rPr>
          <w:rFonts w:ascii="Times New Roman" w:hAnsi="Times New Roman" w:eastAsia="黑体"/>
          <w:sz w:val="30"/>
          <w:szCs w:val="30"/>
        </w:rPr>
        <w:sectPr>
          <w:headerReference r:id="rId11" w:type="default"/>
          <w:footerReference r:id="rId13" w:type="default"/>
          <w:headerReference r:id="rId12" w:type="even"/>
          <w:footerReference r:id="rId14" w:type="even"/>
          <w:pgSz w:w="11906" w:h="16838"/>
          <w:pgMar w:top="1440" w:right="1800" w:bottom="1440" w:left="1800" w:header="851" w:footer="992" w:gutter="0"/>
          <w:pgNumType w:fmt="upperRoman" w:start="1"/>
          <w:cols w:space="720" w:num="1"/>
          <w:docGrid w:type="lines" w:linePitch="312" w:charSpace="0"/>
        </w:sectPr>
      </w:pPr>
    </w:p>
    <w:p w14:paraId="4263DB56">
      <w:pPr>
        <w:pStyle w:val="3"/>
        <w:rPr>
          <w:rFonts w:ascii="Times New Roman" w:hAnsi="Times New Roman"/>
          <w:sz w:val="30"/>
        </w:rPr>
      </w:pPr>
      <w:bookmarkStart w:id="0" w:name="_Toc12751"/>
      <w:bookmarkStart w:id="1" w:name="_Toc135064408"/>
      <w:r>
        <w:rPr>
          <w:rFonts w:ascii="Times New Roman" w:hAnsi="Times New Roman"/>
          <w:sz w:val="30"/>
        </w:rPr>
        <w:t>一、工作简况</w:t>
      </w:r>
      <w:bookmarkEnd w:id="0"/>
      <w:bookmarkEnd w:id="1"/>
    </w:p>
    <w:p w14:paraId="0BE23CB9">
      <w:pPr>
        <w:pStyle w:val="4"/>
        <w:spacing w:before="156" w:after="156"/>
        <w:rPr>
          <w:sz w:val="28"/>
        </w:rPr>
      </w:pPr>
      <w:bookmarkStart w:id="2" w:name="_Toc1836"/>
      <w:bookmarkStart w:id="3" w:name="_Toc135064409"/>
      <w:r>
        <w:rPr>
          <w:rFonts w:hint="eastAsia"/>
          <w:sz w:val="28"/>
        </w:rPr>
        <w:t>1、</w:t>
      </w:r>
      <w:r>
        <w:rPr>
          <w:sz w:val="28"/>
        </w:rPr>
        <w:t>任务来源</w:t>
      </w:r>
      <w:bookmarkEnd w:id="2"/>
      <w:bookmarkEnd w:id="3"/>
    </w:p>
    <w:p w14:paraId="01404DD1">
      <w:pPr>
        <w:pStyle w:val="5"/>
        <w:tabs>
          <w:tab w:val="left" w:pos="420"/>
        </w:tabs>
        <w:overflowPunct w:val="0"/>
        <w:autoSpaceDE w:val="0"/>
        <w:autoSpaceDN w:val="0"/>
        <w:adjustRightInd/>
        <w:snapToGrid/>
        <w:ind w:firstLine="0" w:firstLineChars="0"/>
        <w:jc w:val="both"/>
        <w:rPr>
          <w:sz w:val="28"/>
        </w:rPr>
      </w:pPr>
      <w:bookmarkStart w:id="4" w:name="_Toc135064121"/>
      <w:bookmarkStart w:id="5" w:name="_Toc135064410"/>
      <w:r>
        <w:rPr>
          <w:rFonts w:hint="eastAsia"/>
          <w:sz w:val="28"/>
        </w:rPr>
        <w:t>1.1计划批准文件名称、文号及项目编号、项目名称、计划完成年限、项目名称更改说明、编制组成员单位</w:t>
      </w:r>
      <w:bookmarkEnd w:id="4"/>
      <w:bookmarkEnd w:id="5"/>
    </w:p>
    <w:p w14:paraId="1B54BA61">
      <w:pPr>
        <w:ind w:firstLine="480"/>
        <w:rPr>
          <w:rFonts w:hint="default" w:ascii="Times New Roman" w:hAnsi="Times New Roman"/>
          <w:sz w:val="24"/>
          <w:lang w:val="en-US" w:eastAsia="zh-CN"/>
        </w:rPr>
      </w:pPr>
      <w:r>
        <w:rPr>
          <w:rFonts w:hint="eastAsia" w:ascii="Times New Roman" w:hAnsi="Times New Roman"/>
          <w:sz w:val="24"/>
          <w:lang w:val="en-US" w:eastAsia="zh-CN"/>
        </w:rPr>
        <w:t>为规范有色金属矿山高浓度膏体充填智能系统工作，确保矿山充填技术更加快速开展智能化升级改造，持续提升企业能效水平，推动企业绿色低碳发展。根据全国有色金属标准化技术委员会《关于转发2026年第二批有色金属标准项目计划并征集起草单位的通知》的文件要求，行业标准《有色金属采矿 高浓度膏体智能充填系统技术要求》制定项目由全国有色金属标准化技术委员会归口，列入工业和信息化部2026年第二批行业标准制修订和外文版项目计划（工信厅科函〔2026〕192号），计划编号2026-0216T-YS，属于升级传统产业标准项目，完成时间为2027年4月23日。</w:t>
      </w:r>
    </w:p>
    <w:p w14:paraId="6A3BE671">
      <w:pPr>
        <w:ind w:firstLine="480"/>
        <w:rPr>
          <w:rFonts w:ascii="Times New Roman" w:hAnsi="Times New Roman"/>
          <w:sz w:val="24"/>
        </w:rPr>
      </w:pPr>
      <w:r>
        <w:rPr>
          <w:rFonts w:ascii="Times New Roman" w:hAnsi="Times New Roman"/>
          <w:sz w:val="24"/>
        </w:rPr>
        <w:t>标准起草单位为：</w:t>
      </w:r>
      <w:r>
        <w:rPr>
          <w:rFonts w:hint="eastAsia" w:ascii="Times New Roman" w:hAnsi="Times New Roman"/>
          <w:sz w:val="24"/>
        </w:rPr>
        <w:t>中国恩菲工程技术有限公司、长沙矿山研究院有限责任公司、云南驰宏锌错股份有限公司、北方矿业有限责任公司、鞍钢矿业集团有限公司、矿冶科技集团有限公司、招金集团股份有限公司、大冶有色金属集团控股有限公司、北京科技大学、宝武资源有限公司、金川集团股份有限公司、江西铜业集团银山矿业有限责任公司、云南磷化集团有限公司、铜陵有色金属集团有限公司冬瓜山铜矿、香格里拉市云矿红牛矿业有限公司、国城矿业股份有限公司</w:t>
      </w:r>
      <w:r>
        <w:rPr>
          <w:rFonts w:ascii="Times New Roman" w:hAnsi="Times New Roman"/>
          <w:sz w:val="24"/>
        </w:rPr>
        <w:t>。</w:t>
      </w:r>
    </w:p>
    <w:p w14:paraId="170473B4">
      <w:pPr>
        <w:pStyle w:val="5"/>
        <w:tabs>
          <w:tab w:val="left" w:pos="420"/>
        </w:tabs>
        <w:overflowPunct w:val="0"/>
        <w:autoSpaceDE w:val="0"/>
        <w:autoSpaceDN w:val="0"/>
        <w:adjustRightInd/>
        <w:snapToGrid/>
        <w:ind w:firstLine="0" w:firstLineChars="0"/>
        <w:jc w:val="both"/>
        <w:rPr>
          <w:sz w:val="28"/>
        </w:rPr>
      </w:pPr>
      <w:bookmarkStart w:id="6" w:name="_Toc135064122"/>
      <w:bookmarkStart w:id="7" w:name="_Toc135064411"/>
      <w:r>
        <w:rPr>
          <w:sz w:val="28"/>
        </w:rPr>
        <w:t>1.2项目编制组单位变化情况</w:t>
      </w:r>
      <w:bookmarkEnd w:id="6"/>
      <w:bookmarkEnd w:id="7"/>
    </w:p>
    <w:p w14:paraId="20D778BD">
      <w:pPr>
        <w:ind w:firstLine="480"/>
        <w:rPr>
          <w:rFonts w:ascii="Times New Roman" w:hAnsi="Times New Roman"/>
          <w:sz w:val="24"/>
        </w:rPr>
      </w:pPr>
      <w:r>
        <w:rPr>
          <w:rFonts w:hint="eastAsia" w:ascii="Times New Roman" w:hAnsi="Times New Roman"/>
          <w:sz w:val="24"/>
        </w:rPr>
        <w:t>在编制组编制过程中，考虑到各家参编单位在充填制备方面的设计、生产、运营经验，</w:t>
      </w:r>
      <w:r>
        <w:rPr>
          <w:rFonts w:ascii="Times New Roman" w:hAnsi="Times New Roman"/>
          <w:sz w:val="24"/>
        </w:rPr>
        <w:t>重新调整了编制组构成，具体为：</w:t>
      </w:r>
      <w:r>
        <w:rPr>
          <w:rFonts w:hint="eastAsia" w:ascii="Times New Roman" w:hAnsi="Times New Roman"/>
          <w:color w:val="C00000"/>
          <w:sz w:val="24"/>
          <w:highlight w:val="yellow"/>
          <w:lang w:val="en-US" w:eastAsia="zh-CN"/>
        </w:rPr>
        <w:t xml:space="preserve">   </w:t>
      </w:r>
      <w:r>
        <w:rPr>
          <w:rFonts w:hint="eastAsia" w:ascii="Times New Roman" w:hAnsi="Times New Roman"/>
          <w:sz w:val="24"/>
        </w:rPr>
        <w:t>，去除了</w:t>
      </w:r>
      <w:r>
        <w:rPr>
          <w:rFonts w:hint="eastAsia" w:ascii="Times New Roman" w:hAnsi="Times New Roman"/>
          <w:color w:val="C00000"/>
          <w:sz w:val="24"/>
          <w:highlight w:val="yellow"/>
          <w:lang w:val="en-US" w:eastAsia="zh-CN"/>
        </w:rPr>
        <w:t xml:space="preserve">   </w:t>
      </w:r>
      <w:r>
        <w:rPr>
          <w:rFonts w:hint="eastAsia" w:ascii="Times New Roman" w:hAnsi="Times New Roman"/>
          <w:sz w:val="24"/>
        </w:rPr>
        <w:t>，调整后的编制单位情况如下：</w:t>
      </w:r>
    </w:p>
    <w:p w14:paraId="053FB4EB">
      <w:pPr>
        <w:ind w:firstLine="480"/>
        <w:rPr>
          <w:rFonts w:hint="default" w:ascii="Times New Roman" w:hAnsi="Times New Roman"/>
          <w:color w:val="C00000"/>
          <w:sz w:val="24"/>
          <w:highlight w:val="yellow"/>
          <w:lang w:val="en-US" w:eastAsia="zh-CN"/>
        </w:rPr>
      </w:pPr>
      <w:r>
        <w:rPr>
          <w:rFonts w:hint="eastAsia" w:ascii="Times New Roman" w:hAnsi="Times New Roman"/>
          <w:color w:val="C00000"/>
          <w:sz w:val="24"/>
          <w:highlight w:val="yellow"/>
          <w:lang w:val="en-US" w:eastAsia="zh-CN"/>
        </w:rPr>
        <w:t xml:space="preserve">   </w:t>
      </w:r>
    </w:p>
    <w:p w14:paraId="780C4F12">
      <w:pPr>
        <w:pStyle w:val="4"/>
        <w:spacing w:beforeLines="0" w:afterLines="0"/>
        <w:jc w:val="both"/>
        <w:rPr>
          <w:sz w:val="28"/>
        </w:rPr>
      </w:pPr>
      <w:bookmarkStart w:id="8" w:name="_Toc135064412"/>
      <w:bookmarkStart w:id="9" w:name="_Toc131173663"/>
      <w:r>
        <w:rPr>
          <w:sz w:val="28"/>
        </w:rPr>
        <w:t>2、目的与意义</w:t>
      </w:r>
      <w:bookmarkEnd w:id="8"/>
      <w:bookmarkEnd w:id="9"/>
    </w:p>
    <w:p w14:paraId="1CCE6B17">
      <w:pPr>
        <w:pStyle w:val="2"/>
        <w:ind w:firstLine="480"/>
        <w:rPr>
          <w:rFonts w:hint="eastAsia" w:ascii="Times New Roman" w:hAnsi="Times New Roman"/>
          <w:sz w:val="24"/>
        </w:rPr>
      </w:pPr>
      <w:r>
        <w:rPr>
          <w:rFonts w:hint="eastAsia" w:ascii="Times New Roman" w:hAnsi="Times New Roman"/>
          <w:sz w:val="24"/>
        </w:rPr>
        <w:t>矿业是我国国民经济的基础性、战略性产业，矿产资源开发对保障国家能源资源安全、支撑现代化产业体系建设具有不可替代的作用。2025年，全国矿业产值约32.7万亿元，占GDP比重超23%；采矿业和冶炼加工业利润占工业企业利润的近40%，矿产品进口额占商品进口总额的40%以上。目前全国采矿业企业5.5万家、冶炼加工企业83.4万家，矿业及其关联产业已成为区域经济发展和民生就业的重要支柱。然而，矿山开采在提供原材料的同时，也不可避免地产生大量固体废弃物。2024年，全国一般工业固体废物产生量达44.7亿吨，其中与矿业相关的固废约占三分之一。尾矿作为大宗工业固废的主要组成部分，年产生量持续攀升——2023年全国尾矿产生量14.24亿吨，预计2024年已突破15亿吨。我国尾矿堆存总量已超过200亿吨，尾矿库超万座，占地近700平方公里。同时，全国累计堆存工业固体废物约330亿吨，占地约3,500平方公里。这些尾矿库是诱发环境污染、泥石流、溃坝等事故的重大隐患。与此同时，地下矿山开采产生了大量采空区，我国矿山采空区体积累计超过250亿m³，是诱发井下岩石冒落和地表塌陷的主要原因。尾矿库与采空区已成为金属矿山的两大重大危险源，处理不当将严重威胁人民生命财产安全和生态环境。高浓度膏体充填技术将地表堆积的固体废弃物回填至井下采空区，既可提高井下采矿作业安全性、防止地表塌陷，又能实现固体废弃物的规模化消纳利用，是矿山安全、高效、绿色开采的关键技术路径。</w:t>
      </w:r>
    </w:p>
    <w:p w14:paraId="2121922F">
      <w:pPr>
        <w:pStyle w:val="2"/>
        <w:ind w:firstLine="480"/>
        <w:rPr>
          <w:rFonts w:hint="eastAsia" w:ascii="Times New Roman" w:hAnsi="Times New Roman"/>
          <w:sz w:val="24"/>
        </w:rPr>
      </w:pPr>
      <w:r>
        <w:rPr>
          <w:rFonts w:hint="eastAsia" w:ascii="Times New Roman" w:hAnsi="Times New Roman"/>
          <w:sz w:val="24"/>
        </w:rPr>
        <w:t>近年来，国家密集出台了一系列政策文件，对矿山智能化建设和绿色低碳发展提出了明确要求。在智能化建设方面，国务院《关于深入实施"人工智能+"行动的意见》明确提出"到2027年实现人工智能与重点领域深度融合"的阶段性目标。工信部等十一部门印发《铜产业高质量发展实施方案（2025—2027年）》，要求深入推进数字化、智能化技术在全产业链的深度应用，大力推动人工智能（AI）技术与铜行业的融合应用。国家矿山安全监察局发布《金属非金属矿山智能化建设指南（2025年版）》，将充填作业列为地下矿山智能化建设的十大业务系统之一，明确要求建立智能充填系统，实现充填全流程无人化作业。应急管理部《"十四五"矿山安全生产规划》将"采空区废石或尾砂高浓度充填"列为重点推广的先进适用技术。在绿色低碳与固废治理方面，中共中央、国务院《关于加快经济社会发展全面绿色转型的意见》强调大力发展循环经济，到2030年大宗固体废弃物年利用量达到45亿吨左右。国务院办公厅《固体废物综合治理行动计划》明确提出"推动重有色金属矿采选一体化建设，促进尾矿就近充填回填，原则上不再批准建设无自建矿山、无配套尾矿利用处置设施的选矿项目"。生态环境部修订发布《一般工业固体废物贮存和填埋污染控制标准》，明确允许符合要求的一般工业固体废物用于支撑围岩等充填活动、用于塌陷区治理等回填活动。山西省等地方政府明确要求"新建、改扩建金属非金属地下矿山原则上采用充填采矿法"。在资源安全与产业升级方面，2025年中央经济工作会议将矿产资源安全纳入"新质生产力"重点任务，"十五五"规划建议明确战略性矿产自给率目标。工信部等八部门《有色金属行业稳增长工作方案（2025—2026年）》提出统筹利用超长期特别国债等资金渠道，支持有色金属资源开发、节能减污降碳、数字化改造等。</w:t>
      </w:r>
    </w:p>
    <w:p w14:paraId="0EA03BF0">
      <w:pPr>
        <w:pStyle w:val="2"/>
        <w:ind w:firstLine="480"/>
        <w:rPr>
          <w:rFonts w:hint="eastAsia" w:ascii="Times New Roman" w:hAnsi="Times New Roman"/>
          <w:sz w:val="24"/>
        </w:rPr>
      </w:pPr>
      <w:r>
        <w:rPr>
          <w:rFonts w:hint="eastAsia" w:ascii="Times New Roman" w:hAnsi="Times New Roman"/>
          <w:sz w:val="24"/>
        </w:rPr>
        <w:t>当前，矿山高浓度膏体充填普遍存在设备智能化程度不足、充填参数控制精度低、井下充填效果不稳定等问题。传统充填控制以单独控制回路为主，对尾砂料浆浓度、水泥计量、灰砂比、水灰比等关键工艺参数难以实现精确控制，造成干尾砂流量波动大、充填质量不稳定，进而增加充填成本、影响充填效果。随着矿山智能化建设进入"基础赋能、系统集成、智能决策"的深化阶段，充填系统亟需从"自动化"向"智能化"跃升，实现基于工业互联网的"感知—传输—决策—执行"闭环控制。智能化充填系统是工艺、设备、智能控制技术深度融合的系统性工程，以工业互联网、大数据、人工智能、数字孪生等技术为支撑，建立生产数据库，提高对原料性质、设备状态、生产状态的智能识别能力，以精细化和知识型的生产操作模式替代粗放、经验式生产模式，实现充填工艺参数基于任务的自主精确调节、设备主要参数实时监测、充填物料和药剂配比优化、井下采场充填点自动切换、空管段自动冲洗等功能，在保证充填强度的前提下，实现充填环节少人化甚至无人化，确保井下持续、均衡和高效生产。</w:t>
      </w:r>
    </w:p>
    <w:p w14:paraId="17A568E6">
      <w:pPr>
        <w:pStyle w:val="2"/>
        <w:ind w:firstLine="480"/>
        <w:rPr>
          <w:rFonts w:ascii="Times New Roman" w:hAnsi="Times New Roman"/>
          <w:sz w:val="24"/>
        </w:rPr>
      </w:pPr>
      <w:r>
        <w:rPr>
          <w:rFonts w:hint="eastAsia" w:ascii="Times New Roman" w:hAnsi="Times New Roman"/>
          <w:sz w:val="24"/>
        </w:rPr>
        <w:t>本标准的制定能够填补矿山充填领域智能系统技术标准的空白，规范矿山高浓度膏体智能充填系统建设与运行的一致性，为矿山充填技术的智能化升级改造提供技术依据，推动有色金属矿山向"安全、高效、智能、绿色"方向高质量发展，助力实现"双碳"目标和矿产资源安全保障战略。制定《有色金属矿山高浓度膏体充填智能系统技术规范》势在必行。</w:t>
      </w:r>
    </w:p>
    <w:p w14:paraId="3FB60324">
      <w:pPr>
        <w:pStyle w:val="4"/>
        <w:spacing w:beforeLines="0" w:afterLines="0"/>
        <w:jc w:val="both"/>
        <w:rPr>
          <w:sz w:val="28"/>
        </w:rPr>
      </w:pPr>
      <w:bookmarkStart w:id="10" w:name="_Toc135064413"/>
      <w:r>
        <w:rPr>
          <w:sz w:val="28"/>
        </w:rPr>
        <w:t>3</w:t>
      </w:r>
      <w:r>
        <w:rPr>
          <w:rFonts w:hint="eastAsia"/>
          <w:sz w:val="28"/>
        </w:rPr>
        <w:t>、</w:t>
      </w:r>
      <w:r>
        <w:rPr>
          <w:sz w:val="28"/>
        </w:rPr>
        <w:t>主要参加单位和工作人员及其所作工作</w:t>
      </w:r>
      <w:bookmarkEnd w:id="10"/>
    </w:p>
    <w:p w14:paraId="44A34FC6">
      <w:pPr>
        <w:pStyle w:val="5"/>
        <w:tabs>
          <w:tab w:val="left" w:pos="420"/>
        </w:tabs>
        <w:overflowPunct w:val="0"/>
        <w:autoSpaceDE w:val="0"/>
        <w:autoSpaceDN w:val="0"/>
        <w:adjustRightInd/>
        <w:snapToGrid/>
        <w:ind w:firstLine="0" w:firstLineChars="0"/>
        <w:jc w:val="both"/>
        <w:rPr>
          <w:sz w:val="28"/>
        </w:rPr>
      </w:pPr>
      <w:bookmarkStart w:id="11" w:name="_Toc135064414"/>
      <w:bookmarkStart w:id="12" w:name="_Toc135064125"/>
      <w:r>
        <w:rPr>
          <w:sz w:val="28"/>
        </w:rPr>
        <w:t>3.1</w:t>
      </w:r>
      <w:r>
        <w:rPr>
          <w:rFonts w:hint="eastAsia"/>
          <w:sz w:val="28"/>
        </w:rPr>
        <w:t>牵头</w:t>
      </w:r>
      <w:r>
        <w:rPr>
          <w:sz w:val="28"/>
        </w:rPr>
        <w:t>单位情况</w:t>
      </w:r>
      <w:r>
        <w:rPr>
          <w:rFonts w:hint="eastAsia"/>
          <w:sz w:val="28"/>
        </w:rPr>
        <w:t>介绍</w:t>
      </w:r>
      <w:bookmarkEnd w:id="11"/>
      <w:bookmarkEnd w:id="12"/>
    </w:p>
    <w:p w14:paraId="483834A6">
      <w:pPr>
        <w:ind w:firstLine="480"/>
        <w:rPr>
          <w:rFonts w:ascii="Times New Roman" w:hAnsi="Times New Roman"/>
          <w:sz w:val="24"/>
        </w:rPr>
      </w:pPr>
      <w:r>
        <w:rPr>
          <w:rFonts w:ascii="Times New Roman" w:hAnsi="Times New Roman"/>
          <w:sz w:val="24"/>
        </w:rPr>
        <w:t>中国有色工程有限公司暨中国恩菲工程技术有限公司（原中国有色工程设计研究总院，简称“中国恩菲”）成立于1953年，是中华人民共和国成立后，为恢复和发展我国有色金属工业而设立的专业设计机构，现为世界五百强企业中国五矿、中冶集团子企业，拥有全行业工程设计综合甲级资质。</w:t>
      </w:r>
    </w:p>
    <w:p w14:paraId="2F48965A">
      <w:pPr>
        <w:ind w:firstLine="480"/>
        <w:rPr>
          <w:rFonts w:ascii="Times New Roman" w:hAnsi="Times New Roman"/>
          <w:sz w:val="24"/>
        </w:rPr>
      </w:pPr>
      <w:r>
        <w:rPr>
          <w:rFonts w:ascii="Times New Roman" w:hAnsi="Times New Roman"/>
          <w:sz w:val="24"/>
        </w:rPr>
        <w:t>近70年来，中国恩菲在30多个国家和地区参与了1.2万个工程项目，立足有色矿冶工程，依靠科技创新驱动，高端咨询引领，发展科学研究、工程服务与产业投资三大业务领域，深耕非煤矿山、有色冶金、水务资源、能源环境、新高材料、市政文旅、城市矿产、智能装备、房产经营九个业务单元，形成核心能力突出、竞争优势明显、国际化运作、特色鲜明的多元业务集群，能够提供总承包、项目管理、工程咨询、设计、造价咨询、监理、环境评价、供货等全生命周期服务，在产业领域，是国内少有具备咨询、设计、建设、投资、运营“五位一体”服务能力的企业之一。作为行业技术引领者，中国恩菲拥有地质、采矿、选矿、尾矿、冶炼、建筑、结构、电气、热工等工艺及相关公辅配套共计40多个专业的设计力量</w:t>
      </w:r>
      <w:r>
        <w:rPr>
          <w:rFonts w:hint="eastAsia" w:ascii="Times New Roman" w:hAnsi="Times New Roman"/>
          <w:sz w:val="24"/>
        </w:rPr>
        <w:t>。</w:t>
      </w:r>
    </w:p>
    <w:p w14:paraId="0EBCD091">
      <w:pPr>
        <w:ind w:firstLine="480"/>
        <w:rPr>
          <w:rFonts w:ascii="Times New Roman" w:hAnsi="Times New Roman"/>
          <w:sz w:val="24"/>
        </w:rPr>
      </w:pPr>
      <w:r>
        <w:rPr>
          <w:rFonts w:ascii="Times New Roman" w:hAnsi="Times New Roman"/>
          <w:sz w:val="24"/>
        </w:rPr>
        <w:t>中国恩菲</w:t>
      </w:r>
      <w:r>
        <w:rPr>
          <w:rFonts w:hint="eastAsia" w:ascii="Times New Roman" w:hAnsi="Times New Roman"/>
          <w:sz w:val="24"/>
        </w:rPr>
        <w:t>先后设计建成国内多个大型充填系统，在充填智能化方面，近年实施的会泽铅锌矿“一键式充填”项目取得了良好的效果。中国恩菲牵头编制《有色金属行业智能冶炼工厂建设指南》、参编《有色金属行业智能矿山建设指南（试行）》、《全尾砂膏体充填技术规范》、入围成为《2020年智能制造系统解决方案供应商》“智能工厂集成-黑色和有色金属”供应商，具备开展充填系统设计、充填装备集成、智能矿山规划、绿色矿山咨询等相关服务能力以及标准编制能力。</w:t>
      </w:r>
      <w:r>
        <w:rPr>
          <w:rFonts w:ascii="Times New Roman" w:hAnsi="Times New Roman"/>
          <w:sz w:val="24"/>
        </w:rPr>
        <w:t>在标准的编制过程中，能积极主动收集国内</w:t>
      </w:r>
      <w:r>
        <w:rPr>
          <w:rFonts w:hint="eastAsia" w:ascii="Times New Roman" w:hAnsi="Times New Roman"/>
          <w:sz w:val="24"/>
        </w:rPr>
        <w:t>智能充填</w:t>
      </w:r>
      <w:r>
        <w:rPr>
          <w:rFonts w:ascii="Times New Roman" w:hAnsi="Times New Roman"/>
          <w:sz w:val="24"/>
        </w:rPr>
        <w:t>行业相关标准，找一些有代表性的</w:t>
      </w:r>
      <w:r>
        <w:rPr>
          <w:rFonts w:hint="eastAsia" w:ascii="Times New Roman" w:hAnsi="Times New Roman"/>
          <w:sz w:val="24"/>
        </w:rPr>
        <w:t>充填</w:t>
      </w:r>
      <w:r>
        <w:rPr>
          <w:rFonts w:ascii="Times New Roman" w:hAnsi="Times New Roman"/>
          <w:sz w:val="24"/>
        </w:rPr>
        <w:t>企业进行调研并收集相关数据。公司能够带领编制组成员单位认真细致的修改标准文本，征求多家企业的修改意见，最终带领编制组完成标准的编制工作。</w:t>
      </w:r>
    </w:p>
    <w:p w14:paraId="7C9A044B">
      <w:pPr>
        <w:ind w:firstLine="480"/>
        <w:rPr>
          <w:rFonts w:ascii="Times New Roman" w:hAnsi="Times New Roman"/>
          <w:sz w:val="24"/>
        </w:rPr>
      </w:pPr>
      <w:r>
        <w:rPr>
          <w:rFonts w:hint="eastAsia" w:ascii="Times New Roman" w:hAnsi="Times New Roman"/>
          <w:sz w:val="24"/>
        </w:rPr>
        <w:t>其他参编单位简介：</w:t>
      </w:r>
    </w:p>
    <w:p w14:paraId="32BC89A7">
      <w:pPr>
        <w:ind w:firstLine="480"/>
        <w:rPr>
          <w:rFonts w:hint="default" w:ascii="Times New Roman" w:hAnsi="Times New Roman"/>
          <w:color w:val="C00000"/>
          <w:sz w:val="24"/>
          <w:highlight w:val="yellow"/>
          <w:lang w:val="en-US" w:eastAsia="zh-CN"/>
        </w:rPr>
      </w:pPr>
      <w:r>
        <w:rPr>
          <w:rFonts w:hint="eastAsia" w:ascii="Times New Roman" w:hAnsi="Times New Roman"/>
          <w:color w:val="C00000"/>
          <w:sz w:val="24"/>
          <w:highlight w:val="yellow"/>
          <w:lang w:val="en-US" w:eastAsia="zh-CN"/>
        </w:rPr>
        <w:t xml:space="preserve">   </w:t>
      </w:r>
    </w:p>
    <w:p w14:paraId="70545AFC">
      <w:pPr>
        <w:ind w:firstLine="480"/>
        <w:rPr>
          <w:rFonts w:ascii="Times New Roman" w:hAnsi="Times New Roman"/>
          <w:sz w:val="24"/>
        </w:rPr>
      </w:pPr>
      <w:r>
        <w:rPr>
          <w:rFonts w:ascii="Times New Roman" w:hAnsi="Times New Roman"/>
          <w:sz w:val="24"/>
        </w:rPr>
        <w:t>任务下达后，立即成立了标准编制组，并对起草任务进行了落实，主编单位中国恩菲组织编制组各成员单位进行任务分工和工作安排，在规范的编制过程中，通过梳理国内</w:t>
      </w:r>
      <w:r>
        <w:rPr>
          <w:rFonts w:hint="eastAsia" w:ascii="Times New Roman" w:hAnsi="Times New Roman"/>
          <w:sz w:val="24"/>
        </w:rPr>
        <w:t>充填</w:t>
      </w:r>
      <w:r>
        <w:rPr>
          <w:rFonts w:ascii="Times New Roman" w:hAnsi="Times New Roman"/>
          <w:sz w:val="24"/>
        </w:rPr>
        <w:t>行业</w:t>
      </w:r>
      <w:r>
        <w:rPr>
          <w:rFonts w:hint="eastAsia" w:ascii="Times New Roman" w:hAnsi="Times New Roman"/>
          <w:sz w:val="24"/>
        </w:rPr>
        <w:t>自动化智能化建设的</w:t>
      </w:r>
      <w:r>
        <w:rPr>
          <w:rFonts w:ascii="Times New Roman" w:hAnsi="Times New Roman"/>
          <w:sz w:val="24"/>
        </w:rPr>
        <w:t>相关法律法规、标准规范，制定规范编制工作方案，选择有代表性的企业进行调研并收集相关意见。编制组各成员单位积极配合、加强协作，共同完成本规范编制</w:t>
      </w:r>
      <w:r>
        <w:rPr>
          <w:rFonts w:hint="eastAsia" w:ascii="Times New Roman" w:hAnsi="Times New Roman"/>
          <w:sz w:val="24"/>
        </w:rPr>
        <w:t>工作。</w:t>
      </w:r>
    </w:p>
    <w:p w14:paraId="6F3379CB">
      <w:pPr>
        <w:pStyle w:val="5"/>
        <w:tabs>
          <w:tab w:val="left" w:pos="420"/>
        </w:tabs>
        <w:overflowPunct w:val="0"/>
        <w:autoSpaceDE w:val="0"/>
        <w:autoSpaceDN w:val="0"/>
        <w:adjustRightInd/>
        <w:snapToGrid/>
        <w:ind w:firstLine="0" w:firstLineChars="0"/>
        <w:jc w:val="both"/>
        <w:rPr>
          <w:b w:val="0"/>
        </w:rPr>
      </w:pPr>
      <w:bookmarkStart w:id="13" w:name="_Toc135064415"/>
      <w:bookmarkStart w:id="14" w:name="_Toc131173666"/>
      <w:bookmarkStart w:id="15" w:name="_Toc135064126"/>
      <w:r>
        <w:rPr>
          <w:sz w:val="28"/>
        </w:rPr>
        <w:t>3.2  主要工作人员所负责的工作情况</w:t>
      </w:r>
      <w:bookmarkEnd w:id="13"/>
      <w:bookmarkEnd w:id="14"/>
      <w:bookmarkEnd w:id="15"/>
    </w:p>
    <w:p w14:paraId="24D45184">
      <w:pPr>
        <w:ind w:firstLine="480"/>
      </w:pPr>
      <w:r>
        <w:rPr>
          <w:rFonts w:ascii="Times New Roman" w:hAnsi="Times New Roman"/>
          <w:sz w:val="24"/>
        </w:rPr>
        <w:t>本标准主要起草人及工作职责见表1。</w:t>
      </w:r>
    </w:p>
    <w:p w14:paraId="0047F6AB">
      <w:pPr>
        <w:ind w:firstLine="0" w:firstLineChars="0"/>
        <w:jc w:val="center"/>
        <w:rPr>
          <w:rFonts w:ascii="Times New Roman" w:hAnsi="Times New Roman"/>
          <w:b/>
          <w:sz w:val="28"/>
          <w:szCs w:val="28"/>
          <w:highlight w:val="none"/>
        </w:rPr>
      </w:pPr>
      <w:r>
        <w:rPr>
          <w:rFonts w:ascii="Times New Roman" w:hAnsi="Times New Roman"/>
          <w:b/>
          <w:sz w:val="28"/>
          <w:szCs w:val="28"/>
          <w:highlight w:val="none"/>
        </w:rPr>
        <w:t>表1 主要起草人及工作职责</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2"/>
        <w:gridCol w:w="5800"/>
      </w:tblGrid>
      <w:tr w14:paraId="3278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pct"/>
            <w:vAlign w:val="center"/>
          </w:tcPr>
          <w:p w14:paraId="63CEBD0F">
            <w:pPr>
              <w:ind w:firstLine="0" w:firstLineChars="0"/>
              <w:jc w:val="center"/>
              <w:rPr>
                <w:rFonts w:ascii="Times New Roman" w:hAnsi="Times New Roman"/>
                <w:szCs w:val="18"/>
                <w:highlight w:val="none"/>
              </w:rPr>
            </w:pPr>
            <w:r>
              <w:rPr>
                <w:rFonts w:ascii="Times New Roman" w:hAnsi="Times New Roman"/>
                <w:szCs w:val="18"/>
                <w:highlight w:val="none"/>
              </w:rPr>
              <w:t>起草人</w:t>
            </w:r>
          </w:p>
        </w:tc>
        <w:tc>
          <w:tcPr>
            <w:tcW w:w="3403" w:type="pct"/>
            <w:vAlign w:val="center"/>
          </w:tcPr>
          <w:p w14:paraId="0D37D879">
            <w:pPr>
              <w:ind w:firstLine="0" w:firstLineChars="0"/>
              <w:jc w:val="center"/>
              <w:rPr>
                <w:rFonts w:ascii="Times New Roman" w:hAnsi="Times New Roman"/>
                <w:szCs w:val="18"/>
                <w:highlight w:val="none"/>
              </w:rPr>
            </w:pPr>
            <w:r>
              <w:rPr>
                <w:rFonts w:ascii="Times New Roman" w:hAnsi="Times New Roman"/>
                <w:szCs w:val="18"/>
                <w:highlight w:val="none"/>
              </w:rPr>
              <w:t>工作职责</w:t>
            </w:r>
          </w:p>
        </w:tc>
      </w:tr>
      <w:tr w14:paraId="5B7A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pct"/>
            <w:vAlign w:val="center"/>
          </w:tcPr>
          <w:p w14:paraId="4BD511C8">
            <w:pPr>
              <w:ind w:firstLine="0" w:firstLineChars="0"/>
              <w:jc w:val="center"/>
              <w:rPr>
                <w:rFonts w:ascii="Times New Roman" w:hAnsi="Times New Roman"/>
                <w:szCs w:val="18"/>
                <w:highlight w:val="none"/>
              </w:rPr>
            </w:pPr>
          </w:p>
        </w:tc>
        <w:tc>
          <w:tcPr>
            <w:tcW w:w="3403" w:type="pct"/>
            <w:vAlign w:val="center"/>
          </w:tcPr>
          <w:p w14:paraId="4817FE12">
            <w:pPr>
              <w:ind w:firstLine="0" w:firstLineChars="0"/>
              <w:jc w:val="center"/>
              <w:rPr>
                <w:rFonts w:ascii="Times New Roman" w:hAnsi="Times New Roman"/>
                <w:szCs w:val="18"/>
                <w:highlight w:val="none"/>
              </w:rPr>
            </w:pPr>
          </w:p>
        </w:tc>
      </w:tr>
      <w:tr w14:paraId="3D28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597" w:type="pct"/>
            <w:vAlign w:val="center"/>
          </w:tcPr>
          <w:p w14:paraId="13D40EAB">
            <w:pPr>
              <w:ind w:firstLine="0" w:firstLineChars="0"/>
              <w:jc w:val="center"/>
              <w:rPr>
                <w:rFonts w:ascii="Times New Roman" w:hAnsi="Times New Roman"/>
                <w:szCs w:val="18"/>
                <w:highlight w:val="none"/>
              </w:rPr>
            </w:pPr>
          </w:p>
        </w:tc>
        <w:tc>
          <w:tcPr>
            <w:tcW w:w="3403" w:type="pct"/>
            <w:vAlign w:val="center"/>
          </w:tcPr>
          <w:p w14:paraId="49437D3A">
            <w:pPr>
              <w:ind w:firstLine="0" w:firstLineChars="0"/>
              <w:jc w:val="center"/>
              <w:rPr>
                <w:rFonts w:ascii="Times New Roman" w:hAnsi="Times New Roman"/>
                <w:szCs w:val="18"/>
                <w:highlight w:val="none"/>
              </w:rPr>
            </w:pPr>
          </w:p>
        </w:tc>
      </w:tr>
      <w:tr w14:paraId="3016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pct"/>
            <w:vAlign w:val="center"/>
          </w:tcPr>
          <w:p w14:paraId="42EFCA5B">
            <w:pPr>
              <w:ind w:firstLine="0" w:firstLineChars="0"/>
              <w:jc w:val="center"/>
              <w:rPr>
                <w:rFonts w:ascii="Times New Roman" w:hAnsi="Times New Roman"/>
                <w:szCs w:val="18"/>
                <w:highlight w:val="none"/>
              </w:rPr>
            </w:pPr>
          </w:p>
        </w:tc>
        <w:tc>
          <w:tcPr>
            <w:tcW w:w="3403" w:type="pct"/>
            <w:vAlign w:val="center"/>
          </w:tcPr>
          <w:p w14:paraId="0432E8B8">
            <w:pPr>
              <w:ind w:firstLine="0" w:firstLineChars="0"/>
              <w:jc w:val="center"/>
              <w:rPr>
                <w:rFonts w:ascii="Times New Roman" w:hAnsi="Times New Roman"/>
                <w:szCs w:val="18"/>
                <w:highlight w:val="none"/>
              </w:rPr>
            </w:pPr>
          </w:p>
        </w:tc>
      </w:tr>
      <w:tr w14:paraId="4999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pct"/>
            <w:vAlign w:val="center"/>
          </w:tcPr>
          <w:p w14:paraId="69F78D22">
            <w:pPr>
              <w:ind w:firstLine="0" w:firstLineChars="0"/>
              <w:jc w:val="center"/>
              <w:rPr>
                <w:rFonts w:ascii="Times New Roman" w:hAnsi="Times New Roman"/>
                <w:szCs w:val="18"/>
                <w:highlight w:val="none"/>
              </w:rPr>
            </w:pPr>
          </w:p>
        </w:tc>
        <w:tc>
          <w:tcPr>
            <w:tcW w:w="3403" w:type="pct"/>
            <w:vAlign w:val="center"/>
          </w:tcPr>
          <w:p w14:paraId="58EE50A7">
            <w:pPr>
              <w:ind w:firstLine="0" w:firstLineChars="0"/>
              <w:jc w:val="center"/>
              <w:rPr>
                <w:rFonts w:ascii="Times New Roman" w:hAnsi="Times New Roman"/>
                <w:szCs w:val="18"/>
                <w:highlight w:val="none"/>
              </w:rPr>
            </w:pPr>
          </w:p>
        </w:tc>
      </w:tr>
      <w:tr w14:paraId="16EA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pct"/>
            <w:vAlign w:val="center"/>
          </w:tcPr>
          <w:p w14:paraId="0ECD74AE">
            <w:pPr>
              <w:ind w:firstLine="0" w:firstLineChars="0"/>
              <w:jc w:val="center"/>
              <w:rPr>
                <w:rFonts w:ascii="Times New Roman" w:hAnsi="Times New Roman"/>
                <w:szCs w:val="18"/>
                <w:highlight w:val="none"/>
              </w:rPr>
            </w:pPr>
          </w:p>
        </w:tc>
        <w:tc>
          <w:tcPr>
            <w:tcW w:w="3403" w:type="pct"/>
            <w:vAlign w:val="center"/>
          </w:tcPr>
          <w:p w14:paraId="7B0200F0">
            <w:pPr>
              <w:ind w:firstLine="0" w:firstLineChars="0"/>
              <w:jc w:val="center"/>
              <w:rPr>
                <w:rFonts w:ascii="Times New Roman" w:hAnsi="Times New Roman"/>
                <w:szCs w:val="18"/>
                <w:highlight w:val="none"/>
              </w:rPr>
            </w:pPr>
          </w:p>
        </w:tc>
      </w:tr>
      <w:tr w14:paraId="1F31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pct"/>
            <w:vAlign w:val="center"/>
          </w:tcPr>
          <w:p w14:paraId="4D9A9AAA">
            <w:pPr>
              <w:ind w:firstLine="0" w:firstLineChars="0"/>
              <w:jc w:val="center"/>
              <w:rPr>
                <w:rFonts w:ascii="Times New Roman" w:hAnsi="Times New Roman"/>
                <w:szCs w:val="18"/>
                <w:highlight w:val="none"/>
              </w:rPr>
            </w:pPr>
          </w:p>
        </w:tc>
        <w:tc>
          <w:tcPr>
            <w:tcW w:w="3403" w:type="pct"/>
            <w:vAlign w:val="center"/>
          </w:tcPr>
          <w:p w14:paraId="3F2C3D21">
            <w:pPr>
              <w:ind w:firstLine="0" w:firstLineChars="0"/>
              <w:jc w:val="center"/>
              <w:rPr>
                <w:rFonts w:ascii="Times New Roman" w:hAnsi="Times New Roman"/>
                <w:szCs w:val="18"/>
                <w:highlight w:val="none"/>
              </w:rPr>
            </w:pPr>
          </w:p>
        </w:tc>
      </w:tr>
      <w:tr w14:paraId="6E1A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pct"/>
            <w:vAlign w:val="center"/>
          </w:tcPr>
          <w:p w14:paraId="5C0B695B">
            <w:pPr>
              <w:ind w:firstLine="0" w:firstLineChars="0"/>
              <w:jc w:val="center"/>
              <w:rPr>
                <w:rFonts w:ascii="Times New Roman" w:hAnsi="Times New Roman"/>
                <w:szCs w:val="18"/>
                <w:highlight w:val="none"/>
              </w:rPr>
            </w:pPr>
          </w:p>
        </w:tc>
        <w:tc>
          <w:tcPr>
            <w:tcW w:w="3403" w:type="pct"/>
            <w:vAlign w:val="center"/>
          </w:tcPr>
          <w:p w14:paraId="3CD5B8AD">
            <w:pPr>
              <w:ind w:firstLine="0" w:firstLineChars="0"/>
              <w:jc w:val="center"/>
              <w:rPr>
                <w:rFonts w:ascii="Times New Roman" w:hAnsi="Times New Roman"/>
                <w:szCs w:val="18"/>
                <w:highlight w:val="none"/>
              </w:rPr>
            </w:pPr>
          </w:p>
        </w:tc>
      </w:tr>
    </w:tbl>
    <w:p w14:paraId="0E4F373A">
      <w:pPr>
        <w:pStyle w:val="4"/>
        <w:spacing w:beforeLines="0" w:afterLines="0"/>
        <w:jc w:val="both"/>
        <w:rPr>
          <w:sz w:val="28"/>
        </w:rPr>
      </w:pPr>
      <w:bookmarkStart w:id="16" w:name="_Toc135064416"/>
      <w:bookmarkStart w:id="17" w:name="_Toc15134"/>
      <w:r>
        <w:rPr>
          <w:rFonts w:hint="eastAsia"/>
          <w:sz w:val="28"/>
        </w:rPr>
        <w:t>4、</w:t>
      </w:r>
      <w:r>
        <w:rPr>
          <w:sz w:val="28"/>
        </w:rPr>
        <w:t>主要工作过程</w:t>
      </w:r>
      <w:bookmarkEnd w:id="16"/>
      <w:bookmarkEnd w:id="17"/>
    </w:p>
    <w:p w14:paraId="100652D0">
      <w:pPr>
        <w:pStyle w:val="5"/>
        <w:tabs>
          <w:tab w:val="left" w:pos="420"/>
        </w:tabs>
        <w:overflowPunct w:val="0"/>
        <w:autoSpaceDE w:val="0"/>
        <w:autoSpaceDN w:val="0"/>
        <w:adjustRightInd/>
        <w:snapToGrid/>
        <w:ind w:firstLine="0" w:firstLineChars="0"/>
        <w:jc w:val="both"/>
        <w:rPr>
          <w:color w:val="auto"/>
          <w:sz w:val="28"/>
          <w:highlight w:val="none"/>
        </w:rPr>
      </w:pPr>
      <w:bookmarkStart w:id="18" w:name="_Toc135064128"/>
      <w:bookmarkStart w:id="19" w:name="_Toc135064417"/>
      <w:r>
        <w:rPr>
          <w:color w:val="auto"/>
          <w:sz w:val="28"/>
          <w:highlight w:val="none"/>
        </w:rPr>
        <w:t xml:space="preserve">4.1 </w:t>
      </w:r>
      <w:r>
        <w:rPr>
          <w:rFonts w:hint="eastAsia"/>
          <w:color w:val="auto"/>
          <w:sz w:val="28"/>
          <w:highlight w:val="none"/>
        </w:rPr>
        <w:t>起草</w:t>
      </w:r>
      <w:r>
        <w:rPr>
          <w:color w:val="auto"/>
          <w:sz w:val="28"/>
          <w:highlight w:val="none"/>
        </w:rPr>
        <w:t>阶段</w:t>
      </w:r>
      <w:bookmarkEnd w:id="18"/>
      <w:bookmarkEnd w:id="19"/>
    </w:p>
    <w:p w14:paraId="3FE396AE">
      <w:pPr>
        <w:ind w:firstLine="480"/>
        <w:rPr>
          <w:rFonts w:hint="eastAsia" w:ascii="Times New Roman" w:hAnsi="Times New Roman"/>
          <w:color w:val="auto"/>
          <w:sz w:val="24"/>
          <w:highlight w:val="none"/>
        </w:rPr>
      </w:pPr>
      <w:r>
        <w:rPr>
          <w:rFonts w:hint="eastAsia" w:ascii="Times New Roman" w:hAnsi="Times New Roman"/>
          <w:color w:val="auto"/>
          <w:sz w:val="24"/>
          <w:highlight w:val="none"/>
        </w:rPr>
        <w:t>2025年</w:t>
      </w:r>
      <w:r>
        <w:rPr>
          <w:rFonts w:hint="eastAsia" w:ascii="Times New Roman" w:hAnsi="Times New Roman"/>
          <w:color w:val="auto"/>
          <w:sz w:val="24"/>
          <w:highlight w:val="none"/>
          <w:lang w:val="en-US" w:eastAsia="zh-CN"/>
        </w:rPr>
        <w:t>6</w:t>
      </w:r>
      <w:r>
        <w:rPr>
          <w:rFonts w:hint="eastAsia" w:ascii="Times New Roman" w:hAnsi="Times New Roman"/>
          <w:color w:val="auto"/>
          <w:sz w:val="24"/>
          <w:highlight w:val="none"/>
        </w:rPr>
        <w:t>月，中国恩菲工程技术有限公司成立标准编制组，在协会标准《有色金属矿山高浓度膏体充填智能系统技术规范》基础上，开展前期准备工作，调研国内相关标准资料，完成标准工作计划及草案编制。</w:t>
      </w:r>
    </w:p>
    <w:p w14:paraId="175BD694">
      <w:pPr>
        <w:ind w:firstLine="480"/>
        <w:rPr>
          <w:rFonts w:hint="eastAsia"/>
          <w:color w:val="auto"/>
          <w:highlight w:val="none"/>
        </w:rPr>
      </w:pPr>
      <w:r>
        <w:rPr>
          <w:rFonts w:ascii="Times New Roman" w:hAnsi="Times New Roman"/>
          <w:color w:val="auto"/>
          <w:sz w:val="24"/>
          <w:highlight w:val="none"/>
        </w:rPr>
        <w:t>20</w:t>
      </w:r>
      <w:r>
        <w:rPr>
          <w:rFonts w:hint="eastAsia" w:ascii="Times New Roman" w:hAnsi="Times New Roman"/>
          <w:color w:val="auto"/>
          <w:sz w:val="24"/>
          <w:highlight w:val="none"/>
        </w:rPr>
        <w:t>2</w:t>
      </w:r>
      <w:r>
        <w:rPr>
          <w:rFonts w:hint="eastAsia" w:ascii="Times New Roman" w:hAnsi="Times New Roman"/>
          <w:color w:val="auto"/>
          <w:sz w:val="24"/>
          <w:highlight w:val="none"/>
          <w:lang w:val="en-US" w:eastAsia="zh-CN"/>
        </w:rPr>
        <w:t>5</w:t>
      </w:r>
      <w:r>
        <w:rPr>
          <w:rFonts w:ascii="Times New Roman" w:hAnsi="Times New Roman"/>
          <w:color w:val="auto"/>
          <w:sz w:val="24"/>
          <w:highlight w:val="none"/>
        </w:rPr>
        <w:t>年</w:t>
      </w:r>
      <w:r>
        <w:rPr>
          <w:rFonts w:hint="eastAsia" w:ascii="Times New Roman" w:hAnsi="Times New Roman"/>
          <w:color w:val="auto"/>
          <w:sz w:val="24"/>
          <w:highlight w:val="none"/>
          <w:lang w:val="en-US" w:eastAsia="zh-CN"/>
        </w:rPr>
        <w:t>9</w:t>
      </w:r>
      <w:r>
        <w:rPr>
          <w:rFonts w:ascii="Times New Roman" w:hAnsi="Times New Roman"/>
          <w:color w:val="auto"/>
          <w:sz w:val="24"/>
          <w:highlight w:val="none"/>
        </w:rPr>
        <w:t>月，中国恩菲工程技术有限公司向全国有色金属标准化委员会提交了《</w:t>
      </w:r>
      <w:r>
        <w:rPr>
          <w:rFonts w:hint="eastAsia" w:ascii="Times New Roman" w:hAnsi="Times New Roman"/>
          <w:color w:val="auto"/>
          <w:sz w:val="24"/>
          <w:highlight w:val="none"/>
        </w:rPr>
        <w:t>有色</w:t>
      </w:r>
      <w:r>
        <w:rPr>
          <w:rFonts w:ascii="Times New Roman" w:hAnsi="Times New Roman"/>
          <w:color w:val="auto"/>
          <w:sz w:val="24"/>
          <w:highlight w:val="none"/>
        </w:rPr>
        <w:t>金属矿山高浓度膏体智能充填系统</w:t>
      </w:r>
      <w:r>
        <w:rPr>
          <w:rFonts w:hint="eastAsia" w:ascii="Times New Roman" w:hAnsi="Times New Roman"/>
          <w:color w:val="auto"/>
          <w:sz w:val="24"/>
          <w:highlight w:val="none"/>
        </w:rPr>
        <w:t>技术</w:t>
      </w:r>
      <w:r>
        <w:rPr>
          <w:rFonts w:ascii="Times New Roman" w:hAnsi="Times New Roman"/>
          <w:color w:val="auto"/>
          <w:sz w:val="24"/>
          <w:highlight w:val="none"/>
        </w:rPr>
        <w:t>规范》标准项目建议书、标准立项论证报告、标准草案等材料。</w:t>
      </w:r>
    </w:p>
    <w:p w14:paraId="65947658">
      <w:pPr>
        <w:ind w:firstLine="480"/>
        <w:rPr>
          <w:rFonts w:ascii="Times New Roman" w:hAnsi="Times New Roman"/>
          <w:color w:val="auto"/>
          <w:sz w:val="24"/>
          <w:highlight w:val="none"/>
        </w:rPr>
      </w:pPr>
      <w:r>
        <w:rPr>
          <w:rFonts w:ascii="Times New Roman" w:hAnsi="Times New Roman"/>
          <w:color w:val="auto"/>
          <w:sz w:val="24"/>
          <w:highlight w:val="none"/>
        </w:rPr>
        <w:t>20</w:t>
      </w:r>
      <w:r>
        <w:rPr>
          <w:rFonts w:hint="eastAsia" w:ascii="Times New Roman" w:hAnsi="Times New Roman"/>
          <w:color w:val="auto"/>
          <w:sz w:val="24"/>
          <w:highlight w:val="none"/>
        </w:rPr>
        <w:t>2</w:t>
      </w:r>
      <w:r>
        <w:rPr>
          <w:rFonts w:hint="eastAsia" w:ascii="Times New Roman" w:hAnsi="Times New Roman"/>
          <w:color w:val="auto"/>
          <w:sz w:val="24"/>
          <w:highlight w:val="none"/>
          <w:lang w:val="en-US" w:eastAsia="zh-CN"/>
        </w:rPr>
        <w:t>6</w:t>
      </w:r>
      <w:r>
        <w:rPr>
          <w:rFonts w:ascii="Times New Roman" w:hAnsi="Times New Roman"/>
          <w:color w:val="auto"/>
          <w:sz w:val="24"/>
          <w:highlight w:val="none"/>
        </w:rPr>
        <w:t>年</w:t>
      </w:r>
      <w:r>
        <w:rPr>
          <w:rFonts w:hint="eastAsia" w:ascii="Times New Roman" w:hAnsi="Times New Roman"/>
          <w:color w:val="auto"/>
          <w:sz w:val="24"/>
          <w:highlight w:val="none"/>
          <w:lang w:val="en-US" w:eastAsia="zh-CN"/>
        </w:rPr>
        <w:t>5</w:t>
      </w:r>
      <w:r>
        <w:rPr>
          <w:rFonts w:ascii="Times New Roman" w:hAnsi="Times New Roman"/>
          <w:color w:val="auto"/>
          <w:sz w:val="24"/>
          <w:highlight w:val="none"/>
        </w:rPr>
        <w:t>月，</w:t>
      </w:r>
      <w:r>
        <w:rPr>
          <w:rFonts w:hint="eastAsia" w:ascii="Times New Roman" w:hAnsi="Times New Roman"/>
          <w:color w:val="auto"/>
          <w:sz w:val="24"/>
          <w:highlight w:val="none"/>
        </w:rPr>
        <w:t>全国有色金属标准化技术委员会</w:t>
      </w:r>
      <w:r>
        <w:rPr>
          <w:rFonts w:ascii="Times New Roman" w:hAnsi="Times New Roman"/>
          <w:color w:val="auto"/>
          <w:sz w:val="24"/>
          <w:highlight w:val="none"/>
        </w:rPr>
        <w:t>下达了制定《</w:t>
      </w:r>
      <w:r>
        <w:rPr>
          <w:rFonts w:hint="eastAsia" w:ascii="Times New Roman" w:hAnsi="Times New Roman"/>
          <w:color w:val="auto"/>
          <w:sz w:val="24"/>
          <w:highlight w:val="none"/>
        </w:rPr>
        <w:t>有色金属采矿 高浓度膏体智能充填系统技术要求</w:t>
      </w:r>
      <w:r>
        <w:rPr>
          <w:rFonts w:ascii="Times New Roman" w:hAnsi="Times New Roman"/>
          <w:color w:val="auto"/>
          <w:sz w:val="24"/>
          <w:highlight w:val="none"/>
        </w:rPr>
        <w:t>》的任务，</w:t>
      </w:r>
      <w:r>
        <w:rPr>
          <w:rFonts w:hint="eastAsia" w:ascii="Times New Roman" w:hAnsi="Times New Roman"/>
          <w:color w:val="auto"/>
          <w:sz w:val="24"/>
          <w:highlight w:val="none"/>
        </w:rPr>
        <w:t>计划编号2026-0216T-YS</w:t>
      </w:r>
      <w:r>
        <w:rPr>
          <w:rFonts w:ascii="Times New Roman" w:hAnsi="Times New Roman"/>
          <w:color w:val="auto"/>
          <w:sz w:val="24"/>
          <w:highlight w:val="none"/>
        </w:rPr>
        <w:t>，完成年限为</w:t>
      </w:r>
      <w:r>
        <w:rPr>
          <w:rFonts w:hint="eastAsia" w:ascii="Times New Roman" w:hAnsi="Times New Roman"/>
          <w:color w:val="auto"/>
          <w:sz w:val="24"/>
          <w:highlight w:val="none"/>
        </w:rPr>
        <w:t>2027年4月23日</w:t>
      </w:r>
      <w:r>
        <w:rPr>
          <w:rFonts w:ascii="Times New Roman" w:hAnsi="Times New Roman"/>
          <w:color w:val="auto"/>
          <w:sz w:val="24"/>
          <w:highlight w:val="none"/>
        </w:rPr>
        <w:t>，技术归口单位为</w:t>
      </w:r>
      <w:r>
        <w:rPr>
          <w:rFonts w:hint="eastAsia" w:ascii="Times New Roman" w:hAnsi="Times New Roman"/>
          <w:color w:val="auto"/>
          <w:sz w:val="24"/>
          <w:highlight w:val="none"/>
        </w:rPr>
        <w:t>全国有色金属标准化技术委员会</w:t>
      </w:r>
      <w:r>
        <w:rPr>
          <w:rFonts w:ascii="Times New Roman" w:hAnsi="Times New Roman"/>
          <w:color w:val="auto"/>
          <w:sz w:val="24"/>
          <w:highlight w:val="none"/>
        </w:rPr>
        <w:t>。</w:t>
      </w:r>
    </w:p>
    <w:p w14:paraId="0BF20848">
      <w:pPr>
        <w:pStyle w:val="2"/>
        <w:rPr>
          <w:rFonts w:hint="eastAsia" w:ascii="Times New Roman" w:hAnsi="Times New Roman"/>
          <w:color w:val="auto"/>
          <w:sz w:val="24"/>
          <w:highlight w:val="none"/>
        </w:rPr>
      </w:pPr>
      <w:r>
        <w:rPr>
          <w:rFonts w:hint="eastAsia" w:ascii="Times New Roman" w:hAnsi="Times New Roman"/>
          <w:color w:val="auto"/>
          <w:sz w:val="24"/>
          <w:highlight w:val="none"/>
        </w:rPr>
        <w:t>202</w:t>
      </w:r>
      <w:r>
        <w:rPr>
          <w:rFonts w:hint="eastAsia" w:ascii="Times New Roman" w:hAnsi="Times New Roman"/>
          <w:color w:val="auto"/>
          <w:sz w:val="24"/>
          <w:highlight w:val="none"/>
          <w:lang w:val="en-US" w:eastAsia="zh-CN"/>
        </w:rPr>
        <w:t>6</w:t>
      </w:r>
      <w:r>
        <w:rPr>
          <w:rFonts w:hint="eastAsia" w:ascii="Times New Roman" w:hAnsi="Times New Roman"/>
          <w:color w:val="auto"/>
          <w:sz w:val="24"/>
          <w:highlight w:val="none"/>
        </w:rPr>
        <w:t>年</w:t>
      </w:r>
      <w:r>
        <w:rPr>
          <w:rFonts w:hint="eastAsia" w:ascii="Times New Roman" w:hAnsi="Times New Roman"/>
          <w:color w:val="auto"/>
          <w:sz w:val="24"/>
          <w:highlight w:val="none"/>
          <w:lang w:val="en-US" w:eastAsia="zh-CN"/>
        </w:rPr>
        <w:t>6</w:t>
      </w:r>
      <w:r>
        <w:rPr>
          <w:rFonts w:hint="eastAsia" w:ascii="Times New Roman" w:hAnsi="Times New Roman"/>
          <w:color w:val="auto"/>
          <w:sz w:val="24"/>
          <w:highlight w:val="none"/>
        </w:rPr>
        <w:t>月，标准编制工作组开展了标准的编制工作，从文件的的适用范围、规范性文件的引用以及目标与原则、生产信息管理等的内容进行了全面的梳理与完善。</w:t>
      </w:r>
    </w:p>
    <w:p w14:paraId="2AC48237">
      <w:pPr>
        <w:ind w:firstLine="480"/>
        <w:rPr>
          <w:rFonts w:ascii="Times New Roman" w:hAnsi="Times New Roman"/>
          <w:color w:val="auto"/>
          <w:sz w:val="24"/>
          <w:highlight w:val="none"/>
        </w:rPr>
      </w:pPr>
      <w:r>
        <w:rPr>
          <w:rFonts w:hint="eastAsia" w:ascii="Times New Roman" w:hAnsi="Times New Roman"/>
          <w:color w:val="auto"/>
          <w:sz w:val="24"/>
          <w:highlight w:val="none"/>
        </w:rPr>
        <w:t>202</w:t>
      </w:r>
      <w:r>
        <w:rPr>
          <w:rFonts w:hint="eastAsia" w:ascii="Times New Roman" w:hAnsi="Times New Roman"/>
          <w:color w:val="auto"/>
          <w:sz w:val="24"/>
          <w:highlight w:val="none"/>
          <w:lang w:val="en-US" w:eastAsia="zh-CN"/>
        </w:rPr>
        <w:t>6</w:t>
      </w:r>
      <w:r>
        <w:rPr>
          <w:rFonts w:hint="eastAsia" w:ascii="Times New Roman" w:hAnsi="Times New Roman"/>
          <w:color w:val="auto"/>
          <w:sz w:val="24"/>
          <w:highlight w:val="none"/>
        </w:rPr>
        <w:t>年</w:t>
      </w:r>
      <w:r>
        <w:rPr>
          <w:rFonts w:hint="eastAsia" w:ascii="Times New Roman" w:hAnsi="Times New Roman"/>
          <w:color w:val="auto"/>
          <w:sz w:val="24"/>
          <w:highlight w:val="none"/>
          <w:lang w:val="en-US" w:eastAsia="zh-CN"/>
        </w:rPr>
        <w:t>7</w:t>
      </w:r>
      <w:r>
        <w:rPr>
          <w:rFonts w:hint="eastAsia" w:ascii="Times New Roman" w:hAnsi="Times New Roman"/>
          <w:color w:val="auto"/>
          <w:sz w:val="24"/>
          <w:highlight w:val="none"/>
        </w:rPr>
        <w:t>月，在安徽</w:t>
      </w:r>
      <w:r>
        <w:rPr>
          <w:rFonts w:hint="eastAsia" w:ascii="Times New Roman" w:hAnsi="Times New Roman"/>
          <w:color w:val="auto"/>
          <w:sz w:val="24"/>
          <w:highlight w:val="none"/>
          <w:lang w:val="en-US" w:eastAsia="zh-CN"/>
        </w:rPr>
        <w:t>合肥</w:t>
      </w:r>
      <w:r>
        <w:rPr>
          <w:rFonts w:ascii="Times New Roman" w:hAnsi="Times New Roman"/>
          <w:color w:val="auto"/>
          <w:sz w:val="24"/>
          <w:highlight w:val="none"/>
        </w:rPr>
        <w:t>有色标委会组织</w:t>
      </w:r>
      <w:r>
        <w:rPr>
          <w:rFonts w:hint="eastAsia" w:ascii="Times New Roman" w:hAnsi="Times New Roman"/>
          <w:color w:val="auto"/>
          <w:sz w:val="24"/>
          <w:highlight w:val="none"/>
        </w:rPr>
        <w:t>开展了预审稿的审查工作</w:t>
      </w:r>
      <w:r>
        <w:rPr>
          <w:rFonts w:ascii="Times New Roman" w:hAnsi="Times New Roman"/>
          <w:color w:val="auto"/>
          <w:sz w:val="24"/>
          <w:highlight w:val="none"/>
        </w:rPr>
        <w:t>，根据预审意见进行修订</w:t>
      </w:r>
      <w:r>
        <w:rPr>
          <w:rFonts w:hint="eastAsia" w:ascii="Times New Roman" w:hAnsi="Times New Roman"/>
          <w:color w:val="auto"/>
          <w:sz w:val="24"/>
          <w:highlight w:val="none"/>
        </w:rPr>
        <w:t>。</w:t>
      </w:r>
    </w:p>
    <w:p w14:paraId="7B8962F6">
      <w:pPr>
        <w:pStyle w:val="5"/>
        <w:tabs>
          <w:tab w:val="left" w:pos="420"/>
        </w:tabs>
        <w:overflowPunct w:val="0"/>
        <w:autoSpaceDE w:val="0"/>
        <w:autoSpaceDN w:val="0"/>
        <w:adjustRightInd/>
        <w:snapToGrid/>
        <w:ind w:firstLine="0" w:firstLineChars="0"/>
        <w:jc w:val="both"/>
        <w:rPr>
          <w:sz w:val="28"/>
        </w:rPr>
      </w:pPr>
      <w:bookmarkStart w:id="20" w:name="_Toc135064130"/>
      <w:bookmarkStart w:id="21" w:name="_Toc135064419"/>
      <w:r>
        <w:rPr>
          <w:sz w:val="28"/>
        </w:rPr>
        <w:t>4.</w:t>
      </w:r>
      <w:r>
        <w:rPr>
          <w:rFonts w:hint="eastAsia"/>
          <w:sz w:val="28"/>
        </w:rPr>
        <w:t>2</w:t>
      </w:r>
      <w:r>
        <w:rPr>
          <w:sz w:val="28"/>
        </w:rPr>
        <w:t xml:space="preserve"> 征求意见阶段</w:t>
      </w:r>
      <w:bookmarkEnd w:id="20"/>
      <w:bookmarkEnd w:id="21"/>
    </w:p>
    <w:p w14:paraId="2EF9EBB2">
      <w:pPr>
        <w:ind w:firstLine="480"/>
        <w:rPr>
          <w:rFonts w:hint="eastAsia" w:ascii="Times New Roman" w:hAnsi="Times New Roman"/>
          <w:sz w:val="24"/>
        </w:rPr>
      </w:pPr>
      <w:r>
        <w:rPr>
          <w:rFonts w:hint="eastAsia" w:ascii="Times New Roman" w:hAnsi="Times New Roman"/>
          <w:sz w:val="24"/>
        </w:rPr>
        <w:t>202</w:t>
      </w:r>
      <w:r>
        <w:rPr>
          <w:rFonts w:hint="eastAsia" w:ascii="Times New Roman" w:hAnsi="Times New Roman"/>
          <w:sz w:val="24"/>
          <w:lang w:val="en-US" w:eastAsia="zh-CN"/>
        </w:rPr>
        <w:t>6</w:t>
      </w:r>
      <w:r>
        <w:rPr>
          <w:rFonts w:hint="eastAsia" w:ascii="Times New Roman" w:hAnsi="Times New Roman"/>
          <w:sz w:val="24"/>
        </w:rPr>
        <w:t>年</w:t>
      </w:r>
      <w:r>
        <w:rPr>
          <w:rFonts w:hint="eastAsia" w:ascii="Times New Roman" w:hAnsi="Times New Roman"/>
          <w:sz w:val="24"/>
          <w:lang w:val="en-US" w:eastAsia="zh-CN"/>
        </w:rPr>
        <w:t>7</w:t>
      </w:r>
      <w:r>
        <w:rPr>
          <w:rFonts w:hint="eastAsia" w:ascii="Times New Roman" w:hAnsi="Times New Roman"/>
          <w:sz w:val="24"/>
        </w:rPr>
        <w:t>月，根据预审稿的审查意见，结合编制工作的进一步深入，编制组对文稿的内容又进行了全面的完善，主要有：</w:t>
      </w:r>
    </w:p>
    <w:p w14:paraId="6883BB69">
      <w:pPr>
        <w:ind w:firstLine="480"/>
        <w:rPr>
          <w:rFonts w:hint="default" w:ascii="Times New Roman" w:hAnsi="Times New Roman"/>
          <w:color w:val="C00000"/>
          <w:sz w:val="24"/>
          <w:highlight w:val="yellow"/>
          <w:lang w:val="en-US" w:eastAsia="zh-CN"/>
        </w:rPr>
      </w:pPr>
      <w:r>
        <w:rPr>
          <w:rFonts w:hint="eastAsia" w:ascii="Times New Roman" w:hAnsi="Times New Roman"/>
          <w:color w:val="C00000"/>
          <w:sz w:val="24"/>
          <w:highlight w:val="yellow"/>
          <w:lang w:val="en-US" w:eastAsia="zh-CN"/>
        </w:rPr>
        <w:t xml:space="preserve">   </w:t>
      </w:r>
    </w:p>
    <w:p w14:paraId="44D3C6C8">
      <w:pPr>
        <w:pStyle w:val="5"/>
        <w:tabs>
          <w:tab w:val="left" w:pos="420"/>
        </w:tabs>
        <w:overflowPunct w:val="0"/>
        <w:autoSpaceDE w:val="0"/>
        <w:autoSpaceDN w:val="0"/>
        <w:adjustRightInd/>
        <w:snapToGrid/>
        <w:ind w:firstLine="0" w:firstLineChars="0"/>
        <w:jc w:val="both"/>
        <w:rPr>
          <w:sz w:val="28"/>
        </w:rPr>
      </w:pPr>
      <w:r>
        <w:rPr>
          <w:rFonts w:hint="eastAsia"/>
          <w:sz w:val="28"/>
        </w:rPr>
        <w:t>4.2.3 审查阶段</w:t>
      </w:r>
    </w:p>
    <w:p w14:paraId="0B7DCC90">
      <w:pPr>
        <w:ind w:firstLine="480"/>
        <w:rPr>
          <w:rFonts w:ascii="Times New Roman" w:hAnsi="Times New Roman"/>
          <w:color w:val="auto"/>
          <w:sz w:val="24"/>
          <w:highlight w:val="none"/>
        </w:rPr>
      </w:pPr>
      <w:r>
        <w:rPr>
          <w:rFonts w:hint="eastAsia" w:ascii="Times New Roman" w:hAnsi="Times New Roman"/>
          <w:color w:val="auto"/>
          <w:sz w:val="24"/>
          <w:highlight w:val="none"/>
        </w:rPr>
        <w:t>A.</w:t>
      </w:r>
      <w:r>
        <w:rPr>
          <w:rFonts w:hint="eastAsia" w:ascii="Times New Roman" w:hAnsi="Times New Roman"/>
          <w:color w:val="auto"/>
          <w:sz w:val="24"/>
          <w:highlight w:val="none"/>
          <w:lang w:val="en-US" w:eastAsia="zh-CN"/>
        </w:rPr>
        <w:t xml:space="preserve"> </w:t>
      </w:r>
      <w:r>
        <w:rPr>
          <w:rFonts w:hint="eastAsia" w:ascii="Times New Roman" w:hAnsi="Times New Roman"/>
          <w:color w:val="auto"/>
          <w:sz w:val="24"/>
          <w:highlight w:val="none"/>
        </w:rPr>
        <w:t>技术专家审查会议</w:t>
      </w:r>
    </w:p>
    <w:p w14:paraId="741D64FC">
      <w:pPr>
        <w:ind w:firstLine="480"/>
        <w:rPr>
          <w:rFonts w:hint="default" w:ascii="Times New Roman" w:hAnsi="Times New Roman"/>
          <w:color w:val="C00000"/>
          <w:sz w:val="24"/>
          <w:highlight w:val="yellow"/>
          <w:lang w:val="en-US" w:eastAsia="zh-CN"/>
        </w:rPr>
      </w:pPr>
      <w:r>
        <w:rPr>
          <w:rFonts w:hint="eastAsia" w:ascii="Times New Roman" w:hAnsi="Times New Roman"/>
          <w:color w:val="C00000"/>
          <w:sz w:val="24"/>
          <w:highlight w:val="yellow"/>
          <w:lang w:val="en-US" w:eastAsia="zh-CN"/>
        </w:rPr>
        <w:t xml:space="preserve">   </w:t>
      </w:r>
    </w:p>
    <w:p w14:paraId="26B80BFD">
      <w:pPr>
        <w:numPr>
          <w:ilvl w:val="0"/>
          <w:numId w:val="2"/>
        </w:numPr>
        <w:ind w:firstLine="480"/>
        <w:rPr>
          <w:rFonts w:ascii="Times New Roman" w:hAnsi="Times New Roman"/>
          <w:color w:val="auto"/>
          <w:sz w:val="24"/>
          <w:highlight w:val="none"/>
        </w:rPr>
      </w:pPr>
      <w:r>
        <w:rPr>
          <w:rFonts w:hint="eastAsia" w:ascii="Times New Roman" w:hAnsi="Times New Roman"/>
          <w:color w:val="auto"/>
          <w:sz w:val="24"/>
          <w:highlight w:val="none"/>
        </w:rPr>
        <w:t>委员审查</w:t>
      </w:r>
    </w:p>
    <w:p w14:paraId="7DB0A6DF">
      <w:pPr>
        <w:ind w:firstLine="480"/>
        <w:rPr>
          <w:rFonts w:hint="default" w:ascii="Times New Roman" w:hAnsi="Times New Roman" w:eastAsia="宋体"/>
          <w:color w:val="C00000"/>
          <w:sz w:val="24"/>
          <w:highlight w:val="yellow"/>
          <w:lang w:val="en-US" w:eastAsia="zh-CN"/>
        </w:rPr>
      </w:pPr>
      <w:r>
        <w:rPr>
          <w:rFonts w:hint="eastAsia" w:ascii="Times New Roman" w:hAnsi="Times New Roman"/>
          <w:color w:val="C00000"/>
          <w:sz w:val="24"/>
          <w:highlight w:val="yellow"/>
          <w:lang w:val="en-US" w:eastAsia="zh-CN"/>
        </w:rPr>
        <w:t xml:space="preserve">   </w:t>
      </w:r>
    </w:p>
    <w:p w14:paraId="7CFEC187">
      <w:pPr>
        <w:pStyle w:val="5"/>
        <w:tabs>
          <w:tab w:val="left" w:pos="420"/>
        </w:tabs>
        <w:overflowPunct w:val="0"/>
        <w:autoSpaceDE w:val="0"/>
        <w:autoSpaceDN w:val="0"/>
        <w:adjustRightInd/>
        <w:snapToGrid/>
        <w:ind w:firstLine="0" w:firstLineChars="0"/>
        <w:jc w:val="both"/>
        <w:rPr>
          <w:sz w:val="28"/>
        </w:rPr>
      </w:pPr>
      <w:r>
        <w:rPr>
          <w:rFonts w:hint="eastAsia"/>
          <w:sz w:val="28"/>
        </w:rPr>
        <w:t>4.2.4 报批阶段</w:t>
      </w:r>
    </w:p>
    <w:p w14:paraId="54535672">
      <w:pPr>
        <w:ind w:firstLine="480"/>
        <w:rPr>
          <w:rFonts w:hint="default" w:ascii="Times New Roman" w:hAnsi="Times New Roman"/>
          <w:color w:val="C00000"/>
          <w:sz w:val="24"/>
          <w:highlight w:val="yellow"/>
          <w:lang w:val="en-US" w:eastAsia="zh-CN"/>
        </w:rPr>
      </w:pPr>
      <w:r>
        <w:rPr>
          <w:rFonts w:hint="eastAsia" w:ascii="Times New Roman" w:hAnsi="Times New Roman"/>
          <w:color w:val="C00000"/>
          <w:sz w:val="24"/>
          <w:highlight w:val="yellow"/>
          <w:lang w:val="en-US" w:eastAsia="zh-CN"/>
        </w:rPr>
        <w:t xml:space="preserve">   </w:t>
      </w:r>
    </w:p>
    <w:p w14:paraId="27ECA00D">
      <w:pPr>
        <w:ind w:firstLine="480"/>
        <w:rPr>
          <w:rFonts w:hint="eastAsia" w:ascii="Times New Roman" w:hAnsi="Times New Roman"/>
          <w:color w:val="C00000"/>
          <w:sz w:val="24"/>
          <w:highlight w:val="yellow"/>
        </w:rPr>
      </w:pPr>
    </w:p>
    <w:p w14:paraId="1C283DBD">
      <w:pPr>
        <w:pStyle w:val="3"/>
        <w:rPr>
          <w:rFonts w:ascii="Times New Roman" w:hAnsi="Times New Roman"/>
          <w:sz w:val="30"/>
        </w:rPr>
      </w:pPr>
      <w:bookmarkStart w:id="22" w:name="_Toc28628"/>
      <w:bookmarkStart w:id="23" w:name="_Toc135064421"/>
      <w:r>
        <w:rPr>
          <w:rFonts w:ascii="Times New Roman" w:hAnsi="Times New Roman"/>
          <w:sz w:val="30"/>
        </w:rPr>
        <w:t>二、标准编制原则</w:t>
      </w:r>
      <w:bookmarkEnd w:id="22"/>
      <w:r>
        <w:rPr>
          <w:rFonts w:hint="eastAsia" w:ascii="Times New Roman" w:hAnsi="Times New Roman"/>
          <w:sz w:val="30"/>
        </w:rPr>
        <w:t>和依据</w:t>
      </w:r>
      <w:bookmarkEnd w:id="23"/>
    </w:p>
    <w:p w14:paraId="4ED54BD5">
      <w:pPr>
        <w:pStyle w:val="4"/>
        <w:spacing w:beforeLines="0" w:afterLines="0"/>
        <w:jc w:val="both"/>
        <w:rPr>
          <w:sz w:val="28"/>
        </w:rPr>
      </w:pPr>
      <w:bookmarkStart w:id="24" w:name="_Toc131173672"/>
      <w:bookmarkStart w:id="25" w:name="_Toc135064422"/>
      <w:r>
        <w:rPr>
          <w:sz w:val="28"/>
        </w:rPr>
        <w:t>1、编制原则</w:t>
      </w:r>
      <w:bookmarkEnd w:id="24"/>
      <w:bookmarkEnd w:id="25"/>
    </w:p>
    <w:p w14:paraId="67CB11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在矿山充填领域的标准及规范主要有：</w:t>
      </w:r>
    </w:p>
    <w:p w14:paraId="7478D27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（1）《金属非金属矿山充填工程技术标准》，目前尚处于公开征求意见的阶段；主要用于规范金属非金属矿山充填工程的设计与施工；</w:t>
      </w:r>
    </w:p>
    <w:p w14:paraId="5A2F7C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（2）《冶金矿山尾矿胶结充填技术规范》，目前尚处于公开征求意见的阶段，主要规定了尾矿胶结充填的定义与术语，提出充填系统、充填料浆、充填采场、自动化技术要求；</w:t>
      </w:r>
    </w:p>
    <w:p w14:paraId="6AD915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（3）《全尾砂膏体充填技术规范》（GB/T 39489-2020），主要规定了全尾砂膏体材料构成与储存要求、全尾砂膏体充填工艺要求、全尾砂膏体充填技术要求及其检测方法，适用于金属、非金属矿山的全尾砂膏体充填；</w:t>
      </w:r>
    </w:p>
    <w:p w14:paraId="2521457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（4）《有色金属矿山膏体充填规范》（DB53/T 889-2018），属于云南省地方标准，主要规定了有色金属矿山膏体充填技术要求、运行管理与保障措施等内容。</w:t>
      </w:r>
    </w:p>
    <w:p w14:paraId="0871F7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上述标准规范尚没有关于高浓度膏体智能充填的具体技术规定、要求，因此制定本标准能够填补矿山充填领域智能系统技术标准的空白，规范矿山高浓度膏体智能充填系统工作的一致性，确保矿山充填技术更加正确快速开展智能化升级改造，提升企业能效水平。</w:t>
      </w:r>
    </w:p>
    <w:p w14:paraId="173E9DC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在制定本标准时，关于充填术语、充填材料、充填工艺等方面要求，将与上述标准有机结合起来开展工作。</w:t>
      </w:r>
    </w:p>
    <w:p w14:paraId="58376927">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Times New Roman" w:hAnsi="Times New Roman"/>
          <w:sz w:val="24"/>
        </w:rPr>
      </w:pPr>
      <w:r>
        <w:rPr>
          <w:rFonts w:hint="eastAsia" w:ascii="Times New Roman" w:hAnsi="Times New Roman"/>
          <w:sz w:val="24"/>
        </w:rPr>
        <w:t>本标准编制过程中，主要体现如下原则:</w:t>
      </w:r>
    </w:p>
    <w:p w14:paraId="60C9EE2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rPr>
      </w:pPr>
      <w:r>
        <w:rPr>
          <w:rFonts w:hint="eastAsia" w:ascii="Times New Roman" w:hAnsi="Times New Roman"/>
          <w:sz w:val="24"/>
        </w:rPr>
        <w:t>（1）系统的可靠性原则：采用高容错能力的通信网络、过程控制系统、系统软件和标准的商用软件。</w:t>
      </w:r>
    </w:p>
    <w:p w14:paraId="3DC271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rPr>
      </w:pPr>
      <w:r>
        <w:rPr>
          <w:rFonts w:hint="eastAsia" w:ascii="Times New Roman" w:hAnsi="Times New Roman"/>
          <w:sz w:val="24"/>
        </w:rPr>
        <w:t>（2）系统的先进性原则：采用目前最先进的产品和成熟的软件版本且在其他现场应用可靠，并考虑到当更先进和成熟的产品和软件版本出现时，能与现在采用的产品和软件保持兼容。</w:t>
      </w:r>
    </w:p>
    <w:p w14:paraId="6786A7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rPr>
      </w:pPr>
      <w:r>
        <w:rPr>
          <w:rFonts w:hint="eastAsia" w:ascii="Times New Roman" w:hAnsi="Times New Roman"/>
          <w:sz w:val="24"/>
        </w:rPr>
        <w:t>（3）系统的易维护性原则：遵循易于维护，操作简便的原则设计。</w:t>
      </w:r>
    </w:p>
    <w:p w14:paraId="33DACD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rPr>
      </w:pPr>
      <w:r>
        <w:rPr>
          <w:rFonts w:hint="eastAsia" w:ascii="Times New Roman" w:hAnsi="Times New Roman"/>
          <w:sz w:val="24"/>
        </w:rPr>
        <w:t>（4）系统的可扩展性原则：系统的硬件、系统软件和应用软件均具有灵活的扩展能力及升级能力。</w:t>
      </w:r>
    </w:p>
    <w:p w14:paraId="6C029A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rPr>
      </w:pPr>
      <w:r>
        <w:rPr>
          <w:rFonts w:hint="eastAsia" w:ascii="Times New Roman" w:hAnsi="Times New Roman"/>
          <w:sz w:val="24"/>
        </w:rPr>
        <w:t>（5）系统的开放性原则：采用开放的网络体系结构并符合ISO的通信标准。与当今计算机技术和信息技术的发展同步。</w:t>
      </w:r>
    </w:p>
    <w:p w14:paraId="3AE83B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rPr>
      </w:pPr>
      <w:r>
        <w:rPr>
          <w:rFonts w:hint="eastAsia" w:ascii="Times New Roman" w:hAnsi="Times New Roman"/>
          <w:sz w:val="24"/>
        </w:rPr>
        <w:t>（6）系统完善性原则：系统具备完整的、可靠的、可工作的、完全满足现场要求，确保系统的硬件、软件的完整性和兼容性。</w:t>
      </w:r>
    </w:p>
    <w:p w14:paraId="7A5097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rPr>
      </w:pPr>
      <w:r>
        <w:rPr>
          <w:rFonts w:hint="eastAsia" w:ascii="Times New Roman" w:hAnsi="Times New Roman"/>
          <w:sz w:val="24"/>
        </w:rPr>
        <w:t>（7）负荷原则：整个系统包括现场仪表、一次元器件、控制单元、工程师站、操作站、管理终端、服务器、网关、通讯网络系统等，设计其负荷均不超过其硬件、软件能力的60%。</w:t>
      </w:r>
    </w:p>
    <w:p w14:paraId="00C707A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rPr>
      </w:pPr>
      <w:r>
        <w:rPr>
          <w:rFonts w:hint="eastAsia" w:ascii="Times New Roman" w:hAnsi="Times New Roman"/>
          <w:sz w:val="24"/>
        </w:rPr>
        <w:t>（8）易操作性原则。</w:t>
      </w:r>
    </w:p>
    <w:p w14:paraId="6E7E76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rPr>
      </w:pPr>
      <w:r>
        <w:rPr>
          <w:rFonts w:hint="eastAsia" w:ascii="Times New Roman" w:hAnsi="Times New Roman"/>
          <w:sz w:val="24"/>
        </w:rPr>
        <w:t>（9）智能化原则。</w:t>
      </w:r>
    </w:p>
    <w:p w14:paraId="048B5F81">
      <w:pPr>
        <w:pStyle w:val="4"/>
        <w:spacing w:beforeLines="0" w:afterLines="0"/>
        <w:jc w:val="both"/>
        <w:rPr>
          <w:sz w:val="28"/>
        </w:rPr>
      </w:pPr>
      <w:bookmarkStart w:id="26" w:name="_Toc131173673"/>
      <w:bookmarkStart w:id="27" w:name="_Toc135064423"/>
      <w:r>
        <w:rPr>
          <w:sz w:val="28"/>
        </w:rPr>
        <w:t>2、编制依据</w:t>
      </w:r>
      <w:bookmarkEnd w:id="26"/>
      <w:bookmarkEnd w:id="27"/>
    </w:p>
    <w:p w14:paraId="7DE75F8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sz w:val="24"/>
          <w:lang w:val="en-US" w:eastAsia="zh-CN"/>
        </w:rPr>
      </w:pPr>
      <w:r>
        <w:rPr>
          <w:rFonts w:hint="eastAsia" w:ascii="Times New Roman" w:hAnsi="Times New Roman"/>
          <w:sz w:val="24"/>
          <w:lang w:val="en-US" w:eastAsia="zh-CN"/>
        </w:rPr>
        <w:t>（1）</w:t>
      </w:r>
      <w:r>
        <w:rPr>
          <w:rFonts w:hint="default" w:ascii="Times New Roman" w:hAnsi="Times New Roman"/>
          <w:sz w:val="24"/>
          <w:lang w:val="en-US" w:eastAsia="zh-CN"/>
        </w:rPr>
        <w:t>《中华人民共和国国民经济和社会发展第十五个五年规划纲要》</w:t>
      </w:r>
    </w:p>
    <w:p w14:paraId="05F3A5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（2）《矿产资源规划（2026—2030年）》</w:t>
      </w:r>
    </w:p>
    <w:p w14:paraId="4434E0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（3）《关于深入推进矿山智能化建设 促进矿山安全发展的指导意见》</w:t>
      </w:r>
    </w:p>
    <w:p w14:paraId="1D8198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（4）《"人工智能+制造"专项行动实施意见》</w:t>
      </w:r>
    </w:p>
    <w:p w14:paraId="62843A8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（5）《金属非金属矿山智能化建设指南（2025年版）》</w:t>
      </w:r>
    </w:p>
    <w:p w14:paraId="015BB10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（6）《制造业数字化转型行动方案》</w:t>
      </w:r>
    </w:p>
    <w:p w14:paraId="41D4B06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（7）GB/T 23001-2017  《信息化和工业化融合管理体系 要求》</w:t>
      </w:r>
    </w:p>
    <w:p w14:paraId="1780B35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（8）GB/T 25928  《过程工业自动化系统出厂验收测试（FAT）、现场验收测试（SAT）、现场综合测试（SIT规范）》</w:t>
      </w:r>
    </w:p>
    <w:p w14:paraId="3F6BF7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（9）HG/T 20573  《分散型控制系统工程设计规范》</w:t>
      </w:r>
    </w:p>
    <w:p w14:paraId="2C150B9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（10）HG/T 20700  《可编程序控制器系统工程设计规范》</w:t>
      </w:r>
    </w:p>
    <w:p w14:paraId="3E6A443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（11）HG/T 20507-2014  《自动化仪表选型设计规范》</w:t>
      </w:r>
    </w:p>
    <w:p w14:paraId="0DC70FAE">
      <w:pPr>
        <w:ind w:firstLine="360" w:firstLineChars="150"/>
        <w:rPr>
          <w:rFonts w:ascii="Times New Roman" w:hAnsi="Times New Roman"/>
          <w:sz w:val="24"/>
        </w:rPr>
      </w:pPr>
    </w:p>
    <w:p w14:paraId="28B12DB3">
      <w:pPr>
        <w:pStyle w:val="3"/>
        <w:numPr>
          <w:ilvl w:val="0"/>
          <w:numId w:val="3"/>
        </w:numPr>
        <w:rPr>
          <w:rFonts w:ascii="Times New Roman" w:hAnsi="Times New Roman"/>
          <w:sz w:val="30"/>
        </w:rPr>
      </w:pPr>
      <w:bookmarkStart w:id="28" w:name="_Toc10023"/>
      <w:bookmarkStart w:id="29" w:name="_Toc135064424"/>
      <w:r>
        <w:rPr>
          <w:rFonts w:ascii="Times New Roman" w:hAnsi="Times New Roman"/>
          <w:sz w:val="30"/>
        </w:rPr>
        <w:t>主要</w:t>
      </w:r>
      <w:r>
        <w:rPr>
          <w:rFonts w:hint="eastAsia" w:ascii="Times New Roman" w:hAnsi="Times New Roman"/>
          <w:sz w:val="30"/>
        </w:rPr>
        <w:t>技术</w:t>
      </w:r>
      <w:r>
        <w:rPr>
          <w:rFonts w:ascii="Times New Roman" w:hAnsi="Times New Roman"/>
          <w:sz w:val="30"/>
        </w:rPr>
        <w:t>内容</w:t>
      </w:r>
      <w:bookmarkEnd w:id="28"/>
      <w:bookmarkEnd w:id="29"/>
    </w:p>
    <w:p w14:paraId="3032FB4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bookmarkStart w:id="30" w:name="_Toc21343"/>
      <w:r>
        <w:rPr>
          <w:rFonts w:hint="eastAsia" w:ascii="Times New Roman" w:hAnsi="Times New Roman"/>
          <w:sz w:val="24"/>
          <w:lang w:val="en-US" w:eastAsia="zh-CN"/>
        </w:rPr>
        <w:t>本标准设置了8个章节内容，分别为范围、规范性引用文件、术语和定义、系统架构、过程检测及数据采集、自动化控制、智能化、信息化。</w:t>
      </w:r>
    </w:p>
    <w:p w14:paraId="2EDF998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本规范章节设置具体如下：</w:t>
      </w:r>
    </w:p>
    <w:p w14:paraId="5312BB98">
      <w:pPr>
        <w:pStyle w:val="4"/>
        <w:spacing w:beforeLines="0" w:afterLines="0"/>
        <w:jc w:val="both"/>
        <w:rPr>
          <w:sz w:val="28"/>
        </w:rPr>
      </w:pPr>
      <w:bookmarkStart w:id="31" w:name="_Toc135064425"/>
      <w:r>
        <w:rPr>
          <w:sz w:val="28"/>
        </w:rPr>
        <w:t>1</w:t>
      </w:r>
      <w:r>
        <w:rPr>
          <w:rFonts w:hint="eastAsia"/>
          <w:sz w:val="28"/>
        </w:rPr>
        <w:t>、</w:t>
      </w:r>
      <w:r>
        <w:rPr>
          <w:sz w:val="28"/>
        </w:rPr>
        <w:t>范围</w:t>
      </w:r>
      <w:bookmarkEnd w:id="30"/>
      <w:bookmarkEnd w:id="31"/>
    </w:p>
    <w:p w14:paraId="10B39C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本文件规定了有色金属矿山高浓度膏体充填智能系统的系统架构、过程检测及数据采集、自动化控制、信息化及智能化应用。</w:t>
      </w:r>
    </w:p>
    <w:p w14:paraId="5581CBE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本文件适用于新建、改（扩）建有色金属矿山高浓度膏体充填智能系统的设计、运行和技术推广。</w:t>
      </w:r>
    </w:p>
    <w:p w14:paraId="4F3F63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说明：</w:t>
      </w:r>
    </w:p>
    <w:p w14:paraId="6F7891B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本文件适用范围包含新建、改（扩）建的有色金属矿山高浓度或膏体充填智能系统的设计、运行和技术推广。其中的智能系统包含了自动化控制、信息化和智能化的相关要求。</w:t>
      </w:r>
    </w:p>
    <w:p w14:paraId="7F7B2525">
      <w:pPr>
        <w:pStyle w:val="4"/>
        <w:spacing w:beforeLines="0" w:afterLines="0"/>
        <w:jc w:val="both"/>
        <w:rPr>
          <w:sz w:val="28"/>
        </w:rPr>
      </w:pPr>
      <w:bookmarkStart w:id="32" w:name="_Toc135064426"/>
      <w:bookmarkStart w:id="33" w:name="_Toc5340"/>
      <w:r>
        <w:rPr>
          <w:sz w:val="28"/>
        </w:rPr>
        <w:t>2</w:t>
      </w:r>
      <w:r>
        <w:rPr>
          <w:rFonts w:hint="eastAsia"/>
          <w:sz w:val="28"/>
        </w:rPr>
        <w:t>、</w:t>
      </w:r>
      <w:r>
        <w:rPr>
          <w:sz w:val="28"/>
        </w:rPr>
        <w:t>规范性引用文件</w:t>
      </w:r>
      <w:bookmarkEnd w:id="32"/>
      <w:bookmarkEnd w:id="33"/>
    </w:p>
    <w:p w14:paraId="324CEC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C18339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GB/T 25928  过程工业自动化系统出厂验收测试（FAT）、现场验收测试（SAT）、现场综合测试（SIT规范）</w:t>
      </w:r>
    </w:p>
    <w:p w14:paraId="578142E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HG/T 20573  分散型控制系统工程设计规范</w:t>
      </w:r>
    </w:p>
    <w:p w14:paraId="14F0D0E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HG/T 20700  可编程序控制器系统工程设计规范</w:t>
      </w:r>
    </w:p>
    <w:p w14:paraId="758B8C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lang w:val="en-US" w:eastAsia="zh-CN"/>
        </w:rPr>
      </w:pPr>
      <w:r>
        <w:rPr>
          <w:rFonts w:hint="eastAsia" w:ascii="Times New Roman" w:hAnsi="Times New Roman"/>
          <w:sz w:val="24"/>
          <w:lang w:val="en-US" w:eastAsia="zh-CN"/>
        </w:rPr>
        <w:t>说明：引用文件主要包括技术文件涉及到的出厂验收测试（FAT）、现场验收测试（SAT）、现场综合测试（SIT规范）、工程设计规范。</w:t>
      </w:r>
    </w:p>
    <w:p w14:paraId="05A96957">
      <w:pPr>
        <w:pStyle w:val="4"/>
        <w:spacing w:beforeLines="0" w:afterLines="0"/>
        <w:jc w:val="both"/>
        <w:rPr>
          <w:sz w:val="28"/>
        </w:rPr>
      </w:pPr>
      <w:bookmarkStart w:id="34" w:name="_Toc10950"/>
      <w:bookmarkStart w:id="35" w:name="_Toc135064427"/>
      <w:r>
        <w:rPr>
          <w:sz w:val="28"/>
        </w:rPr>
        <w:t>3</w:t>
      </w:r>
      <w:r>
        <w:rPr>
          <w:rFonts w:hint="eastAsia"/>
          <w:sz w:val="28"/>
        </w:rPr>
        <w:t>、</w:t>
      </w:r>
      <w:r>
        <w:rPr>
          <w:sz w:val="28"/>
        </w:rPr>
        <w:t>术语和定义</w:t>
      </w:r>
      <w:bookmarkEnd w:id="34"/>
      <w:bookmarkEnd w:id="35"/>
    </w:p>
    <w:p w14:paraId="545EA32A">
      <w:pPr>
        <w:ind w:firstLine="480"/>
        <w:rPr>
          <w:rFonts w:hint="eastAsia" w:ascii="Times New Roman" w:hAnsi="Times New Roman"/>
          <w:sz w:val="24"/>
          <w:lang w:val="en-US" w:eastAsia="zh-CN"/>
        </w:rPr>
      </w:pPr>
      <w:bookmarkStart w:id="36" w:name="_Toc135064428"/>
      <w:r>
        <w:rPr>
          <w:rFonts w:hint="eastAsia" w:ascii="Times New Roman" w:hAnsi="Times New Roman"/>
          <w:sz w:val="24"/>
          <w:lang w:val="en-US" w:eastAsia="zh-CN"/>
        </w:rPr>
        <w:t>给出了高浓度膏体充填、立式砂仓、充填材料、胶凝材料等术语的定义。</w:t>
      </w:r>
    </w:p>
    <w:p w14:paraId="21958A94">
      <w:pPr>
        <w:pStyle w:val="4"/>
        <w:spacing w:beforeLines="0" w:afterLines="0"/>
        <w:jc w:val="both"/>
        <w:rPr>
          <w:sz w:val="28"/>
        </w:rPr>
      </w:pPr>
      <w:r>
        <w:rPr>
          <w:rFonts w:hint="eastAsia"/>
          <w:lang w:val="en-US" w:eastAsia="zh-CN"/>
        </w:rPr>
        <w:t>4、系</w:t>
      </w:r>
      <w:r>
        <w:rPr>
          <w:rFonts w:hint="eastAsia"/>
          <w:sz w:val="28"/>
        </w:rPr>
        <w:t>统</w:t>
      </w:r>
      <w:r>
        <w:rPr>
          <w:sz w:val="28"/>
        </w:rPr>
        <w:t>架构</w:t>
      </w:r>
      <w:bookmarkEnd w:id="36"/>
    </w:p>
    <w:p w14:paraId="00F212AE">
      <w:pPr>
        <w:ind w:firstLine="480"/>
        <w:rPr>
          <w:rFonts w:ascii="Times New Roman" w:hAnsi="Times New Roman"/>
          <w:sz w:val="24"/>
        </w:rPr>
      </w:pPr>
      <w:r>
        <w:rPr>
          <w:rFonts w:hint="eastAsia" w:ascii="Times New Roman" w:hAnsi="Times New Roman"/>
          <w:sz w:val="24"/>
        </w:rPr>
        <w:t>本章给出了充填智能系统的系统总体架构，包括设备与执行层、监测与控制层、信息与管理层。并对各层包含的内容以及功能进行规定。</w:t>
      </w:r>
    </w:p>
    <w:p w14:paraId="61C3588D">
      <w:pPr>
        <w:ind w:firstLine="480"/>
        <w:rPr>
          <w:rFonts w:ascii="宋体" w:hAnsi="宋体" w:cs="宋体"/>
          <w:sz w:val="24"/>
        </w:rPr>
      </w:pPr>
      <w:r>
        <w:rPr>
          <w:rFonts w:hint="eastAsia" w:ascii="宋体" w:hAnsi="宋体" w:cs="宋体"/>
          <w:sz w:val="24"/>
        </w:rPr>
        <w:t>说明：</w:t>
      </w:r>
    </w:p>
    <w:p w14:paraId="1E291409">
      <w:pPr>
        <w:ind w:firstLine="480"/>
        <w:rPr>
          <w:rFonts w:ascii="宋体" w:hAnsi="宋体" w:cs="宋体"/>
          <w:sz w:val="24"/>
        </w:rPr>
      </w:pPr>
      <w:r>
        <w:rPr>
          <w:rFonts w:hint="eastAsia" w:ascii="宋体" w:hAnsi="宋体" w:cs="宋体"/>
          <w:sz w:val="24"/>
        </w:rPr>
        <w:t>本章是结合智能系统的总体设计，从底层设备与执行层开始，依据系统组成及功能划分，分别对各层包含的软硬件，以及该层应实现的功能进行了描述，用于指导系统设计及建设。</w:t>
      </w:r>
    </w:p>
    <w:p w14:paraId="28F2510C">
      <w:pPr>
        <w:pStyle w:val="4"/>
        <w:spacing w:beforeLines="0" w:afterLines="0"/>
        <w:jc w:val="both"/>
        <w:rPr>
          <w:sz w:val="28"/>
        </w:rPr>
      </w:pPr>
      <w:bookmarkStart w:id="37" w:name="_Toc135064429"/>
      <w:r>
        <w:rPr>
          <w:rFonts w:hint="eastAsia"/>
          <w:sz w:val="28"/>
        </w:rPr>
        <w:t>5、过程检测及数据采集</w:t>
      </w:r>
      <w:bookmarkEnd w:id="37"/>
    </w:p>
    <w:p w14:paraId="731C008A">
      <w:pPr>
        <w:ind w:firstLine="480"/>
        <w:rPr>
          <w:rFonts w:ascii="Times New Roman" w:hAnsi="Times New Roman"/>
          <w:sz w:val="24"/>
        </w:rPr>
      </w:pPr>
      <w:r>
        <w:rPr>
          <w:rFonts w:hint="eastAsia" w:ascii="Times New Roman" w:hAnsi="Times New Roman"/>
          <w:sz w:val="24"/>
        </w:rPr>
        <w:t>建设智能化系统，过程检测和数据采集是基础，本章规定了有色金属矿山高浓度膏体充填智能系统应（宜）采集的数据和检测的内容。</w:t>
      </w:r>
    </w:p>
    <w:p w14:paraId="4D5F8DCE">
      <w:pPr>
        <w:ind w:firstLine="480"/>
        <w:rPr>
          <w:rFonts w:hint="eastAsia" w:ascii="宋体" w:hAnsi="宋体" w:cs="宋体"/>
          <w:sz w:val="24"/>
        </w:rPr>
      </w:pPr>
      <w:r>
        <w:rPr>
          <w:rFonts w:hint="eastAsia" w:ascii="宋体" w:hAnsi="宋体" w:cs="宋体"/>
          <w:sz w:val="24"/>
        </w:rPr>
        <w:t>说明：</w:t>
      </w:r>
    </w:p>
    <w:p w14:paraId="144D9D68">
      <w:pPr>
        <w:ind w:firstLine="480"/>
        <w:rPr>
          <w:rFonts w:ascii="宋体" w:hAnsi="宋体" w:cs="宋体"/>
          <w:sz w:val="24"/>
        </w:rPr>
      </w:pPr>
      <w:r>
        <w:rPr>
          <w:rFonts w:hint="eastAsia" w:ascii="宋体" w:hAnsi="宋体" w:cs="宋体"/>
          <w:sz w:val="24"/>
        </w:rPr>
        <w:t>当前矿山高浓度膏体充填普遍存在设备适用性差、充填参数控制不精确，井下充填效果不佳等问题。传统矿山充填自动控制的基本组成单元为单独的控制回路，将系统中多个单独控制回路集成在一起，构成充填系统整个闭路循环控制系统。通过对浓度、液位、给料量、水量等被控量的控制，可满足充填系统对料浆质量浓度、骨料配比等工艺参数的具体要求。在高浓度膏体充填工艺中，大部分采用湿式尾砂浆的形式加入。传统的自动化控制技术难以对尾砂料浆浓度进行精确控制，流量波动大，造成干尾砂流量不稳定。同时传统的控制技术对水泥的计量不准确，在线监测仪表精度差，使得连续充填过程中灰砂比、水灰比不易控制，进而无法保证充填质量，增加了充填成本。本章结合工程经验及实际调研，给出了过程检测要求、数据采集要求、数据接口和数据存储要求。</w:t>
      </w:r>
    </w:p>
    <w:p w14:paraId="009C4839">
      <w:pPr>
        <w:pStyle w:val="5"/>
        <w:tabs>
          <w:tab w:val="left" w:pos="420"/>
        </w:tabs>
        <w:overflowPunct w:val="0"/>
        <w:autoSpaceDE w:val="0"/>
        <w:autoSpaceDN w:val="0"/>
        <w:adjustRightInd/>
        <w:snapToGrid/>
        <w:ind w:firstLine="0" w:firstLineChars="0"/>
        <w:jc w:val="both"/>
        <w:rPr>
          <w:sz w:val="28"/>
        </w:rPr>
      </w:pPr>
      <w:bookmarkStart w:id="38" w:name="_Toc131173683"/>
      <w:bookmarkStart w:id="39" w:name="_Toc135064430"/>
      <w:r>
        <w:rPr>
          <w:sz w:val="28"/>
        </w:rPr>
        <w:t xml:space="preserve">5.1 </w:t>
      </w:r>
      <w:bookmarkEnd w:id="38"/>
      <w:r>
        <w:rPr>
          <w:rFonts w:hint="eastAsia"/>
          <w:sz w:val="28"/>
        </w:rPr>
        <w:t>过程检测</w:t>
      </w:r>
      <w:bookmarkEnd w:id="39"/>
    </w:p>
    <w:p w14:paraId="068B50FB">
      <w:pPr>
        <w:ind w:firstLine="480"/>
        <w:rPr>
          <w:rFonts w:ascii="Times New Roman" w:hAnsi="Times New Roman"/>
          <w:sz w:val="24"/>
        </w:rPr>
      </w:pPr>
      <w:r>
        <w:rPr>
          <w:rFonts w:hint="eastAsia" w:ascii="Times New Roman" w:hAnsi="Times New Roman"/>
          <w:sz w:val="24"/>
        </w:rPr>
        <w:t>分别按“应”和“宜”对过程检测的内容进行了规定，对料位、液位、流量、浓度等重要过程检测数据采用“应”进行规定。各企业可以根据自身工艺设施、自动化智能化系统以及经济投入等情况有选择的进行建设。</w:t>
      </w:r>
    </w:p>
    <w:p w14:paraId="29AE6F59">
      <w:pPr>
        <w:pStyle w:val="5"/>
        <w:tabs>
          <w:tab w:val="left" w:pos="420"/>
        </w:tabs>
        <w:overflowPunct w:val="0"/>
        <w:autoSpaceDE w:val="0"/>
        <w:autoSpaceDN w:val="0"/>
        <w:adjustRightInd/>
        <w:snapToGrid/>
        <w:ind w:firstLine="0" w:firstLineChars="0"/>
        <w:jc w:val="both"/>
        <w:rPr>
          <w:sz w:val="28"/>
        </w:rPr>
      </w:pPr>
      <w:bookmarkStart w:id="40" w:name="_Toc135064431"/>
      <w:r>
        <w:rPr>
          <w:rFonts w:hint="eastAsia"/>
          <w:sz w:val="28"/>
        </w:rPr>
        <w:t>5.2 数据采集</w:t>
      </w:r>
      <w:bookmarkEnd w:id="40"/>
    </w:p>
    <w:p w14:paraId="23F27738">
      <w:pPr>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数据采集包含设备运行数据、视频数据、物料管理数据、日常实验检测数据、尾砂检测数据、充填体强度检测数据等生产数据。</w:t>
      </w:r>
    </w:p>
    <w:p w14:paraId="27D45748">
      <w:pPr>
        <w:pStyle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说明：</w:t>
      </w:r>
    </w:p>
    <w:p w14:paraId="18251C45">
      <w:pPr>
        <w:pStyle w:val="2"/>
        <w:ind w:firstLine="480"/>
        <w:rPr>
          <w:rFonts w:ascii="宋体" w:hAnsi="宋体" w:cs="宋体"/>
          <w:sz w:val="24"/>
        </w:rPr>
      </w:pPr>
      <w:r>
        <w:rPr>
          <w:rFonts w:hint="eastAsia" w:ascii="宋体" w:hAnsi="宋体" w:eastAsia="宋体" w:cs="宋体"/>
          <w:kern w:val="2"/>
          <w:sz w:val="24"/>
          <w:szCs w:val="24"/>
          <w:lang w:val="en-US" w:eastAsia="zh-CN" w:bidi="ar-SA"/>
        </w:rPr>
        <w:t>根据工艺流程不同，充填运行设备主要包含立式砂仓或浓密机、搅拌槽(机)、充填泵、微粉称、絮凝剂添加装置等，视频监控点位主要有立式砂仓或浓密机、搅拌槽(机)、充填泵进料点、微粉称下料口、絮凝剂添加装置、事故池等处。根据充填运行管理的实际需要，智能系统应对胶凝材料入场量、胶凝材料消耗量、</w:t>
      </w:r>
      <w:r>
        <w:rPr>
          <w:rFonts w:hint="eastAsia" w:ascii="宋体" w:hAnsi="宋体" w:cs="宋体"/>
          <w:sz w:val="24"/>
        </w:rPr>
        <w:t>胶凝材料库存量、骨料入库量、骨料消耗量、骨料库存量等物料数据进行采集。</w:t>
      </w:r>
    </w:p>
    <w:p w14:paraId="62BA3A40">
      <w:pPr>
        <w:pStyle w:val="2"/>
        <w:ind w:firstLine="480"/>
        <w:rPr>
          <w:rFonts w:ascii="宋体" w:hAnsi="宋体" w:cs="宋体"/>
          <w:sz w:val="24"/>
        </w:rPr>
      </w:pPr>
      <w:r>
        <w:rPr>
          <w:rFonts w:hint="eastAsia" w:ascii="宋体" w:hAnsi="宋体" w:cs="宋体"/>
          <w:sz w:val="24"/>
        </w:rPr>
        <w:t>尾砂检测、充填体强度检测是充填作业人员应开展的一项重要工作，尾砂检测主要包含日期、样品编号、取样时间、取样地点、取样人、检测人、浓度、尾砂粒级组成百分比等。充填体强度检测主要包括日期、样品编号、配比、养护周期、制样时间、制样人、检测人、样块强度、是否异常等。</w:t>
      </w:r>
    </w:p>
    <w:p w14:paraId="1D598DC5">
      <w:pPr>
        <w:pStyle w:val="5"/>
        <w:tabs>
          <w:tab w:val="left" w:pos="420"/>
        </w:tabs>
        <w:overflowPunct w:val="0"/>
        <w:autoSpaceDE w:val="0"/>
        <w:autoSpaceDN w:val="0"/>
        <w:adjustRightInd/>
        <w:snapToGrid/>
        <w:ind w:firstLine="0" w:firstLineChars="0"/>
        <w:jc w:val="both"/>
        <w:rPr>
          <w:sz w:val="28"/>
        </w:rPr>
      </w:pPr>
      <w:bookmarkStart w:id="41" w:name="_Toc135064432"/>
      <w:r>
        <w:rPr>
          <w:rFonts w:hint="eastAsia"/>
          <w:sz w:val="28"/>
        </w:rPr>
        <w:t>5.3 数据采集接口</w:t>
      </w:r>
      <w:bookmarkEnd w:id="41"/>
    </w:p>
    <w:p w14:paraId="0FA07890">
      <w:pPr>
        <w:ind w:firstLine="480"/>
        <w:rPr>
          <w:rFonts w:ascii="Times New Roman" w:hAnsi="Times New Roman"/>
          <w:sz w:val="24"/>
        </w:rPr>
      </w:pPr>
      <w:r>
        <w:rPr>
          <w:rFonts w:hint="eastAsia" w:ascii="Times New Roman" w:hAnsi="Times New Roman"/>
          <w:sz w:val="24"/>
        </w:rPr>
        <w:t>数据采集接口应支持第三方系统或设备通讯接口。常用的通讯接口有：</w:t>
      </w:r>
      <w:r>
        <w:rPr>
          <w:rFonts w:ascii="Times New Roman" w:hAnsi="Times New Roman"/>
          <w:sz w:val="24"/>
        </w:rPr>
        <w:t>ProfibusDP、Modbus、 CAN、LonWorks、HART、Profinet、EthernetIP、Modbus/TCP、 EtherCAT 等</w:t>
      </w:r>
      <w:r>
        <w:rPr>
          <w:rFonts w:hint="eastAsia" w:ascii="Times New Roman" w:hAnsi="Times New Roman"/>
          <w:sz w:val="24"/>
        </w:rPr>
        <w:t>。</w:t>
      </w:r>
    </w:p>
    <w:p w14:paraId="1A3DF66B">
      <w:pPr>
        <w:pStyle w:val="5"/>
        <w:tabs>
          <w:tab w:val="left" w:pos="420"/>
        </w:tabs>
        <w:overflowPunct w:val="0"/>
        <w:autoSpaceDE w:val="0"/>
        <w:autoSpaceDN w:val="0"/>
        <w:adjustRightInd/>
        <w:snapToGrid/>
        <w:ind w:firstLine="0" w:firstLineChars="0"/>
        <w:jc w:val="both"/>
        <w:rPr>
          <w:sz w:val="28"/>
        </w:rPr>
      </w:pPr>
      <w:bookmarkStart w:id="42" w:name="_Toc135064433"/>
      <w:r>
        <w:rPr>
          <w:rFonts w:hint="eastAsia"/>
          <w:sz w:val="28"/>
        </w:rPr>
        <w:t>5.4 历史数据存储</w:t>
      </w:r>
      <w:bookmarkEnd w:id="42"/>
    </w:p>
    <w:p w14:paraId="562332FF">
      <w:pPr>
        <w:ind w:firstLine="480"/>
        <w:rPr>
          <w:rFonts w:ascii="Times New Roman" w:hAnsi="Times New Roman"/>
          <w:sz w:val="24"/>
        </w:rPr>
      </w:pPr>
      <w:r>
        <w:rPr>
          <w:rFonts w:hint="eastAsia" w:ascii="Times New Roman" w:hAnsi="Times New Roman"/>
          <w:sz w:val="24"/>
        </w:rPr>
        <w:t>根据调研情况，历史数据存储通常不少于3个月即可。</w:t>
      </w:r>
    </w:p>
    <w:p w14:paraId="1F684F75">
      <w:pPr>
        <w:pStyle w:val="4"/>
        <w:spacing w:beforeLines="0" w:afterLines="0"/>
        <w:jc w:val="both"/>
        <w:rPr>
          <w:sz w:val="28"/>
        </w:rPr>
      </w:pPr>
      <w:bookmarkStart w:id="43" w:name="_Toc135064434"/>
      <w:r>
        <w:rPr>
          <w:rFonts w:hint="eastAsia"/>
          <w:sz w:val="28"/>
        </w:rPr>
        <w:t>6、自动</w:t>
      </w:r>
      <w:r>
        <w:rPr>
          <w:sz w:val="28"/>
        </w:rPr>
        <w:t>化</w:t>
      </w:r>
      <w:r>
        <w:rPr>
          <w:rFonts w:hint="eastAsia"/>
          <w:sz w:val="28"/>
        </w:rPr>
        <w:t>控制</w:t>
      </w:r>
      <w:bookmarkEnd w:id="43"/>
    </w:p>
    <w:p w14:paraId="7FBD07C7">
      <w:pPr>
        <w:ind w:firstLine="480"/>
        <w:rPr>
          <w:rFonts w:ascii="Times New Roman" w:hAnsi="Times New Roman"/>
          <w:sz w:val="24"/>
        </w:rPr>
      </w:pPr>
      <w:r>
        <w:rPr>
          <w:rFonts w:ascii="Times New Roman" w:hAnsi="Times New Roman"/>
          <w:sz w:val="24"/>
        </w:rPr>
        <w:t>系统应能够满足</w:t>
      </w:r>
      <w:r>
        <w:rPr>
          <w:rFonts w:hint="eastAsia" w:ascii="Times New Roman" w:hAnsi="Times New Roman"/>
          <w:sz w:val="24"/>
        </w:rPr>
        <w:t>充填</w:t>
      </w:r>
      <w:r>
        <w:rPr>
          <w:rFonts w:ascii="Times New Roman" w:hAnsi="Times New Roman"/>
          <w:sz w:val="24"/>
        </w:rPr>
        <w:t>工艺的</w:t>
      </w:r>
      <w:r>
        <w:rPr>
          <w:rFonts w:hint="eastAsia" w:ascii="Times New Roman" w:hAnsi="Times New Roman"/>
          <w:sz w:val="24"/>
        </w:rPr>
        <w:t>自动化</w:t>
      </w:r>
      <w:r>
        <w:rPr>
          <w:rFonts w:ascii="Times New Roman" w:hAnsi="Times New Roman"/>
          <w:sz w:val="24"/>
        </w:rPr>
        <w:t>控制要求，</w:t>
      </w:r>
      <w:r>
        <w:rPr>
          <w:rFonts w:hint="eastAsia" w:ascii="Times New Roman" w:hAnsi="Times New Roman"/>
          <w:sz w:val="24"/>
        </w:rPr>
        <w:t>应具备过程检测与控制、</w:t>
      </w:r>
      <w:r>
        <w:rPr>
          <w:rFonts w:ascii="Times New Roman" w:hAnsi="Times New Roman"/>
          <w:sz w:val="24"/>
        </w:rPr>
        <w:t>安全监控和保护等功能。</w:t>
      </w:r>
      <w:r>
        <w:rPr>
          <w:rFonts w:hint="eastAsia" w:ascii="Times New Roman" w:hAnsi="Times New Roman"/>
          <w:sz w:val="24"/>
        </w:rPr>
        <w:t>系统应进行有效的优化控制，以充填料浆质量作为最终被控变量实现充填过程的稳定控制。</w:t>
      </w:r>
    </w:p>
    <w:p w14:paraId="11E05A0D">
      <w:pPr>
        <w:ind w:firstLine="480"/>
        <w:rPr>
          <w:rFonts w:ascii="宋体" w:hAnsi="宋体" w:cs="宋体"/>
          <w:sz w:val="24"/>
        </w:rPr>
      </w:pPr>
      <w:r>
        <w:rPr>
          <w:rFonts w:hint="eastAsia" w:ascii="宋体" w:hAnsi="宋体" w:cs="宋体"/>
          <w:sz w:val="24"/>
        </w:rPr>
        <w:t>说明：</w:t>
      </w:r>
    </w:p>
    <w:p w14:paraId="66EB68D5">
      <w:pPr>
        <w:ind w:firstLine="480"/>
        <w:rPr>
          <w:rFonts w:ascii="宋体" w:hAnsi="宋体" w:cs="宋体"/>
          <w:sz w:val="24"/>
        </w:rPr>
      </w:pPr>
      <w:r>
        <w:rPr>
          <w:rFonts w:hint="eastAsia" w:ascii="宋体" w:hAnsi="宋体" w:cs="宋体"/>
          <w:sz w:val="24"/>
        </w:rPr>
        <w:t>依据各参编单位多年的实施及运行经验，结合广泛征求意见， 本章给出了自动化控制的功能要求，以及设计、验收应遵守的标准：自动化系统设计应符合现行标准HG/T 20573、HG/T 20700，自动化系统的验收测试应符合现行标准GB/T 25928。</w:t>
      </w:r>
    </w:p>
    <w:p w14:paraId="7021917C">
      <w:pPr>
        <w:ind w:firstLine="480"/>
        <w:rPr>
          <w:rFonts w:ascii="宋体" w:hAnsi="宋体" w:cs="宋体"/>
          <w:sz w:val="24"/>
        </w:rPr>
      </w:pPr>
      <w:r>
        <w:rPr>
          <w:rFonts w:hint="eastAsia" w:ascii="宋体" w:hAnsi="宋体" w:cs="宋体"/>
          <w:sz w:val="24"/>
        </w:rPr>
        <w:t>根据充填工艺流程，充填自动化实现的功能主要有：充填料选择、充填设备联锁启停车、事故联锁停车，风、水联动造浆，充填料给料量控制，加水量控制，充填过程的自动监视、控制与记录，最终实现“一键充填”。</w:t>
      </w:r>
    </w:p>
    <w:p w14:paraId="52D747A5">
      <w:pPr>
        <w:pStyle w:val="4"/>
        <w:spacing w:beforeLines="0" w:afterLines="0"/>
        <w:jc w:val="both"/>
        <w:rPr>
          <w:sz w:val="28"/>
        </w:rPr>
      </w:pPr>
      <w:bookmarkStart w:id="44" w:name="_Toc135064435"/>
      <w:r>
        <w:rPr>
          <w:rFonts w:hint="eastAsia"/>
          <w:sz w:val="28"/>
        </w:rPr>
        <w:t>7、智能化</w:t>
      </w:r>
      <w:bookmarkEnd w:id="44"/>
    </w:p>
    <w:p w14:paraId="74BF27BE">
      <w:pPr>
        <w:ind w:firstLine="480"/>
        <w:rPr>
          <w:rFonts w:hint="eastAsia" w:ascii="Times New Roman" w:hAnsi="Times New Roman"/>
          <w:sz w:val="24"/>
        </w:rPr>
      </w:pPr>
      <w:r>
        <w:rPr>
          <w:rFonts w:hint="default" w:ascii="Times New Roman" w:hAnsi="Times New Roman"/>
          <w:sz w:val="24"/>
          <w:lang w:val="en-US" w:eastAsia="zh-CN"/>
        </w:rPr>
        <w:t>根据当前技术发展趋势、国家智能化建设的相关规章制度，以及结合充填作业流程的实际需要，本章规定的智能化应用主要包含装备智能化、充填配比模型、视频智能分析、智能化巡检、三维可视化、数字孪生等智能化、数字化技术与应用。</w:t>
      </w:r>
    </w:p>
    <w:p w14:paraId="048B4ED5">
      <w:pPr>
        <w:ind w:firstLine="480"/>
        <w:rPr>
          <w:rFonts w:hint="default" w:ascii="Times New Roman" w:hAnsi="Times New Roman"/>
          <w:sz w:val="24"/>
          <w:lang w:val="en-US" w:eastAsia="zh-CN"/>
        </w:rPr>
      </w:pPr>
      <w:r>
        <w:rPr>
          <w:rFonts w:hint="default" w:ascii="Times New Roman" w:hAnsi="Times New Roman"/>
          <w:sz w:val="24"/>
          <w:lang w:val="en-US" w:eastAsia="zh-CN"/>
        </w:rPr>
        <w:t>说明：</w:t>
      </w:r>
    </w:p>
    <w:p w14:paraId="4D90C50C">
      <w:pPr>
        <w:ind w:firstLine="480"/>
        <w:rPr>
          <w:rFonts w:hint="default" w:ascii="Times New Roman" w:hAnsi="Times New Roman"/>
          <w:sz w:val="24"/>
        </w:rPr>
      </w:pPr>
      <w:r>
        <w:rPr>
          <w:rFonts w:hint="default" w:ascii="Times New Roman" w:hAnsi="Times New Roman"/>
          <w:sz w:val="24"/>
          <w:lang w:val="en-US" w:eastAsia="zh-CN"/>
        </w:rPr>
        <w:t>近年来，国家密集出台了一系列政策文件，对矿山智能化建设和绿色低碳发展提出了明确要求。国务院《关于深入实施"人工智能+"行动的意见》明确提出"到2027年实现人工智能与重点领域深度融合"的阶段性目标。国家矿山安全监察局发布《金属非金属矿山智能化建设指南（2025年版）》，将充填作业列为地下矿山智能化建设的十大业务系统之一，明确要求建立智能充填系统，实现充填全流程无人化作业，配备浓度、流量、料位、压力、管道等多种智能传感器，实现自动制浆、自主充填作业、自适应控制顶板、关键参数实时监测与动态优化、设备工况实时监测、故障自诊断与异常报警、管道智能监测与自动清洗、充填质量自动评价等功能。工信部等八部门联合印发《"人工智能+制造"专项行动实施意见》，要求加快重点行业应用赋能、加速全流程转型升级、推动智能装备迭代。工信部印发《工业互联网和人工智能融合赋能行动方案》，推动人工智能技术在工业互联网基础设施规划、建设、运营、维护等环节深入应用。这些政策为充填智能化系统的研发、创新和应用提供了明确的方向和路径。</w:t>
      </w:r>
    </w:p>
    <w:p w14:paraId="190A9D08">
      <w:pPr>
        <w:ind w:firstLine="480"/>
        <w:rPr>
          <w:rFonts w:hint="default" w:ascii="Times New Roman" w:hAnsi="Times New Roman"/>
          <w:sz w:val="24"/>
        </w:rPr>
      </w:pPr>
      <w:r>
        <w:rPr>
          <w:rFonts w:hint="default" w:ascii="Times New Roman" w:hAnsi="Times New Roman"/>
          <w:sz w:val="24"/>
          <w:lang w:val="en-US" w:eastAsia="zh-CN"/>
        </w:rPr>
        <w:t>充填智能系统是工艺、设备、智能控制等技术高度融合并通过实践提升的生产技术，以工业互联网、大数据、人工智能、数字孪生等技术为支撑，建立生产数据库，提高对原料性质、设备状态、生产状态的识别能力，提高控制决策的准确性和适应性，用精细化和知识型的生产操作模式代替粗放、经验式生产模式。</w:t>
      </w:r>
    </w:p>
    <w:p w14:paraId="3ECE8736">
      <w:pPr>
        <w:ind w:firstLine="480"/>
        <w:rPr>
          <w:rFonts w:hint="default" w:ascii="Times New Roman" w:hAnsi="Times New Roman"/>
          <w:sz w:val="24"/>
        </w:rPr>
      </w:pPr>
      <w:r>
        <w:rPr>
          <w:rFonts w:hint="default" w:ascii="Times New Roman" w:hAnsi="Times New Roman"/>
          <w:sz w:val="24"/>
          <w:lang w:val="en-US" w:eastAsia="zh-CN"/>
        </w:rPr>
        <w:t>要实现智能化系统建设，采用高效型智能化充填装备及设施是基础。智能化的装备主要包括智能尾砂浓缩贮存装置、智能控制阀、智能仪表、智能配电装置等。</w:t>
      </w:r>
    </w:p>
    <w:p w14:paraId="532A40E2">
      <w:pPr>
        <w:ind w:firstLine="480"/>
        <w:rPr>
          <w:rFonts w:hint="default" w:ascii="Times New Roman" w:hAnsi="Times New Roman"/>
          <w:sz w:val="24"/>
        </w:rPr>
      </w:pPr>
      <w:r>
        <w:rPr>
          <w:rFonts w:hint="default" w:ascii="Times New Roman" w:hAnsi="Times New Roman"/>
          <w:sz w:val="24"/>
          <w:lang w:val="en-US" w:eastAsia="zh-CN"/>
        </w:rPr>
        <w:t>充填配比模型是实现一键充填、智能化充填的关键。充填配比模型应根据各个企业充填工艺流程的不同分别构建，构建充填配比模型的数据包括：胶凝材料用量、骨料用量、充填新水消耗量、充填循环水消耗量、充填量、浓度、灰砂比、管道冲洗水消耗量等。</w:t>
      </w:r>
    </w:p>
    <w:p w14:paraId="595F5769">
      <w:pPr>
        <w:ind w:firstLine="480"/>
        <w:rPr>
          <w:rFonts w:hint="default" w:ascii="Times New Roman" w:hAnsi="Times New Roman"/>
          <w:sz w:val="24"/>
        </w:rPr>
      </w:pPr>
      <w:r>
        <w:rPr>
          <w:rFonts w:hint="default" w:ascii="Times New Roman" w:hAnsi="Times New Roman"/>
          <w:sz w:val="24"/>
          <w:lang w:val="en-US" w:eastAsia="zh-CN"/>
        </w:rPr>
        <w:t>视频智能分析技术目前在各行各业取得了较广阔的应用空间，其采用目标识别等智能算法，对接入的视频数据进行智能分析，包括现场辅助设备缺失、移动，设备异常状态的视觉识别，环境异常，现场人员异常行为、安全行为，区域异常人员/异物侵入识别分析等，将智能分析服务下沉至现场，形成现场业务闭环，可提升故障响应实时性，降低因网络波动等外界因素导致的传输延迟。</w:t>
      </w:r>
    </w:p>
    <w:p w14:paraId="13BA2A49">
      <w:pPr>
        <w:ind w:firstLine="480"/>
        <w:rPr>
          <w:rFonts w:hint="default" w:ascii="Times New Roman" w:hAnsi="Times New Roman"/>
          <w:sz w:val="24"/>
        </w:rPr>
      </w:pPr>
      <w:r>
        <w:rPr>
          <w:rFonts w:hint="default" w:ascii="Times New Roman" w:hAnsi="Times New Roman"/>
          <w:sz w:val="24"/>
          <w:lang w:val="en-US" w:eastAsia="zh-CN"/>
        </w:rPr>
        <w:t>智能化巡检系统以智能巡检装置为核心，结合实时通信系统、供电系统、后台软件以及相关附件，可代替人工进行工艺设施（管道）、供电设备与环境的大范围、不间断巡视、检查。具有手动/自动巡检、智能识别、智能分析、语音对讲等功能。其通过高速网络通讯系统，实现巡检系统、生产系统之间的协调联动，实现充填设施、供电等的无人化值守。</w:t>
      </w:r>
    </w:p>
    <w:p w14:paraId="0A0A06CE">
      <w:pPr>
        <w:ind w:firstLine="480"/>
        <w:rPr>
          <w:rFonts w:hint="default" w:ascii="Times New Roman" w:hAnsi="Times New Roman"/>
          <w:sz w:val="24"/>
        </w:rPr>
      </w:pPr>
      <w:r>
        <w:rPr>
          <w:rFonts w:hint="default" w:ascii="Times New Roman" w:hAnsi="Times New Roman"/>
          <w:sz w:val="24"/>
          <w:lang w:val="en-US" w:eastAsia="zh-CN"/>
        </w:rPr>
        <w:t>结合三维建模、物联网、GIS、虚拟现实等技术的三维可视化系统已经在各行业得到广泛应用。三维可视化系统的建设将基于成熟的三维可视化技术及平台，重点关注充填系统实际需求，对系统数据进行整合，目的是在逼真的虚拟空间内，完成对充填系统的在线监测、运行状态跟踪和人机交互等。其通过三维可视化建模技术能够真实再现充填三维场景，构建具有沉浸感的三维虚拟环境。</w:t>
      </w:r>
    </w:p>
    <w:p w14:paraId="0DD40F7B">
      <w:pPr>
        <w:ind w:firstLine="480"/>
        <w:rPr>
          <w:rFonts w:hint="eastAsia" w:ascii="Times New Roman" w:hAnsi="Times New Roman"/>
          <w:sz w:val="24"/>
        </w:rPr>
      </w:pPr>
      <w:r>
        <w:rPr>
          <w:rFonts w:hint="default" w:ascii="Times New Roman" w:hAnsi="Times New Roman"/>
          <w:sz w:val="24"/>
          <w:lang w:val="en-US" w:eastAsia="zh-CN"/>
        </w:rPr>
        <w:t>数字孪生作为人类解构、描述、认识物理世界的新一代信息技术，是当今计算机仿真和图像处理领域中一个非常活跃的发展方向，已经成为全球信息技术发展的新焦点，直接应用于航天航空、先进制造、能源开采、智慧城市、视频监控、人机交互等领域。数字孪生针对充填系统规划建设、运行实时仿真、轻量化分散充填任务等需求，基于数字孪生技术，实现模拟对象在现实环境中的行为，对充填过程乃至整个矿山进行准确、完整、实时虚拟仿真的目标</w:t>
      </w:r>
      <w:r>
        <w:rPr>
          <w:rFonts w:hint="eastAsia" w:ascii="Times New Roman" w:hAnsi="Times New Roman"/>
          <w:sz w:val="24"/>
        </w:rPr>
        <w:t>。</w:t>
      </w:r>
    </w:p>
    <w:p w14:paraId="1B62946A">
      <w:pPr>
        <w:pStyle w:val="4"/>
        <w:spacing w:beforeLines="0" w:afterLines="0"/>
        <w:jc w:val="both"/>
        <w:rPr>
          <w:sz w:val="28"/>
        </w:rPr>
      </w:pPr>
      <w:bookmarkStart w:id="45" w:name="_Toc135064436"/>
      <w:r>
        <w:rPr>
          <w:rFonts w:hint="eastAsia"/>
          <w:sz w:val="28"/>
        </w:rPr>
        <w:t>8、信息化</w:t>
      </w:r>
      <w:bookmarkEnd w:id="45"/>
    </w:p>
    <w:p w14:paraId="1E756E39">
      <w:pPr>
        <w:ind w:firstLine="480"/>
        <w:rPr>
          <w:rFonts w:hint="eastAsia" w:ascii="Times New Roman" w:hAnsi="Times New Roman"/>
          <w:sz w:val="24"/>
        </w:rPr>
      </w:pPr>
      <w:r>
        <w:rPr>
          <w:rFonts w:hint="eastAsia" w:ascii="Times New Roman" w:hAnsi="Times New Roman"/>
          <w:sz w:val="24"/>
        </w:rPr>
        <w:t>本章主要包含计划管理、调度管理、物料管理、工艺参数实验管理等充填作业紧密相关的的信息化应用。</w:t>
      </w:r>
    </w:p>
    <w:p w14:paraId="4975616B">
      <w:pPr>
        <w:ind w:firstLine="480"/>
        <w:rPr>
          <w:rFonts w:hint="eastAsia" w:ascii="Times New Roman" w:hAnsi="Times New Roman" w:eastAsia="宋体"/>
          <w:sz w:val="24"/>
          <w:lang w:val="en-US" w:eastAsia="zh-CN"/>
        </w:rPr>
      </w:pPr>
      <w:r>
        <w:rPr>
          <w:rFonts w:hint="eastAsia" w:ascii="Times New Roman" w:hAnsi="Times New Roman"/>
          <w:sz w:val="24"/>
          <w:lang w:val="en-US" w:eastAsia="zh-CN"/>
        </w:rPr>
        <w:t>说明：</w:t>
      </w:r>
    </w:p>
    <w:p w14:paraId="2FE458DC">
      <w:pPr>
        <w:ind w:firstLine="480"/>
        <w:rPr>
          <w:rFonts w:hint="eastAsia" w:ascii="Times New Roman" w:hAnsi="Times New Roman"/>
          <w:sz w:val="24"/>
        </w:rPr>
      </w:pPr>
      <w:r>
        <w:rPr>
          <w:rFonts w:hint="eastAsia" w:ascii="Times New Roman" w:hAnsi="Times New Roman"/>
          <w:sz w:val="24"/>
        </w:rPr>
        <w:t>信息化管理是智能化系统的重要组成部分，与《推动工业互联网平台高质量发展行动方案（2026—2028年）》中提出的"推动工业互联网平台迭代演进和规模推广"要求相衔接，也与《原材料工业数字化转型工作方案（2024—2026年）》中提出的"加快原材料工业数字化转型"目标相一致。通过计划管理、调度管理、物料管理、工艺参数实验管理等信息化应用，实现充填作业全流程的数据化管理，为智能化决策提供数据支撑。</w:t>
      </w:r>
    </w:p>
    <w:p w14:paraId="06AB1978">
      <w:pPr>
        <w:pStyle w:val="2"/>
      </w:pPr>
    </w:p>
    <w:p w14:paraId="6631CC28">
      <w:pPr>
        <w:pStyle w:val="3"/>
        <w:rPr>
          <w:rFonts w:ascii="Times New Roman" w:hAnsi="Times New Roman"/>
          <w:sz w:val="30"/>
        </w:rPr>
      </w:pPr>
      <w:bookmarkStart w:id="46" w:name="_Toc135064437"/>
      <w:r>
        <w:rPr>
          <w:rFonts w:hint="eastAsia" w:ascii="Times New Roman" w:hAnsi="Times New Roman"/>
          <w:sz w:val="30"/>
        </w:rPr>
        <w:t>四、主要试验（或验证）情况分析</w:t>
      </w:r>
      <w:bookmarkEnd w:id="46"/>
    </w:p>
    <w:p w14:paraId="1F720B60">
      <w:pPr>
        <w:pStyle w:val="46"/>
        <w:rPr>
          <w:rFonts w:hint="eastAsia"/>
        </w:rPr>
      </w:pPr>
      <w:r>
        <w:rPr>
          <w:rFonts w:hint="eastAsia"/>
        </w:rPr>
        <w:t>本文件涉及内容均为行业内或相关行业成熟技术，不需要开展试验或验证工作。</w:t>
      </w:r>
    </w:p>
    <w:p w14:paraId="44A41AF0">
      <w:pPr>
        <w:pStyle w:val="46"/>
        <w:rPr>
          <w:rFonts w:hint="eastAsia"/>
        </w:rPr>
      </w:pPr>
    </w:p>
    <w:p w14:paraId="752B2A7A">
      <w:pPr>
        <w:pStyle w:val="3"/>
        <w:rPr>
          <w:rFonts w:ascii="Times New Roman" w:hAnsi="Times New Roman"/>
          <w:sz w:val="30"/>
        </w:rPr>
      </w:pPr>
      <w:bookmarkStart w:id="47" w:name="_Toc135064438"/>
      <w:bookmarkStart w:id="48" w:name="_Toc29892"/>
      <w:r>
        <w:rPr>
          <w:rFonts w:hint="eastAsia" w:ascii="Times New Roman" w:hAnsi="Times New Roman"/>
          <w:sz w:val="30"/>
        </w:rPr>
        <w:t>五</w:t>
      </w:r>
      <w:r>
        <w:rPr>
          <w:rFonts w:ascii="Times New Roman" w:hAnsi="Times New Roman"/>
          <w:sz w:val="30"/>
        </w:rPr>
        <w:t>、标准中如涉及专利，应有明确的知识产权说明</w:t>
      </w:r>
      <w:bookmarkEnd w:id="47"/>
      <w:bookmarkEnd w:id="48"/>
    </w:p>
    <w:p w14:paraId="14098AE6">
      <w:pPr>
        <w:pStyle w:val="46"/>
      </w:pPr>
      <w:r>
        <w:t>本标准不涉及专利</w:t>
      </w:r>
      <w:r>
        <w:rPr>
          <w:rFonts w:hint="eastAsia"/>
        </w:rPr>
        <w:t>问题</w:t>
      </w:r>
      <w:r>
        <w:t>。</w:t>
      </w:r>
    </w:p>
    <w:p w14:paraId="00AA19AC">
      <w:pPr>
        <w:pStyle w:val="46"/>
      </w:pPr>
    </w:p>
    <w:p w14:paraId="4D2267B4">
      <w:pPr>
        <w:pStyle w:val="3"/>
        <w:rPr>
          <w:rFonts w:ascii="Times New Roman" w:hAnsi="Times New Roman"/>
          <w:sz w:val="30"/>
        </w:rPr>
      </w:pPr>
      <w:bookmarkStart w:id="49" w:name="_Toc25347"/>
      <w:bookmarkStart w:id="50" w:name="_Toc135064439"/>
      <w:r>
        <w:rPr>
          <w:rFonts w:hint="eastAsia" w:ascii="Times New Roman" w:hAnsi="Times New Roman"/>
          <w:sz w:val="30"/>
        </w:rPr>
        <w:t>六</w:t>
      </w:r>
      <w:r>
        <w:rPr>
          <w:rFonts w:ascii="Times New Roman" w:hAnsi="Times New Roman"/>
          <w:sz w:val="30"/>
        </w:rPr>
        <w:t>、预期达到的经济效果</w:t>
      </w:r>
      <w:bookmarkEnd w:id="49"/>
      <w:bookmarkEnd w:id="50"/>
    </w:p>
    <w:p w14:paraId="3BF14F8A">
      <w:pPr>
        <w:pStyle w:val="4"/>
        <w:spacing w:beforeLines="0" w:afterLines="0"/>
        <w:jc w:val="both"/>
        <w:rPr>
          <w:sz w:val="28"/>
        </w:rPr>
      </w:pPr>
      <w:bookmarkStart w:id="51" w:name="_Toc135064440"/>
      <w:r>
        <w:rPr>
          <w:sz w:val="28"/>
        </w:rPr>
        <w:t>1</w:t>
      </w:r>
      <w:r>
        <w:rPr>
          <w:rFonts w:hint="eastAsia"/>
          <w:sz w:val="28"/>
        </w:rPr>
        <w:t>、</w:t>
      </w:r>
      <w:r>
        <w:rPr>
          <w:sz w:val="28"/>
        </w:rPr>
        <w:t>项目的必要性</w:t>
      </w:r>
      <w:bookmarkEnd w:id="51"/>
    </w:p>
    <w:p w14:paraId="02FEE998">
      <w:pPr>
        <w:ind w:firstLine="480"/>
        <w:rPr>
          <w:rFonts w:ascii="Times New Roman" w:hAnsi="Times New Roman"/>
          <w:sz w:val="24"/>
        </w:rPr>
      </w:pPr>
      <w:r>
        <w:rPr>
          <w:rFonts w:hint="eastAsia" w:ascii="Times New Roman" w:hAnsi="Times New Roman"/>
          <w:sz w:val="24"/>
        </w:rPr>
        <w:t>有色金属矿山作为节能降耗重点行业，充填智能技术的标准化工作是推动绿色化改造、智能化升级、构建本质安全矿山的重要支撑，也是企业深挖节能潜力、提升能效水平的有效措施。发展有色金属矿山高浓度膏体智能充填技术是国家推进绿色矿山建设的需要，是有色金属矿山深部开采的安全保障。本标准的制定能够填补矿山充填领域智能系统技术标准的空白，规范矿山高浓度膏体智能充填系统工作的一致性，确保矿山充填技术更加正确快速开展智能化升级改造，提升企业能效水平，制定《有色金属矿山高浓度膏体充填智能系统技术规范》势在必行。</w:t>
      </w:r>
    </w:p>
    <w:p w14:paraId="0854301C">
      <w:pPr>
        <w:pStyle w:val="4"/>
        <w:spacing w:beforeLines="0" w:afterLines="0"/>
        <w:jc w:val="both"/>
        <w:rPr>
          <w:sz w:val="28"/>
        </w:rPr>
      </w:pPr>
      <w:bookmarkStart w:id="52" w:name="_Toc135064441"/>
      <w:r>
        <w:rPr>
          <w:rFonts w:hint="eastAsia"/>
          <w:sz w:val="28"/>
        </w:rPr>
        <w:t>2、</w:t>
      </w:r>
      <w:r>
        <w:rPr>
          <w:sz w:val="28"/>
        </w:rPr>
        <w:t>项目的可行性</w:t>
      </w:r>
      <w:bookmarkEnd w:id="52"/>
    </w:p>
    <w:p w14:paraId="20C64505">
      <w:pPr>
        <w:ind w:firstLine="480"/>
        <w:rPr>
          <w:rFonts w:ascii="Times New Roman" w:hAnsi="Times New Roman"/>
          <w:sz w:val="24"/>
        </w:rPr>
      </w:pPr>
      <w:r>
        <w:rPr>
          <w:rFonts w:hint="eastAsia" w:ascii="Times New Roman" w:hAnsi="Times New Roman"/>
          <w:sz w:val="24"/>
        </w:rPr>
        <w:t>近年来，国家密集出台了一系列政策文件，对矿山智能化建设和绿色低碳发展提出了明确要求。国务院《关于深入实施"人工智能+"行动的意见》明确提出"到2027年实现人工智能与重点领域深度融合"的阶段性目标。国家矿山安全监察局发布《金属非金属矿山智能化建设指南（2025年版）》，将充填作业列为地下矿山智能化建设的十大业务系统之一，明确要求建立智能充填系统，实现充填全流程无人化作业。工信部等八部门联合印发《"人工智能+制造"专项行动实施意见》，要求加快重点行业应用赋能、加速全流程转型升级、推动智能装备迭代。工信部印发《工业互联网和人工智能融合赋能行动方案》，推动人工智能技术在工业互联网基础设施规划、建设、运营、维护等环节深入应用。中共中央、国务院《关于加快经济社会发展全面绿色转型的意见》强调大力发展循环经济，到2030年大宗固体废弃物年利用量达到45亿吨左右。国务院办公厅《固体废物综合治理行动计划》明确提出"推动重有色金属矿采选一体化建设，促进尾矿就近充填回填，原则上不再批准建设无自建矿山、无配套尾矿利用处置设施的选矿项目"。《矿产资源规划（2026—2030年）》要求推广充填开采、无废采矿技术，2028年前建成30个智能化开采示范基地。国家及行业相关政策，引领矿山加速智能化升级改造的步伐，也为金属非金属矿山高浓度膏体充填技术指明了方向，即打造"安全、高效、智能、绿色"的新型矿山智能充填系统模式，以建设少人、无人矿山为终极目标，围绕矿山行业、物联网、大数据、人工智能等深度融合的关键环节，大力推进充填智能化系统的研发、创新和应用。</w:t>
      </w:r>
    </w:p>
    <w:p w14:paraId="715286AE">
      <w:pPr>
        <w:pStyle w:val="4"/>
        <w:spacing w:beforeLines="0" w:afterLines="0"/>
        <w:jc w:val="both"/>
        <w:rPr>
          <w:sz w:val="28"/>
        </w:rPr>
      </w:pPr>
      <w:bookmarkStart w:id="53" w:name="_Toc135064442"/>
      <w:r>
        <w:rPr>
          <w:rFonts w:hint="eastAsia"/>
          <w:sz w:val="28"/>
        </w:rPr>
        <w:t>3、</w:t>
      </w:r>
      <w:r>
        <w:rPr>
          <w:sz w:val="28"/>
        </w:rPr>
        <w:t>标准的先进性、创新性、标准实施后预期产生的经济效益和社会效益</w:t>
      </w:r>
      <w:bookmarkEnd w:id="53"/>
    </w:p>
    <w:p w14:paraId="0605A2CF">
      <w:pPr>
        <w:ind w:firstLine="480"/>
        <w:rPr>
          <w:rFonts w:ascii="Times New Roman" w:hAnsi="Times New Roman"/>
          <w:sz w:val="24"/>
        </w:rPr>
      </w:pPr>
      <w:r>
        <w:rPr>
          <w:rFonts w:ascii="Times New Roman" w:hAnsi="Times New Roman"/>
          <w:sz w:val="24"/>
        </w:rPr>
        <w:t>（1）</w:t>
      </w:r>
      <w:r>
        <w:rPr>
          <w:rFonts w:hint="eastAsia" w:ascii="Times New Roman" w:hAnsi="Times New Roman"/>
          <w:sz w:val="24"/>
        </w:rPr>
        <w:t>标准实施后预期达到的社会效益</w:t>
      </w:r>
    </w:p>
    <w:p w14:paraId="21439620">
      <w:pPr>
        <w:ind w:firstLine="480"/>
        <w:rPr>
          <w:rFonts w:ascii="Times New Roman" w:hAnsi="Times New Roman"/>
          <w:sz w:val="24"/>
        </w:rPr>
      </w:pPr>
      <w:r>
        <w:rPr>
          <w:rFonts w:hint="eastAsia" w:ascii="Times New Roman" w:hAnsi="Times New Roman"/>
          <w:sz w:val="24"/>
        </w:rPr>
        <w:t>有色金属矿山作为节能降耗重点行业，充填智能系统的标准化工作是推动绿色化改造、智能化升级、构建本质安全矿山的重要支撑，也是企业深挖节能潜力、提升能效水平的有效措施。标准实施后，将显著提升矿山充填作业的智能化水平和本质安全水平，推动充填环节从"有人值守"向"无人值守"转变，有效降低作业人员安全风险，减少井下人员伤亡事故。同时，通过智能化精确控制充填料浆浓度、灰砂比等关键工艺参数，可大幅提升充填质量稳定性，减少地表塌陷、采空区冒落等次生灾害，保障周边居民生命财产安全。此外，标准将推动尾矿资源化规模化利用，促进"采-选-充"一体化绿色矿山建设模式推广，助力实现"双碳"目标和矿产资源安全保障战略。</w:t>
      </w:r>
    </w:p>
    <w:p w14:paraId="38E30292">
      <w:pPr>
        <w:ind w:firstLine="480"/>
        <w:rPr>
          <w:rFonts w:ascii="Times New Roman" w:hAnsi="Times New Roman"/>
          <w:sz w:val="24"/>
        </w:rPr>
      </w:pPr>
      <w:r>
        <w:rPr>
          <w:rFonts w:ascii="Times New Roman" w:hAnsi="Times New Roman"/>
          <w:sz w:val="24"/>
        </w:rPr>
        <w:t>（2）</w:t>
      </w:r>
      <w:r>
        <w:rPr>
          <w:rFonts w:hint="eastAsia" w:ascii="Times New Roman" w:hAnsi="Times New Roman"/>
          <w:sz w:val="24"/>
        </w:rPr>
        <w:t>标准实施后对产业发展的作用</w:t>
      </w:r>
    </w:p>
    <w:p w14:paraId="77E676AC">
      <w:pPr>
        <w:ind w:firstLine="480"/>
        <w:rPr>
          <w:rFonts w:hint="eastAsia" w:ascii="Times New Roman" w:hAnsi="Times New Roman"/>
          <w:sz w:val="24"/>
        </w:rPr>
      </w:pPr>
      <w:r>
        <w:rPr>
          <w:rFonts w:hint="eastAsia" w:ascii="Times New Roman" w:hAnsi="Times New Roman"/>
          <w:sz w:val="24"/>
        </w:rPr>
        <w:t>本标准的制定能够填补矿山充填领域智能系统技术标准的空白，规范矿山高浓度膏体智能充填系统工作的一致性，确保矿山充填技术更加正确快速开展智能化升级改造，提升企业能效水平。标准实施后，将为有色金属矿山充填智能化建设提供统一的技术规范和验收依据，推动行业从"自动化"向"智能化"跃升，加速"人工智能+制造"在矿山充填领域的深度融合应用。</w:t>
      </w:r>
    </w:p>
    <w:p w14:paraId="0358040F">
      <w:pPr>
        <w:pStyle w:val="2"/>
      </w:pPr>
    </w:p>
    <w:p w14:paraId="5F63AA4E">
      <w:pPr>
        <w:pStyle w:val="3"/>
        <w:rPr>
          <w:rFonts w:ascii="Times New Roman" w:hAnsi="Times New Roman"/>
          <w:sz w:val="30"/>
        </w:rPr>
      </w:pPr>
      <w:bookmarkStart w:id="54" w:name="_Toc11724"/>
      <w:bookmarkStart w:id="55" w:name="_Toc135064443"/>
      <w:r>
        <w:rPr>
          <w:rFonts w:hint="eastAsia" w:ascii="Times New Roman" w:hAnsi="Times New Roman"/>
          <w:sz w:val="30"/>
        </w:rPr>
        <w:t>七</w:t>
      </w:r>
      <w:r>
        <w:rPr>
          <w:rFonts w:ascii="Times New Roman" w:hAnsi="Times New Roman"/>
          <w:sz w:val="30"/>
        </w:rPr>
        <w:t>、采用国际标准或国外先进标准的</w:t>
      </w:r>
      <w:r>
        <w:rPr>
          <w:rFonts w:hint="eastAsia" w:ascii="Times New Roman" w:hAnsi="Times New Roman"/>
          <w:sz w:val="30"/>
        </w:rPr>
        <w:t>对</w:t>
      </w:r>
      <w:r>
        <w:rPr>
          <w:rFonts w:ascii="Times New Roman" w:hAnsi="Times New Roman"/>
          <w:sz w:val="30"/>
        </w:rPr>
        <w:t>比情况</w:t>
      </w:r>
      <w:bookmarkEnd w:id="54"/>
      <w:bookmarkEnd w:id="55"/>
    </w:p>
    <w:p w14:paraId="0D895C10">
      <w:pPr>
        <w:ind w:firstLine="480"/>
        <w:rPr>
          <w:rFonts w:ascii="Times New Roman" w:hAnsi="Times New Roman"/>
          <w:sz w:val="24"/>
        </w:rPr>
      </w:pPr>
      <w:r>
        <w:rPr>
          <w:rFonts w:hint="eastAsia" w:ascii="Times New Roman" w:hAnsi="Times New Roman"/>
          <w:sz w:val="24"/>
        </w:rPr>
        <w:t>本标准没有采用国际标准。</w:t>
      </w:r>
    </w:p>
    <w:p w14:paraId="699D909A">
      <w:pPr>
        <w:ind w:firstLine="480"/>
        <w:rPr>
          <w:rFonts w:hint="eastAsia" w:ascii="Times New Roman" w:hAnsi="Times New Roman"/>
          <w:sz w:val="24"/>
        </w:rPr>
      </w:pPr>
      <w:r>
        <w:rPr>
          <w:rFonts w:hint="eastAsia" w:ascii="Times New Roman" w:hAnsi="Times New Roman"/>
          <w:sz w:val="24"/>
        </w:rPr>
        <w:t>本标准制订过程中未查到同类国际、国外标准。</w:t>
      </w:r>
    </w:p>
    <w:p w14:paraId="489B7842">
      <w:pPr>
        <w:pStyle w:val="2"/>
      </w:pPr>
    </w:p>
    <w:p w14:paraId="5CC14606">
      <w:pPr>
        <w:pStyle w:val="3"/>
        <w:rPr>
          <w:rFonts w:ascii="Times New Roman" w:hAnsi="Times New Roman"/>
          <w:sz w:val="30"/>
        </w:rPr>
      </w:pPr>
      <w:bookmarkStart w:id="56" w:name="_Toc135064444"/>
      <w:bookmarkStart w:id="57" w:name="_Toc2066"/>
      <w:r>
        <w:rPr>
          <w:rFonts w:hint="eastAsia" w:ascii="Times New Roman" w:hAnsi="Times New Roman"/>
          <w:sz w:val="30"/>
        </w:rPr>
        <w:t>八</w:t>
      </w:r>
      <w:r>
        <w:rPr>
          <w:rFonts w:ascii="Times New Roman" w:hAnsi="Times New Roman"/>
          <w:sz w:val="30"/>
        </w:rPr>
        <w:t>、与现行法律、法规、强制性国家标准及相关标准协调配套情况</w:t>
      </w:r>
      <w:bookmarkEnd w:id="56"/>
      <w:bookmarkEnd w:id="57"/>
    </w:p>
    <w:p w14:paraId="7DA84B76">
      <w:pPr>
        <w:ind w:firstLine="480"/>
        <w:rPr>
          <w:rFonts w:ascii="Times New Roman" w:hAnsi="Times New Roman"/>
          <w:sz w:val="24"/>
        </w:rPr>
      </w:pPr>
      <w:r>
        <w:rPr>
          <w:rFonts w:ascii="Times New Roman" w:hAnsi="Times New Roman"/>
          <w:sz w:val="24"/>
        </w:rPr>
        <w:t>本标准与现行法律、法规、规章和相关标准协调一致，标准的格式和表达方式等方面完全执行了现行的国家标准和有关法规，符合GB/T 1.1的有关要求。</w:t>
      </w:r>
    </w:p>
    <w:p w14:paraId="483B0294">
      <w:pPr>
        <w:pStyle w:val="2"/>
      </w:pPr>
    </w:p>
    <w:p w14:paraId="3C63F4AA">
      <w:pPr>
        <w:pStyle w:val="3"/>
        <w:rPr>
          <w:rFonts w:ascii="Times New Roman" w:hAnsi="Times New Roman"/>
          <w:sz w:val="30"/>
        </w:rPr>
      </w:pPr>
      <w:bookmarkStart w:id="58" w:name="_Toc135064445"/>
      <w:bookmarkStart w:id="59" w:name="_Toc24992"/>
      <w:r>
        <w:rPr>
          <w:rFonts w:hint="eastAsia" w:ascii="Times New Roman" w:hAnsi="Times New Roman"/>
          <w:sz w:val="30"/>
        </w:rPr>
        <w:t>九、</w:t>
      </w:r>
      <w:r>
        <w:rPr>
          <w:rFonts w:ascii="Times New Roman" w:hAnsi="Times New Roman"/>
          <w:sz w:val="30"/>
        </w:rPr>
        <w:t>重大分歧意见的处理经过和依据</w:t>
      </w:r>
      <w:bookmarkEnd w:id="58"/>
      <w:bookmarkEnd w:id="59"/>
    </w:p>
    <w:p w14:paraId="61ADEEE7">
      <w:pPr>
        <w:ind w:firstLine="480"/>
        <w:rPr>
          <w:rFonts w:ascii="Times New Roman" w:hAnsi="Times New Roman"/>
          <w:sz w:val="24"/>
        </w:rPr>
      </w:pPr>
      <w:r>
        <w:rPr>
          <w:rFonts w:ascii="Times New Roman" w:hAnsi="Times New Roman"/>
          <w:sz w:val="24"/>
        </w:rPr>
        <w:t>本标准未产生重大分歧意见。</w:t>
      </w:r>
    </w:p>
    <w:p w14:paraId="47894105">
      <w:pPr>
        <w:pStyle w:val="2"/>
      </w:pPr>
    </w:p>
    <w:p w14:paraId="68B30941">
      <w:pPr>
        <w:pStyle w:val="3"/>
        <w:rPr>
          <w:rFonts w:ascii="Times New Roman" w:hAnsi="Times New Roman"/>
          <w:sz w:val="30"/>
        </w:rPr>
      </w:pPr>
      <w:bookmarkStart w:id="60" w:name="_Toc23301"/>
      <w:bookmarkStart w:id="61" w:name="_Toc135064446"/>
      <w:r>
        <w:rPr>
          <w:rFonts w:hint="eastAsia" w:ascii="Times New Roman" w:hAnsi="Times New Roman"/>
          <w:sz w:val="30"/>
        </w:rPr>
        <w:t>十</w:t>
      </w:r>
      <w:r>
        <w:rPr>
          <w:rFonts w:ascii="Times New Roman" w:hAnsi="Times New Roman"/>
          <w:sz w:val="30"/>
        </w:rPr>
        <w:t>、</w:t>
      </w:r>
      <w:bookmarkEnd w:id="60"/>
      <w:r>
        <w:rPr>
          <w:rFonts w:ascii="Times New Roman" w:hAnsi="Times New Roman"/>
          <w:sz w:val="30"/>
        </w:rPr>
        <w:t>标准性质的建议说明</w:t>
      </w:r>
      <w:bookmarkEnd w:id="61"/>
    </w:p>
    <w:p w14:paraId="3776EDB0">
      <w:pPr>
        <w:ind w:firstLine="480"/>
        <w:rPr>
          <w:rFonts w:ascii="Times New Roman" w:hAnsi="Times New Roman"/>
          <w:sz w:val="24"/>
        </w:rPr>
      </w:pPr>
      <w:r>
        <w:rPr>
          <w:rFonts w:ascii="Times New Roman" w:hAnsi="Times New Roman"/>
          <w:sz w:val="24"/>
        </w:rPr>
        <w:t>根据标准化法和有关规定，建议本标准的性质为</w:t>
      </w:r>
      <w:r>
        <w:rPr>
          <w:rFonts w:hint="eastAsia" w:ascii="Times New Roman" w:hAnsi="Times New Roman"/>
          <w:sz w:val="24"/>
        </w:rPr>
        <w:t>推荐性协会</w:t>
      </w:r>
      <w:r>
        <w:rPr>
          <w:rFonts w:ascii="Times New Roman" w:hAnsi="Times New Roman"/>
          <w:sz w:val="24"/>
        </w:rPr>
        <w:t>标准。</w:t>
      </w:r>
    </w:p>
    <w:p w14:paraId="26F77C66">
      <w:pPr>
        <w:pStyle w:val="2"/>
      </w:pPr>
    </w:p>
    <w:p w14:paraId="68894211">
      <w:pPr>
        <w:pStyle w:val="3"/>
        <w:rPr>
          <w:rFonts w:ascii="Times New Roman" w:hAnsi="Times New Roman"/>
          <w:sz w:val="30"/>
        </w:rPr>
      </w:pPr>
      <w:bookmarkStart w:id="62" w:name="_Toc25724"/>
      <w:bookmarkStart w:id="63" w:name="_Toc135064447"/>
      <w:r>
        <w:rPr>
          <w:rFonts w:ascii="Times New Roman" w:hAnsi="Times New Roman"/>
          <w:sz w:val="30"/>
        </w:rPr>
        <w:t>十</w:t>
      </w:r>
      <w:r>
        <w:rPr>
          <w:rFonts w:hint="eastAsia" w:ascii="Times New Roman" w:hAnsi="Times New Roman"/>
          <w:sz w:val="30"/>
        </w:rPr>
        <w:t>一</w:t>
      </w:r>
      <w:r>
        <w:rPr>
          <w:rFonts w:ascii="Times New Roman" w:hAnsi="Times New Roman"/>
          <w:sz w:val="30"/>
        </w:rPr>
        <w:t>、贯彻标准的要求和措施建议</w:t>
      </w:r>
      <w:bookmarkEnd w:id="62"/>
      <w:bookmarkEnd w:id="63"/>
    </w:p>
    <w:p w14:paraId="74B86ACD">
      <w:pPr>
        <w:ind w:firstLine="480"/>
        <w:rPr>
          <w:rFonts w:ascii="Times New Roman" w:hAnsi="Times New Roman"/>
          <w:sz w:val="24"/>
        </w:rPr>
      </w:pPr>
      <w:r>
        <w:rPr>
          <w:rFonts w:ascii="Times New Roman" w:hAnsi="Times New Roman"/>
          <w:sz w:val="24"/>
        </w:rPr>
        <w:t>本标准的技术内容是推荐性的，建议标准发布后即可实施，建议本标准由各级人民政府的工业和信息化行政主管部门负责监督实施。</w:t>
      </w:r>
    </w:p>
    <w:p w14:paraId="61E63880">
      <w:pPr>
        <w:ind w:firstLine="480"/>
        <w:rPr>
          <w:rFonts w:ascii="Times New Roman" w:hAnsi="Times New Roman"/>
          <w:sz w:val="24"/>
        </w:rPr>
      </w:pPr>
      <w:r>
        <w:rPr>
          <w:rFonts w:ascii="Times New Roman" w:hAnsi="Times New Roman"/>
          <w:sz w:val="24"/>
        </w:rPr>
        <w:t>本次制定的《</w:t>
      </w:r>
      <w:r>
        <w:rPr>
          <w:rFonts w:hint="eastAsia" w:ascii="Times New Roman" w:hAnsi="Times New Roman"/>
          <w:sz w:val="24"/>
        </w:rPr>
        <w:t>有色</w:t>
      </w:r>
      <w:r>
        <w:rPr>
          <w:rFonts w:ascii="Times New Roman" w:hAnsi="Times New Roman"/>
          <w:sz w:val="24"/>
        </w:rPr>
        <w:t>金属矿山高浓度膏体充填智能系统</w:t>
      </w:r>
      <w:r>
        <w:rPr>
          <w:rFonts w:hint="eastAsia" w:ascii="Times New Roman" w:hAnsi="Times New Roman"/>
          <w:sz w:val="24"/>
        </w:rPr>
        <w:t>技术</w:t>
      </w:r>
      <w:r>
        <w:rPr>
          <w:rFonts w:ascii="Times New Roman" w:hAnsi="Times New Roman"/>
          <w:sz w:val="24"/>
        </w:rPr>
        <w:t>规范》，不仅与生产企业有关，而且与评价机构、行业监督管理部门等相关。对于标准使用过程中容易出现的问题，起草单位有义务进行必要的解释。</w:t>
      </w:r>
    </w:p>
    <w:p w14:paraId="004D2758">
      <w:pPr>
        <w:pStyle w:val="2"/>
      </w:pPr>
    </w:p>
    <w:p w14:paraId="5812746B">
      <w:pPr>
        <w:pStyle w:val="3"/>
        <w:rPr>
          <w:rFonts w:ascii="Times New Roman" w:hAnsi="Times New Roman"/>
          <w:sz w:val="30"/>
        </w:rPr>
      </w:pPr>
      <w:bookmarkStart w:id="64" w:name="_Toc13952"/>
      <w:bookmarkStart w:id="65" w:name="_Toc135064448"/>
      <w:r>
        <w:rPr>
          <w:rFonts w:ascii="Times New Roman" w:hAnsi="Times New Roman"/>
          <w:sz w:val="30"/>
        </w:rPr>
        <w:t>十</w:t>
      </w:r>
      <w:r>
        <w:rPr>
          <w:rFonts w:hint="eastAsia" w:ascii="Times New Roman" w:hAnsi="Times New Roman"/>
          <w:sz w:val="30"/>
        </w:rPr>
        <w:t>二</w:t>
      </w:r>
      <w:r>
        <w:rPr>
          <w:rFonts w:ascii="Times New Roman" w:hAnsi="Times New Roman"/>
          <w:sz w:val="30"/>
        </w:rPr>
        <w:t>、废止现行有关标准的建议</w:t>
      </w:r>
      <w:bookmarkEnd w:id="64"/>
      <w:bookmarkEnd w:id="65"/>
    </w:p>
    <w:p w14:paraId="5709189E">
      <w:pPr>
        <w:ind w:firstLine="480"/>
        <w:rPr>
          <w:rFonts w:ascii="Times New Roman" w:hAnsi="Times New Roman"/>
          <w:sz w:val="24"/>
        </w:rPr>
      </w:pPr>
      <w:r>
        <w:rPr>
          <w:rFonts w:ascii="Times New Roman" w:hAnsi="Times New Roman"/>
          <w:sz w:val="24"/>
        </w:rPr>
        <w:t>本标准为首次制定，无代替标准。</w:t>
      </w:r>
    </w:p>
    <w:p w14:paraId="2A63D87D">
      <w:pPr>
        <w:pStyle w:val="2"/>
      </w:pPr>
    </w:p>
    <w:p w14:paraId="130246E2">
      <w:pPr>
        <w:pStyle w:val="3"/>
        <w:rPr>
          <w:rFonts w:ascii="Times New Roman" w:hAnsi="Times New Roman"/>
          <w:sz w:val="30"/>
        </w:rPr>
      </w:pPr>
      <w:bookmarkStart w:id="66" w:name="_Toc11029"/>
      <w:bookmarkStart w:id="67" w:name="_Toc135064449"/>
      <w:r>
        <w:rPr>
          <w:rFonts w:ascii="Times New Roman" w:hAnsi="Times New Roman"/>
          <w:sz w:val="30"/>
        </w:rPr>
        <w:t>十</w:t>
      </w:r>
      <w:r>
        <w:rPr>
          <w:rFonts w:hint="eastAsia" w:ascii="Times New Roman" w:hAnsi="Times New Roman"/>
          <w:sz w:val="30"/>
        </w:rPr>
        <w:t>三</w:t>
      </w:r>
      <w:r>
        <w:rPr>
          <w:rFonts w:ascii="Times New Roman" w:hAnsi="Times New Roman"/>
          <w:sz w:val="30"/>
        </w:rPr>
        <w:t>、</w:t>
      </w:r>
      <w:bookmarkEnd w:id="66"/>
      <w:r>
        <w:rPr>
          <w:rFonts w:ascii="Times New Roman" w:hAnsi="Times New Roman"/>
          <w:sz w:val="30"/>
        </w:rPr>
        <w:t>其他应予说明的事项</w:t>
      </w:r>
      <w:bookmarkEnd w:id="67"/>
    </w:p>
    <w:p w14:paraId="59660BA4">
      <w:pPr>
        <w:ind w:firstLine="480"/>
        <w:rPr>
          <w:rFonts w:ascii="Times New Roman" w:hAnsi="Times New Roman"/>
          <w:sz w:val="24"/>
        </w:rPr>
      </w:pPr>
      <w:r>
        <w:rPr>
          <w:rFonts w:ascii="Times New Roman" w:hAnsi="Times New Roman"/>
          <w:sz w:val="24"/>
        </w:rPr>
        <w:t>本标准无其他应予说明的事项。</w:t>
      </w:r>
    </w:p>
    <w:p w14:paraId="3AD96D9E">
      <w:pPr>
        <w:ind w:firstLine="420"/>
        <w:jc w:val="right"/>
        <w:rPr>
          <w:rFonts w:ascii="Times New Roman" w:hAnsi="Times New Roman"/>
          <w:szCs w:val="21"/>
        </w:rPr>
      </w:pPr>
    </w:p>
    <w:p w14:paraId="424F1479">
      <w:pPr>
        <w:pStyle w:val="2"/>
      </w:pPr>
    </w:p>
    <w:p w14:paraId="29ABE2CB">
      <w:pPr>
        <w:pStyle w:val="2"/>
      </w:pPr>
    </w:p>
    <w:p w14:paraId="69F8C1B9">
      <w:pPr>
        <w:pStyle w:val="2"/>
      </w:pPr>
    </w:p>
    <w:p w14:paraId="44CF8D78">
      <w:pPr>
        <w:pStyle w:val="2"/>
      </w:pPr>
    </w:p>
    <w:p w14:paraId="3644CB0D">
      <w:pPr>
        <w:pStyle w:val="2"/>
      </w:pPr>
    </w:p>
    <w:p w14:paraId="6DB8E972">
      <w:pPr>
        <w:pStyle w:val="2"/>
      </w:pPr>
    </w:p>
    <w:p w14:paraId="7CDE7036">
      <w:pPr>
        <w:pStyle w:val="2"/>
      </w:pPr>
    </w:p>
    <w:p w14:paraId="3F87E1A6">
      <w:pPr>
        <w:pStyle w:val="2"/>
      </w:pPr>
    </w:p>
    <w:p w14:paraId="38A72CA3">
      <w:pPr>
        <w:pStyle w:val="2"/>
      </w:pPr>
    </w:p>
    <w:p w14:paraId="2CBA7720">
      <w:pPr>
        <w:pStyle w:val="2"/>
      </w:pPr>
    </w:p>
    <w:p w14:paraId="707E5653">
      <w:pPr>
        <w:pStyle w:val="2"/>
      </w:pPr>
    </w:p>
    <w:p w14:paraId="7EAFA380">
      <w:pPr>
        <w:pStyle w:val="2"/>
      </w:pPr>
    </w:p>
    <w:p w14:paraId="2C0459D0">
      <w:pPr>
        <w:pStyle w:val="2"/>
      </w:pPr>
    </w:p>
    <w:p w14:paraId="6ED14A22">
      <w:pPr>
        <w:pStyle w:val="46"/>
        <w:jc w:val="right"/>
      </w:pPr>
      <w:r>
        <w:t>《</w:t>
      </w:r>
      <w:r>
        <w:rPr>
          <w:rFonts w:hint="eastAsia"/>
        </w:rPr>
        <w:t>有色</w:t>
      </w:r>
      <w:r>
        <w:t>金属矿山高浓度膏体充填智能系统</w:t>
      </w:r>
      <w:r>
        <w:rPr>
          <w:rFonts w:hint="eastAsia"/>
        </w:rPr>
        <w:t>技术</w:t>
      </w:r>
      <w:r>
        <w:t>规范》</w:t>
      </w:r>
      <w:r>
        <w:rPr>
          <w:rFonts w:hint="eastAsia"/>
        </w:rPr>
        <w:t>编制组</w:t>
      </w:r>
    </w:p>
    <w:p w14:paraId="6E15F4EF">
      <w:pPr>
        <w:pStyle w:val="46"/>
        <w:jc w:val="right"/>
      </w:pPr>
      <w:bookmarkStart w:id="68" w:name="_Toc5605_WPSOffice_Level1"/>
      <w:r>
        <w:t>202</w:t>
      </w:r>
      <w:r>
        <w:rPr>
          <w:rFonts w:hint="eastAsia"/>
          <w:lang w:val="en-US" w:eastAsia="zh-CN"/>
        </w:rPr>
        <w:t>6</w:t>
      </w:r>
      <w:r>
        <w:t>年</w:t>
      </w:r>
      <w:r>
        <w:rPr>
          <w:rFonts w:hint="eastAsia"/>
          <w:lang w:val="en-US" w:eastAsia="zh-CN"/>
        </w:rPr>
        <w:t>6</w:t>
      </w:r>
      <w:r>
        <w:t>月</w:t>
      </w:r>
      <w:bookmarkEnd w:id="68"/>
    </w:p>
    <w:sectPr>
      <w:footerReference r:id="rId15" w:type="default"/>
      <w:footerReference r:id="rId16" w:type="even"/>
      <w:pgSz w:w="11906" w:h="16838"/>
      <w:pgMar w:top="1440" w:right="1800" w:bottom="1440" w:left="1800"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font-weight : 400">
    <w:altName w:val="Calibri"/>
    <w:panose1 w:val="00000000000000000000"/>
    <w:charset w:val="00"/>
    <w:family w:val="auto"/>
    <w:pitch w:val="default"/>
    <w:sig w:usb0="00000000" w:usb1="00000000" w:usb2="00000000" w:usb3="00000000" w:csb0="00000000" w:csb1="00000000"/>
  </w:font>
  <w:font w:name="font-weight : 700">
    <w:altName w:val="Calibri"/>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1400C">
    <w:pPr>
      <w:pStyle w:val="13"/>
      <w:ind w:firstLine="360"/>
    </w:pPr>
    <w:r>
      <w:pict>
        <v:shape id="_x0000_s1025" o:spid="_x0000_s1025"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14:paraId="570BB0FC">
                <w:pPr>
                  <w:pStyle w:val="13"/>
                  <w:ind w:firstLine="360"/>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CD58E">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58C30">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663CF">
    <w:pPr>
      <w:pStyle w:val="13"/>
      <w:tabs>
        <w:tab w:val="clear" w:pos="4153"/>
      </w:tabs>
      <w:ind w:firstLine="360"/>
    </w:pPr>
    <w:r>
      <w:pict>
        <v:shape id="文本框 5"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path/>
          <v:fill on="f" focussize="0,0"/>
          <v:stroke on="f" weight="0.5pt" joinstyle="miter"/>
          <v:imagedata o:title=""/>
          <o:lock v:ext="edit"/>
          <v:textbox inset="0mm,0mm,0mm,0mm" style="mso-fit-shape-to-text:t;">
            <w:txbxContent>
              <w:p w14:paraId="47DBACCB">
                <w:pPr>
                  <w:pStyle w:val="13"/>
                  <w:ind w:firstLine="360"/>
                </w:pPr>
                <w:r>
                  <w:fldChar w:fldCharType="begin"/>
                </w:r>
                <w:r>
                  <w:instrText xml:space="preserve"> PAGE  \* MERGEFORMAT </w:instrText>
                </w:r>
                <w:r>
                  <w:fldChar w:fldCharType="separate"/>
                </w:r>
                <w:r>
                  <w:t>I</w:t>
                </w:r>
                <w:r>
                  <w:fldChar w:fldCharType="end"/>
                </w:r>
              </w:p>
            </w:txbxContent>
          </v:textbox>
        </v:shape>
      </w:pict>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251B8">
    <w:pPr>
      <w:pStyle w:val="13"/>
      <w:ind w:firstLine="360"/>
    </w:pPr>
    <w:r>
      <w:pict>
        <v:shape id="文本框 6" o:spid="_x0000_s1028"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path/>
          <v:fill on="f" focussize="0,0"/>
          <v:stroke on="f" weight="0.5pt" joinstyle="miter"/>
          <v:imagedata o:title=""/>
          <o:lock v:ext="edit"/>
          <v:textbox inset="0mm,0mm,0mm,0mm" style="mso-fit-shape-to-text:t;">
            <w:txbxContent>
              <w:p w14:paraId="540DE379">
                <w:pPr>
                  <w:pStyle w:val="13"/>
                  <w:ind w:firstLine="360"/>
                </w:pPr>
                <w:r>
                  <w:fldChar w:fldCharType="begin"/>
                </w:r>
                <w:r>
                  <w:instrText xml:space="preserve"> PAGE  \* MERGEFORMAT </w:instrText>
                </w:r>
                <w:r>
                  <w:fldChar w:fldCharType="separate"/>
                </w:r>
                <w:r>
                  <w:rPr>
                    <w:rFonts w:hint="eastAsia"/>
                  </w:rPr>
                  <w:t>2</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770F3">
    <w:pPr>
      <w:pStyle w:val="13"/>
      <w:tabs>
        <w:tab w:val="clear" w:pos="4153"/>
      </w:tabs>
      <w:ind w:firstLine="360"/>
    </w:pPr>
    <w:r>
      <w:pict>
        <v:shape id="_x0000_s1030" o:spid="_x0000_s1030"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path/>
          <v:fill on="f" focussize="0,0"/>
          <v:stroke on="f" weight="0.5pt" joinstyle="miter"/>
          <v:imagedata o:title=""/>
          <o:lock v:ext="edit"/>
          <v:textbox inset="0mm,0mm,0mm,0mm" style="mso-fit-shape-to-text:t;">
            <w:txbxContent>
              <w:p w14:paraId="2CADFC74">
                <w:pPr>
                  <w:pStyle w:val="13"/>
                  <w:ind w:firstLine="360"/>
                </w:pPr>
                <w:r>
                  <w:fldChar w:fldCharType="begin"/>
                </w:r>
                <w:r>
                  <w:instrText xml:space="preserve"> PAGE  \* MERGEFORMAT </w:instrText>
                </w:r>
                <w:r>
                  <w:fldChar w:fldCharType="separate"/>
                </w:r>
                <w:r>
                  <w:t>3</w:t>
                </w:r>
                <w:r>
                  <w:fldChar w:fldCharType="end"/>
                </w:r>
              </w:p>
            </w:txbxContent>
          </v:textbox>
        </v:shape>
      </w:pict>
    </w:r>
    <w:r>
      <w:rPr>
        <w:rFonts w:hint="eastAsia"/>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0EC21">
    <w:pPr>
      <w:pStyle w:val="13"/>
      <w:ind w:firstLine="360"/>
    </w:pPr>
    <w:r>
      <w:pict>
        <v:shape id="_x0000_s1031" o:spid="_x0000_s1031"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path/>
          <v:fill on="f" focussize="0,0"/>
          <v:stroke on="f" weight="0.5pt" joinstyle="miter"/>
          <v:imagedata o:title=""/>
          <o:lock v:ext="edit"/>
          <v:textbox inset="0mm,0mm,0mm,0mm" style="mso-fit-shape-to-text:t;">
            <w:txbxContent>
              <w:p w14:paraId="7B40D4C0">
                <w:pPr>
                  <w:pStyle w:val="13"/>
                  <w:ind w:firstLine="0" w:firstLineChars="0"/>
                </w:pPr>
                <w:r>
                  <w:fldChar w:fldCharType="begin"/>
                </w:r>
                <w:r>
                  <w:instrText xml:space="preserve"> PAGE  \* MERGEFORMAT </w:instrText>
                </w:r>
                <w:r>
                  <w:fldChar w:fldCharType="separate"/>
                </w:r>
                <w:r>
                  <w:t>4</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C5772">
    <w:pPr>
      <w:pStyle w:val="14"/>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2C15B">
    <w:pPr>
      <w:pStyle w:val="14"/>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65F79">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28115">
    <w:pPr>
      <w:pStyle w:val="14"/>
      <w:pBdr>
        <w:bottom w:val="none" w:color="auto" w:sz="0" w:space="1"/>
      </w:pBdr>
      <w:ind w:firstLine="360"/>
      <w:jc w:val="right"/>
    </w:pPr>
    <w:r>
      <w:rPr>
        <w:rFonts w:hint="eastAsia"/>
      </w:rPr>
      <w:t>YS/T XXXX-XXXX</w:t>
    </w:r>
  </w:p>
  <w:p w14:paraId="327EDAAC">
    <w:pPr>
      <w:pStyle w:val="14"/>
      <w:pBdr>
        <w:bottom w:val="none" w:color="auto" w:sz="0" w:space="1"/>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4BFA6">
    <w:pPr>
      <w:pStyle w:val="14"/>
      <w:pBdr>
        <w:bottom w:val="none" w:color="auto" w:sz="0" w:space="1"/>
      </w:pBdr>
      <w:ind w:firstLine="360"/>
      <w:jc w:val="left"/>
    </w:pPr>
    <w:r>
      <w:rPr>
        <w:rFonts w:hint="eastAsia"/>
      </w:rPr>
      <w:t>YS XXXX-XXXX</w:t>
    </w:r>
  </w:p>
  <w:p w14:paraId="07A91F18">
    <w:pPr>
      <w:pStyle w:val="14"/>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2DC225"/>
    <w:multiLevelType w:val="singleLevel"/>
    <w:tmpl w:val="A12DC225"/>
    <w:lvl w:ilvl="0" w:tentative="0">
      <w:start w:val="3"/>
      <w:numFmt w:val="chineseCounting"/>
      <w:suff w:val="nothing"/>
      <w:lvlText w:val="%1、"/>
      <w:lvlJc w:val="left"/>
      <w:rPr>
        <w:rFonts w:hint="eastAsia"/>
      </w:rPr>
    </w:lvl>
  </w:abstractNum>
  <w:abstractNum w:abstractNumId="1">
    <w:nsid w:val="3403491B"/>
    <w:multiLevelType w:val="singleLevel"/>
    <w:tmpl w:val="3403491B"/>
    <w:lvl w:ilvl="0" w:tentative="0">
      <w:start w:val="2"/>
      <w:numFmt w:val="upperLetter"/>
      <w:suff w:val="space"/>
      <w:lvlText w:val="%1."/>
      <w:lvlJc w:val="left"/>
    </w:lvl>
  </w:abstractNum>
  <w:abstractNum w:abstractNumId="2">
    <w:nsid w:val="76933334"/>
    <w:multiLevelType w:val="multilevel"/>
    <w:tmpl w:val="76933334"/>
    <w:lvl w:ilvl="0" w:tentative="0">
      <w:start w:val="1"/>
      <w:numFmt w:val="none"/>
      <w:pStyle w:val="50"/>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bordersDoNotSurroundHeader w:val="0"/>
  <w:bordersDoNotSurroundFooter w:val="0"/>
  <w:attachedTemplate r:id="rId1"/>
  <w:documentProtection w:enforcement="0"/>
  <w:defaultTabStop w:val="420"/>
  <w:evenAndOddHeaders w:val="1"/>
  <w:drawingGridHorizontalSpacing w:val="9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ZlOWFjMjJlZWIzYzBmOGUzYjU3MmRhYTY0OGQ4YzMifQ=="/>
  </w:docVars>
  <w:rsids>
    <w:rsidRoot w:val="53114ABC"/>
    <w:rsid w:val="00001ADC"/>
    <w:rsid w:val="00004443"/>
    <w:rsid w:val="00014DBA"/>
    <w:rsid w:val="000204CA"/>
    <w:rsid w:val="00020AC2"/>
    <w:rsid w:val="00034E3C"/>
    <w:rsid w:val="00035BA6"/>
    <w:rsid w:val="00036888"/>
    <w:rsid w:val="000468BD"/>
    <w:rsid w:val="000473DC"/>
    <w:rsid w:val="00047E2C"/>
    <w:rsid w:val="00050689"/>
    <w:rsid w:val="00054F2F"/>
    <w:rsid w:val="00064C27"/>
    <w:rsid w:val="00081F56"/>
    <w:rsid w:val="00095CD8"/>
    <w:rsid w:val="000B234C"/>
    <w:rsid w:val="000C10DD"/>
    <w:rsid w:val="000C3731"/>
    <w:rsid w:val="000C56E7"/>
    <w:rsid w:val="000D56B1"/>
    <w:rsid w:val="000D689F"/>
    <w:rsid w:val="000E204A"/>
    <w:rsid w:val="000E741C"/>
    <w:rsid w:val="000E7427"/>
    <w:rsid w:val="001060D4"/>
    <w:rsid w:val="00113E98"/>
    <w:rsid w:val="00120C23"/>
    <w:rsid w:val="00132BD7"/>
    <w:rsid w:val="00141830"/>
    <w:rsid w:val="0015306E"/>
    <w:rsid w:val="001535AC"/>
    <w:rsid w:val="0015411E"/>
    <w:rsid w:val="001546EB"/>
    <w:rsid w:val="0016167A"/>
    <w:rsid w:val="00163001"/>
    <w:rsid w:val="001706CA"/>
    <w:rsid w:val="0017422E"/>
    <w:rsid w:val="001751E8"/>
    <w:rsid w:val="00176EE5"/>
    <w:rsid w:val="0018008F"/>
    <w:rsid w:val="001804A7"/>
    <w:rsid w:val="001804B1"/>
    <w:rsid w:val="00181774"/>
    <w:rsid w:val="001823AB"/>
    <w:rsid w:val="00183795"/>
    <w:rsid w:val="001A2703"/>
    <w:rsid w:val="001A2AFC"/>
    <w:rsid w:val="001A434F"/>
    <w:rsid w:val="001A4DA5"/>
    <w:rsid w:val="001A5A31"/>
    <w:rsid w:val="001B40F1"/>
    <w:rsid w:val="001B6B11"/>
    <w:rsid w:val="001B7F01"/>
    <w:rsid w:val="001B7F7F"/>
    <w:rsid w:val="001F25D6"/>
    <w:rsid w:val="001F3185"/>
    <w:rsid w:val="0020204A"/>
    <w:rsid w:val="00220CB1"/>
    <w:rsid w:val="00222FDD"/>
    <w:rsid w:val="00224FAC"/>
    <w:rsid w:val="00225F2B"/>
    <w:rsid w:val="00267572"/>
    <w:rsid w:val="0027038C"/>
    <w:rsid w:val="00271FAE"/>
    <w:rsid w:val="00274CFA"/>
    <w:rsid w:val="002935A8"/>
    <w:rsid w:val="00295E6E"/>
    <w:rsid w:val="002A3215"/>
    <w:rsid w:val="002B3B9B"/>
    <w:rsid w:val="002B3C92"/>
    <w:rsid w:val="002B49BC"/>
    <w:rsid w:val="002C4F4B"/>
    <w:rsid w:val="002C60B2"/>
    <w:rsid w:val="002F0CB2"/>
    <w:rsid w:val="002F78E8"/>
    <w:rsid w:val="00312FB6"/>
    <w:rsid w:val="00314429"/>
    <w:rsid w:val="00317D1B"/>
    <w:rsid w:val="003277D6"/>
    <w:rsid w:val="00343A6D"/>
    <w:rsid w:val="003651F5"/>
    <w:rsid w:val="0037514F"/>
    <w:rsid w:val="00375538"/>
    <w:rsid w:val="003776EE"/>
    <w:rsid w:val="003A0D43"/>
    <w:rsid w:val="003A2017"/>
    <w:rsid w:val="003B4331"/>
    <w:rsid w:val="003C0C29"/>
    <w:rsid w:val="003C39CE"/>
    <w:rsid w:val="003C3A2B"/>
    <w:rsid w:val="003C3F5C"/>
    <w:rsid w:val="003C7BE4"/>
    <w:rsid w:val="003D1D30"/>
    <w:rsid w:val="003D6C9A"/>
    <w:rsid w:val="003E63A8"/>
    <w:rsid w:val="003E7608"/>
    <w:rsid w:val="00402790"/>
    <w:rsid w:val="00405ED0"/>
    <w:rsid w:val="00407021"/>
    <w:rsid w:val="00407345"/>
    <w:rsid w:val="0044014A"/>
    <w:rsid w:val="004536C1"/>
    <w:rsid w:val="00476A34"/>
    <w:rsid w:val="00481F1D"/>
    <w:rsid w:val="004A3CFD"/>
    <w:rsid w:val="004A7835"/>
    <w:rsid w:val="004B38CC"/>
    <w:rsid w:val="004B3DFA"/>
    <w:rsid w:val="004B4547"/>
    <w:rsid w:val="004B5362"/>
    <w:rsid w:val="004B6D10"/>
    <w:rsid w:val="004C117D"/>
    <w:rsid w:val="004C7607"/>
    <w:rsid w:val="004C76B7"/>
    <w:rsid w:val="004E2C37"/>
    <w:rsid w:val="004E6073"/>
    <w:rsid w:val="004F4BFB"/>
    <w:rsid w:val="004F4C2E"/>
    <w:rsid w:val="00501627"/>
    <w:rsid w:val="005055D8"/>
    <w:rsid w:val="00511A69"/>
    <w:rsid w:val="005221C1"/>
    <w:rsid w:val="00522485"/>
    <w:rsid w:val="005250AB"/>
    <w:rsid w:val="00526E34"/>
    <w:rsid w:val="0052734C"/>
    <w:rsid w:val="005378E6"/>
    <w:rsid w:val="00541CEA"/>
    <w:rsid w:val="00546004"/>
    <w:rsid w:val="00557E1E"/>
    <w:rsid w:val="00560077"/>
    <w:rsid w:val="0056115F"/>
    <w:rsid w:val="00561551"/>
    <w:rsid w:val="00563A34"/>
    <w:rsid w:val="00564233"/>
    <w:rsid w:val="00565824"/>
    <w:rsid w:val="005733DA"/>
    <w:rsid w:val="00585503"/>
    <w:rsid w:val="005900A0"/>
    <w:rsid w:val="0059143F"/>
    <w:rsid w:val="005A1570"/>
    <w:rsid w:val="005A2D7C"/>
    <w:rsid w:val="005B3C67"/>
    <w:rsid w:val="005B5027"/>
    <w:rsid w:val="005C0F09"/>
    <w:rsid w:val="005C6381"/>
    <w:rsid w:val="005F63A3"/>
    <w:rsid w:val="006005D8"/>
    <w:rsid w:val="00604C5A"/>
    <w:rsid w:val="0065131B"/>
    <w:rsid w:val="006521A4"/>
    <w:rsid w:val="00656FDE"/>
    <w:rsid w:val="00657261"/>
    <w:rsid w:val="00657D38"/>
    <w:rsid w:val="00661514"/>
    <w:rsid w:val="00665E0D"/>
    <w:rsid w:val="00666BA7"/>
    <w:rsid w:val="00675222"/>
    <w:rsid w:val="00680B71"/>
    <w:rsid w:val="00681B0F"/>
    <w:rsid w:val="00687419"/>
    <w:rsid w:val="00696B90"/>
    <w:rsid w:val="006A5AE6"/>
    <w:rsid w:val="006A6D49"/>
    <w:rsid w:val="006A6DB7"/>
    <w:rsid w:val="006B7FD3"/>
    <w:rsid w:val="006C5874"/>
    <w:rsid w:val="006C6E37"/>
    <w:rsid w:val="006D13B0"/>
    <w:rsid w:val="006D4819"/>
    <w:rsid w:val="006D4A88"/>
    <w:rsid w:val="006E59B5"/>
    <w:rsid w:val="00707AD6"/>
    <w:rsid w:val="00721269"/>
    <w:rsid w:val="0072423D"/>
    <w:rsid w:val="007250D3"/>
    <w:rsid w:val="007307B5"/>
    <w:rsid w:val="00731ED6"/>
    <w:rsid w:val="00733CF7"/>
    <w:rsid w:val="00736C97"/>
    <w:rsid w:val="00753B4B"/>
    <w:rsid w:val="00757AB9"/>
    <w:rsid w:val="00762DF5"/>
    <w:rsid w:val="00776D22"/>
    <w:rsid w:val="007801C1"/>
    <w:rsid w:val="00781FA8"/>
    <w:rsid w:val="0079174A"/>
    <w:rsid w:val="00797B03"/>
    <w:rsid w:val="007A08B0"/>
    <w:rsid w:val="007A743C"/>
    <w:rsid w:val="007D35BD"/>
    <w:rsid w:val="007D4685"/>
    <w:rsid w:val="007E07DC"/>
    <w:rsid w:val="007E2173"/>
    <w:rsid w:val="007E24D4"/>
    <w:rsid w:val="008021FD"/>
    <w:rsid w:val="0080299D"/>
    <w:rsid w:val="00814801"/>
    <w:rsid w:val="008361D9"/>
    <w:rsid w:val="00837A8E"/>
    <w:rsid w:val="00852C36"/>
    <w:rsid w:val="00854F81"/>
    <w:rsid w:val="00864EA9"/>
    <w:rsid w:val="00865F04"/>
    <w:rsid w:val="00874212"/>
    <w:rsid w:val="00874366"/>
    <w:rsid w:val="00876E8A"/>
    <w:rsid w:val="008805AA"/>
    <w:rsid w:val="008806B3"/>
    <w:rsid w:val="00886F7F"/>
    <w:rsid w:val="008A45DD"/>
    <w:rsid w:val="008E2B45"/>
    <w:rsid w:val="008E2C76"/>
    <w:rsid w:val="008E6A38"/>
    <w:rsid w:val="008E7154"/>
    <w:rsid w:val="008F1418"/>
    <w:rsid w:val="008F757B"/>
    <w:rsid w:val="00900229"/>
    <w:rsid w:val="00902F9C"/>
    <w:rsid w:val="00910AE0"/>
    <w:rsid w:val="00912C2B"/>
    <w:rsid w:val="0091522B"/>
    <w:rsid w:val="00920046"/>
    <w:rsid w:val="00921051"/>
    <w:rsid w:val="009254ED"/>
    <w:rsid w:val="00951A8B"/>
    <w:rsid w:val="00973D49"/>
    <w:rsid w:val="00976FE3"/>
    <w:rsid w:val="00990279"/>
    <w:rsid w:val="00993B4F"/>
    <w:rsid w:val="009B0735"/>
    <w:rsid w:val="009C2EC8"/>
    <w:rsid w:val="009C4498"/>
    <w:rsid w:val="009D291E"/>
    <w:rsid w:val="009E091B"/>
    <w:rsid w:val="009E16C1"/>
    <w:rsid w:val="009F11C7"/>
    <w:rsid w:val="009F1FA7"/>
    <w:rsid w:val="009F3948"/>
    <w:rsid w:val="009F6364"/>
    <w:rsid w:val="00A04AA2"/>
    <w:rsid w:val="00A06452"/>
    <w:rsid w:val="00A111B7"/>
    <w:rsid w:val="00A243BC"/>
    <w:rsid w:val="00A26C2A"/>
    <w:rsid w:val="00A301EA"/>
    <w:rsid w:val="00A3323C"/>
    <w:rsid w:val="00A3636D"/>
    <w:rsid w:val="00A477FD"/>
    <w:rsid w:val="00A47BD2"/>
    <w:rsid w:val="00A51B32"/>
    <w:rsid w:val="00A52557"/>
    <w:rsid w:val="00A56AFE"/>
    <w:rsid w:val="00A61EB4"/>
    <w:rsid w:val="00A62141"/>
    <w:rsid w:val="00A6257C"/>
    <w:rsid w:val="00A62E53"/>
    <w:rsid w:val="00A6536B"/>
    <w:rsid w:val="00A65D83"/>
    <w:rsid w:val="00A7179A"/>
    <w:rsid w:val="00A95429"/>
    <w:rsid w:val="00A973BA"/>
    <w:rsid w:val="00AA464A"/>
    <w:rsid w:val="00AC30F4"/>
    <w:rsid w:val="00AD1CA0"/>
    <w:rsid w:val="00AD6E25"/>
    <w:rsid w:val="00AE1E1D"/>
    <w:rsid w:val="00AE340B"/>
    <w:rsid w:val="00AE5813"/>
    <w:rsid w:val="00AF21C6"/>
    <w:rsid w:val="00AF70A4"/>
    <w:rsid w:val="00B0329D"/>
    <w:rsid w:val="00B1234A"/>
    <w:rsid w:val="00B14851"/>
    <w:rsid w:val="00B26DBD"/>
    <w:rsid w:val="00B30C2F"/>
    <w:rsid w:val="00B31044"/>
    <w:rsid w:val="00B315AD"/>
    <w:rsid w:val="00B61358"/>
    <w:rsid w:val="00B739C8"/>
    <w:rsid w:val="00B81DA5"/>
    <w:rsid w:val="00B92C9F"/>
    <w:rsid w:val="00B9615B"/>
    <w:rsid w:val="00BA273C"/>
    <w:rsid w:val="00BA2CCA"/>
    <w:rsid w:val="00BA3710"/>
    <w:rsid w:val="00BB7FA9"/>
    <w:rsid w:val="00BC4B05"/>
    <w:rsid w:val="00BC756B"/>
    <w:rsid w:val="00BE06D2"/>
    <w:rsid w:val="00BE441E"/>
    <w:rsid w:val="00BF225D"/>
    <w:rsid w:val="00C0269A"/>
    <w:rsid w:val="00C03DBB"/>
    <w:rsid w:val="00C051F7"/>
    <w:rsid w:val="00C15B0D"/>
    <w:rsid w:val="00C260E7"/>
    <w:rsid w:val="00C31E46"/>
    <w:rsid w:val="00C3771E"/>
    <w:rsid w:val="00C4011A"/>
    <w:rsid w:val="00C4559B"/>
    <w:rsid w:val="00C46000"/>
    <w:rsid w:val="00C46FF2"/>
    <w:rsid w:val="00C54CD1"/>
    <w:rsid w:val="00C54F08"/>
    <w:rsid w:val="00C641AF"/>
    <w:rsid w:val="00C656F4"/>
    <w:rsid w:val="00C72066"/>
    <w:rsid w:val="00C85467"/>
    <w:rsid w:val="00C97210"/>
    <w:rsid w:val="00C9756C"/>
    <w:rsid w:val="00CB28C0"/>
    <w:rsid w:val="00CC219E"/>
    <w:rsid w:val="00CC5E28"/>
    <w:rsid w:val="00CC6501"/>
    <w:rsid w:val="00CD6AB4"/>
    <w:rsid w:val="00CE1BFB"/>
    <w:rsid w:val="00CF3E8F"/>
    <w:rsid w:val="00CF64F9"/>
    <w:rsid w:val="00D02993"/>
    <w:rsid w:val="00D07553"/>
    <w:rsid w:val="00D11C5C"/>
    <w:rsid w:val="00D1434B"/>
    <w:rsid w:val="00D40A73"/>
    <w:rsid w:val="00D42918"/>
    <w:rsid w:val="00D443D7"/>
    <w:rsid w:val="00D460C7"/>
    <w:rsid w:val="00D6044F"/>
    <w:rsid w:val="00D723C7"/>
    <w:rsid w:val="00D91349"/>
    <w:rsid w:val="00D9214D"/>
    <w:rsid w:val="00D937A5"/>
    <w:rsid w:val="00D93884"/>
    <w:rsid w:val="00DB0A9C"/>
    <w:rsid w:val="00DB3741"/>
    <w:rsid w:val="00DC6685"/>
    <w:rsid w:val="00DF608C"/>
    <w:rsid w:val="00E164A0"/>
    <w:rsid w:val="00E25A8C"/>
    <w:rsid w:val="00E4361D"/>
    <w:rsid w:val="00E44ABB"/>
    <w:rsid w:val="00E46AE0"/>
    <w:rsid w:val="00E47332"/>
    <w:rsid w:val="00E51B15"/>
    <w:rsid w:val="00E56F3A"/>
    <w:rsid w:val="00E57987"/>
    <w:rsid w:val="00E6282A"/>
    <w:rsid w:val="00E651C7"/>
    <w:rsid w:val="00E717ED"/>
    <w:rsid w:val="00E7715D"/>
    <w:rsid w:val="00E77767"/>
    <w:rsid w:val="00E92CC3"/>
    <w:rsid w:val="00EA0607"/>
    <w:rsid w:val="00EA4E84"/>
    <w:rsid w:val="00EA6A1D"/>
    <w:rsid w:val="00EB1481"/>
    <w:rsid w:val="00EB55A0"/>
    <w:rsid w:val="00EC7A13"/>
    <w:rsid w:val="00ED4090"/>
    <w:rsid w:val="00EE39F8"/>
    <w:rsid w:val="00EE713B"/>
    <w:rsid w:val="00EF71DE"/>
    <w:rsid w:val="00F02EAA"/>
    <w:rsid w:val="00F07C3B"/>
    <w:rsid w:val="00F13CDB"/>
    <w:rsid w:val="00F25DC0"/>
    <w:rsid w:val="00F27194"/>
    <w:rsid w:val="00F30781"/>
    <w:rsid w:val="00F31042"/>
    <w:rsid w:val="00F34881"/>
    <w:rsid w:val="00F41FEB"/>
    <w:rsid w:val="00F43B51"/>
    <w:rsid w:val="00F51765"/>
    <w:rsid w:val="00F65C80"/>
    <w:rsid w:val="00F73D5E"/>
    <w:rsid w:val="00F82EEE"/>
    <w:rsid w:val="00F8628C"/>
    <w:rsid w:val="00FB37CB"/>
    <w:rsid w:val="00FC08F8"/>
    <w:rsid w:val="00FE3D4F"/>
    <w:rsid w:val="00FF56A2"/>
    <w:rsid w:val="00FF680F"/>
    <w:rsid w:val="0114260A"/>
    <w:rsid w:val="012D5BC1"/>
    <w:rsid w:val="015B7E57"/>
    <w:rsid w:val="01964C1C"/>
    <w:rsid w:val="01E64964"/>
    <w:rsid w:val="01F770E2"/>
    <w:rsid w:val="0206781B"/>
    <w:rsid w:val="022B544F"/>
    <w:rsid w:val="023C0B9E"/>
    <w:rsid w:val="025133AF"/>
    <w:rsid w:val="02624D9E"/>
    <w:rsid w:val="029801E7"/>
    <w:rsid w:val="02C13066"/>
    <w:rsid w:val="02C52EFE"/>
    <w:rsid w:val="02CE26AE"/>
    <w:rsid w:val="02D850A0"/>
    <w:rsid w:val="02F025C9"/>
    <w:rsid w:val="02FD7E48"/>
    <w:rsid w:val="035F56DF"/>
    <w:rsid w:val="037A518F"/>
    <w:rsid w:val="03CA6DD4"/>
    <w:rsid w:val="03CD301B"/>
    <w:rsid w:val="04292B69"/>
    <w:rsid w:val="045F3465"/>
    <w:rsid w:val="04A113A5"/>
    <w:rsid w:val="04BC3254"/>
    <w:rsid w:val="04E21712"/>
    <w:rsid w:val="0513468E"/>
    <w:rsid w:val="052375F9"/>
    <w:rsid w:val="055966EB"/>
    <w:rsid w:val="059B2EFB"/>
    <w:rsid w:val="06936C78"/>
    <w:rsid w:val="06A438F6"/>
    <w:rsid w:val="06A96575"/>
    <w:rsid w:val="06B74313"/>
    <w:rsid w:val="06E331EE"/>
    <w:rsid w:val="06F06784"/>
    <w:rsid w:val="077B1B56"/>
    <w:rsid w:val="077F1313"/>
    <w:rsid w:val="078540B0"/>
    <w:rsid w:val="07DE7CA5"/>
    <w:rsid w:val="07E9355D"/>
    <w:rsid w:val="08295507"/>
    <w:rsid w:val="08413375"/>
    <w:rsid w:val="08474C53"/>
    <w:rsid w:val="08852D0C"/>
    <w:rsid w:val="08C60A6A"/>
    <w:rsid w:val="08D93038"/>
    <w:rsid w:val="08EC6901"/>
    <w:rsid w:val="08F40AD4"/>
    <w:rsid w:val="096D481B"/>
    <w:rsid w:val="09720E75"/>
    <w:rsid w:val="09A0742A"/>
    <w:rsid w:val="09A40751"/>
    <w:rsid w:val="09C33753"/>
    <w:rsid w:val="09C53FE8"/>
    <w:rsid w:val="09FA61BC"/>
    <w:rsid w:val="0A084F47"/>
    <w:rsid w:val="0A1024C7"/>
    <w:rsid w:val="0A3328B0"/>
    <w:rsid w:val="0A4F7F87"/>
    <w:rsid w:val="0A665215"/>
    <w:rsid w:val="0AA8516A"/>
    <w:rsid w:val="0AB16C7A"/>
    <w:rsid w:val="0AB66DA2"/>
    <w:rsid w:val="0AC2220D"/>
    <w:rsid w:val="0ACB6CBD"/>
    <w:rsid w:val="0ADA6FB6"/>
    <w:rsid w:val="0AEA2153"/>
    <w:rsid w:val="0B05012F"/>
    <w:rsid w:val="0B1035D9"/>
    <w:rsid w:val="0B3B3CA4"/>
    <w:rsid w:val="0B54108E"/>
    <w:rsid w:val="0BB13339"/>
    <w:rsid w:val="0BFC5982"/>
    <w:rsid w:val="0C0D4B54"/>
    <w:rsid w:val="0C185A2D"/>
    <w:rsid w:val="0C19387C"/>
    <w:rsid w:val="0C280CBD"/>
    <w:rsid w:val="0C2918D4"/>
    <w:rsid w:val="0CB63EFD"/>
    <w:rsid w:val="0D271E8E"/>
    <w:rsid w:val="0D292A91"/>
    <w:rsid w:val="0D712803"/>
    <w:rsid w:val="0D8263DF"/>
    <w:rsid w:val="0D862043"/>
    <w:rsid w:val="0DA11596"/>
    <w:rsid w:val="0DDE6D96"/>
    <w:rsid w:val="0DF260C4"/>
    <w:rsid w:val="0DF84CC6"/>
    <w:rsid w:val="0DFF0F24"/>
    <w:rsid w:val="0E4B437F"/>
    <w:rsid w:val="0E7F677A"/>
    <w:rsid w:val="0ED57193"/>
    <w:rsid w:val="0EDA0E5E"/>
    <w:rsid w:val="0EE86234"/>
    <w:rsid w:val="0F0A34B9"/>
    <w:rsid w:val="0F1058F2"/>
    <w:rsid w:val="0F120820"/>
    <w:rsid w:val="0F183AD3"/>
    <w:rsid w:val="0F871B88"/>
    <w:rsid w:val="0F8745A9"/>
    <w:rsid w:val="0FAB5A32"/>
    <w:rsid w:val="103E3B1A"/>
    <w:rsid w:val="106A594C"/>
    <w:rsid w:val="10742555"/>
    <w:rsid w:val="10D27858"/>
    <w:rsid w:val="10D71718"/>
    <w:rsid w:val="10F65F0B"/>
    <w:rsid w:val="10FC0441"/>
    <w:rsid w:val="11223884"/>
    <w:rsid w:val="113108FC"/>
    <w:rsid w:val="118212DD"/>
    <w:rsid w:val="11971D7A"/>
    <w:rsid w:val="11C96F13"/>
    <w:rsid w:val="11D53EE6"/>
    <w:rsid w:val="11EB797F"/>
    <w:rsid w:val="11F63211"/>
    <w:rsid w:val="12136509"/>
    <w:rsid w:val="12280E57"/>
    <w:rsid w:val="126828C9"/>
    <w:rsid w:val="12C22C2E"/>
    <w:rsid w:val="12C42616"/>
    <w:rsid w:val="12C96C23"/>
    <w:rsid w:val="12E51CC7"/>
    <w:rsid w:val="12E55EE1"/>
    <w:rsid w:val="130E3CD5"/>
    <w:rsid w:val="13290056"/>
    <w:rsid w:val="13880828"/>
    <w:rsid w:val="13D13CC4"/>
    <w:rsid w:val="141E3C7F"/>
    <w:rsid w:val="1480248F"/>
    <w:rsid w:val="1489698D"/>
    <w:rsid w:val="14B609E3"/>
    <w:rsid w:val="14E87BBC"/>
    <w:rsid w:val="14EC6B03"/>
    <w:rsid w:val="14F567B2"/>
    <w:rsid w:val="159359B0"/>
    <w:rsid w:val="15987E41"/>
    <w:rsid w:val="16020E79"/>
    <w:rsid w:val="16930A17"/>
    <w:rsid w:val="16B6361F"/>
    <w:rsid w:val="16B86BAE"/>
    <w:rsid w:val="16D2295A"/>
    <w:rsid w:val="16F058A0"/>
    <w:rsid w:val="17167E38"/>
    <w:rsid w:val="174728A3"/>
    <w:rsid w:val="177779B0"/>
    <w:rsid w:val="179C7DC0"/>
    <w:rsid w:val="17BD7C87"/>
    <w:rsid w:val="181C3FF9"/>
    <w:rsid w:val="18225BBA"/>
    <w:rsid w:val="182A4ADF"/>
    <w:rsid w:val="18300B2F"/>
    <w:rsid w:val="18442D45"/>
    <w:rsid w:val="18463880"/>
    <w:rsid w:val="18481666"/>
    <w:rsid w:val="18771F37"/>
    <w:rsid w:val="187954F9"/>
    <w:rsid w:val="18C337DC"/>
    <w:rsid w:val="18E22D82"/>
    <w:rsid w:val="18E4748C"/>
    <w:rsid w:val="18ED21A9"/>
    <w:rsid w:val="18FC17FC"/>
    <w:rsid w:val="190C632D"/>
    <w:rsid w:val="192119E1"/>
    <w:rsid w:val="193075EB"/>
    <w:rsid w:val="193B4181"/>
    <w:rsid w:val="19B5146D"/>
    <w:rsid w:val="19C05A58"/>
    <w:rsid w:val="19E36F8C"/>
    <w:rsid w:val="1A197442"/>
    <w:rsid w:val="1AC942E2"/>
    <w:rsid w:val="1B0B6E02"/>
    <w:rsid w:val="1B3B3D29"/>
    <w:rsid w:val="1B550FE4"/>
    <w:rsid w:val="1B9A59B3"/>
    <w:rsid w:val="1C07014A"/>
    <w:rsid w:val="1C176B2D"/>
    <w:rsid w:val="1C47705D"/>
    <w:rsid w:val="1C811F0A"/>
    <w:rsid w:val="1C8D6513"/>
    <w:rsid w:val="1CC67938"/>
    <w:rsid w:val="1CD04AA0"/>
    <w:rsid w:val="1CE407F6"/>
    <w:rsid w:val="1CE51CB6"/>
    <w:rsid w:val="1CFC5E4F"/>
    <w:rsid w:val="1D170A7F"/>
    <w:rsid w:val="1D1C084F"/>
    <w:rsid w:val="1D725ADC"/>
    <w:rsid w:val="1D7761FB"/>
    <w:rsid w:val="1D834466"/>
    <w:rsid w:val="1DA922E2"/>
    <w:rsid w:val="1DD61805"/>
    <w:rsid w:val="1DD82835"/>
    <w:rsid w:val="1DF01ADD"/>
    <w:rsid w:val="1E0557BF"/>
    <w:rsid w:val="1E0960FB"/>
    <w:rsid w:val="1E270E79"/>
    <w:rsid w:val="1E365DD6"/>
    <w:rsid w:val="1EC30F81"/>
    <w:rsid w:val="1ED47E09"/>
    <w:rsid w:val="1EDF64F5"/>
    <w:rsid w:val="1F710E25"/>
    <w:rsid w:val="1F815BB7"/>
    <w:rsid w:val="1F9C5FCB"/>
    <w:rsid w:val="1FBA6363"/>
    <w:rsid w:val="1FC55FC3"/>
    <w:rsid w:val="1FD43B4B"/>
    <w:rsid w:val="1FD962AE"/>
    <w:rsid w:val="1FDF335D"/>
    <w:rsid w:val="20144EE1"/>
    <w:rsid w:val="20882669"/>
    <w:rsid w:val="20A770D1"/>
    <w:rsid w:val="20A77CCD"/>
    <w:rsid w:val="20BA19CE"/>
    <w:rsid w:val="20BB0DA1"/>
    <w:rsid w:val="20EF7946"/>
    <w:rsid w:val="21143A54"/>
    <w:rsid w:val="21211F6B"/>
    <w:rsid w:val="2150112A"/>
    <w:rsid w:val="219A3D96"/>
    <w:rsid w:val="21BE12E8"/>
    <w:rsid w:val="21E93A9D"/>
    <w:rsid w:val="22261F1D"/>
    <w:rsid w:val="22287EDC"/>
    <w:rsid w:val="22360FA9"/>
    <w:rsid w:val="227A128A"/>
    <w:rsid w:val="22A542BD"/>
    <w:rsid w:val="22AD307A"/>
    <w:rsid w:val="22F31C10"/>
    <w:rsid w:val="23750DB0"/>
    <w:rsid w:val="23896CC5"/>
    <w:rsid w:val="239D680B"/>
    <w:rsid w:val="23A02C21"/>
    <w:rsid w:val="24010B95"/>
    <w:rsid w:val="2479609D"/>
    <w:rsid w:val="247D572C"/>
    <w:rsid w:val="24830D85"/>
    <w:rsid w:val="24AA2336"/>
    <w:rsid w:val="24C03395"/>
    <w:rsid w:val="253D1088"/>
    <w:rsid w:val="254E5B6C"/>
    <w:rsid w:val="259A016F"/>
    <w:rsid w:val="25AC6DE6"/>
    <w:rsid w:val="25D90BC9"/>
    <w:rsid w:val="25FE1C6F"/>
    <w:rsid w:val="260773CD"/>
    <w:rsid w:val="26222F25"/>
    <w:rsid w:val="26240D86"/>
    <w:rsid w:val="267F7CDF"/>
    <w:rsid w:val="26AF5FF1"/>
    <w:rsid w:val="26BD6583"/>
    <w:rsid w:val="26C00634"/>
    <w:rsid w:val="26EA60E8"/>
    <w:rsid w:val="271074A6"/>
    <w:rsid w:val="274F000B"/>
    <w:rsid w:val="27C55CE7"/>
    <w:rsid w:val="28070FF8"/>
    <w:rsid w:val="28137B8F"/>
    <w:rsid w:val="285D3C12"/>
    <w:rsid w:val="288923D6"/>
    <w:rsid w:val="28972D43"/>
    <w:rsid w:val="28A62D0D"/>
    <w:rsid w:val="28FE2441"/>
    <w:rsid w:val="290A5339"/>
    <w:rsid w:val="291E73BB"/>
    <w:rsid w:val="292305B3"/>
    <w:rsid w:val="2951626D"/>
    <w:rsid w:val="29A3531A"/>
    <w:rsid w:val="29AD565C"/>
    <w:rsid w:val="29EB6527"/>
    <w:rsid w:val="2A221C5D"/>
    <w:rsid w:val="2A33095A"/>
    <w:rsid w:val="2A5A1CD0"/>
    <w:rsid w:val="2A894F95"/>
    <w:rsid w:val="2AC404CC"/>
    <w:rsid w:val="2ACA7EA9"/>
    <w:rsid w:val="2B4A15D2"/>
    <w:rsid w:val="2B540F57"/>
    <w:rsid w:val="2B645524"/>
    <w:rsid w:val="2B76045C"/>
    <w:rsid w:val="2B7C39A4"/>
    <w:rsid w:val="2B977003"/>
    <w:rsid w:val="2BBF6D83"/>
    <w:rsid w:val="2BC53D90"/>
    <w:rsid w:val="2BE43D93"/>
    <w:rsid w:val="2BEF318A"/>
    <w:rsid w:val="2C061EA0"/>
    <w:rsid w:val="2C11093B"/>
    <w:rsid w:val="2C22265E"/>
    <w:rsid w:val="2C374435"/>
    <w:rsid w:val="2C786459"/>
    <w:rsid w:val="2C894C69"/>
    <w:rsid w:val="2C9F3FD4"/>
    <w:rsid w:val="2CA16006"/>
    <w:rsid w:val="2CB429DC"/>
    <w:rsid w:val="2D080983"/>
    <w:rsid w:val="2D0E4DD1"/>
    <w:rsid w:val="2D236826"/>
    <w:rsid w:val="2D37529C"/>
    <w:rsid w:val="2DCE5491"/>
    <w:rsid w:val="2E283222"/>
    <w:rsid w:val="2E2D4E4A"/>
    <w:rsid w:val="2E305CDE"/>
    <w:rsid w:val="2E4B2D00"/>
    <w:rsid w:val="2E9B3FA8"/>
    <w:rsid w:val="2EBD03FF"/>
    <w:rsid w:val="2EC3504B"/>
    <w:rsid w:val="2ECB07EC"/>
    <w:rsid w:val="2ED26C7E"/>
    <w:rsid w:val="2EE61910"/>
    <w:rsid w:val="2EFE026B"/>
    <w:rsid w:val="2F22744A"/>
    <w:rsid w:val="2F4626E6"/>
    <w:rsid w:val="2F4A2992"/>
    <w:rsid w:val="2F6879B2"/>
    <w:rsid w:val="2F9E35F0"/>
    <w:rsid w:val="2FB45A06"/>
    <w:rsid w:val="2FF372E6"/>
    <w:rsid w:val="30110AE9"/>
    <w:rsid w:val="30116DDD"/>
    <w:rsid w:val="30335796"/>
    <w:rsid w:val="303B3EBD"/>
    <w:rsid w:val="30C361FD"/>
    <w:rsid w:val="30CA554D"/>
    <w:rsid w:val="30EB1AD3"/>
    <w:rsid w:val="31133926"/>
    <w:rsid w:val="313D6780"/>
    <w:rsid w:val="314865E7"/>
    <w:rsid w:val="314A0000"/>
    <w:rsid w:val="315A50BF"/>
    <w:rsid w:val="31622117"/>
    <w:rsid w:val="316810B6"/>
    <w:rsid w:val="31C06E6D"/>
    <w:rsid w:val="31D55565"/>
    <w:rsid w:val="31E670A8"/>
    <w:rsid w:val="31EF3B33"/>
    <w:rsid w:val="322E16BB"/>
    <w:rsid w:val="328A4FE6"/>
    <w:rsid w:val="32D35D03"/>
    <w:rsid w:val="330A3004"/>
    <w:rsid w:val="332443AB"/>
    <w:rsid w:val="3346109E"/>
    <w:rsid w:val="33500016"/>
    <w:rsid w:val="336B6A36"/>
    <w:rsid w:val="33D01C0E"/>
    <w:rsid w:val="33E63480"/>
    <w:rsid w:val="3401773D"/>
    <w:rsid w:val="3408708B"/>
    <w:rsid w:val="343764DD"/>
    <w:rsid w:val="34EB56A2"/>
    <w:rsid w:val="34F628DE"/>
    <w:rsid w:val="353702F2"/>
    <w:rsid w:val="354B103B"/>
    <w:rsid w:val="35AA402E"/>
    <w:rsid w:val="35D73EF1"/>
    <w:rsid w:val="364D0C95"/>
    <w:rsid w:val="366E4528"/>
    <w:rsid w:val="36786AB2"/>
    <w:rsid w:val="368D71AA"/>
    <w:rsid w:val="36A56917"/>
    <w:rsid w:val="36A92E97"/>
    <w:rsid w:val="36CF0904"/>
    <w:rsid w:val="37060C60"/>
    <w:rsid w:val="372B789B"/>
    <w:rsid w:val="37422912"/>
    <w:rsid w:val="374E267F"/>
    <w:rsid w:val="376A680A"/>
    <w:rsid w:val="379414C8"/>
    <w:rsid w:val="379D6736"/>
    <w:rsid w:val="37A02878"/>
    <w:rsid w:val="37D50EB8"/>
    <w:rsid w:val="37D86B6B"/>
    <w:rsid w:val="37F60924"/>
    <w:rsid w:val="381D6E59"/>
    <w:rsid w:val="383407C4"/>
    <w:rsid w:val="386E76A4"/>
    <w:rsid w:val="38727468"/>
    <w:rsid w:val="38DC73D9"/>
    <w:rsid w:val="38E718C0"/>
    <w:rsid w:val="38FF50E4"/>
    <w:rsid w:val="3937049F"/>
    <w:rsid w:val="39384C08"/>
    <w:rsid w:val="39463B5F"/>
    <w:rsid w:val="399228D2"/>
    <w:rsid w:val="39AD0AA8"/>
    <w:rsid w:val="3A2A5921"/>
    <w:rsid w:val="3A736703"/>
    <w:rsid w:val="3A9B2E97"/>
    <w:rsid w:val="3AA027BE"/>
    <w:rsid w:val="3AD02444"/>
    <w:rsid w:val="3AE67626"/>
    <w:rsid w:val="3AF863B5"/>
    <w:rsid w:val="3B095EF4"/>
    <w:rsid w:val="3B4A788D"/>
    <w:rsid w:val="3B5676FC"/>
    <w:rsid w:val="3BB72AA6"/>
    <w:rsid w:val="3BBF2B5C"/>
    <w:rsid w:val="3C0B624C"/>
    <w:rsid w:val="3C241117"/>
    <w:rsid w:val="3C2619BE"/>
    <w:rsid w:val="3C535517"/>
    <w:rsid w:val="3C74420E"/>
    <w:rsid w:val="3C757C38"/>
    <w:rsid w:val="3C7C659F"/>
    <w:rsid w:val="3CC34684"/>
    <w:rsid w:val="3CDC584D"/>
    <w:rsid w:val="3D453E32"/>
    <w:rsid w:val="3D7D41F1"/>
    <w:rsid w:val="3D927EFD"/>
    <w:rsid w:val="3D931983"/>
    <w:rsid w:val="3D9A7DFA"/>
    <w:rsid w:val="3D9E4640"/>
    <w:rsid w:val="3DC0126B"/>
    <w:rsid w:val="3DCC302D"/>
    <w:rsid w:val="3E172613"/>
    <w:rsid w:val="3E23629D"/>
    <w:rsid w:val="3E5B1867"/>
    <w:rsid w:val="3E6212E9"/>
    <w:rsid w:val="3E630FEA"/>
    <w:rsid w:val="3EC14CC3"/>
    <w:rsid w:val="3EE53FB2"/>
    <w:rsid w:val="3F08370B"/>
    <w:rsid w:val="3F30287E"/>
    <w:rsid w:val="3F710CE9"/>
    <w:rsid w:val="3F8A3415"/>
    <w:rsid w:val="3F8E1B4F"/>
    <w:rsid w:val="3FC20ABC"/>
    <w:rsid w:val="3FE055FF"/>
    <w:rsid w:val="3FF26CF7"/>
    <w:rsid w:val="3FFA7337"/>
    <w:rsid w:val="40902BDE"/>
    <w:rsid w:val="40D306AB"/>
    <w:rsid w:val="41186E43"/>
    <w:rsid w:val="41336CEF"/>
    <w:rsid w:val="41510083"/>
    <w:rsid w:val="416662A3"/>
    <w:rsid w:val="416C1C89"/>
    <w:rsid w:val="41755AE1"/>
    <w:rsid w:val="417C674A"/>
    <w:rsid w:val="41B85BD7"/>
    <w:rsid w:val="41C06BA4"/>
    <w:rsid w:val="41CF5E1C"/>
    <w:rsid w:val="41D768F6"/>
    <w:rsid w:val="41E73F3B"/>
    <w:rsid w:val="41FE7DBA"/>
    <w:rsid w:val="42060A02"/>
    <w:rsid w:val="421F0AEB"/>
    <w:rsid w:val="42213F46"/>
    <w:rsid w:val="4222551A"/>
    <w:rsid w:val="42254663"/>
    <w:rsid w:val="422A49E9"/>
    <w:rsid w:val="42AD7154"/>
    <w:rsid w:val="42EF3F9D"/>
    <w:rsid w:val="43232012"/>
    <w:rsid w:val="435529DD"/>
    <w:rsid w:val="437E16D0"/>
    <w:rsid w:val="438B093B"/>
    <w:rsid w:val="438B10C5"/>
    <w:rsid w:val="43A115DF"/>
    <w:rsid w:val="43DB047F"/>
    <w:rsid w:val="43FC7D6A"/>
    <w:rsid w:val="44071B29"/>
    <w:rsid w:val="4498621D"/>
    <w:rsid w:val="44F52769"/>
    <w:rsid w:val="44F95A98"/>
    <w:rsid w:val="45322742"/>
    <w:rsid w:val="454C67B9"/>
    <w:rsid w:val="457A038F"/>
    <w:rsid w:val="45873D0E"/>
    <w:rsid w:val="45B042EF"/>
    <w:rsid w:val="45B7143F"/>
    <w:rsid w:val="45EE0CAA"/>
    <w:rsid w:val="460756BF"/>
    <w:rsid w:val="46130848"/>
    <w:rsid w:val="46236882"/>
    <w:rsid w:val="4672732B"/>
    <w:rsid w:val="46795CA0"/>
    <w:rsid w:val="46A0773F"/>
    <w:rsid w:val="46BD4547"/>
    <w:rsid w:val="46CE41E6"/>
    <w:rsid w:val="46F118D4"/>
    <w:rsid w:val="470C59DD"/>
    <w:rsid w:val="47150216"/>
    <w:rsid w:val="472A5033"/>
    <w:rsid w:val="47381FB4"/>
    <w:rsid w:val="4766170F"/>
    <w:rsid w:val="476B79BD"/>
    <w:rsid w:val="476D1732"/>
    <w:rsid w:val="477B13FA"/>
    <w:rsid w:val="479E3C8F"/>
    <w:rsid w:val="47B37B83"/>
    <w:rsid w:val="47DD2A11"/>
    <w:rsid w:val="48205035"/>
    <w:rsid w:val="48B91049"/>
    <w:rsid w:val="48DA5799"/>
    <w:rsid w:val="48EF3305"/>
    <w:rsid w:val="49033C78"/>
    <w:rsid w:val="492E2158"/>
    <w:rsid w:val="493A0E8E"/>
    <w:rsid w:val="49834DA9"/>
    <w:rsid w:val="49932E45"/>
    <w:rsid w:val="499C4A5E"/>
    <w:rsid w:val="49C04C0E"/>
    <w:rsid w:val="49C21E32"/>
    <w:rsid w:val="49C63AE7"/>
    <w:rsid w:val="49CC3041"/>
    <w:rsid w:val="49FA1FA6"/>
    <w:rsid w:val="4A112B13"/>
    <w:rsid w:val="4A131D1E"/>
    <w:rsid w:val="4A392E71"/>
    <w:rsid w:val="4A663504"/>
    <w:rsid w:val="4A8D60FD"/>
    <w:rsid w:val="4AC743A0"/>
    <w:rsid w:val="4AEE69CB"/>
    <w:rsid w:val="4B152498"/>
    <w:rsid w:val="4B2A3290"/>
    <w:rsid w:val="4B602C70"/>
    <w:rsid w:val="4B8779DE"/>
    <w:rsid w:val="4BA200F7"/>
    <w:rsid w:val="4BD7254B"/>
    <w:rsid w:val="4C0258B4"/>
    <w:rsid w:val="4C762BA7"/>
    <w:rsid w:val="4C8F5F47"/>
    <w:rsid w:val="4C9509CA"/>
    <w:rsid w:val="4CE776BD"/>
    <w:rsid w:val="4D016626"/>
    <w:rsid w:val="4D386E1F"/>
    <w:rsid w:val="4D480EEF"/>
    <w:rsid w:val="4D537813"/>
    <w:rsid w:val="4DF717CD"/>
    <w:rsid w:val="4E031410"/>
    <w:rsid w:val="4E06295C"/>
    <w:rsid w:val="4E0831AD"/>
    <w:rsid w:val="4E0A0A15"/>
    <w:rsid w:val="4E0D4DF1"/>
    <w:rsid w:val="4E15627A"/>
    <w:rsid w:val="4E2945C4"/>
    <w:rsid w:val="4EA0278C"/>
    <w:rsid w:val="4EDF60AA"/>
    <w:rsid w:val="4EF9660C"/>
    <w:rsid w:val="4F47148C"/>
    <w:rsid w:val="4F7D02C6"/>
    <w:rsid w:val="500D3ADF"/>
    <w:rsid w:val="503E77DE"/>
    <w:rsid w:val="50A109EC"/>
    <w:rsid w:val="50C31E2C"/>
    <w:rsid w:val="50DE51F9"/>
    <w:rsid w:val="510B2C12"/>
    <w:rsid w:val="51115D67"/>
    <w:rsid w:val="512A537E"/>
    <w:rsid w:val="51326CC3"/>
    <w:rsid w:val="51397CA5"/>
    <w:rsid w:val="516F0A58"/>
    <w:rsid w:val="519461A0"/>
    <w:rsid w:val="519C5453"/>
    <w:rsid w:val="51A46ADF"/>
    <w:rsid w:val="51C02DCC"/>
    <w:rsid w:val="51DD0BA3"/>
    <w:rsid w:val="51EE1549"/>
    <w:rsid w:val="52114E8E"/>
    <w:rsid w:val="52173971"/>
    <w:rsid w:val="52493C74"/>
    <w:rsid w:val="52673312"/>
    <w:rsid w:val="528249B9"/>
    <w:rsid w:val="528E050C"/>
    <w:rsid w:val="52EB77A0"/>
    <w:rsid w:val="53114ABC"/>
    <w:rsid w:val="532661FA"/>
    <w:rsid w:val="533A0E0D"/>
    <w:rsid w:val="533E597D"/>
    <w:rsid w:val="534473C6"/>
    <w:rsid w:val="53C54620"/>
    <w:rsid w:val="53D7562E"/>
    <w:rsid w:val="53DE70FF"/>
    <w:rsid w:val="54107863"/>
    <w:rsid w:val="544661B8"/>
    <w:rsid w:val="54BA5E7D"/>
    <w:rsid w:val="54FC4C18"/>
    <w:rsid w:val="553B6B33"/>
    <w:rsid w:val="553C354B"/>
    <w:rsid w:val="557D1775"/>
    <w:rsid w:val="558F69A2"/>
    <w:rsid w:val="55AE2647"/>
    <w:rsid w:val="55B4733C"/>
    <w:rsid w:val="55C77FAE"/>
    <w:rsid w:val="55DB14C2"/>
    <w:rsid w:val="55EC2440"/>
    <w:rsid w:val="55F61C3F"/>
    <w:rsid w:val="56082A20"/>
    <w:rsid w:val="565959F6"/>
    <w:rsid w:val="567A07EF"/>
    <w:rsid w:val="568410FF"/>
    <w:rsid w:val="56A06EFA"/>
    <w:rsid w:val="56C04AFA"/>
    <w:rsid w:val="56F12540"/>
    <w:rsid w:val="571F5E94"/>
    <w:rsid w:val="576E4F01"/>
    <w:rsid w:val="57805F53"/>
    <w:rsid w:val="579605C9"/>
    <w:rsid w:val="57AB097E"/>
    <w:rsid w:val="57D56F73"/>
    <w:rsid w:val="57D9057D"/>
    <w:rsid w:val="57E34CF4"/>
    <w:rsid w:val="58065E02"/>
    <w:rsid w:val="581543F7"/>
    <w:rsid w:val="582861C7"/>
    <w:rsid w:val="58683E40"/>
    <w:rsid w:val="589674A1"/>
    <w:rsid w:val="58AF4F3F"/>
    <w:rsid w:val="58C309D8"/>
    <w:rsid w:val="59073632"/>
    <w:rsid w:val="59725B87"/>
    <w:rsid w:val="59A858D6"/>
    <w:rsid w:val="59C64AFE"/>
    <w:rsid w:val="59F84D6B"/>
    <w:rsid w:val="5A4A2892"/>
    <w:rsid w:val="5A593F0D"/>
    <w:rsid w:val="5A863DA1"/>
    <w:rsid w:val="5A930281"/>
    <w:rsid w:val="5AAA55C3"/>
    <w:rsid w:val="5AC9620B"/>
    <w:rsid w:val="5AFD27CC"/>
    <w:rsid w:val="5B100554"/>
    <w:rsid w:val="5B1E6715"/>
    <w:rsid w:val="5B403461"/>
    <w:rsid w:val="5BAE0099"/>
    <w:rsid w:val="5BB20650"/>
    <w:rsid w:val="5BB77F16"/>
    <w:rsid w:val="5BCF6B74"/>
    <w:rsid w:val="5BD228F4"/>
    <w:rsid w:val="5BED3DD5"/>
    <w:rsid w:val="5BF45BFD"/>
    <w:rsid w:val="5C954C39"/>
    <w:rsid w:val="5CB141A2"/>
    <w:rsid w:val="5CED5D14"/>
    <w:rsid w:val="5D6959FE"/>
    <w:rsid w:val="5DAC2CEF"/>
    <w:rsid w:val="5DDC0A09"/>
    <w:rsid w:val="5E132517"/>
    <w:rsid w:val="5E55069E"/>
    <w:rsid w:val="5E6D4D39"/>
    <w:rsid w:val="5E796D0F"/>
    <w:rsid w:val="5E7B5624"/>
    <w:rsid w:val="5EAD3BC1"/>
    <w:rsid w:val="5EBC5AA3"/>
    <w:rsid w:val="5EEC25EE"/>
    <w:rsid w:val="5F0741ED"/>
    <w:rsid w:val="5F4A0D71"/>
    <w:rsid w:val="5F8F1C6C"/>
    <w:rsid w:val="5FA60DC7"/>
    <w:rsid w:val="5FA70109"/>
    <w:rsid w:val="5FBC360C"/>
    <w:rsid w:val="5FE63AB1"/>
    <w:rsid w:val="5FEF79CA"/>
    <w:rsid w:val="5FF04502"/>
    <w:rsid w:val="601C4654"/>
    <w:rsid w:val="60390C4A"/>
    <w:rsid w:val="605A3984"/>
    <w:rsid w:val="60641386"/>
    <w:rsid w:val="60971EF1"/>
    <w:rsid w:val="609D43C9"/>
    <w:rsid w:val="60B50612"/>
    <w:rsid w:val="60EC4488"/>
    <w:rsid w:val="60FB1DF6"/>
    <w:rsid w:val="60FC6323"/>
    <w:rsid w:val="610506FE"/>
    <w:rsid w:val="610C4EB7"/>
    <w:rsid w:val="611E3AA4"/>
    <w:rsid w:val="613A3DF7"/>
    <w:rsid w:val="617D7C33"/>
    <w:rsid w:val="61A66268"/>
    <w:rsid w:val="61AC5986"/>
    <w:rsid w:val="61C42FE7"/>
    <w:rsid w:val="61E805AF"/>
    <w:rsid w:val="61F54C96"/>
    <w:rsid w:val="62460E30"/>
    <w:rsid w:val="62AE2F8D"/>
    <w:rsid w:val="62B258B7"/>
    <w:rsid w:val="636C267B"/>
    <w:rsid w:val="63AF4F10"/>
    <w:rsid w:val="63B85100"/>
    <w:rsid w:val="63D05C9D"/>
    <w:rsid w:val="640827F6"/>
    <w:rsid w:val="64426BFF"/>
    <w:rsid w:val="648115AB"/>
    <w:rsid w:val="64964C02"/>
    <w:rsid w:val="64A5078B"/>
    <w:rsid w:val="64C94098"/>
    <w:rsid w:val="64CA16BC"/>
    <w:rsid w:val="64DD447A"/>
    <w:rsid w:val="64E81368"/>
    <w:rsid w:val="651E6ED8"/>
    <w:rsid w:val="65200BE1"/>
    <w:rsid w:val="654B1CAB"/>
    <w:rsid w:val="654F525B"/>
    <w:rsid w:val="65942617"/>
    <w:rsid w:val="659F4359"/>
    <w:rsid w:val="65A12981"/>
    <w:rsid w:val="65CE74E4"/>
    <w:rsid w:val="65D42C56"/>
    <w:rsid w:val="66070D91"/>
    <w:rsid w:val="660D4726"/>
    <w:rsid w:val="664873A5"/>
    <w:rsid w:val="664909C1"/>
    <w:rsid w:val="665E4119"/>
    <w:rsid w:val="667742E5"/>
    <w:rsid w:val="66796FC1"/>
    <w:rsid w:val="669B696F"/>
    <w:rsid w:val="66B261BA"/>
    <w:rsid w:val="66CD113D"/>
    <w:rsid w:val="66D3127C"/>
    <w:rsid w:val="670924D5"/>
    <w:rsid w:val="671A7982"/>
    <w:rsid w:val="671E273D"/>
    <w:rsid w:val="676C4A3A"/>
    <w:rsid w:val="677909E8"/>
    <w:rsid w:val="677B0B3D"/>
    <w:rsid w:val="677F6920"/>
    <w:rsid w:val="67834660"/>
    <w:rsid w:val="678F4D69"/>
    <w:rsid w:val="67B3025F"/>
    <w:rsid w:val="67C90D63"/>
    <w:rsid w:val="67D21A45"/>
    <w:rsid w:val="67FB7E3A"/>
    <w:rsid w:val="683C7601"/>
    <w:rsid w:val="68451F77"/>
    <w:rsid w:val="686B372A"/>
    <w:rsid w:val="68FB28D6"/>
    <w:rsid w:val="6905640A"/>
    <w:rsid w:val="693A38E6"/>
    <w:rsid w:val="69541968"/>
    <w:rsid w:val="69564AB7"/>
    <w:rsid w:val="69843021"/>
    <w:rsid w:val="69994DF8"/>
    <w:rsid w:val="69CC45E7"/>
    <w:rsid w:val="69D567E6"/>
    <w:rsid w:val="6A373F37"/>
    <w:rsid w:val="6A824EC9"/>
    <w:rsid w:val="6A95028F"/>
    <w:rsid w:val="6AB96F5B"/>
    <w:rsid w:val="6ABF28BE"/>
    <w:rsid w:val="6B0D3978"/>
    <w:rsid w:val="6B214AD8"/>
    <w:rsid w:val="6B2C26B0"/>
    <w:rsid w:val="6B2E4C48"/>
    <w:rsid w:val="6B357C3B"/>
    <w:rsid w:val="6B3F76EC"/>
    <w:rsid w:val="6B494C2C"/>
    <w:rsid w:val="6B5C19FB"/>
    <w:rsid w:val="6BAC0798"/>
    <w:rsid w:val="6BDE7382"/>
    <w:rsid w:val="6C1A25AB"/>
    <w:rsid w:val="6C6F3242"/>
    <w:rsid w:val="6CB11977"/>
    <w:rsid w:val="6CB5068C"/>
    <w:rsid w:val="6CEE48DF"/>
    <w:rsid w:val="6D2E46D5"/>
    <w:rsid w:val="6D535020"/>
    <w:rsid w:val="6D5C5AB9"/>
    <w:rsid w:val="6D8267F1"/>
    <w:rsid w:val="6D921216"/>
    <w:rsid w:val="6D9B3002"/>
    <w:rsid w:val="6DCC1596"/>
    <w:rsid w:val="6DD3592B"/>
    <w:rsid w:val="6DEC62F9"/>
    <w:rsid w:val="6E0074AA"/>
    <w:rsid w:val="6E065335"/>
    <w:rsid w:val="6E6B7BFF"/>
    <w:rsid w:val="6E7D0D97"/>
    <w:rsid w:val="6E8051A1"/>
    <w:rsid w:val="6ECB5D68"/>
    <w:rsid w:val="6EF671F7"/>
    <w:rsid w:val="6F2D7F61"/>
    <w:rsid w:val="6F4715AA"/>
    <w:rsid w:val="6F6727CE"/>
    <w:rsid w:val="6F6D0DEC"/>
    <w:rsid w:val="6F8654C7"/>
    <w:rsid w:val="6F8A24D2"/>
    <w:rsid w:val="6F8A4A0A"/>
    <w:rsid w:val="703D3183"/>
    <w:rsid w:val="704A01E8"/>
    <w:rsid w:val="70725896"/>
    <w:rsid w:val="70742228"/>
    <w:rsid w:val="70D65555"/>
    <w:rsid w:val="70E211DC"/>
    <w:rsid w:val="70F44A5D"/>
    <w:rsid w:val="710B6568"/>
    <w:rsid w:val="7133260C"/>
    <w:rsid w:val="714B27BD"/>
    <w:rsid w:val="717570AC"/>
    <w:rsid w:val="71963372"/>
    <w:rsid w:val="71C95967"/>
    <w:rsid w:val="722532EC"/>
    <w:rsid w:val="72536956"/>
    <w:rsid w:val="726A3C92"/>
    <w:rsid w:val="726D1AB4"/>
    <w:rsid w:val="72764C63"/>
    <w:rsid w:val="729F516E"/>
    <w:rsid w:val="72AB1379"/>
    <w:rsid w:val="72D20FEF"/>
    <w:rsid w:val="72D85A9B"/>
    <w:rsid w:val="72DF74A9"/>
    <w:rsid w:val="73460993"/>
    <w:rsid w:val="7366767C"/>
    <w:rsid w:val="73697288"/>
    <w:rsid w:val="73781BAB"/>
    <w:rsid w:val="738A57F7"/>
    <w:rsid w:val="738F27E2"/>
    <w:rsid w:val="73AB7B2A"/>
    <w:rsid w:val="73F96853"/>
    <w:rsid w:val="73FA6CEB"/>
    <w:rsid w:val="744E1033"/>
    <w:rsid w:val="74664368"/>
    <w:rsid w:val="74AE19B8"/>
    <w:rsid w:val="74C936A8"/>
    <w:rsid w:val="74E45959"/>
    <w:rsid w:val="74E73DE5"/>
    <w:rsid w:val="74F74418"/>
    <w:rsid w:val="750D4CA7"/>
    <w:rsid w:val="75274645"/>
    <w:rsid w:val="75400EF8"/>
    <w:rsid w:val="759370B7"/>
    <w:rsid w:val="75A877E8"/>
    <w:rsid w:val="75BB46DD"/>
    <w:rsid w:val="75C77D48"/>
    <w:rsid w:val="75CD3BF1"/>
    <w:rsid w:val="75FD4D3A"/>
    <w:rsid w:val="7617435D"/>
    <w:rsid w:val="761D2566"/>
    <w:rsid w:val="76261C40"/>
    <w:rsid w:val="762B5068"/>
    <w:rsid w:val="763018D3"/>
    <w:rsid w:val="7699787F"/>
    <w:rsid w:val="76E31481"/>
    <w:rsid w:val="771933B5"/>
    <w:rsid w:val="772A1E4D"/>
    <w:rsid w:val="77B64C0A"/>
    <w:rsid w:val="780163DA"/>
    <w:rsid w:val="78562BA6"/>
    <w:rsid w:val="786D4081"/>
    <w:rsid w:val="78707AB8"/>
    <w:rsid w:val="787B782A"/>
    <w:rsid w:val="78A54FB9"/>
    <w:rsid w:val="78B15A36"/>
    <w:rsid w:val="791D122B"/>
    <w:rsid w:val="79223EF5"/>
    <w:rsid w:val="798816E8"/>
    <w:rsid w:val="798A50F3"/>
    <w:rsid w:val="79955914"/>
    <w:rsid w:val="799803BA"/>
    <w:rsid w:val="79C815C4"/>
    <w:rsid w:val="7A1265B7"/>
    <w:rsid w:val="7A3C593D"/>
    <w:rsid w:val="7A4A0C84"/>
    <w:rsid w:val="7A7932DB"/>
    <w:rsid w:val="7AAA62CC"/>
    <w:rsid w:val="7AAD4AA9"/>
    <w:rsid w:val="7ADC074D"/>
    <w:rsid w:val="7AE73725"/>
    <w:rsid w:val="7AF23FD9"/>
    <w:rsid w:val="7B131413"/>
    <w:rsid w:val="7B4200E0"/>
    <w:rsid w:val="7B6A5014"/>
    <w:rsid w:val="7BB403C8"/>
    <w:rsid w:val="7BDF65F0"/>
    <w:rsid w:val="7BE64D10"/>
    <w:rsid w:val="7C281C55"/>
    <w:rsid w:val="7C2C5C11"/>
    <w:rsid w:val="7C5162BB"/>
    <w:rsid w:val="7C55275C"/>
    <w:rsid w:val="7C594D0E"/>
    <w:rsid w:val="7C6720DE"/>
    <w:rsid w:val="7C6E4AA9"/>
    <w:rsid w:val="7C9D2E75"/>
    <w:rsid w:val="7CAF066A"/>
    <w:rsid w:val="7CB54AB8"/>
    <w:rsid w:val="7D094096"/>
    <w:rsid w:val="7D0A189C"/>
    <w:rsid w:val="7D166822"/>
    <w:rsid w:val="7D206679"/>
    <w:rsid w:val="7D2F1C7A"/>
    <w:rsid w:val="7D4A1D6E"/>
    <w:rsid w:val="7D9061CC"/>
    <w:rsid w:val="7DDD1B95"/>
    <w:rsid w:val="7DE27E24"/>
    <w:rsid w:val="7DFE66C3"/>
    <w:rsid w:val="7E207A4A"/>
    <w:rsid w:val="7E3962DE"/>
    <w:rsid w:val="7E667CD8"/>
    <w:rsid w:val="7E8E50EA"/>
    <w:rsid w:val="7EF329A2"/>
    <w:rsid w:val="7FC4170A"/>
    <w:rsid w:val="7FD55F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02" w:firstLineChars="200"/>
      <w:jc w:val="both"/>
    </w:pPr>
    <w:rPr>
      <w:rFonts w:ascii="Arial" w:hAnsi="Arial" w:eastAsia="宋体" w:cs="Times New Roman"/>
      <w:kern w:val="2"/>
      <w:sz w:val="21"/>
      <w:szCs w:val="24"/>
      <w:lang w:val="en-US" w:eastAsia="zh-CN" w:bidi="ar-SA"/>
    </w:rPr>
  </w:style>
  <w:style w:type="paragraph" w:styleId="3">
    <w:name w:val="heading 1"/>
    <w:basedOn w:val="1"/>
    <w:next w:val="1"/>
    <w:qFormat/>
    <w:uiPriority w:val="0"/>
    <w:pPr>
      <w:keepNext/>
      <w:keepLines/>
      <w:ind w:firstLine="0" w:firstLineChars="0"/>
      <w:outlineLvl w:val="0"/>
    </w:pPr>
    <w:rPr>
      <w:b/>
      <w:kern w:val="44"/>
      <w:sz w:val="28"/>
    </w:rPr>
  </w:style>
  <w:style w:type="paragraph" w:styleId="4">
    <w:name w:val="heading 2"/>
    <w:basedOn w:val="1"/>
    <w:next w:val="1"/>
    <w:qFormat/>
    <w:uiPriority w:val="0"/>
    <w:pPr>
      <w:keepNext/>
      <w:keepLines/>
      <w:spacing w:beforeLines="50" w:afterLines="50"/>
      <w:ind w:firstLine="0" w:firstLineChars="0"/>
      <w:jc w:val="left"/>
      <w:outlineLvl w:val="1"/>
    </w:pPr>
    <w:rPr>
      <w:rFonts w:ascii="Times New Roman" w:hAnsi="Times New Roman"/>
      <w:b/>
      <w:bCs/>
      <w:sz w:val="24"/>
      <w:szCs w:val="30"/>
    </w:rPr>
  </w:style>
  <w:style w:type="paragraph" w:styleId="5">
    <w:name w:val="heading 3"/>
    <w:basedOn w:val="1"/>
    <w:next w:val="1"/>
    <w:qFormat/>
    <w:uiPriority w:val="0"/>
    <w:pPr>
      <w:keepNext/>
      <w:keepLines/>
      <w:tabs>
        <w:tab w:val="left" w:pos="1260"/>
      </w:tabs>
      <w:adjustRightInd w:val="0"/>
      <w:snapToGrid w:val="0"/>
      <w:ind w:firstLine="200"/>
      <w:jc w:val="left"/>
      <w:outlineLvl w:val="2"/>
    </w:pPr>
    <w:rPr>
      <w:rFonts w:ascii="Times New Roman" w:hAnsi="Times New Roman"/>
      <w:b/>
      <w:sz w:val="24"/>
    </w:rPr>
  </w:style>
  <w:style w:type="paragraph" w:styleId="6">
    <w:name w:val="heading 4"/>
    <w:basedOn w:val="1"/>
    <w:next w:val="1"/>
    <w:link w:val="33"/>
    <w:qFormat/>
    <w:uiPriority w:val="9"/>
    <w:pPr>
      <w:keepNext/>
      <w:keepLines/>
      <w:spacing w:before="280" w:after="290" w:line="376" w:lineRule="auto"/>
      <w:outlineLvl w:val="3"/>
    </w:pPr>
    <w:rPr>
      <w:rFonts w:ascii="Calibri Light" w:hAnsi="Calibri Light"/>
      <w:b/>
      <w:bCs/>
      <w:sz w:val="28"/>
      <w:szCs w:val="28"/>
    </w:rPr>
  </w:style>
  <w:style w:type="paragraph" w:styleId="7">
    <w:name w:val="heading 5"/>
    <w:basedOn w:val="1"/>
    <w:next w:val="1"/>
    <w:qFormat/>
    <w:uiPriority w:val="0"/>
    <w:pPr>
      <w:keepNext/>
      <w:keepLines/>
      <w:adjustRightInd w:val="0"/>
      <w:snapToGrid w:val="0"/>
      <w:ind w:firstLine="200"/>
      <w:jc w:val="left"/>
      <w:outlineLvl w:val="4"/>
    </w:pPr>
    <w:rPr>
      <w:rFonts w:ascii="Times New Roman" w:hAnsi="Times New Roman"/>
      <w:b/>
      <w:sz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pPr>
  </w:style>
  <w:style w:type="paragraph" w:styleId="8">
    <w:name w:val="Document Map"/>
    <w:basedOn w:val="1"/>
    <w:link w:val="48"/>
    <w:qFormat/>
    <w:uiPriority w:val="0"/>
    <w:rPr>
      <w:rFonts w:ascii="宋体"/>
      <w:sz w:val="18"/>
      <w:szCs w:val="18"/>
    </w:rPr>
  </w:style>
  <w:style w:type="paragraph" w:styleId="9">
    <w:name w:val="annotation text"/>
    <w:basedOn w:val="1"/>
    <w:link w:val="34"/>
    <w:unhideWhenUsed/>
    <w:qFormat/>
    <w:uiPriority w:val="0"/>
    <w:pPr>
      <w:jc w:val="left"/>
    </w:pPr>
  </w:style>
  <w:style w:type="paragraph" w:styleId="10">
    <w:name w:val="Body Text"/>
    <w:basedOn w:val="1"/>
    <w:qFormat/>
    <w:uiPriority w:val="0"/>
    <w:pPr>
      <w:spacing w:after="120"/>
    </w:pPr>
  </w:style>
  <w:style w:type="paragraph" w:styleId="11">
    <w:name w:val="toc 3"/>
    <w:basedOn w:val="1"/>
    <w:next w:val="1"/>
    <w:qFormat/>
    <w:uiPriority w:val="39"/>
    <w:pPr>
      <w:ind w:left="840" w:leftChars="400"/>
    </w:pPr>
  </w:style>
  <w:style w:type="paragraph" w:styleId="12">
    <w:name w:val="Balloon Text"/>
    <w:basedOn w:val="1"/>
    <w:link w:val="35"/>
    <w:qFormat/>
    <w:uiPriority w:val="0"/>
    <w:pPr>
      <w:spacing w:line="240" w:lineRule="auto"/>
    </w:pPr>
    <w:rPr>
      <w:sz w:val="18"/>
      <w:szCs w:val="18"/>
    </w:rPr>
  </w:style>
  <w:style w:type="paragraph" w:styleId="13">
    <w:name w:val="footer"/>
    <w:basedOn w:val="1"/>
    <w:link w:val="36"/>
    <w:qFormat/>
    <w:uiPriority w:val="0"/>
    <w:pPr>
      <w:tabs>
        <w:tab w:val="center" w:pos="4153"/>
        <w:tab w:val="right" w:pos="8306"/>
      </w:tabs>
      <w:snapToGrid w:val="0"/>
      <w:spacing w:line="240" w:lineRule="auto"/>
      <w:jc w:val="left"/>
    </w:pPr>
    <w:rPr>
      <w:sz w:val="18"/>
      <w:szCs w:val="18"/>
    </w:rPr>
  </w:style>
  <w:style w:type="paragraph" w:styleId="14">
    <w:name w:val="header"/>
    <w:basedOn w:val="1"/>
    <w:link w:val="37"/>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qFormat/>
    <w:uiPriority w:val="39"/>
  </w:style>
  <w:style w:type="paragraph" w:styleId="16">
    <w:name w:val="Body Text Indent 3"/>
    <w:basedOn w:val="1"/>
    <w:qFormat/>
    <w:uiPriority w:val="0"/>
    <w:pPr>
      <w:ind w:firstLine="480"/>
    </w:pPr>
    <w:rPr>
      <w:rFonts w:ascii="宋体"/>
      <w:sz w:val="24"/>
    </w:rPr>
  </w:style>
  <w:style w:type="paragraph" w:styleId="17">
    <w:name w:val="toc 2"/>
    <w:basedOn w:val="1"/>
    <w:next w:val="1"/>
    <w:qFormat/>
    <w:uiPriority w:val="39"/>
    <w:pPr>
      <w:ind w:left="420" w:leftChars="200"/>
    </w:pPr>
  </w:style>
  <w:style w:type="paragraph" w:styleId="18">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cs="宋体"/>
      <w:kern w:val="0"/>
      <w:sz w:val="24"/>
    </w:rPr>
  </w:style>
  <w:style w:type="paragraph" w:styleId="19">
    <w:name w:val="annotation subject"/>
    <w:basedOn w:val="9"/>
    <w:next w:val="9"/>
    <w:link w:val="38"/>
    <w:qFormat/>
    <w:uiPriority w:val="0"/>
    <w:rPr>
      <w:b/>
      <w:bCs/>
    </w:r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rPr>
  </w:style>
  <w:style w:type="character" w:styleId="24">
    <w:name w:val="page number"/>
    <w:qFormat/>
    <w:uiPriority w:val="0"/>
  </w:style>
  <w:style w:type="character" w:styleId="25">
    <w:name w:val="FollowedHyperlink"/>
    <w:qFormat/>
    <w:uiPriority w:val="0"/>
    <w:rPr>
      <w:color w:val="333333"/>
      <w:u w:val="none"/>
    </w:rPr>
  </w:style>
  <w:style w:type="character" w:styleId="26">
    <w:name w:val="Emphasis"/>
    <w:qFormat/>
    <w:uiPriority w:val="0"/>
  </w:style>
  <w:style w:type="character" w:styleId="27">
    <w:name w:val="HTML Definition"/>
    <w:qFormat/>
    <w:uiPriority w:val="0"/>
  </w:style>
  <w:style w:type="character" w:styleId="28">
    <w:name w:val="HTML Variable"/>
    <w:qFormat/>
    <w:uiPriority w:val="0"/>
  </w:style>
  <w:style w:type="character" w:styleId="29">
    <w:name w:val="Hyperlink"/>
    <w:qFormat/>
    <w:uiPriority w:val="99"/>
    <w:rPr>
      <w:color w:val="333333"/>
      <w:u w:val="none"/>
    </w:rPr>
  </w:style>
  <w:style w:type="character" w:styleId="30">
    <w:name w:val="HTML Code"/>
    <w:qFormat/>
    <w:uiPriority w:val="0"/>
    <w:rPr>
      <w:rFonts w:ascii="Courier New" w:hAnsi="Courier New"/>
      <w:sz w:val="20"/>
    </w:rPr>
  </w:style>
  <w:style w:type="character" w:styleId="31">
    <w:name w:val="annotation reference"/>
    <w:qFormat/>
    <w:uiPriority w:val="0"/>
    <w:rPr>
      <w:sz w:val="21"/>
      <w:szCs w:val="21"/>
    </w:rPr>
  </w:style>
  <w:style w:type="character" w:styleId="32">
    <w:name w:val="HTML Cite"/>
    <w:qFormat/>
    <w:uiPriority w:val="0"/>
  </w:style>
  <w:style w:type="character" w:customStyle="1" w:styleId="33">
    <w:name w:val="标题 4 字符"/>
    <w:link w:val="6"/>
    <w:qFormat/>
    <w:uiPriority w:val="9"/>
    <w:rPr>
      <w:rFonts w:ascii="Calibri Light" w:hAnsi="Calibri Light" w:eastAsia="宋体" w:cs="Times New Roman"/>
      <w:b/>
      <w:bCs/>
      <w:kern w:val="2"/>
      <w:sz w:val="28"/>
      <w:szCs w:val="28"/>
    </w:rPr>
  </w:style>
  <w:style w:type="character" w:customStyle="1" w:styleId="34">
    <w:name w:val="批注文字 字符"/>
    <w:link w:val="9"/>
    <w:qFormat/>
    <w:uiPriority w:val="99"/>
    <w:rPr>
      <w:kern w:val="2"/>
      <w:sz w:val="21"/>
      <w:szCs w:val="24"/>
    </w:rPr>
  </w:style>
  <w:style w:type="character" w:customStyle="1" w:styleId="35">
    <w:name w:val="批注框文本 字符"/>
    <w:link w:val="12"/>
    <w:qFormat/>
    <w:uiPriority w:val="0"/>
    <w:rPr>
      <w:kern w:val="2"/>
      <w:sz w:val="18"/>
      <w:szCs w:val="18"/>
    </w:rPr>
  </w:style>
  <w:style w:type="character" w:customStyle="1" w:styleId="36">
    <w:name w:val="页脚 字符"/>
    <w:link w:val="13"/>
    <w:qFormat/>
    <w:uiPriority w:val="0"/>
    <w:rPr>
      <w:rFonts w:ascii="Calibri" w:hAnsi="Calibri" w:eastAsia="宋体" w:cs="Times New Roman"/>
      <w:kern w:val="2"/>
      <w:sz w:val="18"/>
      <w:szCs w:val="18"/>
    </w:rPr>
  </w:style>
  <w:style w:type="character" w:customStyle="1" w:styleId="37">
    <w:name w:val="页眉 字符"/>
    <w:link w:val="14"/>
    <w:qFormat/>
    <w:uiPriority w:val="0"/>
    <w:rPr>
      <w:rFonts w:ascii="Calibri" w:hAnsi="Calibri" w:eastAsia="宋体" w:cs="Times New Roman"/>
      <w:kern w:val="2"/>
      <w:sz w:val="18"/>
      <w:szCs w:val="18"/>
    </w:rPr>
  </w:style>
  <w:style w:type="character" w:customStyle="1" w:styleId="38">
    <w:name w:val="批注主题 字符"/>
    <w:link w:val="19"/>
    <w:qFormat/>
    <w:uiPriority w:val="0"/>
    <w:rPr>
      <w:b/>
      <w:bCs/>
      <w:kern w:val="2"/>
      <w:sz w:val="21"/>
      <w:szCs w:val="24"/>
    </w:rPr>
  </w:style>
  <w:style w:type="character" w:customStyle="1" w:styleId="39">
    <w:name w:val="font01"/>
    <w:qFormat/>
    <w:uiPriority w:val="0"/>
    <w:rPr>
      <w:rFonts w:hint="default" w:ascii="font-weight : 400" w:hAnsi="font-weight : 400" w:eastAsia="font-weight : 400" w:cs="font-weight : 400"/>
      <w:color w:val="000000"/>
      <w:sz w:val="22"/>
      <w:szCs w:val="22"/>
      <w:u w:val="none"/>
    </w:rPr>
  </w:style>
  <w:style w:type="character" w:customStyle="1" w:styleId="40">
    <w:name w:val="font31"/>
    <w:qFormat/>
    <w:uiPriority w:val="0"/>
    <w:rPr>
      <w:rFonts w:hint="default" w:ascii="font-weight : 700" w:hAnsi="font-weight : 700" w:eastAsia="font-weight : 700" w:cs="font-weight : 700"/>
      <w:color w:val="000000"/>
      <w:sz w:val="22"/>
      <w:szCs w:val="22"/>
      <w:u w:val="none"/>
    </w:rPr>
  </w:style>
  <w:style w:type="paragraph" w:customStyle="1" w:styleId="4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2">
    <w:name w:val="段"/>
    <w:link w:val="4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43">
    <w:name w:val="ENFI正文"/>
    <w:basedOn w:val="1"/>
    <w:link w:val="54"/>
    <w:qFormat/>
    <w:uiPriority w:val="0"/>
    <w:pPr>
      <w:adjustRightInd w:val="0"/>
      <w:snapToGrid w:val="0"/>
      <w:spacing w:line="500" w:lineRule="exact"/>
      <w:ind w:firstLine="567"/>
    </w:pPr>
    <w:rPr>
      <w:rFonts w:eastAsia="仿宋_GB2312"/>
      <w:snapToGrid w:val="0"/>
      <w:color w:val="000000"/>
      <w:kern w:val="0"/>
      <w:sz w:val="28"/>
      <w:szCs w:val="20"/>
    </w:rPr>
  </w:style>
  <w:style w:type="paragraph" w:customStyle="1" w:styleId="44">
    <w:name w:val="WPSOffice手动目录 1"/>
    <w:qFormat/>
    <w:uiPriority w:val="0"/>
    <w:rPr>
      <w:rFonts w:ascii="Times New Roman" w:hAnsi="Times New Roman" w:eastAsia="宋体" w:cs="Times New Roman"/>
      <w:lang w:val="en-US" w:eastAsia="zh-CN" w:bidi="ar-SA"/>
    </w:rPr>
  </w:style>
  <w:style w:type="paragraph" w:customStyle="1" w:styleId="45">
    <w:name w:val="正文样式"/>
    <w:basedOn w:val="10"/>
    <w:qFormat/>
    <w:uiPriority w:val="99"/>
    <w:pPr>
      <w:spacing w:after="0"/>
      <w:jc w:val="left"/>
    </w:pPr>
    <w:rPr>
      <w:rFonts w:ascii="宋体" w:hAnsi="Calibri" w:cs="宋体"/>
      <w:sz w:val="24"/>
      <w:szCs w:val="22"/>
    </w:rPr>
  </w:style>
  <w:style w:type="paragraph" w:customStyle="1" w:styleId="46">
    <w:name w:val="样式1"/>
    <w:basedOn w:val="1"/>
    <w:link w:val="47"/>
    <w:qFormat/>
    <w:uiPriority w:val="0"/>
    <w:pPr>
      <w:adjustRightInd w:val="0"/>
      <w:snapToGrid w:val="0"/>
      <w:ind w:firstLine="480"/>
    </w:pPr>
    <w:rPr>
      <w:rFonts w:ascii="Times New Roman" w:hAnsi="Times New Roman"/>
      <w:sz w:val="24"/>
    </w:rPr>
  </w:style>
  <w:style w:type="character" w:customStyle="1" w:styleId="47">
    <w:name w:val="样式1 Char"/>
    <w:link w:val="46"/>
    <w:qFormat/>
    <w:uiPriority w:val="0"/>
    <w:rPr>
      <w:kern w:val="2"/>
      <w:sz w:val="24"/>
      <w:szCs w:val="24"/>
    </w:rPr>
  </w:style>
  <w:style w:type="character" w:customStyle="1" w:styleId="48">
    <w:name w:val="文档结构图 字符"/>
    <w:basedOn w:val="22"/>
    <w:link w:val="8"/>
    <w:qFormat/>
    <w:uiPriority w:val="0"/>
    <w:rPr>
      <w:rFonts w:ascii="宋体" w:hAnsi="Arial"/>
      <w:kern w:val="2"/>
      <w:sz w:val="18"/>
      <w:szCs w:val="18"/>
    </w:rPr>
  </w:style>
  <w:style w:type="character" w:customStyle="1" w:styleId="49">
    <w:name w:val="段 Char"/>
    <w:link w:val="42"/>
    <w:qFormat/>
    <w:uiPriority w:val="0"/>
    <w:rPr>
      <w:rFonts w:ascii="宋体"/>
      <w:sz w:val="21"/>
    </w:rPr>
  </w:style>
  <w:style w:type="paragraph" w:customStyle="1" w:styleId="50">
    <w:name w:val="列项——（一级）"/>
    <w:qFormat/>
    <w:uiPriority w:val="0"/>
    <w:pPr>
      <w:widowControl w:val="0"/>
      <w:numPr>
        <w:ilvl w:val="0"/>
        <w:numId w:val="1"/>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51">
    <w:name w:val="章标题"/>
    <w:next w:val="42"/>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52">
    <w:name w:val="封面标准代替信息"/>
    <w:basedOn w:val="1"/>
    <w:qFormat/>
    <w:uiPriority w:val="0"/>
    <w:pPr>
      <w:framePr w:w="9138" w:h="1244" w:hRule="exact" w:wrap="around" w:vAnchor="page" w:hAnchor="margin" w:y="2908"/>
      <w:kinsoku w:val="0"/>
      <w:overflowPunct w:val="0"/>
      <w:autoSpaceDE w:val="0"/>
      <w:autoSpaceDN w:val="0"/>
      <w:adjustRightInd w:val="0"/>
      <w:spacing w:before="57" w:line="280" w:lineRule="exact"/>
      <w:ind w:firstLine="0" w:firstLineChars="0"/>
      <w:jc w:val="right"/>
      <w:textAlignment w:val="center"/>
    </w:pPr>
    <w:rPr>
      <w:rFonts w:ascii="宋体" w:hAnsi="Times New Roman"/>
      <w:kern w:val="0"/>
      <w:szCs w:val="20"/>
    </w:rPr>
  </w:style>
  <w:style w:type="character" w:customStyle="1" w:styleId="53">
    <w:name w:val="页眉 Char"/>
    <w:qFormat/>
    <w:uiPriority w:val="0"/>
    <w:rPr>
      <w:sz w:val="18"/>
      <w:szCs w:val="18"/>
    </w:rPr>
  </w:style>
  <w:style w:type="character" w:customStyle="1" w:styleId="54">
    <w:name w:val="ENFI正文 Char Char"/>
    <w:link w:val="43"/>
    <w:qFormat/>
    <w:locked/>
    <w:uiPriority w:val="0"/>
    <w:rPr>
      <w:rFonts w:ascii="Arial" w:hAnsi="Arial" w:eastAsia="仿宋_GB2312"/>
      <w:snapToGrid w:val="0"/>
      <w:color w:val="000000"/>
      <w:sz w:val="28"/>
    </w:rPr>
  </w:style>
  <w:style w:type="character" w:customStyle="1" w:styleId="55">
    <w:name w:val="fontstyle01"/>
    <w:basedOn w:val="22"/>
    <w:uiPriority w:val="0"/>
    <w:rPr>
      <w:rFonts w:ascii="TimesNewRomanPSMT" w:hAnsi="TimesNewRomanPSMT" w:eastAsia="TimesNewRomanPSMT" w:cs="TimesNewRomanPSMT"/>
      <w:color w:val="000000"/>
      <w:sz w:val="32"/>
      <w:szCs w:val="32"/>
    </w:rPr>
  </w:style>
  <w:style w:type="character" w:customStyle="1" w:styleId="56">
    <w:name w:val="fontstyle11"/>
    <w:basedOn w:val="22"/>
    <w:qFormat/>
    <w:uiPriority w:val="0"/>
    <w:rPr>
      <w:rFonts w:ascii="黑体" w:hAnsi="宋体" w:eastAsia="黑体" w:cs="黑体"/>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ysherry\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7"/>
    <customShpInfo spid="_x0000_s1028"/>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20</Pages>
  <Words>2296</Words>
  <Characters>13088</Characters>
  <Lines>109</Lines>
  <Paragraphs>30</Paragraphs>
  <TotalTime>16</TotalTime>
  <ScaleCrop>false</ScaleCrop>
  <LinksUpToDate>false</LinksUpToDate>
  <CharactersWithSpaces>15354</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2022-04-11T02:48:00Z</dcterms:created>
  <dc:creator>Hey Sherry</dc:creator>
  <cp:lastModifiedBy>Jarven</cp:lastModifiedBy>
  <cp:lastPrinted>2018-12-20T00:46:00Z</cp:lastPrinted>
  <dcterms:modified xsi:type="dcterms:W3CDTF">2026-07-03T00:20:52Z</dcterms:modified>
  <cp:revision>220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33218F6B13B34BEF80D986BFB995EAEE_13</vt:lpwstr>
  </property>
</Properties>
</file>