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EFEE3">
      <w:pPr>
        <w:jc w:val="center"/>
        <w:rPr>
          <w:rFonts w:asciiTheme="minorEastAsia" w:hAnsiTheme="minorEastAsia"/>
          <w:sz w:val="28"/>
        </w:rPr>
      </w:pPr>
    </w:p>
    <w:p w14:paraId="614AC1AB">
      <w:pPr>
        <w:jc w:val="center"/>
        <w:rPr>
          <w:rFonts w:ascii="Times New Roman" w:hAnsi="Times New Roman" w:eastAsia="微软雅黑"/>
          <w:b/>
          <w:sz w:val="44"/>
          <w:szCs w:val="44"/>
        </w:rPr>
      </w:pPr>
      <w:r>
        <w:rPr>
          <w:rFonts w:hint="eastAsia" w:ascii="Times New Roman" w:hAnsi="Times New Roman" w:eastAsia="微软雅黑"/>
          <w:b/>
          <w:sz w:val="44"/>
          <w:szCs w:val="44"/>
        </w:rPr>
        <w:t>有色金属采选智能工厂数据采集技术要求（草案）</w:t>
      </w:r>
    </w:p>
    <w:p w14:paraId="7AD6D504">
      <w:pPr>
        <w:jc w:val="center"/>
        <w:rPr>
          <w:rFonts w:ascii="Times New Roman" w:hAnsi="Times New Roman" w:eastAsia="微软雅黑"/>
          <w:b/>
          <w:sz w:val="44"/>
          <w:szCs w:val="44"/>
        </w:rPr>
      </w:pPr>
      <w:r>
        <w:rPr>
          <w:rFonts w:ascii="Times New Roman" w:hAnsi="Times New Roman" w:eastAsia="微软雅黑"/>
          <w:b/>
          <w:sz w:val="44"/>
          <w:szCs w:val="44"/>
        </w:rPr>
        <w:t>编制说明</w:t>
      </w:r>
    </w:p>
    <w:p w14:paraId="3422903E">
      <w:pPr>
        <w:jc w:val="center"/>
        <w:rPr>
          <w:rFonts w:asciiTheme="minorEastAsia" w:hAnsiTheme="minorEastAsia"/>
          <w:sz w:val="28"/>
        </w:rPr>
      </w:pPr>
    </w:p>
    <w:p w14:paraId="5432BC35">
      <w:pPr>
        <w:jc w:val="center"/>
        <w:rPr>
          <w:rFonts w:asciiTheme="minorEastAsia" w:hAnsiTheme="minorEastAsia"/>
          <w:sz w:val="28"/>
        </w:rPr>
      </w:pPr>
    </w:p>
    <w:p w14:paraId="100C90CE">
      <w:pPr>
        <w:jc w:val="center"/>
        <w:rPr>
          <w:rFonts w:asciiTheme="minorEastAsia" w:hAnsiTheme="minorEastAsia"/>
          <w:sz w:val="28"/>
        </w:rPr>
      </w:pPr>
    </w:p>
    <w:p w14:paraId="25D492BA">
      <w:pPr>
        <w:jc w:val="center"/>
        <w:rPr>
          <w:rFonts w:asciiTheme="minorEastAsia" w:hAnsiTheme="minorEastAsia"/>
          <w:sz w:val="28"/>
        </w:rPr>
      </w:pPr>
    </w:p>
    <w:p w14:paraId="577159EF">
      <w:pPr>
        <w:jc w:val="center"/>
        <w:rPr>
          <w:rFonts w:asciiTheme="minorEastAsia" w:hAnsiTheme="minorEastAsia"/>
          <w:sz w:val="28"/>
        </w:rPr>
      </w:pPr>
    </w:p>
    <w:p w14:paraId="0707DFC9">
      <w:pPr>
        <w:jc w:val="center"/>
        <w:rPr>
          <w:rFonts w:asciiTheme="minorEastAsia" w:hAnsiTheme="minorEastAsia"/>
          <w:sz w:val="28"/>
        </w:rPr>
      </w:pPr>
    </w:p>
    <w:p w14:paraId="0C6EBCDF">
      <w:pPr>
        <w:jc w:val="center"/>
        <w:rPr>
          <w:rFonts w:asciiTheme="minorEastAsia" w:hAnsiTheme="minorEastAsia"/>
          <w:sz w:val="28"/>
        </w:rPr>
      </w:pPr>
    </w:p>
    <w:p w14:paraId="29AC05DB">
      <w:pPr>
        <w:ind w:firstLine="964"/>
        <w:rPr>
          <w:rFonts w:ascii="Times New Roman" w:hAnsi="Times New Roman" w:eastAsia="黑体"/>
          <w:b/>
          <w:sz w:val="48"/>
          <w:szCs w:val="48"/>
        </w:rPr>
      </w:pPr>
    </w:p>
    <w:p w14:paraId="02F4DEA8">
      <w:pPr>
        <w:pStyle w:val="16"/>
      </w:pPr>
    </w:p>
    <w:p w14:paraId="453425FA">
      <w:pPr>
        <w:pStyle w:val="16"/>
      </w:pPr>
    </w:p>
    <w:p w14:paraId="468D6643">
      <w:pPr>
        <w:pStyle w:val="16"/>
      </w:pPr>
    </w:p>
    <w:p w14:paraId="6540ADA8">
      <w:pPr>
        <w:pStyle w:val="16"/>
      </w:pPr>
    </w:p>
    <w:p w14:paraId="7D539C9E">
      <w:pPr>
        <w:ind w:left="840" w:leftChars="0" w:firstLine="420" w:firstLineChars="0"/>
        <w:rPr>
          <w:rFonts w:ascii="Times New Roman" w:hAnsi="Times New Roman" w:eastAsia="微软雅黑"/>
          <w:sz w:val="28"/>
          <w:szCs w:val="32"/>
        </w:rPr>
      </w:pPr>
      <w:r>
        <w:rPr>
          <w:rFonts w:ascii="Times New Roman" w:hAnsi="Times New Roman" w:eastAsia="微软雅黑"/>
          <w:sz w:val="28"/>
          <w:szCs w:val="32"/>
        </w:rPr>
        <w:t>《</w:t>
      </w:r>
      <w:r>
        <w:rPr>
          <w:rFonts w:hint="eastAsia" w:ascii="Times New Roman" w:hAnsi="Times New Roman" w:eastAsia="微软雅黑"/>
          <w:sz w:val="28"/>
          <w:szCs w:val="32"/>
        </w:rPr>
        <w:t>有色金属采选</w:t>
      </w:r>
      <w:r>
        <w:rPr>
          <w:rFonts w:hint="eastAsia" w:ascii="Times New Roman" w:hAnsi="Times New Roman" w:eastAsia="微软雅黑"/>
          <w:sz w:val="28"/>
          <w:szCs w:val="32"/>
          <w:lang w:val="en-US" w:eastAsia="zh-CN"/>
        </w:rPr>
        <w:t>智能工厂数据采集技术要求</w:t>
      </w:r>
      <w:r>
        <w:rPr>
          <w:rFonts w:ascii="Times New Roman" w:hAnsi="Times New Roman" w:eastAsia="微软雅黑"/>
          <w:sz w:val="28"/>
          <w:szCs w:val="32"/>
        </w:rPr>
        <w:t>》编制组</w:t>
      </w:r>
    </w:p>
    <w:p w14:paraId="36F595E1">
      <w:pPr>
        <w:ind w:left="840" w:leftChars="0" w:firstLine="420" w:firstLineChars="0"/>
        <w:jc w:val="center"/>
        <w:rPr>
          <w:rFonts w:ascii="Times New Roman" w:hAnsi="Times New Roman" w:eastAsia="微软雅黑"/>
          <w:sz w:val="28"/>
          <w:szCs w:val="32"/>
        </w:rPr>
      </w:pPr>
      <w:r>
        <w:rPr>
          <w:rFonts w:hint="eastAsia" w:ascii="Times New Roman" w:hAnsi="Times New Roman" w:eastAsia="微软雅黑"/>
          <w:sz w:val="28"/>
          <w:szCs w:val="32"/>
          <w:lang w:val="en-US" w:eastAsia="zh-CN"/>
        </w:rPr>
        <w:t>主编</w:t>
      </w:r>
      <w:r>
        <w:rPr>
          <w:rFonts w:ascii="Times New Roman" w:hAnsi="Times New Roman" w:eastAsia="微软雅黑"/>
          <w:sz w:val="28"/>
          <w:szCs w:val="32"/>
        </w:rPr>
        <w:t>单位：</w:t>
      </w:r>
      <w:r>
        <w:rPr>
          <w:rFonts w:hint="eastAsia" w:ascii="宋体" w:hAnsi="宋体" w:eastAsia="宋体"/>
          <w:sz w:val="24"/>
          <w:szCs w:val="24"/>
        </w:rPr>
        <w:t>金川集团股份有限公司</w:t>
      </w:r>
    </w:p>
    <w:p w14:paraId="48DBCD1A">
      <w:pPr>
        <w:jc w:val="center"/>
        <w:rPr>
          <w:rFonts w:ascii="Times New Roman" w:hAnsi="Times New Roman" w:eastAsia="微软雅黑"/>
          <w:sz w:val="28"/>
          <w:szCs w:val="32"/>
        </w:rPr>
      </w:pPr>
    </w:p>
    <w:p w14:paraId="1EC15849">
      <w:pPr>
        <w:jc w:val="center"/>
        <w:rPr>
          <w:rFonts w:ascii="Times New Roman" w:hAnsi="Times New Roman" w:eastAsia="微软雅黑"/>
          <w:sz w:val="28"/>
          <w:szCs w:val="32"/>
        </w:rPr>
      </w:pPr>
      <w:r>
        <w:rPr>
          <w:rFonts w:ascii="Times New Roman" w:hAnsi="Times New Roman" w:eastAsia="微软雅黑"/>
          <w:sz w:val="28"/>
          <w:szCs w:val="32"/>
        </w:rPr>
        <w:t>202</w:t>
      </w:r>
      <w:r>
        <w:rPr>
          <w:rFonts w:hint="eastAsia" w:ascii="Times New Roman" w:hAnsi="Times New Roman" w:eastAsia="微软雅黑"/>
          <w:sz w:val="28"/>
          <w:szCs w:val="32"/>
          <w:lang w:val="en-US" w:eastAsia="zh-CN"/>
        </w:rPr>
        <w:t>6</w:t>
      </w:r>
      <w:r>
        <w:rPr>
          <w:rFonts w:ascii="Times New Roman" w:hAnsi="Times New Roman" w:eastAsia="微软雅黑"/>
          <w:sz w:val="28"/>
          <w:szCs w:val="32"/>
        </w:rPr>
        <w:t>年</w:t>
      </w:r>
      <w:r>
        <w:rPr>
          <w:rFonts w:hint="eastAsia" w:ascii="Times New Roman" w:hAnsi="Times New Roman" w:eastAsia="微软雅黑"/>
          <w:sz w:val="28"/>
          <w:szCs w:val="32"/>
          <w:lang w:val="en-US" w:eastAsia="zh-CN"/>
        </w:rPr>
        <w:t>1</w:t>
      </w:r>
      <w:r>
        <w:rPr>
          <w:rFonts w:ascii="Times New Roman" w:hAnsi="Times New Roman" w:eastAsia="微软雅黑"/>
          <w:sz w:val="28"/>
          <w:szCs w:val="32"/>
        </w:rPr>
        <w:t>月</w:t>
      </w:r>
    </w:p>
    <w:p w14:paraId="73641158">
      <w:pPr>
        <w:jc w:val="center"/>
        <w:rPr>
          <w:rFonts w:asciiTheme="minorEastAsia" w:hAnsiTheme="minorEastAsia"/>
          <w:sz w:val="28"/>
        </w:rPr>
      </w:pPr>
    </w:p>
    <w:p w14:paraId="0FC1568F">
      <w:pPr>
        <w:pStyle w:val="2"/>
        <w:rPr>
          <w:rFonts w:asciiTheme="minorEastAsia" w:hAnsiTheme="minorEastAsia"/>
          <w:sz w:val="28"/>
        </w:rPr>
      </w:pPr>
    </w:p>
    <w:p w14:paraId="19F0522C">
      <w:pPr>
        <w:pStyle w:val="2"/>
        <w:rPr>
          <w:rFonts w:asciiTheme="minorEastAsia" w:hAnsiTheme="minorEastAsia"/>
          <w:sz w:val="28"/>
        </w:rPr>
      </w:pPr>
    </w:p>
    <w:sdt>
      <w:sdtPr>
        <w:rPr>
          <w:rFonts w:ascii="宋体" w:hAnsi="宋体" w:eastAsia="宋体" w:cstheme="minorBidi"/>
          <w:kern w:val="2"/>
          <w:sz w:val="21"/>
          <w:szCs w:val="22"/>
          <w:lang w:val="en-US" w:eastAsia="zh-CN" w:bidi="ar-SA"/>
        </w:rPr>
        <w:id w:val="147477862"/>
        <w15:color w:val="DBDBDB"/>
        <w:docPartObj>
          <w:docPartGallery w:val="Table of Contents"/>
          <w:docPartUnique/>
        </w:docPartObj>
      </w:sdtPr>
      <w:sdtEndPr>
        <w:rPr>
          <w:rFonts w:asciiTheme="minorEastAsia" w:hAnsiTheme="minorEastAsia" w:eastAsiaTheme="minorEastAsia" w:cstheme="minorBidi"/>
          <w:kern w:val="2"/>
          <w:sz w:val="21"/>
          <w:szCs w:val="22"/>
          <w:lang w:val="en-US" w:eastAsia="zh-CN" w:bidi="ar-SA"/>
        </w:rPr>
      </w:sdtEndPr>
      <w:sdtContent>
        <w:p w14:paraId="10D6B4E7">
          <w:pPr>
            <w:spacing w:before="0" w:beforeLines="0" w:after="0" w:afterLines="0" w:line="240" w:lineRule="auto"/>
            <w:ind w:left="0" w:leftChars="0" w:right="0" w:rightChars="0" w:firstLine="0" w:firstLineChars="0"/>
            <w:jc w:val="center"/>
          </w:pPr>
          <w:r>
            <w:rPr>
              <w:rFonts w:ascii="宋体" w:hAnsi="宋体" w:eastAsia="宋体"/>
              <w:sz w:val="21"/>
            </w:rPr>
            <w:t>目录</w:t>
          </w:r>
        </w:p>
        <w:p w14:paraId="68F8A144">
          <w:pPr>
            <w:pStyle w:val="7"/>
            <w:tabs>
              <w:tab w:val="right" w:leader="dot" w:pos="8306"/>
            </w:tabs>
          </w:pPr>
          <w:r>
            <w:rPr>
              <w:rFonts w:asciiTheme="minorEastAsia" w:hAnsiTheme="minorEastAsia"/>
              <w:sz w:val="28"/>
            </w:rPr>
            <w:fldChar w:fldCharType="begin"/>
          </w:r>
          <w:r>
            <w:rPr>
              <w:rFonts w:asciiTheme="minorEastAsia" w:hAnsiTheme="minorEastAsia"/>
              <w:sz w:val="28"/>
            </w:rPr>
            <w:instrText xml:space="preserve">TOC \o "1-2" \h \u </w:instrText>
          </w:r>
          <w:r>
            <w:rPr>
              <w:rFonts w:asciiTheme="minorEastAsia" w:hAnsiTheme="minorEastAsia"/>
              <w:sz w:val="28"/>
            </w:rPr>
            <w:fldChar w:fldCharType="separate"/>
          </w:r>
          <w:r>
            <w:rPr>
              <w:rFonts w:asciiTheme="minorEastAsia" w:hAnsiTheme="minorEastAsia"/>
            </w:rPr>
            <w:fldChar w:fldCharType="begin"/>
          </w:r>
          <w:r>
            <w:rPr>
              <w:rFonts w:asciiTheme="minorEastAsia" w:hAnsiTheme="minorEastAsia"/>
            </w:rPr>
            <w:instrText xml:space="preserve"> HYPERLINK \l _Toc6553 </w:instrText>
          </w:r>
          <w:r>
            <w:rPr>
              <w:rFonts w:asciiTheme="minorEastAsia" w:hAnsiTheme="minorEastAsia"/>
            </w:rPr>
            <w:fldChar w:fldCharType="separate"/>
          </w:r>
          <w:r>
            <w:rPr>
              <w:rFonts w:hint="eastAsia" w:ascii="黑体" w:hAnsi="宋体" w:eastAsia="黑体" w:cs="Arial"/>
              <w:bCs w:val="0"/>
              <w:kern w:val="0"/>
              <w:szCs w:val="21"/>
              <w:lang w:val="en-US" w:eastAsia="zh-CN" w:bidi="ar-SA"/>
            </w:rPr>
            <w:t>一、</w:t>
          </w:r>
          <w:r>
            <w:rPr>
              <w:rFonts w:hint="eastAsia" w:ascii="黑体" w:eastAsia="黑体" w:cs="Arial"/>
              <w:bCs w:val="0"/>
              <w:szCs w:val="21"/>
              <w:lang w:val="en-US" w:eastAsia="zh-CN"/>
            </w:rPr>
            <w:t>工作简况</w:t>
          </w:r>
          <w:r>
            <w:tab/>
          </w:r>
          <w:r>
            <w:fldChar w:fldCharType="begin"/>
          </w:r>
          <w:r>
            <w:instrText xml:space="preserve"> PAGEREF _Toc6553 \h </w:instrText>
          </w:r>
          <w:r>
            <w:fldChar w:fldCharType="separate"/>
          </w:r>
          <w:r>
            <w:t>3</w:t>
          </w:r>
          <w:r>
            <w:fldChar w:fldCharType="end"/>
          </w:r>
          <w:r>
            <w:rPr>
              <w:rFonts w:asciiTheme="minorEastAsia" w:hAnsiTheme="minorEastAsia"/>
            </w:rPr>
            <w:fldChar w:fldCharType="end"/>
          </w:r>
        </w:p>
        <w:p w14:paraId="265192BE">
          <w:pPr>
            <w:pStyle w:val="7"/>
            <w:tabs>
              <w:tab w:val="right" w:leader="dot" w:pos="8306"/>
            </w:tabs>
          </w:pPr>
          <w:r>
            <w:rPr>
              <w:rFonts w:asciiTheme="minorEastAsia" w:hAnsiTheme="minorEastAsia"/>
            </w:rPr>
            <w:fldChar w:fldCharType="begin"/>
          </w:r>
          <w:r>
            <w:rPr>
              <w:rFonts w:asciiTheme="minorEastAsia" w:hAnsiTheme="minorEastAsia"/>
            </w:rPr>
            <w:instrText xml:space="preserve"> HYPERLINK \l _Toc16390 </w:instrText>
          </w:r>
          <w:r>
            <w:rPr>
              <w:rFonts w:asciiTheme="minorEastAsia" w:hAnsiTheme="minorEastAsia"/>
            </w:rPr>
            <w:fldChar w:fldCharType="separate"/>
          </w:r>
          <w:r>
            <w:rPr>
              <w:rFonts w:hint="eastAsia" w:ascii="黑体" w:hAnsi="黑体" w:eastAsia="黑体" w:cs="黑体"/>
              <w:kern w:val="0"/>
              <w:szCs w:val="21"/>
              <w:lang w:val="en-US" w:eastAsia="zh-CN" w:bidi="ar"/>
            </w:rPr>
            <w:t>1.1 任务来源</w:t>
          </w:r>
          <w:r>
            <w:tab/>
          </w:r>
          <w:r>
            <w:fldChar w:fldCharType="begin"/>
          </w:r>
          <w:r>
            <w:instrText xml:space="preserve"> PAGEREF _Toc16390 \h </w:instrText>
          </w:r>
          <w:r>
            <w:fldChar w:fldCharType="separate"/>
          </w:r>
          <w:r>
            <w:t>3</w:t>
          </w:r>
          <w:r>
            <w:fldChar w:fldCharType="end"/>
          </w:r>
          <w:r>
            <w:rPr>
              <w:rFonts w:asciiTheme="minorEastAsia" w:hAnsiTheme="minorEastAsia"/>
            </w:rPr>
            <w:fldChar w:fldCharType="end"/>
          </w:r>
        </w:p>
        <w:p w14:paraId="14EC2521">
          <w:pPr>
            <w:pStyle w:val="7"/>
            <w:tabs>
              <w:tab w:val="right" w:leader="dot" w:pos="8306"/>
            </w:tabs>
          </w:pPr>
          <w:r>
            <w:rPr>
              <w:rFonts w:asciiTheme="minorEastAsia" w:hAnsiTheme="minorEastAsia"/>
            </w:rPr>
            <w:fldChar w:fldCharType="begin"/>
          </w:r>
          <w:r>
            <w:rPr>
              <w:rFonts w:asciiTheme="minorEastAsia" w:hAnsiTheme="minorEastAsia"/>
            </w:rPr>
            <w:instrText xml:space="preserve"> HYPERLINK \l _Toc29456 </w:instrText>
          </w:r>
          <w:r>
            <w:rPr>
              <w:rFonts w:asciiTheme="minorEastAsia" w:hAnsiTheme="minorEastAsia"/>
            </w:rPr>
            <w:fldChar w:fldCharType="separate"/>
          </w:r>
          <w:r>
            <w:rPr>
              <w:rFonts w:hint="eastAsia" w:ascii="黑体" w:hAnsi="黑体" w:eastAsia="黑体" w:cs="黑体"/>
              <w:kern w:val="0"/>
              <w:szCs w:val="24"/>
              <w:lang w:val="en-US" w:eastAsia="zh-CN" w:bidi="ar"/>
            </w:rPr>
            <w:t xml:space="preserve">1.2 </w:t>
          </w:r>
          <w:r>
            <w:rPr>
              <w:rFonts w:hint="eastAsia" w:ascii="黑体" w:hAnsi="黑体" w:eastAsia="黑体" w:cs="黑体"/>
              <w:bCs w:val="0"/>
              <w:kern w:val="0"/>
              <w:szCs w:val="21"/>
              <w:lang w:val="en-US" w:eastAsia="zh-CN" w:bidi="ar-SA"/>
            </w:rPr>
            <w:t>编制背景及必要性</w:t>
          </w:r>
          <w:r>
            <w:tab/>
          </w:r>
          <w:r>
            <w:fldChar w:fldCharType="begin"/>
          </w:r>
          <w:r>
            <w:instrText xml:space="preserve"> PAGEREF _Toc29456 \h </w:instrText>
          </w:r>
          <w:r>
            <w:fldChar w:fldCharType="separate"/>
          </w:r>
          <w:r>
            <w:t>3</w:t>
          </w:r>
          <w:r>
            <w:fldChar w:fldCharType="end"/>
          </w:r>
          <w:r>
            <w:rPr>
              <w:rFonts w:asciiTheme="minorEastAsia" w:hAnsiTheme="minorEastAsia"/>
            </w:rPr>
            <w:fldChar w:fldCharType="end"/>
          </w:r>
        </w:p>
        <w:p w14:paraId="1C0C6EEA">
          <w:pPr>
            <w:pStyle w:val="8"/>
            <w:tabs>
              <w:tab w:val="right" w:leader="dot" w:pos="8306"/>
            </w:tabs>
          </w:pPr>
          <w:r>
            <w:rPr>
              <w:rFonts w:asciiTheme="minorEastAsia" w:hAnsiTheme="minorEastAsia"/>
            </w:rPr>
            <w:fldChar w:fldCharType="begin"/>
          </w:r>
          <w:r>
            <w:rPr>
              <w:rFonts w:asciiTheme="minorEastAsia" w:hAnsiTheme="minorEastAsia"/>
            </w:rPr>
            <w:instrText xml:space="preserve"> HYPERLINK \l _Toc9972 </w:instrText>
          </w:r>
          <w:r>
            <w:rPr>
              <w:rFonts w:asciiTheme="minorEastAsia" w:hAnsiTheme="minorEastAsia"/>
            </w:rPr>
            <w:fldChar w:fldCharType="separate"/>
          </w:r>
          <w:r>
            <w:rPr>
              <w:rFonts w:hint="eastAsia" w:ascii="黑体" w:hAnsi="黑体" w:eastAsia="黑体" w:cs="黑体"/>
              <w:kern w:val="0"/>
              <w:szCs w:val="21"/>
              <w:lang w:val="en-US" w:eastAsia="zh-CN" w:bidi="ar"/>
            </w:rPr>
            <w:t>1.2.1编制背景</w:t>
          </w:r>
          <w:r>
            <w:tab/>
          </w:r>
          <w:r>
            <w:fldChar w:fldCharType="begin"/>
          </w:r>
          <w:r>
            <w:instrText xml:space="preserve"> PAGEREF _Toc9972 \h </w:instrText>
          </w:r>
          <w:r>
            <w:fldChar w:fldCharType="separate"/>
          </w:r>
          <w:r>
            <w:t>3</w:t>
          </w:r>
          <w:r>
            <w:fldChar w:fldCharType="end"/>
          </w:r>
          <w:r>
            <w:rPr>
              <w:rFonts w:asciiTheme="minorEastAsia" w:hAnsiTheme="minorEastAsia"/>
            </w:rPr>
            <w:fldChar w:fldCharType="end"/>
          </w:r>
        </w:p>
        <w:p w14:paraId="574CA2E2">
          <w:pPr>
            <w:pStyle w:val="8"/>
            <w:tabs>
              <w:tab w:val="right" w:leader="dot" w:pos="8306"/>
            </w:tabs>
          </w:pPr>
          <w:r>
            <w:rPr>
              <w:rFonts w:asciiTheme="minorEastAsia" w:hAnsiTheme="minorEastAsia"/>
            </w:rPr>
            <w:fldChar w:fldCharType="begin"/>
          </w:r>
          <w:r>
            <w:rPr>
              <w:rFonts w:asciiTheme="minorEastAsia" w:hAnsiTheme="minorEastAsia"/>
            </w:rPr>
            <w:instrText xml:space="preserve"> HYPERLINK \l _Toc9328 </w:instrText>
          </w:r>
          <w:r>
            <w:rPr>
              <w:rFonts w:asciiTheme="minorEastAsia" w:hAnsiTheme="minorEastAsia"/>
            </w:rPr>
            <w:fldChar w:fldCharType="separate"/>
          </w:r>
          <w:r>
            <w:rPr>
              <w:rFonts w:hint="eastAsia" w:ascii="黑体" w:hAnsi="黑体" w:eastAsia="黑体" w:cs="黑体"/>
              <w:kern w:val="0"/>
              <w:szCs w:val="21"/>
              <w:lang w:val="en-US" w:eastAsia="zh-CN" w:bidi="ar"/>
            </w:rPr>
            <w:t>1.2.2编制必要性</w:t>
          </w:r>
          <w:r>
            <w:tab/>
          </w:r>
          <w:r>
            <w:fldChar w:fldCharType="begin"/>
          </w:r>
          <w:r>
            <w:instrText xml:space="preserve"> PAGEREF _Toc9328 \h </w:instrText>
          </w:r>
          <w:r>
            <w:fldChar w:fldCharType="separate"/>
          </w:r>
          <w:r>
            <w:t>4</w:t>
          </w:r>
          <w:r>
            <w:fldChar w:fldCharType="end"/>
          </w:r>
          <w:r>
            <w:rPr>
              <w:rFonts w:asciiTheme="minorEastAsia" w:hAnsiTheme="minorEastAsia"/>
            </w:rPr>
            <w:fldChar w:fldCharType="end"/>
          </w:r>
        </w:p>
        <w:p w14:paraId="51C1CEC1">
          <w:pPr>
            <w:pStyle w:val="7"/>
            <w:tabs>
              <w:tab w:val="right" w:leader="dot" w:pos="8306"/>
            </w:tabs>
          </w:pPr>
          <w:r>
            <w:rPr>
              <w:rFonts w:asciiTheme="minorEastAsia" w:hAnsiTheme="minorEastAsia"/>
            </w:rPr>
            <w:fldChar w:fldCharType="begin"/>
          </w:r>
          <w:r>
            <w:rPr>
              <w:rFonts w:asciiTheme="minorEastAsia" w:hAnsiTheme="minorEastAsia"/>
            </w:rPr>
            <w:instrText xml:space="preserve"> HYPERLINK \l _Toc8179 </w:instrText>
          </w:r>
          <w:r>
            <w:rPr>
              <w:rFonts w:asciiTheme="minorEastAsia" w:hAnsiTheme="minorEastAsia"/>
            </w:rPr>
            <w:fldChar w:fldCharType="separate"/>
          </w:r>
          <w:r>
            <w:rPr>
              <w:rFonts w:hint="eastAsia" w:ascii="黑体" w:hAnsi="黑体" w:eastAsia="黑体" w:cs="黑体"/>
              <w:kern w:val="0"/>
              <w:szCs w:val="24"/>
              <w:lang w:val="en-US" w:eastAsia="zh-CN" w:bidi="ar"/>
            </w:rPr>
            <w:t>1.3 主要参加单位</w:t>
          </w:r>
          <w:r>
            <w:tab/>
          </w:r>
          <w:r>
            <w:fldChar w:fldCharType="begin"/>
          </w:r>
          <w:r>
            <w:instrText xml:space="preserve"> PAGEREF _Toc8179 \h </w:instrText>
          </w:r>
          <w:r>
            <w:fldChar w:fldCharType="separate"/>
          </w:r>
          <w:r>
            <w:t>4</w:t>
          </w:r>
          <w:r>
            <w:fldChar w:fldCharType="end"/>
          </w:r>
          <w:r>
            <w:rPr>
              <w:rFonts w:asciiTheme="minorEastAsia" w:hAnsiTheme="minorEastAsia"/>
            </w:rPr>
            <w:fldChar w:fldCharType="end"/>
          </w:r>
        </w:p>
        <w:p w14:paraId="1C40A7EC">
          <w:pPr>
            <w:pStyle w:val="7"/>
            <w:tabs>
              <w:tab w:val="right" w:leader="dot" w:pos="8306"/>
            </w:tabs>
          </w:pPr>
          <w:r>
            <w:rPr>
              <w:rFonts w:asciiTheme="minorEastAsia" w:hAnsiTheme="minorEastAsia"/>
            </w:rPr>
            <w:fldChar w:fldCharType="begin"/>
          </w:r>
          <w:r>
            <w:rPr>
              <w:rFonts w:asciiTheme="minorEastAsia" w:hAnsiTheme="minorEastAsia"/>
            </w:rPr>
            <w:instrText xml:space="preserve"> HYPERLINK \l _Toc21308 </w:instrText>
          </w:r>
          <w:r>
            <w:rPr>
              <w:rFonts w:asciiTheme="minorEastAsia" w:hAnsiTheme="minorEastAsia"/>
            </w:rPr>
            <w:fldChar w:fldCharType="separate"/>
          </w:r>
          <w:r>
            <w:rPr>
              <w:rFonts w:hint="eastAsia" w:ascii="黑体" w:hAnsi="宋体" w:eastAsia="黑体" w:cs="Arial"/>
              <w:bCs w:val="0"/>
              <w:kern w:val="0"/>
              <w:szCs w:val="21"/>
              <w:lang w:val="en-US" w:eastAsia="zh-CN" w:bidi="ar-SA"/>
            </w:rPr>
            <w:t>二、标准编制原则</w:t>
          </w:r>
          <w:r>
            <w:tab/>
          </w:r>
          <w:r>
            <w:fldChar w:fldCharType="begin"/>
          </w:r>
          <w:r>
            <w:instrText xml:space="preserve"> PAGEREF _Toc21308 \h </w:instrText>
          </w:r>
          <w:r>
            <w:fldChar w:fldCharType="separate"/>
          </w:r>
          <w:r>
            <w:t>6</w:t>
          </w:r>
          <w:r>
            <w:fldChar w:fldCharType="end"/>
          </w:r>
          <w:r>
            <w:rPr>
              <w:rFonts w:asciiTheme="minorEastAsia" w:hAnsiTheme="minorEastAsia"/>
            </w:rPr>
            <w:fldChar w:fldCharType="end"/>
          </w:r>
        </w:p>
        <w:p w14:paraId="3AF8161C">
          <w:pPr>
            <w:pStyle w:val="7"/>
            <w:tabs>
              <w:tab w:val="right" w:leader="dot" w:pos="8306"/>
            </w:tabs>
          </w:pPr>
          <w:r>
            <w:rPr>
              <w:rFonts w:asciiTheme="minorEastAsia" w:hAnsiTheme="minorEastAsia"/>
            </w:rPr>
            <w:fldChar w:fldCharType="begin"/>
          </w:r>
          <w:r>
            <w:rPr>
              <w:rFonts w:asciiTheme="minorEastAsia" w:hAnsiTheme="minorEastAsia"/>
            </w:rPr>
            <w:instrText xml:space="preserve"> HYPERLINK \l _Toc730 </w:instrText>
          </w:r>
          <w:r>
            <w:rPr>
              <w:rFonts w:asciiTheme="minorEastAsia" w:hAnsiTheme="minorEastAsia"/>
            </w:rPr>
            <w:fldChar w:fldCharType="separate"/>
          </w:r>
          <w:r>
            <w:rPr>
              <w:rFonts w:hint="eastAsia" w:ascii="黑体" w:hAnsi="宋体" w:eastAsia="黑体" w:cs="Arial"/>
              <w:bCs w:val="0"/>
              <w:kern w:val="0"/>
              <w:szCs w:val="21"/>
              <w:lang w:val="en-US" w:eastAsia="zh-CN" w:bidi="ar-SA"/>
            </w:rPr>
            <w:t>三、 标准的主要内容及确定内容的主要依据</w:t>
          </w:r>
          <w:r>
            <w:tab/>
          </w:r>
          <w:r>
            <w:fldChar w:fldCharType="begin"/>
          </w:r>
          <w:r>
            <w:instrText xml:space="preserve"> PAGEREF _Toc730 \h </w:instrText>
          </w:r>
          <w:r>
            <w:fldChar w:fldCharType="separate"/>
          </w:r>
          <w:r>
            <w:t>6</w:t>
          </w:r>
          <w:r>
            <w:fldChar w:fldCharType="end"/>
          </w:r>
          <w:r>
            <w:rPr>
              <w:rFonts w:asciiTheme="minorEastAsia" w:hAnsiTheme="minorEastAsia"/>
            </w:rPr>
            <w:fldChar w:fldCharType="end"/>
          </w:r>
        </w:p>
        <w:p w14:paraId="169ABB24">
          <w:pPr>
            <w:pStyle w:val="8"/>
            <w:tabs>
              <w:tab w:val="right" w:leader="dot" w:pos="8306"/>
            </w:tabs>
          </w:pPr>
          <w:r>
            <w:rPr>
              <w:rFonts w:asciiTheme="minorEastAsia" w:hAnsiTheme="minorEastAsia"/>
            </w:rPr>
            <w:fldChar w:fldCharType="begin"/>
          </w:r>
          <w:r>
            <w:rPr>
              <w:rFonts w:asciiTheme="minorEastAsia" w:hAnsiTheme="minorEastAsia"/>
            </w:rPr>
            <w:instrText xml:space="preserve"> HYPERLINK \l _Toc9920 </w:instrText>
          </w:r>
          <w:r>
            <w:rPr>
              <w:rFonts w:asciiTheme="minorEastAsia" w:hAnsiTheme="minorEastAsia"/>
            </w:rPr>
            <w:fldChar w:fldCharType="separate"/>
          </w:r>
          <w:r>
            <w:rPr>
              <w:rFonts w:hint="eastAsia" w:ascii="黑体" w:eastAsia="黑体" w:cs="Arial"/>
              <w:bCs w:val="0"/>
              <w:kern w:val="0"/>
              <w:szCs w:val="21"/>
              <w:lang w:val="en-US" w:eastAsia="zh-CN" w:bidi="ar-SA"/>
            </w:rPr>
            <w:t>3.1</w:t>
          </w:r>
          <w:r>
            <w:rPr>
              <w:rFonts w:hint="eastAsia" w:hAnsi="黑体" w:cs="黑体"/>
              <w:szCs w:val="21"/>
              <w:lang w:val="en-US" w:eastAsia="zh-CN"/>
            </w:rPr>
            <w:t>标准的主要内容</w:t>
          </w:r>
          <w:r>
            <w:tab/>
          </w:r>
          <w:r>
            <w:fldChar w:fldCharType="begin"/>
          </w:r>
          <w:r>
            <w:instrText xml:space="preserve"> PAGEREF _Toc9920 \h </w:instrText>
          </w:r>
          <w:r>
            <w:fldChar w:fldCharType="separate"/>
          </w:r>
          <w:r>
            <w:t>6</w:t>
          </w:r>
          <w:r>
            <w:fldChar w:fldCharType="end"/>
          </w:r>
          <w:r>
            <w:rPr>
              <w:rFonts w:asciiTheme="minorEastAsia" w:hAnsiTheme="minorEastAsia"/>
            </w:rPr>
            <w:fldChar w:fldCharType="end"/>
          </w:r>
        </w:p>
        <w:p w14:paraId="4D4AF6D6">
          <w:pPr>
            <w:pStyle w:val="8"/>
            <w:tabs>
              <w:tab w:val="right" w:leader="dot" w:pos="8306"/>
            </w:tabs>
          </w:pPr>
          <w:r>
            <w:rPr>
              <w:rFonts w:asciiTheme="minorEastAsia" w:hAnsiTheme="minorEastAsia"/>
            </w:rPr>
            <w:fldChar w:fldCharType="begin"/>
          </w:r>
          <w:r>
            <w:rPr>
              <w:rFonts w:asciiTheme="minorEastAsia" w:hAnsiTheme="minorEastAsia"/>
            </w:rPr>
            <w:instrText xml:space="preserve"> HYPERLINK \l _Toc13625 </w:instrText>
          </w:r>
          <w:r>
            <w:rPr>
              <w:rFonts w:asciiTheme="minorEastAsia" w:hAnsiTheme="minorEastAsia"/>
            </w:rPr>
            <w:fldChar w:fldCharType="separate"/>
          </w:r>
          <w:r>
            <w:rPr>
              <w:rFonts w:hint="default" w:ascii="黑体" w:eastAsia="黑体" w:cs="Arial"/>
              <w:bCs w:val="0"/>
              <w:kern w:val="0"/>
              <w:szCs w:val="21"/>
              <w:lang w:val="en-US" w:eastAsia="zh-CN" w:bidi="ar-SA"/>
            </w:rPr>
            <w:t>3.2确定内容的主要依据</w:t>
          </w:r>
          <w:r>
            <w:tab/>
          </w:r>
          <w:r>
            <w:fldChar w:fldCharType="begin"/>
          </w:r>
          <w:r>
            <w:instrText xml:space="preserve"> PAGEREF _Toc13625 \h </w:instrText>
          </w:r>
          <w:r>
            <w:fldChar w:fldCharType="separate"/>
          </w:r>
          <w:r>
            <w:t>7</w:t>
          </w:r>
          <w:r>
            <w:fldChar w:fldCharType="end"/>
          </w:r>
          <w:r>
            <w:rPr>
              <w:rFonts w:asciiTheme="minorEastAsia" w:hAnsiTheme="minorEastAsia"/>
            </w:rPr>
            <w:fldChar w:fldCharType="end"/>
          </w:r>
        </w:p>
        <w:p w14:paraId="5667B547">
          <w:pPr>
            <w:pStyle w:val="7"/>
            <w:tabs>
              <w:tab w:val="right" w:leader="dot" w:pos="8306"/>
            </w:tabs>
          </w:pPr>
          <w:r>
            <w:rPr>
              <w:rFonts w:asciiTheme="minorEastAsia" w:hAnsiTheme="minorEastAsia"/>
            </w:rPr>
            <w:fldChar w:fldCharType="begin"/>
          </w:r>
          <w:r>
            <w:rPr>
              <w:rFonts w:asciiTheme="minorEastAsia" w:hAnsiTheme="minorEastAsia"/>
            </w:rPr>
            <w:instrText xml:space="preserve"> HYPERLINK \l _Toc9215 </w:instrText>
          </w:r>
          <w:r>
            <w:rPr>
              <w:rFonts w:asciiTheme="minorEastAsia" w:hAnsiTheme="minorEastAsia"/>
            </w:rPr>
            <w:fldChar w:fldCharType="separate"/>
          </w:r>
          <w:r>
            <w:rPr>
              <w:rFonts w:hint="eastAsia" w:ascii="黑体" w:hAnsi="宋体" w:eastAsia="黑体" w:cs="Arial"/>
              <w:kern w:val="0"/>
              <w:szCs w:val="21"/>
              <w:lang w:val="en-US" w:eastAsia="zh-CN"/>
            </w:rPr>
            <w:t>四、 主要试验验证分析、预期的经济效益、社会效益</w:t>
          </w:r>
          <w:r>
            <w:tab/>
          </w:r>
          <w:r>
            <w:fldChar w:fldCharType="begin"/>
          </w:r>
          <w:r>
            <w:instrText xml:space="preserve"> PAGEREF _Toc9215 \h </w:instrText>
          </w:r>
          <w:r>
            <w:fldChar w:fldCharType="separate"/>
          </w:r>
          <w:r>
            <w:t>7</w:t>
          </w:r>
          <w:r>
            <w:fldChar w:fldCharType="end"/>
          </w:r>
          <w:r>
            <w:rPr>
              <w:rFonts w:asciiTheme="minorEastAsia" w:hAnsiTheme="minorEastAsia"/>
            </w:rPr>
            <w:fldChar w:fldCharType="end"/>
          </w:r>
        </w:p>
        <w:p w14:paraId="29B8AED2">
          <w:pPr>
            <w:pStyle w:val="7"/>
            <w:tabs>
              <w:tab w:val="right" w:leader="dot" w:pos="8306"/>
            </w:tabs>
          </w:pPr>
          <w:r>
            <w:rPr>
              <w:rFonts w:asciiTheme="minorEastAsia" w:hAnsiTheme="minorEastAsia"/>
            </w:rPr>
            <w:fldChar w:fldCharType="begin"/>
          </w:r>
          <w:r>
            <w:rPr>
              <w:rFonts w:asciiTheme="minorEastAsia" w:hAnsiTheme="minorEastAsia"/>
            </w:rPr>
            <w:instrText xml:space="preserve"> HYPERLINK \l _Toc12043 </w:instrText>
          </w:r>
          <w:r>
            <w:rPr>
              <w:rFonts w:asciiTheme="minorEastAsia" w:hAnsiTheme="minorEastAsia"/>
            </w:rPr>
            <w:fldChar w:fldCharType="separate"/>
          </w:r>
          <w:r>
            <w:rPr>
              <w:rFonts w:hint="eastAsia" w:ascii="黑体" w:eastAsia="黑体" w:cs="Arial"/>
              <w:kern w:val="0"/>
              <w:szCs w:val="21"/>
              <w:lang w:val="en-US" w:eastAsia="zh-CN" w:bidi="ar-SA"/>
            </w:rPr>
            <w:t>五</w:t>
          </w:r>
          <w:r>
            <w:rPr>
              <w:rFonts w:hint="eastAsia" w:ascii="黑体" w:hAnsi="宋体" w:eastAsia="黑体" w:cs="Arial"/>
              <w:kern w:val="0"/>
              <w:szCs w:val="21"/>
              <w:lang w:val="en-US" w:eastAsia="zh-CN" w:bidi="ar-SA"/>
            </w:rPr>
            <w:t>、</w:t>
          </w:r>
          <w:r>
            <w:rPr>
              <w:rFonts w:hint="eastAsia" w:ascii="黑体" w:hAnsi="宋体" w:eastAsia="黑体" w:cs="Arial"/>
              <w:kern w:val="0"/>
              <w:szCs w:val="21"/>
              <w:lang w:val="en-US" w:eastAsia="zh-CN"/>
            </w:rPr>
            <w:t>本标准如涉及专利，应有明确的知识产权说明</w:t>
          </w:r>
          <w:r>
            <w:tab/>
          </w:r>
          <w:r>
            <w:fldChar w:fldCharType="begin"/>
          </w:r>
          <w:r>
            <w:instrText xml:space="preserve"> PAGEREF _Toc12043 \h </w:instrText>
          </w:r>
          <w:r>
            <w:fldChar w:fldCharType="separate"/>
          </w:r>
          <w:r>
            <w:t>8</w:t>
          </w:r>
          <w:r>
            <w:fldChar w:fldCharType="end"/>
          </w:r>
          <w:r>
            <w:rPr>
              <w:rFonts w:asciiTheme="minorEastAsia" w:hAnsiTheme="minorEastAsia"/>
            </w:rPr>
            <w:fldChar w:fldCharType="end"/>
          </w:r>
        </w:p>
        <w:p w14:paraId="648E784C">
          <w:pPr>
            <w:pStyle w:val="7"/>
            <w:tabs>
              <w:tab w:val="right" w:leader="dot" w:pos="8306"/>
            </w:tabs>
          </w:pPr>
          <w:r>
            <w:rPr>
              <w:rFonts w:asciiTheme="minorEastAsia" w:hAnsiTheme="minorEastAsia"/>
            </w:rPr>
            <w:fldChar w:fldCharType="begin"/>
          </w:r>
          <w:r>
            <w:rPr>
              <w:rFonts w:asciiTheme="minorEastAsia" w:hAnsiTheme="minorEastAsia"/>
            </w:rPr>
            <w:instrText xml:space="preserve"> HYPERLINK \l _Toc22013 </w:instrText>
          </w:r>
          <w:r>
            <w:rPr>
              <w:rFonts w:asciiTheme="minorEastAsia" w:hAnsiTheme="minorEastAsia"/>
            </w:rPr>
            <w:fldChar w:fldCharType="separate"/>
          </w:r>
          <w:r>
            <w:rPr>
              <w:rFonts w:hint="eastAsia" w:ascii="黑体" w:eastAsia="黑体" w:cs="Arial"/>
              <w:kern w:val="0"/>
              <w:szCs w:val="21"/>
              <w:lang w:val="en-US" w:eastAsia="zh-CN" w:bidi="ar-SA"/>
            </w:rPr>
            <w:t>六</w:t>
          </w:r>
          <w:r>
            <w:rPr>
              <w:rFonts w:hint="eastAsia" w:ascii="黑体" w:hAnsi="宋体" w:eastAsia="黑体" w:cs="Arial"/>
              <w:kern w:val="0"/>
              <w:szCs w:val="21"/>
              <w:lang w:val="en-US" w:eastAsia="zh-CN" w:bidi="ar-SA"/>
            </w:rPr>
            <w:t>、</w:t>
          </w:r>
          <w:r>
            <w:rPr>
              <w:rFonts w:hint="eastAsia" w:ascii="黑体" w:hAnsi="宋体" w:eastAsia="黑体" w:cs="Arial"/>
              <w:kern w:val="0"/>
              <w:szCs w:val="21"/>
              <w:lang w:val="en-US" w:eastAsia="zh-CN"/>
            </w:rPr>
            <w:t>采用国际标准或国外先进标准的对比情况</w:t>
          </w:r>
          <w:r>
            <w:tab/>
          </w:r>
          <w:r>
            <w:fldChar w:fldCharType="begin"/>
          </w:r>
          <w:r>
            <w:instrText xml:space="preserve"> PAGEREF _Toc22013 \h </w:instrText>
          </w:r>
          <w:r>
            <w:fldChar w:fldCharType="separate"/>
          </w:r>
          <w:r>
            <w:t>8</w:t>
          </w:r>
          <w:r>
            <w:fldChar w:fldCharType="end"/>
          </w:r>
          <w:r>
            <w:rPr>
              <w:rFonts w:asciiTheme="minorEastAsia" w:hAnsiTheme="minorEastAsia"/>
            </w:rPr>
            <w:fldChar w:fldCharType="end"/>
          </w:r>
        </w:p>
        <w:p w14:paraId="1A74B704">
          <w:pPr>
            <w:pStyle w:val="7"/>
            <w:tabs>
              <w:tab w:val="right" w:leader="dot" w:pos="8306"/>
            </w:tabs>
          </w:pPr>
          <w:r>
            <w:rPr>
              <w:rFonts w:asciiTheme="minorEastAsia" w:hAnsiTheme="minorEastAsia"/>
            </w:rPr>
            <w:fldChar w:fldCharType="begin"/>
          </w:r>
          <w:r>
            <w:rPr>
              <w:rFonts w:asciiTheme="minorEastAsia" w:hAnsiTheme="minorEastAsia"/>
            </w:rPr>
            <w:instrText xml:space="preserve"> HYPERLINK \l _Toc24149 </w:instrText>
          </w:r>
          <w:r>
            <w:rPr>
              <w:rFonts w:asciiTheme="minorEastAsia" w:hAnsiTheme="minorEastAsia"/>
            </w:rPr>
            <w:fldChar w:fldCharType="separate"/>
          </w:r>
          <w:r>
            <w:rPr>
              <w:rFonts w:hint="eastAsia" w:ascii="黑体" w:eastAsia="黑体" w:cs="Arial"/>
              <w:kern w:val="0"/>
              <w:szCs w:val="21"/>
              <w:lang w:val="en-US" w:eastAsia="zh-CN" w:bidi="ar-SA"/>
            </w:rPr>
            <w:t>七</w:t>
          </w:r>
          <w:r>
            <w:rPr>
              <w:rFonts w:hint="eastAsia" w:ascii="黑体" w:hAnsi="宋体" w:eastAsia="黑体" w:cs="Arial"/>
              <w:kern w:val="0"/>
              <w:szCs w:val="21"/>
              <w:lang w:val="en-US" w:eastAsia="zh-CN" w:bidi="ar-SA"/>
            </w:rPr>
            <w:t>、</w:t>
          </w:r>
          <w:r>
            <w:rPr>
              <w:rFonts w:hint="eastAsia" w:ascii="黑体" w:hAnsi="宋体" w:eastAsia="黑体" w:cs="Arial"/>
              <w:kern w:val="0"/>
              <w:szCs w:val="21"/>
              <w:lang w:val="en-US" w:eastAsia="zh-CN"/>
            </w:rPr>
            <w:t>与现行法律、法规、强制性国家标准及相关标准协调配套情况</w:t>
          </w:r>
          <w:r>
            <w:tab/>
          </w:r>
          <w:r>
            <w:fldChar w:fldCharType="begin"/>
          </w:r>
          <w:r>
            <w:instrText xml:space="preserve"> PAGEREF _Toc24149 \h </w:instrText>
          </w:r>
          <w:r>
            <w:fldChar w:fldCharType="separate"/>
          </w:r>
          <w:r>
            <w:t>8</w:t>
          </w:r>
          <w:r>
            <w:fldChar w:fldCharType="end"/>
          </w:r>
          <w:r>
            <w:rPr>
              <w:rFonts w:asciiTheme="minorEastAsia" w:hAnsiTheme="minorEastAsia"/>
            </w:rPr>
            <w:fldChar w:fldCharType="end"/>
          </w:r>
        </w:p>
        <w:p w14:paraId="26DBF07C">
          <w:pPr>
            <w:pStyle w:val="7"/>
            <w:tabs>
              <w:tab w:val="right" w:leader="dot" w:pos="8306"/>
            </w:tabs>
          </w:pPr>
          <w:r>
            <w:rPr>
              <w:rFonts w:asciiTheme="minorEastAsia" w:hAnsiTheme="minorEastAsia"/>
            </w:rPr>
            <w:fldChar w:fldCharType="begin"/>
          </w:r>
          <w:r>
            <w:rPr>
              <w:rFonts w:asciiTheme="minorEastAsia" w:hAnsiTheme="minorEastAsia"/>
            </w:rPr>
            <w:instrText xml:space="preserve"> HYPERLINK \l _Toc3447 </w:instrText>
          </w:r>
          <w:r>
            <w:rPr>
              <w:rFonts w:asciiTheme="minorEastAsia" w:hAnsiTheme="minorEastAsia"/>
            </w:rPr>
            <w:fldChar w:fldCharType="separate"/>
          </w:r>
          <w:r>
            <w:rPr>
              <w:rFonts w:hint="eastAsia" w:ascii="黑体" w:eastAsia="黑体" w:cs="Arial"/>
              <w:kern w:val="0"/>
              <w:szCs w:val="21"/>
              <w:lang w:val="en-US" w:eastAsia="zh-CN" w:bidi="ar-SA"/>
            </w:rPr>
            <w:t>八</w:t>
          </w:r>
          <w:r>
            <w:rPr>
              <w:rFonts w:hint="eastAsia" w:ascii="黑体" w:hAnsi="宋体" w:eastAsia="黑体" w:cs="Arial"/>
              <w:kern w:val="0"/>
              <w:szCs w:val="21"/>
              <w:lang w:val="en-US" w:eastAsia="zh-CN" w:bidi="ar-SA"/>
            </w:rPr>
            <w:t>、</w:t>
          </w:r>
          <w:r>
            <w:rPr>
              <w:rFonts w:hint="eastAsia" w:ascii="黑体" w:hAnsi="宋体" w:eastAsia="黑体" w:cs="Arial"/>
              <w:kern w:val="0"/>
              <w:szCs w:val="21"/>
              <w:lang w:val="en-US" w:eastAsia="zh-CN"/>
            </w:rPr>
            <w:t>重大分歧意见的处理经过和依据</w:t>
          </w:r>
          <w:r>
            <w:tab/>
          </w:r>
          <w:r>
            <w:fldChar w:fldCharType="begin"/>
          </w:r>
          <w:r>
            <w:instrText xml:space="preserve"> PAGEREF _Toc3447 \h </w:instrText>
          </w:r>
          <w:r>
            <w:fldChar w:fldCharType="separate"/>
          </w:r>
          <w:r>
            <w:t>8</w:t>
          </w:r>
          <w:r>
            <w:fldChar w:fldCharType="end"/>
          </w:r>
          <w:r>
            <w:rPr>
              <w:rFonts w:asciiTheme="minorEastAsia" w:hAnsiTheme="minorEastAsia"/>
            </w:rPr>
            <w:fldChar w:fldCharType="end"/>
          </w:r>
        </w:p>
        <w:p w14:paraId="2AC7FF63">
          <w:pPr>
            <w:pStyle w:val="7"/>
            <w:tabs>
              <w:tab w:val="right" w:leader="dot" w:pos="8306"/>
            </w:tabs>
          </w:pPr>
          <w:r>
            <w:rPr>
              <w:rFonts w:asciiTheme="minorEastAsia" w:hAnsiTheme="minorEastAsia"/>
            </w:rPr>
            <w:fldChar w:fldCharType="begin"/>
          </w:r>
          <w:r>
            <w:rPr>
              <w:rFonts w:asciiTheme="minorEastAsia" w:hAnsiTheme="minorEastAsia"/>
            </w:rPr>
            <w:instrText xml:space="preserve"> HYPERLINK \l _Toc10368 </w:instrText>
          </w:r>
          <w:r>
            <w:rPr>
              <w:rFonts w:asciiTheme="minorEastAsia" w:hAnsiTheme="minorEastAsia"/>
            </w:rPr>
            <w:fldChar w:fldCharType="separate"/>
          </w:r>
          <w:r>
            <w:rPr>
              <w:rFonts w:hint="eastAsia" w:ascii="黑体" w:eastAsia="黑体" w:cs="Arial"/>
              <w:kern w:val="0"/>
              <w:szCs w:val="21"/>
              <w:lang w:val="en-US" w:eastAsia="zh-CN" w:bidi="ar-SA"/>
            </w:rPr>
            <w:t>九</w:t>
          </w:r>
          <w:r>
            <w:rPr>
              <w:rFonts w:hint="eastAsia" w:ascii="黑体" w:hAnsi="宋体" w:eastAsia="黑体" w:cs="Arial"/>
              <w:kern w:val="0"/>
              <w:szCs w:val="21"/>
              <w:lang w:val="en-US" w:eastAsia="zh-CN" w:bidi="ar-SA"/>
            </w:rPr>
            <w:t>、</w:t>
          </w:r>
          <w:r>
            <w:rPr>
              <w:rFonts w:hint="eastAsia" w:ascii="黑体" w:hAnsi="宋体" w:eastAsia="黑体" w:cs="Arial"/>
              <w:kern w:val="0"/>
              <w:szCs w:val="21"/>
              <w:lang w:val="en-US" w:eastAsia="zh-CN"/>
            </w:rPr>
            <w:t>标准性质的建议说明</w:t>
          </w:r>
          <w:r>
            <w:tab/>
          </w:r>
          <w:r>
            <w:fldChar w:fldCharType="begin"/>
          </w:r>
          <w:r>
            <w:instrText xml:space="preserve"> PAGEREF _Toc10368 \h </w:instrText>
          </w:r>
          <w:r>
            <w:fldChar w:fldCharType="separate"/>
          </w:r>
          <w:r>
            <w:t>8</w:t>
          </w:r>
          <w:r>
            <w:fldChar w:fldCharType="end"/>
          </w:r>
          <w:r>
            <w:rPr>
              <w:rFonts w:asciiTheme="minorEastAsia" w:hAnsiTheme="minorEastAsia"/>
            </w:rPr>
            <w:fldChar w:fldCharType="end"/>
          </w:r>
        </w:p>
        <w:p w14:paraId="42A8B5F1">
          <w:pPr>
            <w:pStyle w:val="7"/>
            <w:tabs>
              <w:tab w:val="right" w:leader="dot" w:pos="8306"/>
            </w:tabs>
          </w:pPr>
          <w:r>
            <w:rPr>
              <w:rFonts w:asciiTheme="minorEastAsia" w:hAnsiTheme="minorEastAsia"/>
            </w:rPr>
            <w:fldChar w:fldCharType="begin"/>
          </w:r>
          <w:r>
            <w:rPr>
              <w:rFonts w:asciiTheme="minorEastAsia" w:hAnsiTheme="minorEastAsia"/>
            </w:rPr>
            <w:instrText xml:space="preserve"> HYPERLINK \l _Toc6986 </w:instrText>
          </w:r>
          <w:r>
            <w:rPr>
              <w:rFonts w:asciiTheme="minorEastAsia" w:hAnsiTheme="minorEastAsia"/>
            </w:rPr>
            <w:fldChar w:fldCharType="separate"/>
          </w:r>
          <w:r>
            <w:rPr>
              <w:rFonts w:hint="eastAsia" w:ascii="黑体" w:eastAsia="黑体" w:cs="Arial"/>
              <w:kern w:val="0"/>
              <w:szCs w:val="21"/>
              <w:lang w:val="en-US" w:eastAsia="zh-CN" w:bidi="ar-SA"/>
            </w:rPr>
            <w:t>十</w:t>
          </w:r>
          <w:r>
            <w:rPr>
              <w:rFonts w:hint="eastAsia" w:ascii="黑体" w:hAnsi="宋体" w:eastAsia="黑体" w:cs="Arial"/>
              <w:kern w:val="0"/>
              <w:szCs w:val="21"/>
              <w:lang w:val="en-US" w:eastAsia="zh-CN" w:bidi="ar-SA"/>
            </w:rPr>
            <w:t>、</w:t>
          </w:r>
          <w:r>
            <w:rPr>
              <w:rFonts w:hint="eastAsia" w:ascii="黑体" w:hAnsi="宋体" w:eastAsia="黑体" w:cs="Arial"/>
              <w:kern w:val="0"/>
              <w:szCs w:val="21"/>
              <w:lang w:val="en-US" w:eastAsia="zh-CN"/>
            </w:rPr>
            <w:t>贯彻标准的要求和措施建议</w:t>
          </w:r>
          <w:r>
            <w:tab/>
          </w:r>
          <w:r>
            <w:fldChar w:fldCharType="begin"/>
          </w:r>
          <w:r>
            <w:instrText xml:space="preserve"> PAGEREF _Toc6986 \h </w:instrText>
          </w:r>
          <w:r>
            <w:fldChar w:fldCharType="separate"/>
          </w:r>
          <w:r>
            <w:t>8</w:t>
          </w:r>
          <w:r>
            <w:fldChar w:fldCharType="end"/>
          </w:r>
          <w:r>
            <w:rPr>
              <w:rFonts w:asciiTheme="minorEastAsia" w:hAnsiTheme="minorEastAsia"/>
            </w:rPr>
            <w:fldChar w:fldCharType="end"/>
          </w:r>
        </w:p>
        <w:p w14:paraId="2D2C47C5">
          <w:pPr>
            <w:pStyle w:val="7"/>
            <w:tabs>
              <w:tab w:val="right" w:leader="dot" w:pos="8306"/>
            </w:tabs>
          </w:pPr>
          <w:r>
            <w:rPr>
              <w:rFonts w:asciiTheme="minorEastAsia" w:hAnsiTheme="minorEastAsia"/>
            </w:rPr>
            <w:fldChar w:fldCharType="begin"/>
          </w:r>
          <w:r>
            <w:rPr>
              <w:rFonts w:asciiTheme="minorEastAsia" w:hAnsiTheme="minorEastAsia"/>
            </w:rPr>
            <w:instrText xml:space="preserve"> HYPERLINK \l _Toc32678 </w:instrText>
          </w:r>
          <w:r>
            <w:rPr>
              <w:rFonts w:asciiTheme="minorEastAsia" w:hAnsiTheme="minorEastAsia"/>
            </w:rPr>
            <w:fldChar w:fldCharType="separate"/>
          </w:r>
          <w:r>
            <w:rPr>
              <w:rFonts w:hint="eastAsia" w:ascii="黑体" w:eastAsia="黑体" w:cs="Arial"/>
              <w:kern w:val="0"/>
              <w:szCs w:val="21"/>
              <w:lang w:val="en-US" w:eastAsia="zh-CN" w:bidi="ar-SA"/>
            </w:rPr>
            <w:t>十二</w:t>
          </w:r>
          <w:r>
            <w:rPr>
              <w:rFonts w:hint="eastAsia" w:ascii="黑体" w:hAnsi="宋体" w:eastAsia="黑体" w:cs="Arial"/>
              <w:kern w:val="0"/>
              <w:szCs w:val="21"/>
              <w:lang w:val="en-US" w:eastAsia="zh-CN" w:bidi="ar-SA"/>
            </w:rPr>
            <w:t>、</w:t>
          </w:r>
          <w:r>
            <w:rPr>
              <w:rFonts w:hint="eastAsia" w:ascii="黑体" w:hAnsi="宋体" w:eastAsia="黑体" w:cs="Arial"/>
              <w:kern w:val="0"/>
              <w:szCs w:val="21"/>
              <w:lang w:val="en-US" w:eastAsia="zh-CN"/>
            </w:rPr>
            <w:t>其他应予说明的事项</w:t>
          </w:r>
          <w:r>
            <w:tab/>
          </w:r>
          <w:r>
            <w:fldChar w:fldCharType="begin"/>
          </w:r>
          <w:r>
            <w:instrText xml:space="preserve"> PAGEREF _Toc32678 \h </w:instrText>
          </w:r>
          <w:r>
            <w:fldChar w:fldCharType="separate"/>
          </w:r>
          <w:r>
            <w:t>9</w:t>
          </w:r>
          <w:r>
            <w:fldChar w:fldCharType="end"/>
          </w:r>
          <w:r>
            <w:rPr>
              <w:rFonts w:asciiTheme="minorEastAsia" w:hAnsiTheme="minorEastAsia"/>
            </w:rPr>
            <w:fldChar w:fldCharType="end"/>
          </w:r>
        </w:p>
        <w:p w14:paraId="1366D0EE">
          <w:pPr>
            <w:jc w:val="center"/>
            <w:rPr>
              <w:rFonts w:asciiTheme="minorEastAsia" w:hAnsiTheme="minorEastAsia" w:eastAsiaTheme="minorEastAsia" w:cstheme="minorBidi"/>
              <w:kern w:val="2"/>
              <w:sz w:val="21"/>
              <w:szCs w:val="22"/>
              <w:lang w:val="en-US" w:eastAsia="zh-CN" w:bidi="ar-SA"/>
            </w:rPr>
          </w:pPr>
          <w:r>
            <w:rPr>
              <w:rFonts w:asciiTheme="minorEastAsia" w:hAnsiTheme="minorEastAsia"/>
            </w:rPr>
            <w:fldChar w:fldCharType="end"/>
          </w:r>
        </w:p>
      </w:sdtContent>
    </w:sdt>
    <w:p w14:paraId="1062C1B8">
      <w:pPr>
        <w:pStyle w:val="2"/>
      </w:pPr>
    </w:p>
    <w:p w14:paraId="71F6E54F">
      <w:pPr>
        <w:pStyle w:val="2"/>
      </w:pPr>
    </w:p>
    <w:p w14:paraId="42FF9502">
      <w:pPr>
        <w:pStyle w:val="2"/>
      </w:pPr>
    </w:p>
    <w:p w14:paraId="40B473AB">
      <w:pPr>
        <w:pStyle w:val="2"/>
      </w:pPr>
    </w:p>
    <w:p w14:paraId="041FBA5E">
      <w:pPr>
        <w:pStyle w:val="2"/>
      </w:pPr>
    </w:p>
    <w:p w14:paraId="1FAE3E65">
      <w:pPr>
        <w:pStyle w:val="2"/>
      </w:pPr>
    </w:p>
    <w:p w14:paraId="78E30A70">
      <w:pPr>
        <w:pStyle w:val="2"/>
      </w:pPr>
    </w:p>
    <w:p w14:paraId="157DF063">
      <w:pPr>
        <w:pStyle w:val="2"/>
      </w:pPr>
    </w:p>
    <w:p w14:paraId="76105AE9">
      <w:pPr>
        <w:pStyle w:val="2"/>
      </w:pPr>
    </w:p>
    <w:p w14:paraId="29A051CC">
      <w:pPr>
        <w:pStyle w:val="2"/>
      </w:pPr>
    </w:p>
    <w:p w14:paraId="0B251E71">
      <w:pPr>
        <w:pStyle w:val="2"/>
      </w:pPr>
    </w:p>
    <w:p w14:paraId="3972BCE8">
      <w:pPr>
        <w:pStyle w:val="2"/>
      </w:pPr>
    </w:p>
    <w:p w14:paraId="0D7A8F91">
      <w:pPr>
        <w:pStyle w:val="2"/>
      </w:pPr>
    </w:p>
    <w:p w14:paraId="1450A401">
      <w:pPr>
        <w:pStyle w:val="2"/>
      </w:pPr>
    </w:p>
    <w:p w14:paraId="20A70124">
      <w:pPr>
        <w:pStyle w:val="2"/>
      </w:pPr>
    </w:p>
    <w:p w14:paraId="46746161">
      <w:pPr>
        <w:pStyle w:val="2"/>
      </w:pPr>
    </w:p>
    <w:p w14:paraId="2372A805">
      <w:pPr>
        <w:jc w:val="center"/>
        <w:rPr>
          <w:rFonts w:asciiTheme="minorEastAsia" w:hAnsiTheme="minorEastAsia"/>
          <w:sz w:val="28"/>
        </w:rPr>
      </w:pPr>
      <w:bookmarkStart w:id="18" w:name="_GoBack"/>
      <w:bookmarkEnd w:id="18"/>
      <w:r>
        <w:rPr>
          <w:rFonts w:hint="eastAsia" w:asciiTheme="minorEastAsia" w:hAnsiTheme="minorEastAsia"/>
          <w:sz w:val="28"/>
        </w:rPr>
        <w:t>《有色金属采选</w:t>
      </w:r>
      <w:r>
        <w:rPr>
          <w:rFonts w:hint="eastAsia" w:asciiTheme="minorEastAsia" w:hAnsiTheme="minorEastAsia"/>
          <w:sz w:val="28"/>
          <w:lang w:val="en-US" w:eastAsia="zh-CN"/>
        </w:rPr>
        <w:t>智能工厂数据采集技术要求</w:t>
      </w:r>
      <w:r>
        <w:rPr>
          <w:rFonts w:hint="eastAsia" w:asciiTheme="minorEastAsia" w:hAnsiTheme="minorEastAsia"/>
          <w:sz w:val="28"/>
        </w:rPr>
        <w:t>》编制说明</w:t>
      </w:r>
    </w:p>
    <w:p w14:paraId="58637EF5">
      <w:pPr>
        <w:pStyle w:val="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outlineLvl w:val="0"/>
        <w:rPr>
          <w:rFonts w:hint="eastAsia" w:ascii="黑体" w:hAnsi="宋体" w:eastAsia="黑体" w:cs="Arial"/>
          <w:b w:val="0"/>
          <w:bCs w:val="0"/>
          <w:color w:val="auto"/>
          <w:sz w:val="21"/>
          <w:szCs w:val="21"/>
          <w:lang w:val="en-US" w:eastAsia="zh-CN"/>
        </w:rPr>
      </w:pPr>
      <w:bookmarkStart w:id="0" w:name="_Toc6553"/>
      <w:r>
        <w:rPr>
          <w:rFonts w:hint="eastAsia" w:ascii="黑体" w:hAnsi="宋体" w:eastAsia="黑体" w:cs="Arial"/>
          <w:b w:val="0"/>
          <w:bCs w:val="0"/>
          <w:color w:val="auto"/>
          <w:kern w:val="0"/>
          <w:sz w:val="21"/>
          <w:szCs w:val="21"/>
          <w:lang w:val="en-US" w:eastAsia="zh-CN" w:bidi="ar-SA"/>
        </w:rPr>
        <w:t>一、</w:t>
      </w:r>
      <w:r>
        <w:rPr>
          <w:rFonts w:hint="eastAsia" w:ascii="黑体" w:eastAsia="黑体" w:cs="Arial"/>
          <w:b w:val="0"/>
          <w:bCs w:val="0"/>
          <w:color w:val="auto"/>
          <w:sz w:val="21"/>
          <w:szCs w:val="21"/>
          <w:lang w:val="en-US" w:eastAsia="zh-CN"/>
        </w:rPr>
        <w:t>工作简况</w:t>
      </w:r>
      <w:bookmarkEnd w:id="0"/>
    </w:p>
    <w:p w14:paraId="24F32185">
      <w:pPr>
        <w:pStyle w:val="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outlineLvl w:val="0"/>
        <w:rPr>
          <w:rFonts w:hint="eastAsia" w:ascii="黑体" w:hAnsi="黑体" w:eastAsia="黑体" w:cs="黑体"/>
          <w:color w:val="000000"/>
          <w:kern w:val="0"/>
          <w:sz w:val="21"/>
          <w:szCs w:val="21"/>
          <w:lang w:val="en-US" w:eastAsia="zh-CN" w:bidi="ar"/>
        </w:rPr>
      </w:pPr>
      <w:bookmarkStart w:id="1" w:name="_Toc16390"/>
      <w:r>
        <w:rPr>
          <w:rFonts w:hint="eastAsia" w:ascii="黑体" w:hAnsi="黑体" w:eastAsia="黑体" w:cs="黑体"/>
          <w:color w:val="000000"/>
          <w:kern w:val="0"/>
          <w:sz w:val="21"/>
          <w:szCs w:val="21"/>
          <w:lang w:val="en-US" w:eastAsia="zh-CN" w:bidi="ar"/>
        </w:rPr>
        <w:t>1.1 任务来源</w:t>
      </w:r>
      <w:bookmarkEnd w:id="1"/>
      <w:r>
        <w:rPr>
          <w:rFonts w:hint="eastAsia" w:ascii="黑体" w:hAnsi="黑体" w:eastAsia="黑体" w:cs="黑体"/>
          <w:color w:val="000000"/>
          <w:kern w:val="0"/>
          <w:sz w:val="21"/>
          <w:szCs w:val="21"/>
          <w:lang w:val="en-US" w:eastAsia="zh-CN" w:bidi="ar"/>
        </w:rPr>
        <w:t xml:space="preserve"> </w:t>
      </w:r>
    </w:p>
    <w:p w14:paraId="40583D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2025年12月29日，根据《工业和信息化部办公厅关于印发2025年第五批行业标准制修订和外文版项目计划的通知》（工信厅科函〔2025〕528号）文件要求，行业标准《有色金属采选智能工厂数据采集技术要求》由全国有色金属标准化技术委员会重金属分技术委员会归口，标准计划编号：2025-1174T-YS，项目周期为12个月，计划于2026年12月完成。</w:t>
      </w:r>
    </w:p>
    <w:p w14:paraId="1B9E97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标准由金川集团股份有限公司牵头组织编制，北方铜业股份有限公司、江西铜业股份有限公司、中国铜业有限公司、深圳市中金岭南有色金属股份有限公司等共同组成编制组，开展标准编制工作。</w:t>
      </w:r>
    </w:p>
    <w:p w14:paraId="4FEF91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本标准属于CIC 智能工厂---CICC 数字化平台---CICCA 数据与数据字典的配套技术标准。其核心作用是解决数据采集的“入口规范”问题，与元数据管理、数据治理等后续标准形成闭环，共同支撑有色金属采选智能工厂的数字化平台建设。</w:t>
      </w:r>
    </w:p>
    <w:p w14:paraId="2BEB3723">
      <w:pPr>
        <w:pStyle w:val="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outlineLvl w:val="0"/>
        <w:rPr>
          <w:rFonts w:hint="eastAsia" w:ascii="黑体" w:hAnsi="黑体" w:eastAsia="黑体" w:cs="黑体"/>
          <w:b w:val="0"/>
          <w:bCs w:val="0"/>
          <w:color w:val="auto"/>
          <w:kern w:val="0"/>
          <w:sz w:val="21"/>
          <w:szCs w:val="21"/>
          <w:lang w:val="en-US" w:eastAsia="zh-CN" w:bidi="ar-SA"/>
        </w:rPr>
      </w:pPr>
      <w:bookmarkStart w:id="2" w:name="_Toc29456"/>
      <w:r>
        <w:rPr>
          <w:rFonts w:hint="eastAsia" w:ascii="黑体" w:hAnsi="黑体" w:eastAsia="黑体" w:cs="黑体"/>
          <w:color w:val="000000"/>
          <w:kern w:val="0"/>
          <w:sz w:val="24"/>
          <w:szCs w:val="24"/>
          <w:lang w:val="en-US" w:eastAsia="zh-CN" w:bidi="ar"/>
        </w:rPr>
        <w:t xml:space="preserve">1.2 </w:t>
      </w:r>
      <w:r>
        <w:rPr>
          <w:rFonts w:hint="eastAsia" w:ascii="黑体" w:hAnsi="黑体" w:eastAsia="黑体" w:cs="黑体"/>
          <w:b w:val="0"/>
          <w:bCs w:val="0"/>
          <w:color w:val="auto"/>
          <w:kern w:val="0"/>
          <w:sz w:val="21"/>
          <w:szCs w:val="21"/>
          <w:lang w:val="en-US" w:eastAsia="zh-CN" w:bidi="ar-SA"/>
        </w:rPr>
        <w:t>编制背景及必要性</w:t>
      </w:r>
      <w:bookmarkEnd w:id="2"/>
    </w:p>
    <w:p w14:paraId="098259EF">
      <w:pPr>
        <w:pStyle w:val="17"/>
        <w:keepNext w:val="0"/>
        <w:keepLines w:val="0"/>
        <w:pageBreakBefore w:val="0"/>
        <w:widowControl/>
        <w:kinsoku/>
        <w:wordWrap/>
        <w:overflowPunct/>
        <w:topLinePunct w:val="0"/>
        <w:autoSpaceDE/>
        <w:autoSpaceDN/>
        <w:bidi w:val="0"/>
        <w:adjustRightInd/>
        <w:snapToGrid/>
        <w:spacing w:beforeLines="0" w:afterLines="0" w:line="360" w:lineRule="auto"/>
        <w:textAlignment w:val="auto"/>
        <w:outlineLvl w:val="1"/>
        <w:rPr>
          <w:rFonts w:hint="eastAsia" w:ascii="黑体" w:hAnsi="黑体" w:eastAsia="黑体" w:cs="黑体"/>
          <w:color w:val="000000"/>
          <w:kern w:val="0"/>
          <w:sz w:val="21"/>
          <w:szCs w:val="21"/>
          <w:lang w:val="en-US" w:eastAsia="zh-CN" w:bidi="ar"/>
        </w:rPr>
      </w:pPr>
      <w:bookmarkStart w:id="3" w:name="_Toc9972"/>
      <w:r>
        <w:rPr>
          <w:rFonts w:hint="eastAsia" w:ascii="黑体" w:hAnsi="黑体" w:eastAsia="黑体" w:cs="黑体"/>
          <w:color w:val="000000"/>
          <w:kern w:val="0"/>
          <w:sz w:val="21"/>
          <w:szCs w:val="21"/>
          <w:lang w:val="en-US" w:eastAsia="zh-CN" w:bidi="ar"/>
        </w:rPr>
        <w:t>1.2.1编制背景</w:t>
      </w:r>
      <w:bookmarkEnd w:id="3"/>
    </w:p>
    <w:p w14:paraId="5A25AD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当前，我国有色金属行业正处于数字化、智能化转型的关键阶段，国家及行业层面密集出台多项政策与规范，明确要求以标准化为抓手，推动有色金属采选环节的智能制造升级，为本标准的编制提供了重要政策依据和方向指引。</w:t>
      </w:r>
    </w:p>
    <w:p w14:paraId="093283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《“十四五” 原材料工业发展规划》：明确要求原材料工业加速转型数字化，提出到 2025 年智能制造能力成熟度 3 级及以上企业达到20% 以上、关键工序数控化率 70% 以上的目标，强调要“推进数字化基础设施建设，鼓励有条件的企业应用5G 等新一代信息技术建设泛在感知互联的工厂运行环境”，对有色金属采选环节的数据实时采集、互联互通提出硬性要求，倒逼行业补齐数据采集标准缺失的短板。</w:t>
      </w:r>
    </w:p>
    <w:p w14:paraId="1C0B07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工业互联网创新发展行动计划》：提出要打通工业数据采集、传输、应用全链条，消除数据孤岛，构建工业数据资源体系，要求有色金属等传统产业依托标准化数据采集手段，实现生产要素的全面互联，为工业互联网平台应用提供数据支撑。</w:t>
      </w:r>
    </w:p>
    <w:p w14:paraId="56FF3F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《有色金属行业智能制造标准体系建设指南（2023 版）》：由工业和信息化部印发，明确提出要构建覆盖采选、冶炼、加工全产业链的智能制造标准体系，将 “数据采集” 列为智能工厂建设的基础核心环节，要求制定针对性技术标准，规范数据采集的对象、频率、格式和传输方式，为本标准的编制提供了直接的体系框架依据。</w:t>
      </w:r>
    </w:p>
    <w:p w14:paraId="51A3DE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2025年有色金属行业智能制造标准体系建设成果：2025 年我国智能制造行业标准密集出台，有色金属领域已形成全产业链覆盖的智能工厂标准体系，先后发布《有色金属冶炼智能工厂通用技术要求》《有色金属矿山矿用车联网管控平台技术规范》等标准，但针对采选流程的专用数据采集技术要求仍存在空白，亟需专项标准填补，形成从采选到加工的完整标准链条。</w:t>
      </w:r>
    </w:p>
    <w:p w14:paraId="48BE5060">
      <w:pPr>
        <w:pStyle w:val="17"/>
        <w:keepNext w:val="0"/>
        <w:keepLines w:val="0"/>
        <w:pageBreakBefore w:val="0"/>
        <w:widowControl/>
        <w:kinsoku/>
        <w:wordWrap/>
        <w:overflowPunct/>
        <w:topLinePunct w:val="0"/>
        <w:autoSpaceDE/>
        <w:autoSpaceDN/>
        <w:bidi w:val="0"/>
        <w:adjustRightInd/>
        <w:snapToGrid/>
        <w:spacing w:beforeLines="0" w:afterLines="0" w:line="360" w:lineRule="auto"/>
        <w:textAlignment w:val="auto"/>
        <w:outlineLvl w:val="1"/>
        <w:rPr>
          <w:rFonts w:hint="eastAsia" w:ascii="黑体" w:hAnsi="黑体" w:eastAsia="黑体" w:cs="黑体"/>
          <w:color w:val="000000"/>
          <w:kern w:val="0"/>
          <w:sz w:val="21"/>
          <w:szCs w:val="21"/>
          <w:lang w:val="en-US" w:eastAsia="zh-CN" w:bidi="ar"/>
        </w:rPr>
      </w:pPr>
      <w:bookmarkStart w:id="4" w:name="_Toc9328"/>
      <w:r>
        <w:rPr>
          <w:rFonts w:hint="eastAsia" w:ascii="黑体" w:hAnsi="黑体" w:eastAsia="黑体" w:cs="黑体"/>
          <w:color w:val="000000"/>
          <w:kern w:val="0"/>
          <w:sz w:val="21"/>
          <w:szCs w:val="21"/>
          <w:lang w:val="en-US" w:eastAsia="zh-CN" w:bidi="ar"/>
        </w:rPr>
        <w:t>1.2.2编制必要性</w:t>
      </w:r>
      <w:bookmarkEnd w:id="4"/>
    </w:p>
    <w:p w14:paraId="513CB9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1、解决行业转型痛点的迫切需求</w:t>
      </w:r>
    </w:p>
    <w:p w14:paraId="5BFA43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有色金属采选环节是产业链前端核心工序，普遍存在厂区升级空间有限、车间布局分散、生产与管理集成度低等问题。当前行业内缺乏针对采选流程的专用数据采集技术标准，各企业在采集对象、频率、格式、传输方式等方面各自为政，导致数据口径不一、数据质量参差不齐、数据孤岛现象突出，直接制约生产优化、设备预测性维护、智能调度等智能制造应用的落地。</w:t>
      </w:r>
    </w:p>
    <w:p w14:paraId="4E7927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2、完善有色金属智能制造标准体系的关键举措</w:t>
      </w:r>
    </w:p>
    <w:p w14:paraId="6F08B5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现有智能制造相关标准多聚焦于冶炼、加工环节，采选流程数据采集标准处于空白状态。本标准作为CIC 智能工厂体系中数据与数据字典的配套技术标准，能够填补行业短板，与元数据管理、数据治理等后续标准形成闭环，构建覆盖有色金属采选冶全流程的智能制造标准体系。</w:t>
      </w:r>
    </w:p>
    <w:p w14:paraId="6C566B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3、落实国家数字化转型政策要求的技术支撑</w:t>
      </w:r>
    </w:p>
    <w:p w14:paraId="45F95C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国家《“十四五”原材料工业发展规划》《工业互联网创新发展行动计划》等政策，明确要求原材料工业加速数字化转型，提升关键工序数控化率、智能制造能力成熟度。标准化的数据采集是实现生产过程智能感知、互联互通的前提，本标准的制定可推动政策要求在有色金属采选领域落地，为行业数字化转型提供技术遵循。</w:t>
      </w:r>
    </w:p>
    <w:p w14:paraId="0DB44179">
      <w:pPr>
        <w:pStyle w:val="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outlineLvl w:val="0"/>
        <w:rPr>
          <w:rFonts w:hint="eastAsia" w:ascii="黑体" w:hAnsi="黑体" w:eastAsia="黑体" w:cs="黑体"/>
          <w:color w:val="000000"/>
          <w:kern w:val="0"/>
          <w:sz w:val="24"/>
          <w:szCs w:val="24"/>
          <w:lang w:val="en-US" w:eastAsia="zh-CN" w:bidi="ar"/>
        </w:rPr>
      </w:pPr>
      <w:bookmarkStart w:id="5" w:name="_Toc8179"/>
      <w:r>
        <w:rPr>
          <w:rFonts w:hint="eastAsia" w:ascii="黑体" w:hAnsi="黑体" w:eastAsia="黑体" w:cs="黑体"/>
          <w:color w:val="000000"/>
          <w:kern w:val="0"/>
          <w:sz w:val="24"/>
          <w:szCs w:val="24"/>
          <w:lang w:val="en-US" w:eastAsia="zh-CN" w:bidi="ar"/>
        </w:rPr>
        <w:t>1.3 主要参加单位</w:t>
      </w:r>
      <w:bookmarkEnd w:id="5"/>
    </w:p>
    <w:p w14:paraId="1ADBBF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标准由金川集团股份有限公司牵头组织编制，主要编制单位北方铜业股份有限公司、江西铜业股份有限公司、中国铜业有限公司、深圳市中金岭南有色金属股份有限公司等。</w:t>
      </w:r>
    </w:p>
    <w:p w14:paraId="0902C39A">
      <w:pPr>
        <w:pStyle w:val="2"/>
        <w:numPr>
          <w:ilvl w:val="0"/>
          <w:numId w:val="1"/>
        </w:numPr>
        <w:ind w:left="120" w:leftChars="0" w:firstLine="0" w:firstLineChars="0"/>
        <w:rPr>
          <w:rFonts w:hint="eastAsia" w:hAnsi="黑体" w:cs="黑体" w:asciiTheme="minorHAnsi" w:eastAsiaTheme="minorEastAsia"/>
          <w:color w:val="auto"/>
          <w:kern w:val="2"/>
          <w:sz w:val="21"/>
          <w:szCs w:val="21"/>
          <w:lang w:val="en-US" w:eastAsia="zh-CN" w:bidi="ar-SA"/>
        </w:rPr>
      </w:pPr>
      <w:r>
        <w:rPr>
          <w:rFonts w:hint="eastAsia" w:hAnsi="黑体" w:cs="黑体" w:asciiTheme="minorHAnsi" w:eastAsiaTheme="minorEastAsia"/>
          <w:color w:val="auto"/>
          <w:kern w:val="2"/>
          <w:sz w:val="21"/>
          <w:szCs w:val="21"/>
          <w:lang w:val="en-US" w:eastAsia="zh-CN" w:bidi="ar-SA"/>
        </w:rPr>
        <w:t>金川集团股份有限公司</w:t>
      </w:r>
    </w:p>
    <w:p w14:paraId="57A22A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金川集团股份有限公司成立于1959年，总部位于甘肃金昌，是甘肃省人民政府控股的特大型采、选、冶、化、深加工联合企业，主要生产镍、铜、钴、黄金、白银、铂族贵金属及先进有色金属材料和化工产品等，产品广泛应用于建筑、机械、石油化工、新能源及电池制造、生物医用等现代工业和国民经济各领域。</w:t>
      </w:r>
    </w:p>
    <w:p w14:paraId="64EDE9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金川集团在国内20个省（市、区）和海外30余个国家开展有色金属矿产资源开发及产业、科技、供应链合作，形成了金川镍钴、金川铜贵、金川科技、金川新材、金川新能、金川科创六大板块，建立了资源开发、冶金、新材料、新能源、化工等完整产业链，拥有镍钴共伴生资源开发与综合利用全国重点实验室、国家镍钴新材料工程技术研究中心两个国家级创新平台和甘肃省首个依托企业建立的院士专家工作站。</w:t>
      </w:r>
    </w:p>
    <w:p w14:paraId="424369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金川集团经过多年的信息化、自动化建设，已经初步在企业运营、生产管理、运行优化与过程控制等方面具备了较好基础。传感、测量、工业控制、工业视觉技术广泛应用，已搭建了覆盖公司主要生产区域的管理信息网络和生产数据采集网络，构建了坚实的数字化底层支撑。</w:t>
      </w:r>
    </w:p>
    <w:p w14:paraId="5DB0AA04">
      <w:pPr>
        <w:pStyle w:val="2"/>
        <w:numPr>
          <w:ilvl w:val="0"/>
          <w:numId w:val="1"/>
        </w:numPr>
        <w:ind w:left="120" w:leftChars="0" w:firstLine="0" w:firstLineChars="0"/>
        <w:rPr>
          <w:rFonts w:hint="default" w:hAnsi="黑体" w:cs="黑体" w:asciiTheme="minorHAnsi" w:eastAsiaTheme="minorEastAsia"/>
          <w:color w:val="auto"/>
          <w:kern w:val="2"/>
          <w:sz w:val="21"/>
          <w:szCs w:val="21"/>
          <w:lang w:val="en-US" w:eastAsia="zh-CN" w:bidi="ar-SA"/>
        </w:rPr>
      </w:pPr>
      <w:r>
        <w:rPr>
          <w:rFonts w:hint="eastAsia" w:hAnsi="黑体" w:cs="黑体" w:eastAsiaTheme="minorEastAsia"/>
          <w:color w:val="auto"/>
          <w:kern w:val="2"/>
          <w:sz w:val="21"/>
          <w:szCs w:val="21"/>
          <w:lang w:val="en-US" w:eastAsia="zh-CN" w:bidi="ar-SA"/>
        </w:rPr>
        <w:t>北方铜业</w:t>
      </w:r>
      <w:r>
        <w:rPr>
          <w:rFonts w:hint="default" w:hAnsi="黑体" w:cs="黑体" w:asciiTheme="minorHAnsi" w:eastAsiaTheme="minorEastAsia"/>
          <w:color w:val="auto"/>
          <w:kern w:val="2"/>
          <w:sz w:val="21"/>
          <w:szCs w:val="21"/>
          <w:lang w:val="en-US" w:eastAsia="zh-CN" w:bidi="ar-SA"/>
        </w:rPr>
        <w:t>股份有限公司</w:t>
      </w:r>
    </w:p>
    <w:p w14:paraId="3A6F10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北方铜业股份有限公司隶属于中条山有色金属集团，是华北地区重要的铜产业基地，业务涵盖铜金属开采、选矿、冶炼、压延加工及铜基新材料研发，其核心矿山铜矿峪矿为亚洲大型地下非煤矿山，采用自然崩落法等先进采矿技术</w:t>
      </w:r>
      <w:r>
        <w:rPr>
          <w:rFonts w:hint="eastAsia" w:ascii="宋体" w:hAnsi="宋体" w:eastAsia="宋体" w:cs="宋体"/>
          <w:color w:val="000000"/>
          <w:kern w:val="0"/>
          <w:sz w:val="21"/>
          <w:szCs w:val="21"/>
          <w:lang w:val="en-US" w:eastAsia="zh-CN" w:bidi="ar"/>
        </w:rPr>
        <w:t>。</w:t>
      </w:r>
      <w:r>
        <w:rPr>
          <w:rFonts w:hint="default" w:ascii="宋体" w:hAnsi="宋体" w:eastAsia="宋体" w:cs="宋体"/>
          <w:color w:val="000000"/>
          <w:kern w:val="0"/>
          <w:sz w:val="21"/>
          <w:szCs w:val="21"/>
          <w:lang w:val="en-US" w:eastAsia="zh-CN" w:bidi="ar"/>
        </w:rPr>
        <w:t>近年来企业大力推进智能矿山建设，积极布局高性能压延铜带箔等高端新材料，产品成功应用于华为等企业的相关领域，并参与制定多项行业及团体标准</w:t>
      </w:r>
      <w:r>
        <w:rPr>
          <w:rFonts w:hint="eastAsia" w:ascii="宋体" w:hAnsi="宋体" w:eastAsia="宋体" w:cs="宋体"/>
          <w:color w:val="000000"/>
          <w:kern w:val="0"/>
          <w:sz w:val="21"/>
          <w:szCs w:val="21"/>
          <w:lang w:val="en-US" w:eastAsia="zh-CN" w:bidi="ar"/>
        </w:rPr>
        <w:t>。</w:t>
      </w:r>
      <w:r>
        <w:rPr>
          <w:rFonts w:hint="default" w:ascii="宋体" w:hAnsi="宋体" w:eastAsia="宋体" w:cs="宋体"/>
          <w:color w:val="000000"/>
          <w:kern w:val="0"/>
          <w:sz w:val="21"/>
          <w:szCs w:val="21"/>
          <w:lang w:val="en-US" w:eastAsia="zh-CN" w:bidi="ar"/>
        </w:rPr>
        <w:t>北方铜业依托自身在井下开采、破碎工序的数据采集实践经验，</w:t>
      </w:r>
      <w:r>
        <w:rPr>
          <w:rFonts w:hint="eastAsia" w:ascii="宋体" w:hAnsi="宋体" w:eastAsia="宋体" w:cs="宋体"/>
          <w:color w:val="000000"/>
          <w:kern w:val="0"/>
          <w:sz w:val="21"/>
          <w:szCs w:val="21"/>
          <w:lang w:val="en-US" w:eastAsia="zh-CN" w:bidi="ar"/>
        </w:rPr>
        <w:t>能够</w:t>
      </w:r>
      <w:r>
        <w:rPr>
          <w:rFonts w:hint="default" w:ascii="宋体" w:hAnsi="宋体" w:eastAsia="宋体" w:cs="宋体"/>
          <w:color w:val="000000"/>
          <w:kern w:val="0"/>
          <w:sz w:val="21"/>
          <w:szCs w:val="21"/>
          <w:lang w:val="en-US" w:eastAsia="zh-CN" w:bidi="ar"/>
        </w:rPr>
        <w:t>为规范有色金属采选行业数据采集流程提供了重要支撑</w:t>
      </w:r>
      <w:r>
        <w:rPr>
          <w:rFonts w:hint="eastAsia" w:ascii="宋体" w:hAnsi="宋体" w:eastAsia="宋体" w:cs="宋体"/>
          <w:color w:val="000000"/>
          <w:kern w:val="0"/>
          <w:sz w:val="21"/>
          <w:szCs w:val="21"/>
          <w:lang w:val="en-US" w:eastAsia="zh-CN" w:bidi="ar"/>
        </w:rPr>
        <w:t>。</w:t>
      </w:r>
    </w:p>
    <w:p w14:paraId="60720BD5">
      <w:pPr>
        <w:pStyle w:val="2"/>
        <w:numPr>
          <w:ilvl w:val="0"/>
          <w:numId w:val="1"/>
        </w:numPr>
        <w:ind w:left="120" w:leftChars="0" w:firstLine="0" w:firstLineChars="0"/>
        <w:rPr>
          <w:rFonts w:hint="eastAsia" w:hAnsi="黑体" w:cs="黑体" w:asciiTheme="minorHAnsi" w:eastAsiaTheme="minorEastAsia"/>
          <w:color w:val="auto"/>
          <w:kern w:val="2"/>
          <w:sz w:val="21"/>
          <w:szCs w:val="21"/>
          <w:lang w:val="en-US" w:eastAsia="zh-CN" w:bidi="ar-SA"/>
        </w:rPr>
      </w:pPr>
      <w:r>
        <w:rPr>
          <w:rFonts w:hint="eastAsia" w:hAnsi="黑体" w:cs="黑体" w:asciiTheme="minorHAnsi" w:eastAsiaTheme="minorEastAsia"/>
          <w:color w:val="auto"/>
          <w:kern w:val="2"/>
          <w:sz w:val="21"/>
          <w:szCs w:val="21"/>
          <w:lang w:val="en-US" w:eastAsia="zh-CN" w:bidi="ar-SA"/>
        </w:rPr>
        <w:t>江西铜业股份有限公司</w:t>
      </w:r>
    </w:p>
    <w:p w14:paraId="187604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江西铜业股份有限公司是国内铜行业龙头企业，是集铜采选、冶炼、加工、贸易及金融于一体的大型跨国有色金属企业，其核心矿山德兴铜矿是国内最大露天有色金属矿山，保有铜矿石储量 13.2 亿吨、铜金属量 500 多万吨，日采选综合生产能力达 13 万吨，年产铜精矿含铜 15 万多吨，矿产铜产量约占全国的 1/10，多项经济技术指标连续20余年稳居全国同行业第一。公司业务覆盖铜全产业链，旗下贵溪冶炼厂是全球单体规模最大的铜冶炼厂之一，阴极铜产能行业领先，副产品涵盖金、银、钼、硫酸等，2023 年实现营业总收入 5218.93 亿元，归母净利润 65.05 亿元，2024 年归母净利润同比增长 7.03% 至 69.62 亿元，经营规模与盈利能力稳居行业前列。</w:t>
      </w:r>
    </w:p>
    <w:p w14:paraId="7354C4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在智能化转型领域，江西铜业以贵冶智能工厂为标杆，构建 “云边端” 智能制造协同体系，部署百余边缘计算节点和千台高精度传感器，打造50PB级云数据中心，实现生产数据毫秒级响应与工艺参数动态优化；其首创的熔炼生产节奏智能控制系统，使闪速炉等核心设备作业效率提升15%、吨铜能耗降低 5%，尾矿无人行车系统通过视觉识别与激光测距技术，实现物料转运精度误差小于5毫米，多项智能应用入选全国智慧企业建设最佳实践案例，贵冶 202</w:t>
      </w:r>
      <w:r>
        <w:rPr>
          <w:rFonts w:hint="eastAsia" w:ascii="宋体" w:hAnsi="宋体" w:eastAsia="宋体" w:cs="宋体"/>
          <w:color w:val="000000"/>
          <w:kern w:val="0"/>
          <w:sz w:val="21"/>
          <w:szCs w:val="21"/>
          <w:lang w:val="en-US" w:eastAsia="zh-CN" w:bidi="ar"/>
        </w:rPr>
        <w:t>5</w:t>
      </w:r>
      <w:r>
        <w:rPr>
          <w:rFonts w:hint="default" w:ascii="宋体" w:hAnsi="宋体" w:eastAsia="宋体" w:cs="宋体"/>
          <w:color w:val="000000"/>
          <w:kern w:val="0"/>
          <w:sz w:val="21"/>
          <w:szCs w:val="21"/>
          <w:lang w:val="en-US" w:eastAsia="zh-CN" w:bidi="ar"/>
        </w:rPr>
        <w:t>年获评 “国家卓越级智能工厂”。</w:t>
      </w:r>
    </w:p>
    <w:p w14:paraId="460808C7">
      <w:pPr>
        <w:pStyle w:val="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outlineLvl w:val="0"/>
        <w:rPr>
          <w:rFonts w:hint="eastAsia" w:ascii="黑体" w:hAnsi="宋体" w:eastAsia="黑体" w:cs="Arial"/>
          <w:b w:val="0"/>
          <w:bCs w:val="0"/>
          <w:color w:val="auto"/>
          <w:kern w:val="0"/>
          <w:sz w:val="21"/>
          <w:szCs w:val="21"/>
          <w:lang w:val="en-US" w:eastAsia="zh-CN" w:bidi="ar-SA"/>
        </w:rPr>
      </w:pPr>
      <w:bookmarkStart w:id="6" w:name="_Toc21308"/>
      <w:r>
        <w:rPr>
          <w:rFonts w:hint="eastAsia" w:ascii="黑体" w:hAnsi="宋体" w:eastAsia="黑体" w:cs="Arial"/>
          <w:b w:val="0"/>
          <w:bCs w:val="0"/>
          <w:color w:val="auto"/>
          <w:kern w:val="0"/>
          <w:sz w:val="21"/>
          <w:szCs w:val="21"/>
          <w:lang w:val="en-US" w:eastAsia="zh-CN" w:bidi="ar-SA"/>
        </w:rPr>
        <w:t>二、标准编制原则</w:t>
      </w:r>
      <w:bookmarkEnd w:id="6"/>
    </w:p>
    <w:p w14:paraId="52354C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本标准按照 GB/T 1.1-2020《标准化工作导则 第 1 部分：标准化文件的结构和起草规则》给出的规则起草。</w:t>
      </w:r>
    </w:p>
    <w:p w14:paraId="7DF3ED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本标准立足有色金属行业实际和智能制造标准体系的要求，与其他标准共同丰富智能制造标准体系，在编制的过程中，始终遵循符合行业特色、满足市场需求、技术内容合理的原则。</w:t>
      </w:r>
    </w:p>
    <w:p w14:paraId="058962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实用性原则：标准内容紧密结合有色金属采选企业的生产实际，充分考虑不同规模、不同工艺企业的应用需求，确保标准具有较强的可操作性。</w:t>
      </w:r>
    </w:p>
    <w:p w14:paraId="654A62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前瞻性原则：标准编制充分借鉴智能制造领域的先进技术和发展趋势，兼顾当前应用需求和未来技术升级空间，为后续技术发展预留接口。</w:t>
      </w:r>
    </w:p>
    <w:p w14:paraId="3D80AB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协调性原则：标准内容与现行的智能制造、工业数据、安全生产等相关国家标准、行业标准保持协调一致，避免冲突和矛盾。</w:t>
      </w:r>
    </w:p>
    <w:p w14:paraId="3576C229">
      <w:pPr>
        <w:pStyle w:val="9"/>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outlineLvl w:val="0"/>
        <w:rPr>
          <w:rFonts w:hint="eastAsia" w:ascii="黑体" w:hAnsi="宋体" w:eastAsia="黑体" w:cs="Arial"/>
          <w:b w:val="0"/>
          <w:bCs w:val="0"/>
          <w:color w:val="auto"/>
          <w:kern w:val="0"/>
          <w:sz w:val="21"/>
          <w:szCs w:val="21"/>
          <w:lang w:val="en-US" w:eastAsia="zh-CN" w:bidi="ar-SA"/>
        </w:rPr>
      </w:pPr>
      <w:bookmarkStart w:id="7" w:name="_Toc730"/>
      <w:r>
        <w:rPr>
          <w:rFonts w:hint="eastAsia" w:ascii="黑体" w:hAnsi="宋体" w:eastAsia="黑体" w:cs="Arial"/>
          <w:b w:val="0"/>
          <w:bCs w:val="0"/>
          <w:color w:val="auto"/>
          <w:kern w:val="0"/>
          <w:sz w:val="21"/>
          <w:szCs w:val="21"/>
          <w:lang w:val="en-US" w:eastAsia="zh-CN" w:bidi="ar-SA"/>
        </w:rPr>
        <w:t>标准的主要内容及确定内容的主要依据</w:t>
      </w:r>
      <w:bookmarkEnd w:id="7"/>
    </w:p>
    <w:p w14:paraId="6F87E202">
      <w:pPr>
        <w:pStyle w:val="17"/>
        <w:keepNext w:val="0"/>
        <w:keepLines w:val="0"/>
        <w:pageBreakBefore w:val="0"/>
        <w:widowControl/>
        <w:kinsoku/>
        <w:wordWrap/>
        <w:overflowPunct/>
        <w:topLinePunct w:val="0"/>
        <w:autoSpaceDE/>
        <w:autoSpaceDN/>
        <w:bidi w:val="0"/>
        <w:adjustRightInd/>
        <w:snapToGrid/>
        <w:spacing w:beforeLines="0" w:afterLines="0" w:line="360" w:lineRule="auto"/>
        <w:textAlignment w:val="auto"/>
        <w:outlineLvl w:val="1"/>
        <w:rPr>
          <w:rFonts w:hint="eastAsia" w:hAnsi="黑体" w:cs="黑体"/>
          <w:color w:val="auto"/>
          <w:szCs w:val="21"/>
          <w:lang w:val="en-US" w:eastAsia="zh-CN"/>
        </w:rPr>
      </w:pPr>
      <w:bookmarkStart w:id="8" w:name="_Toc9920"/>
      <w:r>
        <w:rPr>
          <w:rFonts w:hint="eastAsia" w:ascii="黑体" w:eastAsia="黑体" w:cs="Arial"/>
          <w:b w:val="0"/>
          <w:bCs w:val="0"/>
          <w:color w:val="auto"/>
          <w:kern w:val="0"/>
          <w:sz w:val="21"/>
          <w:szCs w:val="21"/>
          <w:lang w:val="en-US" w:eastAsia="zh-CN" w:bidi="ar-SA"/>
        </w:rPr>
        <w:t>3.1</w:t>
      </w:r>
      <w:r>
        <w:rPr>
          <w:rFonts w:hint="eastAsia" w:hAnsi="黑体" w:cs="黑体"/>
          <w:color w:val="auto"/>
          <w:szCs w:val="21"/>
          <w:lang w:val="en-US" w:eastAsia="zh-CN"/>
        </w:rPr>
        <w:t>标准的主要内容</w:t>
      </w:r>
      <w:bookmarkEnd w:id="8"/>
    </w:p>
    <w:p w14:paraId="3F96D20B">
      <w:pPr>
        <w:pStyle w:val="18"/>
        <w:rPr>
          <w:rFonts w:hint="eastAsia" w:ascii="宋体" w:hAnsi="宋体" w:eastAsia="宋体" w:cs="宋体"/>
          <w:color w:val="000000"/>
          <w:kern w:val="0"/>
          <w:sz w:val="21"/>
          <w:szCs w:val="21"/>
          <w:lang w:val="en-US" w:eastAsia="zh-CN" w:bidi="ar"/>
        </w:rPr>
      </w:pPr>
      <w:r>
        <w:rPr>
          <w:rFonts w:hint="eastAsia" w:hAnsi="宋体" w:cs="宋体"/>
          <w:color w:val="000000"/>
          <w:kern w:val="0"/>
          <w:sz w:val="21"/>
          <w:szCs w:val="21"/>
          <w:lang w:val="en-US" w:eastAsia="zh-CN" w:bidi="ar"/>
        </w:rPr>
        <w:t>1、</w:t>
      </w:r>
      <w:r>
        <w:rPr>
          <w:rFonts w:hint="eastAsia" w:ascii="宋体" w:hAnsi="宋体" w:eastAsia="宋体" w:cs="宋体"/>
          <w:color w:val="000000"/>
          <w:kern w:val="0"/>
          <w:sz w:val="21"/>
          <w:szCs w:val="21"/>
          <w:lang w:val="en-US" w:eastAsia="zh-CN" w:bidi="ar"/>
        </w:rPr>
        <w:t>数据源与采集方式</w:t>
      </w:r>
    </w:p>
    <w:p w14:paraId="3B15EF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数据源分为两类，一是现场感知与控制设备，包含设备层的传感器、仪器仪表等，以及单元层的 DCS、PLC 等系统；二是企业信息或业务管理系统，覆盖车间层 MES、企业层 ERP/PDM 及协同层工业公有云。</w:t>
      </w:r>
    </w:p>
    <w:p w14:paraId="4AEB42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采集方式包括三种，分别是标准协议设备的直接采集、总线接口设备的协议转换采集、非标准接口且带上位机子系统的中转采集。</w:t>
      </w:r>
    </w:p>
    <w:p w14:paraId="0D244D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2、总体架构与分层技术要求</w:t>
      </w:r>
    </w:p>
    <w:p w14:paraId="2E2E3A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采用分层、分域、分级的总体架构，由感知层、传输层、应用层组成，支持边缘计算与云边协同。感知层负责数据实时采集，传输层保障数据可靠传输，应用层实现数据存储分析与业务应用。</w:t>
      </w:r>
    </w:p>
    <w:p w14:paraId="57D858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感知层：明确 Modbus、Profibus 等现场总线协议规范，规定 RJ45、RS485 等有线接口，以及 4G/5G、WiFi 等无线接口的技术要求，规范感知数据采集流程。</w:t>
      </w:r>
    </w:p>
    <w:p w14:paraId="5BFF80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传输层：采用 IPv4/IPv6、TCP/UDP 协议，支持以太网与光纤接口，要求具备链路冗余、流量隔离及安全防护能力，明确数据传输的封装、校验、分类及异常处理流程。</w:t>
      </w:r>
    </w:p>
    <w:p w14:paraId="362F5B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应用层：规范数据接收、解析、存储、共享的全流程，明确应用层设备需支持 OPC UA、MQTT 等协议，不同类型数据对应不同传输协议。</w:t>
      </w:r>
    </w:p>
    <w:p w14:paraId="15C3AF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3、数据采集范围</w:t>
      </w:r>
    </w:p>
    <w:p w14:paraId="6549D3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覆盖采矿、选矿、尾矿库与公用工程三大类数据，明确各类数据的采集内容与频率。采矿数据包含地质勘探、设备运行、安全监测等数据；选矿数据涵盖破碎、磨矿、分选等工序参数；尾矿库与公用工程数据包括库水位、坝体位移及水电消耗等数据。</w:t>
      </w:r>
    </w:p>
    <w:p w14:paraId="3FA9AF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4、设备模型与数据安全</w:t>
      </w:r>
    </w:p>
    <w:p w14:paraId="6F2640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设备模型包含通用信息和扩展信息，通用信息涵盖设备基础、网络、位置属性，扩展信息包含模拟量、开关量、累计量三类参数。</w:t>
      </w:r>
    </w:p>
    <w:p w14:paraId="159128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数据安全从四方面提出要求，一是优先选用支持标准协议的国产设备；二是流媒体数据采用对称密码体制加密；三是系统需具备符合国标要求的安全审计功能；四是通过备份、灾备、脱敏技术保障数据存储安全。</w:t>
      </w:r>
    </w:p>
    <w:p w14:paraId="5E6E3C81">
      <w:pPr>
        <w:pStyle w:val="17"/>
        <w:keepNext w:val="0"/>
        <w:keepLines w:val="0"/>
        <w:pageBreakBefore w:val="0"/>
        <w:widowControl/>
        <w:kinsoku/>
        <w:wordWrap/>
        <w:overflowPunct/>
        <w:topLinePunct w:val="0"/>
        <w:autoSpaceDE/>
        <w:autoSpaceDN/>
        <w:bidi w:val="0"/>
        <w:adjustRightInd/>
        <w:snapToGrid/>
        <w:spacing w:beforeLines="0" w:afterLines="0" w:line="360" w:lineRule="auto"/>
        <w:textAlignment w:val="auto"/>
        <w:outlineLvl w:val="1"/>
        <w:rPr>
          <w:rFonts w:hint="default" w:ascii="黑体" w:eastAsia="黑体" w:cs="Arial"/>
          <w:b w:val="0"/>
          <w:bCs w:val="0"/>
          <w:color w:val="auto"/>
          <w:kern w:val="0"/>
          <w:sz w:val="21"/>
          <w:szCs w:val="21"/>
          <w:lang w:val="en-US" w:eastAsia="zh-CN" w:bidi="ar-SA"/>
        </w:rPr>
      </w:pPr>
      <w:bookmarkStart w:id="9" w:name="_Toc13625"/>
      <w:r>
        <w:rPr>
          <w:rFonts w:hint="default" w:ascii="黑体" w:eastAsia="黑体" w:cs="Arial"/>
          <w:b w:val="0"/>
          <w:bCs w:val="0"/>
          <w:color w:val="auto"/>
          <w:kern w:val="0"/>
          <w:sz w:val="21"/>
          <w:szCs w:val="21"/>
          <w:lang w:val="en-US" w:eastAsia="zh-CN" w:bidi="ar-SA"/>
        </w:rPr>
        <w:t>3.2确定内容的主要依据</w:t>
      </w:r>
      <w:bookmarkEnd w:id="9"/>
    </w:p>
    <w:p w14:paraId="71FF07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w:t>
      </w:r>
      <w:r>
        <w:rPr>
          <w:rFonts w:hint="default" w:ascii="宋体" w:hAnsi="宋体" w:eastAsia="宋体" w:cs="宋体"/>
          <w:color w:val="000000"/>
          <w:kern w:val="0"/>
          <w:sz w:val="21"/>
          <w:szCs w:val="21"/>
          <w:lang w:val="en-US" w:eastAsia="zh-CN" w:bidi="ar"/>
        </w:rPr>
        <w:t>企业实际调研数据：编制组通过对</w:t>
      </w:r>
      <w:r>
        <w:rPr>
          <w:rFonts w:hint="eastAsia" w:ascii="宋体" w:hAnsi="宋体" w:eastAsia="宋体" w:cs="宋体"/>
          <w:color w:val="000000"/>
          <w:kern w:val="0"/>
          <w:sz w:val="21"/>
          <w:szCs w:val="21"/>
          <w:lang w:val="en-US" w:eastAsia="zh-CN" w:bidi="ar"/>
        </w:rPr>
        <w:t>金川集团等</w:t>
      </w:r>
      <w:r>
        <w:rPr>
          <w:rFonts w:hint="default" w:ascii="宋体" w:hAnsi="宋体" w:eastAsia="宋体" w:cs="宋体"/>
          <w:color w:val="000000"/>
          <w:kern w:val="0"/>
          <w:sz w:val="21"/>
          <w:szCs w:val="21"/>
          <w:lang w:val="en-US" w:eastAsia="zh-CN" w:bidi="ar"/>
        </w:rPr>
        <w:t>多家有色金属采选企业的实地调研，收集整理了不同工艺、不同规模企业的数据采集现状、需求和痛点，为标准内容提供了实践依据。</w:t>
      </w:r>
    </w:p>
    <w:p w14:paraId="67EB4E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w:t>
      </w:r>
      <w:r>
        <w:rPr>
          <w:rFonts w:hint="default" w:ascii="宋体" w:hAnsi="宋体" w:eastAsia="宋体" w:cs="宋体"/>
          <w:color w:val="000000"/>
          <w:kern w:val="0"/>
          <w:sz w:val="21"/>
          <w:szCs w:val="21"/>
          <w:lang w:val="en-US" w:eastAsia="zh-CN" w:bidi="ar"/>
        </w:rPr>
        <w:t>现行相关标准：主要依据 GB/T 23703《智能制造 术语》、GB/T 39478《智能工厂 通用技术要求》、GB/T 51212《有色金属矿山智能工厂设计标准》等现行国家标准和行业标准，确保本标准与现有标准体系协调一致。</w:t>
      </w:r>
    </w:p>
    <w:p w14:paraId="30F585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w:t>
      </w:r>
      <w:r>
        <w:rPr>
          <w:rFonts w:hint="default" w:ascii="宋体" w:hAnsi="宋体" w:eastAsia="宋体" w:cs="宋体"/>
          <w:color w:val="000000"/>
          <w:kern w:val="0"/>
          <w:sz w:val="21"/>
          <w:szCs w:val="21"/>
          <w:lang w:val="en-US" w:eastAsia="zh-CN" w:bidi="ar"/>
        </w:rPr>
        <w:t>行业政策文件：依据《有色金属行业智能制造标准体系建设指南》《工业互联网创新发展行动计划》等政策文件要求，聚焦有色金属行业数字化转型的核心需求，确定标准的核心技术内容。</w:t>
      </w:r>
    </w:p>
    <w:p w14:paraId="5320B1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r>
        <w:rPr>
          <w:rFonts w:hint="default" w:ascii="宋体" w:hAnsi="宋体" w:eastAsia="宋体" w:cs="宋体"/>
          <w:color w:val="000000"/>
          <w:kern w:val="0"/>
          <w:sz w:val="21"/>
          <w:szCs w:val="21"/>
          <w:lang w:val="en-US" w:eastAsia="zh-CN" w:bidi="ar"/>
        </w:rPr>
        <w:t>参编单位实践经验：各参编单位结合自身在有色金属采选智能工厂建设、数据采集系统应用等方面的实践经验，为标准技术要求的合理性和可操作性提供了支撑</w:t>
      </w:r>
      <w:r>
        <w:rPr>
          <w:rFonts w:hint="eastAsia" w:ascii="宋体" w:hAnsi="宋体" w:eastAsia="宋体" w:cs="宋体"/>
          <w:color w:val="000000"/>
          <w:kern w:val="0"/>
          <w:sz w:val="21"/>
          <w:szCs w:val="21"/>
          <w:lang w:val="en-US" w:eastAsia="zh-CN" w:bidi="ar"/>
        </w:rPr>
        <w:t>。</w:t>
      </w:r>
    </w:p>
    <w:p w14:paraId="337D8580">
      <w:pPr>
        <w:pStyle w:val="9"/>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0"/>
        <w:rPr>
          <w:rFonts w:hint="eastAsia" w:ascii="黑体" w:hAnsi="宋体" w:eastAsia="黑体" w:cs="Arial"/>
          <w:color w:val="auto"/>
          <w:kern w:val="0"/>
          <w:sz w:val="21"/>
          <w:szCs w:val="21"/>
          <w:lang w:val="en-US" w:eastAsia="zh-CN"/>
        </w:rPr>
      </w:pPr>
      <w:bookmarkStart w:id="10" w:name="_Toc9215"/>
      <w:r>
        <w:rPr>
          <w:rFonts w:hint="eastAsia" w:ascii="黑体" w:hAnsi="宋体" w:eastAsia="黑体" w:cs="Arial"/>
          <w:color w:val="auto"/>
          <w:kern w:val="0"/>
          <w:sz w:val="21"/>
          <w:szCs w:val="21"/>
          <w:lang w:val="en-US" w:eastAsia="zh-CN"/>
        </w:rPr>
        <w:t>主要试验验证分析、预期的经济效益、社会效益</w:t>
      </w:r>
      <w:bookmarkEnd w:id="10"/>
    </w:p>
    <w:p w14:paraId="1557A3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4.1主要验证分析</w:t>
      </w:r>
    </w:p>
    <w:p w14:paraId="1324DD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选取金川集团</w:t>
      </w:r>
      <w:r>
        <w:rPr>
          <w:rFonts w:hint="eastAsia" w:ascii="宋体" w:hAnsi="宋体" w:eastAsia="宋体" w:cs="宋体"/>
          <w:color w:val="000000"/>
          <w:kern w:val="0"/>
          <w:sz w:val="21"/>
          <w:szCs w:val="21"/>
          <w:lang w:val="en-US" w:eastAsia="zh-CN" w:bidi="ar"/>
        </w:rPr>
        <w:t>矿山和选矿工厂进行验证，按照标准规定的采集对象、方法、技术要求搭建数据采集系统，对生产数据、设备数据、环境数据进行为期3个月的采集验证。</w:t>
      </w:r>
    </w:p>
    <w:p w14:paraId="1D008B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通过两家采集单位的数据采集口径实现统一，所有数据格式完全满足标准要求。验证结果表明，本标准的技术要求科学合理、可操作性强，能够有效解决企业数据采集的痛点问题。</w:t>
      </w:r>
    </w:p>
    <w:p w14:paraId="6ED0F7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4.2预期经济效益</w:t>
      </w:r>
    </w:p>
    <w:p w14:paraId="631D97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降低企业数据采集成本：统一的数据采集标准可减少企业因重复建设、数据格式不兼容导致的成本浪费，预计可降低企业数据采集系统建设成本 15%-20%。</w:t>
      </w:r>
    </w:p>
    <w:p w14:paraId="4CC030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提升生产运营效率：规范、高质量的数据采集可为生产优化、设备预测性维护提供支撑，预计可提升采选工序生产效率 5%-8%，降低设备故障率 10%-15%。</w:t>
      </w:r>
    </w:p>
    <w:p w14:paraId="170F62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促进数据价值挖掘：标准化的数据可实现企业内部及企业间的数据互通共享，为产业链协同、商业模式创新提供数据基础，助力企业创造新的经济增长点。</w:t>
      </w:r>
    </w:p>
    <w:p w14:paraId="43A256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4.3预期社会效益</w:t>
      </w:r>
    </w:p>
    <w:p w14:paraId="261608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推动行业数字化转型：本标准填补了有色金属采选智能工厂数据采集领域的标准空白，为行业数字化转型提供了基础技术支撑，加速智能制造技术在行业内的推广应用。</w:t>
      </w:r>
    </w:p>
    <w:p w14:paraId="46CF24AA">
      <w:pPr>
        <w:pStyle w:val="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0"/>
        <w:rPr>
          <w:rFonts w:hint="default" w:ascii="黑体" w:hAnsi="宋体" w:eastAsia="黑体" w:cs="Arial"/>
          <w:color w:val="auto"/>
          <w:kern w:val="0"/>
          <w:sz w:val="21"/>
          <w:szCs w:val="21"/>
          <w:lang w:val="en-US" w:eastAsia="zh-CN"/>
        </w:rPr>
      </w:pPr>
      <w:bookmarkStart w:id="11" w:name="_Toc12043"/>
      <w:r>
        <w:rPr>
          <w:rFonts w:hint="eastAsia" w:ascii="黑体" w:eastAsia="黑体" w:cs="Arial"/>
          <w:color w:val="auto"/>
          <w:kern w:val="0"/>
          <w:sz w:val="21"/>
          <w:szCs w:val="21"/>
          <w:lang w:val="en-US" w:eastAsia="zh-CN" w:bidi="ar-SA"/>
        </w:rPr>
        <w:t>五</w:t>
      </w:r>
      <w:r>
        <w:rPr>
          <w:rFonts w:hint="eastAsia" w:ascii="黑体" w:hAnsi="宋体" w:eastAsia="黑体" w:cs="Arial"/>
          <w:color w:val="auto"/>
          <w:kern w:val="0"/>
          <w:sz w:val="21"/>
          <w:szCs w:val="21"/>
          <w:lang w:val="en-US" w:eastAsia="zh-CN" w:bidi="ar-SA"/>
        </w:rPr>
        <w:t>、</w:t>
      </w:r>
      <w:r>
        <w:rPr>
          <w:rFonts w:hint="eastAsia" w:ascii="黑体" w:hAnsi="宋体" w:eastAsia="黑体" w:cs="Arial"/>
          <w:color w:val="auto"/>
          <w:kern w:val="0"/>
          <w:sz w:val="21"/>
          <w:szCs w:val="21"/>
          <w:lang w:val="en-US" w:eastAsia="zh-CN"/>
        </w:rPr>
        <w:t>本标准如涉及专利，应有明确的知识产权说明</w:t>
      </w:r>
      <w:bookmarkEnd w:id="11"/>
    </w:p>
    <w:p w14:paraId="172910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本标准</w:t>
      </w:r>
      <w:r>
        <w:rPr>
          <w:rFonts w:hint="eastAsia" w:ascii="宋体" w:hAnsi="宋体" w:eastAsia="宋体" w:cs="宋体"/>
          <w:color w:val="000000"/>
          <w:kern w:val="0"/>
          <w:sz w:val="21"/>
          <w:szCs w:val="21"/>
          <w:lang w:val="en-US" w:eastAsia="zh-CN" w:bidi="ar"/>
        </w:rPr>
        <w:t>暂不</w:t>
      </w:r>
      <w:r>
        <w:rPr>
          <w:rFonts w:hint="default" w:ascii="宋体" w:hAnsi="宋体" w:eastAsia="宋体" w:cs="宋体"/>
          <w:color w:val="000000"/>
          <w:kern w:val="0"/>
          <w:sz w:val="21"/>
          <w:szCs w:val="21"/>
          <w:lang w:val="en-US" w:eastAsia="zh-CN" w:bidi="ar"/>
        </w:rPr>
        <w:t>涉及专利。</w:t>
      </w:r>
    </w:p>
    <w:p w14:paraId="6D1EE5C7">
      <w:pPr>
        <w:pStyle w:val="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0"/>
        <w:rPr>
          <w:rFonts w:hint="default" w:ascii="黑体" w:hAnsi="宋体" w:eastAsia="黑体" w:cs="Arial"/>
          <w:color w:val="auto"/>
          <w:kern w:val="0"/>
          <w:sz w:val="21"/>
          <w:szCs w:val="21"/>
          <w:lang w:val="en-US" w:eastAsia="zh-CN"/>
        </w:rPr>
      </w:pPr>
      <w:bookmarkStart w:id="12" w:name="_Toc22013"/>
      <w:r>
        <w:rPr>
          <w:rFonts w:hint="eastAsia" w:ascii="黑体" w:eastAsia="黑体" w:cs="Arial"/>
          <w:color w:val="auto"/>
          <w:kern w:val="0"/>
          <w:sz w:val="21"/>
          <w:szCs w:val="21"/>
          <w:lang w:val="en-US" w:eastAsia="zh-CN" w:bidi="ar-SA"/>
        </w:rPr>
        <w:t>六</w:t>
      </w:r>
      <w:r>
        <w:rPr>
          <w:rFonts w:hint="eastAsia" w:ascii="黑体" w:hAnsi="宋体" w:eastAsia="黑体" w:cs="Arial"/>
          <w:color w:val="auto"/>
          <w:kern w:val="0"/>
          <w:sz w:val="21"/>
          <w:szCs w:val="21"/>
          <w:lang w:val="en-US" w:eastAsia="zh-CN" w:bidi="ar-SA"/>
        </w:rPr>
        <w:t>、</w:t>
      </w:r>
      <w:r>
        <w:rPr>
          <w:rFonts w:hint="eastAsia" w:ascii="黑体" w:hAnsi="宋体" w:eastAsia="黑体" w:cs="Arial"/>
          <w:color w:val="auto"/>
          <w:kern w:val="0"/>
          <w:sz w:val="21"/>
          <w:szCs w:val="21"/>
          <w:lang w:val="en-US" w:eastAsia="zh-CN"/>
        </w:rPr>
        <w:t>采用国际标准或国外先进标准的对比情况</w:t>
      </w:r>
      <w:bookmarkEnd w:id="12"/>
    </w:p>
    <w:p w14:paraId="265F3C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未标准没有国际标准可以采用。</w:t>
      </w:r>
    </w:p>
    <w:p w14:paraId="52C59356">
      <w:pPr>
        <w:spacing w:after="0" w:line="360" w:lineRule="auto"/>
        <w:ind w:firstLine="420" w:firstLineChars="200"/>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pP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本标准制订过程中未查到同类国际、国外标准。</w:t>
      </w:r>
    </w:p>
    <w:p w14:paraId="03738A12">
      <w:pPr>
        <w:pStyle w:val="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0"/>
        <w:rPr>
          <w:rFonts w:hint="default" w:ascii="黑体" w:hAnsi="宋体" w:eastAsia="黑体" w:cs="Arial"/>
          <w:color w:val="auto"/>
          <w:kern w:val="0"/>
          <w:sz w:val="21"/>
          <w:szCs w:val="21"/>
          <w:lang w:val="en-US" w:eastAsia="zh-CN"/>
        </w:rPr>
      </w:pPr>
      <w:bookmarkStart w:id="13" w:name="_Toc24149"/>
      <w:r>
        <w:rPr>
          <w:rFonts w:hint="eastAsia" w:ascii="黑体" w:eastAsia="黑体" w:cs="Arial"/>
          <w:color w:val="auto"/>
          <w:kern w:val="0"/>
          <w:sz w:val="21"/>
          <w:szCs w:val="21"/>
          <w:lang w:val="en-US" w:eastAsia="zh-CN" w:bidi="ar-SA"/>
        </w:rPr>
        <w:t>七</w:t>
      </w:r>
      <w:r>
        <w:rPr>
          <w:rFonts w:hint="eastAsia" w:ascii="黑体" w:hAnsi="宋体" w:eastAsia="黑体" w:cs="Arial"/>
          <w:color w:val="auto"/>
          <w:kern w:val="0"/>
          <w:sz w:val="21"/>
          <w:szCs w:val="21"/>
          <w:lang w:val="en-US" w:eastAsia="zh-CN" w:bidi="ar-SA"/>
        </w:rPr>
        <w:t>、</w:t>
      </w:r>
      <w:r>
        <w:rPr>
          <w:rFonts w:hint="eastAsia" w:ascii="黑体" w:hAnsi="宋体" w:eastAsia="黑体" w:cs="Arial"/>
          <w:color w:val="auto"/>
          <w:kern w:val="0"/>
          <w:sz w:val="21"/>
          <w:szCs w:val="21"/>
          <w:lang w:val="en-US" w:eastAsia="zh-CN"/>
        </w:rPr>
        <w:t>与现行法律、法规、强制性国家标准及相关标准协调配套情况</w:t>
      </w:r>
      <w:bookmarkEnd w:id="13"/>
    </w:p>
    <w:p w14:paraId="0FE874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本标准与现行法律、法规、规章和相关标准协调一致，标准的格式和表达方式等方面完全执行了现行的国家标准和有关法规，符合GB/T 1.1的有关要求。</w:t>
      </w:r>
    </w:p>
    <w:p w14:paraId="3B99F794">
      <w:pPr>
        <w:pStyle w:val="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0"/>
        <w:rPr>
          <w:rFonts w:hint="eastAsia" w:ascii="黑体" w:hAnsi="宋体" w:eastAsia="黑体" w:cs="Arial"/>
          <w:color w:val="auto"/>
          <w:kern w:val="0"/>
          <w:sz w:val="21"/>
          <w:szCs w:val="21"/>
          <w:lang w:val="en-US" w:eastAsia="zh-CN"/>
        </w:rPr>
      </w:pPr>
      <w:bookmarkStart w:id="14" w:name="_Toc3447"/>
      <w:r>
        <w:rPr>
          <w:rFonts w:hint="eastAsia" w:ascii="黑体" w:eastAsia="黑体" w:cs="Arial"/>
          <w:color w:val="auto"/>
          <w:kern w:val="0"/>
          <w:sz w:val="21"/>
          <w:szCs w:val="21"/>
          <w:lang w:val="en-US" w:eastAsia="zh-CN" w:bidi="ar-SA"/>
        </w:rPr>
        <w:t>八</w:t>
      </w:r>
      <w:r>
        <w:rPr>
          <w:rFonts w:hint="eastAsia" w:ascii="黑体" w:hAnsi="宋体" w:eastAsia="黑体" w:cs="Arial"/>
          <w:color w:val="auto"/>
          <w:kern w:val="0"/>
          <w:sz w:val="21"/>
          <w:szCs w:val="21"/>
          <w:lang w:val="en-US" w:eastAsia="zh-CN" w:bidi="ar-SA"/>
        </w:rPr>
        <w:t>、</w:t>
      </w:r>
      <w:r>
        <w:rPr>
          <w:rFonts w:hint="eastAsia" w:ascii="黑体" w:hAnsi="宋体" w:eastAsia="黑体" w:cs="Arial"/>
          <w:color w:val="auto"/>
          <w:kern w:val="0"/>
          <w:sz w:val="21"/>
          <w:szCs w:val="21"/>
          <w:lang w:val="en-US" w:eastAsia="zh-CN"/>
        </w:rPr>
        <w:t>重大分歧意见的处理经过和依据</w:t>
      </w:r>
      <w:bookmarkEnd w:id="14"/>
    </w:p>
    <w:p w14:paraId="5C491FA0">
      <w:pPr>
        <w:spacing w:after="0" w:line="360" w:lineRule="auto"/>
        <w:ind w:firstLine="420" w:firstLineChars="200"/>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pP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本标准未产生重大分歧意见。</w:t>
      </w:r>
    </w:p>
    <w:p w14:paraId="751B6373">
      <w:pPr>
        <w:pStyle w:val="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0"/>
        <w:rPr>
          <w:rFonts w:hint="eastAsia" w:ascii="黑体" w:hAnsi="宋体" w:eastAsia="黑体" w:cs="Arial"/>
          <w:color w:val="auto"/>
          <w:kern w:val="0"/>
          <w:sz w:val="21"/>
          <w:szCs w:val="21"/>
          <w:lang w:val="en-US" w:eastAsia="zh-CN"/>
        </w:rPr>
      </w:pPr>
      <w:bookmarkStart w:id="15" w:name="_Toc10368"/>
      <w:r>
        <w:rPr>
          <w:rFonts w:hint="eastAsia" w:ascii="黑体" w:eastAsia="黑体" w:cs="Arial"/>
          <w:color w:val="auto"/>
          <w:kern w:val="0"/>
          <w:sz w:val="21"/>
          <w:szCs w:val="21"/>
          <w:lang w:val="en-US" w:eastAsia="zh-CN" w:bidi="ar-SA"/>
        </w:rPr>
        <w:t>九</w:t>
      </w:r>
      <w:r>
        <w:rPr>
          <w:rFonts w:hint="eastAsia" w:ascii="黑体" w:hAnsi="宋体" w:eastAsia="黑体" w:cs="Arial"/>
          <w:color w:val="auto"/>
          <w:kern w:val="0"/>
          <w:sz w:val="21"/>
          <w:szCs w:val="21"/>
          <w:lang w:val="en-US" w:eastAsia="zh-CN" w:bidi="ar-SA"/>
        </w:rPr>
        <w:t>、</w:t>
      </w:r>
      <w:r>
        <w:rPr>
          <w:rFonts w:hint="eastAsia" w:ascii="黑体" w:hAnsi="宋体" w:eastAsia="黑体" w:cs="Arial"/>
          <w:color w:val="auto"/>
          <w:kern w:val="0"/>
          <w:sz w:val="21"/>
          <w:szCs w:val="21"/>
          <w:lang w:val="en-US" w:eastAsia="zh-CN"/>
        </w:rPr>
        <w:t>标准性质的建议说明</w:t>
      </w:r>
      <w:bookmarkEnd w:id="15"/>
    </w:p>
    <w:p w14:paraId="1B3586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根据标准化法和有关规定，建议本标准的性质为推荐性行业标准。</w:t>
      </w:r>
    </w:p>
    <w:p w14:paraId="72928E39">
      <w:pPr>
        <w:pStyle w:val="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0"/>
        <w:rPr>
          <w:rFonts w:hint="eastAsia" w:ascii="黑体" w:hAnsi="宋体" w:eastAsia="黑体" w:cs="Arial"/>
          <w:color w:val="auto"/>
          <w:kern w:val="0"/>
          <w:sz w:val="21"/>
          <w:szCs w:val="21"/>
          <w:lang w:val="en-US" w:eastAsia="zh-CN"/>
        </w:rPr>
      </w:pPr>
      <w:bookmarkStart w:id="16" w:name="_Toc6986"/>
      <w:r>
        <w:rPr>
          <w:rFonts w:hint="eastAsia" w:ascii="黑体" w:eastAsia="黑体" w:cs="Arial"/>
          <w:color w:val="auto"/>
          <w:kern w:val="0"/>
          <w:sz w:val="21"/>
          <w:szCs w:val="21"/>
          <w:lang w:val="en-US" w:eastAsia="zh-CN" w:bidi="ar-SA"/>
        </w:rPr>
        <w:t>十</w:t>
      </w:r>
      <w:r>
        <w:rPr>
          <w:rFonts w:hint="eastAsia" w:ascii="黑体" w:hAnsi="宋体" w:eastAsia="黑体" w:cs="Arial"/>
          <w:color w:val="auto"/>
          <w:kern w:val="0"/>
          <w:sz w:val="21"/>
          <w:szCs w:val="21"/>
          <w:lang w:val="en-US" w:eastAsia="zh-CN" w:bidi="ar-SA"/>
        </w:rPr>
        <w:t>、</w:t>
      </w:r>
      <w:r>
        <w:rPr>
          <w:rFonts w:hint="eastAsia" w:ascii="黑体" w:hAnsi="宋体" w:eastAsia="黑体" w:cs="Arial"/>
          <w:color w:val="auto"/>
          <w:kern w:val="0"/>
          <w:sz w:val="21"/>
          <w:szCs w:val="21"/>
          <w:lang w:val="en-US" w:eastAsia="zh-CN"/>
        </w:rPr>
        <w:t>贯彻标准的要求和措施建议</w:t>
      </w:r>
      <w:bookmarkEnd w:id="16"/>
    </w:p>
    <w:p w14:paraId="177FC7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本标准的内容是推荐性的，建议标准发布后即可实施，建议本标准由各级人民政府的工业和信息化行政主管部门负责监督实施。</w:t>
      </w:r>
    </w:p>
    <w:p w14:paraId="5FC0CA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本标准制定的内容不仅与生产企业有关，而且与评估机构、行业监督管理部门等相关，对于标准使用过程中容易出现的问题，起草单位有义务进行必要的解释。</w:t>
      </w:r>
    </w:p>
    <w:p w14:paraId="0F1EE6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建议各级工信部门组织开展标准宣贯培训，指导企业准确理解和应用标准；鼓励行业协会、科研院所搭建标准交流平台，分享标准应用案例；支持第三方机构开展标准符合性评估，推动标准落地实施。</w:t>
      </w:r>
    </w:p>
    <w:p w14:paraId="03FBF0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黑体" w:hAnsi="宋体" w:eastAsia="黑体" w:cs="Arial"/>
          <w:color w:val="auto"/>
          <w:kern w:val="0"/>
          <w:sz w:val="21"/>
          <w:szCs w:val="21"/>
          <w:lang w:val="en-US" w:eastAsia="zh-CN"/>
        </w:rPr>
      </w:pPr>
      <w:r>
        <w:rPr>
          <w:rFonts w:hint="eastAsia" w:ascii="黑体" w:eastAsia="黑体" w:cs="Arial"/>
          <w:color w:val="auto"/>
          <w:kern w:val="0"/>
          <w:sz w:val="21"/>
          <w:szCs w:val="21"/>
          <w:lang w:val="en-US" w:eastAsia="zh-CN" w:bidi="ar-SA"/>
        </w:rPr>
        <w:t>十一</w:t>
      </w:r>
      <w:r>
        <w:rPr>
          <w:rFonts w:hint="eastAsia" w:ascii="黑体" w:hAnsi="宋体" w:eastAsia="黑体" w:cs="Arial"/>
          <w:color w:val="auto"/>
          <w:kern w:val="0"/>
          <w:sz w:val="21"/>
          <w:szCs w:val="21"/>
          <w:lang w:val="en-US" w:eastAsia="zh-CN" w:bidi="ar-SA"/>
        </w:rPr>
        <w:t>、</w:t>
      </w:r>
      <w:r>
        <w:rPr>
          <w:rFonts w:hint="eastAsia" w:ascii="黑体" w:hAnsi="宋体" w:eastAsia="黑体" w:cs="Arial"/>
          <w:color w:val="auto"/>
          <w:kern w:val="0"/>
          <w:sz w:val="21"/>
          <w:szCs w:val="21"/>
          <w:lang w:val="en-US" w:eastAsia="zh-CN"/>
        </w:rPr>
        <w:t>废止现行有关标准的建议</w:t>
      </w:r>
    </w:p>
    <w:p w14:paraId="165C5D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本标准为首次制定，无代替标准。</w:t>
      </w:r>
    </w:p>
    <w:p w14:paraId="4F888122">
      <w:pPr>
        <w:pStyle w:val="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0"/>
        <w:rPr>
          <w:rFonts w:hint="default" w:ascii="黑体" w:hAnsi="宋体" w:eastAsia="黑体" w:cs="Arial"/>
          <w:color w:val="auto"/>
          <w:kern w:val="0"/>
          <w:sz w:val="21"/>
          <w:szCs w:val="21"/>
          <w:lang w:val="en-US" w:eastAsia="zh-CN"/>
        </w:rPr>
      </w:pPr>
      <w:bookmarkStart w:id="17" w:name="_Toc32678"/>
      <w:r>
        <w:rPr>
          <w:rFonts w:hint="eastAsia" w:ascii="黑体" w:eastAsia="黑体" w:cs="Arial"/>
          <w:color w:val="auto"/>
          <w:kern w:val="0"/>
          <w:sz w:val="21"/>
          <w:szCs w:val="21"/>
          <w:lang w:val="en-US" w:eastAsia="zh-CN" w:bidi="ar-SA"/>
        </w:rPr>
        <w:t>十二</w:t>
      </w:r>
      <w:r>
        <w:rPr>
          <w:rFonts w:hint="eastAsia" w:ascii="黑体" w:hAnsi="宋体" w:eastAsia="黑体" w:cs="Arial"/>
          <w:color w:val="auto"/>
          <w:kern w:val="0"/>
          <w:sz w:val="21"/>
          <w:szCs w:val="21"/>
          <w:lang w:val="en-US" w:eastAsia="zh-CN" w:bidi="ar-SA"/>
        </w:rPr>
        <w:t>、</w:t>
      </w:r>
      <w:r>
        <w:rPr>
          <w:rFonts w:hint="eastAsia" w:ascii="黑体" w:hAnsi="宋体" w:eastAsia="黑体" w:cs="Arial"/>
          <w:color w:val="auto"/>
          <w:kern w:val="0"/>
          <w:sz w:val="21"/>
          <w:szCs w:val="21"/>
          <w:lang w:val="en-US" w:eastAsia="zh-CN"/>
        </w:rPr>
        <w:t>其他应予说明的事项</w:t>
      </w:r>
      <w:bookmarkEnd w:id="17"/>
    </w:p>
    <w:p w14:paraId="4A7BB6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本标准无其他应予说明的事项。</w:t>
      </w:r>
    </w:p>
    <w:p w14:paraId="68C1077A">
      <w:pPr>
        <w:pStyle w:val="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Chars="0" w:right="0" w:rightChars="0"/>
        <w:jc w:val="both"/>
        <w:textAlignment w:val="auto"/>
        <w:outlineLvl w:val="0"/>
        <w:rPr>
          <w:rFonts w:hint="default" w:ascii="黑体" w:hAnsi="宋体" w:eastAsia="黑体" w:cs="Arial"/>
          <w:color w:val="auto"/>
          <w:kern w:val="0"/>
          <w:sz w:val="21"/>
          <w:szCs w:val="21"/>
          <w:lang w:val="en-US" w:eastAsia="zh-CN"/>
        </w:rPr>
      </w:pPr>
    </w:p>
    <w:p w14:paraId="51F47FE8">
      <w:pPr>
        <w:pStyle w:val="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outlineLvl w:val="0"/>
        <w:rPr>
          <w:rFonts w:hint="default" w:ascii="黑体" w:hAnsi="宋体" w:eastAsia="黑体" w:cs="Arial"/>
          <w:b w:val="0"/>
          <w:bCs w:val="0"/>
          <w:color w:val="auto"/>
          <w:kern w:val="0"/>
          <w:sz w:val="21"/>
          <w:szCs w:val="21"/>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8F9C45"/>
    <w:multiLevelType w:val="singleLevel"/>
    <w:tmpl w:val="958F9C45"/>
    <w:lvl w:ilvl="0" w:tentative="0">
      <w:start w:val="3"/>
      <w:numFmt w:val="chineseCounting"/>
      <w:suff w:val="nothing"/>
      <w:lvlText w:val="%1、"/>
      <w:lvlJc w:val="left"/>
      <w:rPr>
        <w:rFonts w:hint="eastAsia"/>
      </w:rPr>
    </w:lvl>
  </w:abstractNum>
  <w:abstractNum w:abstractNumId="1">
    <w:nsid w:val="F9651882"/>
    <w:multiLevelType w:val="singleLevel"/>
    <w:tmpl w:val="F9651882"/>
    <w:lvl w:ilvl="0" w:tentative="0">
      <w:start w:val="1"/>
      <w:numFmt w:val="decimal"/>
      <w:suff w:val="nothing"/>
      <w:lvlText w:val="（%1）"/>
      <w:lvlJc w:val="left"/>
      <w:pPr>
        <w:ind w:left="120" w:leftChars="0" w:firstLine="0" w:firstLineChars="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939"/>
    <w:rsid w:val="00014643"/>
    <w:rsid w:val="001E3900"/>
    <w:rsid w:val="00204B35"/>
    <w:rsid w:val="00214939"/>
    <w:rsid w:val="00215264"/>
    <w:rsid w:val="00222A2F"/>
    <w:rsid w:val="0024662D"/>
    <w:rsid w:val="00335BF2"/>
    <w:rsid w:val="003560F4"/>
    <w:rsid w:val="00374E5C"/>
    <w:rsid w:val="003D4852"/>
    <w:rsid w:val="00411EA9"/>
    <w:rsid w:val="005257BE"/>
    <w:rsid w:val="005336CD"/>
    <w:rsid w:val="005A5C90"/>
    <w:rsid w:val="005B3BCB"/>
    <w:rsid w:val="0062275E"/>
    <w:rsid w:val="006B2A14"/>
    <w:rsid w:val="006F387B"/>
    <w:rsid w:val="00714A76"/>
    <w:rsid w:val="00723694"/>
    <w:rsid w:val="007271DD"/>
    <w:rsid w:val="00785EB4"/>
    <w:rsid w:val="007B7783"/>
    <w:rsid w:val="007D3148"/>
    <w:rsid w:val="00813746"/>
    <w:rsid w:val="00843857"/>
    <w:rsid w:val="008A146A"/>
    <w:rsid w:val="009806AC"/>
    <w:rsid w:val="009C69E7"/>
    <w:rsid w:val="00A32A58"/>
    <w:rsid w:val="00A464D8"/>
    <w:rsid w:val="00AA0233"/>
    <w:rsid w:val="00AA4C92"/>
    <w:rsid w:val="00AD20B0"/>
    <w:rsid w:val="00AD247A"/>
    <w:rsid w:val="00B44D54"/>
    <w:rsid w:val="00B82E94"/>
    <w:rsid w:val="00C55F9E"/>
    <w:rsid w:val="00C9182E"/>
    <w:rsid w:val="00C934EB"/>
    <w:rsid w:val="00C95B97"/>
    <w:rsid w:val="00CC1B08"/>
    <w:rsid w:val="00CD6F4E"/>
    <w:rsid w:val="00CE231E"/>
    <w:rsid w:val="00D212AE"/>
    <w:rsid w:val="00D63679"/>
    <w:rsid w:val="00D72E67"/>
    <w:rsid w:val="00DB40E7"/>
    <w:rsid w:val="00E10D00"/>
    <w:rsid w:val="00E303A3"/>
    <w:rsid w:val="00F461DE"/>
    <w:rsid w:val="00FC30D8"/>
    <w:rsid w:val="00FE1854"/>
    <w:rsid w:val="086C13EE"/>
    <w:rsid w:val="087F5A5E"/>
    <w:rsid w:val="08884521"/>
    <w:rsid w:val="0CAD35ED"/>
    <w:rsid w:val="115250C8"/>
    <w:rsid w:val="13E03D96"/>
    <w:rsid w:val="191423C7"/>
    <w:rsid w:val="29662153"/>
    <w:rsid w:val="29B2650A"/>
    <w:rsid w:val="2D767C21"/>
    <w:rsid w:val="2DCF07EA"/>
    <w:rsid w:val="36435A6D"/>
    <w:rsid w:val="3A5C0EAC"/>
    <w:rsid w:val="447D65EE"/>
    <w:rsid w:val="564877C0"/>
    <w:rsid w:val="568E6439"/>
    <w:rsid w:val="5D9E1D78"/>
    <w:rsid w:val="6035028C"/>
    <w:rsid w:val="69D00DEB"/>
    <w:rsid w:val="6BA570F6"/>
    <w:rsid w:val="6FEC1D57"/>
    <w:rsid w:val="70CE7FE3"/>
    <w:rsid w:val="AFF7680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rPr>
      <w:rFonts w:eastAsia="仿宋_GB2312"/>
    </w:rPr>
  </w:style>
  <w:style w:type="paragraph" w:styleId="5">
    <w:name w:val="footer"/>
    <w:basedOn w:val="1"/>
    <w:link w:val="15"/>
    <w:unhideWhenUsed/>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unhideWhenUsed/>
    <w:uiPriority w:val="39"/>
  </w:style>
  <w:style w:type="paragraph" w:styleId="8">
    <w:name w:val="toc 2"/>
    <w:basedOn w:val="1"/>
    <w:next w:val="1"/>
    <w:semiHidden/>
    <w:unhideWhenUsed/>
    <w:uiPriority w:val="39"/>
    <w:pPr>
      <w:ind w:left="420" w:leftChars="200"/>
    </w:pPr>
  </w:style>
  <w:style w:type="paragraph" w:styleId="9">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Strong"/>
    <w:basedOn w:val="11"/>
    <w:qFormat/>
    <w:uiPriority w:val="22"/>
    <w:rPr>
      <w:b/>
    </w:rPr>
  </w:style>
  <w:style w:type="character" w:styleId="13">
    <w:name w:val="Hyperlink"/>
    <w:basedOn w:val="11"/>
    <w:semiHidden/>
    <w:unhideWhenUsed/>
    <w:qFormat/>
    <w:uiPriority w:val="99"/>
    <w:rPr>
      <w:color w:val="0000FF"/>
      <w:u w:val="single"/>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paragraph" w:styleId="16">
    <w:name w:val="List Paragraph"/>
    <w:basedOn w:val="1"/>
    <w:qFormat/>
    <w:uiPriority w:val="34"/>
    <w:pPr>
      <w:spacing w:line="360" w:lineRule="auto"/>
      <w:ind w:firstLine="420" w:firstLineChars="200"/>
    </w:pPr>
    <w:rPr>
      <w:rFonts w:ascii="Arial" w:hAnsi="Arial" w:eastAsia="宋体" w:cs="Times New Roman"/>
      <w:szCs w:val="24"/>
    </w:rPr>
  </w:style>
  <w:style w:type="paragraph" w:customStyle="1" w:styleId="17">
    <w:name w:val="章标题"/>
    <w:next w:val="18"/>
    <w:qFormat/>
    <w:uiPriority w:val="0"/>
    <w:pPr>
      <w:spacing w:beforeLines="50" w:afterLines="50"/>
      <w:jc w:val="both"/>
      <w:outlineLvl w:val="1"/>
    </w:pPr>
    <w:rPr>
      <w:rFonts w:ascii="黑体" w:hAnsi="Times New Roman" w:eastAsia="黑体" w:cs="Times New Roman"/>
      <w:sz w:val="21"/>
      <w:lang w:val="en-US" w:eastAsia="zh-CN" w:bidi="ar-SA"/>
    </w:rPr>
  </w:style>
  <w:style w:type="paragraph" w:customStyle="1" w:styleId="1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4192</Words>
  <Characters>4390</Characters>
  <Lines>14</Lines>
  <Paragraphs>4</Paragraphs>
  <TotalTime>1</TotalTime>
  <ScaleCrop>false</ScaleCrop>
  <LinksUpToDate>false</LinksUpToDate>
  <CharactersWithSpaces>4454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2023-05-13T17:23:00Z</dcterms:created>
  <dc:creator>王亚东</dc:creator>
  <cp:lastModifiedBy>一&amp;笑</cp:lastModifiedBy>
  <dcterms:modified xsi:type="dcterms:W3CDTF">2026-01-16T13:02:06Z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eyJoZGlkIjoiYzUzMTMzZmVmNjQ0ZTM4M2M4M2QxYmQzNmJjOGNhMGMiLCJ1c2VySWQiOiI0NDY0MTkzNzYifQ==</vt:lpwstr>
  </property>
  <property fmtid="{D5CDD505-2E9C-101B-9397-08002B2CF9AE}" pid="3" name="KSOProductBuildVer">
    <vt:lpwstr>2052-12.1.0.24657</vt:lpwstr>
  </property>
  <property fmtid="{D5CDD505-2E9C-101B-9397-08002B2CF9AE}" pid="4" name="ICV">
    <vt:lpwstr>AD9C67334CF54CB7945DE0A7315EA9BB_12</vt:lpwstr>
  </property>
</Properties>
</file>