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74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568"/>
        <w:gridCol w:w="4652"/>
        <w:gridCol w:w="2043"/>
        <w:gridCol w:w="4121"/>
        <w:gridCol w:w="1071"/>
      </w:tblGrid>
      <w:tr w:rsidR="00523A8E">
        <w:trPr>
          <w:trHeight w:val="450"/>
          <w:jc w:val="right"/>
        </w:trPr>
        <w:tc>
          <w:tcPr>
            <w:tcW w:w="14174" w:type="dxa"/>
            <w:gridSpan w:val="6"/>
            <w:tcBorders>
              <w:tl2br w:val="nil"/>
              <w:tr2bl w:val="nil"/>
            </w:tcBorders>
            <w:shd w:val="clear" w:color="auto" w:fill="auto"/>
            <w:vAlign w:val="bottom"/>
          </w:tcPr>
          <w:p w:rsidR="00523A8E" w:rsidRDefault="00E62C11">
            <w:pPr>
              <w:widowControl/>
              <w:jc w:val="left"/>
              <w:textAlignment w:val="bottom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  <w:lang w:bidi="ar"/>
              </w:rPr>
              <w:t xml:space="preserve">                                                 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  <w:lang w:bidi="ar"/>
              </w:rPr>
              <w:t>标准征求意见稿意见汇总处理表</w:t>
            </w:r>
          </w:p>
        </w:tc>
      </w:tr>
      <w:tr w:rsidR="00523A8E">
        <w:trPr>
          <w:trHeight w:val="90"/>
          <w:jc w:val="right"/>
        </w:trPr>
        <w:tc>
          <w:tcPr>
            <w:tcW w:w="14174" w:type="dxa"/>
            <w:gridSpan w:val="6"/>
            <w:tcBorders>
              <w:tl2br w:val="nil"/>
              <w:tr2bl w:val="nil"/>
            </w:tcBorders>
            <w:shd w:val="clear" w:color="auto" w:fill="auto"/>
            <w:vAlign w:val="bottom"/>
          </w:tcPr>
          <w:p w:rsidR="00523A8E" w:rsidRDefault="00E62C11">
            <w:pPr>
              <w:widowControl/>
              <w:jc w:val="left"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标准项</w:t>
            </w:r>
            <w:r>
              <w:rPr>
                <w:rFonts w:ascii="宋体" w:hAnsi="宋体" w:cs="宋体" w:hint="eastAsia"/>
                <w:szCs w:val="21"/>
                <w:lang w:bidi="ar"/>
              </w:rPr>
              <w:t>目名称：</w:t>
            </w:r>
            <w:r>
              <w:rPr>
                <w:rFonts w:ascii="宋体" w:hAnsi="宋体" w:cs="宋体" w:hint="eastAsia"/>
                <w:szCs w:val="21"/>
                <w:lang w:bidi="ar"/>
              </w:rPr>
              <w:t>氧压浸出炼锌氧压釜温度智能监控技术要求</w:t>
            </w:r>
            <w:r>
              <w:rPr>
                <w:rFonts w:ascii="宋体" w:hAnsi="宋体" w:cs="宋体" w:hint="eastAsia"/>
                <w:szCs w:val="21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  <w:lang w:bidi="ar"/>
              </w:rPr>
              <w:t xml:space="preserve">        </w:t>
            </w:r>
            <w:r>
              <w:rPr>
                <w:rFonts w:ascii="宋体" w:hAnsi="宋体" w:cs="宋体" w:hint="eastAsia"/>
                <w:szCs w:val="21"/>
                <w:lang w:bidi="ar"/>
              </w:rPr>
              <w:t xml:space="preserve">      </w:t>
            </w:r>
            <w:r>
              <w:rPr>
                <w:rFonts w:ascii="宋体" w:hAnsi="宋体" w:cs="宋体" w:hint="eastAsia"/>
                <w:szCs w:val="21"/>
                <w:lang w:bidi="ar"/>
              </w:rPr>
              <w:t>承办人</w:t>
            </w:r>
            <w:r>
              <w:rPr>
                <w:szCs w:val="21"/>
                <w:lang w:bidi="ar"/>
              </w:rPr>
              <w:t>：</w:t>
            </w:r>
            <w:r>
              <w:rPr>
                <w:rFonts w:hint="eastAsia"/>
              </w:rPr>
              <w:t>章怡萌</w:t>
            </w:r>
            <w:r>
              <w:rPr>
                <w:rFonts w:hint="eastAsia"/>
                <w:szCs w:val="21"/>
                <w:lang w:bidi="ar"/>
              </w:rPr>
              <w:t xml:space="preserve">                            </w:t>
            </w:r>
            <w:r>
              <w:rPr>
                <w:rFonts w:hint="eastAsia"/>
                <w:szCs w:val="21"/>
                <w:lang w:bidi="ar"/>
              </w:rPr>
              <w:t>共</w:t>
            </w:r>
            <w:r>
              <w:rPr>
                <w:rFonts w:hint="eastAsia"/>
                <w:szCs w:val="21"/>
                <w:lang w:bidi="ar"/>
              </w:rPr>
              <w:t>7</w:t>
            </w:r>
            <w:r>
              <w:rPr>
                <w:rFonts w:hint="eastAsia"/>
                <w:szCs w:val="21"/>
                <w:lang w:bidi="ar"/>
              </w:rPr>
              <w:t>页</w:t>
            </w:r>
            <w:r>
              <w:rPr>
                <w:rFonts w:hint="eastAsia"/>
                <w:szCs w:val="21"/>
                <w:lang w:bidi="ar"/>
              </w:rPr>
              <w:t xml:space="preserve">  </w:t>
            </w:r>
            <w:r>
              <w:rPr>
                <w:rFonts w:hint="eastAsia"/>
                <w:szCs w:val="21"/>
                <w:lang w:bidi="ar"/>
              </w:rPr>
              <w:t>第</w:t>
            </w:r>
            <w:r>
              <w:rPr>
                <w:rFonts w:hint="eastAsia"/>
                <w:szCs w:val="21"/>
                <w:lang w:bidi="ar"/>
              </w:rPr>
              <w:t xml:space="preserve">  </w:t>
            </w:r>
            <w:r>
              <w:rPr>
                <w:rFonts w:hint="eastAsia"/>
                <w:szCs w:val="21"/>
                <w:lang w:bidi="ar"/>
              </w:rPr>
              <w:t>页</w:t>
            </w:r>
            <w:r>
              <w:rPr>
                <w:rFonts w:hint="eastAsia"/>
                <w:szCs w:val="21"/>
                <w:lang w:bidi="ar"/>
              </w:rPr>
              <w:t xml:space="preserve">     </w:t>
            </w:r>
            <w:r>
              <w:rPr>
                <w:rFonts w:ascii="宋体" w:hAnsi="宋体" w:cs="宋体" w:hint="eastAsia"/>
                <w:szCs w:val="21"/>
                <w:lang w:bidi="ar"/>
              </w:rPr>
              <w:t xml:space="preserve">      </w:t>
            </w:r>
            <w:r>
              <w:rPr>
                <w:rFonts w:ascii="宋体" w:hAnsi="宋体" w:cs="宋体" w:hint="eastAsia"/>
                <w:szCs w:val="21"/>
                <w:lang w:bidi="ar"/>
              </w:rPr>
              <w:t xml:space="preserve">          </w:t>
            </w:r>
          </w:p>
        </w:tc>
      </w:tr>
      <w:tr w:rsidR="00523A8E">
        <w:trPr>
          <w:trHeight w:val="420"/>
          <w:jc w:val="right"/>
        </w:trPr>
        <w:tc>
          <w:tcPr>
            <w:tcW w:w="14174" w:type="dxa"/>
            <w:gridSpan w:val="6"/>
            <w:tcBorders>
              <w:tl2br w:val="nil"/>
              <w:tr2bl w:val="nil"/>
            </w:tcBorders>
            <w:shd w:val="clear" w:color="auto" w:fill="auto"/>
            <w:vAlign w:val="bottom"/>
          </w:tcPr>
          <w:p w:rsidR="00523A8E" w:rsidRDefault="00E62C11">
            <w:pPr>
              <w:widowControl/>
              <w:textAlignment w:val="bottom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标准项目负责起草单位：</w:t>
            </w:r>
            <w:r>
              <w:rPr>
                <w:rFonts w:hint="eastAsia"/>
              </w:rPr>
              <w:t>云南驰宏锌锗股份有限公司</w:t>
            </w:r>
            <w:r>
              <w:rPr>
                <w:rFonts w:ascii="宋体" w:hAnsi="宋体" w:cs="宋体" w:hint="eastAsia"/>
                <w:szCs w:val="21"/>
                <w:lang w:bidi="ar"/>
              </w:rPr>
              <w:t xml:space="preserve">           </w:t>
            </w:r>
            <w:r>
              <w:rPr>
                <w:rFonts w:ascii="宋体" w:hAnsi="宋体" w:cs="宋体" w:hint="eastAsia"/>
                <w:szCs w:val="21"/>
                <w:lang w:bidi="ar"/>
              </w:rPr>
              <w:t xml:space="preserve">         </w:t>
            </w:r>
            <w:r>
              <w:rPr>
                <w:rFonts w:ascii="宋体" w:hAnsi="宋体" w:cs="宋体" w:hint="eastAsia"/>
                <w:szCs w:val="21"/>
                <w:lang w:bidi="ar"/>
              </w:rPr>
              <w:t>电话：</w:t>
            </w:r>
            <w:r>
              <w:t>19847289352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cs="宋体" w:hint="eastAsia"/>
                <w:szCs w:val="21"/>
                <w:lang w:bidi="ar"/>
              </w:rPr>
              <w:t xml:space="preserve">   </w:t>
            </w:r>
            <w:r>
              <w:rPr>
                <w:szCs w:val="21"/>
                <w:lang w:bidi="ar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  <w:lang w:bidi="ar"/>
              </w:rPr>
              <w:t xml:space="preserve">                   </w:t>
            </w:r>
            <w:r>
              <w:rPr>
                <w:rFonts w:ascii="宋体" w:hAnsi="宋体" w:cs="宋体" w:hint="eastAsia"/>
                <w:szCs w:val="21"/>
                <w:lang w:bidi="ar"/>
              </w:rPr>
              <w:t xml:space="preserve"> 2026</w:t>
            </w:r>
            <w:r>
              <w:rPr>
                <w:rFonts w:ascii="宋体" w:hAnsi="宋体" w:cs="宋体" w:hint="eastAsia"/>
                <w:szCs w:val="21"/>
                <w:lang w:bidi="ar"/>
              </w:rPr>
              <w:t>年</w:t>
            </w:r>
            <w:r>
              <w:rPr>
                <w:rFonts w:ascii="宋体" w:hAnsi="宋体" w:cs="宋体" w:hint="eastAsia"/>
                <w:szCs w:val="21"/>
                <w:lang w:bidi="ar"/>
              </w:rPr>
              <w:t>06</w:t>
            </w:r>
            <w:r>
              <w:rPr>
                <w:rFonts w:ascii="宋体" w:hAnsi="宋体" w:cs="宋体" w:hint="eastAsia"/>
                <w:szCs w:val="21"/>
                <w:lang w:bidi="ar"/>
              </w:rPr>
              <w:t>月</w:t>
            </w:r>
            <w:r>
              <w:rPr>
                <w:rFonts w:ascii="宋体" w:hAnsi="宋体" w:cs="宋体" w:hint="eastAsia"/>
                <w:szCs w:val="21"/>
                <w:lang w:bidi="ar"/>
              </w:rPr>
              <w:t>26</w:t>
            </w:r>
            <w:r>
              <w:rPr>
                <w:rFonts w:ascii="宋体" w:hAnsi="宋体" w:cs="宋体" w:hint="eastAsia"/>
                <w:szCs w:val="21"/>
                <w:lang w:bidi="ar"/>
              </w:rPr>
              <w:t>日填写</w:t>
            </w:r>
          </w:p>
        </w:tc>
      </w:tr>
      <w:tr w:rsidR="00523A8E">
        <w:trPr>
          <w:trHeight w:val="27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序号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标准章条编号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意见内容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提出单位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处理意见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备</w:t>
            </w: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注</w:t>
            </w: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4.2 </w:t>
            </w:r>
            <w:r>
              <w:rPr>
                <w:rFonts w:hint="eastAsia"/>
                <w:szCs w:val="21"/>
              </w:rPr>
              <w:t>网络架构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建议修订图片内容，</w:t>
            </w:r>
            <w:r>
              <w:rPr>
                <w:rFonts w:ascii="宋体" w:hAnsi="宋体" w:cs="宋体"/>
                <w:noProof/>
                <w:szCs w:val="21"/>
              </w:rPr>
              <w:drawing>
                <wp:inline distT="0" distB="0" distL="0" distR="0">
                  <wp:extent cx="3054350" cy="428625"/>
                  <wp:effectExtent l="0" t="0" r="1270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350" cy="4351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23A8E" w:rsidRDefault="00E62C11">
            <w:pPr>
              <w:spacing w:line="360" w:lineRule="auto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</w:rPr>
              <w:t>为如下：</w:t>
            </w:r>
            <w:r>
              <w:rPr>
                <w:rFonts w:ascii="宋体" w:hAnsi="宋体" w:cs="宋体"/>
                <w:szCs w:val="21"/>
              </w:rPr>
              <w:br/>
            </w:r>
            <w:r>
              <w:rPr>
                <w:noProof/>
              </w:rPr>
              <w:drawing>
                <wp:inline distT="0" distB="0" distL="0" distR="0">
                  <wp:extent cx="2874645" cy="801370"/>
                  <wp:effectExtent l="0" t="0" r="1905" b="1778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645" cy="80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云南驰宏国际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hint="eastAsia"/>
                <w:sz w:val="24"/>
              </w:rPr>
              <w:t>锗业有限公司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已修改</w:t>
            </w: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回函有意见的单位</w:t>
            </w: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szCs w:val="21"/>
              </w:rPr>
              <w:t xml:space="preserve">　规范性引用文件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ind w:firstLineChars="200" w:firstLine="420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szCs w:val="20"/>
              </w:rPr>
              <w:t>GB 3836</w:t>
            </w:r>
            <w:r>
              <w:rPr>
                <w:rFonts w:hint="eastAsia"/>
                <w:szCs w:val="20"/>
              </w:rPr>
              <w:t>.1</w:t>
            </w:r>
            <w:r>
              <w:rPr>
                <w:rFonts w:hint="eastAsia"/>
                <w:szCs w:val="20"/>
              </w:rPr>
              <w:t>的</w:t>
            </w:r>
            <w:r>
              <w:rPr>
                <w:rFonts w:hint="eastAsia"/>
                <w:szCs w:val="20"/>
              </w:rPr>
              <w:t>2021</w:t>
            </w:r>
            <w:r>
              <w:rPr>
                <w:rFonts w:hint="eastAsia"/>
                <w:szCs w:val="20"/>
              </w:rPr>
              <w:t>年版已变更为推荐性标准，标准号应改为</w:t>
            </w:r>
            <w:r>
              <w:rPr>
                <w:rFonts w:hint="eastAsia"/>
                <w:szCs w:val="20"/>
              </w:rPr>
              <w:t>GB/T</w:t>
            </w:r>
            <w:r>
              <w:rPr>
                <w:rFonts w:hint="eastAsia"/>
                <w:szCs w:val="20"/>
              </w:rPr>
              <w:t>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昆明有色冶金设计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hint="eastAsia"/>
                <w:szCs w:val="21"/>
              </w:rPr>
              <w:t>研究院股份公司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已修改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黑体" w:hint="eastAsia"/>
                <w:szCs w:val="21"/>
              </w:rPr>
              <w:t>3.2</w:t>
            </w:r>
            <w:r>
              <w:rPr>
                <w:rFonts w:ascii="黑体" w:hint="eastAsia"/>
                <w:szCs w:val="21"/>
              </w:rPr>
              <w:t>氧</w:t>
            </w:r>
            <w:r>
              <w:rPr>
                <w:rFonts w:ascii="黑体"/>
                <w:szCs w:val="21"/>
              </w:rPr>
              <w:t>压釜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ind w:firstLineChars="200" w:firstLine="42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黑体" w:hint="eastAsia"/>
                <w:szCs w:val="21"/>
              </w:rPr>
              <w:t>氧</w:t>
            </w:r>
            <w:r>
              <w:rPr>
                <w:rFonts w:ascii="黑体"/>
                <w:szCs w:val="21"/>
              </w:rPr>
              <w:t>压釜</w:t>
            </w:r>
            <w:r>
              <w:rPr>
                <w:rFonts w:ascii="黑体" w:hint="eastAsia"/>
                <w:szCs w:val="21"/>
              </w:rPr>
              <w:t>英文名建议改为：</w:t>
            </w:r>
            <w:r>
              <w:rPr>
                <w:rFonts w:ascii="黑体"/>
                <w:szCs w:val="21"/>
              </w:rPr>
              <w:t>oxygen autoclave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昆明有色冶金设计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hint="eastAsia"/>
                <w:szCs w:val="21"/>
              </w:rPr>
              <w:t>研究院股份公司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已修改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黑体" w:hint="eastAsia"/>
                <w:szCs w:val="21"/>
              </w:rPr>
              <w:t>6.1.2</w:t>
            </w:r>
            <w:r>
              <w:rPr>
                <w:rFonts w:ascii="黑体" w:hint="eastAsia"/>
                <w:szCs w:val="21"/>
              </w:rPr>
              <w:t>节：</w:t>
            </w:r>
            <w:r>
              <w:rPr>
                <w:rFonts w:ascii="黑体"/>
                <w:szCs w:val="21"/>
              </w:rPr>
              <w:t>表</w:t>
            </w:r>
            <w:r>
              <w:rPr>
                <w:rFonts w:ascii="黑体"/>
                <w:szCs w:val="21"/>
              </w:rPr>
              <w:t>3</w:t>
            </w:r>
            <w:r>
              <w:rPr>
                <w:rFonts w:ascii="黑体"/>
                <w:szCs w:val="21"/>
              </w:rPr>
              <w:t xml:space="preserve">　红外热像仪技术参数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ind w:firstLineChars="200" w:firstLine="42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黑体"/>
                <w:szCs w:val="21"/>
              </w:rPr>
              <w:t>红外热像仪测温精度</w:t>
            </w:r>
            <w:r>
              <w:rPr>
                <w:rFonts w:ascii="黑体" w:hint="eastAsia"/>
                <w:szCs w:val="21"/>
              </w:rPr>
              <w:t>建议改为：</w:t>
            </w:r>
            <w:r>
              <w:rPr>
                <w:rFonts w:ascii="黑体"/>
                <w:szCs w:val="21"/>
              </w:rPr>
              <w:t>±</w:t>
            </w:r>
            <w:r>
              <w:rPr>
                <w:rFonts w:ascii="黑体" w:hint="eastAsia"/>
                <w:szCs w:val="21"/>
              </w:rPr>
              <w:t>1</w:t>
            </w:r>
            <w:r>
              <w:rPr>
                <w:rFonts w:ascii="黑体"/>
                <w:szCs w:val="21"/>
              </w:rPr>
              <w:t>℃</w:t>
            </w:r>
            <w:r>
              <w:rPr>
                <w:rFonts w:ascii="黑体"/>
                <w:szCs w:val="21"/>
              </w:rPr>
              <w:t>或量程</w:t>
            </w:r>
            <w:r>
              <w:rPr>
                <w:rFonts w:ascii="黑体"/>
                <w:szCs w:val="21"/>
              </w:rPr>
              <w:t>±</w:t>
            </w:r>
            <w:r>
              <w:rPr>
                <w:rFonts w:ascii="黑体" w:hint="eastAsia"/>
                <w:szCs w:val="21"/>
              </w:rPr>
              <w:t>1</w:t>
            </w:r>
            <w:r>
              <w:rPr>
                <w:rFonts w:ascii="黑体"/>
                <w:szCs w:val="21"/>
              </w:rPr>
              <w:t>%</w:t>
            </w:r>
            <w:r>
              <w:rPr>
                <w:rFonts w:ascii="黑体"/>
                <w:szCs w:val="21"/>
              </w:rPr>
              <w:t>（取大值）</w:t>
            </w:r>
            <w:r>
              <w:rPr>
                <w:rFonts w:ascii="黑体" w:hint="eastAsia"/>
                <w:szCs w:val="21"/>
              </w:rPr>
              <w:t>；</w:t>
            </w:r>
            <w:r>
              <w:rPr>
                <w:rFonts w:ascii="黑体"/>
                <w:szCs w:val="21"/>
              </w:rPr>
              <w:t>单点取温误差</w:t>
            </w:r>
            <w:r>
              <w:rPr>
                <w:rFonts w:ascii="黑体" w:hint="eastAsia"/>
                <w:szCs w:val="21"/>
              </w:rPr>
              <w:t>建议改为：</w:t>
            </w:r>
            <w:r>
              <w:rPr>
                <w:rFonts w:ascii="黑体"/>
                <w:szCs w:val="21"/>
              </w:rPr>
              <w:t>≤±</w:t>
            </w:r>
            <w:r>
              <w:rPr>
                <w:rFonts w:ascii="黑体" w:hint="eastAsia"/>
                <w:szCs w:val="21"/>
              </w:rPr>
              <w:t>1</w:t>
            </w:r>
            <w:r>
              <w:rPr>
                <w:rFonts w:ascii="黑体"/>
                <w:szCs w:val="21"/>
              </w:rPr>
              <w:t xml:space="preserve"> </w:t>
            </w:r>
            <w:r>
              <w:rPr>
                <w:rFonts w:ascii="黑体"/>
                <w:szCs w:val="21"/>
              </w:rPr>
              <w:t>℃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昆明有色冶金设计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研究院股份公司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未修改：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理由：</w:t>
            </w:r>
            <w:r>
              <w:rPr>
                <w:rFonts w:ascii="宋体" w:hAnsi="宋体" w:cs="宋体"/>
                <w:szCs w:val="21"/>
                <w:lang w:bidi="ar"/>
              </w:rPr>
              <w:t>工业级红外热像仪主流产品测温精度普遍为</w:t>
            </w:r>
            <w:r>
              <w:rPr>
                <w:rFonts w:ascii="宋体" w:hAnsi="宋体" w:cs="宋体"/>
                <w:szCs w:val="21"/>
                <w:lang w:bidi="ar"/>
              </w:rPr>
              <w:t xml:space="preserve"> ±2℃</w:t>
            </w:r>
            <w:r>
              <w:rPr>
                <w:rFonts w:ascii="宋体" w:hAnsi="宋体" w:cs="宋体"/>
                <w:szCs w:val="21"/>
                <w:lang w:bidi="ar"/>
              </w:rPr>
              <w:t>，调整为</w:t>
            </w:r>
            <w:r>
              <w:rPr>
                <w:rFonts w:ascii="宋体" w:hAnsi="宋体" w:cs="宋体"/>
                <w:szCs w:val="21"/>
                <w:lang w:bidi="ar"/>
              </w:rPr>
              <w:t xml:space="preserve"> ±1℃</w:t>
            </w:r>
            <w:r>
              <w:rPr>
                <w:rFonts w:ascii="宋体" w:hAnsi="宋体" w:cs="宋体"/>
                <w:szCs w:val="21"/>
                <w:lang w:bidi="ar"/>
              </w:rPr>
              <w:t>将大幅提升采购成本，且无实际生产必要性。现有</w:t>
            </w:r>
            <w:r>
              <w:rPr>
                <w:rFonts w:ascii="宋体" w:hAnsi="宋体" w:cs="宋体"/>
                <w:szCs w:val="21"/>
                <w:lang w:bidi="ar"/>
              </w:rPr>
              <w:t xml:space="preserve"> ±2℃</w:t>
            </w:r>
            <w:r>
              <w:rPr>
                <w:rFonts w:ascii="宋体" w:hAnsi="宋体" w:cs="宋体"/>
                <w:szCs w:val="21"/>
                <w:lang w:bidi="ar"/>
              </w:rPr>
              <w:t>精度已满足现场巡检、缺陷识别的全部需求，为保证设备选型通用性与经济性，建议维持原精度指标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hint="eastAsia"/>
                <w:szCs w:val="21"/>
              </w:rPr>
              <w:t>6.2</w:t>
            </w:r>
            <w:r>
              <w:rPr>
                <w:rFonts w:hint="eastAsia"/>
                <w:szCs w:val="21"/>
              </w:rPr>
              <w:t>节：</w:t>
            </w:r>
            <w:r>
              <w:rPr>
                <w:szCs w:val="21"/>
              </w:rPr>
              <w:t>表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 xml:space="preserve">　安全连锁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ind w:firstLineChars="200" w:firstLine="42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szCs w:val="21"/>
              </w:rPr>
              <w:t>温升速率＞</w:t>
            </w:r>
            <w:r>
              <w:rPr>
                <w:szCs w:val="21"/>
              </w:rPr>
              <w:t>20 ℃/s</w:t>
            </w:r>
            <w:r>
              <w:rPr>
                <w:rFonts w:hint="eastAsia"/>
                <w:szCs w:val="21"/>
              </w:rPr>
              <w:t>的响应措施建议增加：</w:t>
            </w:r>
            <w:r>
              <w:rPr>
                <w:szCs w:val="21"/>
              </w:rPr>
              <w:t>联动控制系统弹窗报警</w:t>
            </w:r>
            <w:r>
              <w:rPr>
                <w:rFonts w:hint="eastAsia"/>
                <w:szCs w:val="21"/>
              </w:rPr>
              <w:t>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昆明有色冶金设计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研究院股份公司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b/>
                <w:bCs/>
                <w:szCs w:val="21"/>
                <w:highlight w:val="yellow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已修改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lastRenderedPageBreak/>
              <w:t>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szCs w:val="21"/>
              </w:rPr>
              <w:t>9.1</w:t>
            </w:r>
            <w:r>
              <w:rPr>
                <w:szCs w:val="21"/>
              </w:rPr>
              <w:t xml:space="preserve">　防爆要求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ind w:firstLineChars="200" w:firstLine="42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hint="eastAsia"/>
                <w:szCs w:val="21"/>
              </w:rPr>
              <w:t>氧压车间并不属于防爆区域，</w:t>
            </w:r>
            <w:r>
              <w:rPr>
                <w:szCs w:val="21"/>
              </w:rPr>
              <w:t>红外热像仪、电源箱等设备</w:t>
            </w:r>
            <w:r>
              <w:rPr>
                <w:rFonts w:hint="eastAsia"/>
                <w:szCs w:val="21"/>
              </w:rPr>
              <w:t>是否需要采用防爆电气设备？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昆明有色冶金设计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研究院股份公司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已删除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、能否考虑参考常规温度检测的数据，与红外测温数据进行比对，用来校对红外测温数据的准确性和存在的延迟。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中国恩菲工程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技术有限公司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未采纳。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理由：不建议参考常规测温数据来校对红外测温数据的准确和存在的延迟。常规测温获取的温度为单点温度，红外热成像获取的是区域温度，并精准捕捉区域内最高温度值，而常规温度监测无法获取区域内最高温度，无校准意义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、在涉及到连锁动作的红外检测数据，考虑与常规测温数据综合分析，实现连锁动作功能。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中国恩菲工程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技术有限公司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未采纳。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理由：不建议与常规测温数据综合分析，实现连锁动作功能。常规测温数据为单点温度，若被测点温度正常，而故障点非常规测温点，将影响故障的判断。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、由于一般</w:t>
            </w:r>
            <w:r>
              <w:rPr>
                <w:rFonts w:ascii="宋体" w:eastAsia="宋体" w:hAnsi="宋体" w:cs="宋体" w:hint="eastAsia"/>
                <w:szCs w:val="21"/>
              </w:rPr>
              <w:t>DCS</w:t>
            </w:r>
            <w:r>
              <w:rPr>
                <w:rFonts w:ascii="宋体" w:eastAsia="宋体" w:hAnsi="宋体" w:cs="宋体" w:hint="eastAsia"/>
                <w:szCs w:val="21"/>
              </w:rPr>
              <w:t>和现场仪表的</w:t>
            </w:r>
            <w:r>
              <w:rPr>
                <w:rFonts w:ascii="宋体" w:eastAsia="宋体" w:hAnsi="宋体" w:cs="宋体" w:hint="eastAsia"/>
                <w:szCs w:val="21"/>
              </w:rPr>
              <w:t>UPS</w:t>
            </w:r>
            <w:r>
              <w:rPr>
                <w:rFonts w:ascii="宋体" w:eastAsia="宋体" w:hAnsi="宋体" w:cs="宋体" w:hint="eastAsia"/>
                <w:szCs w:val="21"/>
              </w:rPr>
              <w:t>电源的后备时间按照不小于</w:t>
            </w:r>
            <w:r>
              <w:rPr>
                <w:rFonts w:ascii="宋体" w:eastAsia="宋体" w:hAnsi="宋体" w:cs="宋体" w:hint="eastAsia"/>
                <w:szCs w:val="21"/>
              </w:rPr>
              <w:t>30</w:t>
            </w:r>
            <w:r>
              <w:rPr>
                <w:rFonts w:ascii="宋体" w:eastAsia="宋体" w:hAnsi="宋体" w:cs="宋体" w:hint="eastAsia"/>
                <w:szCs w:val="21"/>
              </w:rPr>
              <w:t>分钟考虑，考虑到能否将红外测温系统的供电纳入</w:t>
            </w:r>
            <w:r>
              <w:rPr>
                <w:rFonts w:ascii="宋体" w:eastAsia="宋体" w:hAnsi="宋体" w:cs="宋体" w:hint="eastAsia"/>
                <w:szCs w:val="21"/>
              </w:rPr>
              <w:t>DCS</w:t>
            </w:r>
            <w:r>
              <w:rPr>
                <w:rFonts w:ascii="宋体" w:eastAsia="宋体" w:hAnsi="宋体" w:cs="宋体" w:hint="eastAsia"/>
                <w:szCs w:val="21"/>
              </w:rPr>
              <w:t>和仪表的供电系统，能否考虑将后背时间进行调整，以方便项目的总体供电要求。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中国恩菲工程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技术有限公司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未采纳。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理由：不建议将红外测温系统的供电纳入</w:t>
            </w:r>
            <w:r>
              <w:rPr>
                <w:rFonts w:ascii="宋体" w:hAnsi="宋体" w:cs="宋体" w:hint="eastAsia"/>
                <w:szCs w:val="21"/>
                <w:lang w:bidi="ar"/>
              </w:rPr>
              <w:t>DCS</w:t>
            </w:r>
            <w:r>
              <w:rPr>
                <w:rFonts w:ascii="宋体" w:hAnsi="宋体" w:cs="宋体" w:hint="eastAsia"/>
                <w:szCs w:val="21"/>
                <w:lang w:bidi="ar"/>
              </w:rPr>
              <w:t>和仪表的供电系统。外接热成像设备会新增供电回路、接线节点、外接负载，大幅提升</w:t>
            </w:r>
            <w:r>
              <w:rPr>
                <w:rFonts w:ascii="宋体" w:hAnsi="宋体" w:cs="宋体" w:hint="eastAsia"/>
                <w:szCs w:val="21"/>
                <w:lang w:bidi="ar"/>
              </w:rPr>
              <w:t>UPS</w:t>
            </w:r>
            <w:r>
              <w:rPr>
                <w:rFonts w:ascii="宋体" w:hAnsi="宋体" w:cs="宋体" w:hint="eastAsia"/>
                <w:szCs w:val="21"/>
                <w:lang w:bidi="ar"/>
              </w:rPr>
              <w:t>输出侧故障概率。</w:t>
            </w:r>
            <w:r>
              <w:rPr>
                <w:rFonts w:ascii="宋体" w:hAnsi="宋体" w:cs="宋体" w:hint="eastAsia"/>
                <w:szCs w:val="21"/>
                <w:lang w:bidi="ar"/>
              </w:rPr>
              <w:t>DCS</w:t>
            </w:r>
            <w:r>
              <w:rPr>
                <w:rFonts w:ascii="宋体" w:hAnsi="宋体" w:cs="宋体" w:hint="eastAsia"/>
                <w:szCs w:val="21"/>
                <w:lang w:bidi="ar"/>
              </w:rPr>
              <w:t>系统主要管控生产核心设备，直接关系装置启停、工艺联锁、紧急工况调控，供电优先级最高。两者并用后一旦热成像侧出现短路、漏电、线路故障，极易冲击</w:t>
            </w:r>
            <w:r>
              <w:rPr>
                <w:rFonts w:ascii="宋体" w:hAnsi="宋体" w:cs="宋体" w:hint="eastAsia"/>
                <w:szCs w:val="21"/>
                <w:lang w:bidi="ar"/>
              </w:rPr>
              <w:t>DCS</w:t>
            </w:r>
            <w:r>
              <w:rPr>
                <w:rFonts w:ascii="宋体" w:hAnsi="宋体" w:cs="宋体" w:hint="eastAsia"/>
                <w:szCs w:val="21"/>
                <w:lang w:bidi="ar"/>
              </w:rPr>
              <w:t>稳定供电，引发控制器宕机、通讯中断、工艺参数失控等重大生产风险。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10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、该区域是否为防爆区域，是否需要考虑防爆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中国恩菲工程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技术有限公司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同序号</w:t>
            </w:r>
            <w:r>
              <w:rPr>
                <w:rFonts w:ascii="宋体" w:hAnsi="宋体" w:cs="宋体" w:hint="eastAsia"/>
                <w:szCs w:val="21"/>
                <w:lang w:bidi="ar"/>
              </w:rPr>
              <w:t>6</w:t>
            </w:r>
            <w:r>
              <w:rPr>
                <w:rFonts w:ascii="宋体" w:hAnsi="宋体" w:cs="宋体" w:hint="eastAsia"/>
                <w:szCs w:val="21"/>
                <w:lang w:bidi="ar"/>
              </w:rPr>
              <w:t>内容，已删除</w:t>
            </w:r>
            <w:r>
              <w:rPr>
                <w:rFonts w:ascii="宋体" w:hAnsi="宋体" w:cs="宋体" w:hint="eastAsia"/>
                <w:szCs w:val="21"/>
                <w:lang w:bidi="ar"/>
              </w:rPr>
              <w:t>9.1</w:t>
            </w:r>
            <w:r>
              <w:rPr>
                <w:rFonts w:ascii="宋体" w:hAnsi="宋体" w:cs="宋体" w:hint="eastAsia"/>
                <w:szCs w:val="21"/>
                <w:lang w:bidi="ar"/>
              </w:rPr>
              <w:t>节。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11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6.1.1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是否要考虑放置一个氧压釜的设备图，将监测的范围用框标出来，简单醒目。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矿冶科技集团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未增加。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理由：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各企业氧压釜的图纸需要保密；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lastRenderedPageBreak/>
              <w:t>布设五大区域对照企业各自的氧压釜图纸即可清晰找到，对标准使用并无影响。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lastRenderedPageBreak/>
              <w:t>12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 xml:space="preserve">4.1 </w:t>
            </w:r>
            <w:r>
              <w:rPr>
                <w:rFonts w:ascii="宋体" w:eastAsia="宋体" w:hAnsi="宋体" w:cs="宋体"/>
                <w:szCs w:val="21"/>
              </w:rPr>
              <w:t>系统架构（感知层）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意见及建议：现有感知层仅纳入红外热像仪、供电及防爆设备，未覆盖氧压釜运行关键振动监测设备。建议在感知层补充振动传感器、振动变送器相关配置要求，将釜体、搅拌机、减速机等设备振动监测纳入整体监控体系。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</w:p>
          <w:p w:rsidR="00523A8E" w:rsidRDefault="00E62C11">
            <w:pPr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依据：氧压釜高温高压工况下，温度异常常伴随设备振动超标，振动数据是预判轴承磨损、机械故障的重要依据，温振一体化监测可全面评估设备健康状态，贴合现场实际运行需求。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深圳市中金岭南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有色金属股份有限公司丹霞冶炼厂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未修改。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理由：本标准主要体现的是氧压釜温度智能监测体系搭建，搅拌、电机振动传感器、振动变送器虽然可以更加精准的判断设备的运行状况，提前于红外热成像仪发现搅拌机故障点，但属于氧压斧众多故障点判别方式之一，与本标准针对温度智能监测主体内容关联性不高，此部分内容可以当成扩展选项，与温度智能监测的数据一起，</w:t>
            </w:r>
            <w:r>
              <w:rPr>
                <w:rFonts w:ascii="宋体" w:hAnsi="宋体" w:cs="宋体" w:hint="eastAsia"/>
                <w:szCs w:val="21"/>
                <w:lang w:bidi="ar"/>
              </w:rPr>
              <w:t>输入氧压斧故障判别大模型，为更精准判别故障，提供更全面的数据支撑。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13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 xml:space="preserve">6.1 </w:t>
            </w:r>
            <w:r>
              <w:rPr>
                <w:rFonts w:ascii="宋体" w:eastAsia="宋体" w:hAnsi="宋体" w:cs="宋体"/>
                <w:szCs w:val="21"/>
              </w:rPr>
              <w:t>红外热像仪布设及设备安装要求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意见及建议：建议新增测温光缆、信号线缆、传感线路的敷设、加固及防护要求，明确釜顶、巡检通道、设备检修区等易踩踏、易剐蹭区域的防护方式与材质标准。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</w:p>
          <w:p w:rsidR="00523A8E" w:rsidRDefault="00E62C11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依据：现场运维发现，釜顶及人员通行区域的光缆、通讯线路易被踩踏、机械剐蹭造成线路破损、信号中断，补充专项防护要求，可提升系统运行稳定性，降低运维故障频次。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深圳市中金岭南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有色金属股份有限公司丹霞冶炼厂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未修改。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理由：釜顶、巡检通道等易踩踏、易剐蹭场景，属于特定工况下的个性化运维优化措施，不同企业、不同装置的布局差异较大，若在本标准中强制指定防护方式与材质标准，会导致标准适用性过窄，无法覆盖全行业通用场景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14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5.2</w:t>
            </w:r>
            <w:r>
              <w:rPr>
                <w:rFonts w:ascii="宋体" w:eastAsia="宋体" w:hAnsi="宋体" w:cs="宋体"/>
                <w:szCs w:val="21"/>
              </w:rPr>
              <w:t>、</w:t>
            </w:r>
            <w:r>
              <w:rPr>
                <w:rFonts w:ascii="宋体" w:eastAsia="宋体" w:hAnsi="宋体" w:cs="宋体"/>
                <w:szCs w:val="21"/>
              </w:rPr>
              <w:t xml:space="preserve">8.1 </w:t>
            </w:r>
            <w:r>
              <w:rPr>
                <w:rFonts w:ascii="宋体" w:eastAsia="宋体" w:hAnsi="宋体" w:cs="宋体"/>
                <w:szCs w:val="21"/>
              </w:rPr>
              <w:t>数据采集与性能指标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意见及建议：建议补充</w:t>
            </w:r>
            <w:r>
              <w:rPr>
                <w:rFonts w:ascii="宋体" w:eastAsia="宋体" w:hAnsi="宋体" w:cs="宋体"/>
                <w:szCs w:val="21"/>
              </w:rPr>
              <w:t xml:space="preserve"> DTS </w:t>
            </w:r>
            <w:r>
              <w:rPr>
                <w:rFonts w:ascii="宋体" w:eastAsia="宋体" w:hAnsi="宋体" w:cs="宋体"/>
                <w:szCs w:val="21"/>
              </w:rPr>
              <w:t>分布式测温、光纤光栅测温等主流监测形式的技术参数与数据对接要求，区分红外测温、分布式光纤测温、振动监测的采样频率、数据精度指标。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</w:p>
          <w:p w:rsidR="00523A8E" w:rsidRDefault="00E62C11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>依据：目前行业内氧压釜监测多采用红外</w:t>
            </w:r>
            <w:r>
              <w:rPr>
                <w:rFonts w:ascii="宋体" w:eastAsia="宋体" w:hAnsi="宋体" w:cs="宋体"/>
                <w:szCs w:val="21"/>
              </w:rPr>
              <w:t xml:space="preserve"> + </w:t>
            </w:r>
            <w:r>
              <w:rPr>
                <w:rFonts w:ascii="宋体" w:eastAsia="宋体" w:hAnsi="宋体" w:cs="宋体"/>
                <w:szCs w:val="21"/>
              </w:rPr>
              <w:t>光纤光栅</w:t>
            </w:r>
            <w:r>
              <w:rPr>
                <w:rFonts w:ascii="宋体" w:eastAsia="宋体" w:hAnsi="宋体" w:cs="宋体"/>
                <w:szCs w:val="21"/>
              </w:rPr>
              <w:t xml:space="preserve"> + DTS </w:t>
            </w:r>
            <w:r>
              <w:rPr>
                <w:rFonts w:ascii="宋体" w:eastAsia="宋体" w:hAnsi="宋体" w:cs="宋体"/>
                <w:szCs w:val="21"/>
              </w:rPr>
              <w:t>光缆多技术融合方案，现行标准仅针对单一红外设备设定参数，兼容性不足，补</w:t>
            </w:r>
            <w:r>
              <w:rPr>
                <w:rFonts w:ascii="宋体" w:eastAsia="宋体" w:hAnsi="宋体" w:cs="宋体"/>
                <w:szCs w:val="21"/>
              </w:rPr>
              <w:lastRenderedPageBreak/>
              <w:t>充后可适配行业多元化监测技术路线。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深圳市中金岭南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有色金属股份有限公司丹霞冶炼厂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未修改。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理由：企业提到的“红外</w:t>
            </w:r>
            <w:r>
              <w:rPr>
                <w:rFonts w:ascii="宋体" w:hAnsi="宋体" w:cs="宋体" w:hint="eastAsia"/>
                <w:szCs w:val="21"/>
                <w:lang w:bidi="ar"/>
              </w:rPr>
              <w:t>+</w:t>
            </w:r>
            <w:r>
              <w:rPr>
                <w:rFonts w:ascii="宋体" w:hAnsi="宋体" w:cs="宋体" w:hint="eastAsia"/>
                <w:szCs w:val="21"/>
                <w:lang w:bidi="ar"/>
              </w:rPr>
              <w:t>光纤光栅</w:t>
            </w:r>
            <w:r>
              <w:rPr>
                <w:rFonts w:ascii="宋体" w:hAnsi="宋体" w:cs="宋体" w:hint="eastAsia"/>
                <w:szCs w:val="21"/>
                <w:lang w:bidi="ar"/>
              </w:rPr>
              <w:t xml:space="preserve">+DTS </w:t>
            </w:r>
            <w:r>
              <w:rPr>
                <w:rFonts w:ascii="宋体" w:hAnsi="宋体" w:cs="宋体" w:hint="eastAsia"/>
                <w:szCs w:val="21"/>
                <w:lang w:bidi="ar"/>
              </w:rPr>
              <w:t>多技术融合方案”，是特定场景下的项目应用方案，其采样频率、数据精度、对接方式需根据具体监测对象、工艺要求、设备型号进行定制化设计，不具备全行业通用性，无法在本标准中强制统一。</w:t>
            </w:r>
            <w:r>
              <w:rPr>
                <w:rFonts w:ascii="宋体" w:hAnsi="宋体" w:cs="宋体" w:hint="eastAsia"/>
                <w:szCs w:val="21"/>
                <w:lang w:bidi="ar"/>
              </w:rPr>
              <w:lastRenderedPageBreak/>
              <w:t>本标准体现了“数据采集接口应满足上位机系统对接要求”、“性能指标应符合对应产品标准及工艺设计文件”等通用性条款，可兼容不同监测技术的</w:t>
            </w:r>
            <w:r>
              <w:rPr>
                <w:rFonts w:ascii="宋体" w:hAnsi="宋体" w:cs="宋体" w:hint="eastAsia"/>
                <w:szCs w:val="21"/>
                <w:lang w:bidi="ar"/>
              </w:rPr>
              <w:t>接入需求。不同企业在项目实施阶段，可依据本标准的通用要求，结合不同监测设备的专用规范，开展多技术融合系统的方案设计与参数配置。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lastRenderedPageBreak/>
              <w:t>15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 xml:space="preserve">9.5 </w:t>
            </w:r>
            <w:r>
              <w:rPr>
                <w:rFonts w:ascii="宋体" w:eastAsia="宋体" w:hAnsi="宋体" w:cs="宋体"/>
                <w:szCs w:val="21"/>
              </w:rPr>
              <w:t>检查维护周期及内容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Cs w:val="21"/>
              </w:rPr>
              <w:t>意见及建议：</w:t>
            </w:r>
            <w:r>
              <w:rPr>
                <w:rFonts w:ascii="宋体" w:eastAsia="宋体" w:hAnsi="宋体" w:cs="宋体"/>
                <w:szCs w:val="21"/>
              </w:rPr>
              <w:t>现有运维条款未涵盖测温光缆、传感接点、安装支架的巡检内容，同时建议补充设备启停、系统停机检修等工况下的设备操作、复位规范。</w:t>
            </w:r>
          </w:p>
          <w:p w:rsidR="00523A8E" w:rsidRDefault="00E62C11">
            <w:pPr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Cs w:val="21"/>
              </w:rPr>
              <w:t>依据：</w:t>
            </w:r>
            <w:r>
              <w:rPr>
                <w:rFonts w:ascii="宋体" w:eastAsia="宋体" w:hAnsi="宋体" w:cs="宋体"/>
                <w:szCs w:val="21"/>
              </w:rPr>
              <w:t>光缆、传感接点、固定支架属于易损部件，且氧压釜存在间歇性停产检修工况，完善对应巡检与操作要求，可形成全工况运维规范，保障设备长期可靠运行。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深圳市中金岭南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有色金属股份有限公司丹霞冶炼厂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未修改。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理由：鉴于第</w:t>
            </w:r>
            <w:r>
              <w:rPr>
                <w:rFonts w:ascii="宋体" w:hAnsi="宋体" w:cs="宋体" w:hint="eastAsia"/>
                <w:szCs w:val="21"/>
                <w:lang w:bidi="ar"/>
              </w:rPr>
              <w:t>14</w:t>
            </w:r>
            <w:r>
              <w:rPr>
                <w:rFonts w:ascii="宋体" w:hAnsi="宋体" w:cs="宋体" w:hint="eastAsia"/>
                <w:szCs w:val="21"/>
                <w:lang w:bidi="ar"/>
              </w:rPr>
              <w:t>点的回复，不应当包含相关运维条款巡检内容。同时，设备启停、系统停机检修等工况下，只需退出智能监测软件或在软件中取消布防即可，恢复时打开软件，或启用布防即可，属于简易常规操作，无需特殊标明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16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hint="eastAsia"/>
              </w:rPr>
              <w:t>规范性引用文件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GB/T 3836.3   </w:t>
            </w:r>
            <w:r>
              <w:rPr>
                <w:rFonts w:hint="eastAsia"/>
              </w:rPr>
              <w:t>炸性环境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部分：由增安型“</w:t>
            </w: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”保护的设备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炸性环境</w:t>
            </w:r>
            <w:r>
              <w:rPr>
                <w:rFonts w:hint="eastAsia"/>
              </w:rPr>
              <w:t>”</w:t>
            </w:r>
            <w:r>
              <w:rPr>
                <w:rFonts w:hint="eastAsia"/>
              </w:rPr>
              <w:t>修改为“</w:t>
            </w:r>
            <w:r>
              <w:rPr>
                <w:rFonts w:hint="eastAsia"/>
              </w:rPr>
              <w:t>爆炸性环境</w:t>
            </w:r>
            <w:r>
              <w:rPr>
                <w:rFonts w:hint="eastAsia"/>
              </w:rPr>
              <w:t>”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云南永昌铅锌股份有限公司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已修改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17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numPr>
                <w:ilvl w:val="2"/>
                <w:numId w:val="0"/>
              </w:numPr>
              <w:rPr>
                <w:kern w:val="2"/>
                <w:szCs w:val="24"/>
              </w:rPr>
            </w:pPr>
            <w:r>
              <w:rPr>
                <w:rFonts w:hint="eastAsia"/>
                <w:kern w:val="2"/>
                <w:szCs w:val="24"/>
              </w:rPr>
              <w:t xml:space="preserve">9.1.2 </w:t>
            </w:r>
            <w:r>
              <w:rPr>
                <w:rFonts w:hint="eastAsia"/>
                <w:kern w:val="2"/>
                <w:szCs w:val="24"/>
              </w:rPr>
              <w:t>布线：防爆软管穿线，防护等级</w:t>
            </w:r>
            <w:r>
              <w:rPr>
                <w:rFonts w:hint="eastAsia"/>
                <w:kern w:val="2"/>
                <w:szCs w:val="24"/>
              </w:rPr>
              <w:t>IP65</w:t>
            </w:r>
            <w:r>
              <w:rPr>
                <w:rFonts w:hint="eastAsia"/>
                <w:kern w:val="2"/>
                <w:szCs w:val="24"/>
              </w:rPr>
              <w:t>。</w:t>
            </w:r>
          </w:p>
          <w:p w:rsidR="00523A8E" w:rsidRDefault="00E62C11">
            <w:pPr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hint="eastAsia"/>
                <w:kern w:val="2"/>
                <w:szCs w:val="24"/>
              </w:rPr>
              <w:t>9.2</w:t>
            </w:r>
            <w:r>
              <w:rPr>
                <w:rFonts w:hint="eastAsia"/>
                <w:kern w:val="2"/>
                <w:szCs w:val="24"/>
              </w:rPr>
              <w:t>接地要求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kern w:val="2"/>
                <w:szCs w:val="24"/>
              </w:rPr>
              <w:t>正文提及：</w:t>
            </w:r>
            <w:r>
              <w:rPr>
                <w:rFonts w:hint="eastAsia"/>
                <w:kern w:val="2"/>
                <w:szCs w:val="24"/>
              </w:rPr>
              <w:t>GB/T 4208</w:t>
            </w:r>
            <w:r>
              <w:rPr>
                <w:rFonts w:hint="eastAsia"/>
                <w:kern w:val="2"/>
                <w:szCs w:val="24"/>
              </w:rPr>
              <w:t>（</w:t>
            </w:r>
            <w:r>
              <w:rPr>
                <w:rFonts w:hint="eastAsia"/>
                <w:kern w:val="2"/>
                <w:szCs w:val="24"/>
              </w:rPr>
              <w:t xml:space="preserve">IP </w:t>
            </w:r>
            <w:r>
              <w:rPr>
                <w:rFonts w:hint="eastAsia"/>
                <w:kern w:val="2"/>
                <w:szCs w:val="24"/>
              </w:rPr>
              <w:t>等级）、</w:t>
            </w:r>
            <w:r>
              <w:rPr>
                <w:rFonts w:hint="eastAsia"/>
                <w:kern w:val="2"/>
                <w:szCs w:val="24"/>
              </w:rPr>
              <w:t xml:space="preserve">GBJ </w:t>
            </w:r>
            <w:r>
              <w:rPr>
                <w:rFonts w:hint="eastAsia"/>
                <w:kern w:val="2"/>
                <w:szCs w:val="24"/>
              </w:rPr>
              <w:t>79</w:t>
            </w:r>
            <w:r>
              <w:rPr>
                <w:rFonts w:hint="eastAsia"/>
                <w:kern w:val="2"/>
                <w:szCs w:val="24"/>
              </w:rPr>
              <w:t>，目前仅放在文末参考文献，应移入「规范性引用文件」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云南永昌铅锌股份有限公司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未修改：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理由：正常情况只有在正文中明确写出对应标准号的时候，才会在规范性引用文件标注出来。文中只对应标识出防护等级</w:t>
            </w:r>
            <w:r>
              <w:rPr>
                <w:rFonts w:ascii="宋体" w:hAnsi="宋体" w:cs="宋体" w:hint="eastAsia"/>
                <w:szCs w:val="21"/>
                <w:lang w:bidi="ar"/>
              </w:rPr>
              <w:t>IP68</w:t>
            </w:r>
            <w:r>
              <w:rPr>
                <w:rFonts w:ascii="宋体" w:hAnsi="宋体" w:cs="宋体" w:hint="eastAsia"/>
                <w:szCs w:val="21"/>
                <w:lang w:bidi="ar"/>
              </w:rPr>
              <w:t>，未涉及标准号，故无需在规范性引用文件标识出来。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18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hint="eastAsia"/>
                <w:kern w:val="2"/>
                <w:szCs w:val="24"/>
              </w:rPr>
              <w:t>9.2</w:t>
            </w:r>
            <w:r>
              <w:rPr>
                <w:rFonts w:hint="eastAsia"/>
                <w:kern w:val="2"/>
                <w:szCs w:val="24"/>
              </w:rPr>
              <w:t>接地要求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autoSpaceDE w:val="0"/>
              <w:autoSpaceDN w:val="0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kern w:val="2"/>
                <w:szCs w:val="21"/>
              </w:rPr>
              <w:t>正文“符合</w:t>
            </w:r>
            <w:r>
              <w:rPr>
                <w:rFonts w:hint="eastAsia"/>
                <w:kern w:val="2"/>
                <w:szCs w:val="21"/>
              </w:rPr>
              <w:t>GBJ 79</w:t>
            </w:r>
            <w:r>
              <w:rPr>
                <w:rFonts w:hint="eastAsia"/>
                <w:kern w:val="2"/>
                <w:szCs w:val="21"/>
              </w:rPr>
              <w:t>《工业企业通信接地设计规范》”引用错误。该标准已经于</w:t>
            </w:r>
            <w:r>
              <w:rPr>
                <w:rFonts w:hint="eastAsia"/>
                <w:kern w:val="2"/>
                <w:szCs w:val="21"/>
              </w:rPr>
              <w:t>2008</w:t>
            </w:r>
            <w:r>
              <w:rPr>
                <w:rFonts w:hint="eastAsia"/>
                <w:kern w:val="2"/>
                <w:szCs w:val="21"/>
              </w:rPr>
              <w:t>年被国家废</w:t>
            </w:r>
            <w:r>
              <w:rPr>
                <w:rFonts w:hint="eastAsia"/>
                <w:kern w:val="2"/>
                <w:szCs w:val="21"/>
              </w:rPr>
              <w:lastRenderedPageBreak/>
              <w:t>止，被分散融入通信系统接地、防雷、建筑电气接地等多本现行标准中，需结合项目实际选用相对应的标准，如：可查询是否适用</w:t>
            </w:r>
            <w:r>
              <w:rPr>
                <w:rFonts w:hint="eastAsia"/>
                <w:kern w:val="2"/>
                <w:szCs w:val="21"/>
              </w:rPr>
              <w:t xml:space="preserve">GB/T </w:t>
            </w:r>
            <w:r>
              <w:rPr>
                <w:rFonts w:hint="eastAsia"/>
                <w:kern w:val="2"/>
                <w:szCs w:val="21"/>
              </w:rPr>
              <w:t xml:space="preserve">50065-2011 </w:t>
            </w:r>
            <w:r>
              <w:rPr>
                <w:rFonts w:hint="eastAsia"/>
                <w:kern w:val="2"/>
                <w:szCs w:val="21"/>
              </w:rPr>
              <w:t>《交流电气装置的接地设计规范》。</w:t>
            </w:r>
            <w:r>
              <w:rPr>
                <w:rFonts w:hint="eastAsia"/>
                <w:szCs w:val="21"/>
              </w:rPr>
              <w:t>‌‌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>云南永昌铅锌股份有限公司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已修改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lastRenderedPageBreak/>
              <w:t>19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hint="eastAsia"/>
                <w:szCs w:val="21"/>
              </w:rPr>
              <w:t>标准条款及排版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hint="eastAsia"/>
                <w:szCs w:val="21"/>
              </w:rPr>
              <w:t>正文各条款，参照</w:t>
            </w:r>
            <w:r>
              <w:rPr>
                <w:rFonts w:hint="eastAsia"/>
                <w:szCs w:val="21"/>
              </w:rPr>
              <w:t xml:space="preserve">GB/T 1.1 </w:t>
            </w:r>
            <w:r>
              <w:rPr>
                <w:rFonts w:hint="eastAsia"/>
                <w:szCs w:val="21"/>
              </w:rPr>
              <w:t>的要求，对段落、段前段后、表格字体等认真进行一下排版。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云南永昌铅锌股份有限公司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已修改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20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hint="eastAsia"/>
                <w:szCs w:val="21"/>
              </w:rPr>
              <w:t xml:space="preserve">1 </w:t>
            </w:r>
            <w:r>
              <w:rPr>
                <w:rFonts w:hint="eastAsia"/>
                <w:szCs w:val="21"/>
              </w:rPr>
              <w:t>范围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rPr>
                <w:rFonts w:ascii="宋体" w:eastAsia="宋体" w:hAnsi="宋体" w:cs="宋体"/>
                <w:kern w:val="2"/>
                <w:szCs w:val="21"/>
              </w:rPr>
            </w:pPr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氧压浸出炼锌氧压釜（设计温度≤</w:t>
            </w:r>
            <w:r>
              <w:rPr>
                <w:rFonts w:hint="eastAsia"/>
              </w:rPr>
              <w:t xml:space="preserve">175 </w:t>
            </w:r>
            <w:r>
              <w:rPr>
                <w:rFonts w:hint="eastAsia"/>
              </w:rPr>
              <w:t>℃，设计压力≤</w:t>
            </w:r>
            <w:r>
              <w:rPr>
                <w:rFonts w:hint="eastAsia"/>
              </w:rPr>
              <w:t>2.0 MPa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”该条款建议考虑不同企业</w:t>
            </w:r>
            <w:r>
              <w:rPr>
                <w:rFonts w:hint="eastAsia"/>
              </w:rPr>
              <w:t>氧压浸出炼锌氧压釜</w:t>
            </w:r>
            <w:r>
              <w:rPr>
                <w:rFonts w:hint="eastAsia"/>
              </w:rPr>
              <w:t>设计温度差异。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云南永昌铅锌股份有限公司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已删除“</w:t>
            </w:r>
            <w:r>
              <w:rPr>
                <w:rFonts w:hint="eastAsia"/>
              </w:rPr>
              <w:t>（设计温度≤</w:t>
            </w:r>
            <w:r>
              <w:rPr>
                <w:rFonts w:hint="eastAsia"/>
              </w:rPr>
              <w:t xml:space="preserve">175 </w:t>
            </w:r>
            <w:r>
              <w:rPr>
                <w:rFonts w:hint="eastAsia"/>
              </w:rPr>
              <w:t>℃，设计压力≤</w:t>
            </w:r>
            <w:r>
              <w:rPr>
                <w:rFonts w:hint="eastAsia"/>
              </w:rPr>
              <w:t>2.0 MPa</w:t>
            </w:r>
            <w:r>
              <w:rPr>
                <w:rFonts w:hint="eastAsia"/>
              </w:rPr>
              <w:t>）</w:t>
            </w:r>
            <w:r>
              <w:rPr>
                <w:rFonts w:ascii="宋体" w:hAnsi="宋体" w:cs="宋体" w:hint="eastAsia"/>
                <w:szCs w:val="21"/>
                <w:lang w:bidi="ar"/>
              </w:rPr>
              <w:t>”。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21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szCs w:val="21"/>
              </w:rPr>
              <w:t xml:space="preserve">　规范性引用文件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ind w:firstLineChars="200" w:firstLine="42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szCs w:val="20"/>
              </w:rPr>
              <w:t>GB 3836</w:t>
            </w:r>
            <w:r>
              <w:rPr>
                <w:rFonts w:hint="eastAsia"/>
                <w:szCs w:val="20"/>
              </w:rPr>
              <w:t>.1</w:t>
            </w:r>
            <w:r>
              <w:rPr>
                <w:rFonts w:hint="eastAsia"/>
                <w:szCs w:val="20"/>
              </w:rPr>
              <w:t>：</w:t>
            </w:r>
            <w:r>
              <w:rPr>
                <w:rFonts w:hint="eastAsia"/>
                <w:szCs w:val="20"/>
              </w:rPr>
              <w:t>2021</w:t>
            </w:r>
            <w:r>
              <w:rPr>
                <w:rFonts w:hint="eastAsia"/>
                <w:szCs w:val="20"/>
              </w:rPr>
              <w:t>年版已变为</w:t>
            </w:r>
            <w:r>
              <w:rPr>
                <w:rFonts w:hint="eastAsia"/>
                <w:szCs w:val="20"/>
              </w:rPr>
              <w:t>GB/T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中冶赛迪信息技术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重庆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r>
              <w:rPr>
                <w:rFonts w:ascii="Times New Roman" w:hAnsi="Times New Roman" w:cs="Times New Roman" w:hint="eastAsia"/>
                <w:szCs w:val="21"/>
              </w:rPr>
              <w:t>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已修改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22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szCs w:val="21"/>
              </w:rPr>
              <w:t xml:space="preserve">　规范性引用文件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ind w:firstLineChars="200" w:firstLine="420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hint="eastAsia"/>
              </w:rPr>
              <w:t>GB/T 3836.3</w:t>
            </w:r>
            <w:r>
              <w:rPr>
                <w:rFonts w:hint="eastAsia"/>
              </w:rPr>
              <w:t>名称“</w:t>
            </w:r>
            <w:r>
              <w:rPr>
                <w:rFonts w:hint="eastAsia"/>
              </w:rPr>
              <w:t>炸性环境</w:t>
            </w:r>
            <w:r>
              <w:rPr>
                <w:rFonts w:hint="eastAsia"/>
              </w:rPr>
              <w:t>”</w:t>
            </w:r>
            <w:r>
              <w:rPr>
                <w:rFonts w:hint="eastAsia"/>
              </w:rPr>
              <w:t>增加“</w:t>
            </w:r>
            <w:r>
              <w:rPr>
                <w:rFonts w:hint="eastAsia"/>
              </w:rPr>
              <w:t>爆</w:t>
            </w:r>
            <w:r>
              <w:rPr>
                <w:rFonts w:hint="eastAsia"/>
              </w:rPr>
              <w:t>”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中冶赛迪信息技术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重庆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r>
              <w:rPr>
                <w:rFonts w:ascii="Times New Roman" w:hAnsi="Times New Roman" w:cs="Times New Roman" w:hint="eastAsia"/>
                <w:szCs w:val="21"/>
              </w:rPr>
              <w:t>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已修改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23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ind w:firstLineChars="200" w:firstLine="420"/>
              <w:rPr>
                <w:szCs w:val="20"/>
              </w:rPr>
            </w:pPr>
            <w:r>
              <w:rPr>
                <w:rFonts w:hint="eastAsia"/>
                <w:szCs w:val="20"/>
              </w:rPr>
              <w:t>“硫元素转化为元素硫”改为“硫元素转化为单质硫”、“同步实现有价元素高浸出率”改为“同步实现有价元素高效浸出”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昆明冶金研究院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已修改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90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24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3.6</w:t>
            </w: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ind w:firstLineChars="200" w:firstLine="420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“关键部位（如底部氧管、搅拌电机、减速机、机封等）温度分布”改为“关键部位（如底部氧管、冷却盘管、阀门、搅拌电机、减速机、机封等）温度分布</w:t>
            </w: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昆明冶金研究院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未修改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理由：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1</w:t>
            </w:r>
            <w:r>
              <w:rPr>
                <w:rFonts w:ascii="宋体" w:hAnsi="宋体" w:cs="宋体" w:hint="eastAsia"/>
                <w:szCs w:val="21"/>
                <w:lang w:bidi="ar"/>
              </w:rPr>
              <w:t>）氧压浸出炼锌企业的氧压釜并不是都设有冷却盘管；</w:t>
            </w:r>
          </w:p>
          <w:p w:rsidR="00523A8E" w:rsidRDefault="00E62C11">
            <w:pPr>
              <w:widowControl/>
              <w:ind w:firstLineChars="200" w:firstLine="420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2</w:t>
            </w:r>
            <w:r>
              <w:rPr>
                <w:rFonts w:ascii="宋体" w:hAnsi="宋体" w:cs="宋体" w:hint="eastAsia"/>
                <w:szCs w:val="21"/>
                <w:lang w:bidi="ar"/>
              </w:rPr>
              <w:t>）关键部位是列举表示，对于设有冷却盘管的企业可根据自身情况考虑是否增加温度监控。</w:t>
            </w: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23A8E">
        <w:trPr>
          <w:trHeight w:val="379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25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jc w:val="center"/>
              <w:rPr>
                <w:rFonts w:ascii="Times New Roman" w:eastAsia="宋体" w:hAnsi="Times New Roman" w:cs="Times New Roman"/>
                <w:kern w:val="2"/>
                <w:szCs w:val="21"/>
              </w:rPr>
            </w:pP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ind w:firstLineChars="200" w:firstLine="420"/>
              <w:rPr>
                <w:rFonts w:ascii="宋体" w:eastAsia="宋体" w:hAnsi="宋体" w:cs="宋体"/>
                <w:szCs w:val="21"/>
                <w:lang w:bidi="ar"/>
              </w:rPr>
            </w:pP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河南豫光锌业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</w:p>
        </w:tc>
        <w:tc>
          <w:tcPr>
            <w:tcW w:w="107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</w:rPr>
              <w:t>回函无意见的单位</w:t>
            </w:r>
          </w:p>
        </w:tc>
      </w:tr>
      <w:tr w:rsidR="00523A8E">
        <w:trPr>
          <w:trHeight w:val="379"/>
          <w:jc w:val="right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26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云南锡业集团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（控股）有限责任</w:t>
            </w:r>
          </w:p>
          <w:p w:rsidR="00523A8E" w:rsidRDefault="00E62C11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公司冶炼有限公司</w:t>
            </w:r>
          </w:p>
        </w:tc>
        <w:tc>
          <w:tcPr>
            <w:tcW w:w="41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</w:p>
        </w:tc>
        <w:tc>
          <w:tcPr>
            <w:tcW w:w="107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3A8E" w:rsidRDefault="00523A8E">
            <w:pPr>
              <w:widowControl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 w:rsidR="00523A8E" w:rsidTr="00916FBF">
        <w:trPr>
          <w:trHeight w:val="2258"/>
          <w:jc w:val="right"/>
        </w:trPr>
        <w:tc>
          <w:tcPr>
            <w:tcW w:w="14174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16FBF" w:rsidRDefault="00E62C11" w:rsidP="00916FBF">
            <w:pPr>
              <w:rPr>
                <w:rFonts w:hint="eastAsia"/>
              </w:rPr>
            </w:pPr>
            <w:r w:rsidRPr="00916FBF">
              <w:rPr>
                <w:rFonts w:hint="eastAsia"/>
              </w:rPr>
              <w:lastRenderedPageBreak/>
              <w:t>说明</w:t>
            </w:r>
            <w:r w:rsidRPr="00916FBF">
              <w:t xml:space="preserve">:                              </w:t>
            </w:r>
            <w:r w:rsidRPr="00916FBF"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6FBF" w:rsidRDefault="00E62C11" w:rsidP="00916FBF">
            <w:pPr>
              <w:rPr>
                <w:rFonts w:hint="eastAsia"/>
              </w:rPr>
            </w:pPr>
            <w:r w:rsidRPr="00916FBF">
              <w:t>(1)</w:t>
            </w:r>
            <w:r w:rsidRPr="00916FBF">
              <w:rPr>
                <w:rFonts w:hint="eastAsia"/>
              </w:rPr>
              <w:t>发送《征求意见稿》的单位个</w:t>
            </w:r>
            <w:r w:rsidRPr="00916FBF">
              <w:rPr>
                <w:rFonts w:hint="eastAsia"/>
              </w:rPr>
              <w:t>数</w:t>
            </w:r>
            <w:r w:rsidRPr="00916FBF">
              <w:t>:</w:t>
            </w:r>
            <w:r w:rsidRPr="00916FBF">
              <w:rPr>
                <w:rFonts w:hint="eastAsia"/>
              </w:rPr>
              <w:t>10</w:t>
            </w:r>
            <w:r w:rsidRPr="00916FBF">
              <w:rPr>
                <w:rFonts w:hint="eastAsia"/>
              </w:rPr>
              <w:t>个。</w:t>
            </w:r>
            <w:r w:rsidRPr="00916FBF">
              <w:rPr>
                <w:rFonts w:hint="eastAsia"/>
              </w:rPr>
              <w:t xml:space="preserve">          </w:t>
            </w:r>
            <w:r w:rsidRPr="00916FBF">
              <w:rPr>
                <w:rFonts w:hint="eastAsia"/>
              </w:rPr>
              <w:t xml:space="preserve">                                                                                                     </w:t>
            </w:r>
          </w:p>
          <w:p w:rsidR="00916FBF" w:rsidRDefault="00E62C11" w:rsidP="00916FBF">
            <w:pPr>
              <w:rPr>
                <w:rFonts w:hint="eastAsia"/>
              </w:rPr>
            </w:pPr>
            <w:r w:rsidRPr="00916FBF">
              <w:rPr>
                <w:rFonts w:hint="eastAsia"/>
              </w:rPr>
              <w:t>(2)</w:t>
            </w:r>
            <w:r w:rsidRPr="00916FBF">
              <w:rPr>
                <w:rFonts w:hint="eastAsia"/>
              </w:rPr>
              <w:t>收到《征求意见稿》后</w:t>
            </w:r>
            <w:r w:rsidRPr="00916FBF">
              <w:rPr>
                <w:rFonts w:hint="eastAsia"/>
              </w:rPr>
              <w:t>,</w:t>
            </w:r>
            <w:r w:rsidRPr="00916FBF">
              <w:rPr>
                <w:rFonts w:hint="eastAsia"/>
              </w:rPr>
              <w:t>回函的单位数</w:t>
            </w:r>
            <w:r w:rsidRPr="00916FBF">
              <w:rPr>
                <w:rFonts w:hint="eastAsia"/>
              </w:rPr>
              <w:t>:</w:t>
            </w:r>
            <w:r w:rsidRPr="00916FBF">
              <w:rPr>
                <w:rFonts w:hint="eastAsia"/>
              </w:rPr>
              <w:t>10</w:t>
            </w:r>
            <w:r w:rsidRPr="00916FBF">
              <w:rPr>
                <w:rFonts w:hint="eastAsia"/>
              </w:rPr>
              <w:t>个</w:t>
            </w:r>
            <w:r w:rsidRPr="00916FBF">
              <w:rPr>
                <w:rFonts w:hint="eastAsia"/>
              </w:rPr>
              <w:t>。</w:t>
            </w:r>
            <w:r w:rsidRPr="00916FBF">
              <w:rPr>
                <w:rFonts w:hint="eastAsia"/>
              </w:rPr>
              <w:t xml:space="preserve">                                                                                                                </w:t>
            </w:r>
          </w:p>
          <w:p w:rsidR="00916FBF" w:rsidRDefault="00E62C11" w:rsidP="00916FBF">
            <w:pPr>
              <w:rPr>
                <w:rFonts w:hint="eastAsia"/>
              </w:rPr>
            </w:pPr>
            <w:r w:rsidRPr="00916FBF">
              <w:rPr>
                <w:rFonts w:hint="eastAsia"/>
              </w:rPr>
              <w:t>(3)</w:t>
            </w:r>
            <w:r w:rsidRPr="00916FBF">
              <w:rPr>
                <w:rFonts w:hint="eastAsia"/>
              </w:rPr>
              <w:t>收到《征求意见稿》后</w:t>
            </w:r>
            <w:r w:rsidRPr="00916FBF">
              <w:rPr>
                <w:rFonts w:hint="eastAsia"/>
              </w:rPr>
              <w:t>,</w:t>
            </w:r>
            <w:r w:rsidRPr="00916FBF">
              <w:rPr>
                <w:rFonts w:hint="eastAsia"/>
              </w:rPr>
              <w:t>回函并有</w:t>
            </w:r>
            <w:r w:rsidRPr="00916FBF">
              <w:rPr>
                <w:rFonts w:hint="eastAsia"/>
              </w:rPr>
              <w:t>建议或意见的单位数</w:t>
            </w:r>
            <w:r w:rsidRPr="00916FBF">
              <w:rPr>
                <w:rFonts w:hint="eastAsia"/>
              </w:rPr>
              <w:t>:</w:t>
            </w:r>
            <w:r w:rsidRPr="00916FBF">
              <w:rPr>
                <w:rFonts w:hint="eastAsia"/>
              </w:rPr>
              <w:t>8</w:t>
            </w:r>
            <w:r w:rsidRPr="00916FBF">
              <w:rPr>
                <w:rFonts w:hint="eastAsia"/>
              </w:rPr>
              <w:t>个。</w:t>
            </w:r>
            <w:r w:rsidRPr="00916FBF">
              <w:rPr>
                <w:rFonts w:hint="eastAsia"/>
              </w:rPr>
              <w:t xml:space="preserve">                                                                                                             </w:t>
            </w:r>
          </w:p>
          <w:p w:rsidR="00523A8E" w:rsidRPr="00916FBF" w:rsidRDefault="00E62C11" w:rsidP="00916FBF">
            <w:bookmarkStart w:id="0" w:name="_GoBack"/>
            <w:bookmarkEnd w:id="0"/>
            <w:r w:rsidRPr="00916FBF">
              <w:rPr>
                <w:rFonts w:hint="eastAsia"/>
              </w:rPr>
              <w:t>(4)</w:t>
            </w:r>
            <w:r w:rsidRPr="00916FBF">
              <w:rPr>
                <w:rFonts w:hint="eastAsia"/>
              </w:rPr>
              <w:t>没有回函的单位数</w:t>
            </w:r>
            <w:r w:rsidRPr="00916FBF">
              <w:rPr>
                <w:rFonts w:hint="eastAsia"/>
              </w:rPr>
              <w:t xml:space="preserve">: </w:t>
            </w:r>
            <w:r w:rsidRPr="00916FBF">
              <w:rPr>
                <w:rFonts w:hint="eastAsia"/>
              </w:rPr>
              <w:t>0</w:t>
            </w:r>
            <w:r w:rsidRPr="00916FBF">
              <w:rPr>
                <w:rFonts w:hint="eastAsia"/>
              </w:rPr>
              <w:t>个。</w:t>
            </w:r>
          </w:p>
        </w:tc>
      </w:tr>
    </w:tbl>
    <w:p w:rsidR="00523A8E" w:rsidRDefault="00523A8E"/>
    <w:sectPr w:rsidR="00523A8E">
      <w:footerReference w:type="default" r:id="rId11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C11" w:rsidRDefault="00E62C11">
      <w:r>
        <w:separator/>
      </w:r>
    </w:p>
  </w:endnote>
  <w:endnote w:type="continuationSeparator" w:id="0">
    <w:p w:rsidR="00E62C11" w:rsidRDefault="00E6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A8E" w:rsidRDefault="00E62C11"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523A8E" w:rsidRDefault="00E62C11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916FB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C11" w:rsidRDefault="00E62C11">
      <w:r>
        <w:separator/>
      </w:r>
    </w:p>
  </w:footnote>
  <w:footnote w:type="continuationSeparator" w:id="0">
    <w:p w:rsidR="00E62C11" w:rsidRDefault="00E62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80D5C6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D9C86980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D84A1B2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9926D65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1"/>
    <w:multiLevelType w:val="singleLevel"/>
    <w:tmpl w:val="4D8453C0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5">
    <w:nsid w:val="FFFFFF82"/>
    <w:multiLevelType w:val="singleLevel"/>
    <w:tmpl w:val="6A2CAB7C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6">
    <w:nsid w:val="FFFFFF83"/>
    <w:multiLevelType w:val="singleLevel"/>
    <w:tmpl w:val="7758D4F6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7">
    <w:nsid w:val="FFFFFF88"/>
    <w:multiLevelType w:val="singleLevel"/>
    <w:tmpl w:val="8F96E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8">
    <w:nsid w:val="FFFFFF89"/>
    <w:multiLevelType w:val="singleLevel"/>
    <w:tmpl w:val="8884D81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</w:compat>
  <w:rsids>
    <w:rsidRoot w:val="00523A8E"/>
    <w:rsid w:val="00523A8E"/>
    <w:rsid w:val="00916FBF"/>
    <w:rsid w:val="00E62C11"/>
    <w:rsid w:val="024912E2"/>
    <w:rsid w:val="063D2F0C"/>
    <w:rsid w:val="0D8D4A86"/>
    <w:rsid w:val="0DDF0D4D"/>
    <w:rsid w:val="1315107B"/>
    <w:rsid w:val="1EB63404"/>
    <w:rsid w:val="20AC2D10"/>
    <w:rsid w:val="25A641D2"/>
    <w:rsid w:val="31D16A7B"/>
    <w:rsid w:val="335B756D"/>
    <w:rsid w:val="3445105A"/>
    <w:rsid w:val="3B5B1163"/>
    <w:rsid w:val="3CFE449C"/>
    <w:rsid w:val="3D532A3A"/>
    <w:rsid w:val="3F4940F4"/>
    <w:rsid w:val="3FDA4FC5"/>
    <w:rsid w:val="42DA5063"/>
    <w:rsid w:val="447D039C"/>
    <w:rsid w:val="4A235542"/>
    <w:rsid w:val="4A965D14"/>
    <w:rsid w:val="4C6255FF"/>
    <w:rsid w:val="4CBD57DA"/>
    <w:rsid w:val="5A1B7FE4"/>
    <w:rsid w:val="5E60690D"/>
    <w:rsid w:val="61A409C1"/>
    <w:rsid w:val="70CC520D"/>
    <w:rsid w:val="76C03F95"/>
    <w:rsid w:val="77277B70"/>
    <w:rsid w:val="7A6C06BC"/>
    <w:rsid w:val="7DD0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Balloon Text"/>
    <w:basedOn w:val="a"/>
    <w:link w:val="Char"/>
    <w:rsid w:val="00916FBF"/>
    <w:rPr>
      <w:sz w:val="18"/>
      <w:szCs w:val="18"/>
    </w:rPr>
  </w:style>
  <w:style w:type="character" w:customStyle="1" w:styleId="Char">
    <w:name w:val="批注框文本 Char"/>
    <w:basedOn w:val="a0"/>
    <w:link w:val="a4"/>
    <w:rsid w:val="00916F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722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zhangyimeng</cp:lastModifiedBy>
  <cp:revision>2</cp:revision>
  <dcterms:created xsi:type="dcterms:W3CDTF">2025-02-28T01:09:00Z</dcterms:created>
  <dcterms:modified xsi:type="dcterms:W3CDTF">2026-07-02T05:55:00Z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8383ADAC3142447688448C056FF6D3A3_13</vt:lpwstr>
  </property>
  <property fmtid="{D5CDD505-2E9C-101B-9397-08002B2CF9AE}" pid="4" name="KSOTemplateDocerSaveRecord">
    <vt:lpwstr>eyJoZGlkIjoiYmU3MGY5YmJmZWZlNzgzYWY0NjNlNTA1ZGJkZDQxZGEiLCJ1c2VySWQiOiIxODYzMjg2OSJ9</vt:lpwstr>
  </property>
</Properties>
</file>