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3F8070">
      <w:pPr>
        <w:jc w:val="center"/>
        <w:rPr>
          <w:rFonts w:ascii="宋体" w:hAnsi="宋体"/>
          <w:b/>
          <w:bCs/>
          <w:sz w:val="18"/>
          <w:szCs w:val="18"/>
        </w:rPr>
      </w:pPr>
    </w:p>
    <w:p w14:paraId="2F04B11F">
      <w:pPr>
        <w:jc w:val="center"/>
        <w:rPr>
          <w:rFonts w:ascii="宋体" w:hAnsi="宋体"/>
          <w:b/>
          <w:bCs/>
          <w:sz w:val="18"/>
          <w:szCs w:val="18"/>
        </w:rPr>
      </w:pPr>
    </w:p>
    <w:p w14:paraId="1B010681">
      <w:pPr>
        <w:jc w:val="center"/>
        <w:outlineLvl w:val="0"/>
        <w:rPr>
          <w:rFonts w:ascii="黑体" w:hAnsi="黑体" w:eastAsia="黑体" w:cs="黑体"/>
          <w:b/>
          <w:bCs/>
          <w:sz w:val="32"/>
          <w:szCs w:val="32"/>
        </w:rPr>
      </w:pPr>
      <w:r>
        <w:rPr>
          <w:rFonts w:hint="eastAsia" w:ascii="黑体" w:hAnsi="黑体" w:eastAsia="黑体" w:cs="黑体"/>
          <w:b/>
          <w:bCs/>
          <w:sz w:val="32"/>
          <w:szCs w:val="32"/>
        </w:rPr>
        <w:t>《</w:t>
      </w:r>
      <w:r>
        <w:rPr>
          <w:rFonts w:hint="eastAsia" w:ascii="黑体" w:hAnsi="黑体" w:eastAsia="黑体" w:cs="黑体"/>
          <w:b/>
          <w:bCs/>
          <w:sz w:val="32"/>
          <w:szCs w:val="32"/>
          <w:lang w:eastAsia="zh-CN"/>
        </w:rPr>
        <w:t>氧压浸出炼锌氧压釜温度智能监控技术要求</w:t>
      </w:r>
      <w:r>
        <w:rPr>
          <w:rFonts w:hint="eastAsia" w:ascii="黑体" w:hAnsi="黑体" w:eastAsia="黑体" w:cs="黑体"/>
          <w:b/>
          <w:bCs/>
          <w:sz w:val="32"/>
          <w:szCs w:val="32"/>
        </w:rPr>
        <w:t>》</w:t>
      </w:r>
    </w:p>
    <w:p w14:paraId="03A84F7B">
      <w:pPr>
        <w:jc w:val="center"/>
        <w:outlineLvl w:val="0"/>
        <w:rPr>
          <w:rFonts w:ascii="黑体" w:hAnsi="黑体" w:eastAsia="黑体" w:cs="黑体"/>
          <w:b/>
          <w:bCs/>
          <w:sz w:val="32"/>
          <w:szCs w:val="32"/>
        </w:rPr>
      </w:pPr>
      <w:r>
        <w:rPr>
          <w:rFonts w:hint="eastAsia" w:ascii="黑体" w:hAnsi="黑体" w:eastAsia="黑体" w:cs="黑体"/>
          <w:b/>
          <w:bCs/>
          <w:sz w:val="32"/>
          <w:szCs w:val="32"/>
        </w:rPr>
        <w:t>编制说明</w:t>
      </w:r>
    </w:p>
    <w:p w14:paraId="7754AA39">
      <w:pPr>
        <w:jc w:val="center"/>
        <w:outlineLvl w:val="0"/>
        <w:rPr>
          <w:rFonts w:ascii="黑体" w:hAnsi="黑体" w:eastAsia="黑体" w:cs="黑体"/>
          <w:b/>
          <w:bCs/>
          <w:sz w:val="32"/>
          <w:szCs w:val="32"/>
        </w:rPr>
      </w:pPr>
      <w:r>
        <w:rPr>
          <w:rFonts w:hint="eastAsia" w:ascii="黑体" w:hAnsi="黑体" w:eastAsia="黑体" w:cs="黑体"/>
          <w:b/>
          <w:bCs/>
          <w:sz w:val="32"/>
          <w:szCs w:val="32"/>
        </w:rPr>
        <w:t>（</w:t>
      </w:r>
      <w:r>
        <w:rPr>
          <w:rFonts w:hint="eastAsia" w:ascii="黑体" w:hAnsi="黑体" w:eastAsia="黑体" w:cs="黑体"/>
          <w:b/>
          <w:bCs/>
          <w:sz w:val="32"/>
          <w:szCs w:val="32"/>
          <w:lang w:val="en-US" w:eastAsia="zh-CN"/>
        </w:rPr>
        <w:t>送审</w:t>
      </w:r>
      <w:r>
        <w:rPr>
          <w:rFonts w:hint="eastAsia" w:ascii="黑体" w:hAnsi="黑体" w:eastAsia="黑体" w:cs="黑体"/>
          <w:b/>
          <w:bCs/>
          <w:sz w:val="32"/>
          <w:szCs w:val="32"/>
        </w:rPr>
        <w:t>稿）</w:t>
      </w:r>
      <w:bookmarkStart w:id="2" w:name="_GoBack"/>
      <w:bookmarkEnd w:id="2"/>
    </w:p>
    <w:p w14:paraId="68A886D5">
      <w:pPr>
        <w:jc w:val="center"/>
        <w:rPr>
          <w:rFonts w:ascii="宋体" w:hAnsi="宋体"/>
          <w:b/>
          <w:bCs/>
          <w:sz w:val="18"/>
          <w:szCs w:val="18"/>
        </w:rPr>
      </w:pPr>
    </w:p>
    <w:p w14:paraId="46C04E06">
      <w:pPr>
        <w:jc w:val="center"/>
        <w:rPr>
          <w:rFonts w:ascii="宋体" w:hAnsi="宋体"/>
          <w:b/>
          <w:bCs/>
          <w:sz w:val="18"/>
          <w:szCs w:val="18"/>
        </w:rPr>
      </w:pPr>
    </w:p>
    <w:p w14:paraId="1164B0F8">
      <w:pPr>
        <w:jc w:val="center"/>
        <w:rPr>
          <w:rFonts w:ascii="宋体" w:hAnsi="宋体"/>
          <w:b/>
          <w:bCs/>
          <w:sz w:val="18"/>
          <w:szCs w:val="18"/>
        </w:rPr>
      </w:pPr>
    </w:p>
    <w:p w14:paraId="6B2A7B6A">
      <w:pPr>
        <w:jc w:val="center"/>
        <w:rPr>
          <w:rFonts w:ascii="宋体" w:hAnsi="宋体"/>
          <w:b/>
          <w:bCs/>
          <w:sz w:val="18"/>
          <w:szCs w:val="18"/>
        </w:rPr>
      </w:pPr>
    </w:p>
    <w:p w14:paraId="167E86C1">
      <w:pPr>
        <w:jc w:val="center"/>
        <w:rPr>
          <w:rFonts w:ascii="宋体" w:hAnsi="宋体"/>
          <w:b/>
          <w:bCs/>
          <w:sz w:val="18"/>
          <w:szCs w:val="18"/>
        </w:rPr>
      </w:pPr>
    </w:p>
    <w:p w14:paraId="4057D607">
      <w:pPr>
        <w:jc w:val="center"/>
        <w:rPr>
          <w:rFonts w:ascii="宋体" w:hAnsi="宋体"/>
          <w:b/>
          <w:bCs/>
          <w:sz w:val="18"/>
          <w:szCs w:val="18"/>
        </w:rPr>
      </w:pPr>
    </w:p>
    <w:p w14:paraId="56A0621E">
      <w:pPr>
        <w:jc w:val="center"/>
        <w:rPr>
          <w:rFonts w:ascii="宋体" w:hAnsi="宋体"/>
          <w:b/>
          <w:bCs/>
          <w:sz w:val="18"/>
          <w:szCs w:val="18"/>
        </w:rPr>
      </w:pPr>
    </w:p>
    <w:p w14:paraId="188A88BE">
      <w:pPr>
        <w:jc w:val="center"/>
        <w:rPr>
          <w:rFonts w:ascii="宋体" w:hAnsi="宋体"/>
          <w:b/>
          <w:bCs/>
          <w:sz w:val="18"/>
          <w:szCs w:val="18"/>
        </w:rPr>
      </w:pPr>
    </w:p>
    <w:p w14:paraId="560C3A09">
      <w:pPr>
        <w:jc w:val="center"/>
        <w:rPr>
          <w:rFonts w:ascii="宋体" w:hAnsi="宋体"/>
          <w:b/>
          <w:bCs/>
          <w:sz w:val="18"/>
          <w:szCs w:val="18"/>
        </w:rPr>
      </w:pPr>
    </w:p>
    <w:p w14:paraId="3C9D8AC3">
      <w:pPr>
        <w:jc w:val="center"/>
        <w:rPr>
          <w:rFonts w:ascii="宋体" w:hAnsi="宋体"/>
          <w:b/>
          <w:bCs/>
          <w:sz w:val="18"/>
          <w:szCs w:val="18"/>
        </w:rPr>
      </w:pPr>
    </w:p>
    <w:p w14:paraId="3AD7D4A8">
      <w:pPr>
        <w:jc w:val="center"/>
        <w:rPr>
          <w:rFonts w:ascii="宋体" w:hAnsi="宋体"/>
          <w:b/>
          <w:bCs/>
          <w:sz w:val="18"/>
          <w:szCs w:val="18"/>
        </w:rPr>
      </w:pPr>
    </w:p>
    <w:p w14:paraId="266F1115">
      <w:pPr>
        <w:jc w:val="center"/>
        <w:rPr>
          <w:rFonts w:ascii="宋体" w:hAnsi="宋体"/>
          <w:b/>
          <w:bCs/>
          <w:sz w:val="18"/>
          <w:szCs w:val="18"/>
        </w:rPr>
      </w:pPr>
    </w:p>
    <w:p w14:paraId="792D89AD">
      <w:pPr>
        <w:jc w:val="center"/>
        <w:rPr>
          <w:rFonts w:ascii="宋体" w:hAnsi="宋体"/>
          <w:b/>
          <w:bCs/>
          <w:sz w:val="18"/>
          <w:szCs w:val="18"/>
        </w:rPr>
      </w:pPr>
    </w:p>
    <w:p w14:paraId="4AD3E33E">
      <w:pPr>
        <w:jc w:val="center"/>
        <w:rPr>
          <w:rFonts w:ascii="宋体" w:hAnsi="宋体"/>
          <w:b/>
          <w:bCs/>
          <w:sz w:val="18"/>
          <w:szCs w:val="18"/>
        </w:rPr>
      </w:pPr>
    </w:p>
    <w:p w14:paraId="508E0DDF">
      <w:pPr>
        <w:jc w:val="center"/>
        <w:rPr>
          <w:rFonts w:ascii="宋体" w:hAnsi="宋体"/>
          <w:b/>
          <w:bCs/>
          <w:sz w:val="18"/>
          <w:szCs w:val="18"/>
        </w:rPr>
      </w:pPr>
    </w:p>
    <w:p w14:paraId="11E9AA7E">
      <w:pPr>
        <w:jc w:val="center"/>
        <w:rPr>
          <w:rFonts w:ascii="宋体" w:hAnsi="宋体"/>
          <w:b/>
          <w:bCs/>
          <w:sz w:val="18"/>
          <w:szCs w:val="18"/>
        </w:rPr>
      </w:pPr>
    </w:p>
    <w:p w14:paraId="78D327D6">
      <w:pPr>
        <w:jc w:val="center"/>
        <w:rPr>
          <w:rFonts w:ascii="宋体" w:hAnsi="宋体"/>
          <w:b/>
          <w:bCs/>
          <w:sz w:val="18"/>
          <w:szCs w:val="18"/>
        </w:rPr>
      </w:pPr>
    </w:p>
    <w:p w14:paraId="04C07975">
      <w:pPr>
        <w:jc w:val="center"/>
        <w:rPr>
          <w:rFonts w:ascii="宋体" w:hAnsi="宋体"/>
          <w:b/>
          <w:bCs/>
          <w:sz w:val="18"/>
          <w:szCs w:val="18"/>
        </w:rPr>
      </w:pPr>
    </w:p>
    <w:p w14:paraId="0E33BABD">
      <w:pPr>
        <w:jc w:val="center"/>
        <w:rPr>
          <w:rFonts w:ascii="宋体" w:hAnsi="宋体"/>
          <w:b/>
          <w:bCs/>
          <w:sz w:val="18"/>
          <w:szCs w:val="18"/>
        </w:rPr>
      </w:pPr>
    </w:p>
    <w:p w14:paraId="631EB10D">
      <w:pPr>
        <w:jc w:val="center"/>
        <w:rPr>
          <w:rFonts w:ascii="宋体" w:hAnsi="宋体"/>
          <w:b/>
          <w:bCs/>
          <w:sz w:val="18"/>
          <w:szCs w:val="18"/>
        </w:rPr>
      </w:pPr>
    </w:p>
    <w:p w14:paraId="557E5A38">
      <w:pPr>
        <w:jc w:val="center"/>
        <w:rPr>
          <w:rFonts w:ascii="宋体" w:hAnsi="宋体"/>
          <w:b/>
          <w:bCs/>
          <w:sz w:val="18"/>
          <w:szCs w:val="18"/>
        </w:rPr>
      </w:pPr>
    </w:p>
    <w:p w14:paraId="5B419892">
      <w:pPr>
        <w:jc w:val="center"/>
        <w:rPr>
          <w:rFonts w:ascii="宋体" w:hAnsi="宋体"/>
          <w:b/>
          <w:bCs/>
          <w:sz w:val="18"/>
          <w:szCs w:val="18"/>
        </w:rPr>
      </w:pPr>
    </w:p>
    <w:p w14:paraId="69220F0B">
      <w:pPr>
        <w:jc w:val="center"/>
        <w:rPr>
          <w:rFonts w:ascii="宋体" w:hAnsi="宋体"/>
          <w:b/>
          <w:bCs/>
          <w:sz w:val="18"/>
          <w:szCs w:val="18"/>
        </w:rPr>
      </w:pPr>
    </w:p>
    <w:p w14:paraId="6106BFF1">
      <w:pPr>
        <w:jc w:val="center"/>
        <w:rPr>
          <w:rFonts w:ascii="宋体" w:hAnsi="宋体"/>
          <w:b/>
          <w:bCs/>
          <w:sz w:val="18"/>
          <w:szCs w:val="18"/>
        </w:rPr>
      </w:pPr>
    </w:p>
    <w:p w14:paraId="2F017DF5">
      <w:pPr>
        <w:jc w:val="center"/>
        <w:rPr>
          <w:rFonts w:ascii="宋体" w:hAnsi="宋体"/>
          <w:b/>
          <w:bCs/>
          <w:sz w:val="18"/>
          <w:szCs w:val="18"/>
        </w:rPr>
      </w:pPr>
    </w:p>
    <w:p w14:paraId="4B02F81B">
      <w:pPr>
        <w:jc w:val="center"/>
        <w:rPr>
          <w:rFonts w:ascii="宋体" w:hAnsi="宋体"/>
          <w:b/>
          <w:bCs/>
          <w:sz w:val="18"/>
          <w:szCs w:val="18"/>
        </w:rPr>
      </w:pPr>
    </w:p>
    <w:p w14:paraId="7F0E02FA">
      <w:pPr>
        <w:jc w:val="center"/>
        <w:rPr>
          <w:rFonts w:ascii="宋体" w:hAnsi="宋体"/>
          <w:b/>
          <w:bCs/>
          <w:sz w:val="18"/>
          <w:szCs w:val="18"/>
        </w:rPr>
      </w:pPr>
    </w:p>
    <w:p w14:paraId="4A0EC767">
      <w:pPr>
        <w:jc w:val="center"/>
        <w:rPr>
          <w:rFonts w:ascii="宋体" w:hAnsi="宋体"/>
          <w:b/>
          <w:bCs/>
          <w:sz w:val="18"/>
          <w:szCs w:val="18"/>
        </w:rPr>
      </w:pPr>
    </w:p>
    <w:p w14:paraId="24662852">
      <w:pPr>
        <w:jc w:val="center"/>
        <w:outlineLvl w:val="0"/>
        <w:rPr>
          <w:rFonts w:ascii="黑体" w:hAnsi="黑体" w:eastAsia="黑体" w:cs="黑体"/>
          <w:b/>
          <w:bCs/>
          <w:sz w:val="32"/>
          <w:szCs w:val="32"/>
        </w:rPr>
      </w:pPr>
      <w:r>
        <w:rPr>
          <w:rFonts w:hint="eastAsia" w:ascii="黑体" w:hAnsi="黑体" w:eastAsia="黑体" w:cs="黑体"/>
          <w:b/>
          <w:bCs/>
          <w:sz w:val="32"/>
          <w:szCs w:val="32"/>
        </w:rPr>
        <w:t>《</w:t>
      </w:r>
      <w:r>
        <w:rPr>
          <w:rFonts w:hint="eastAsia" w:ascii="黑体" w:hAnsi="黑体" w:eastAsia="黑体" w:cs="黑体"/>
          <w:b/>
          <w:bCs/>
          <w:sz w:val="32"/>
          <w:szCs w:val="32"/>
          <w:lang w:eastAsia="zh-CN"/>
        </w:rPr>
        <w:t>氧压浸出炼锌氧压釜温度智能监控技术要求</w:t>
      </w:r>
      <w:r>
        <w:rPr>
          <w:rFonts w:hint="eastAsia" w:ascii="黑体" w:hAnsi="黑体" w:eastAsia="黑体" w:cs="黑体"/>
          <w:b/>
          <w:bCs/>
          <w:sz w:val="32"/>
          <w:szCs w:val="32"/>
        </w:rPr>
        <w:t>》</w:t>
      </w:r>
    </w:p>
    <w:p w14:paraId="357391CE">
      <w:pPr>
        <w:jc w:val="center"/>
        <w:outlineLvl w:val="0"/>
        <w:rPr>
          <w:rFonts w:ascii="黑体" w:hAnsi="黑体" w:eastAsia="黑体" w:cs="黑体"/>
          <w:b/>
          <w:bCs/>
          <w:sz w:val="32"/>
          <w:szCs w:val="32"/>
        </w:rPr>
      </w:pPr>
      <w:r>
        <w:rPr>
          <w:rFonts w:hint="eastAsia" w:ascii="黑体" w:hAnsi="黑体" w:eastAsia="黑体" w:cs="黑体"/>
          <w:b/>
          <w:bCs/>
          <w:sz w:val="32"/>
          <w:szCs w:val="32"/>
        </w:rPr>
        <w:t>编制组</w:t>
      </w:r>
    </w:p>
    <w:p w14:paraId="25653A72">
      <w:pPr>
        <w:jc w:val="center"/>
        <w:outlineLvl w:val="0"/>
        <w:rPr>
          <w:rFonts w:ascii="宋体" w:hAnsi="宋体"/>
          <w:b/>
          <w:bCs/>
          <w:sz w:val="18"/>
          <w:szCs w:val="18"/>
        </w:rPr>
        <w:sectPr>
          <w:headerReference r:id="rId3" w:type="default"/>
          <w:pgSz w:w="11906" w:h="16838"/>
          <w:pgMar w:top="1440" w:right="1800" w:bottom="1440" w:left="1800" w:header="851" w:footer="992" w:gutter="0"/>
          <w:cols w:space="720" w:num="1"/>
          <w:docGrid w:type="lines" w:linePitch="312" w:charSpace="0"/>
        </w:sectPr>
      </w:pPr>
      <w:r>
        <w:rPr>
          <w:rFonts w:hint="eastAsia" w:ascii="黑体" w:hAnsi="黑体" w:eastAsia="黑体" w:cs="黑体"/>
          <w:b/>
          <w:bCs/>
          <w:sz w:val="32"/>
          <w:szCs w:val="32"/>
        </w:rPr>
        <w:t>202</w:t>
      </w:r>
      <w:r>
        <w:rPr>
          <w:rFonts w:hint="eastAsia" w:ascii="黑体" w:hAnsi="黑体" w:eastAsia="黑体" w:cs="黑体"/>
          <w:b/>
          <w:bCs/>
          <w:sz w:val="32"/>
          <w:szCs w:val="32"/>
          <w:lang w:val="en-US" w:eastAsia="zh-CN"/>
        </w:rPr>
        <w:t>6</w:t>
      </w:r>
      <w:r>
        <w:rPr>
          <w:rFonts w:hint="eastAsia" w:ascii="黑体" w:hAnsi="黑体" w:eastAsia="黑体" w:cs="黑体"/>
          <w:b/>
          <w:bCs/>
          <w:sz w:val="32"/>
          <w:szCs w:val="32"/>
        </w:rPr>
        <w:t>年</w:t>
      </w:r>
      <w:r>
        <w:rPr>
          <w:rFonts w:hint="eastAsia" w:ascii="黑体" w:hAnsi="黑体" w:eastAsia="黑体" w:cs="黑体"/>
          <w:b/>
          <w:bCs/>
          <w:sz w:val="32"/>
          <w:szCs w:val="32"/>
          <w:lang w:val="en-US" w:eastAsia="zh-CN"/>
        </w:rPr>
        <w:t>06</w:t>
      </w:r>
      <w:r>
        <w:rPr>
          <w:rFonts w:hint="eastAsia" w:ascii="黑体" w:hAnsi="黑体" w:eastAsia="黑体" w:cs="黑体"/>
          <w:b/>
          <w:bCs/>
          <w:sz w:val="32"/>
          <w:szCs w:val="32"/>
        </w:rPr>
        <w:t>月</w:t>
      </w:r>
      <w:r>
        <w:rPr>
          <w:rFonts w:hint="eastAsia" w:ascii="黑体" w:hAnsi="黑体" w:eastAsia="黑体" w:cs="黑体"/>
          <w:b/>
          <w:bCs/>
          <w:sz w:val="32"/>
          <w:szCs w:val="32"/>
          <w:lang w:val="en-US" w:eastAsia="zh-CN"/>
        </w:rPr>
        <w:t>26</w:t>
      </w:r>
      <w:r>
        <w:rPr>
          <w:rFonts w:hint="eastAsia" w:ascii="黑体" w:hAnsi="黑体" w:eastAsia="黑体" w:cs="黑体"/>
          <w:b/>
          <w:bCs/>
          <w:sz w:val="32"/>
          <w:szCs w:val="32"/>
        </w:rPr>
        <w:t>日</w:t>
      </w:r>
    </w:p>
    <w:p w14:paraId="691A07AD">
      <w:pPr>
        <w:jc w:val="center"/>
        <w:outlineLvl w:val="0"/>
        <w:rPr>
          <w:rFonts w:ascii="黑体" w:hAnsi="黑体" w:eastAsia="黑体" w:cs="黑体"/>
          <w:b/>
          <w:bCs/>
          <w:sz w:val="32"/>
          <w:szCs w:val="32"/>
        </w:rPr>
      </w:pPr>
      <w:r>
        <w:rPr>
          <w:rFonts w:hint="eastAsia" w:ascii="黑体" w:hAnsi="黑体" w:eastAsia="黑体" w:cs="黑体"/>
          <w:b/>
          <w:bCs/>
          <w:sz w:val="32"/>
          <w:szCs w:val="32"/>
        </w:rPr>
        <w:t>《</w:t>
      </w:r>
      <w:r>
        <w:rPr>
          <w:rFonts w:hint="eastAsia" w:ascii="黑体" w:hAnsi="黑体" w:eastAsia="黑体" w:cs="黑体"/>
          <w:b/>
          <w:bCs/>
          <w:sz w:val="32"/>
          <w:szCs w:val="32"/>
          <w:lang w:eastAsia="zh-CN"/>
        </w:rPr>
        <w:t>氧压浸出炼锌氧压釜温度智能监控技术要求</w:t>
      </w:r>
      <w:r>
        <w:rPr>
          <w:rFonts w:hint="eastAsia" w:ascii="黑体" w:hAnsi="黑体" w:eastAsia="黑体" w:cs="黑体"/>
          <w:b/>
          <w:bCs/>
          <w:sz w:val="32"/>
          <w:szCs w:val="32"/>
        </w:rPr>
        <w:t>》</w:t>
      </w:r>
    </w:p>
    <w:p w14:paraId="1F1F658D">
      <w:pPr>
        <w:jc w:val="center"/>
        <w:outlineLvl w:val="0"/>
        <w:rPr>
          <w:rFonts w:hint="eastAsia" w:ascii="黑体" w:hAnsi="黑体" w:eastAsia="黑体" w:cs="黑体"/>
          <w:b/>
          <w:bCs/>
          <w:sz w:val="32"/>
          <w:szCs w:val="32"/>
        </w:rPr>
      </w:pPr>
      <w:r>
        <w:rPr>
          <w:rFonts w:hint="eastAsia" w:ascii="黑体" w:hAnsi="黑体" w:eastAsia="黑体" w:cs="黑体"/>
          <w:b/>
          <w:bCs/>
          <w:sz w:val="32"/>
          <w:szCs w:val="32"/>
        </w:rPr>
        <w:t>编制说明</w:t>
      </w:r>
    </w:p>
    <w:p w14:paraId="509F47DD">
      <w:pPr>
        <w:jc w:val="center"/>
        <w:outlineLvl w:val="0"/>
        <w:rPr>
          <w:rFonts w:ascii="黑体" w:hAnsi="黑体" w:eastAsia="黑体" w:cs="黑体"/>
          <w:b/>
          <w:bCs/>
          <w:sz w:val="32"/>
          <w:szCs w:val="32"/>
        </w:rPr>
      </w:pPr>
      <w:r>
        <w:rPr>
          <w:rFonts w:hint="eastAsia" w:ascii="黑体" w:hAnsi="黑体" w:eastAsia="黑体" w:cs="黑体"/>
          <w:b/>
          <w:bCs/>
          <w:sz w:val="32"/>
          <w:szCs w:val="32"/>
        </w:rPr>
        <w:t>（</w:t>
      </w:r>
      <w:r>
        <w:rPr>
          <w:rFonts w:hint="eastAsia" w:ascii="黑体" w:hAnsi="黑体" w:eastAsia="黑体" w:cs="黑体"/>
          <w:b/>
          <w:bCs/>
          <w:sz w:val="32"/>
          <w:szCs w:val="32"/>
          <w:lang w:val="en-US" w:eastAsia="zh-CN"/>
        </w:rPr>
        <w:t>讨论稿</w:t>
      </w:r>
      <w:r>
        <w:rPr>
          <w:rFonts w:hint="eastAsia" w:ascii="黑体" w:hAnsi="黑体" w:eastAsia="黑体" w:cs="黑体"/>
          <w:b/>
          <w:bCs/>
          <w:sz w:val="32"/>
          <w:szCs w:val="32"/>
        </w:rPr>
        <w:t>）</w:t>
      </w:r>
    </w:p>
    <w:p w14:paraId="1D20C2AA">
      <w:pPr>
        <w:numPr>
          <w:ilvl w:val="0"/>
          <w:numId w:val="3"/>
        </w:numPr>
        <w:snapToGrid w:val="0"/>
        <w:spacing w:before="156" w:beforeLines="50" w:after="156" w:afterLines="50" w:line="360" w:lineRule="auto"/>
        <w:outlineLvl w:val="0"/>
        <w:rPr>
          <w:rFonts w:ascii="黑体" w:hAnsi="黑体" w:eastAsia="黑体" w:cs="黑体"/>
          <w:sz w:val="24"/>
          <w:szCs w:val="24"/>
        </w:rPr>
      </w:pPr>
      <w:bookmarkStart w:id="0" w:name="_Toc66798673"/>
      <w:r>
        <w:rPr>
          <w:rFonts w:hint="eastAsia" w:ascii="黑体" w:hAnsi="黑体" w:eastAsia="黑体" w:cs="黑体"/>
          <w:sz w:val="24"/>
          <w:szCs w:val="24"/>
        </w:rPr>
        <w:t>工作简况</w:t>
      </w:r>
    </w:p>
    <w:p w14:paraId="22D39A9D">
      <w:pPr>
        <w:numPr>
          <w:ilvl w:val="0"/>
          <w:numId w:val="4"/>
        </w:numPr>
        <w:snapToGrid w:val="0"/>
        <w:spacing w:before="156" w:beforeLines="50" w:after="156" w:afterLines="50" w:line="360" w:lineRule="auto"/>
        <w:outlineLvl w:val="0"/>
        <w:rPr>
          <w:rFonts w:ascii="黑体" w:hAnsi="黑体" w:eastAsia="黑体" w:cs="黑体"/>
          <w:sz w:val="24"/>
          <w:szCs w:val="24"/>
        </w:rPr>
      </w:pPr>
      <w:r>
        <w:rPr>
          <w:rFonts w:hint="eastAsia" w:ascii="黑体" w:hAnsi="黑体" w:eastAsia="黑体" w:cs="黑体"/>
          <w:sz w:val="24"/>
          <w:szCs w:val="24"/>
        </w:rPr>
        <w:t>项目</w:t>
      </w:r>
      <w:r>
        <w:rPr>
          <w:rFonts w:ascii="黑体" w:hAnsi="黑体" w:eastAsia="黑体" w:cs="黑体"/>
          <w:sz w:val="24"/>
          <w:szCs w:val="24"/>
        </w:rPr>
        <w:t>必要性</w:t>
      </w:r>
      <w:r>
        <w:rPr>
          <w:rFonts w:hint="eastAsia" w:ascii="黑体" w:hAnsi="黑体" w:eastAsia="黑体" w:cs="黑体"/>
          <w:sz w:val="24"/>
          <w:szCs w:val="24"/>
        </w:rPr>
        <w:t>简述</w:t>
      </w:r>
      <w:bookmarkEnd w:id="0"/>
    </w:p>
    <w:p w14:paraId="40A32ADB">
      <w:pPr>
        <w:adjustRightInd w:val="0"/>
        <w:snapToGrid w:val="0"/>
        <w:spacing w:line="360" w:lineRule="auto"/>
        <w:ind w:firstLine="482" w:firstLineChars="200"/>
        <w:rPr>
          <w:rFonts w:hint="default" w:ascii="宋体" w:hAnsi="宋体" w:cs="宋体"/>
          <w:b/>
          <w:bCs/>
          <w:sz w:val="24"/>
          <w:szCs w:val="24"/>
          <w:lang w:val="en-US" w:eastAsia="zh-CN"/>
        </w:rPr>
      </w:pPr>
      <w:r>
        <w:rPr>
          <w:rFonts w:hint="eastAsia" w:ascii="宋体" w:hAnsi="宋体" w:cs="宋体"/>
          <w:b/>
          <w:bCs/>
          <w:sz w:val="24"/>
          <w:szCs w:val="24"/>
          <w:lang w:val="en-US" w:eastAsia="zh-CN"/>
        </w:rPr>
        <w:t>1、</w:t>
      </w:r>
      <w:r>
        <w:rPr>
          <w:rFonts w:hint="default" w:ascii="宋体" w:hAnsi="宋体" w:cs="宋体"/>
          <w:b/>
          <w:bCs/>
          <w:sz w:val="24"/>
          <w:szCs w:val="24"/>
          <w:lang w:val="en-US" w:eastAsia="zh-CN"/>
        </w:rPr>
        <w:t>行业现状与技术优势</w:t>
      </w:r>
    </w:p>
    <w:p w14:paraId="22335BE5">
      <w:pPr>
        <w:adjustRightInd w:val="0"/>
        <w:snapToGrid w:val="0"/>
        <w:spacing w:line="360" w:lineRule="auto"/>
        <w:ind w:firstLine="480" w:firstLineChars="200"/>
        <w:rPr>
          <w:rFonts w:hint="default" w:ascii="宋体" w:hAnsi="宋体" w:cs="宋体"/>
          <w:sz w:val="24"/>
          <w:szCs w:val="24"/>
          <w:lang w:val="en-US" w:eastAsia="zh-CN"/>
        </w:rPr>
      </w:pPr>
      <w:r>
        <w:rPr>
          <w:rFonts w:hint="default" w:ascii="宋体" w:hAnsi="宋体" w:cs="宋体"/>
          <w:sz w:val="24"/>
          <w:szCs w:val="24"/>
          <w:lang w:val="en-US" w:eastAsia="zh-CN"/>
        </w:rPr>
        <w:t>锌冶炼工业是国民经济的重要基础产业。传统湿法炼锌工艺即焙烧浸出工艺，是以硫化锌精矿为原料的湿法炼锌工艺一般都伴随有硫化锌精矿火法焙烧，如果再加上浸出渣的高温还原挥发，则传统湿法炼锌实质上是湿法-火法联合过程；该工艺存在的原料适应性差（高铁闪锌矿无法使用）、制酸环保制约、硫酸运输安全、硫酸销售困难区域无法建厂等问题。</w:t>
      </w:r>
    </w:p>
    <w:p w14:paraId="0479EA72">
      <w:pPr>
        <w:adjustRightInd w:val="0"/>
        <w:snapToGrid w:val="0"/>
        <w:spacing w:line="360" w:lineRule="auto"/>
        <w:ind w:firstLine="480" w:firstLineChars="200"/>
        <w:rPr>
          <w:rFonts w:hint="default" w:ascii="宋体" w:hAnsi="宋体" w:cs="宋体"/>
          <w:sz w:val="24"/>
          <w:szCs w:val="24"/>
          <w:lang w:val="en-US" w:eastAsia="zh-CN"/>
        </w:rPr>
      </w:pPr>
      <w:r>
        <w:rPr>
          <w:rFonts w:hint="default" w:ascii="宋体" w:hAnsi="宋体" w:cs="宋体"/>
          <w:sz w:val="24"/>
          <w:szCs w:val="24"/>
          <w:lang w:val="en-US" w:eastAsia="zh-CN"/>
        </w:rPr>
        <w:t>湿法炼锌氧压浸出工艺是上世纪80年代发展起来的具有划时代意义的炼锌方法（无焙烧过程，属于直接浸出），该工艺属于真正的全湿法炼锌工艺。该工艺属于强化冶金，流程短、反应快，效率高，更适合湿法炼锌工艺，真正实现了全湿法炼锌的目的。与传统的焙烧浸出工艺相比，该法具有投资少、金属回收率高，原料适应性强、伴生金属回收利用程度高、硫的回收方式灵活，流程短、反应快，效率高，环境友好等优势。</w:t>
      </w:r>
    </w:p>
    <w:p w14:paraId="7CE25DEC">
      <w:pPr>
        <w:adjustRightInd w:val="0"/>
        <w:snapToGrid w:val="0"/>
        <w:spacing w:line="360" w:lineRule="auto"/>
        <w:ind w:firstLine="480" w:firstLineChars="200"/>
        <w:rPr>
          <w:rFonts w:hint="default" w:ascii="宋体" w:hAnsi="宋体" w:cs="宋体"/>
          <w:sz w:val="24"/>
          <w:szCs w:val="24"/>
          <w:lang w:val="en-US" w:eastAsia="zh-CN"/>
        </w:rPr>
      </w:pPr>
      <w:r>
        <w:rPr>
          <w:rFonts w:hint="default" w:ascii="宋体" w:hAnsi="宋体" w:cs="宋体"/>
          <w:sz w:val="24"/>
          <w:szCs w:val="24"/>
          <w:lang w:val="en-US" w:eastAsia="zh-CN"/>
        </w:rPr>
        <w:t>鉴于上述特点，作为绿色低碳技术已获得国家工信部《“十四五”工业绿色发展规划》、《有色金属行业碳达峰实施方案》和《铅锌冶炼厂工艺设计规范》推荐以及各设计院、炼锌企业青睐，正在推广氧压浸出炼锌工艺。</w:t>
      </w:r>
    </w:p>
    <w:p w14:paraId="5E6E2988">
      <w:pPr>
        <w:adjustRightInd w:val="0"/>
        <w:snapToGrid w:val="0"/>
        <w:spacing w:line="360" w:lineRule="auto"/>
        <w:ind w:firstLine="480" w:firstLineChars="200"/>
        <w:rPr>
          <w:rFonts w:hint="default" w:ascii="宋体" w:hAnsi="宋体" w:cs="宋体"/>
          <w:sz w:val="24"/>
          <w:szCs w:val="24"/>
          <w:lang w:val="en-US" w:eastAsia="zh-CN"/>
        </w:rPr>
      </w:pPr>
      <w:r>
        <w:rPr>
          <w:rFonts w:hint="default" w:ascii="宋体" w:hAnsi="宋体" w:cs="宋体"/>
          <w:sz w:val="24"/>
          <w:szCs w:val="24"/>
          <w:lang w:val="en-US" w:eastAsia="zh-CN"/>
        </w:rPr>
        <w:t>目前，世界上拥有此技术产权的国家只有加拿大和中国，加拿大技术拥有方是舍利特公司，中国技术拥有方是云南冶金集团股份有限公司。采用加拿大技术的工厂包括加拿大的柯明科公司、奇德·克里克公司、哈德逊公司、日本Akita公司、德国鲁尔锌厂等，国内的企业包括中金岭南有色金属股份有限公司丹霞冶炼厂、青海湘和有色金属有限责任公司、广西誉升锗业高新技术有限公司。采用中国技术的工厂包括呼伦贝尔驰宏矿业有限公司、云南永昌铅锌股份有限公司、云南澜沧铅矿有限公司、新疆华源通盛司矿冶有限公司、黑龙江大兴安岭云冶矿业有限公司。</w:t>
      </w:r>
    </w:p>
    <w:p w14:paraId="73C2564E">
      <w:pPr>
        <w:adjustRightInd w:val="0"/>
        <w:snapToGrid w:val="0"/>
        <w:spacing w:line="360" w:lineRule="auto"/>
        <w:ind w:firstLine="482" w:firstLineChars="200"/>
        <w:rPr>
          <w:rFonts w:hint="default" w:ascii="宋体" w:hAnsi="宋体" w:cs="宋体"/>
          <w:b/>
          <w:bCs/>
          <w:sz w:val="24"/>
          <w:szCs w:val="24"/>
          <w:lang w:val="en-US" w:eastAsia="zh-CN"/>
        </w:rPr>
      </w:pPr>
      <w:r>
        <w:rPr>
          <w:rFonts w:hint="eastAsia" w:ascii="宋体" w:hAnsi="宋体" w:cs="宋体"/>
          <w:b/>
          <w:bCs/>
          <w:sz w:val="24"/>
          <w:szCs w:val="24"/>
          <w:lang w:val="en-US" w:eastAsia="zh-CN"/>
        </w:rPr>
        <w:t>2、</w:t>
      </w:r>
      <w:r>
        <w:rPr>
          <w:rFonts w:hint="default" w:ascii="宋体" w:hAnsi="宋体" w:cs="宋体"/>
          <w:b/>
          <w:bCs/>
          <w:sz w:val="24"/>
          <w:szCs w:val="24"/>
          <w:lang w:val="en-US" w:eastAsia="zh-CN"/>
        </w:rPr>
        <w:t>核心设备安全隐患与监控盲区</w:t>
      </w:r>
    </w:p>
    <w:p w14:paraId="3F80DFEB">
      <w:pPr>
        <w:adjustRightInd w:val="0"/>
        <w:snapToGrid w:val="0"/>
        <w:spacing w:line="360" w:lineRule="auto"/>
        <w:ind w:firstLine="480" w:firstLineChars="200"/>
        <w:rPr>
          <w:rFonts w:hint="default" w:ascii="宋体" w:hAnsi="宋体" w:cs="宋体"/>
          <w:sz w:val="24"/>
          <w:szCs w:val="24"/>
          <w:lang w:val="en-US" w:eastAsia="zh-CN"/>
        </w:rPr>
      </w:pPr>
      <w:r>
        <w:rPr>
          <w:rFonts w:hint="default" w:ascii="宋体" w:hAnsi="宋体" w:cs="宋体"/>
          <w:sz w:val="24"/>
          <w:szCs w:val="24"/>
          <w:lang w:val="en-US" w:eastAsia="zh-CN"/>
        </w:rPr>
        <w:t>氧压釜是氧压浸出炼锌工艺的核心反应设备，运行于高温、高压、高酸的极端工况下。然而，针对氧压釜的温度监控，目前行业存在严重的设计缺陷与运维短板：</w:t>
      </w:r>
    </w:p>
    <w:p w14:paraId="3CBAE719">
      <w:pPr>
        <w:adjustRightInd w:val="0"/>
        <w:snapToGrid w:val="0"/>
        <w:spacing w:line="360" w:lineRule="auto"/>
        <w:ind w:firstLine="480" w:firstLineChars="200"/>
        <w:rPr>
          <w:rFonts w:hint="default" w:ascii="宋体" w:hAnsi="宋体" w:cs="宋体"/>
          <w:sz w:val="24"/>
          <w:szCs w:val="24"/>
          <w:lang w:val="en-US" w:eastAsia="zh-CN"/>
        </w:rPr>
      </w:pPr>
      <w:r>
        <w:rPr>
          <w:rFonts w:hint="default" w:ascii="宋体" w:hAnsi="宋体" w:cs="宋体"/>
          <w:sz w:val="24"/>
          <w:szCs w:val="24"/>
          <w:lang w:val="en-US" w:eastAsia="zh-CN"/>
        </w:rPr>
        <w:t>1</w:t>
      </w:r>
      <w:r>
        <w:rPr>
          <w:rFonts w:hint="eastAsia" w:ascii="宋体" w:hAnsi="宋体" w:cs="宋体"/>
          <w:sz w:val="24"/>
          <w:szCs w:val="24"/>
          <w:lang w:val="en-US" w:eastAsia="zh-CN"/>
        </w:rPr>
        <w:t>）</w:t>
      </w:r>
      <w:r>
        <w:rPr>
          <w:rFonts w:hint="default" w:ascii="宋体" w:hAnsi="宋体" w:cs="宋体"/>
          <w:sz w:val="24"/>
          <w:szCs w:val="24"/>
          <w:lang w:val="en-US" w:eastAsia="zh-CN"/>
        </w:rPr>
        <w:t>设计层面：监控范围片面，忽视表面温度实用价值和安全价值</w:t>
      </w:r>
    </w:p>
    <w:p w14:paraId="24C580D2">
      <w:pPr>
        <w:adjustRightInd w:val="0"/>
        <w:snapToGrid w:val="0"/>
        <w:spacing w:line="360" w:lineRule="auto"/>
        <w:ind w:firstLine="480" w:firstLineChars="200"/>
        <w:rPr>
          <w:rFonts w:hint="default" w:ascii="宋体" w:hAnsi="宋体" w:cs="宋体"/>
          <w:sz w:val="24"/>
          <w:szCs w:val="24"/>
          <w:lang w:val="en-US" w:eastAsia="zh-CN"/>
        </w:rPr>
      </w:pPr>
      <w:r>
        <w:rPr>
          <w:rFonts w:hint="default" w:ascii="宋体" w:hAnsi="宋体" w:cs="宋体"/>
          <w:sz w:val="24"/>
          <w:szCs w:val="24"/>
          <w:lang w:val="en-US" w:eastAsia="zh-CN"/>
        </w:rPr>
        <w:t>A、监控对象单一</w:t>
      </w:r>
    </w:p>
    <w:p w14:paraId="05A78B6B">
      <w:pPr>
        <w:adjustRightInd w:val="0"/>
        <w:snapToGrid w:val="0"/>
        <w:spacing w:line="360" w:lineRule="auto"/>
        <w:ind w:firstLine="480" w:firstLineChars="200"/>
        <w:rPr>
          <w:rFonts w:hint="default" w:ascii="宋体" w:hAnsi="宋体" w:cs="宋体"/>
          <w:sz w:val="24"/>
          <w:szCs w:val="24"/>
          <w:lang w:val="en-US" w:eastAsia="zh-CN"/>
        </w:rPr>
      </w:pPr>
      <w:r>
        <w:rPr>
          <w:rFonts w:hint="default" w:ascii="宋体" w:hAnsi="宋体" w:cs="宋体"/>
          <w:sz w:val="24"/>
          <w:szCs w:val="24"/>
          <w:lang w:val="en-US" w:eastAsia="zh-CN"/>
        </w:rPr>
        <w:t>现行设计仅关注釜内反应温度（通过内置热电偶监测），但未将釜体表面及关键设备温度纳入监控体系。这种设计存在两大盲区：</w:t>
      </w:r>
    </w:p>
    <w:p w14:paraId="313B880E">
      <w:pPr>
        <w:adjustRightInd w:val="0"/>
        <w:snapToGrid w:val="0"/>
        <w:spacing w:line="360" w:lineRule="auto"/>
        <w:ind w:firstLine="480" w:firstLineChars="200"/>
        <w:rPr>
          <w:rFonts w:hint="default" w:ascii="宋体" w:hAnsi="宋体" w:cs="宋体"/>
          <w:sz w:val="24"/>
          <w:szCs w:val="24"/>
          <w:lang w:val="en-US" w:eastAsia="zh-CN"/>
        </w:rPr>
      </w:pPr>
      <w:r>
        <w:rPr>
          <w:rFonts w:hint="default" w:ascii="宋体" w:hAnsi="宋体" w:cs="宋体"/>
          <w:sz w:val="24"/>
          <w:szCs w:val="24"/>
          <w:lang w:val="en-US" w:eastAsia="zh-CN"/>
        </w:rPr>
        <w:t>①防腐砖失效风险不可见：釜内防腐砖的破损、脱落会导致高温介质直接接触釜体钢壳，引发局部过热。但内置测温点无法感知釜壁温度异常，仅能通过定期停釜检修（通常半年以上）被动发现，如检查未发现则存在防腐砖损坏，氧压釜体损伤风险，降低设备使用寿命。</w:t>
      </w:r>
    </w:p>
    <w:p w14:paraId="63064E2E">
      <w:pPr>
        <w:adjustRightInd w:val="0"/>
        <w:snapToGrid w:val="0"/>
        <w:spacing w:line="360" w:lineRule="auto"/>
        <w:ind w:firstLine="480" w:firstLineChars="200"/>
        <w:rPr>
          <w:rFonts w:hint="default" w:ascii="宋体" w:hAnsi="宋体" w:cs="宋体"/>
          <w:sz w:val="24"/>
          <w:szCs w:val="24"/>
          <w:lang w:val="en-US" w:eastAsia="zh-CN"/>
        </w:rPr>
      </w:pPr>
      <w:r>
        <w:rPr>
          <w:rFonts w:hint="default" w:ascii="宋体" w:hAnsi="宋体" w:cs="宋体"/>
          <w:sz w:val="24"/>
          <w:szCs w:val="24"/>
          <w:lang w:val="en-US" w:eastAsia="zh-CN"/>
        </w:rPr>
        <w:t>②附属设备状态脱管：氧气管法兰、搅拌机轴承/减速箱等关键部位因机械磨损或冷却失效可能突发高温（如轴承温升＞100 ℃），但传统设计未布设温度传感器，异常升温无法实时预警。</w:t>
      </w:r>
    </w:p>
    <w:p w14:paraId="07AADE7A">
      <w:pPr>
        <w:adjustRightInd w:val="0"/>
        <w:snapToGrid w:val="0"/>
        <w:spacing w:line="360" w:lineRule="auto"/>
        <w:ind w:firstLine="480" w:firstLineChars="200"/>
        <w:rPr>
          <w:rFonts w:hint="default" w:ascii="宋体" w:hAnsi="宋体" w:cs="宋体"/>
          <w:sz w:val="24"/>
          <w:szCs w:val="24"/>
          <w:lang w:val="en-US" w:eastAsia="zh-CN"/>
        </w:rPr>
      </w:pPr>
      <w:r>
        <w:rPr>
          <w:rFonts w:hint="default" w:ascii="宋体" w:hAnsi="宋体" w:cs="宋体"/>
          <w:sz w:val="24"/>
          <w:szCs w:val="24"/>
          <w:lang w:val="en-US" w:eastAsia="zh-CN"/>
        </w:rPr>
        <w:t>B、技术手段落后</w:t>
      </w:r>
    </w:p>
    <w:p w14:paraId="46C907D2">
      <w:pPr>
        <w:adjustRightInd w:val="0"/>
        <w:snapToGrid w:val="0"/>
        <w:spacing w:line="360" w:lineRule="auto"/>
        <w:ind w:firstLine="480" w:firstLineChars="200"/>
        <w:rPr>
          <w:rFonts w:hint="default" w:ascii="宋体" w:hAnsi="宋体" w:cs="宋体"/>
          <w:sz w:val="24"/>
          <w:szCs w:val="24"/>
          <w:lang w:val="en-US" w:eastAsia="zh-CN"/>
        </w:rPr>
      </w:pPr>
      <w:r>
        <w:rPr>
          <w:rFonts w:hint="default" w:ascii="宋体" w:hAnsi="宋体" w:cs="宋体"/>
          <w:sz w:val="24"/>
          <w:szCs w:val="24"/>
          <w:lang w:val="en-US" w:eastAsia="zh-CN"/>
        </w:rPr>
        <w:t>①依赖点式接触测温：人工巡检采用手持红外测温枪，仅能获取离散点位温度（如每小时抽查2-3个点），覆盖面积不足釜体表面积的5%，且无法连续监测动态温变。</w:t>
      </w:r>
    </w:p>
    <w:p w14:paraId="4E3F2B10">
      <w:pPr>
        <w:adjustRightInd w:val="0"/>
        <w:snapToGrid w:val="0"/>
        <w:spacing w:line="360" w:lineRule="auto"/>
        <w:ind w:firstLine="480" w:firstLineChars="200"/>
        <w:rPr>
          <w:rFonts w:hint="default" w:ascii="宋体" w:hAnsi="宋体" w:cs="宋体"/>
          <w:sz w:val="24"/>
          <w:szCs w:val="24"/>
          <w:lang w:val="en-US" w:eastAsia="zh-CN"/>
        </w:rPr>
      </w:pPr>
      <w:r>
        <w:rPr>
          <w:rFonts w:hint="default" w:ascii="宋体" w:hAnsi="宋体" w:cs="宋体"/>
          <w:sz w:val="24"/>
          <w:szCs w:val="24"/>
          <w:lang w:val="en-US" w:eastAsia="zh-CN"/>
        </w:rPr>
        <w:t>②无温度场全局感知：氧压釜表面温度分布不均（如焊缝区易积热、锥底区易沉积），点式测温无法捕捉局部过热区（如直径＜0.5 m的高温点），导致微小泄漏点被遗漏。</w:t>
      </w:r>
    </w:p>
    <w:p w14:paraId="369DF24E">
      <w:pPr>
        <w:adjustRightInd w:val="0"/>
        <w:snapToGrid w:val="0"/>
        <w:spacing w:line="360" w:lineRule="auto"/>
        <w:ind w:firstLine="480" w:firstLineChars="200"/>
        <w:rPr>
          <w:rFonts w:hint="default" w:ascii="宋体" w:hAnsi="宋体" w:cs="宋体"/>
          <w:sz w:val="24"/>
          <w:szCs w:val="24"/>
          <w:lang w:val="en-US" w:eastAsia="zh-CN"/>
        </w:rPr>
      </w:pPr>
      <w:r>
        <w:rPr>
          <w:rFonts w:hint="default" w:ascii="宋体" w:hAnsi="宋体" w:cs="宋体"/>
          <w:sz w:val="24"/>
          <w:szCs w:val="24"/>
          <w:lang w:val="en-US" w:eastAsia="zh-CN"/>
        </w:rPr>
        <w:t>2</w:t>
      </w:r>
      <w:r>
        <w:rPr>
          <w:rFonts w:hint="eastAsia" w:ascii="宋体" w:hAnsi="宋体" w:cs="宋体"/>
          <w:sz w:val="24"/>
          <w:szCs w:val="24"/>
          <w:lang w:val="en-US" w:eastAsia="zh-CN"/>
        </w:rPr>
        <w:t>）</w:t>
      </w:r>
      <w:r>
        <w:rPr>
          <w:rFonts w:hint="default" w:ascii="宋体" w:hAnsi="宋体" w:cs="宋体"/>
          <w:sz w:val="24"/>
          <w:szCs w:val="24"/>
          <w:lang w:val="en-US" w:eastAsia="zh-CN"/>
        </w:rPr>
        <w:t>运维层面：人工依赖度高，数据追溯与响应能力不足</w:t>
      </w:r>
    </w:p>
    <w:p w14:paraId="063DC7CD">
      <w:pPr>
        <w:adjustRightInd w:val="0"/>
        <w:snapToGrid w:val="0"/>
        <w:spacing w:line="360" w:lineRule="auto"/>
        <w:ind w:firstLine="480" w:firstLineChars="200"/>
        <w:rPr>
          <w:rFonts w:hint="default" w:ascii="宋体" w:hAnsi="宋体" w:cs="宋体"/>
          <w:sz w:val="24"/>
          <w:szCs w:val="24"/>
          <w:lang w:val="en-US" w:eastAsia="zh-CN"/>
        </w:rPr>
      </w:pPr>
      <w:r>
        <w:rPr>
          <w:rFonts w:hint="default" w:ascii="宋体" w:hAnsi="宋体" w:cs="宋体"/>
          <w:sz w:val="24"/>
          <w:szCs w:val="24"/>
          <w:lang w:val="en-US" w:eastAsia="zh-CN"/>
        </w:rPr>
        <w:t>A、巡检效率低且风险高</w:t>
      </w:r>
    </w:p>
    <w:p w14:paraId="4851A402">
      <w:pPr>
        <w:adjustRightInd w:val="0"/>
        <w:snapToGrid w:val="0"/>
        <w:spacing w:line="360" w:lineRule="auto"/>
        <w:ind w:firstLine="480" w:firstLineChars="200"/>
        <w:rPr>
          <w:rFonts w:hint="default" w:ascii="宋体" w:hAnsi="宋体" w:cs="宋体"/>
          <w:sz w:val="24"/>
          <w:szCs w:val="24"/>
          <w:lang w:val="en-US" w:eastAsia="zh-CN"/>
        </w:rPr>
      </w:pPr>
      <w:r>
        <w:rPr>
          <w:rFonts w:hint="default" w:ascii="宋体" w:hAnsi="宋体" w:cs="宋体"/>
          <w:sz w:val="24"/>
          <w:szCs w:val="24"/>
          <w:lang w:val="en-US" w:eastAsia="zh-CN"/>
        </w:rPr>
        <w:t>①盲区不可避免：人工巡检受视野遮挡（如管道密集区）、环境复杂（高压釜通入氧气，如泄漏逸散或者因为场地高度，如一二楼高度较高）限制，难以全面覆盖5大高危区域（如底部氧管连接处、机封冷却水区）。</w:t>
      </w:r>
    </w:p>
    <w:p w14:paraId="1F94BBBA">
      <w:pPr>
        <w:adjustRightInd w:val="0"/>
        <w:snapToGrid w:val="0"/>
        <w:spacing w:line="360" w:lineRule="auto"/>
        <w:ind w:firstLine="480" w:firstLineChars="200"/>
        <w:rPr>
          <w:rFonts w:hint="default" w:ascii="宋体" w:hAnsi="宋体" w:cs="宋体"/>
          <w:sz w:val="24"/>
          <w:szCs w:val="24"/>
          <w:lang w:val="en-US" w:eastAsia="zh-CN"/>
        </w:rPr>
      </w:pPr>
      <w:r>
        <w:rPr>
          <w:rFonts w:hint="default" w:ascii="宋体" w:hAnsi="宋体" w:cs="宋体"/>
          <w:sz w:val="24"/>
          <w:szCs w:val="24"/>
          <w:lang w:val="en-US" w:eastAsia="zh-CN"/>
        </w:rPr>
        <w:t>②经验依赖性强：异常判断依赖工人经验（如“温枪检测温升”或“异响识别”），缺乏量化依据。例如，某企业曾因操作员未及时识别搅拌轴轴承微振（预示温升），导致轴承抱死引发停机。</w:t>
      </w:r>
    </w:p>
    <w:p w14:paraId="7EEE9B11">
      <w:pPr>
        <w:adjustRightInd w:val="0"/>
        <w:snapToGrid w:val="0"/>
        <w:spacing w:line="360" w:lineRule="auto"/>
        <w:ind w:firstLine="480" w:firstLineChars="200"/>
        <w:rPr>
          <w:rFonts w:hint="default" w:ascii="宋体" w:hAnsi="宋体" w:cs="宋体"/>
          <w:sz w:val="24"/>
          <w:szCs w:val="24"/>
          <w:lang w:val="en-US" w:eastAsia="zh-CN"/>
        </w:rPr>
      </w:pPr>
      <w:r>
        <w:rPr>
          <w:rFonts w:hint="default" w:ascii="宋体" w:hAnsi="宋体" w:cs="宋体"/>
          <w:sz w:val="24"/>
          <w:szCs w:val="24"/>
          <w:lang w:val="en-US" w:eastAsia="zh-CN"/>
        </w:rPr>
        <w:t>B、数据断层与追溯失效</w:t>
      </w:r>
    </w:p>
    <w:p w14:paraId="4711D459">
      <w:pPr>
        <w:adjustRightInd w:val="0"/>
        <w:snapToGrid w:val="0"/>
        <w:spacing w:line="360" w:lineRule="auto"/>
        <w:ind w:firstLine="480" w:firstLineChars="200"/>
        <w:rPr>
          <w:rFonts w:hint="default" w:ascii="宋体" w:hAnsi="宋体" w:cs="宋体"/>
          <w:sz w:val="24"/>
          <w:szCs w:val="24"/>
          <w:lang w:val="en-US" w:eastAsia="zh-CN"/>
        </w:rPr>
      </w:pPr>
      <w:r>
        <w:rPr>
          <w:rFonts w:hint="default" w:ascii="宋体" w:hAnsi="宋体" w:cs="宋体"/>
          <w:sz w:val="24"/>
          <w:szCs w:val="24"/>
          <w:lang w:val="en-US" w:eastAsia="zh-CN"/>
        </w:rPr>
        <w:t>①无连续历史数据：人工记录的温度数据碎片化（如每日1-2次），无法生成温度变化曲线，事故后难以追溯温升过程（如分析是突发爆管还是渐进泄漏）。</w:t>
      </w:r>
    </w:p>
    <w:p w14:paraId="7331429C">
      <w:pPr>
        <w:adjustRightInd w:val="0"/>
        <w:snapToGrid w:val="0"/>
        <w:spacing w:line="360" w:lineRule="auto"/>
        <w:ind w:firstLine="480" w:firstLineChars="200"/>
        <w:rPr>
          <w:rFonts w:hint="default" w:ascii="宋体" w:hAnsi="宋体" w:cs="宋体"/>
          <w:sz w:val="24"/>
          <w:szCs w:val="24"/>
          <w:lang w:val="en-US" w:eastAsia="zh-CN"/>
        </w:rPr>
      </w:pPr>
      <w:r>
        <w:rPr>
          <w:rFonts w:hint="default" w:ascii="宋体" w:hAnsi="宋体" w:cs="宋体"/>
          <w:sz w:val="24"/>
          <w:szCs w:val="24"/>
          <w:lang w:val="en-US" w:eastAsia="zh-CN"/>
        </w:rPr>
        <w:t>②报警响应无闭环：现有DCS系统仅针对釜内温度超限报警，但表面温度异常无联动机制。例如，某厂氧气管底部堵塞时，因无表面温度报警联锁，直至发现底部氧气管略微变红才手动切断氧气，加剧了泄漏和安全风险。</w:t>
      </w:r>
    </w:p>
    <w:p w14:paraId="4E45AE67">
      <w:pPr>
        <w:adjustRightInd w:val="0"/>
        <w:snapToGrid w:val="0"/>
        <w:spacing w:line="360" w:lineRule="auto"/>
        <w:ind w:firstLine="480" w:firstLineChars="200"/>
        <w:rPr>
          <w:rFonts w:hint="default" w:ascii="宋体" w:hAnsi="宋体" w:cs="宋体"/>
          <w:sz w:val="24"/>
          <w:szCs w:val="24"/>
          <w:lang w:val="en-US" w:eastAsia="zh-CN"/>
        </w:rPr>
      </w:pPr>
      <w:r>
        <w:rPr>
          <w:rFonts w:hint="default" w:ascii="宋体" w:hAnsi="宋体" w:cs="宋体"/>
          <w:sz w:val="24"/>
          <w:szCs w:val="24"/>
          <w:lang w:val="en-US" w:eastAsia="zh-CN"/>
        </w:rPr>
        <w:t>3</w:t>
      </w:r>
      <w:r>
        <w:rPr>
          <w:rFonts w:hint="eastAsia" w:ascii="宋体" w:hAnsi="宋体" w:cs="宋体"/>
          <w:sz w:val="24"/>
          <w:szCs w:val="24"/>
          <w:lang w:val="en-US" w:eastAsia="zh-CN"/>
        </w:rPr>
        <w:t>）</w:t>
      </w:r>
      <w:r>
        <w:rPr>
          <w:rFonts w:hint="default" w:ascii="宋体" w:hAnsi="宋体" w:cs="宋体"/>
          <w:sz w:val="24"/>
          <w:szCs w:val="24"/>
          <w:lang w:val="en-US" w:eastAsia="zh-CN"/>
        </w:rPr>
        <w:t>典型事故案例</w:t>
      </w:r>
    </w:p>
    <w:p w14:paraId="15F04FC2">
      <w:pPr>
        <w:adjustRightInd w:val="0"/>
        <w:snapToGrid w:val="0"/>
        <w:spacing w:line="360" w:lineRule="auto"/>
        <w:ind w:firstLine="480" w:firstLineChars="200"/>
        <w:rPr>
          <w:rFonts w:hint="default" w:ascii="宋体" w:hAnsi="宋体" w:cs="宋体"/>
          <w:sz w:val="24"/>
          <w:szCs w:val="24"/>
          <w:lang w:val="en-US" w:eastAsia="zh-CN"/>
        </w:rPr>
      </w:pPr>
      <w:r>
        <w:rPr>
          <w:rFonts w:hint="default" w:ascii="宋体" w:hAnsi="宋体" w:cs="宋体"/>
          <w:sz w:val="24"/>
          <w:szCs w:val="24"/>
          <w:lang w:val="en-US" w:eastAsia="zh-CN"/>
        </w:rPr>
        <w:t>案例1（防腐砖失效）：某14万吨氧压浸出项目因未监测釜体表面温度，局部防腐砖脱落未被发现，持续运行</w:t>
      </w:r>
      <w:r>
        <w:rPr>
          <w:rFonts w:hint="eastAsia" w:ascii="宋体" w:hAnsi="宋体" w:cs="宋体"/>
          <w:sz w:val="24"/>
          <w:szCs w:val="24"/>
          <w:lang w:val="en-US" w:eastAsia="zh-CN"/>
        </w:rPr>
        <w:t>1</w:t>
      </w:r>
      <w:r>
        <w:rPr>
          <w:rFonts w:hint="default" w:ascii="宋体" w:hAnsi="宋体" w:cs="宋体"/>
          <w:sz w:val="24"/>
          <w:szCs w:val="24"/>
          <w:lang w:val="en-US" w:eastAsia="zh-CN"/>
        </w:rPr>
        <w:t>个月后氧压釜排料不畅引发系统紧急停车。经排料检查发现排料管道被防腐砖堵塞，且釜内防腐砖脱落磨损面积较大。若配备温度实时监测，可提前1-2个月预警处理。</w:t>
      </w:r>
    </w:p>
    <w:p w14:paraId="45488FF9">
      <w:pPr>
        <w:adjustRightInd w:val="0"/>
        <w:snapToGrid w:val="0"/>
        <w:spacing w:line="360" w:lineRule="auto"/>
        <w:ind w:firstLine="480" w:firstLineChars="200"/>
        <w:rPr>
          <w:rFonts w:hint="default" w:ascii="宋体" w:hAnsi="宋体" w:cs="宋体"/>
          <w:sz w:val="24"/>
          <w:szCs w:val="24"/>
          <w:lang w:val="en-US" w:eastAsia="zh-CN"/>
        </w:rPr>
      </w:pPr>
      <w:r>
        <w:rPr>
          <w:rFonts w:hint="default" w:ascii="宋体" w:hAnsi="宋体" w:cs="宋体"/>
          <w:sz w:val="24"/>
          <w:szCs w:val="24"/>
          <w:lang w:val="en-US" w:eastAsia="zh-CN"/>
        </w:rPr>
        <w:t>案例2（搅拌机故障）：某企业搅拌机冷却液泄漏，冷却水断流，轴承温度骤升，但因无实时监控，直至冒烟才被发现，导致氧压釜紧急排料停机处理，减速箱报废。若配备温度实时监测，根据温升速率预警，则可提前介入检修，避免故障升级。</w:t>
      </w:r>
    </w:p>
    <w:p w14:paraId="5C5F63EF">
      <w:pPr>
        <w:adjustRightInd w:val="0"/>
        <w:snapToGrid w:val="0"/>
        <w:spacing w:line="360" w:lineRule="auto"/>
        <w:ind w:firstLine="482" w:firstLineChars="200"/>
        <w:rPr>
          <w:rFonts w:hint="default" w:ascii="宋体" w:hAnsi="宋体" w:cs="宋体"/>
          <w:b/>
          <w:bCs/>
          <w:sz w:val="24"/>
          <w:szCs w:val="24"/>
          <w:lang w:val="en-US" w:eastAsia="zh-CN"/>
        </w:rPr>
      </w:pPr>
      <w:r>
        <w:rPr>
          <w:rFonts w:hint="eastAsia" w:ascii="宋体" w:hAnsi="宋体" w:cs="宋体"/>
          <w:b/>
          <w:bCs/>
          <w:sz w:val="24"/>
          <w:szCs w:val="24"/>
          <w:lang w:val="en-US" w:eastAsia="zh-CN"/>
        </w:rPr>
        <w:t>3、</w:t>
      </w:r>
      <w:r>
        <w:rPr>
          <w:rFonts w:hint="default" w:ascii="宋体" w:hAnsi="宋体" w:cs="宋体"/>
          <w:b/>
          <w:bCs/>
          <w:sz w:val="24"/>
          <w:szCs w:val="24"/>
          <w:lang w:val="en-US" w:eastAsia="zh-CN"/>
        </w:rPr>
        <w:t>制定标准的必要性和意义</w:t>
      </w:r>
    </w:p>
    <w:p w14:paraId="5C3E3820">
      <w:pPr>
        <w:adjustRightInd w:val="0"/>
        <w:snapToGrid w:val="0"/>
        <w:spacing w:line="360" w:lineRule="auto"/>
        <w:ind w:firstLine="480" w:firstLineChars="200"/>
        <w:rPr>
          <w:rFonts w:hint="default" w:ascii="宋体" w:hAnsi="宋体" w:cs="宋体"/>
          <w:sz w:val="24"/>
          <w:szCs w:val="24"/>
          <w:lang w:val="en-US" w:eastAsia="zh-CN"/>
        </w:rPr>
      </w:pPr>
      <w:r>
        <w:rPr>
          <w:rFonts w:hint="default" w:ascii="宋体" w:hAnsi="宋体" w:cs="宋体"/>
          <w:sz w:val="24"/>
          <w:szCs w:val="24"/>
          <w:lang w:val="en-US" w:eastAsia="zh-CN"/>
        </w:rPr>
        <w:t>综上所述，针对氧压浸出炼锌氧压釜温度监测，当前存在严重的技术空白：监控范围片面，仅聚焦釜内温度，忽视釜体表面及关键设备（氧气管、搅拌机等）温度安全价值；人工巡检低效，离散点式测温覆盖面不足，缺乏连续在线数据；预警机制缺失，表面温度异常无报警联锁，事故追溯能力薄弱。</w:t>
      </w:r>
    </w:p>
    <w:p w14:paraId="5102655C">
      <w:pPr>
        <w:adjustRightInd w:val="0"/>
        <w:snapToGrid w:val="0"/>
        <w:spacing w:line="360" w:lineRule="auto"/>
        <w:ind w:firstLine="480" w:firstLineChars="200"/>
        <w:rPr>
          <w:rFonts w:hint="default" w:ascii="宋体" w:hAnsi="宋体" w:cs="宋体"/>
          <w:sz w:val="24"/>
          <w:szCs w:val="24"/>
          <w:lang w:val="en-US" w:eastAsia="zh-CN"/>
        </w:rPr>
      </w:pPr>
      <w:r>
        <w:rPr>
          <w:rFonts w:hint="default" w:ascii="宋体" w:hAnsi="宋体" w:cs="宋体"/>
          <w:sz w:val="24"/>
          <w:szCs w:val="24"/>
          <w:lang w:val="en-US" w:eastAsia="zh-CN"/>
        </w:rPr>
        <w:t>本标准的制定，将通过规范氧压釜温度智能监控系统的技术要求（包括红外热像仪组网、温度场重构、三级报警联锁机制及远程控制功能），建立标准化的监控体系，实现对氧压釜表面及关键部位（</w:t>
      </w:r>
      <w:r>
        <w:rPr>
          <w:rFonts w:hint="eastAsia" w:ascii="宋体" w:hAnsi="宋体" w:cs="宋体"/>
          <w:sz w:val="24"/>
          <w:szCs w:val="24"/>
          <w:lang w:val="en-US" w:eastAsia="zh-CN"/>
        </w:rPr>
        <w:t>如</w:t>
      </w:r>
      <w:r>
        <w:rPr>
          <w:rFonts w:hint="default" w:ascii="宋体" w:hAnsi="宋体" w:cs="宋体"/>
          <w:sz w:val="24"/>
          <w:szCs w:val="24"/>
          <w:lang w:val="en-US" w:eastAsia="zh-CN"/>
        </w:rPr>
        <w:t>氧气管、搅拌电机、减速机等）温度的实时监测与智能预警，有效预防氧气管泄漏、爆管等重大事故。同时，为后续设备运维标准、事故追溯规范的制定提供技术基础，促进企业智能化改造和科研院校的技术创新，为湿法炼锌行业安全、高效、高质量的可持续发展提供基础保障。</w:t>
      </w:r>
    </w:p>
    <w:p w14:paraId="145A7965">
      <w:pPr>
        <w:adjustRightInd w:val="0"/>
        <w:snapToGrid w:val="0"/>
        <w:spacing w:line="360" w:lineRule="auto"/>
        <w:ind w:firstLine="480" w:firstLineChars="200"/>
        <w:rPr>
          <w:rFonts w:hint="eastAsia" w:ascii="宋体" w:hAnsi="宋体" w:cs="宋体"/>
          <w:color w:val="FF0000"/>
          <w:sz w:val="24"/>
          <w:szCs w:val="24"/>
          <w:lang w:val="en-US" w:eastAsia="zh-CN"/>
        </w:rPr>
      </w:pPr>
      <w:r>
        <w:rPr>
          <w:rFonts w:hint="default" w:ascii="宋体" w:hAnsi="宋体" w:cs="宋体"/>
          <w:sz w:val="24"/>
          <w:szCs w:val="24"/>
          <w:lang w:val="en-US" w:eastAsia="zh-CN"/>
        </w:rPr>
        <w:t>本标准的制定精准契合《中国制造2025》中“绿色制造、循环发展”的核心要求，以及《“十四五”循环经济发展规划》关于推动传统产业智能化升级的部署，具有明确的政策导向性与战略价值。</w:t>
      </w:r>
    </w:p>
    <w:p w14:paraId="36034766">
      <w:pPr>
        <w:numPr>
          <w:ilvl w:val="0"/>
          <w:numId w:val="4"/>
        </w:numPr>
        <w:tabs>
          <w:tab w:val="left" w:pos="3108"/>
        </w:tabs>
        <w:snapToGrid w:val="0"/>
        <w:spacing w:before="156" w:beforeLines="50" w:after="156" w:afterLines="50" w:line="360" w:lineRule="auto"/>
        <w:outlineLvl w:val="0"/>
        <w:rPr>
          <w:rFonts w:ascii="黑体" w:hAnsi="黑体" w:eastAsia="黑体" w:cs="黑体"/>
          <w:sz w:val="24"/>
          <w:szCs w:val="24"/>
        </w:rPr>
      </w:pPr>
      <w:r>
        <w:rPr>
          <w:rFonts w:hint="eastAsia" w:ascii="黑体" w:hAnsi="黑体" w:eastAsia="黑体" w:cs="黑体"/>
          <w:sz w:val="24"/>
          <w:szCs w:val="24"/>
        </w:rPr>
        <w:t>任务来源</w:t>
      </w:r>
      <w:r>
        <w:rPr>
          <w:rFonts w:hint="eastAsia" w:ascii="黑体" w:hAnsi="黑体" w:eastAsia="黑体" w:cs="黑体"/>
          <w:sz w:val="24"/>
          <w:szCs w:val="24"/>
          <w:lang w:eastAsia="zh-CN"/>
        </w:rPr>
        <w:tab/>
      </w:r>
    </w:p>
    <w:p w14:paraId="7DF66A26">
      <w:pPr>
        <w:adjustRightInd w:val="0"/>
        <w:snapToGrid w:val="0"/>
        <w:spacing w:line="360" w:lineRule="auto"/>
        <w:ind w:firstLine="480" w:firstLineChars="200"/>
        <w:rPr>
          <w:rFonts w:hint="default" w:ascii="宋体" w:hAnsi="宋体" w:cs="宋体"/>
          <w:sz w:val="24"/>
          <w:szCs w:val="24"/>
          <w:lang w:val="en-US" w:eastAsia="zh-CN"/>
        </w:rPr>
      </w:pPr>
      <w:r>
        <w:rPr>
          <w:rFonts w:hint="eastAsia" w:ascii="宋体" w:hAnsi="宋体" w:cs="宋体"/>
          <w:sz w:val="24"/>
          <w:szCs w:val="24"/>
        </w:rPr>
        <w:t>根据202</w:t>
      </w:r>
      <w:r>
        <w:rPr>
          <w:rFonts w:hint="eastAsia" w:ascii="宋体" w:hAnsi="宋体" w:cs="宋体"/>
          <w:sz w:val="24"/>
          <w:szCs w:val="24"/>
          <w:lang w:val="en-US" w:eastAsia="zh-CN"/>
        </w:rPr>
        <w:t>5</w:t>
      </w:r>
      <w:r>
        <w:rPr>
          <w:rFonts w:hint="eastAsia" w:ascii="宋体" w:hAnsi="宋体" w:cs="宋体"/>
          <w:sz w:val="24"/>
          <w:szCs w:val="24"/>
        </w:rPr>
        <w:t>年0</w:t>
      </w:r>
      <w:r>
        <w:rPr>
          <w:rFonts w:hint="eastAsia" w:ascii="宋体" w:hAnsi="宋体" w:cs="宋体"/>
          <w:sz w:val="24"/>
          <w:szCs w:val="24"/>
          <w:lang w:val="en-US" w:eastAsia="zh-CN"/>
        </w:rPr>
        <w:t>9</w:t>
      </w:r>
      <w:r>
        <w:rPr>
          <w:rFonts w:hint="eastAsia" w:ascii="宋体" w:hAnsi="宋体" w:cs="宋体"/>
          <w:sz w:val="24"/>
          <w:szCs w:val="24"/>
        </w:rPr>
        <w:t>月</w:t>
      </w:r>
      <w:r>
        <w:rPr>
          <w:rFonts w:hint="eastAsia" w:ascii="宋体" w:hAnsi="宋体" w:cs="宋体"/>
          <w:sz w:val="24"/>
          <w:szCs w:val="24"/>
          <w:lang w:val="en-US" w:eastAsia="zh-CN"/>
        </w:rPr>
        <w:t>15</w:t>
      </w:r>
      <w:r>
        <w:rPr>
          <w:rFonts w:hint="eastAsia" w:ascii="宋体" w:hAnsi="宋体" w:cs="宋体"/>
          <w:sz w:val="24"/>
          <w:szCs w:val="24"/>
        </w:rPr>
        <w:t>日全国有色金属标准化技术委员会《</w:t>
      </w:r>
      <w:r>
        <w:rPr>
          <w:rFonts w:hint="default" w:ascii="宋体" w:hAnsi="宋体" w:cs="宋体"/>
          <w:sz w:val="24"/>
          <w:szCs w:val="24"/>
          <w:lang w:val="en-US" w:eastAsia="zh-CN"/>
        </w:rPr>
        <w:t>关于召开有色金属行业智能制造、低碳标准大会暨标准宣贯会议的通知</w:t>
      </w:r>
      <w:r>
        <w:rPr>
          <w:rFonts w:hint="eastAsia" w:ascii="宋体" w:hAnsi="宋体" w:cs="宋体"/>
          <w:sz w:val="24"/>
          <w:szCs w:val="24"/>
        </w:rPr>
        <w:t>》（有色标委【202</w:t>
      </w:r>
      <w:r>
        <w:rPr>
          <w:rFonts w:hint="eastAsia" w:ascii="宋体" w:hAnsi="宋体" w:cs="宋体"/>
          <w:sz w:val="24"/>
          <w:szCs w:val="24"/>
          <w:lang w:val="en-US" w:eastAsia="zh-CN"/>
        </w:rPr>
        <w:t>5</w:t>
      </w:r>
      <w:r>
        <w:rPr>
          <w:rFonts w:hint="eastAsia" w:ascii="宋体" w:hAnsi="宋体" w:cs="宋体"/>
          <w:sz w:val="24"/>
          <w:szCs w:val="24"/>
        </w:rPr>
        <w:t>】</w:t>
      </w:r>
      <w:r>
        <w:rPr>
          <w:rFonts w:hint="eastAsia" w:ascii="宋体" w:hAnsi="宋体" w:cs="宋体"/>
          <w:sz w:val="24"/>
          <w:szCs w:val="24"/>
          <w:lang w:val="en-US" w:eastAsia="zh-CN"/>
        </w:rPr>
        <w:t>81</w:t>
      </w:r>
      <w:r>
        <w:rPr>
          <w:rFonts w:hint="eastAsia" w:ascii="宋体" w:hAnsi="宋体" w:cs="宋体"/>
          <w:sz w:val="24"/>
          <w:szCs w:val="24"/>
        </w:rPr>
        <w:t>号）要求，云南驰宏锌锗股份有限公司牵头，呼伦贝尔驰宏矿业有限公司组织起草了《</w:t>
      </w:r>
      <w:r>
        <w:rPr>
          <w:rFonts w:hint="eastAsia" w:ascii="宋体" w:hAnsi="宋体" w:cs="宋体"/>
          <w:sz w:val="24"/>
          <w:szCs w:val="24"/>
          <w:lang w:val="en-US" w:eastAsia="zh-CN"/>
        </w:rPr>
        <w:t>氧压浸出炼锌氧压釜温度智能监控技术要求</w:t>
      </w:r>
      <w:r>
        <w:rPr>
          <w:rFonts w:hint="eastAsia" w:ascii="宋体" w:hAnsi="宋体" w:cs="宋体"/>
          <w:sz w:val="24"/>
          <w:szCs w:val="24"/>
        </w:rPr>
        <w:t>》，经专家会议评审，成功立项。</w:t>
      </w:r>
    </w:p>
    <w:p w14:paraId="6EC6A4A7">
      <w:pPr>
        <w:adjustRightInd w:val="0"/>
        <w:snapToGrid w:val="0"/>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rPr>
        <w:t>根</w:t>
      </w:r>
      <w:r>
        <w:rPr>
          <w:rFonts w:hint="eastAsia" w:ascii="宋体" w:hAnsi="宋体" w:cs="宋体"/>
          <w:sz w:val="24"/>
          <w:szCs w:val="24"/>
          <w:lang w:val="en-US" w:eastAsia="zh-CN"/>
        </w:rPr>
        <w:t>据《关于下达2026年第一批团体标准制修订计划的通知》（中色协科字</w:t>
      </w:r>
      <w:r>
        <w:rPr>
          <w:rFonts w:hint="eastAsia" w:ascii="宋体" w:hAnsi="宋体" w:cs="宋体"/>
          <w:sz w:val="24"/>
          <w:szCs w:val="24"/>
        </w:rPr>
        <w:t>【</w:t>
      </w:r>
      <w:r>
        <w:rPr>
          <w:rFonts w:hint="eastAsia" w:ascii="宋体" w:hAnsi="宋体" w:cs="宋体"/>
          <w:sz w:val="24"/>
          <w:szCs w:val="24"/>
          <w:lang w:val="en-US" w:eastAsia="zh-CN"/>
        </w:rPr>
        <w:t>2026】25号），下达制定任务，计划标准号为2026-007-T/CINA，项目周期为12个月，完成期限为2027年4月。标准主要起草单位为：</w:t>
      </w:r>
      <w:r>
        <w:rPr>
          <w:rFonts w:hint="eastAsia" w:ascii="宋体" w:hAnsi="宋体" w:cs="宋体"/>
          <w:sz w:val="24"/>
          <w:szCs w:val="24"/>
        </w:rPr>
        <w:t>云南驰宏锌锗股份有限公司、呼伦贝尔驰宏矿业有限公司</w:t>
      </w:r>
      <w:r>
        <w:rPr>
          <w:rFonts w:hint="eastAsia" w:ascii="宋体" w:hAnsi="宋体" w:cs="宋体"/>
          <w:sz w:val="24"/>
          <w:szCs w:val="24"/>
          <w:lang w:val="en-US" w:eastAsia="zh-CN"/>
        </w:rPr>
        <w:t>，技术归口为全国有色金属标准化技术委员会。</w:t>
      </w:r>
    </w:p>
    <w:p w14:paraId="2C2CB5CC">
      <w:pPr>
        <w:adjustRightInd w:val="0"/>
        <w:snapToGrid w:val="0"/>
        <w:spacing w:line="360" w:lineRule="auto"/>
        <w:ind w:firstLine="480" w:firstLineChars="200"/>
        <w:rPr>
          <w:rFonts w:hint="default" w:ascii="宋体" w:hAnsi="宋体" w:cs="宋体"/>
          <w:sz w:val="24"/>
          <w:szCs w:val="24"/>
          <w:lang w:val="en-US" w:eastAsia="zh-CN"/>
        </w:rPr>
      </w:pPr>
      <w:r>
        <w:rPr>
          <w:rFonts w:hint="eastAsia" w:ascii="宋体" w:hAnsi="宋体" w:cs="宋体"/>
          <w:sz w:val="24"/>
          <w:szCs w:val="24"/>
        </w:rPr>
        <w:t>根据</w:t>
      </w:r>
      <w:r>
        <w:rPr>
          <w:rFonts w:hint="eastAsia" w:ascii="宋体" w:hAnsi="宋体" w:cs="宋体"/>
          <w:sz w:val="24"/>
          <w:szCs w:val="24"/>
          <w:lang w:val="en-US" w:eastAsia="zh-CN"/>
        </w:rPr>
        <w:t>全国有色金属标准化技术委员会相关要求，云南驰宏锌锗股份有限公司牵头，呼伦贝尔驰宏矿业有限公司组织开展《氧压浸出炼锌氧压釜温度智能监控技术要求》团体标准的制定工作。</w:t>
      </w:r>
      <w:r>
        <w:rPr>
          <w:rFonts w:hint="default" w:ascii="Segoe UI" w:hAnsi="Segoe UI" w:eastAsia="Segoe UI" w:cs="Segoe UI"/>
          <w:i w:val="0"/>
          <w:iCs w:val="0"/>
          <w:caps w:val="0"/>
          <w:spacing w:val="0"/>
          <w:sz w:val="24"/>
          <w:szCs w:val="24"/>
          <w:shd w:val="clear" w:fill="FFFFFF"/>
        </w:rPr>
        <w:t>该项目旨在填补国内外在氧压浸出炼锌氧压釜温度智能监控领域标准的空白，规范行业设计、设备选型、安装及运维技术要求</w:t>
      </w:r>
      <w:r>
        <w:rPr>
          <w:rFonts w:hint="eastAsia" w:ascii="宋体" w:hAnsi="宋体" w:cs="宋体"/>
          <w:sz w:val="24"/>
          <w:szCs w:val="24"/>
          <w:lang w:val="en-US" w:eastAsia="zh-CN"/>
        </w:rPr>
        <w:t>。</w:t>
      </w:r>
    </w:p>
    <w:p w14:paraId="388D20B4">
      <w:pPr>
        <w:snapToGrid w:val="0"/>
        <w:spacing w:before="156" w:beforeLines="50" w:after="156" w:afterLines="50" w:line="360" w:lineRule="auto"/>
        <w:outlineLvl w:val="0"/>
        <w:rPr>
          <w:rFonts w:hint="eastAsia" w:ascii="黑体" w:hAnsi="黑体" w:eastAsia="黑体" w:cs="黑体"/>
          <w:sz w:val="24"/>
          <w:szCs w:val="24"/>
        </w:rPr>
      </w:pPr>
      <w:r>
        <w:rPr>
          <w:rFonts w:hint="eastAsia" w:ascii="黑体" w:hAnsi="黑体" w:eastAsia="黑体" w:cs="黑体"/>
          <w:sz w:val="24"/>
          <w:szCs w:val="24"/>
        </w:rPr>
        <w:t>（三）主要参加单位和工作成员及其所做的工作</w:t>
      </w:r>
    </w:p>
    <w:p w14:paraId="12AA4389">
      <w:pPr>
        <w:snapToGrid w:val="0"/>
        <w:spacing w:before="156" w:beforeLines="50" w:after="156" w:afterLines="50" w:line="360" w:lineRule="auto"/>
        <w:outlineLvl w:val="0"/>
        <w:rPr>
          <w:rFonts w:hint="eastAsia" w:ascii="黑体" w:hAnsi="黑体" w:eastAsia="黑体" w:cs="宋体"/>
          <w:sz w:val="24"/>
          <w:szCs w:val="24"/>
        </w:rPr>
      </w:pPr>
      <w:r>
        <w:rPr>
          <w:rFonts w:hint="eastAsia" w:ascii="黑体" w:hAnsi="黑体" w:eastAsia="黑体" w:cs="宋体"/>
          <w:sz w:val="24"/>
          <w:szCs w:val="24"/>
        </w:rPr>
        <w:t>3.1 主要参加单位工作情况</w:t>
      </w:r>
    </w:p>
    <w:p w14:paraId="12DE50D8">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本文件主起草单位云南驰宏锌锗股份有限公司、呼伦贝尔驰宏矿业有限公司在标准的编制过程中，积极组织召开关于标准起草的工作会议，布置了标准起草、数据收集等相关工作。</w:t>
      </w:r>
    </w:p>
    <w:p w14:paraId="24E8D786">
      <w:pPr>
        <w:snapToGrid w:val="0"/>
        <w:spacing w:line="360" w:lineRule="auto"/>
        <w:ind w:firstLine="480" w:firstLineChars="200"/>
        <w:rPr>
          <w:rFonts w:ascii="宋体" w:hAnsi="宋体" w:cs="宋体"/>
          <w:sz w:val="24"/>
          <w:szCs w:val="24"/>
        </w:rPr>
      </w:pPr>
      <w:r>
        <w:rPr>
          <w:rFonts w:hint="eastAsia" w:ascii="宋体" w:hAnsi="宋体" w:cs="宋体"/>
          <w:sz w:val="24"/>
          <w:szCs w:val="24"/>
        </w:rPr>
        <w:t>202</w:t>
      </w:r>
      <w:r>
        <w:rPr>
          <w:rFonts w:hint="eastAsia" w:ascii="宋体" w:hAnsi="宋体" w:cs="宋体"/>
          <w:sz w:val="24"/>
          <w:szCs w:val="24"/>
          <w:lang w:val="en-US" w:eastAsia="zh-CN"/>
        </w:rPr>
        <w:t>5</w:t>
      </w:r>
      <w:r>
        <w:rPr>
          <w:rFonts w:hint="eastAsia" w:ascii="宋体" w:hAnsi="宋体" w:cs="宋体"/>
          <w:sz w:val="24"/>
          <w:szCs w:val="24"/>
        </w:rPr>
        <w:t>年</w:t>
      </w:r>
      <w:r>
        <w:rPr>
          <w:rFonts w:hint="eastAsia" w:ascii="宋体" w:hAnsi="宋体" w:cs="宋体"/>
          <w:sz w:val="24"/>
          <w:szCs w:val="24"/>
          <w:lang w:val="en-US" w:eastAsia="zh-CN"/>
        </w:rPr>
        <w:t>09</w:t>
      </w:r>
      <w:r>
        <w:rPr>
          <w:rFonts w:hint="eastAsia" w:ascii="宋体" w:hAnsi="宋体" w:cs="宋体"/>
          <w:sz w:val="24"/>
          <w:szCs w:val="24"/>
        </w:rPr>
        <w:t>月，呼伦贝尔驰宏矿业有限公司编制《</w:t>
      </w:r>
      <w:r>
        <w:rPr>
          <w:rFonts w:hint="eastAsia" w:ascii="宋体" w:hAnsi="宋体" w:cs="宋体"/>
          <w:sz w:val="24"/>
          <w:szCs w:val="24"/>
          <w:lang w:val="en-US" w:eastAsia="zh-CN"/>
        </w:rPr>
        <w:t>氧压浸出炼锌氧压釜温度智能监控技术要求</w:t>
      </w:r>
      <w:r>
        <w:rPr>
          <w:rFonts w:hint="eastAsia" w:ascii="宋体" w:hAnsi="宋体" w:cs="宋体"/>
          <w:sz w:val="24"/>
          <w:szCs w:val="24"/>
        </w:rPr>
        <w:t>》有色金属协会标准任务落实书，对标准的起草任务进行确定，成立了标准编制组，确定了时间进度安排和主要内容等。</w:t>
      </w:r>
    </w:p>
    <w:p w14:paraId="507FAF77">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呼伦贝尔驰宏矿业有限公司等企业在标准编制过程中，积极配合主编单位开展大量调研工作，</w:t>
      </w:r>
      <w:r>
        <w:rPr>
          <w:rFonts w:hint="default" w:ascii="Segoe UI" w:hAnsi="Segoe UI" w:eastAsia="Segoe UI" w:cs="Segoe UI"/>
          <w:i w:val="0"/>
          <w:iCs w:val="0"/>
          <w:caps w:val="0"/>
          <w:spacing w:val="0"/>
          <w:sz w:val="24"/>
          <w:szCs w:val="24"/>
          <w:shd w:val="clear" w:fill="FFFFFF"/>
        </w:rPr>
        <w:t>为标准文件的编写贡献了切实可行且极具针对性的修改建议，协助了解各单位氧压釜温度监控现状及设计规范等，针对标准文本提出诸多修改意见，为标准文件内容的确定打下了坚实的基础。</w:t>
      </w:r>
    </w:p>
    <w:p w14:paraId="74EC5BF7">
      <w:pPr>
        <w:adjustRightInd w:val="0"/>
        <w:snapToGrid w:val="0"/>
        <w:spacing w:line="360" w:lineRule="auto"/>
        <w:ind w:firstLine="480" w:firstLineChars="200"/>
        <w:rPr>
          <w:rFonts w:hint="eastAsia" w:ascii="宋体" w:hAnsi="宋体" w:cs="宋体"/>
          <w:sz w:val="24"/>
          <w:szCs w:val="24"/>
          <w:lang w:val="en-US" w:eastAsia="zh-CN"/>
        </w:rPr>
      </w:pPr>
      <w:r>
        <w:rPr>
          <w:rFonts w:hint="default" w:ascii="宋体" w:hAnsi="宋体" w:cs="宋体"/>
          <w:sz w:val="24"/>
          <w:szCs w:val="24"/>
          <w:lang w:val="en-US" w:eastAsia="zh-CN"/>
        </w:rPr>
        <w:t>呼伦贝尔驰宏矿业有限公司积极配合牵头单位，参与标准的起草和讨论工作。公司凭借丰富的生产实践经验，</w:t>
      </w:r>
      <w:r>
        <w:rPr>
          <w:rFonts w:hint="default" w:ascii="Segoe UI" w:hAnsi="Segoe UI" w:eastAsia="Segoe UI" w:cs="Segoe UI"/>
          <w:i w:val="0"/>
          <w:iCs w:val="0"/>
          <w:caps w:val="0"/>
          <w:spacing w:val="0"/>
          <w:sz w:val="24"/>
          <w:szCs w:val="24"/>
          <w:shd w:val="clear" w:fill="FFFFFF"/>
        </w:rPr>
        <w:t>对标准中的技术指标和系统要求提出了许多宝贵的建议，确保标准具有实际可操作性和技术先进性</w:t>
      </w:r>
      <w:r>
        <w:rPr>
          <w:rFonts w:hint="default" w:ascii="宋体" w:hAnsi="宋体" w:cs="宋体"/>
          <w:sz w:val="24"/>
          <w:szCs w:val="24"/>
          <w:lang w:val="en-US" w:eastAsia="zh-CN"/>
        </w:rPr>
        <w:t>。</w:t>
      </w:r>
    </w:p>
    <w:p w14:paraId="15468A4D">
      <w:pPr>
        <w:snapToGrid w:val="0"/>
        <w:spacing w:before="156" w:beforeLines="50" w:after="156" w:afterLines="50" w:line="360" w:lineRule="auto"/>
        <w:outlineLvl w:val="0"/>
        <w:rPr>
          <w:rFonts w:ascii="黑体" w:hAnsi="黑体" w:eastAsia="黑体" w:cs="宋体"/>
          <w:sz w:val="24"/>
          <w:szCs w:val="24"/>
        </w:rPr>
      </w:pPr>
      <w:r>
        <w:rPr>
          <w:rFonts w:ascii="黑体" w:hAnsi="黑体" w:eastAsia="黑体" w:cs="宋体"/>
          <w:sz w:val="24"/>
          <w:szCs w:val="24"/>
        </w:rPr>
        <w:t>3</w:t>
      </w:r>
      <w:r>
        <w:rPr>
          <w:rFonts w:hint="eastAsia" w:ascii="黑体" w:hAnsi="黑体" w:eastAsia="黑体" w:cs="宋体"/>
          <w:sz w:val="24"/>
          <w:szCs w:val="24"/>
        </w:rPr>
        <w:t>.2 主起草单位技术基础</w:t>
      </w:r>
    </w:p>
    <w:p w14:paraId="3C39D033">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云南驰宏锌锗股份有限公司由中铝集团控股的上市公司，公司成立于2000年7月，注册资本1,667,560,890元人民币，现有员工10014人，是一户以铅、锌产业为主，集地质勘探、采矿、选矿、冶金、化工、深加工、贸易和科研为一体的央企控股A股上市公司。</w:t>
      </w:r>
    </w:p>
    <w:p w14:paraId="6D092AA5">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驰宏锌锗前身云南会泽铅锌矿，始成立于1951年1月，是我国“一五”计划156个重点建设项目之一，也是中国最早从氧化铅锌矿中提取锗用于国防尖端工业建设的企业，为“两弹一星”的成功研制做出过贡献。经过60多年的传承与创新发展，驰宏锌锗现已发展成为在国内的云南、四川、内蒙古、黑龙江、西藏、香港以及国外的加拿大、澳大利亚、玻利维亚等地拥有40家分子公司的集团化、国际化企业，资源品种覆盖铅、锌、锗、银、金、铟、铜、钼等多种有色金属。截止2015年末，驰宏锌锗资产总额逾330亿元，位列全国铅锌行业之首，具备年采矿300万吨、选矿450万吨、冶炼产能35万吨，综合回收金、银、锗、镉、铋、锑、铟等伴生金属1100余吨，主要装备、环保和工艺技术处于“国内一流、国际先进”水平，综合竞争力名列国内同行业前茅。</w:t>
      </w:r>
    </w:p>
    <w:p w14:paraId="368D984C">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驰宏锌锗积极顺应产业发展导向，努力发展绿色循环经济，构建了“风险地质勘探——矿山无废开采——冶炼清洁生产——“三废”循环利用——稀贵金属综合回收——产品精深加工”全产业链发展模式。驰宏锌锗具有冶金行业专业乙级、建筑行业专业丙级资质，拥有“富氧顶吹-侧吹还原和奥斯迈特粗铅熔炼技术”、“湿法炼锌—深度净化—长周期电积”专有知识产权，“隐伏矿体定位预测方法”、“矿山膏体胶结充填采矿技术”等数十项核心技术，拥有省级实验研究平台3个，有效授权专利100余件。</w:t>
      </w:r>
    </w:p>
    <w:p w14:paraId="03439EF2">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呼伦贝尔驰宏矿业有限公司于2007年6月9日成立，占地1300余亩，注册资本金32.15亿元，现有员工922名，管理人员占10%、专业技术人员占14%、操作维修类占76%，硕士学历占1%、本科学历占27%、专科学历占38%、中专学历占33%、初中学历占1%。</w:t>
      </w:r>
    </w:p>
    <w:p w14:paraId="0C45E9E2">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呼伦贝尔驰宏矿业有限公司设计规模为年产铅6万吨、锌14万吨、硫酸16万吨，综合回收稀贵金属产品，年产值50亿元。主要经营多金属探矿、开采、选矿、冶炼、深加工及伴生有价金属综合回收、国内外贸易及投资等业务。铅系统设计采用</w:t>
      </w:r>
      <w:r>
        <w:rPr>
          <w:rFonts w:ascii="宋体" w:hAnsi="宋体" w:cs="宋体"/>
          <w:sz w:val="24"/>
          <w:szCs w:val="24"/>
        </w:rPr>
        <w:t>Ausmelt炉</w:t>
      </w:r>
      <w:r>
        <w:rPr>
          <w:rFonts w:hint="eastAsia" w:ascii="宋体" w:hAnsi="宋体" w:cs="宋体"/>
          <w:sz w:val="24"/>
          <w:szCs w:val="24"/>
        </w:rPr>
        <w:t>富氧顶吹氧化+富氧侧吹还原熔炼工艺。</w:t>
      </w:r>
      <w:r>
        <w:rPr>
          <w:rFonts w:ascii="宋体" w:hAnsi="宋体" w:cs="宋体"/>
          <w:sz w:val="24"/>
          <w:szCs w:val="24"/>
        </w:rPr>
        <w:t>锌冶炼系统采用</w:t>
      </w:r>
      <w:r>
        <w:rPr>
          <w:rFonts w:hint="eastAsia" w:ascii="宋体" w:hAnsi="宋体" w:cs="宋体"/>
          <w:sz w:val="24"/>
          <w:szCs w:val="24"/>
        </w:rPr>
        <w:t>具有</w:t>
      </w:r>
      <w:r>
        <w:rPr>
          <w:rFonts w:ascii="宋体" w:hAnsi="宋体" w:cs="宋体"/>
          <w:sz w:val="24"/>
          <w:szCs w:val="24"/>
        </w:rPr>
        <w:t>自有知识产权、世界先进的二段氧压浸出技术，该技术是国家发改委认定未来锌冶炼所用的标杆型技术，锌浸出率可达98%以上，与传统浸出工艺浸出率相比高出</w:t>
      </w:r>
      <w:r>
        <w:rPr>
          <w:rFonts w:hint="eastAsia" w:ascii="宋体" w:hAnsi="宋体" w:cs="宋体"/>
          <w:sz w:val="24"/>
          <w:szCs w:val="24"/>
        </w:rPr>
        <w:t>10～</w:t>
      </w:r>
      <w:r>
        <w:rPr>
          <w:rFonts w:ascii="宋体" w:hAnsi="宋体" w:cs="宋体"/>
          <w:sz w:val="24"/>
          <w:szCs w:val="24"/>
        </w:rPr>
        <w:t>18个百分点，该技术与传统的沸腾焙烧工艺相比，生产过程中没有二氧化硫气体产生，有利于环境保护，并具有较强的原料适应性及较高的金属回收率。</w:t>
      </w:r>
      <w:r>
        <w:rPr>
          <w:rFonts w:hint="eastAsia" w:ascii="宋体" w:hAnsi="宋体" w:cs="宋体"/>
          <w:sz w:val="24"/>
          <w:szCs w:val="24"/>
        </w:rPr>
        <w:t>2019年新建14000t/a锌铅合金粉喷吹生产线。</w:t>
      </w:r>
    </w:p>
    <w:p w14:paraId="6636B19D">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呼伦贝尔驰宏矿业有限公司2018年组织开展了高新技术企业的申报工作，2018年年底被内蒙古自治区第一批认定为“高新技术企业”。2019年组织开展了国家实验室的认证工作，2019年10月获得CNAS的认证证书。呼伦贝尔驰宏矿业有限公司现有授权专利有</w:t>
      </w:r>
      <w:r>
        <w:rPr>
          <w:rFonts w:ascii="宋体" w:hAnsi="宋体" w:cs="宋体"/>
          <w:sz w:val="24"/>
          <w:szCs w:val="24"/>
        </w:rPr>
        <w:t>38</w:t>
      </w:r>
      <w:r>
        <w:rPr>
          <w:rFonts w:hint="eastAsia" w:ascii="宋体" w:hAnsi="宋体" w:cs="宋体"/>
          <w:sz w:val="24"/>
          <w:szCs w:val="24"/>
        </w:rPr>
        <w:t>项，实用新型专利</w:t>
      </w:r>
      <w:r>
        <w:rPr>
          <w:rFonts w:ascii="宋体" w:hAnsi="宋体" w:cs="宋体"/>
          <w:sz w:val="24"/>
          <w:szCs w:val="24"/>
        </w:rPr>
        <w:t>29</w:t>
      </w:r>
      <w:r>
        <w:rPr>
          <w:rFonts w:hint="eastAsia" w:ascii="宋体" w:hAnsi="宋体" w:cs="宋体"/>
          <w:sz w:val="24"/>
          <w:szCs w:val="24"/>
        </w:rPr>
        <w:t>项，发明专利</w:t>
      </w:r>
      <w:r>
        <w:rPr>
          <w:rFonts w:ascii="宋体" w:hAnsi="宋体" w:cs="宋体"/>
          <w:sz w:val="24"/>
          <w:szCs w:val="24"/>
        </w:rPr>
        <w:t>8</w:t>
      </w:r>
      <w:r>
        <w:rPr>
          <w:rFonts w:hint="eastAsia" w:ascii="宋体" w:hAnsi="宋体" w:cs="宋体"/>
          <w:sz w:val="24"/>
          <w:szCs w:val="24"/>
        </w:rPr>
        <w:t>项，外观设计专利1项。2015年成立了研发中心，现有车间级实验室3个，先后与昆明理工大学、东北大学、昆明冶金研究院、湖南有色研究院等多家单位建立科研企联合体，开展产、学、研技术攻关工作和高新技术产品的引进、开发，为铅锌冶炼技术的革新奠定了坚实的基础，为高素质、高技术、高水平科研人才的培养创造了良好的条件。</w:t>
      </w:r>
    </w:p>
    <w:p w14:paraId="453E698F">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云南驰宏资源综合利用有限公司由国有控股的A股上市公司云南驰宏锌锗股份有限公司与彝良驰宏矿业有限公司共同出资设立，公司成立于2015年8月25日，注册资本25.9亿元。位于曲靖市经济技术开发区宁州路1号，占地面积1406亩。是一户以铅锌冶炼为主，集冶金、化工、深加工和科研为一体的企业。</w:t>
      </w:r>
    </w:p>
    <w:p w14:paraId="3F345A2F">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云南驰宏资源综合利用有限公司设计产能为：年产电铅10万吨、电锌10万吨、粗铅8万吨、硫酸28万吨、1.6㎡阴阳极板2.4万片、3.2㎡阴阳极板3.2万片、金150千克、银180吨、镉、铋、锑400余吨等稀贵金属的综合生产能力，同时具有利用余热年发电5200万千瓦时，附产硫酸铵化肥14000T/a的生产能力。</w:t>
      </w:r>
    </w:p>
    <w:p w14:paraId="48346479">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云南驰宏资源综合利用有限公司拥有34项自主知识产权，15项省级以上科技成果，具备较强的科技创新能力。公司自2016年起连续5年实现正利润，成为驰宏锌锗冶炼企业的名片，公司先后被云南省政府、曲靖市政府授予“高新技术企业”“节水标杆型企业”“绿色工厂”“曲靖市企业技术中心”“云南省2021年工业企业铅冶炼能效领跑者”、“云南省质量标杆企业”等荣誉称号。</w:t>
      </w:r>
    </w:p>
    <w:p w14:paraId="7DBEA0B0">
      <w:pPr>
        <w:snapToGrid w:val="0"/>
        <w:spacing w:before="156" w:beforeLines="50" w:after="156" w:afterLines="50" w:line="360" w:lineRule="auto"/>
        <w:outlineLvl w:val="0"/>
        <w:rPr>
          <w:rFonts w:ascii="黑体" w:hAnsi="黑体" w:eastAsia="黑体" w:cs="宋体"/>
          <w:sz w:val="24"/>
          <w:szCs w:val="24"/>
        </w:rPr>
      </w:pPr>
      <w:r>
        <w:rPr>
          <w:rFonts w:ascii="黑体" w:hAnsi="黑体" w:eastAsia="黑体" w:cs="宋体"/>
          <w:sz w:val="24"/>
          <w:szCs w:val="24"/>
        </w:rPr>
        <w:t>3</w:t>
      </w:r>
      <w:r>
        <w:rPr>
          <w:rFonts w:hint="eastAsia" w:ascii="黑体" w:hAnsi="黑体" w:eastAsia="黑体" w:cs="宋体"/>
          <w:sz w:val="24"/>
          <w:szCs w:val="24"/>
        </w:rPr>
        <w:t>.3 主要工作成员所负责的工作情况</w:t>
      </w:r>
    </w:p>
    <w:p w14:paraId="393C1876">
      <w:pPr>
        <w:snapToGrid w:val="0"/>
        <w:spacing w:line="360" w:lineRule="auto"/>
        <w:ind w:firstLine="480" w:firstLineChars="200"/>
        <w:rPr>
          <w:rFonts w:ascii="宋体" w:hAnsi="宋体" w:cs="宋体"/>
          <w:sz w:val="24"/>
          <w:szCs w:val="24"/>
        </w:rPr>
      </w:pPr>
      <w:r>
        <w:rPr>
          <w:rFonts w:hint="eastAsia" w:ascii="宋体" w:hAnsi="宋体" w:cs="宋体"/>
          <w:sz w:val="24"/>
          <w:szCs w:val="24"/>
        </w:rPr>
        <w:t>本文件主要起草人及工作职责见表1：</w:t>
      </w:r>
    </w:p>
    <w:p w14:paraId="751EF2EE">
      <w:pPr>
        <w:adjustRightInd w:val="0"/>
        <w:snapToGrid w:val="0"/>
        <w:jc w:val="center"/>
        <w:rPr>
          <w:rFonts w:hint="eastAsia" w:ascii="宋体" w:hAnsi="宋体" w:cs="黑体"/>
          <w:b/>
          <w:kern w:val="0"/>
          <w:sz w:val="24"/>
          <w:szCs w:val="24"/>
        </w:rPr>
      </w:pPr>
      <w:r>
        <w:rPr>
          <w:rFonts w:hint="eastAsia" w:ascii="宋体" w:hAnsi="宋体" w:cs="黑体"/>
          <w:b/>
          <w:kern w:val="0"/>
          <w:sz w:val="24"/>
          <w:szCs w:val="24"/>
        </w:rPr>
        <w:t>表1 本文件主要起草人及工作职责</w:t>
      </w:r>
    </w:p>
    <w:tbl>
      <w:tblPr>
        <w:tblStyle w:val="17"/>
        <w:tblW w:w="942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1"/>
        <w:gridCol w:w="937"/>
        <w:gridCol w:w="2883"/>
        <w:gridCol w:w="4923"/>
      </w:tblGrid>
      <w:tr w14:paraId="6751F1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81" w:type="dxa"/>
            <w:tcBorders>
              <w:tl2br w:val="nil"/>
              <w:tr2bl w:val="nil"/>
            </w:tcBorders>
            <w:vAlign w:val="center"/>
          </w:tcPr>
          <w:p w14:paraId="09EEAF9E">
            <w:pPr>
              <w:jc w:val="center"/>
              <w:rPr>
                <w:rFonts w:ascii="宋体" w:hAnsi="宋体" w:cs="宋体"/>
                <w:b/>
                <w:bCs/>
                <w:szCs w:val="21"/>
              </w:rPr>
            </w:pPr>
            <w:r>
              <w:rPr>
                <w:rFonts w:hint="eastAsia" w:ascii="宋体" w:hAnsi="宋体" w:cs="宋体"/>
                <w:b/>
                <w:bCs/>
                <w:szCs w:val="21"/>
              </w:rPr>
              <w:t>序号</w:t>
            </w:r>
          </w:p>
        </w:tc>
        <w:tc>
          <w:tcPr>
            <w:tcW w:w="937" w:type="dxa"/>
            <w:tcBorders>
              <w:tl2br w:val="nil"/>
              <w:tr2bl w:val="nil"/>
            </w:tcBorders>
            <w:vAlign w:val="center"/>
          </w:tcPr>
          <w:p w14:paraId="3C74B1C6">
            <w:pPr>
              <w:jc w:val="center"/>
              <w:rPr>
                <w:rFonts w:ascii="宋体" w:hAnsi="宋体" w:cs="宋体"/>
                <w:b/>
                <w:bCs/>
                <w:szCs w:val="21"/>
              </w:rPr>
            </w:pPr>
            <w:r>
              <w:rPr>
                <w:rFonts w:hint="eastAsia" w:ascii="宋体" w:hAnsi="宋体" w:cs="宋体"/>
                <w:b/>
                <w:bCs/>
                <w:szCs w:val="21"/>
              </w:rPr>
              <w:t>姓  名</w:t>
            </w:r>
          </w:p>
        </w:tc>
        <w:tc>
          <w:tcPr>
            <w:tcW w:w="2883" w:type="dxa"/>
            <w:tcBorders>
              <w:tl2br w:val="nil"/>
              <w:tr2bl w:val="nil"/>
            </w:tcBorders>
            <w:vAlign w:val="center"/>
          </w:tcPr>
          <w:p w14:paraId="4AB14883">
            <w:pPr>
              <w:jc w:val="center"/>
              <w:rPr>
                <w:rFonts w:ascii="宋体" w:hAnsi="宋体" w:cs="宋体"/>
                <w:b/>
                <w:bCs/>
                <w:szCs w:val="21"/>
              </w:rPr>
            </w:pPr>
            <w:r>
              <w:rPr>
                <w:rFonts w:hint="eastAsia" w:ascii="宋体" w:hAnsi="宋体" w:cs="宋体"/>
                <w:b/>
                <w:bCs/>
                <w:szCs w:val="21"/>
              </w:rPr>
              <w:t>所属单位</w:t>
            </w:r>
          </w:p>
        </w:tc>
        <w:tc>
          <w:tcPr>
            <w:tcW w:w="4923" w:type="dxa"/>
            <w:tcBorders>
              <w:tl2br w:val="nil"/>
              <w:tr2bl w:val="nil"/>
            </w:tcBorders>
            <w:vAlign w:val="center"/>
          </w:tcPr>
          <w:p w14:paraId="798299D6">
            <w:pPr>
              <w:jc w:val="center"/>
              <w:rPr>
                <w:rFonts w:ascii="宋体" w:hAnsi="宋体" w:cs="宋体"/>
                <w:b/>
                <w:bCs/>
                <w:szCs w:val="21"/>
              </w:rPr>
            </w:pPr>
            <w:r>
              <w:rPr>
                <w:rFonts w:hint="eastAsia" w:ascii="宋体" w:hAnsi="宋体" w:cs="宋体"/>
                <w:b/>
                <w:bCs/>
                <w:szCs w:val="21"/>
              </w:rPr>
              <w:t>工作职责</w:t>
            </w:r>
          </w:p>
        </w:tc>
      </w:tr>
      <w:tr w14:paraId="23914C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1" w:type="dxa"/>
            <w:tcBorders>
              <w:tl2br w:val="nil"/>
              <w:tr2bl w:val="nil"/>
            </w:tcBorders>
            <w:vAlign w:val="center"/>
          </w:tcPr>
          <w:p w14:paraId="7AA7B16B">
            <w:pPr>
              <w:jc w:val="center"/>
              <w:rPr>
                <w:rFonts w:ascii="宋体" w:hAnsi="宋体" w:cs="宋体"/>
                <w:szCs w:val="21"/>
              </w:rPr>
            </w:pPr>
            <w:r>
              <w:rPr>
                <w:rFonts w:hint="eastAsia" w:ascii="宋体" w:hAnsi="宋体" w:cs="宋体"/>
                <w:szCs w:val="21"/>
              </w:rPr>
              <w:t>1</w:t>
            </w:r>
          </w:p>
        </w:tc>
        <w:tc>
          <w:tcPr>
            <w:tcW w:w="937" w:type="dxa"/>
            <w:tcBorders>
              <w:tl2br w:val="nil"/>
              <w:tr2bl w:val="nil"/>
            </w:tcBorders>
            <w:vAlign w:val="center"/>
          </w:tcPr>
          <w:p w14:paraId="21347E47">
            <w:pPr>
              <w:jc w:val="center"/>
              <w:rPr>
                <w:rFonts w:ascii="宋体" w:hAnsi="宋体" w:cs="宋体"/>
                <w:szCs w:val="21"/>
              </w:rPr>
            </w:pPr>
            <w:r>
              <w:rPr>
                <w:rFonts w:hint="eastAsia" w:ascii="宋体" w:hAnsi="宋体" w:cs="宋体"/>
                <w:szCs w:val="21"/>
              </w:rPr>
              <w:t>谢庭芳</w:t>
            </w:r>
          </w:p>
        </w:tc>
        <w:tc>
          <w:tcPr>
            <w:tcW w:w="2883" w:type="dxa"/>
            <w:tcBorders>
              <w:tl2br w:val="nil"/>
              <w:tr2bl w:val="nil"/>
            </w:tcBorders>
            <w:vAlign w:val="center"/>
          </w:tcPr>
          <w:p w14:paraId="58DBD1F6">
            <w:pPr>
              <w:jc w:val="center"/>
              <w:rPr>
                <w:rFonts w:ascii="宋体" w:hAnsi="宋体" w:cs="宋体"/>
                <w:szCs w:val="21"/>
              </w:rPr>
            </w:pPr>
            <w:r>
              <w:rPr>
                <w:rFonts w:hint="eastAsia" w:ascii="宋体" w:hAnsi="宋体" w:cs="宋体"/>
                <w:szCs w:val="21"/>
              </w:rPr>
              <w:t>呼伦贝尔驰宏矿业有限公司</w:t>
            </w:r>
          </w:p>
        </w:tc>
        <w:tc>
          <w:tcPr>
            <w:tcW w:w="4923" w:type="dxa"/>
            <w:tcBorders>
              <w:tl2br w:val="nil"/>
              <w:tr2bl w:val="nil"/>
            </w:tcBorders>
            <w:vAlign w:val="center"/>
          </w:tcPr>
          <w:p w14:paraId="01C36180">
            <w:pPr>
              <w:rPr>
                <w:rFonts w:ascii="宋体" w:hAnsi="宋体" w:cs="宋体"/>
                <w:szCs w:val="21"/>
              </w:rPr>
            </w:pPr>
            <w:r>
              <w:rPr>
                <w:rFonts w:hint="eastAsia" w:ascii="宋体" w:hAnsi="宋体" w:cs="宋体"/>
                <w:szCs w:val="21"/>
              </w:rPr>
              <w:t>标准文本内容总体审核</w:t>
            </w:r>
          </w:p>
        </w:tc>
      </w:tr>
      <w:tr w14:paraId="235CF1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81" w:type="dxa"/>
            <w:tcBorders>
              <w:tl2br w:val="nil"/>
              <w:tr2bl w:val="nil"/>
            </w:tcBorders>
            <w:vAlign w:val="center"/>
          </w:tcPr>
          <w:p w14:paraId="16631EAE">
            <w:pPr>
              <w:jc w:val="center"/>
              <w:rPr>
                <w:rFonts w:ascii="宋体" w:hAnsi="宋体" w:cs="宋体"/>
                <w:szCs w:val="21"/>
              </w:rPr>
            </w:pPr>
            <w:r>
              <w:rPr>
                <w:rFonts w:hint="eastAsia" w:ascii="宋体" w:hAnsi="宋体" w:cs="宋体"/>
                <w:szCs w:val="21"/>
              </w:rPr>
              <w:t>2</w:t>
            </w:r>
          </w:p>
        </w:tc>
        <w:tc>
          <w:tcPr>
            <w:tcW w:w="937" w:type="dxa"/>
            <w:tcBorders>
              <w:tl2br w:val="nil"/>
              <w:tr2bl w:val="nil"/>
            </w:tcBorders>
            <w:vAlign w:val="center"/>
          </w:tcPr>
          <w:p w14:paraId="5C4FCA1B">
            <w:pPr>
              <w:jc w:val="center"/>
              <w:rPr>
                <w:rFonts w:ascii="宋体" w:hAnsi="宋体" w:cs="宋体"/>
                <w:szCs w:val="21"/>
              </w:rPr>
            </w:pPr>
            <w:r>
              <w:rPr>
                <w:rFonts w:hint="eastAsia" w:ascii="宋体" w:hAnsi="宋体" w:cs="宋体"/>
                <w:szCs w:val="21"/>
              </w:rPr>
              <w:t>伍贺东</w:t>
            </w:r>
          </w:p>
        </w:tc>
        <w:tc>
          <w:tcPr>
            <w:tcW w:w="2883" w:type="dxa"/>
            <w:tcBorders>
              <w:tl2br w:val="nil"/>
              <w:tr2bl w:val="nil"/>
            </w:tcBorders>
            <w:vAlign w:val="center"/>
          </w:tcPr>
          <w:p w14:paraId="54590041">
            <w:pPr>
              <w:jc w:val="center"/>
              <w:rPr>
                <w:rFonts w:hint="eastAsia" w:ascii="宋体" w:hAnsi="宋体" w:cs="宋体"/>
                <w:szCs w:val="21"/>
              </w:rPr>
            </w:pPr>
            <w:r>
              <w:rPr>
                <w:rFonts w:hint="eastAsia" w:ascii="宋体" w:hAnsi="宋体" w:cs="宋体"/>
                <w:szCs w:val="21"/>
              </w:rPr>
              <w:t>呼伦贝尔驰宏矿业有限公司</w:t>
            </w:r>
          </w:p>
        </w:tc>
        <w:tc>
          <w:tcPr>
            <w:tcW w:w="4923" w:type="dxa"/>
            <w:tcBorders>
              <w:tl2br w:val="nil"/>
              <w:tr2bl w:val="nil"/>
            </w:tcBorders>
            <w:vAlign w:val="center"/>
          </w:tcPr>
          <w:p w14:paraId="1F5216B3">
            <w:pPr>
              <w:rPr>
                <w:rFonts w:ascii="宋体" w:hAnsi="宋体" w:cs="宋体"/>
                <w:szCs w:val="21"/>
              </w:rPr>
            </w:pPr>
            <w:r>
              <w:rPr>
                <w:rFonts w:hint="eastAsia" w:ascii="宋体" w:hAnsi="宋体" w:cs="宋体"/>
                <w:szCs w:val="21"/>
              </w:rPr>
              <w:t>标准文本主要内容编写，规范标准格式</w:t>
            </w:r>
          </w:p>
        </w:tc>
      </w:tr>
      <w:tr w14:paraId="0DBA51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681" w:type="dxa"/>
            <w:tcBorders>
              <w:tl2br w:val="nil"/>
              <w:tr2bl w:val="nil"/>
            </w:tcBorders>
            <w:vAlign w:val="center"/>
          </w:tcPr>
          <w:p w14:paraId="7107860D">
            <w:pPr>
              <w:jc w:val="center"/>
              <w:rPr>
                <w:rFonts w:ascii="宋体" w:hAnsi="宋体" w:cs="宋体"/>
                <w:szCs w:val="21"/>
              </w:rPr>
            </w:pPr>
            <w:r>
              <w:rPr>
                <w:rFonts w:hint="eastAsia" w:ascii="宋体" w:hAnsi="宋体" w:cs="宋体"/>
                <w:szCs w:val="21"/>
              </w:rPr>
              <w:t>3</w:t>
            </w:r>
          </w:p>
        </w:tc>
        <w:tc>
          <w:tcPr>
            <w:tcW w:w="937" w:type="dxa"/>
            <w:tcBorders>
              <w:tl2br w:val="nil"/>
              <w:tr2bl w:val="nil"/>
            </w:tcBorders>
            <w:vAlign w:val="center"/>
          </w:tcPr>
          <w:p w14:paraId="0C66E958">
            <w:pPr>
              <w:jc w:val="center"/>
              <w:rPr>
                <w:rFonts w:hint="default" w:ascii="宋体" w:hAnsi="宋体" w:cs="宋体" w:eastAsiaTheme="minorEastAsia"/>
                <w:szCs w:val="21"/>
                <w:lang w:val="en-US" w:eastAsia="zh-CN"/>
              </w:rPr>
            </w:pPr>
            <w:r>
              <w:rPr>
                <w:rFonts w:hint="eastAsia" w:ascii="宋体" w:hAnsi="宋体" w:cs="宋体"/>
                <w:szCs w:val="21"/>
                <w:lang w:val="en-US" w:eastAsia="zh-CN"/>
              </w:rPr>
              <w:t>唐永峰</w:t>
            </w:r>
          </w:p>
        </w:tc>
        <w:tc>
          <w:tcPr>
            <w:tcW w:w="2883" w:type="dxa"/>
            <w:tcBorders>
              <w:tl2br w:val="nil"/>
              <w:tr2bl w:val="nil"/>
            </w:tcBorders>
            <w:vAlign w:val="center"/>
          </w:tcPr>
          <w:p w14:paraId="26ACC8BC">
            <w:pPr>
              <w:jc w:val="center"/>
              <w:rPr>
                <w:rFonts w:hint="eastAsia" w:ascii="宋体" w:hAnsi="宋体" w:cs="宋体"/>
                <w:szCs w:val="21"/>
              </w:rPr>
            </w:pPr>
            <w:r>
              <w:rPr>
                <w:rFonts w:hint="eastAsia" w:ascii="宋体" w:hAnsi="宋体" w:cs="宋体"/>
                <w:szCs w:val="21"/>
              </w:rPr>
              <w:t>呼伦贝尔驰宏矿业有限公司</w:t>
            </w:r>
          </w:p>
        </w:tc>
        <w:tc>
          <w:tcPr>
            <w:tcW w:w="4923" w:type="dxa"/>
            <w:tcBorders>
              <w:tl2br w:val="nil"/>
              <w:tr2bl w:val="nil"/>
            </w:tcBorders>
            <w:vAlign w:val="center"/>
          </w:tcPr>
          <w:p w14:paraId="6DE0984E">
            <w:pPr>
              <w:rPr>
                <w:rFonts w:ascii="宋体" w:hAnsi="宋体" w:cs="宋体"/>
                <w:szCs w:val="21"/>
              </w:rPr>
            </w:pPr>
            <w:r>
              <w:rPr>
                <w:rFonts w:hint="eastAsia" w:ascii="宋体" w:hAnsi="宋体" w:cs="宋体"/>
                <w:szCs w:val="21"/>
              </w:rPr>
              <w:t>标准文本主要内容编写，规范标准格式</w:t>
            </w:r>
          </w:p>
        </w:tc>
      </w:tr>
      <w:tr w14:paraId="2A6456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681" w:type="dxa"/>
            <w:tcBorders>
              <w:tl2br w:val="nil"/>
              <w:tr2bl w:val="nil"/>
            </w:tcBorders>
            <w:shd w:val="clear" w:color="auto" w:fill="auto"/>
            <w:vAlign w:val="center"/>
          </w:tcPr>
          <w:p w14:paraId="26E383CB">
            <w:pPr>
              <w:jc w:val="center"/>
              <w:rPr>
                <w:rFonts w:hint="eastAsia" w:ascii="宋体" w:hAnsi="宋体" w:cs="宋体" w:eastAsiaTheme="minorEastAsia"/>
                <w:kern w:val="2"/>
                <w:sz w:val="21"/>
                <w:szCs w:val="21"/>
                <w:lang w:val="en-US" w:eastAsia="zh-CN" w:bidi="ar-SA"/>
              </w:rPr>
            </w:pPr>
            <w:r>
              <w:rPr>
                <w:rFonts w:hint="eastAsia" w:ascii="宋体" w:hAnsi="宋体" w:cs="宋体"/>
                <w:szCs w:val="21"/>
                <w:lang w:val="en-US" w:eastAsia="zh-CN"/>
              </w:rPr>
              <w:t>4</w:t>
            </w:r>
          </w:p>
        </w:tc>
        <w:tc>
          <w:tcPr>
            <w:tcW w:w="937" w:type="dxa"/>
            <w:tcBorders>
              <w:tl2br w:val="nil"/>
              <w:tr2bl w:val="nil"/>
            </w:tcBorders>
            <w:vAlign w:val="center"/>
          </w:tcPr>
          <w:p w14:paraId="1B31407A">
            <w:pPr>
              <w:jc w:val="center"/>
              <w:rPr>
                <w:rFonts w:hint="default" w:ascii="宋体" w:hAnsi="宋体" w:cs="宋体"/>
                <w:szCs w:val="21"/>
                <w:lang w:val="en-US" w:eastAsia="zh-CN"/>
              </w:rPr>
            </w:pPr>
            <w:r>
              <w:rPr>
                <w:rFonts w:hint="eastAsia" w:ascii="宋体" w:hAnsi="宋体" w:cs="宋体"/>
                <w:szCs w:val="21"/>
                <w:lang w:val="en-US" w:eastAsia="zh-CN"/>
              </w:rPr>
              <w:t>陈建红</w:t>
            </w:r>
          </w:p>
        </w:tc>
        <w:tc>
          <w:tcPr>
            <w:tcW w:w="2883" w:type="dxa"/>
            <w:tcBorders>
              <w:tl2br w:val="nil"/>
              <w:tr2bl w:val="nil"/>
            </w:tcBorders>
            <w:vAlign w:val="center"/>
          </w:tcPr>
          <w:p w14:paraId="3056451F">
            <w:pPr>
              <w:jc w:val="center"/>
              <w:rPr>
                <w:rFonts w:hint="eastAsia" w:ascii="宋体" w:hAnsi="宋体" w:cs="宋体"/>
                <w:szCs w:val="21"/>
              </w:rPr>
            </w:pPr>
            <w:r>
              <w:rPr>
                <w:rFonts w:hint="eastAsia" w:ascii="宋体" w:hAnsi="宋体" w:cs="宋体"/>
                <w:szCs w:val="21"/>
              </w:rPr>
              <w:t>云南驰宏国际锗业有限公司</w:t>
            </w:r>
          </w:p>
        </w:tc>
        <w:tc>
          <w:tcPr>
            <w:tcW w:w="4923" w:type="dxa"/>
            <w:tcBorders>
              <w:tl2br w:val="nil"/>
              <w:tr2bl w:val="nil"/>
            </w:tcBorders>
            <w:vAlign w:val="center"/>
          </w:tcPr>
          <w:p w14:paraId="50D7478D">
            <w:pPr>
              <w:rPr>
                <w:rFonts w:hint="eastAsia" w:ascii="宋体" w:hAnsi="宋体" w:cs="宋体"/>
                <w:szCs w:val="21"/>
              </w:rPr>
            </w:pPr>
            <w:r>
              <w:rPr>
                <w:rFonts w:hint="eastAsia" w:ascii="宋体" w:hAnsi="宋体" w:cs="宋体"/>
                <w:szCs w:val="21"/>
              </w:rPr>
              <w:t>标准文本主要内容编写，规范标准格式</w:t>
            </w:r>
          </w:p>
        </w:tc>
      </w:tr>
      <w:tr w14:paraId="4054FE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81" w:type="dxa"/>
            <w:tcBorders>
              <w:tl2br w:val="nil"/>
              <w:tr2bl w:val="nil"/>
            </w:tcBorders>
            <w:shd w:val="clear" w:color="auto" w:fill="auto"/>
            <w:vAlign w:val="center"/>
          </w:tcPr>
          <w:p w14:paraId="24CD982D">
            <w:pPr>
              <w:jc w:val="center"/>
              <w:rPr>
                <w:rFonts w:hint="eastAsia" w:ascii="宋体" w:hAnsi="宋体" w:cs="宋体" w:eastAsiaTheme="minorEastAsia"/>
                <w:kern w:val="2"/>
                <w:sz w:val="21"/>
                <w:szCs w:val="21"/>
                <w:lang w:val="en-US" w:eastAsia="zh-CN" w:bidi="ar-SA"/>
              </w:rPr>
            </w:pPr>
            <w:r>
              <w:rPr>
                <w:rFonts w:hint="eastAsia" w:ascii="宋体" w:hAnsi="宋体" w:cs="宋体"/>
                <w:szCs w:val="21"/>
                <w:lang w:val="en-US" w:eastAsia="zh-CN"/>
              </w:rPr>
              <w:t>5</w:t>
            </w:r>
          </w:p>
        </w:tc>
        <w:tc>
          <w:tcPr>
            <w:tcW w:w="937" w:type="dxa"/>
            <w:tcBorders>
              <w:tl2br w:val="nil"/>
              <w:tr2bl w:val="nil"/>
            </w:tcBorders>
            <w:vAlign w:val="center"/>
          </w:tcPr>
          <w:p w14:paraId="1E92A353">
            <w:pPr>
              <w:jc w:val="center"/>
              <w:rPr>
                <w:rFonts w:hint="default" w:ascii="Times New Roman"/>
                <w:lang w:val="en-US" w:eastAsia="zh-CN"/>
              </w:rPr>
            </w:pPr>
            <w:r>
              <w:rPr>
                <w:rFonts w:hint="eastAsia" w:ascii="Times New Roman"/>
                <w:lang w:val="en-US" w:eastAsia="zh-CN"/>
              </w:rPr>
              <w:t>刘立阳</w:t>
            </w:r>
          </w:p>
        </w:tc>
        <w:tc>
          <w:tcPr>
            <w:tcW w:w="2883" w:type="dxa"/>
            <w:tcBorders>
              <w:tl2br w:val="nil"/>
              <w:tr2bl w:val="nil"/>
            </w:tcBorders>
            <w:shd w:val="clear" w:color="auto" w:fill="auto"/>
            <w:vAlign w:val="center"/>
          </w:tcPr>
          <w:p w14:paraId="7CB7C84E">
            <w:pPr>
              <w:jc w:val="center"/>
              <w:rPr>
                <w:rFonts w:hint="eastAsia" w:ascii="宋体" w:hAnsi="宋体" w:cs="宋体"/>
                <w:szCs w:val="21"/>
                <w:lang w:val="en-US" w:eastAsia="zh-CN"/>
              </w:rPr>
            </w:pPr>
            <w:r>
              <w:rPr>
                <w:rFonts w:hint="eastAsia" w:ascii="宋体" w:hAnsi="宋体" w:cs="宋体"/>
                <w:szCs w:val="21"/>
              </w:rPr>
              <w:t>呼伦贝尔驰宏矿业有限公司</w:t>
            </w:r>
          </w:p>
        </w:tc>
        <w:tc>
          <w:tcPr>
            <w:tcW w:w="4923" w:type="dxa"/>
            <w:tcBorders>
              <w:tl2br w:val="nil"/>
              <w:tr2bl w:val="nil"/>
            </w:tcBorders>
            <w:shd w:val="clear" w:color="auto" w:fill="auto"/>
            <w:vAlign w:val="center"/>
          </w:tcPr>
          <w:p w14:paraId="19B4D9DA">
            <w:pPr>
              <w:rPr>
                <w:rFonts w:hint="eastAsia" w:ascii="宋体" w:hAnsi="宋体" w:cs="宋体" w:eastAsiaTheme="minorEastAsia"/>
                <w:kern w:val="2"/>
                <w:sz w:val="21"/>
                <w:szCs w:val="21"/>
                <w:lang w:val="en-US" w:eastAsia="zh-CN" w:bidi="ar-SA"/>
              </w:rPr>
            </w:pPr>
            <w:r>
              <w:rPr>
                <w:rFonts w:hint="eastAsia" w:ascii="宋体" w:hAnsi="宋体" w:cs="宋体"/>
                <w:szCs w:val="21"/>
              </w:rPr>
              <w:t>标准编制整体工作统筹、组织</w:t>
            </w:r>
          </w:p>
        </w:tc>
      </w:tr>
      <w:tr w14:paraId="364BCE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81" w:type="dxa"/>
            <w:tcBorders>
              <w:tl2br w:val="nil"/>
              <w:tr2bl w:val="nil"/>
            </w:tcBorders>
            <w:shd w:val="clear" w:color="auto" w:fill="auto"/>
            <w:vAlign w:val="center"/>
          </w:tcPr>
          <w:p w14:paraId="063048B9">
            <w:pPr>
              <w:jc w:val="center"/>
              <w:rPr>
                <w:rFonts w:hint="eastAsia" w:ascii="宋体" w:hAnsi="宋体" w:cs="宋体" w:eastAsiaTheme="minorEastAsia"/>
                <w:kern w:val="2"/>
                <w:sz w:val="21"/>
                <w:szCs w:val="21"/>
                <w:lang w:val="en-US" w:eastAsia="zh-CN" w:bidi="ar-SA"/>
              </w:rPr>
            </w:pPr>
            <w:r>
              <w:rPr>
                <w:rFonts w:hint="eastAsia" w:ascii="宋体" w:hAnsi="宋体" w:cs="宋体"/>
                <w:szCs w:val="21"/>
                <w:lang w:val="en-US" w:eastAsia="zh-CN"/>
              </w:rPr>
              <w:t>6</w:t>
            </w:r>
          </w:p>
        </w:tc>
        <w:tc>
          <w:tcPr>
            <w:tcW w:w="937" w:type="dxa"/>
            <w:tcBorders>
              <w:tl2br w:val="nil"/>
              <w:tr2bl w:val="nil"/>
            </w:tcBorders>
            <w:vAlign w:val="center"/>
          </w:tcPr>
          <w:p w14:paraId="26079C53">
            <w:pPr>
              <w:jc w:val="center"/>
              <w:rPr>
                <w:rFonts w:hint="eastAsia" w:ascii="宋体" w:hAnsi="宋体" w:cs="宋体" w:eastAsiaTheme="minorEastAsia"/>
                <w:szCs w:val="21"/>
                <w:lang w:eastAsia="zh-CN"/>
              </w:rPr>
            </w:pPr>
            <w:r>
              <w:rPr>
                <w:rFonts w:hint="eastAsia" w:ascii="宋体" w:hAnsi="宋体" w:cs="宋体"/>
                <w:szCs w:val="21"/>
                <w:lang w:val="en-US" w:eastAsia="zh-CN"/>
              </w:rPr>
              <w:t>刘黎波</w:t>
            </w:r>
          </w:p>
        </w:tc>
        <w:tc>
          <w:tcPr>
            <w:tcW w:w="2883" w:type="dxa"/>
            <w:tcBorders>
              <w:tl2br w:val="nil"/>
              <w:tr2bl w:val="nil"/>
            </w:tcBorders>
            <w:vAlign w:val="center"/>
          </w:tcPr>
          <w:p w14:paraId="1A20B144">
            <w:pPr>
              <w:jc w:val="center"/>
              <w:rPr>
                <w:rFonts w:ascii="宋体" w:hAnsi="宋体" w:cs="宋体"/>
                <w:szCs w:val="21"/>
              </w:rPr>
            </w:pPr>
            <w:r>
              <w:rPr>
                <w:rFonts w:hint="eastAsia" w:ascii="宋体" w:hAnsi="宋体" w:cs="宋体"/>
                <w:szCs w:val="21"/>
              </w:rPr>
              <w:t>呼伦贝尔驰宏矿业有限公司</w:t>
            </w:r>
          </w:p>
        </w:tc>
        <w:tc>
          <w:tcPr>
            <w:tcW w:w="4923" w:type="dxa"/>
            <w:tcBorders>
              <w:tl2br w:val="nil"/>
              <w:tr2bl w:val="nil"/>
            </w:tcBorders>
            <w:vAlign w:val="center"/>
          </w:tcPr>
          <w:p w14:paraId="2EA585F5">
            <w:pPr>
              <w:rPr>
                <w:rFonts w:ascii="宋体" w:hAnsi="宋体" w:cs="宋体"/>
                <w:szCs w:val="21"/>
              </w:rPr>
            </w:pPr>
            <w:r>
              <w:rPr>
                <w:rFonts w:hint="eastAsia" w:ascii="宋体" w:hAnsi="宋体" w:cs="宋体"/>
                <w:szCs w:val="21"/>
              </w:rPr>
              <w:t>标准编制整体工作统筹、组织</w:t>
            </w:r>
          </w:p>
        </w:tc>
      </w:tr>
      <w:tr w14:paraId="4B6327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81" w:type="dxa"/>
            <w:tcBorders>
              <w:tl2br w:val="nil"/>
              <w:tr2bl w:val="nil"/>
            </w:tcBorders>
            <w:vAlign w:val="center"/>
          </w:tcPr>
          <w:p w14:paraId="3A652564">
            <w:pPr>
              <w:jc w:val="center"/>
              <w:rPr>
                <w:rFonts w:hint="default" w:ascii="宋体" w:hAnsi="宋体" w:cs="宋体" w:eastAsiaTheme="minorEastAsia"/>
                <w:szCs w:val="21"/>
                <w:lang w:val="en-US" w:eastAsia="zh-CN"/>
              </w:rPr>
            </w:pPr>
            <w:r>
              <w:rPr>
                <w:rFonts w:hint="eastAsia" w:ascii="宋体" w:hAnsi="宋体" w:cs="宋体"/>
                <w:szCs w:val="21"/>
                <w:lang w:val="en-US" w:eastAsia="zh-CN"/>
              </w:rPr>
              <w:t>7</w:t>
            </w:r>
          </w:p>
        </w:tc>
        <w:tc>
          <w:tcPr>
            <w:tcW w:w="937" w:type="dxa"/>
            <w:tcBorders>
              <w:tl2br w:val="nil"/>
              <w:tr2bl w:val="nil"/>
            </w:tcBorders>
            <w:shd w:val="clear" w:color="auto" w:fill="auto"/>
            <w:vAlign w:val="center"/>
          </w:tcPr>
          <w:p w14:paraId="3099D000">
            <w:pPr>
              <w:jc w:val="center"/>
              <w:rPr>
                <w:rFonts w:hint="eastAsia" w:ascii="宋体" w:hAnsi="宋体" w:cs="宋体" w:eastAsiaTheme="minorEastAsia"/>
                <w:kern w:val="2"/>
                <w:sz w:val="21"/>
                <w:szCs w:val="21"/>
                <w:lang w:val="en-US" w:eastAsia="zh-CN" w:bidi="ar-SA"/>
              </w:rPr>
            </w:pPr>
            <w:r>
              <w:rPr>
                <w:rFonts w:hint="eastAsia" w:ascii="宋体" w:hAnsi="宋体" w:cs="宋体"/>
                <w:szCs w:val="21"/>
              </w:rPr>
              <w:t>章怡萌</w:t>
            </w:r>
          </w:p>
        </w:tc>
        <w:tc>
          <w:tcPr>
            <w:tcW w:w="2883" w:type="dxa"/>
            <w:tcBorders>
              <w:tl2br w:val="nil"/>
              <w:tr2bl w:val="nil"/>
            </w:tcBorders>
            <w:shd w:val="clear" w:color="auto" w:fill="auto"/>
            <w:vAlign w:val="center"/>
          </w:tcPr>
          <w:p w14:paraId="656C09FD">
            <w:pPr>
              <w:jc w:val="center"/>
              <w:rPr>
                <w:rFonts w:hint="eastAsia" w:ascii="宋体" w:hAnsi="宋体" w:cs="宋体" w:eastAsiaTheme="minorEastAsia"/>
                <w:kern w:val="2"/>
                <w:sz w:val="21"/>
                <w:szCs w:val="21"/>
                <w:lang w:val="en-US" w:eastAsia="zh-CN" w:bidi="ar-SA"/>
              </w:rPr>
            </w:pPr>
            <w:r>
              <w:rPr>
                <w:rFonts w:hint="eastAsia" w:ascii="宋体" w:hAnsi="宋体" w:cs="宋体"/>
                <w:szCs w:val="21"/>
              </w:rPr>
              <w:t>呼伦贝尔驰宏矿业有限公司</w:t>
            </w:r>
          </w:p>
        </w:tc>
        <w:tc>
          <w:tcPr>
            <w:tcW w:w="4923" w:type="dxa"/>
            <w:tcBorders>
              <w:tl2br w:val="nil"/>
              <w:tr2bl w:val="nil"/>
            </w:tcBorders>
            <w:shd w:val="clear" w:color="auto" w:fill="auto"/>
            <w:vAlign w:val="center"/>
          </w:tcPr>
          <w:p w14:paraId="460DBDC9">
            <w:pPr>
              <w:rPr>
                <w:rFonts w:hint="eastAsia" w:ascii="宋体" w:hAnsi="宋体" w:cs="宋体" w:eastAsiaTheme="minorEastAsia"/>
                <w:kern w:val="2"/>
                <w:sz w:val="21"/>
                <w:szCs w:val="21"/>
                <w:lang w:val="en-US" w:eastAsia="zh-CN" w:bidi="ar-SA"/>
              </w:rPr>
            </w:pPr>
            <w:r>
              <w:rPr>
                <w:rFonts w:hint="eastAsia" w:ascii="宋体" w:hAnsi="宋体" w:cs="宋体"/>
                <w:szCs w:val="21"/>
              </w:rPr>
              <w:t>标准文本规范标准格式、对外联络及调研组织协调</w:t>
            </w:r>
          </w:p>
        </w:tc>
      </w:tr>
    </w:tbl>
    <w:p w14:paraId="55C50389">
      <w:pPr>
        <w:snapToGrid w:val="0"/>
        <w:spacing w:before="156" w:beforeLines="50" w:after="156" w:afterLines="50" w:line="360" w:lineRule="auto"/>
        <w:outlineLvl w:val="0"/>
        <w:rPr>
          <w:rFonts w:ascii="黑体" w:hAnsi="黑体" w:eastAsia="黑体" w:cs="黑体"/>
          <w:sz w:val="24"/>
          <w:szCs w:val="24"/>
        </w:rPr>
      </w:pPr>
      <w:r>
        <w:rPr>
          <w:rFonts w:hint="eastAsia" w:ascii="黑体" w:hAnsi="黑体" w:eastAsia="黑体" w:cs="黑体"/>
          <w:sz w:val="24"/>
          <w:szCs w:val="24"/>
        </w:rPr>
        <w:t>（四）主要工作过程</w:t>
      </w:r>
    </w:p>
    <w:p w14:paraId="707FD57A">
      <w:pPr>
        <w:snapToGrid w:val="0"/>
        <w:spacing w:before="156" w:beforeLines="50" w:line="360" w:lineRule="auto"/>
        <w:outlineLvl w:val="0"/>
        <w:rPr>
          <w:rFonts w:hint="eastAsia" w:ascii="黑体" w:hAnsi="黑体" w:eastAsia="黑体" w:cs="黑体"/>
          <w:sz w:val="24"/>
          <w:szCs w:val="24"/>
        </w:rPr>
      </w:pPr>
      <w:r>
        <w:rPr>
          <w:rFonts w:hint="eastAsia" w:ascii="黑体" w:hAnsi="黑体" w:eastAsia="黑体" w:cs="黑体"/>
          <w:sz w:val="24"/>
          <w:szCs w:val="24"/>
        </w:rPr>
        <w:t>1 立项阶段</w:t>
      </w:r>
    </w:p>
    <w:p w14:paraId="13BB3290">
      <w:pPr>
        <w:snapToGrid w:val="0"/>
        <w:spacing w:line="360" w:lineRule="auto"/>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025</w:t>
      </w:r>
      <w:r>
        <w:rPr>
          <w:rFonts w:hint="eastAsia" w:ascii="宋体" w:hAnsi="宋体" w:cs="宋体"/>
          <w:sz w:val="24"/>
          <w:szCs w:val="24"/>
        </w:rPr>
        <w:t>年</w:t>
      </w:r>
      <w:r>
        <w:rPr>
          <w:rFonts w:hint="eastAsia" w:ascii="宋体" w:hAnsi="宋体" w:cs="宋体"/>
          <w:sz w:val="24"/>
          <w:szCs w:val="24"/>
          <w:lang w:val="en-US" w:eastAsia="zh-CN"/>
        </w:rPr>
        <w:t>10</w:t>
      </w:r>
      <w:r>
        <w:rPr>
          <w:rFonts w:hint="eastAsia" w:ascii="宋体" w:hAnsi="宋体" w:cs="宋体"/>
          <w:sz w:val="24"/>
          <w:szCs w:val="24"/>
        </w:rPr>
        <w:t>月，云南驰宏锌锗股份有限公司向全国有色金属标准化技术委员会提交《</w:t>
      </w:r>
      <w:r>
        <w:rPr>
          <w:rFonts w:hint="eastAsia" w:ascii="宋体" w:hAnsi="宋体" w:cs="宋体"/>
          <w:sz w:val="24"/>
          <w:szCs w:val="24"/>
          <w:lang w:eastAsia="zh-CN"/>
        </w:rPr>
        <w:t>氧压浸出炼锌氧压釜温度智能监控技术要求</w:t>
      </w:r>
      <w:r>
        <w:rPr>
          <w:rFonts w:hint="eastAsia" w:ascii="宋体" w:hAnsi="宋体" w:cs="宋体"/>
          <w:sz w:val="24"/>
          <w:szCs w:val="24"/>
        </w:rPr>
        <w:t>》标准项目建议书、标准草案及立项说明等材料。经专家论证，项目符合行业发展需求，同意立项开展后续工作。</w:t>
      </w:r>
    </w:p>
    <w:p w14:paraId="76592877">
      <w:pPr>
        <w:snapToGrid w:val="0"/>
        <w:spacing w:line="360" w:lineRule="auto"/>
        <w:ind w:firstLine="480" w:firstLineChars="200"/>
        <w:outlineLvl w:val="0"/>
        <w:rPr>
          <w:rFonts w:hint="eastAsia" w:ascii="宋体" w:hAnsi="宋体" w:cs="宋体"/>
          <w:sz w:val="24"/>
          <w:szCs w:val="24"/>
        </w:rPr>
      </w:pPr>
      <w:r>
        <w:rPr>
          <w:rFonts w:hint="eastAsia" w:ascii="宋体" w:hAnsi="宋体" w:cs="宋体"/>
          <w:sz w:val="24"/>
          <w:szCs w:val="24"/>
        </w:rPr>
        <w:t>20</w:t>
      </w:r>
      <w:r>
        <w:rPr>
          <w:rFonts w:hint="eastAsia" w:ascii="宋体" w:hAnsi="宋体" w:cs="宋体"/>
          <w:sz w:val="24"/>
          <w:szCs w:val="24"/>
          <w:lang w:val="en-US" w:eastAsia="zh-CN"/>
        </w:rPr>
        <w:t>26</w:t>
      </w:r>
      <w:r>
        <w:rPr>
          <w:rFonts w:hint="eastAsia" w:ascii="宋体" w:hAnsi="宋体" w:cs="宋体"/>
          <w:sz w:val="24"/>
          <w:szCs w:val="24"/>
        </w:rPr>
        <w:t>年</w:t>
      </w:r>
      <w:r>
        <w:rPr>
          <w:rFonts w:hint="eastAsia" w:ascii="宋体" w:hAnsi="宋体" w:cs="宋体"/>
          <w:sz w:val="24"/>
          <w:szCs w:val="24"/>
          <w:lang w:val="en-US" w:eastAsia="zh-CN"/>
        </w:rPr>
        <w:t>04</w:t>
      </w:r>
      <w:r>
        <w:rPr>
          <w:rFonts w:hint="eastAsia" w:ascii="宋体" w:hAnsi="宋体" w:cs="宋体"/>
          <w:sz w:val="24"/>
          <w:szCs w:val="24"/>
        </w:rPr>
        <w:t>月，根据《</w:t>
      </w:r>
      <w:r>
        <w:rPr>
          <w:rFonts w:hint="eastAsia" w:ascii="宋体" w:hAnsi="宋体" w:cs="宋体"/>
          <w:sz w:val="24"/>
          <w:szCs w:val="24"/>
          <w:lang w:val="en-US" w:eastAsia="zh-CN"/>
        </w:rPr>
        <w:t>关于下达2026年第一批团体标准制修订计划的通知</w:t>
      </w:r>
      <w:r>
        <w:rPr>
          <w:rFonts w:hint="eastAsia" w:ascii="宋体" w:hAnsi="宋体" w:cs="宋体"/>
          <w:sz w:val="24"/>
          <w:szCs w:val="24"/>
        </w:rPr>
        <w:t>》</w:t>
      </w:r>
      <w:r>
        <w:rPr>
          <w:rFonts w:hint="eastAsia" w:ascii="宋体" w:hAnsi="宋体" w:cs="宋体"/>
          <w:sz w:val="24"/>
          <w:szCs w:val="24"/>
          <w:lang w:val="en-US" w:eastAsia="zh-CN"/>
        </w:rPr>
        <w:t>（中色协科字</w:t>
      </w:r>
      <w:r>
        <w:rPr>
          <w:rFonts w:hint="eastAsia" w:ascii="宋体" w:hAnsi="宋体" w:cs="宋体"/>
          <w:sz w:val="24"/>
          <w:szCs w:val="24"/>
        </w:rPr>
        <w:t>【</w:t>
      </w:r>
      <w:r>
        <w:rPr>
          <w:rFonts w:hint="eastAsia" w:ascii="宋体" w:hAnsi="宋体" w:cs="宋体"/>
          <w:sz w:val="24"/>
          <w:szCs w:val="24"/>
          <w:lang w:val="en-US" w:eastAsia="zh-CN"/>
        </w:rPr>
        <w:t>2026】25号）</w:t>
      </w:r>
      <w:r>
        <w:rPr>
          <w:rFonts w:hint="eastAsia" w:ascii="宋体" w:hAnsi="宋体" w:cs="宋体"/>
          <w:sz w:val="24"/>
          <w:szCs w:val="24"/>
        </w:rPr>
        <w:t>，</w:t>
      </w:r>
      <w:r>
        <w:rPr>
          <w:rFonts w:hint="eastAsia" w:ascii="宋体" w:hAnsi="宋体" w:cs="宋体"/>
          <w:sz w:val="24"/>
          <w:szCs w:val="24"/>
          <w:lang w:val="en-US" w:eastAsia="zh-CN"/>
        </w:rPr>
        <w:t>全国有色金属标准化技术委员会</w:t>
      </w:r>
      <w:r>
        <w:rPr>
          <w:rFonts w:hint="eastAsia" w:ascii="宋体" w:hAnsi="宋体" w:cs="宋体"/>
          <w:sz w:val="24"/>
          <w:szCs w:val="24"/>
        </w:rPr>
        <w:t>下达《</w:t>
      </w:r>
      <w:r>
        <w:rPr>
          <w:rFonts w:hint="eastAsia" w:ascii="宋体" w:hAnsi="宋体" w:cs="宋体"/>
          <w:sz w:val="24"/>
          <w:szCs w:val="24"/>
          <w:lang w:eastAsia="zh-CN"/>
        </w:rPr>
        <w:t>氧压浸出炼锌氧压釜温度智能监控技术要求</w:t>
      </w:r>
      <w:r>
        <w:rPr>
          <w:rFonts w:hint="eastAsia" w:ascii="宋体" w:hAnsi="宋体" w:cs="宋体"/>
          <w:sz w:val="24"/>
          <w:szCs w:val="24"/>
        </w:rPr>
        <w:t>》有色金属协会</w:t>
      </w:r>
      <w:r>
        <w:rPr>
          <w:rFonts w:hint="eastAsia" w:ascii="宋体" w:hAnsi="宋体" w:cs="宋体"/>
          <w:sz w:val="24"/>
          <w:szCs w:val="24"/>
          <w:lang w:val="en-US" w:eastAsia="zh-CN"/>
        </w:rPr>
        <w:t>团体标准</w:t>
      </w:r>
      <w:r>
        <w:rPr>
          <w:rFonts w:hint="eastAsia" w:ascii="宋体" w:hAnsi="宋体" w:cs="宋体"/>
          <w:sz w:val="24"/>
          <w:szCs w:val="24"/>
        </w:rPr>
        <w:t>的任务，计划标准号为</w:t>
      </w:r>
      <w:r>
        <w:rPr>
          <w:rFonts w:hint="eastAsia" w:ascii="宋体" w:hAnsi="宋体" w:cs="宋体"/>
          <w:sz w:val="24"/>
          <w:szCs w:val="24"/>
          <w:lang w:val="en-US" w:eastAsia="zh-CN"/>
        </w:rPr>
        <w:t>2026-007-T/CINA</w:t>
      </w:r>
      <w:r>
        <w:rPr>
          <w:rFonts w:hint="eastAsia" w:ascii="宋体" w:hAnsi="宋体" w:cs="宋体"/>
          <w:sz w:val="24"/>
          <w:szCs w:val="24"/>
        </w:rPr>
        <w:t>，项目周期为1</w:t>
      </w:r>
      <w:r>
        <w:rPr>
          <w:rFonts w:hint="eastAsia" w:ascii="宋体" w:hAnsi="宋体" w:cs="宋体"/>
          <w:sz w:val="24"/>
          <w:szCs w:val="24"/>
          <w:lang w:val="en-US" w:eastAsia="zh-CN"/>
        </w:rPr>
        <w:t>2</w:t>
      </w:r>
      <w:r>
        <w:rPr>
          <w:rFonts w:hint="eastAsia" w:ascii="宋体" w:hAnsi="宋体" w:cs="宋体"/>
          <w:sz w:val="24"/>
          <w:szCs w:val="24"/>
        </w:rPr>
        <w:t>个月，完成期限为</w:t>
      </w:r>
      <w:r>
        <w:rPr>
          <w:rFonts w:hint="eastAsia" w:ascii="宋体" w:hAnsi="宋体" w:cs="宋体"/>
          <w:sz w:val="24"/>
          <w:szCs w:val="24"/>
          <w:lang w:val="en-US" w:eastAsia="zh-CN"/>
        </w:rPr>
        <w:t>2027年4月</w:t>
      </w:r>
      <w:r>
        <w:rPr>
          <w:rFonts w:hint="eastAsia" w:ascii="宋体" w:hAnsi="宋体" w:cs="宋体"/>
          <w:sz w:val="24"/>
          <w:szCs w:val="24"/>
        </w:rPr>
        <w:t>，技术归口单位为全国有色金属标准化技术委员会。</w:t>
      </w:r>
    </w:p>
    <w:p w14:paraId="081437B1">
      <w:pPr>
        <w:snapToGrid w:val="0"/>
        <w:spacing w:before="156" w:beforeLines="50" w:line="360" w:lineRule="auto"/>
        <w:outlineLvl w:val="0"/>
        <w:rPr>
          <w:rFonts w:ascii="黑体" w:hAnsi="黑体" w:eastAsia="黑体" w:cs="黑体"/>
          <w:sz w:val="24"/>
          <w:szCs w:val="24"/>
        </w:rPr>
      </w:pPr>
      <w:r>
        <w:rPr>
          <w:rFonts w:hint="eastAsia" w:ascii="黑体" w:hAnsi="黑体" w:eastAsia="黑体" w:cs="黑体"/>
          <w:sz w:val="24"/>
          <w:szCs w:val="24"/>
        </w:rPr>
        <w:t>2 起草阶段</w:t>
      </w:r>
    </w:p>
    <w:p w14:paraId="1BCF4E02">
      <w:pPr>
        <w:snapToGrid w:val="0"/>
        <w:spacing w:before="156" w:beforeLines="50" w:line="360" w:lineRule="auto"/>
        <w:outlineLvl w:val="0"/>
        <w:rPr>
          <w:rFonts w:hint="eastAsia" w:ascii="黑体" w:hAnsi="黑体" w:eastAsia="黑体" w:cs="黑体"/>
          <w:sz w:val="24"/>
          <w:szCs w:val="24"/>
        </w:rPr>
      </w:pPr>
      <w:r>
        <w:rPr>
          <w:rFonts w:hint="eastAsia" w:ascii="黑体" w:hAnsi="黑体" w:eastAsia="黑体" w:cs="黑体"/>
          <w:sz w:val="24"/>
          <w:szCs w:val="24"/>
        </w:rPr>
        <w:t>2.1 召开编制组动员大会</w:t>
      </w:r>
    </w:p>
    <w:p w14:paraId="310A4F29">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lang w:val="en-US" w:eastAsia="zh-CN"/>
        </w:rPr>
        <w:t>项目正式立项后，为保障标准编制工作的专业性、科学性与高效性，第一时间完成标准编制组的组建工作。标准编制组精心集结了跨领域专业人才队伍，成员涵盖</w:t>
      </w:r>
      <w:r>
        <w:rPr>
          <w:rFonts w:hint="default" w:ascii="宋体" w:hAnsi="宋体" w:cs="宋体"/>
          <w:sz w:val="24"/>
          <w:szCs w:val="24"/>
          <w:lang w:val="en-US" w:eastAsia="zh-CN"/>
        </w:rPr>
        <w:t>氧压浸出工艺、仪表自动化、安全工程、设备管理</w:t>
      </w:r>
      <w:r>
        <w:rPr>
          <w:rFonts w:hint="eastAsia" w:ascii="宋体" w:hAnsi="宋体" w:cs="宋体"/>
          <w:sz w:val="24"/>
          <w:szCs w:val="24"/>
          <w:lang w:val="en-US" w:eastAsia="zh-CN"/>
        </w:rPr>
        <w:t>、标准化体系建设等多个核心领域，均具备丰富的行业实践经验与深厚的专业技术积淀，为后续工作的高质量推进奠定了坚实的人才基础。</w:t>
      </w:r>
    </w:p>
    <w:p w14:paraId="52825D77">
      <w:pPr>
        <w:adjustRightInd w:val="0"/>
        <w:snapToGrid w:val="0"/>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为确保标准内容的全面性、前沿性与适用性，编制组启动了系统性的资料收集与调研工作。一方面，通过多渠道、全方位收集国内外相关资料，具体包括行业权威研究报告、重点企业生产运行数据、已发布实施的国家及行业相关标准文本、学术研究文献等，对</w:t>
      </w:r>
      <w:r>
        <w:rPr>
          <w:rFonts w:hint="default" w:ascii="宋体" w:hAnsi="宋体" w:cs="宋体"/>
          <w:sz w:val="24"/>
          <w:szCs w:val="24"/>
          <w:lang w:val="en-US" w:eastAsia="zh-CN"/>
        </w:rPr>
        <w:t>氧压釜温度监控现状</w:t>
      </w:r>
      <w:r>
        <w:rPr>
          <w:rFonts w:hint="eastAsia" w:ascii="宋体" w:hAnsi="宋体" w:cs="宋体"/>
          <w:sz w:val="24"/>
          <w:szCs w:val="24"/>
          <w:lang w:val="en-US" w:eastAsia="zh-CN"/>
        </w:rPr>
        <w:t>及标准规范缺口进行全面梳理；另一方面，开展针对性调研，</w:t>
      </w:r>
      <w:r>
        <w:rPr>
          <w:rFonts w:hint="default" w:ascii="宋体" w:hAnsi="宋体" w:cs="宋体"/>
          <w:sz w:val="24"/>
          <w:szCs w:val="24"/>
          <w:lang w:val="en-US" w:eastAsia="zh-CN"/>
        </w:rPr>
        <w:t>重点针对</w:t>
      </w:r>
      <w:r>
        <w:rPr>
          <w:rFonts w:hint="eastAsia" w:ascii="宋体" w:hAnsi="宋体" w:cs="宋体"/>
          <w:sz w:val="24"/>
          <w:szCs w:val="24"/>
          <w:lang w:val="en-US" w:eastAsia="zh-CN"/>
        </w:rPr>
        <w:t>各企业</w:t>
      </w:r>
      <w:r>
        <w:rPr>
          <w:rFonts w:hint="default" w:ascii="宋体" w:hAnsi="宋体" w:cs="宋体"/>
          <w:sz w:val="24"/>
          <w:szCs w:val="24"/>
          <w:lang w:val="en-US" w:eastAsia="zh-CN"/>
        </w:rPr>
        <w:t>氧压浸出产线实际运行情况进行现场勘查与数据采集</w:t>
      </w:r>
      <w:r>
        <w:rPr>
          <w:rFonts w:hint="eastAsia" w:ascii="宋体" w:hAnsi="宋体" w:cs="宋体"/>
          <w:sz w:val="24"/>
          <w:szCs w:val="24"/>
          <w:lang w:val="en-US" w:eastAsia="zh-CN"/>
        </w:rPr>
        <w:t>，为标准条款的科学设定积累了详实的实践数据支撑。</w:t>
      </w:r>
    </w:p>
    <w:p w14:paraId="20D76528">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lang w:val="en-US" w:eastAsia="zh-CN"/>
        </w:rPr>
        <w:t>在完成资料收集与实地调研工作后，编制组定期组织召开内部专题研讨会议，对收集到的各类资料、调研数据进行系统化梳理、深入分析与交叉验证。会议重点围绕标准的核心定位、适用范围、技术指标设定原则、框架体系构建等关键问题展开充分研讨，逐步明确了标准的基本框架、章节结构及各章节核心内容。经过多轮讨论、修改与完善，最终形成《</w:t>
      </w:r>
      <w:r>
        <w:rPr>
          <w:rFonts w:hint="eastAsia" w:ascii="宋体" w:hAnsi="宋体" w:cs="宋体"/>
          <w:sz w:val="24"/>
          <w:szCs w:val="24"/>
          <w:lang w:eastAsia="zh-CN"/>
        </w:rPr>
        <w:t>氧压浸出炼锌氧压釜温度智能监控技术要求</w:t>
      </w:r>
      <w:r>
        <w:rPr>
          <w:rFonts w:hint="eastAsia" w:ascii="宋体" w:hAnsi="宋体" w:cs="宋体"/>
          <w:sz w:val="24"/>
          <w:szCs w:val="24"/>
          <w:lang w:val="en-US" w:eastAsia="zh-CN"/>
        </w:rPr>
        <w:t>》标准草案初稿，为后续标准的征求意见、审查定稿等工作奠定了重要基础。</w:t>
      </w:r>
    </w:p>
    <w:p w14:paraId="2335F1FC">
      <w:pPr>
        <w:snapToGrid w:val="0"/>
        <w:spacing w:before="156" w:beforeLines="50" w:line="360" w:lineRule="auto"/>
        <w:outlineLvl w:val="0"/>
        <w:rPr>
          <w:rFonts w:hint="eastAsia" w:ascii="黑体" w:hAnsi="黑体" w:eastAsia="黑体" w:cs="黑体"/>
          <w:sz w:val="24"/>
          <w:szCs w:val="24"/>
        </w:rPr>
      </w:pPr>
      <w:r>
        <w:rPr>
          <w:rFonts w:hint="eastAsia" w:ascii="黑体" w:hAnsi="黑体" w:eastAsia="黑体" w:cs="黑体"/>
          <w:sz w:val="24"/>
          <w:szCs w:val="24"/>
        </w:rPr>
        <w:t>2.2  编制征求意见稿</w:t>
      </w:r>
    </w:p>
    <w:p w14:paraId="31EB1078">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202</w:t>
      </w:r>
      <w:r>
        <w:rPr>
          <w:rFonts w:hint="eastAsia" w:ascii="宋体" w:hAnsi="宋体" w:cs="宋体"/>
          <w:sz w:val="24"/>
          <w:szCs w:val="24"/>
          <w:lang w:val="en-US" w:eastAsia="zh-CN"/>
        </w:rPr>
        <w:t>5</w:t>
      </w:r>
      <w:r>
        <w:rPr>
          <w:rFonts w:hint="eastAsia" w:ascii="宋体" w:hAnsi="宋体" w:cs="宋体"/>
          <w:sz w:val="24"/>
          <w:szCs w:val="24"/>
        </w:rPr>
        <w:t>年</w:t>
      </w:r>
      <w:r>
        <w:rPr>
          <w:rFonts w:hint="eastAsia" w:ascii="宋体" w:hAnsi="宋体" w:cs="宋体"/>
          <w:sz w:val="24"/>
          <w:szCs w:val="24"/>
          <w:lang w:val="en-US" w:eastAsia="zh-CN"/>
        </w:rPr>
        <w:t>10</w:t>
      </w:r>
      <w:r>
        <w:rPr>
          <w:rFonts w:hint="eastAsia" w:ascii="宋体" w:hAnsi="宋体" w:cs="宋体"/>
          <w:sz w:val="24"/>
          <w:szCs w:val="24"/>
        </w:rPr>
        <w:t>月，</w:t>
      </w:r>
      <w:r>
        <w:rPr>
          <w:rFonts w:hint="eastAsia" w:hAnsi="宋体" w:eastAsia="宋体" w:cs="宋体"/>
          <w:sz w:val="24"/>
          <w:szCs w:val="24"/>
        </w:rPr>
        <w:t>云南驰宏锌锗股份有限公司</w:t>
      </w:r>
      <w:r>
        <w:rPr>
          <w:rFonts w:hint="eastAsia" w:ascii="宋体" w:hAnsi="宋体" w:cs="宋体"/>
          <w:sz w:val="24"/>
          <w:szCs w:val="24"/>
        </w:rPr>
        <w:t>标准编制组对标准草案初稿进行内部审核与修改，并邀请行业内权威专家召开研讨会，就标准草案的技术内容、工艺流程、质量要求等进行深入讨论。根据专家意见，对标准草案进行完善，明确各项技术指标和要求，形成《</w:t>
      </w:r>
      <w:r>
        <w:rPr>
          <w:rFonts w:hint="eastAsia" w:ascii="宋体" w:hAnsi="宋体" w:cs="宋体"/>
          <w:sz w:val="24"/>
          <w:szCs w:val="24"/>
          <w:lang w:eastAsia="zh-CN"/>
        </w:rPr>
        <w:t>氧压浸出炼锌氧压釜温度智能监控技术要求</w:t>
      </w:r>
      <w:r>
        <w:rPr>
          <w:rFonts w:hint="eastAsia" w:ascii="宋体" w:hAnsi="宋体" w:cs="宋体"/>
          <w:sz w:val="24"/>
          <w:szCs w:val="24"/>
        </w:rPr>
        <w:t>》（征求意见稿）。</w:t>
      </w:r>
    </w:p>
    <w:p w14:paraId="7EFF6678">
      <w:pPr>
        <w:pStyle w:val="31"/>
        <w:tabs>
          <w:tab w:val="center" w:pos="4201"/>
          <w:tab w:val="right" w:leader="dot" w:pos="9298"/>
        </w:tabs>
        <w:adjustRightInd w:val="0"/>
        <w:snapToGrid w:val="0"/>
        <w:spacing w:line="360" w:lineRule="auto"/>
        <w:ind w:firstLine="420"/>
        <w:rPr>
          <w:rFonts w:hint="eastAsia" w:hAnsi="宋体" w:cs="宋体"/>
          <w:sz w:val="24"/>
          <w:szCs w:val="24"/>
        </w:rPr>
      </w:pPr>
      <w:r>
        <w:rPr>
          <w:rFonts w:hint="eastAsia" w:hAnsi="宋体" w:cs="宋体"/>
          <w:sz w:val="24"/>
          <w:szCs w:val="24"/>
        </w:rPr>
        <w:t>202</w:t>
      </w:r>
      <w:r>
        <w:rPr>
          <w:rFonts w:hint="eastAsia" w:hAnsi="宋体" w:cs="宋体"/>
          <w:sz w:val="24"/>
          <w:szCs w:val="24"/>
          <w:lang w:val="en-US" w:eastAsia="zh-CN"/>
        </w:rPr>
        <w:t>6</w:t>
      </w:r>
      <w:r>
        <w:rPr>
          <w:rFonts w:hint="eastAsia" w:hAnsi="宋体" w:cs="宋体"/>
          <w:sz w:val="24"/>
          <w:szCs w:val="24"/>
        </w:rPr>
        <w:t>年</w:t>
      </w:r>
      <w:r>
        <w:rPr>
          <w:rFonts w:hint="eastAsia" w:hAnsi="宋体" w:cs="宋体"/>
          <w:sz w:val="24"/>
          <w:szCs w:val="24"/>
          <w:lang w:val="en-US" w:eastAsia="zh-CN"/>
        </w:rPr>
        <w:t>06</w:t>
      </w:r>
      <w:r>
        <w:rPr>
          <w:rFonts w:hint="eastAsia" w:hAnsi="宋体" w:cs="宋体"/>
          <w:sz w:val="24"/>
          <w:szCs w:val="24"/>
        </w:rPr>
        <w:t>月，云南驰宏锌锗股份有限公司标准编制组在行业内广泛征求意见，收集各单位反馈，进一步优化标准内容，形成《</w:t>
      </w:r>
      <w:r>
        <w:rPr>
          <w:rFonts w:hint="eastAsia" w:hAnsi="宋体" w:cs="宋体"/>
          <w:sz w:val="24"/>
          <w:szCs w:val="24"/>
          <w:lang w:eastAsia="zh-CN"/>
        </w:rPr>
        <w:t>氧压浸出炼锌氧压釜温度智能监控技术要求</w:t>
      </w:r>
      <w:r>
        <w:rPr>
          <w:rFonts w:hint="eastAsia" w:hAnsi="宋体" w:cs="宋体"/>
          <w:sz w:val="24"/>
          <w:szCs w:val="24"/>
        </w:rPr>
        <w:t>》</w:t>
      </w:r>
      <w:r>
        <w:rPr>
          <w:rFonts w:hint="eastAsia" w:hAnsi="宋体" w:cs="宋体"/>
          <w:sz w:val="24"/>
          <w:szCs w:val="24"/>
          <w:lang w:val="en-US" w:eastAsia="zh-CN"/>
        </w:rPr>
        <w:t>讨论</w:t>
      </w:r>
      <w:r>
        <w:rPr>
          <w:rFonts w:hint="eastAsia" w:hAnsi="宋体" w:cs="宋体"/>
          <w:sz w:val="24"/>
          <w:szCs w:val="24"/>
        </w:rPr>
        <w:t>稿</w:t>
      </w:r>
      <w:r>
        <w:rPr>
          <w:rFonts w:hint="eastAsia" w:ascii="宋体" w:hAnsi="宋体" w:cs="宋体"/>
          <w:sz w:val="24"/>
          <w:szCs w:val="24"/>
        </w:rPr>
        <w:t>（征求意见稿）</w:t>
      </w:r>
      <w:r>
        <w:rPr>
          <w:rFonts w:hint="eastAsia" w:hAnsi="宋体" w:cs="宋体"/>
          <w:sz w:val="24"/>
          <w:szCs w:val="24"/>
        </w:rPr>
        <w:t>。</w:t>
      </w:r>
    </w:p>
    <w:p w14:paraId="63F4068F">
      <w:pPr>
        <w:numPr>
          <w:ilvl w:val="0"/>
          <w:numId w:val="3"/>
        </w:numPr>
        <w:snapToGrid w:val="0"/>
        <w:spacing w:before="156" w:beforeLines="50" w:after="156" w:afterLines="50" w:line="360" w:lineRule="auto"/>
        <w:outlineLvl w:val="0"/>
        <w:rPr>
          <w:rFonts w:hint="eastAsia" w:ascii="黑体" w:hAnsi="黑体" w:eastAsia="黑体" w:cs="黑体"/>
          <w:sz w:val="24"/>
          <w:szCs w:val="24"/>
        </w:rPr>
      </w:pPr>
      <w:r>
        <w:rPr>
          <w:rFonts w:hint="eastAsia" w:ascii="黑体" w:hAnsi="黑体" w:eastAsia="黑体" w:cs="黑体"/>
          <w:sz w:val="24"/>
          <w:szCs w:val="24"/>
        </w:rPr>
        <w:t>标准编制原则</w:t>
      </w:r>
    </w:p>
    <w:p w14:paraId="01D45024">
      <w:pPr>
        <w:adjustRightInd w:val="0"/>
        <w:snapToGrid w:val="0"/>
        <w:spacing w:line="360" w:lineRule="auto"/>
        <w:ind w:firstLine="480" w:firstLineChars="200"/>
        <w:rPr>
          <w:rFonts w:hint="eastAsia" w:ascii="宋体" w:hAnsi="宋体" w:cs="宋体"/>
          <w:sz w:val="24"/>
          <w:szCs w:val="24"/>
        </w:rPr>
      </w:pPr>
      <w:r>
        <w:rPr>
          <w:rFonts w:hint="default" w:ascii="Segoe UI" w:hAnsi="Segoe UI" w:eastAsia="Segoe UI" w:cs="Segoe UI"/>
          <w:i w:val="0"/>
          <w:iCs w:val="0"/>
          <w:caps w:val="0"/>
          <w:spacing w:val="0"/>
          <w:sz w:val="24"/>
          <w:szCs w:val="24"/>
          <w:shd w:val="clear" w:fill="FFFFFF"/>
        </w:rPr>
        <w:t>本标准的制定遵循“统一性、协调性、适用性、一致性、规范性”原则，以先进性、科学性、合理性和可操作性为导向，依据GB/T 1.1-2020《标准化工作导则 第1部分：标准化文件的结构和起草规则》进行起草。旨在规范氧压浸出炼锌氧压釜温度智能监控系统的技术要求（包括红外热像仪组网、温度场重构、三级报警联锁机制及远程控制功能），通过建立标准化的监控体系，实现对氧压釜表面及关键部位（</w:t>
      </w:r>
      <w:r>
        <w:rPr>
          <w:rFonts w:hint="eastAsia" w:ascii="Segoe UI" w:hAnsi="Segoe UI" w:eastAsia="宋体" w:cs="Segoe UI"/>
          <w:i w:val="0"/>
          <w:iCs w:val="0"/>
          <w:caps w:val="0"/>
          <w:spacing w:val="0"/>
          <w:sz w:val="24"/>
          <w:szCs w:val="24"/>
          <w:shd w:val="clear" w:fill="FFFFFF"/>
          <w:lang w:val="en-US" w:eastAsia="zh-CN"/>
        </w:rPr>
        <w:t>如</w:t>
      </w:r>
      <w:r>
        <w:rPr>
          <w:rFonts w:hint="default" w:ascii="Segoe UI" w:hAnsi="Segoe UI" w:eastAsia="Segoe UI" w:cs="Segoe UI"/>
          <w:i w:val="0"/>
          <w:iCs w:val="0"/>
          <w:caps w:val="0"/>
          <w:spacing w:val="0"/>
          <w:sz w:val="24"/>
          <w:szCs w:val="24"/>
          <w:shd w:val="clear" w:fill="FFFFFF"/>
        </w:rPr>
        <w:t>氧气管、搅拌电机、减速机等）温度的实时监测与智能预警，填补国内外在氧压浸出炼锌氧压釜温度智能监控领域标准的空白。</w:t>
      </w:r>
    </w:p>
    <w:p w14:paraId="62D90EED">
      <w:pPr>
        <w:numPr>
          <w:ilvl w:val="0"/>
          <w:numId w:val="3"/>
        </w:numPr>
        <w:snapToGrid w:val="0"/>
        <w:spacing w:before="156" w:beforeLines="50" w:after="156" w:afterLines="50" w:line="360" w:lineRule="auto"/>
        <w:outlineLvl w:val="0"/>
        <w:rPr>
          <w:rFonts w:hint="eastAsia" w:ascii="黑体" w:hAnsi="黑体" w:eastAsia="黑体" w:cs="黑体"/>
          <w:sz w:val="24"/>
          <w:szCs w:val="24"/>
        </w:rPr>
      </w:pPr>
      <w:r>
        <w:rPr>
          <w:rFonts w:hint="eastAsia" w:ascii="黑体" w:hAnsi="黑体" w:eastAsia="黑体" w:cs="黑体"/>
          <w:sz w:val="24"/>
          <w:szCs w:val="24"/>
        </w:rPr>
        <w:t>确定内容的主要依据</w:t>
      </w:r>
    </w:p>
    <w:p w14:paraId="563119F5">
      <w:pPr>
        <w:snapToGrid w:val="0"/>
        <w:spacing w:before="156" w:beforeLines="50" w:after="156" w:afterLines="50" w:line="360" w:lineRule="auto"/>
        <w:outlineLvl w:val="0"/>
        <w:rPr>
          <w:rFonts w:hint="eastAsia" w:ascii="黑体" w:hAnsi="黑体" w:eastAsia="黑体" w:cs="黑体"/>
          <w:sz w:val="24"/>
          <w:szCs w:val="24"/>
        </w:rPr>
      </w:pPr>
      <w:r>
        <w:rPr>
          <w:rFonts w:hint="eastAsia" w:ascii="黑体" w:hAnsi="黑体" w:eastAsia="黑体" w:cs="黑体"/>
          <w:sz w:val="24"/>
          <w:szCs w:val="24"/>
        </w:rPr>
        <w:t>（一）主要内容</w:t>
      </w:r>
    </w:p>
    <w:p w14:paraId="7C40AEE2">
      <w:pPr>
        <w:adjustRightInd w:val="0"/>
        <w:snapToGrid w:val="0"/>
        <w:spacing w:line="360" w:lineRule="auto"/>
        <w:ind w:firstLine="480" w:firstLineChars="200"/>
        <w:rPr>
          <w:rFonts w:hint="default" w:ascii="宋体" w:hAnsi="宋体" w:cs="宋体"/>
          <w:sz w:val="24"/>
          <w:szCs w:val="24"/>
        </w:rPr>
      </w:pPr>
      <w:r>
        <w:rPr>
          <w:rFonts w:hint="default" w:ascii="宋体" w:hAnsi="宋体" w:cs="宋体"/>
          <w:sz w:val="24"/>
          <w:szCs w:val="24"/>
        </w:rPr>
        <w:t>本标准主要规定了氧压浸出炼锌氧压釜温度智能监控的系统架构、总体要求、设备技术要求、软件系统要求、数据管理及安全防护等内容，具体涵盖：</w:t>
      </w:r>
    </w:p>
    <w:p w14:paraId="64EADC30">
      <w:pPr>
        <w:adjustRightInd w:val="0"/>
        <w:snapToGrid w:val="0"/>
        <w:spacing w:line="360" w:lineRule="auto"/>
        <w:ind w:firstLine="480" w:firstLineChars="200"/>
        <w:rPr>
          <w:rFonts w:hint="eastAsia" w:ascii="宋体" w:hAnsi="宋体" w:cs="宋体" w:eastAsiaTheme="minorEastAsia"/>
          <w:sz w:val="24"/>
          <w:szCs w:val="24"/>
          <w:lang w:eastAsia="zh-CN"/>
        </w:rPr>
      </w:pPr>
      <w:r>
        <w:rPr>
          <w:rFonts w:hint="eastAsia" w:ascii="宋体" w:hAnsi="宋体" w:cs="宋体"/>
          <w:sz w:val="24"/>
          <w:szCs w:val="24"/>
          <w:lang w:val="en-US" w:eastAsia="zh-CN"/>
        </w:rPr>
        <w:t>1、</w:t>
      </w:r>
      <w:r>
        <w:rPr>
          <w:rFonts w:hint="default" w:ascii="宋体" w:hAnsi="宋体" w:cs="宋体"/>
          <w:sz w:val="24"/>
          <w:szCs w:val="24"/>
        </w:rPr>
        <w:t>术语和定义</w:t>
      </w:r>
      <w:r>
        <w:rPr>
          <w:rFonts w:hint="eastAsia" w:ascii="宋体" w:hAnsi="宋体" w:cs="宋体"/>
          <w:sz w:val="24"/>
          <w:szCs w:val="24"/>
          <w:lang w:eastAsia="zh-CN"/>
        </w:rPr>
        <w:t>：</w:t>
      </w:r>
      <w:r>
        <w:rPr>
          <w:rFonts w:hint="default" w:ascii="宋体" w:hAnsi="宋体" w:cs="宋体"/>
          <w:sz w:val="24"/>
          <w:szCs w:val="24"/>
        </w:rPr>
        <w:t>对“氧压浸出炼锌”</w:t>
      </w:r>
      <w:r>
        <w:rPr>
          <w:rFonts w:hint="eastAsia" w:ascii="宋体" w:hAnsi="宋体" w:cs="宋体"/>
          <w:sz w:val="24"/>
          <w:szCs w:val="24"/>
          <w:lang w:eastAsia="zh-CN"/>
        </w:rPr>
        <w:t>、</w:t>
      </w:r>
      <w:r>
        <w:rPr>
          <w:rFonts w:hint="default" w:ascii="宋体" w:hAnsi="宋体" w:cs="宋体"/>
          <w:sz w:val="24"/>
          <w:szCs w:val="24"/>
        </w:rPr>
        <w:t>“氧压釜”</w:t>
      </w:r>
      <w:r>
        <w:rPr>
          <w:rFonts w:hint="eastAsia" w:ascii="宋体" w:hAnsi="宋体" w:cs="宋体"/>
          <w:sz w:val="24"/>
          <w:szCs w:val="24"/>
          <w:lang w:eastAsia="zh-CN"/>
        </w:rPr>
        <w:t>、</w:t>
      </w:r>
      <w:r>
        <w:rPr>
          <w:rFonts w:hint="default" w:ascii="宋体" w:hAnsi="宋体" w:cs="宋体"/>
          <w:sz w:val="24"/>
          <w:szCs w:val="24"/>
        </w:rPr>
        <w:t>“在线式红外热像仪”</w:t>
      </w:r>
      <w:r>
        <w:rPr>
          <w:rFonts w:hint="eastAsia" w:ascii="宋体" w:hAnsi="宋体" w:cs="宋体"/>
          <w:sz w:val="24"/>
          <w:szCs w:val="24"/>
          <w:lang w:eastAsia="zh-CN"/>
        </w:rPr>
        <w:t>、</w:t>
      </w:r>
      <w:r>
        <w:rPr>
          <w:rFonts w:hint="default" w:ascii="宋体" w:hAnsi="宋体" w:cs="宋体"/>
          <w:sz w:val="24"/>
          <w:szCs w:val="24"/>
        </w:rPr>
        <w:t>“温度场重构”</w:t>
      </w:r>
      <w:r>
        <w:rPr>
          <w:rFonts w:hint="eastAsia" w:ascii="宋体" w:hAnsi="宋体" w:cs="宋体"/>
          <w:sz w:val="24"/>
          <w:szCs w:val="24"/>
          <w:lang w:eastAsia="zh-CN"/>
        </w:rPr>
        <w:t>、</w:t>
      </w:r>
      <w:r>
        <w:rPr>
          <w:rFonts w:hint="default" w:ascii="宋体" w:hAnsi="宋体" w:cs="宋体"/>
          <w:sz w:val="24"/>
          <w:szCs w:val="24"/>
        </w:rPr>
        <w:t>“三级报警”</w:t>
      </w:r>
      <w:r>
        <w:rPr>
          <w:rFonts w:hint="eastAsia" w:ascii="宋体" w:hAnsi="宋体" w:cs="宋体"/>
          <w:sz w:val="24"/>
          <w:szCs w:val="24"/>
          <w:lang w:eastAsia="zh-CN"/>
        </w:rPr>
        <w:t>、</w:t>
      </w:r>
      <w:r>
        <w:rPr>
          <w:rFonts w:hint="default" w:ascii="宋体" w:hAnsi="宋体" w:cs="宋体"/>
          <w:sz w:val="24"/>
          <w:szCs w:val="24"/>
        </w:rPr>
        <w:t>“图形化监控系统”</w:t>
      </w:r>
      <w:r>
        <w:rPr>
          <w:rFonts w:hint="eastAsia" w:ascii="宋体" w:hAnsi="宋体" w:cs="宋体"/>
          <w:sz w:val="24"/>
          <w:szCs w:val="24"/>
          <w:lang w:eastAsia="zh-CN"/>
        </w:rPr>
        <w:t>、</w:t>
      </w:r>
      <w:r>
        <w:rPr>
          <w:rFonts w:hint="default" w:ascii="宋体" w:hAnsi="宋体" w:cs="宋体"/>
          <w:sz w:val="24"/>
          <w:szCs w:val="24"/>
        </w:rPr>
        <w:t>“综合智能化温度远程监控系统”进行界定</w:t>
      </w:r>
      <w:r>
        <w:rPr>
          <w:rFonts w:hint="eastAsia" w:ascii="宋体" w:hAnsi="宋体" w:cs="宋体"/>
          <w:sz w:val="24"/>
          <w:szCs w:val="24"/>
          <w:lang w:eastAsia="zh-CN"/>
        </w:rPr>
        <w:t>。</w:t>
      </w:r>
    </w:p>
    <w:p w14:paraId="22CBFBB8">
      <w:pPr>
        <w:adjustRightInd w:val="0"/>
        <w:snapToGrid w:val="0"/>
        <w:spacing w:line="360" w:lineRule="auto"/>
        <w:ind w:firstLine="480" w:firstLineChars="200"/>
        <w:rPr>
          <w:rFonts w:hint="eastAsia" w:ascii="宋体" w:hAnsi="宋体" w:cs="宋体" w:eastAsiaTheme="minorEastAsia"/>
          <w:sz w:val="24"/>
          <w:szCs w:val="24"/>
          <w:lang w:eastAsia="zh-CN"/>
        </w:rPr>
      </w:pPr>
      <w:r>
        <w:rPr>
          <w:rFonts w:hint="eastAsia" w:ascii="宋体" w:hAnsi="宋体" w:cs="宋体"/>
          <w:sz w:val="24"/>
          <w:szCs w:val="24"/>
          <w:lang w:val="en-US" w:eastAsia="zh-CN"/>
        </w:rPr>
        <w:t>2、</w:t>
      </w:r>
      <w:r>
        <w:rPr>
          <w:rFonts w:hint="default" w:ascii="宋体" w:hAnsi="宋体" w:cs="宋体"/>
          <w:sz w:val="24"/>
          <w:szCs w:val="24"/>
        </w:rPr>
        <w:t>系统架构</w:t>
      </w:r>
      <w:r>
        <w:rPr>
          <w:rFonts w:hint="eastAsia" w:ascii="宋体" w:hAnsi="宋体" w:cs="宋体"/>
          <w:sz w:val="24"/>
          <w:szCs w:val="24"/>
          <w:lang w:eastAsia="zh-CN"/>
        </w:rPr>
        <w:t>：</w:t>
      </w:r>
      <w:r>
        <w:rPr>
          <w:rFonts w:hint="eastAsia" w:ascii="宋体" w:hAnsi="宋体" w:cs="宋体"/>
          <w:sz w:val="24"/>
          <w:szCs w:val="24"/>
          <w:lang w:val="en-US" w:eastAsia="zh-CN"/>
        </w:rPr>
        <w:t>包括</w:t>
      </w:r>
      <w:r>
        <w:rPr>
          <w:rFonts w:hint="default" w:ascii="宋体" w:hAnsi="宋体" w:cs="宋体"/>
          <w:sz w:val="24"/>
          <w:szCs w:val="24"/>
        </w:rPr>
        <w:t>感知层、传输层、平台层、应用层四层架构及功能要求</w:t>
      </w:r>
      <w:r>
        <w:rPr>
          <w:rFonts w:hint="eastAsia" w:ascii="宋体" w:hAnsi="宋体" w:cs="宋体"/>
          <w:sz w:val="24"/>
          <w:szCs w:val="24"/>
          <w:lang w:eastAsia="zh-CN"/>
        </w:rPr>
        <w:t>。</w:t>
      </w:r>
    </w:p>
    <w:p w14:paraId="1C2544B1">
      <w:pPr>
        <w:adjustRightInd w:val="0"/>
        <w:snapToGrid w:val="0"/>
        <w:spacing w:line="360" w:lineRule="auto"/>
        <w:ind w:firstLine="480" w:firstLineChars="200"/>
        <w:rPr>
          <w:rFonts w:hint="eastAsia" w:ascii="宋体" w:hAnsi="宋体" w:cs="宋体" w:eastAsiaTheme="minorEastAsia"/>
          <w:sz w:val="24"/>
          <w:szCs w:val="24"/>
          <w:lang w:eastAsia="zh-CN"/>
        </w:rPr>
      </w:pPr>
      <w:r>
        <w:rPr>
          <w:rFonts w:hint="eastAsia" w:ascii="宋体" w:hAnsi="宋体" w:cs="宋体"/>
          <w:sz w:val="24"/>
          <w:szCs w:val="24"/>
          <w:lang w:val="en-US" w:eastAsia="zh-CN"/>
        </w:rPr>
        <w:t>3、</w:t>
      </w:r>
      <w:r>
        <w:rPr>
          <w:rFonts w:hint="default" w:ascii="宋体" w:hAnsi="宋体" w:cs="宋体"/>
          <w:sz w:val="24"/>
          <w:szCs w:val="24"/>
        </w:rPr>
        <w:t>设备技术要求</w:t>
      </w:r>
      <w:r>
        <w:rPr>
          <w:rFonts w:hint="eastAsia" w:ascii="宋体" w:hAnsi="宋体" w:cs="宋体"/>
          <w:sz w:val="24"/>
          <w:szCs w:val="24"/>
          <w:lang w:eastAsia="zh-CN"/>
        </w:rPr>
        <w:t>：</w:t>
      </w:r>
      <w:r>
        <w:rPr>
          <w:rFonts w:hint="eastAsia" w:ascii="宋体" w:hAnsi="宋体" w:cs="宋体"/>
          <w:sz w:val="24"/>
          <w:szCs w:val="24"/>
          <w:lang w:val="en-US" w:eastAsia="zh-CN"/>
        </w:rPr>
        <w:t>涵盖</w:t>
      </w:r>
      <w:r>
        <w:rPr>
          <w:rFonts w:hint="default" w:ascii="宋体" w:hAnsi="宋体" w:cs="宋体"/>
          <w:sz w:val="24"/>
          <w:szCs w:val="24"/>
        </w:rPr>
        <w:t>红外热像仪防护等级IP68、测温范围0～650 ℃、本体材质为304不锈钢、供电与通讯线路分槽敷设；强制覆盖底部氧管入釜连接区、搅拌机轴承/减速箱、机封冷却水区、环焊缝区、固相沉积锥底区等五大高危区域</w:t>
      </w:r>
      <w:r>
        <w:rPr>
          <w:rFonts w:hint="eastAsia" w:ascii="宋体" w:hAnsi="宋体" w:cs="宋体"/>
          <w:sz w:val="24"/>
          <w:szCs w:val="24"/>
          <w:lang w:eastAsia="zh-CN"/>
        </w:rPr>
        <w:t>。</w:t>
      </w:r>
    </w:p>
    <w:p w14:paraId="32F44071">
      <w:pPr>
        <w:adjustRightInd w:val="0"/>
        <w:snapToGrid w:val="0"/>
        <w:spacing w:line="360" w:lineRule="auto"/>
        <w:ind w:firstLine="480" w:firstLineChars="200"/>
        <w:rPr>
          <w:rFonts w:hint="eastAsia" w:ascii="宋体" w:hAnsi="宋体" w:cs="宋体"/>
          <w:sz w:val="24"/>
          <w:szCs w:val="24"/>
          <w:lang w:eastAsia="zh-CN"/>
        </w:rPr>
      </w:pPr>
      <w:r>
        <w:rPr>
          <w:rFonts w:hint="eastAsia" w:ascii="宋体" w:hAnsi="宋体" w:cs="宋体"/>
          <w:sz w:val="24"/>
          <w:szCs w:val="24"/>
          <w:lang w:val="en-US" w:eastAsia="zh-CN"/>
        </w:rPr>
        <w:t>4、</w:t>
      </w:r>
      <w:r>
        <w:rPr>
          <w:rFonts w:hint="default" w:ascii="宋体" w:hAnsi="宋体" w:cs="宋体"/>
          <w:sz w:val="24"/>
          <w:szCs w:val="24"/>
        </w:rPr>
        <w:t>软件系统要求</w:t>
      </w:r>
      <w:r>
        <w:rPr>
          <w:rFonts w:hint="eastAsia" w:ascii="宋体" w:hAnsi="宋体" w:cs="宋体"/>
          <w:sz w:val="24"/>
          <w:szCs w:val="24"/>
          <w:lang w:eastAsia="zh-CN"/>
        </w:rPr>
        <w:t>：</w:t>
      </w:r>
      <w:r>
        <w:rPr>
          <w:rFonts w:hint="default" w:ascii="宋体" w:hAnsi="宋体" w:cs="宋体"/>
          <w:sz w:val="24"/>
          <w:szCs w:val="24"/>
        </w:rPr>
        <w:t>温度场重构可视化、特定区域最高温自动捕捉、超温抓拍、</w:t>
      </w:r>
      <w:r>
        <w:rPr>
          <w:rFonts w:hint="eastAsia" w:ascii="宋体" w:hAnsi="宋体" w:cs="宋体"/>
          <w:sz w:val="24"/>
          <w:szCs w:val="24"/>
          <w:lang w:eastAsia="zh-CN"/>
        </w:rPr>
        <w:t>≥</w:t>
      </w:r>
      <w:r>
        <w:rPr>
          <w:rFonts w:hint="default" w:ascii="宋体" w:hAnsi="宋体" w:cs="宋体"/>
          <w:sz w:val="24"/>
          <w:szCs w:val="24"/>
        </w:rPr>
        <w:t>2年历史数据存储与查询、支持移动端APP和网页端远程访问</w:t>
      </w:r>
      <w:r>
        <w:rPr>
          <w:rFonts w:hint="eastAsia" w:ascii="宋体" w:hAnsi="宋体" w:cs="宋体"/>
          <w:sz w:val="24"/>
          <w:szCs w:val="24"/>
          <w:lang w:eastAsia="zh-CN"/>
        </w:rPr>
        <w:t>。</w:t>
      </w:r>
    </w:p>
    <w:p w14:paraId="364E8B1B">
      <w:pPr>
        <w:adjustRightInd w:val="0"/>
        <w:snapToGrid w:val="0"/>
        <w:spacing w:line="360" w:lineRule="auto"/>
        <w:ind w:firstLine="480" w:firstLineChars="200"/>
        <w:rPr>
          <w:rFonts w:hint="default" w:ascii="宋体" w:hAnsi="宋体" w:cs="宋体"/>
          <w:sz w:val="24"/>
          <w:szCs w:val="24"/>
        </w:rPr>
      </w:pPr>
      <w:r>
        <w:rPr>
          <w:rFonts w:hint="eastAsia" w:ascii="宋体" w:hAnsi="宋体" w:cs="宋体"/>
          <w:sz w:val="24"/>
          <w:szCs w:val="24"/>
          <w:lang w:val="en-US" w:eastAsia="zh-CN"/>
        </w:rPr>
        <w:t>5、</w:t>
      </w:r>
      <w:r>
        <w:rPr>
          <w:rFonts w:hint="default" w:ascii="宋体" w:hAnsi="宋体" w:cs="宋体"/>
          <w:sz w:val="24"/>
          <w:szCs w:val="24"/>
        </w:rPr>
        <w:t>三级报警及安全联锁机制</w:t>
      </w:r>
      <w:r>
        <w:rPr>
          <w:rFonts w:hint="eastAsia" w:ascii="宋体" w:hAnsi="宋体" w:cs="宋体"/>
          <w:sz w:val="24"/>
          <w:szCs w:val="24"/>
          <w:lang w:eastAsia="zh-CN"/>
        </w:rPr>
        <w:t>：</w:t>
      </w:r>
      <w:r>
        <w:rPr>
          <w:rFonts w:hint="default" w:ascii="宋体" w:hAnsi="宋体" w:cs="宋体"/>
          <w:sz w:val="24"/>
          <w:szCs w:val="24"/>
        </w:rPr>
        <w:t>一般报警：温度＞设定值+5 ℃；严重报警：温度＞设定值+10 ℃；紧急报警：温度＞设定值+15 ℃或温升速率＞20 ℃/s；紧急报警时经操作员确认后可触发氧气切断阀关闭，响应时间</w:t>
      </w:r>
      <w:r>
        <w:rPr>
          <w:rFonts w:hint="eastAsia" w:ascii="宋体" w:hAnsi="宋体" w:cs="宋体"/>
          <w:sz w:val="24"/>
          <w:szCs w:val="24"/>
          <w:lang w:eastAsia="zh-CN"/>
        </w:rPr>
        <w:t>≤</w:t>
      </w:r>
      <w:r>
        <w:rPr>
          <w:rFonts w:hint="default" w:ascii="宋体" w:hAnsi="宋体" w:cs="宋体"/>
          <w:sz w:val="24"/>
          <w:szCs w:val="24"/>
        </w:rPr>
        <w:t>2</w:t>
      </w:r>
      <w:r>
        <w:rPr>
          <w:rFonts w:hint="eastAsia" w:ascii="宋体" w:hAnsi="宋体" w:cs="宋体"/>
          <w:sz w:val="24"/>
          <w:szCs w:val="24"/>
          <w:lang w:val="en-US" w:eastAsia="zh-CN"/>
        </w:rPr>
        <w:t xml:space="preserve"> </w:t>
      </w:r>
      <w:r>
        <w:rPr>
          <w:rFonts w:hint="default" w:ascii="宋体" w:hAnsi="宋体" w:cs="宋体"/>
          <w:sz w:val="24"/>
          <w:szCs w:val="24"/>
        </w:rPr>
        <w:t>s；</w:t>
      </w:r>
    </w:p>
    <w:p w14:paraId="4BD2FEE7">
      <w:pPr>
        <w:adjustRightInd w:val="0"/>
        <w:snapToGrid w:val="0"/>
        <w:spacing w:line="360" w:lineRule="auto"/>
        <w:ind w:firstLine="480" w:firstLineChars="200"/>
        <w:rPr>
          <w:rFonts w:hint="eastAsia" w:ascii="宋体" w:hAnsi="宋体" w:cs="宋体"/>
          <w:color w:val="FF0000"/>
          <w:sz w:val="24"/>
          <w:szCs w:val="24"/>
          <w:lang w:val="en-US" w:eastAsia="zh-CN"/>
        </w:rPr>
      </w:pPr>
      <w:r>
        <w:rPr>
          <w:rFonts w:hint="eastAsia" w:ascii="宋体" w:hAnsi="宋体" w:cs="宋体"/>
          <w:sz w:val="24"/>
          <w:szCs w:val="24"/>
          <w:lang w:val="en-US" w:eastAsia="zh-CN"/>
        </w:rPr>
        <w:t>6、</w:t>
      </w:r>
      <w:r>
        <w:rPr>
          <w:rFonts w:hint="default" w:ascii="宋体" w:hAnsi="宋体" w:cs="宋体"/>
          <w:sz w:val="24"/>
          <w:szCs w:val="24"/>
        </w:rPr>
        <w:t>数据管理及安全防护要求。</w:t>
      </w:r>
    </w:p>
    <w:p w14:paraId="6908793D">
      <w:pPr>
        <w:snapToGrid w:val="0"/>
        <w:spacing w:before="156" w:beforeLines="50" w:after="156" w:afterLines="50" w:line="360" w:lineRule="auto"/>
        <w:outlineLvl w:val="0"/>
        <w:rPr>
          <w:rFonts w:hint="eastAsia" w:ascii="黑体" w:hAnsi="黑体" w:eastAsia="黑体" w:cs="黑体"/>
          <w:sz w:val="24"/>
          <w:szCs w:val="24"/>
        </w:rPr>
      </w:pPr>
      <w:r>
        <w:rPr>
          <w:rFonts w:hint="eastAsia" w:ascii="黑体" w:hAnsi="黑体" w:eastAsia="黑体" w:cs="黑体"/>
          <w:sz w:val="24"/>
          <w:szCs w:val="24"/>
        </w:rPr>
        <w:t>（二）确定内容的主要原则、依据</w:t>
      </w:r>
    </w:p>
    <w:p w14:paraId="1F6B4439">
      <w:pPr>
        <w:snapToGrid w:val="0"/>
        <w:spacing w:before="156" w:beforeLines="50" w:line="360" w:lineRule="auto"/>
        <w:outlineLvl w:val="0"/>
        <w:rPr>
          <w:rFonts w:hint="eastAsia" w:ascii="黑体" w:hAnsi="黑体" w:eastAsia="黑体" w:cs="黑体"/>
          <w:sz w:val="24"/>
          <w:szCs w:val="24"/>
        </w:rPr>
      </w:pPr>
      <w:r>
        <w:rPr>
          <w:rFonts w:ascii="黑体" w:hAnsi="黑体" w:eastAsia="黑体" w:cs="黑体"/>
          <w:sz w:val="24"/>
          <w:szCs w:val="24"/>
        </w:rPr>
        <w:t>2</w:t>
      </w:r>
      <w:r>
        <w:rPr>
          <w:rFonts w:hint="eastAsia" w:ascii="黑体" w:hAnsi="黑体" w:eastAsia="黑体" w:cs="黑体"/>
          <w:sz w:val="24"/>
          <w:szCs w:val="24"/>
        </w:rPr>
        <w:t>.1</w:t>
      </w:r>
      <w:r>
        <w:rPr>
          <w:rFonts w:ascii="黑体" w:hAnsi="黑体" w:eastAsia="黑体" w:cs="黑体"/>
          <w:sz w:val="24"/>
          <w:szCs w:val="24"/>
        </w:rPr>
        <w:t xml:space="preserve">  </w:t>
      </w:r>
      <w:r>
        <w:rPr>
          <w:rFonts w:hint="eastAsia" w:ascii="黑体" w:hAnsi="黑体" w:eastAsia="黑体" w:cs="黑体"/>
          <w:sz w:val="24"/>
          <w:szCs w:val="24"/>
        </w:rPr>
        <w:t>编制原则</w:t>
      </w:r>
    </w:p>
    <w:p w14:paraId="32B2207A">
      <w:pPr>
        <w:adjustRightInd w:val="0"/>
        <w:snapToGrid w:val="0"/>
        <w:spacing w:line="360" w:lineRule="auto"/>
        <w:ind w:firstLine="480" w:firstLineChars="200"/>
        <w:rPr>
          <w:rFonts w:hint="eastAsia" w:ascii="宋体" w:hAnsi="宋体" w:cs="宋体"/>
          <w:sz w:val="24"/>
          <w:szCs w:val="24"/>
          <w:lang w:eastAsia="zh-CN"/>
        </w:rPr>
      </w:pPr>
      <w:r>
        <w:rPr>
          <w:rFonts w:hint="default" w:ascii="宋体" w:hAnsi="宋体" w:cs="宋体"/>
          <w:sz w:val="24"/>
          <w:szCs w:val="24"/>
        </w:rPr>
        <w:t>本文件起草单位自接受《</w:t>
      </w:r>
      <w:r>
        <w:rPr>
          <w:rFonts w:hint="eastAsia" w:ascii="宋体" w:hAnsi="宋体" w:cs="宋体"/>
          <w:color w:val="auto"/>
          <w:sz w:val="24"/>
          <w:szCs w:val="24"/>
          <w:lang w:eastAsia="zh-CN"/>
        </w:rPr>
        <w:t>氧压浸出炼锌氧压釜温度智能监控技术要求</w:t>
      </w:r>
      <w:r>
        <w:rPr>
          <w:rFonts w:hint="default" w:ascii="宋体" w:hAnsi="宋体" w:cs="宋体"/>
          <w:sz w:val="24"/>
          <w:szCs w:val="24"/>
        </w:rPr>
        <w:t>》编制任务后，成立标准编制组，系统收集国内外相关技术文献、企业生产数据及现行标准规范。</w:t>
      </w:r>
      <w:r>
        <w:rPr>
          <w:rFonts w:hint="eastAsia" w:ascii="宋体" w:hAnsi="宋体" w:cs="宋体"/>
          <w:sz w:val="24"/>
          <w:szCs w:val="24"/>
        </w:rPr>
        <w:t>充分借鉴</w:t>
      </w:r>
      <w:r>
        <w:rPr>
          <w:rFonts w:hint="eastAsia" w:ascii="宋体" w:hAnsi="宋体" w:cs="宋体"/>
          <w:sz w:val="24"/>
          <w:szCs w:val="24"/>
          <w:lang w:val="en-US" w:eastAsia="zh-CN"/>
        </w:rPr>
        <w:t>氧压浸出炼锌</w:t>
      </w:r>
      <w:r>
        <w:rPr>
          <w:rFonts w:hint="default" w:ascii="宋体" w:hAnsi="宋体" w:cs="宋体"/>
          <w:sz w:val="24"/>
          <w:szCs w:val="24"/>
        </w:rPr>
        <w:t>行业技术发展现状，</w:t>
      </w:r>
      <w:r>
        <w:rPr>
          <w:rFonts w:hint="eastAsia" w:ascii="宋体" w:hAnsi="宋体" w:cs="宋体"/>
          <w:sz w:val="24"/>
          <w:szCs w:val="24"/>
        </w:rPr>
        <w:t>初步确定了《</w:t>
      </w:r>
      <w:r>
        <w:rPr>
          <w:rFonts w:hint="eastAsia" w:ascii="宋体" w:hAnsi="宋体" w:cs="宋体"/>
          <w:color w:val="auto"/>
          <w:sz w:val="24"/>
          <w:szCs w:val="24"/>
          <w:lang w:eastAsia="zh-CN"/>
        </w:rPr>
        <w:t>氧压浸出炼锌氧压釜温度智能监控技术要求</w:t>
      </w:r>
      <w:r>
        <w:rPr>
          <w:rFonts w:hint="eastAsia" w:ascii="宋体" w:hAnsi="宋体" w:cs="宋体"/>
          <w:sz w:val="24"/>
          <w:szCs w:val="24"/>
        </w:rPr>
        <w:t>》标准起草所遵循的基本原则和编制依据</w:t>
      </w:r>
      <w:r>
        <w:rPr>
          <w:rFonts w:hint="eastAsia" w:ascii="宋体" w:hAnsi="宋体" w:cs="宋体"/>
          <w:sz w:val="24"/>
          <w:szCs w:val="24"/>
          <w:lang w:eastAsia="zh-CN"/>
        </w:rPr>
        <w:t>：</w:t>
      </w:r>
    </w:p>
    <w:p w14:paraId="43FD1004">
      <w:pPr>
        <w:adjustRightInd w:val="0"/>
        <w:snapToGrid w:val="0"/>
        <w:spacing w:line="360" w:lineRule="auto"/>
        <w:ind w:firstLine="480" w:firstLineChars="200"/>
        <w:rPr>
          <w:rFonts w:hint="default" w:ascii="宋体" w:hAnsi="宋体" w:cs="宋体"/>
          <w:sz w:val="24"/>
          <w:szCs w:val="24"/>
        </w:rPr>
      </w:pPr>
      <w:r>
        <w:rPr>
          <w:rFonts w:hint="eastAsia" w:ascii="宋体" w:hAnsi="宋体" w:cs="宋体"/>
          <w:sz w:val="24"/>
          <w:szCs w:val="24"/>
          <w:lang w:val="en-US" w:eastAsia="zh-CN"/>
        </w:rPr>
        <w:t>1、</w:t>
      </w:r>
      <w:r>
        <w:rPr>
          <w:rFonts w:hint="default" w:ascii="宋体" w:hAnsi="宋体" w:cs="宋体"/>
          <w:sz w:val="24"/>
          <w:szCs w:val="24"/>
        </w:rPr>
        <w:t>系统性原则：标准覆盖氧压釜温度智能监控的全生命周期，涵盖系统架构、设备选型、安装要求、软件功能、数据管理及安全防护等环节，确保标准的完整性和配套性。</w:t>
      </w:r>
    </w:p>
    <w:p w14:paraId="426CE1DE">
      <w:pPr>
        <w:adjustRightInd w:val="0"/>
        <w:snapToGrid w:val="0"/>
        <w:spacing w:line="360" w:lineRule="auto"/>
        <w:ind w:firstLine="480" w:firstLineChars="200"/>
        <w:rPr>
          <w:rFonts w:hint="default" w:ascii="宋体" w:hAnsi="宋体" w:cs="宋体"/>
          <w:sz w:val="24"/>
          <w:szCs w:val="24"/>
        </w:rPr>
      </w:pPr>
      <w:r>
        <w:rPr>
          <w:rFonts w:hint="eastAsia" w:ascii="宋体" w:hAnsi="宋体" w:cs="宋体"/>
          <w:sz w:val="24"/>
          <w:szCs w:val="24"/>
          <w:lang w:val="en-US" w:eastAsia="zh-CN"/>
        </w:rPr>
        <w:t>2、</w:t>
      </w:r>
      <w:r>
        <w:rPr>
          <w:rFonts w:hint="default" w:ascii="宋体" w:hAnsi="宋体" w:cs="宋体"/>
          <w:sz w:val="24"/>
          <w:szCs w:val="24"/>
        </w:rPr>
        <w:t>先进性原则：引入红外热像仪组网、温度场重构、三级报警联锁机制、移动端远程监控等先进技术理念，体现“智能化监控”区别于传统温度监测的技术内涵。</w:t>
      </w:r>
    </w:p>
    <w:p w14:paraId="6689E3F1">
      <w:pPr>
        <w:adjustRightInd w:val="0"/>
        <w:snapToGrid w:val="0"/>
        <w:spacing w:line="360" w:lineRule="auto"/>
        <w:ind w:firstLine="480" w:firstLineChars="200"/>
        <w:rPr>
          <w:rFonts w:hint="default" w:ascii="宋体" w:hAnsi="宋体" w:cs="宋体"/>
          <w:sz w:val="24"/>
          <w:szCs w:val="24"/>
        </w:rPr>
      </w:pPr>
      <w:r>
        <w:rPr>
          <w:rFonts w:hint="eastAsia" w:ascii="宋体" w:hAnsi="宋体" w:cs="宋体"/>
          <w:sz w:val="24"/>
          <w:szCs w:val="24"/>
          <w:lang w:val="en-US" w:eastAsia="zh-CN"/>
        </w:rPr>
        <w:t>3、</w:t>
      </w:r>
      <w:r>
        <w:rPr>
          <w:rFonts w:hint="default" w:ascii="宋体" w:hAnsi="宋体" w:cs="宋体"/>
          <w:sz w:val="24"/>
          <w:szCs w:val="24"/>
        </w:rPr>
        <w:t>安全优先原则：立足高温、高压、高酸的极端工况，突出釜体表面及关键部位温度监控的本质安全需求，明确紧急报警联锁响应时间</w:t>
      </w:r>
      <w:r>
        <w:rPr>
          <w:rFonts w:hint="eastAsia" w:ascii="宋体" w:hAnsi="宋体" w:cs="宋体"/>
          <w:sz w:val="24"/>
          <w:szCs w:val="24"/>
          <w:lang w:eastAsia="zh-CN"/>
        </w:rPr>
        <w:t>≤</w:t>
      </w:r>
      <w:r>
        <w:rPr>
          <w:rFonts w:hint="default" w:ascii="宋体" w:hAnsi="宋体" w:cs="宋体"/>
          <w:sz w:val="24"/>
          <w:szCs w:val="24"/>
        </w:rPr>
        <w:t>2 s和故障导向安全要求。</w:t>
      </w:r>
    </w:p>
    <w:p w14:paraId="7E7630DD">
      <w:pPr>
        <w:adjustRightInd w:val="0"/>
        <w:snapToGrid w:val="0"/>
        <w:spacing w:line="360" w:lineRule="auto"/>
        <w:ind w:firstLine="480" w:firstLineChars="200"/>
        <w:rPr>
          <w:rFonts w:hint="default" w:ascii="宋体" w:hAnsi="宋体" w:cs="宋体"/>
          <w:sz w:val="24"/>
          <w:szCs w:val="24"/>
        </w:rPr>
      </w:pPr>
      <w:r>
        <w:rPr>
          <w:rFonts w:hint="eastAsia" w:ascii="宋体" w:hAnsi="宋体" w:cs="宋体"/>
          <w:sz w:val="24"/>
          <w:szCs w:val="24"/>
          <w:lang w:val="en-US" w:eastAsia="zh-CN"/>
        </w:rPr>
        <w:t>4、</w:t>
      </w:r>
      <w:r>
        <w:rPr>
          <w:rFonts w:hint="default" w:ascii="宋体" w:hAnsi="宋体" w:cs="宋体"/>
          <w:sz w:val="24"/>
          <w:szCs w:val="24"/>
        </w:rPr>
        <w:t>协调性原则：与现行GB/T 17626电磁兼容标准等强制性及基础标准协调配套，并结合氧压浸出炼锌工艺特点进行专项规定。</w:t>
      </w:r>
    </w:p>
    <w:p w14:paraId="4B583043">
      <w:pPr>
        <w:snapToGrid w:val="0"/>
        <w:spacing w:before="156" w:beforeLines="50" w:line="360" w:lineRule="auto"/>
        <w:outlineLvl w:val="0"/>
        <w:rPr>
          <w:rFonts w:hint="eastAsia" w:ascii="黑体" w:hAnsi="黑体" w:eastAsia="黑体" w:cs="黑体"/>
          <w:sz w:val="24"/>
          <w:szCs w:val="24"/>
        </w:rPr>
      </w:pPr>
      <w:r>
        <w:rPr>
          <w:rFonts w:ascii="黑体" w:hAnsi="黑体" w:eastAsia="黑体" w:cs="黑体"/>
          <w:sz w:val="24"/>
          <w:szCs w:val="24"/>
        </w:rPr>
        <w:t>2</w:t>
      </w:r>
      <w:r>
        <w:rPr>
          <w:rFonts w:hint="eastAsia" w:ascii="黑体" w:hAnsi="黑体" w:eastAsia="黑体" w:cs="黑体"/>
          <w:sz w:val="24"/>
          <w:szCs w:val="24"/>
        </w:rPr>
        <w:t>.2</w:t>
      </w:r>
      <w:r>
        <w:rPr>
          <w:rFonts w:ascii="黑体" w:hAnsi="黑体" w:eastAsia="黑体" w:cs="黑体"/>
          <w:sz w:val="24"/>
          <w:szCs w:val="24"/>
        </w:rPr>
        <w:t xml:space="preserve">  </w:t>
      </w:r>
      <w:r>
        <w:rPr>
          <w:rFonts w:hint="eastAsia" w:ascii="黑体" w:hAnsi="黑体" w:eastAsia="黑体" w:cs="黑体"/>
          <w:sz w:val="24"/>
          <w:szCs w:val="24"/>
        </w:rPr>
        <w:t>确定标准主要内容的依据</w:t>
      </w:r>
    </w:p>
    <w:p w14:paraId="595BED7C">
      <w:pPr>
        <w:adjustRightInd w:val="0"/>
        <w:snapToGrid w:val="0"/>
        <w:spacing w:line="360" w:lineRule="auto"/>
        <w:ind w:firstLine="480" w:firstLineChars="200"/>
        <w:rPr>
          <w:rFonts w:hint="default" w:ascii="宋体" w:hAnsi="宋体" w:cs="宋体"/>
          <w:sz w:val="24"/>
          <w:szCs w:val="24"/>
        </w:rPr>
      </w:pPr>
      <w:r>
        <w:rPr>
          <w:rFonts w:hint="default" w:ascii="宋体" w:hAnsi="宋体" w:cs="宋体"/>
          <w:sz w:val="24"/>
          <w:szCs w:val="24"/>
        </w:rPr>
        <w:t>标准主要技术内容的确定，基于以下核心依据：</w:t>
      </w:r>
    </w:p>
    <w:p w14:paraId="227CD1BF">
      <w:pPr>
        <w:adjustRightInd w:val="0"/>
        <w:snapToGrid w:val="0"/>
        <w:spacing w:line="360" w:lineRule="auto"/>
        <w:ind w:firstLine="480" w:firstLineChars="200"/>
        <w:rPr>
          <w:rFonts w:hint="default" w:ascii="宋体" w:hAnsi="宋体" w:cs="宋体"/>
          <w:sz w:val="24"/>
          <w:szCs w:val="24"/>
        </w:rPr>
      </w:pPr>
      <w:r>
        <w:rPr>
          <w:rFonts w:hint="eastAsia" w:ascii="宋体" w:hAnsi="宋体" w:cs="宋体"/>
          <w:sz w:val="24"/>
          <w:szCs w:val="24"/>
          <w:lang w:val="en-US" w:eastAsia="zh-CN"/>
        </w:rPr>
        <w:t>1、</w:t>
      </w:r>
      <w:r>
        <w:rPr>
          <w:rFonts w:hint="default" w:ascii="宋体" w:hAnsi="宋体" w:cs="宋体"/>
          <w:sz w:val="24"/>
          <w:szCs w:val="24"/>
        </w:rPr>
        <w:t>行业现状与痛点分析：依据申报书和建议书中详述的氧压釜温度监测设计缺陷与运维短板，包括监控范围片面（仅关注釜内温度、忽视釜体表面及关键设备）、人工巡检低效（点式测温覆盖面积不足釜体表面5%）、预警机制缺失（表面温度异常无报警联锁）、以及防腐砖失效和搅拌机故障典型事故案例，确定标准需规范的核心监控对象、五大高危区域覆盖要求及报警联锁响应机制。</w:t>
      </w:r>
    </w:p>
    <w:p w14:paraId="61510A03">
      <w:pPr>
        <w:adjustRightInd w:val="0"/>
        <w:snapToGrid w:val="0"/>
        <w:spacing w:line="360" w:lineRule="auto"/>
        <w:ind w:firstLine="480" w:firstLineChars="200"/>
        <w:rPr>
          <w:rFonts w:hint="default" w:ascii="宋体" w:hAnsi="宋体" w:cs="宋体"/>
          <w:sz w:val="24"/>
          <w:szCs w:val="24"/>
        </w:rPr>
      </w:pPr>
      <w:r>
        <w:rPr>
          <w:rFonts w:hint="eastAsia" w:ascii="宋体" w:hAnsi="宋体" w:cs="宋体"/>
          <w:sz w:val="24"/>
          <w:szCs w:val="24"/>
          <w:lang w:val="en-US" w:eastAsia="zh-CN"/>
        </w:rPr>
        <w:t>2、</w:t>
      </w:r>
      <w:r>
        <w:rPr>
          <w:rFonts w:hint="default" w:ascii="宋体" w:hAnsi="宋体" w:cs="宋体"/>
          <w:sz w:val="24"/>
          <w:szCs w:val="24"/>
        </w:rPr>
        <w:t>现有规范与标准要求：依据GB/T 17626电磁兼容标准</w:t>
      </w:r>
      <w:r>
        <w:rPr>
          <w:rFonts w:hint="eastAsia" w:ascii="宋体" w:hAnsi="宋体" w:cs="宋体"/>
          <w:sz w:val="24"/>
          <w:szCs w:val="24"/>
          <w:lang w:eastAsia="zh-CN"/>
        </w:rPr>
        <w:t>、</w:t>
      </w:r>
      <w:r>
        <w:rPr>
          <w:rFonts w:hint="eastAsia" w:ascii="宋体" w:hAnsi="宋体" w:cs="宋体"/>
          <w:sz w:val="24"/>
          <w:szCs w:val="24"/>
        </w:rPr>
        <w:t>GB/T 4208 外壳防护等级</w:t>
      </w:r>
      <w:r>
        <w:rPr>
          <w:rFonts w:hint="eastAsia" w:ascii="宋体" w:hAnsi="宋体" w:cs="宋体"/>
          <w:sz w:val="24"/>
          <w:szCs w:val="24"/>
          <w:lang w:val="en-US" w:eastAsia="zh-CN"/>
        </w:rPr>
        <w:t>标准</w:t>
      </w:r>
      <w:r>
        <w:rPr>
          <w:rFonts w:hint="default" w:ascii="宋体" w:hAnsi="宋体" w:cs="宋体"/>
          <w:sz w:val="24"/>
          <w:szCs w:val="24"/>
        </w:rPr>
        <w:t>，确定红外热像仪电磁兼容抗扰度、防护等级等设备选型标准，确保设备在高温高湿极端环境下的长期稳定运行。</w:t>
      </w:r>
    </w:p>
    <w:p w14:paraId="21530F8D">
      <w:pPr>
        <w:adjustRightInd w:val="0"/>
        <w:snapToGrid w:val="0"/>
        <w:spacing w:line="360" w:lineRule="auto"/>
        <w:ind w:firstLine="480" w:firstLineChars="200"/>
        <w:rPr>
          <w:rFonts w:hint="default" w:ascii="宋体" w:hAnsi="宋体" w:cs="宋体"/>
          <w:sz w:val="24"/>
          <w:szCs w:val="24"/>
        </w:rPr>
      </w:pPr>
      <w:r>
        <w:rPr>
          <w:rFonts w:hint="eastAsia" w:ascii="宋体" w:hAnsi="宋体" w:cs="宋体"/>
          <w:sz w:val="24"/>
          <w:szCs w:val="24"/>
          <w:lang w:val="en-US" w:eastAsia="zh-CN"/>
        </w:rPr>
        <w:t>3、</w:t>
      </w:r>
      <w:r>
        <w:rPr>
          <w:rFonts w:hint="default" w:ascii="宋体" w:hAnsi="宋体" w:cs="宋体"/>
          <w:sz w:val="24"/>
          <w:szCs w:val="24"/>
        </w:rPr>
        <w:t>实际生产环境验证：依据呼伦贝尔驰宏矿业有限公司14万吨/年氧压浸出产线的实际运行经验，确定测温范围（0～650 ℃）、传输延时（</w:t>
      </w:r>
      <w:r>
        <w:rPr>
          <w:rFonts w:hint="eastAsia" w:ascii="宋体" w:hAnsi="宋体" w:cs="宋体"/>
          <w:sz w:val="24"/>
          <w:szCs w:val="24"/>
          <w:lang w:eastAsia="zh-CN"/>
        </w:rPr>
        <w:t>≤</w:t>
      </w:r>
      <w:r>
        <w:rPr>
          <w:rFonts w:hint="default" w:ascii="宋体" w:hAnsi="宋体" w:cs="宋体"/>
          <w:sz w:val="24"/>
          <w:szCs w:val="24"/>
        </w:rPr>
        <w:t>100 ms）、报警响应时间（</w:t>
      </w:r>
      <w:r>
        <w:rPr>
          <w:rFonts w:hint="eastAsia" w:ascii="宋体" w:hAnsi="宋体" w:cs="宋体"/>
          <w:sz w:val="24"/>
          <w:szCs w:val="24"/>
          <w:lang w:eastAsia="zh-CN"/>
        </w:rPr>
        <w:t>≤</w:t>
      </w:r>
      <w:r>
        <w:rPr>
          <w:rFonts w:hint="default" w:ascii="宋体" w:hAnsi="宋体" w:cs="宋体"/>
          <w:sz w:val="24"/>
          <w:szCs w:val="24"/>
        </w:rPr>
        <w:t>2 s）、数据存储（</w:t>
      </w:r>
      <w:r>
        <w:rPr>
          <w:rFonts w:hint="eastAsia" w:ascii="宋体" w:hAnsi="宋体" w:cs="宋体"/>
          <w:sz w:val="24"/>
          <w:szCs w:val="24"/>
          <w:lang w:eastAsia="zh-CN"/>
        </w:rPr>
        <w:t>≥</w:t>
      </w:r>
      <w:r>
        <w:rPr>
          <w:rFonts w:hint="default" w:ascii="宋体" w:hAnsi="宋体" w:cs="宋体"/>
          <w:sz w:val="24"/>
          <w:szCs w:val="24"/>
        </w:rPr>
        <w:t>2年）等关键性能指标，确保标准技术要求具有可实施性和可靠性。</w:t>
      </w:r>
    </w:p>
    <w:p w14:paraId="4C543142">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lang w:val="en-US" w:eastAsia="zh-CN"/>
        </w:rPr>
        <w:t>4、</w:t>
      </w:r>
      <w:r>
        <w:rPr>
          <w:rFonts w:hint="default" w:ascii="宋体" w:hAnsi="宋体" w:cs="宋体"/>
          <w:sz w:val="24"/>
          <w:szCs w:val="24"/>
        </w:rPr>
        <w:t>专业领域共识与安全规范：依据标准草案中的术语定义、系统架构设计及三级报警分级阈值，确定软件系统功能要求、安全联锁控制逻辑及故障导向安全要求。</w:t>
      </w:r>
    </w:p>
    <w:p w14:paraId="5C1662C4">
      <w:pPr>
        <w:snapToGrid w:val="0"/>
        <w:spacing w:before="156" w:beforeLines="50" w:after="156" w:afterLines="50" w:line="360" w:lineRule="auto"/>
        <w:outlineLvl w:val="0"/>
        <w:rPr>
          <w:rFonts w:hint="eastAsia" w:ascii="黑体" w:hAnsi="黑体" w:eastAsia="黑体" w:cs="黑体"/>
          <w:sz w:val="24"/>
          <w:szCs w:val="24"/>
        </w:rPr>
      </w:pPr>
      <w:r>
        <w:rPr>
          <w:rFonts w:hint="eastAsia" w:ascii="黑体" w:hAnsi="黑体" w:eastAsia="黑体" w:cs="黑体"/>
          <w:sz w:val="24"/>
          <w:szCs w:val="24"/>
          <w:lang w:eastAsia="zh-CN"/>
        </w:rPr>
        <w:t>（</w:t>
      </w:r>
      <w:r>
        <w:rPr>
          <w:rFonts w:hint="eastAsia" w:ascii="黑体" w:hAnsi="黑体" w:eastAsia="黑体" w:cs="黑体"/>
          <w:sz w:val="24"/>
          <w:szCs w:val="24"/>
          <w:lang w:val="en-US" w:eastAsia="zh-CN"/>
        </w:rPr>
        <w:t>三</w:t>
      </w:r>
      <w:r>
        <w:rPr>
          <w:rFonts w:hint="eastAsia" w:ascii="黑体" w:hAnsi="黑体" w:eastAsia="黑体" w:cs="黑体"/>
          <w:sz w:val="24"/>
          <w:szCs w:val="24"/>
          <w:lang w:eastAsia="zh-CN"/>
        </w:rPr>
        <w:t>）</w:t>
      </w:r>
      <w:r>
        <w:rPr>
          <w:rFonts w:hint="eastAsia" w:ascii="黑体" w:hAnsi="黑体" w:eastAsia="黑体" w:cs="黑体"/>
          <w:sz w:val="24"/>
          <w:szCs w:val="24"/>
        </w:rPr>
        <w:t>标准文本的主要内容</w:t>
      </w:r>
    </w:p>
    <w:p w14:paraId="457EF35A">
      <w:pPr>
        <w:adjustRightInd w:val="0"/>
        <w:snapToGrid w:val="0"/>
        <w:spacing w:line="360" w:lineRule="auto"/>
        <w:ind w:firstLine="480" w:firstLineChars="200"/>
        <w:rPr>
          <w:rFonts w:hint="default" w:ascii="宋体" w:hAnsi="宋体" w:cs="宋体"/>
          <w:sz w:val="24"/>
          <w:szCs w:val="24"/>
        </w:rPr>
      </w:pPr>
      <w:r>
        <w:rPr>
          <w:rFonts w:hint="default" w:ascii="宋体" w:hAnsi="宋体" w:cs="宋体"/>
          <w:sz w:val="24"/>
          <w:szCs w:val="24"/>
        </w:rPr>
        <w:t>标准文本共设9章，系统规定了氧压浸出炼锌氧压釜温度智能监控的系统架构、设备选型、软件功能、报警联锁及数据管理等技术要求，各章核心内容如下：</w:t>
      </w:r>
    </w:p>
    <w:p w14:paraId="7B81AE8D">
      <w:pPr>
        <w:numPr>
          <w:ilvl w:val="0"/>
          <w:numId w:val="5"/>
        </w:numPr>
        <w:adjustRightInd w:val="0"/>
        <w:snapToGrid w:val="0"/>
        <w:spacing w:line="360" w:lineRule="auto"/>
        <w:ind w:firstLine="482" w:firstLineChars="200"/>
        <w:rPr>
          <w:rFonts w:hint="eastAsia" w:ascii="宋体" w:hAnsi="宋体" w:cs="宋体"/>
          <w:b/>
          <w:bCs/>
          <w:sz w:val="24"/>
          <w:szCs w:val="24"/>
          <w:lang w:val="en-US" w:eastAsia="zh-CN"/>
        </w:rPr>
      </w:pPr>
      <w:r>
        <w:rPr>
          <w:rFonts w:hint="eastAsia" w:ascii="宋体" w:hAnsi="宋体" w:cs="宋体"/>
          <w:b/>
          <w:bCs/>
          <w:sz w:val="24"/>
          <w:szCs w:val="24"/>
          <w:lang w:val="en-US" w:eastAsia="zh-CN"/>
        </w:rPr>
        <w:t>范围</w:t>
      </w:r>
    </w:p>
    <w:p w14:paraId="049D3FFB">
      <w:pPr>
        <w:adjustRightInd w:val="0"/>
        <w:snapToGrid w:val="0"/>
        <w:spacing w:line="360" w:lineRule="auto"/>
        <w:ind w:firstLine="480" w:firstLineChars="200"/>
        <w:rPr>
          <w:rFonts w:hint="eastAsia" w:ascii="宋体" w:hAnsi="宋体" w:cs="宋体"/>
          <w:sz w:val="24"/>
          <w:szCs w:val="24"/>
          <w:lang w:val="en-US" w:eastAsia="zh-CN"/>
        </w:rPr>
      </w:pPr>
      <w:r>
        <w:rPr>
          <w:rFonts w:hint="default" w:ascii="宋体" w:hAnsi="宋体" w:cs="宋体"/>
          <w:sz w:val="24"/>
          <w:szCs w:val="24"/>
        </w:rPr>
        <w:t>明确本文件规定了氧压浸出炼锌氧压釜温度智能监控的系统架构、总体要求、设备技术要求、软件系统要求、数据管理及安全防护。适用于氧压浸出炼锌氧压釜的在线温度监测系统设计、设备选型、安装、配线等设计时应遵循的技术要求。</w:t>
      </w:r>
    </w:p>
    <w:p w14:paraId="453410C2">
      <w:pPr>
        <w:numPr>
          <w:ilvl w:val="0"/>
          <w:numId w:val="5"/>
        </w:numPr>
        <w:adjustRightInd w:val="0"/>
        <w:snapToGrid w:val="0"/>
        <w:spacing w:line="360" w:lineRule="auto"/>
        <w:ind w:firstLine="482" w:firstLineChars="200"/>
        <w:rPr>
          <w:rFonts w:hint="default" w:ascii="宋体" w:hAnsi="宋体" w:cs="宋体"/>
          <w:b/>
          <w:bCs/>
          <w:sz w:val="24"/>
          <w:szCs w:val="24"/>
          <w:lang w:val="en-US" w:eastAsia="zh-CN"/>
        </w:rPr>
      </w:pPr>
      <w:r>
        <w:rPr>
          <w:rFonts w:hint="eastAsia" w:ascii="宋体" w:hAnsi="宋体" w:cs="宋体"/>
          <w:b/>
          <w:bCs/>
          <w:sz w:val="24"/>
          <w:szCs w:val="24"/>
          <w:lang w:val="en-US" w:eastAsia="zh-CN"/>
        </w:rPr>
        <w:t>规范性引用文件</w:t>
      </w:r>
    </w:p>
    <w:p w14:paraId="406ACF9E">
      <w:pPr>
        <w:snapToGrid w:val="0"/>
        <w:spacing w:line="360" w:lineRule="auto"/>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本章列出标准正文中被引用且执行时不可或缺的国家、行业文件，具体包括：</w:t>
      </w:r>
    </w:p>
    <w:p w14:paraId="32DC53EE">
      <w:pPr>
        <w:snapToGrid w:val="0"/>
        <w:spacing w:line="360" w:lineRule="auto"/>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GB/T 17626.3   电磁兼容 试验和测量技术 第3部分：射频电磁场辐射抗扰度试验</w:t>
      </w:r>
    </w:p>
    <w:p w14:paraId="700DBA3C">
      <w:pPr>
        <w:snapToGrid w:val="0"/>
        <w:spacing w:line="360" w:lineRule="auto"/>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GB/T 17626.8   电磁兼容 试验和测量技术 工频磁场抗扰度试验</w:t>
      </w:r>
    </w:p>
    <w:p w14:paraId="3E23419E">
      <w:pPr>
        <w:snapToGrid w:val="0"/>
        <w:spacing w:line="360" w:lineRule="auto"/>
        <w:ind w:firstLine="480" w:firstLineChars="200"/>
        <w:rPr>
          <w:rFonts w:hint="eastAsia"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GB/T 50065   交流电气装置的接地设计规范</w:t>
      </w:r>
    </w:p>
    <w:p w14:paraId="0FA83CA6">
      <w:pPr>
        <w:numPr>
          <w:ilvl w:val="0"/>
          <w:numId w:val="5"/>
        </w:numPr>
        <w:adjustRightInd w:val="0"/>
        <w:snapToGrid w:val="0"/>
        <w:spacing w:line="360" w:lineRule="auto"/>
        <w:ind w:firstLine="482" w:firstLineChars="200"/>
        <w:rPr>
          <w:rFonts w:hint="default" w:ascii="宋体" w:hAnsi="宋体" w:cs="宋体"/>
          <w:b/>
          <w:bCs/>
          <w:sz w:val="24"/>
          <w:szCs w:val="24"/>
          <w:lang w:val="en-US" w:eastAsia="zh-CN"/>
        </w:rPr>
      </w:pPr>
      <w:r>
        <w:rPr>
          <w:rFonts w:hint="eastAsia" w:ascii="宋体" w:hAnsi="宋体" w:cs="宋体"/>
          <w:b/>
          <w:bCs/>
          <w:sz w:val="24"/>
          <w:szCs w:val="24"/>
          <w:lang w:val="en-US" w:eastAsia="zh-CN"/>
        </w:rPr>
        <w:t>术语和定义</w:t>
      </w:r>
    </w:p>
    <w:p w14:paraId="5430EEE4">
      <w:pPr>
        <w:snapToGrid w:val="0"/>
        <w:spacing w:line="360" w:lineRule="auto"/>
        <w:ind w:firstLine="480" w:firstLineChars="200"/>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对标准涉及的7个关键术语和2个缩略语进行了明确界定：</w:t>
      </w:r>
    </w:p>
    <w:p w14:paraId="4A37484F">
      <w:pPr>
        <w:snapToGrid w:val="0"/>
        <w:spacing w:line="360" w:lineRule="auto"/>
        <w:ind w:firstLine="480" w:firstLineChars="200"/>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1）氧压浸出炼锌：在高温高压高酸条件下，利用氧气作为氧化剂，将硫化锌精矿直接浸出的全湿法炼锌工艺。其核心技术特征是硫元素转化为</w:t>
      </w:r>
      <w:r>
        <w:rPr>
          <w:rFonts w:hint="eastAsia" w:ascii="宋体" w:hAnsi="宋体" w:cs="宋体"/>
          <w:color w:val="auto"/>
          <w:sz w:val="24"/>
          <w:szCs w:val="24"/>
          <w:highlight w:val="none"/>
          <w:lang w:val="en-US" w:eastAsia="zh-CN"/>
        </w:rPr>
        <w:t>单质</w:t>
      </w:r>
      <w:r>
        <w:rPr>
          <w:rFonts w:hint="default" w:ascii="宋体" w:hAnsi="宋体" w:cs="宋体"/>
          <w:color w:val="auto"/>
          <w:sz w:val="24"/>
          <w:szCs w:val="24"/>
          <w:highlight w:val="none"/>
          <w:lang w:val="en-US" w:eastAsia="zh-CN"/>
        </w:rPr>
        <w:t>硫形态析出（无二氧化硫产生），同步实现有价元素高</w:t>
      </w:r>
      <w:r>
        <w:rPr>
          <w:rFonts w:hint="eastAsia" w:ascii="宋体" w:hAnsi="宋体" w:cs="宋体"/>
          <w:color w:val="auto"/>
          <w:sz w:val="24"/>
          <w:szCs w:val="24"/>
          <w:highlight w:val="none"/>
          <w:lang w:val="en-US" w:eastAsia="zh-CN"/>
        </w:rPr>
        <w:t>效</w:t>
      </w:r>
      <w:r>
        <w:rPr>
          <w:rFonts w:hint="default" w:ascii="宋体" w:hAnsi="宋体" w:cs="宋体"/>
          <w:color w:val="auto"/>
          <w:sz w:val="24"/>
          <w:szCs w:val="24"/>
          <w:highlight w:val="none"/>
          <w:lang w:val="en-US" w:eastAsia="zh-CN"/>
        </w:rPr>
        <w:t>浸出。</w:t>
      </w:r>
    </w:p>
    <w:p w14:paraId="3BDB1E4D">
      <w:pPr>
        <w:snapToGrid w:val="0"/>
        <w:spacing w:line="360" w:lineRule="auto"/>
        <w:ind w:firstLine="480" w:firstLineChars="200"/>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2）氧压釜：氧压浸出炼锌工艺中用于氧压浸出反应的高压容器，设计压力</w:t>
      </w:r>
      <w:r>
        <w:rPr>
          <w:rFonts w:hint="eastAsia" w:ascii="宋体" w:hAnsi="宋体" w:cs="宋体"/>
          <w:color w:val="auto"/>
          <w:sz w:val="24"/>
          <w:szCs w:val="24"/>
          <w:highlight w:val="none"/>
          <w:lang w:val="en-US" w:eastAsia="zh-CN"/>
        </w:rPr>
        <w:t>≤</w:t>
      </w:r>
      <w:r>
        <w:rPr>
          <w:rFonts w:hint="default" w:ascii="宋体" w:hAnsi="宋体" w:cs="宋体"/>
          <w:color w:val="auto"/>
          <w:sz w:val="24"/>
          <w:szCs w:val="24"/>
          <w:highlight w:val="none"/>
          <w:lang w:val="en-US" w:eastAsia="zh-CN"/>
        </w:rPr>
        <w:t>2.0 MPa。</w:t>
      </w:r>
    </w:p>
    <w:p w14:paraId="528015A7">
      <w:pPr>
        <w:snapToGrid w:val="0"/>
        <w:spacing w:line="360" w:lineRule="auto"/>
        <w:ind w:firstLine="480" w:firstLineChars="200"/>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3）在线式红外热像仪：用于氧压釜釜体表面及关键部位（如氧气管、搅拌电机、减速机、机封等）温度实时采集的红外监测设备，具有宽视场角、自动聚焦、温度数据输出等功能（以下简称“红外热像仪”）。</w:t>
      </w:r>
    </w:p>
    <w:p w14:paraId="2C617EB7">
      <w:pPr>
        <w:snapToGrid w:val="0"/>
        <w:spacing w:line="360" w:lineRule="auto"/>
        <w:ind w:firstLine="480" w:firstLineChars="200"/>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4）温度场重构：通过红外热像仪网络重建釜体表面三维温度场分布的技术。</w:t>
      </w:r>
    </w:p>
    <w:p w14:paraId="0124CFD8">
      <w:pPr>
        <w:snapToGrid w:val="0"/>
        <w:spacing w:line="360" w:lineRule="auto"/>
        <w:ind w:firstLine="480" w:firstLineChars="200"/>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5）三级报警（温度异常分级响应机制）：分为三级——一般报警（黄色）：温度＞设定值+5 ℃；严重报警（橙色）：温度＞设定值+10 ℃；紧急报警（红色）：温度＞设定值+15 ℃或温升速率＞20 ℃/s。</w:t>
      </w:r>
    </w:p>
    <w:p w14:paraId="75920C83">
      <w:pPr>
        <w:snapToGrid w:val="0"/>
        <w:spacing w:line="360" w:lineRule="auto"/>
        <w:ind w:firstLine="480" w:firstLineChars="200"/>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6）图形化监控系统：融合氧压釜红外视频与温度信号，通过颜色差异直观展示釜体表面及关键部位（如底部氧管、搅拌电机、减速机、机封等）温度分布及现场运行状态，并将数据传至服务器存储的监控系统。</w:t>
      </w:r>
    </w:p>
    <w:p w14:paraId="50815C65">
      <w:pPr>
        <w:snapToGrid w:val="0"/>
        <w:spacing w:line="360" w:lineRule="auto"/>
        <w:ind w:firstLine="480" w:firstLineChars="200"/>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7）综合智能化温度远程监控系统：通过Web或移动端技术将氧压釜温度数据及运行状态展示给多个远程客户端，实现及时访问、查看釜体表面温度情况及控制的综合性信息系统。</w:t>
      </w:r>
    </w:p>
    <w:p w14:paraId="4248D73D">
      <w:pPr>
        <w:snapToGrid w:val="0"/>
        <w:spacing w:line="360" w:lineRule="auto"/>
        <w:ind w:firstLine="480" w:firstLineChars="200"/>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8）缩略语：ONVIF（Open Network Video Interface Forum，开放式网络视频接口论坛）；RTSP（Real Time Streaming Protocol，实时流传输协议）。</w:t>
      </w:r>
    </w:p>
    <w:p w14:paraId="74DA0590">
      <w:pPr>
        <w:numPr>
          <w:ilvl w:val="0"/>
          <w:numId w:val="5"/>
        </w:numPr>
        <w:adjustRightInd w:val="0"/>
        <w:snapToGrid w:val="0"/>
        <w:spacing w:line="360" w:lineRule="auto"/>
        <w:ind w:firstLine="482" w:firstLineChars="200"/>
        <w:rPr>
          <w:rFonts w:hint="default" w:ascii="宋体" w:hAnsi="宋体" w:cs="宋体"/>
          <w:b/>
          <w:bCs/>
          <w:sz w:val="24"/>
          <w:szCs w:val="24"/>
          <w:lang w:val="en-US" w:eastAsia="zh-CN"/>
        </w:rPr>
      </w:pPr>
      <w:r>
        <w:rPr>
          <w:rFonts w:hint="eastAsia" w:ascii="宋体" w:hAnsi="宋体" w:cs="宋体"/>
          <w:b/>
          <w:bCs/>
          <w:sz w:val="24"/>
          <w:szCs w:val="24"/>
          <w:lang w:val="en-US" w:eastAsia="zh-CN"/>
        </w:rPr>
        <w:t>系统架构</w:t>
      </w:r>
    </w:p>
    <w:p w14:paraId="5CB6D075">
      <w:pPr>
        <w:snapToGrid w:val="0"/>
        <w:spacing w:line="360" w:lineRule="auto"/>
        <w:ind w:firstLine="482" w:firstLineChars="200"/>
        <w:rPr>
          <w:rFonts w:hint="default" w:ascii="宋体" w:hAnsi="宋体" w:cs="宋体"/>
          <w:b/>
          <w:bCs/>
          <w:color w:val="auto"/>
          <w:sz w:val="24"/>
          <w:szCs w:val="24"/>
          <w:highlight w:val="none"/>
          <w:lang w:val="en-US" w:eastAsia="zh-CN"/>
        </w:rPr>
      </w:pPr>
      <w:r>
        <w:rPr>
          <w:rFonts w:hint="default" w:ascii="宋体" w:hAnsi="宋体" w:cs="宋体"/>
          <w:b/>
          <w:bCs/>
          <w:color w:val="auto"/>
          <w:sz w:val="24"/>
          <w:szCs w:val="24"/>
          <w:highlight w:val="none"/>
          <w:lang w:val="en-US" w:eastAsia="zh-CN"/>
        </w:rPr>
        <w:t>4.1 层级组成</w:t>
      </w:r>
    </w:p>
    <w:p w14:paraId="4C4C9969">
      <w:pPr>
        <w:snapToGrid w:val="0"/>
        <w:spacing w:line="360" w:lineRule="auto"/>
        <w:ind w:firstLine="480" w:firstLineChars="200"/>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氧压釜釜体表面温度在线监测系统由感知层、传输层、平台层、应用层四层架构组成，各层级功能及配置如下：</w:t>
      </w:r>
    </w:p>
    <w:p w14:paraId="0E0C14D0">
      <w:pPr>
        <w:snapToGrid w:val="0"/>
        <w:spacing w:line="360" w:lineRule="auto"/>
        <w:ind w:firstLine="480" w:firstLineChars="200"/>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1）感知层：主要设备及组件包括红外热像仪、DC 12 V稳压电源、电源箱。功能要求为：实时采集釜体表面及高危区域温度；提供稳定DC 12 V供电；配置电源箱，保护电路安全。</w:t>
      </w:r>
    </w:p>
    <w:p w14:paraId="028ED83A">
      <w:pPr>
        <w:snapToGrid w:val="0"/>
        <w:spacing w:line="360" w:lineRule="auto"/>
        <w:ind w:firstLine="480" w:firstLineChars="200"/>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2）传输层：主要设备及组件包括工业千兆交换机、汇聚交换机、网络汇聚箱、PDU电源模块、网络通讯线路。功能要求为：传输温度数据及红外视频信号；传输延时</w:t>
      </w:r>
      <w:r>
        <w:rPr>
          <w:rFonts w:hint="eastAsia" w:ascii="宋体" w:hAnsi="宋体" w:cs="宋体"/>
          <w:color w:val="auto"/>
          <w:sz w:val="24"/>
          <w:szCs w:val="24"/>
          <w:highlight w:val="none"/>
          <w:lang w:val="en-US" w:eastAsia="zh-CN"/>
        </w:rPr>
        <w:t>≤</w:t>
      </w:r>
      <w:r>
        <w:rPr>
          <w:rFonts w:hint="default" w:ascii="宋体" w:hAnsi="宋体" w:cs="宋体"/>
          <w:color w:val="auto"/>
          <w:sz w:val="24"/>
          <w:szCs w:val="24"/>
          <w:highlight w:val="none"/>
          <w:lang w:val="en-US" w:eastAsia="zh-CN"/>
        </w:rPr>
        <w:t>100 ms，丢包率＜5 %；配置网络汇聚箱，保护电路安全。</w:t>
      </w:r>
    </w:p>
    <w:p w14:paraId="164D9AEB">
      <w:pPr>
        <w:snapToGrid w:val="0"/>
        <w:spacing w:line="360" w:lineRule="auto"/>
        <w:ind w:firstLine="480" w:firstLineChars="200"/>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3）平台层：主要设备及组件包括图形工作站、服务器。功能要求为：数据存储、分析与温度场重构</w:t>
      </w:r>
      <w:r>
        <w:rPr>
          <w:rFonts w:hint="eastAsia" w:ascii="宋体" w:hAnsi="宋体" w:cs="宋体"/>
          <w:color w:val="auto"/>
          <w:sz w:val="24"/>
          <w:szCs w:val="24"/>
          <w:highlight w:val="none"/>
          <w:lang w:val="en-US" w:eastAsia="zh-CN"/>
        </w:rPr>
        <w:t>等</w:t>
      </w:r>
      <w:r>
        <w:rPr>
          <w:rFonts w:hint="default" w:ascii="宋体" w:hAnsi="宋体" w:cs="宋体"/>
          <w:color w:val="auto"/>
          <w:sz w:val="24"/>
          <w:szCs w:val="24"/>
          <w:highlight w:val="none"/>
          <w:lang w:val="en-US" w:eastAsia="zh-CN"/>
        </w:rPr>
        <w:t>。</w:t>
      </w:r>
    </w:p>
    <w:p w14:paraId="170B6DD4">
      <w:pPr>
        <w:snapToGrid w:val="0"/>
        <w:spacing w:line="360" w:lineRule="auto"/>
        <w:ind w:firstLine="480" w:firstLineChars="200"/>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4）应用层：主要设备及组件包括显示大屏、声光报警器、移动端APP等。功能要求为：实现温度可视化展示、报警信息推送、远程监控访问等。</w:t>
      </w:r>
    </w:p>
    <w:p w14:paraId="1560B3DD">
      <w:pPr>
        <w:snapToGrid w:val="0"/>
        <w:spacing w:line="360" w:lineRule="auto"/>
        <w:ind w:firstLine="482" w:firstLineChars="200"/>
        <w:rPr>
          <w:rFonts w:hint="default" w:ascii="宋体" w:hAnsi="宋体" w:cs="宋体"/>
          <w:b/>
          <w:bCs/>
          <w:color w:val="auto"/>
          <w:sz w:val="24"/>
          <w:szCs w:val="24"/>
          <w:highlight w:val="none"/>
          <w:lang w:val="en-US" w:eastAsia="zh-CN"/>
        </w:rPr>
      </w:pPr>
      <w:r>
        <w:rPr>
          <w:rFonts w:hint="default" w:ascii="宋体" w:hAnsi="宋体" w:cs="宋体"/>
          <w:b/>
          <w:bCs/>
          <w:color w:val="auto"/>
          <w:sz w:val="24"/>
          <w:szCs w:val="24"/>
          <w:highlight w:val="none"/>
          <w:lang w:val="en-US" w:eastAsia="zh-CN"/>
        </w:rPr>
        <w:t>4.2 网络架构要求</w:t>
      </w:r>
    </w:p>
    <w:p w14:paraId="31A17E36">
      <w:pPr>
        <w:snapToGrid w:val="0"/>
        <w:spacing w:line="360" w:lineRule="auto"/>
        <w:ind w:firstLine="480" w:firstLineChars="200"/>
        <w:rPr>
          <w:rFonts w:hint="default" w:ascii="宋体" w:hAnsi="宋体" w:cs="宋体"/>
          <w:b/>
          <w:bCs/>
          <w:sz w:val="24"/>
          <w:szCs w:val="24"/>
          <w:lang w:val="en-US" w:eastAsia="zh-CN"/>
        </w:rPr>
      </w:pPr>
      <w:r>
        <w:rPr>
          <w:rFonts w:hint="default" w:ascii="宋体" w:hAnsi="宋体" w:cs="宋体"/>
          <w:color w:val="auto"/>
          <w:sz w:val="24"/>
          <w:szCs w:val="24"/>
          <w:highlight w:val="none"/>
          <w:lang w:val="en-US" w:eastAsia="zh-CN"/>
        </w:rPr>
        <w:t>规定供电与通讯线路应分槽敷设，避免电磁干扰；服务器通过生产控制系统接口实现双重报警机制，即在系统自身报警的同时，将报警信号同步传送至DCS系统，减少网络暴露面，保障工控安全。</w:t>
      </w:r>
    </w:p>
    <w:p w14:paraId="54AF1347">
      <w:pPr>
        <w:numPr>
          <w:ilvl w:val="0"/>
          <w:numId w:val="5"/>
        </w:numPr>
        <w:adjustRightInd w:val="0"/>
        <w:snapToGrid w:val="0"/>
        <w:spacing w:line="360" w:lineRule="auto"/>
        <w:ind w:firstLine="482" w:firstLineChars="200"/>
        <w:rPr>
          <w:rFonts w:hint="default" w:ascii="宋体" w:hAnsi="宋体" w:cs="宋体"/>
          <w:b/>
          <w:bCs/>
          <w:sz w:val="24"/>
          <w:szCs w:val="24"/>
          <w:lang w:val="en-US" w:eastAsia="zh-CN"/>
        </w:rPr>
      </w:pPr>
      <w:r>
        <w:rPr>
          <w:rFonts w:hint="eastAsia" w:ascii="宋体" w:hAnsi="宋体" w:cs="宋体"/>
          <w:b/>
          <w:bCs/>
          <w:sz w:val="24"/>
          <w:szCs w:val="24"/>
          <w:lang w:val="en-US" w:eastAsia="zh-CN"/>
        </w:rPr>
        <w:t>总体要求</w:t>
      </w:r>
    </w:p>
    <w:p w14:paraId="7BD668B6">
      <w:pPr>
        <w:snapToGrid w:val="0"/>
        <w:spacing w:line="360" w:lineRule="auto"/>
        <w:ind w:firstLine="480" w:firstLineChars="200"/>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对系统整体性能提出通用性要求，涵盖系统可用性、可靠性、可维护性及安全防护等基础性规定，确保系统在高温、高压、高酸的极端工况下长期稳定运行。</w:t>
      </w:r>
    </w:p>
    <w:p w14:paraId="43AA0E9F">
      <w:pPr>
        <w:numPr>
          <w:ilvl w:val="0"/>
          <w:numId w:val="5"/>
        </w:numPr>
        <w:adjustRightInd w:val="0"/>
        <w:snapToGrid w:val="0"/>
        <w:spacing w:line="360" w:lineRule="auto"/>
        <w:ind w:firstLine="482" w:firstLineChars="200"/>
        <w:rPr>
          <w:rFonts w:hint="default" w:ascii="宋体" w:hAnsi="宋体" w:cs="宋体"/>
          <w:b/>
          <w:bCs/>
          <w:sz w:val="24"/>
          <w:szCs w:val="24"/>
          <w:lang w:val="en-US" w:eastAsia="zh-CN"/>
        </w:rPr>
      </w:pPr>
      <w:r>
        <w:rPr>
          <w:rFonts w:hint="eastAsia" w:ascii="宋体" w:hAnsi="宋体" w:cs="宋体"/>
          <w:b/>
          <w:bCs/>
          <w:sz w:val="24"/>
          <w:szCs w:val="24"/>
          <w:lang w:val="en-US" w:eastAsia="zh-CN"/>
        </w:rPr>
        <w:t>设备技术要求</w:t>
      </w:r>
    </w:p>
    <w:p w14:paraId="3C9E0954">
      <w:pPr>
        <w:snapToGrid w:val="0"/>
        <w:spacing w:line="360" w:lineRule="auto"/>
        <w:ind w:firstLine="482" w:firstLineChars="200"/>
        <w:rPr>
          <w:rFonts w:hint="default" w:ascii="宋体" w:hAnsi="宋体" w:cs="宋体"/>
          <w:b/>
          <w:bCs/>
          <w:color w:val="auto"/>
          <w:sz w:val="24"/>
          <w:szCs w:val="24"/>
          <w:highlight w:val="none"/>
          <w:lang w:val="en-US" w:eastAsia="zh-CN"/>
        </w:rPr>
      </w:pPr>
      <w:r>
        <w:rPr>
          <w:rFonts w:hint="default" w:ascii="宋体" w:hAnsi="宋体" w:cs="宋体"/>
          <w:b/>
          <w:bCs/>
          <w:color w:val="auto"/>
          <w:sz w:val="24"/>
          <w:szCs w:val="24"/>
          <w:highlight w:val="none"/>
          <w:lang w:val="en-US" w:eastAsia="zh-CN"/>
        </w:rPr>
        <w:t>6.1 红外热像仪选型要求</w:t>
      </w:r>
    </w:p>
    <w:p w14:paraId="1086697A">
      <w:pPr>
        <w:snapToGrid w:val="0"/>
        <w:spacing w:line="360" w:lineRule="auto"/>
        <w:ind w:firstLine="480" w:firstLineChars="200"/>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明确规定红外热像仪的关键技术指标：</w:t>
      </w:r>
    </w:p>
    <w:p w14:paraId="78DCAB24">
      <w:pPr>
        <w:snapToGrid w:val="0"/>
        <w:spacing w:line="360" w:lineRule="auto"/>
        <w:ind w:firstLine="480" w:firstLineChars="200"/>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测温范围：0～650 ℃，覆盖氧压釜正常工况及异常升温全量程；</w:t>
      </w:r>
    </w:p>
    <w:p w14:paraId="44F6CA36">
      <w:pPr>
        <w:snapToGrid w:val="0"/>
        <w:spacing w:line="360" w:lineRule="auto"/>
        <w:ind w:firstLine="480" w:firstLineChars="200"/>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防护等级：IP68，确保在高温高湿环境下的长期稳定运行；</w:t>
      </w:r>
    </w:p>
    <w:p w14:paraId="5954BE53">
      <w:pPr>
        <w:snapToGrid w:val="0"/>
        <w:spacing w:line="360" w:lineRule="auto"/>
        <w:ind w:firstLine="480" w:firstLineChars="200"/>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本体材质：304不锈钢，具备优异的耐腐蚀性能；</w:t>
      </w:r>
    </w:p>
    <w:p w14:paraId="458F1059">
      <w:pPr>
        <w:snapToGrid w:val="0"/>
        <w:spacing w:line="360" w:lineRule="auto"/>
        <w:ind w:firstLine="480" w:firstLineChars="200"/>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测温精度：±2 ℃或读数的±2%（取较大值）；</w:t>
      </w:r>
    </w:p>
    <w:p w14:paraId="2E0202B5">
      <w:pPr>
        <w:snapToGrid w:val="0"/>
        <w:spacing w:line="360" w:lineRule="auto"/>
        <w:ind w:firstLine="480" w:firstLineChars="200"/>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视场角与聚焦：具备宽视场角和自动聚焦功能，适应釜体不同距离监测需求；</w:t>
      </w:r>
    </w:p>
    <w:p w14:paraId="7B831241">
      <w:pPr>
        <w:snapToGrid w:val="0"/>
        <w:spacing w:line="360" w:lineRule="auto"/>
        <w:ind w:firstLine="480" w:firstLineChars="200"/>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数据输出：支持ONVIF和RTSP标准协议，实现视频与温度数据同步传输。</w:t>
      </w:r>
    </w:p>
    <w:p w14:paraId="0A8EF843">
      <w:pPr>
        <w:snapToGrid w:val="0"/>
        <w:spacing w:line="360" w:lineRule="auto"/>
        <w:ind w:firstLine="482" w:firstLineChars="200"/>
        <w:rPr>
          <w:rFonts w:hint="default" w:ascii="宋体" w:hAnsi="宋体" w:cs="宋体"/>
          <w:b/>
          <w:bCs/>
          <w:color w:val="auto"/>
          <w:sz w:val="24"/>
          <w:szCs w:val="24"/>
          <w:highlight w:val="none"/>
          <w:lang w:val="en-US" w:eastAsia="zh-CN"/>
        </w:rPr>
      </w:pPr>
      <w:r>
        <w:rPr>
          <w:rFonts w:hint="default" w:ascii="宋体" w:hAnsi="宋体" w:cs="宋体"/>
          <w:b/>
          <w:bCs/>
          <w:color w:val="auto"/>
          <w:sz w:val="24"/>
          <w:szCs w:val="24"/>
          <w:highlight w:val="none"/>
          <w:lang w:val="en-US" w:eastAsia="zh-CN"/>
        </w:rPr>
        <w:t>6.2 测温区域覆盖要求</w:t>
      </w:r>
    </w:p>
    <w:p w14:paraId="1D165363">
      <w:pPr>
        <w:snapToGrid w:val="0"/>
        <w:spacing w:line="360" w:lineRule="auto"/>
        <w:ind w:firstLine="480" w:firstLineChars="200"/>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强制要求红外热像仪组网覆盖以下五大高危区域，消除监测死区：</w:t>
      </w:r>
    </w:p>
    <w:p w14:paraId="3709186C">
      <w:pPr>
        <w:numPr>
          <w:ilvl w:val="0"/>
          <w:numId w:val="6"/>
        </w:numPr>
        <w:snapToGrid w:val="0"/>
        <w:spacing w:line="360" w:lineRule="auto"/>
        <w:ind w:firstLine="480" w:firstLineChars="200"/>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底部氧管入釜连接区：因氧气高速冲刷和高温反应，此处是泄漏和过热的</w:t>
      </w:r>
      <w:r>
        <w:rPr>
          <w:rFonts w:hint="eastAsia" w:ascii="宋体" w:hAnsi="宋体" w:cs="宋体"/>
          <w:color w:val="auto"/>
          <w:sz w:val="24"/>
          <w:szCs w:val="24"/>
          <w:highlight w:val="none"/>
          <w:lang w:val="en-US" w:eastAsia="zh-CN"/>
        </w:rPr>
        <w:t>可能发生</w:t>
      </w:r>
      <w:r>
        <w:rPr>
          <w:rFonts w:hint="default" w:ascii="宋体" w:hAnsi="宋体" w:cs="宋体"/>
          <w:color w:val="auto"/>
          <w:sz w:val="24"/>
          <w:szCs w:val="24"/>
          <w:highlight w:val="none"/>
          <w:lang w:val="en-US" w:eastAsia="zh-CN"/>
        </w:rPr>
        <w:t>区域；</w:t>
      </w:r>
    </w:p>
    <w:p w14:paraId="55344381">
      <w:pPr>
        <w:numPr>
          <w:ilvl w:val="0"/>
          <w:numId w:val="6"/>
        </w:numPr>
        <w:snapToGrid w:val="0"/>
        <w:spacing w:line="360" w:lineRule="auto"/>
        <w:ind w:firstLine="480" w:firstLineChars="200"/>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搅拌机轴承/减速箱：机械磨损或冷却失效可能引发突发性高温（轴承温升可超过100 ℃）；</w:t>
      </w:r>
    </w:p>
    <w:p w14:paraId="1EC402FF">
      <w:pPr>
        <w:numPr>
          <w:ilvl w:val="0"/>
          <w:numId w:val="6"/>
        </w:numPr>
        <w:snapToGrid w:val="0"/>
        <w:spacing w:line="360" w:lineRule="auto"/>
        <w:ind w:firstLine="480" w:firstLineChars="200"/>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机封冷却水区：冷却水断流将导致机封温度急剧上升，是密封失效的关键预警区域；</w:t>
      </w:r>
    </w:p>
    <w:p w14:paraId="4983D60E">
      <w:pPr>
        <w:numPr>
          <w:ilvl w:val="0"/>
          <w:numId w:val="6"/>
        </w:numPr>
        <w:snapToGrid w:val="0"/>
        <w:spacing w:line="360" w:lineRule="auto"/>
        <w:ind w:firstLine="480" w:firstLineChars="200"/>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环焊缝区：焊缝因应力集中和腐蚀易积热，是釜体结构安全的薄弱环节；</w:t>
      </w:r>
    </w:p>
    <w:p w14:paraId="1B758AE5">
      <w:pPr>
        <w:numPr>
          <w:ilvl w:val="0"/>
          <w:numId w:val="6"/>
        </w:numPr>
        <w:snapToGrid w:val="0"/>
        <w:spacing w:line="360" w:lineRule="auto"/>
        <w:ind w:firstLine="480" w:firstLineChars="200"/>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固相沉积锥底区：矿浆沉积导致局部过热，需重点监控。</w:t>
      </w:r>
    </w:p>
    <w:p w14:paraId="3795D686">
      <w:pPr>
        <w:snapToGrid w:val="0"/>
        <w:spacing w:line="360" w:lineRule="auto"/>
        <w:ind w:firstLine="482" w:firstLineChars="200"/>
        <w:rPr>
          <w:rFonts w:hint="default" w:ascii="宋体" w:hAnsi="宋体" w:cs="宋体"/>
          <w:b/>
          <w:bCs/>
          <w:color w:val="auto"/>
          <w:sz w:val="24"/>
          <w:szCs w:val="24"/>
          <w:highlight w:val="none"/>
          <w:lang w:val="en-US" w:eastAsia="zh-CN"/>
        </w:rPr>
      </w:pPr>
      <w:r>
        <w:rPr>
          <w:rFonts w:hint="default" w:ascii="宋体" w:hAnsi="宋体" w:cs="宋体"/>
          <w:b/>
          <w:bCs/>
          <w:color w:val="auto"/>
          <w:sz w:val="24"/>
          <w:szCs w:val="24"/>
          <w:highlight w:val="none"/>
          <w:lang w:val="en-US" w:eastAsia="zh-CN"/>
        </w:rPr>
        <w:t>6.3 温度场重构技术要求</w:t>
      </w:r>
    </w:p>
    <w:p w14:paraId="165293E5">
      <w:pPr>
        <w:snapToGrid w:val="0"/>
        <w:spacing w:line="360" w:lineRule="auto"/>
        <w:ind w:firstLine="480" w:firstLineChars="200"/>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通过多台红外热像仪组网，实现釜体表面三维温度场的重建。要求系统能够将各红外热像仪的离散测温数据融合为连续的温度分布图，实现从传统离散点测温到全局面测温的技术跨越，能够自动识别和定位局部过热区域（直径＜0.5 m的高温点），为操作人员提供直观的釜体温度分布可视化图像。</w:t>
      </w:r>
    </w:p>
    <w:p w14:paraId="11A4DA64">
      <w:pPr>
        <w:snapToGrid w:val="0"/>
        <w:spacing w:line="360" w:lineRule="auto"/>
        <w:ind w:firstLine="482" w:firstLineChars="200"/>
        <w:rPr>
          <w:rFonts w:hint="default" w:ascii="宋体" w:hAnsi="宋体" w:cs="宋体"/>
          <w:b/>
          <w:bCs/>
          <w:color w:val="auto"/>
          <w:sz w:val="24"/>
          <w:szCs w:val="24"/>
          <w:highlight w:val="none"/>
          <w:lang w:val="en-US" w:eastAsia="zh-CN"/>
        </w:rPr>
      </w:pPr>
      <w:r>
        <w:rPr>
          <w:rFonts w:hint="default" w:ascii="宋体" w:hAnsi="宋体" w:cs="宋体"/>
          <w:b/>
          <w:bCs/>
          <w:color w:val="auto"/>
          <w:sz w:val="24"/>
          <w:szCs w:val="24"/>
          <w:highlight w:val="none"/>
          <w:lang w:val="en-US" w:eastAsia="zh-CN"/>
        </w:rPr>
        <w:t>6.4 其他设备要求</w:t>
      </w:r>
    </w:p>
    <w:p w14:paraId="27440CB0">
      <w:pPr>
        <w:snapToGrid w:val="0"/>
        <w:spacing w:line="360" w:lineRule="auto"/>
        <w:ind w:firstLine="480" w:firstLineChars="200"/>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DC 12 V稳压电源：提供稳定供电，电压波动范围不超过±5%；</w:t>
      </w:r>
    </w:p>
    <w:p w14:paraId="1382461D">
      <w:pPr>
        <w:snapToGrid w:val="0"/>
        <w:spacing w:line="360" w:lineRule="auto"/>
        <w:ind w:firstLine="480" w:firstLineChars="200"/>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工业千兆交换机和汇聚交换机：支持工业级宽温工作范围，满足现场恶劣环境；</w:t>
      </w:r>
    </w:p>
    <w:p w14:paraId="6D4F17BD">
      <w:pPr>
        <w:snapToGrid w:val="0"/>
        <w:spacing w:line="360" w:lineRule="auto"/>
        <w:ind w:firstLine="480" w:firstLineChars="200"/>
        <w:rPr>
          <w:rFonts w:hint="default" w:ascii="宋体" w:hAnsi="宋体" w:cs="宋体"/>
          <w:b/>
          <w:bCs/>
          <w:sz w:val="24"/>
          <w:szCs w:val="24"/>
          <w:lang w:val="en-US" w:eastAsia="zh-CN"/>
        </w:rPr>
      </w:pPr>
      <w:r>
        <w:rPr>
          <w:rFonts w:hint="default" w:ascii="宋体" w:hAnsi="宋体" w:cs="宋体"/>
          <w:color w:val="auto"/>
          <w:sz w:val="24"/>
          <w:szCs w:val="24"/>
          <w:highlight w:val="none"/>
          <w:lang w:val="en-US" w:eastAsia="zh-CN"/>
        </w:rPr>
        <w:t>PDU电源模块：具备过载保护和远程管理功能。</w:t>
      </w:r>
    </w:p>
    <w:p w14:paraId="47205ADF">
      <w:pPr>
        <w:numPr>
          <w:ilvl w:val="0"/>
          <w:numId w:val="5"/>
        </w:numPr>
        <w:adjustRightInd w:val="0"/>
        <w:snapToGrid w:val="0"/>
        <w:spacing w:line="360" w:lineRule="auto"/>
        <w:ind w:firstLine="482" w:firstLineChars="200"/>
        <w:rPr>
          <w:rFonts w:hint="default" w:ascii="宋体" w:hAnsi="宋体" w:cs="宋体"/>
          <w:b/>
          <w:bCs/>
          <w:sz w:val="24"/>
          <w:szCs w:val="24"/>
          <w:lang w:val="en-US" w:eastAsia="zh-CN"/>
        </w:rPr>
      </w:pPr>
      <w:r>
        <w:rPr>
          <w:rFonts w:hint="eastAsia" w:ascii="宋体" w:hAnsi="宋体" w:cs="宋体"/>
          <w:b/>
          <w:bCs/>
          <w:sz w:val="24"/>
          <w:szCs w:val="24"/>
          <w:lang w:val="en-US" w:eastAsia="zh-CN"/>
        </w:rPr>
        <w:t>软件系统要求</w:t>
      </w:r>
    </w:p>
    <w:p w14:paraId="2E6A8282">
      <w:pPr>
        <w:snapToGrid w:val="0"/>
        <w:spacing w:line="360" w:lineRule="auto"/>
        <w:ind w:firstLine="482" w:firstLineChars="200"/>
        <w:rPr>
          <w:rFonts w:hint="default" w:ascii="宋体" w:hAnsi="宋体" w:cs="宋体"/>
          <w:b/>
          <w:bCs/>
          <w:color w:val="auto"/>
          <w:sz w:val="24"/>
          <w:szCs w:val="24"/>
          <w:highlight w:val="none"/>
          <w:lang w:val="en-US" w:eastAsia="zh-CN"/>
        </w:rPr>
      </w:pPr>
      <w:r>
        <w:rPr>
          <w:rFonts w:hint="default" w:ascii="宋体" w:hAnsi="宋体" w:cs="宋体"/>
          <w:b/>
          <w:bCs/>
          <w:color w:val="auto"/>
          <w:sz w:val="24"/>
          <w:szCs w:val="24"/>
          <w:highlight w:val="none"/>
          <w:lang w:val="en-US" w:eastAsia="zh-CN"/>
        </w:rPr>
        <w:t>7.1 图形化监控系统功能</w:t>
      </w:r>
    </w:p>
    <w:p w14:paraId="01B1F9A6">
      <w:pPr>
        <w:snapToGrid w:val="0"/>
        <w:spacing w:line="360" w:lineRule="auto"/>
        <w:ind w:firstLine="480" w:firstLineChars="200"/>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1）融合氧压釜红外视频与温度信号，通过颜色差异（如蓝色表示低温、红色表示高温）直观展示釜体表面及关键部位温度分布；</w:t>
      </w:r>
    </w:p>
    <w:p w14:paraId="5BA0EDEE">
      <w:pPr>
        <w:snapToGrid w:val="0"/>
        <w:spacing w:line="360" w:lineRule="auto"/>
        <w:ind w:firstLine="480" w:firstLineChars="200"/>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r>
        <w:rPr>
          <w:rFonts w:hint="default" w:ascii="宋体" w:hAnsi="宋体" w:cs="宋体"/>
          <w:color w:val="auto"/>
          <w:sz w:val="24"/>
          <w:szCs w:val="24"/>
          <w:highlight w:val="none"/>
          <w:lang w:val="en-US" w:eastAsia="zh-CN"/>
        </w:rPr>
        <w:t>支持特定区域最高温自动捕捉功能，系统自动识别并标记监测画面内的温度最高点；</w:t>
      </w:r>
    </w:p>
    <w:p w14:paraId="2FEC3428">
      <w:pPr>
        <w:snapToGrid w:val="0"/>
        <w:spacing w:line="360" w:lineRule="auto"/>
        <w:ind w:firstLine="480" w:firstLineChars="200"/>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3）超温自动抓拍功能：当检测到温度超过设定阈值时，系统自动抓拍当前画面并存储，作为事故追溯依据；</w:t>
      </w:r>
    </w:p>
    <w:p w14:paraId="73A2D557">
      <w:pPr>
        <w:snapToGrid w:val="0"/>
        <w:spacing w:line="360" w:lineRule="auto"/>
        <w:ind w:firstLine="480" w:firstLineChars="200"/>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 xml:space="preserve">4）温度场重构可视化：将温度场重构结果以二维或三维形式呈现在监控界面上； </w:t>
      </w:r>
    </w:p>
    <w:p w14:paraId="3556395E">
      <w:pPr>
        <w:snapToGrid w:val="0"/>
        <w:spacing w:line="360" w:lineRule="auto"/>
        <w:ind w:firstLine="480" w:firstLineChars="200"/>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5）历史数据曲线生成：支持任意时间段温度变化曲线的查询与回放。</w:t>
      </w:r>
    </w:p>
    <w:p w14:paraId="2E404C71">
      <w:pPr>
        <w:snapToGrid w:val="0"/>
        <w:spacing w:line="360" w:lineRule="auto"/>
        <w:ind w:firstLine="482" w:firstLineChars="200"/>
        <w:rPr>
          <w:rFonts w:hint="default" w:ascii="宋体" w:hAnsi="宋体" w:cs="宋体"/>
          <w:b/>
          <w:bCs/>
          <w:color w:val="auto"/>
          <w:sz w:val="24"/>
          <w:szCs w:val="24"/>
          <w:highlight w:val="none"/>
          <w:lang w:val="en-US" w:eastAsia="zh-CN"/>
        </w:rPr>
      </w:pPr>
      <w:r>
        <w:rPr>
          <w:rFonts w:hint="default" w:ascii="宋体" w:hAnsi="宋体" w:cs="宋体"/>
          <w:b/>
          <w:bCs/>
          <w:color w:val="auto"/>
          <w:sz w:val="24"/>
          <w:szCs w:val="24"/>
          <w:highlight w:val="none"/>
          <w:lang w:val="en-US" w:eastAsia="zh-CN"/>
        </w:rPr>
        <w:t>7.2 三级报警功能</w:t>
      </w:r>
    </w:p>
    <w:p w14:paraId="186EB203">
      <w:pPr>
        <w:snapToGrid w:val="0"/>
        <w:spacing w:line="360" w:lineRule="auto"/>
        <w:ind w:firstLine="480" w:firstLineChars="200"/>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标准设定了基于温度阈值和温升速率的三级报警（温度异常分级响应机制），分级标准如下：</w:t>
      </w:r>
    </w:p>
    <w:p w14:paraId="6088A03C">
      <w:pPr>
        <w:snapToGrid w:val="0"/>
        <w:spacing w:line="360" w:lineRule="auto"/>
        <w:ind w:firstLine="480" w:firstLineChars="200"/>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一般报警（黄色）：温度＞设定值+5 ℃；</w:t>
      </w:r>
    </w:p>
    <w:p w14:paraId="2EAF8546">
      <w:pPr>
        <w:snapToGrid w:val="0"/>
        <w:spacing w:line="360" w:lineRule="auto"/>
        <w:ind w:firstLine="480" w:firstLineChars="200"/>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严重报警（橙色）：温度＞设定值+10 ℃；</w:t>
      </w:r>
    </w:p>
    <w:p w14:paraId="0326D1C9">
      <w:pPr>
        <w:snapToGrid w:val="0"/>
        <w:spacing w:line="360" w:lineRule="auto"/>
        <w:ind w:firstLine="480" w:firstLineChars="200"/>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紧急报警（红色）：温度＞设定值+15 ℃或温升速率＞20 ℃/s，触发声光报警</w:t>
      </w:r>
      <w:r>
        <w:rPr>
          <w:rFonts w:hint="eastAsia" w:ascii="宋体" w:hAnsi="宋体" w:cs="宋体"/>
          <w:color w:val="auto"/>
          <w:sz w:val="24"/>
          <w:szCs w:val="24"/>
          <w:highlight w:val="none"/>
          <w:lang w:val="en-US" w:eastAsia="zh-CN"/>
        </w:rPr>
        <w:t>，联动生产控制系统进行弹窗报警和应急处置</w:t>
      </w:r>
      <w:r>
        <w:rPr>
          <w:rFonts w:hint="default" w:ascii="宋体" w:hAnsi="宋体" w:cs="宋体"/>
          <w:color w:val="auto"/>
          <w:sz w:val="24"/>
          <w:szCs w:val="24"/>
          <w:highlight w:val="none"/>
          <w:lang w:val="en-US" w:eastAsia="zh-CN"/>
        </w:rPr>
        <w:t>。</w:t>
      </w:r>
    </w:p>
    <w:p w14:paraId="618781F8">
      <w:pPr>
        <w:snapToGrid w:val="0"/>
        <w:spacing w:line="360" w:lineRule="auto"/>
        <w:ind w:firstLine="482" w:firstLineChars="200"/>
        <w:rPr>
          <w:rFonts w:hint="default" w:ascii="宋体" w:hAnsi="宋体" w:cs="宋体"/>
          <w:b/>
          <w:bCs/>
          <w:color w:val="auto"/>
          <w:sz w:val="24"/>
          <w:szCs w:val="24"/>
          <w:highlight w:val="none"/>
          <w:lang w:val="en-US" w:eastAsia="zh-CN"/>
        </w:rPr>
      </w:pPr>
      <w:r>
        <w:rPr>
          <w:rFonts w:hint="default" w:ascii="宋体" w:hAnsi="宋体" w:cs="宋体"/>
          <w:b/>
          <w:bCs/>
          <w:color w:val="auto"/>
          <w:sz w:val="24"/>
          <w:szCs w:val="24"/>
          <w:highlight w:val="none"/>
          <w:lang w:val="en-US" w:eastAsia="zh-CN"/>
        </w:rPr>
        <w:t>7.3 安全联锁控制逻辑</w:t>
      </w:r>
    </w:p>
    <w:p w14:paraId="0BB38D7C">
      <w:pPr>
        <w:snapToGrid w:val="0"/>
        <w:spacing w:line="360" w:lineRule="auto"/>
        <w:ind w:firstLine="480" w:firstLineChars="200"/>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底部氧管区域紧急报警时，系统联动生产控制系统（DCS）弹窗报警，经操作员确认后执行关闭切断阀动作。响应时间</w:t>
      </w:r>
      <w:r>
        <w:rPr>
          <w:rFonts w:hint="eastAsia" w:ascii="宋体" w:hAnsi="宋体" w:cs="宋体"/>
          <w:color w:val="auto"/>
          <w:sz w:val="24"/>
          <w:szCs w:val="24"/>
          <w:highlight w:val="none"/>
          <w:lang w:val="en-US" w:eastAsia="zh-CN"/>
        </w:rPr>
        <w:t>≤</w:t>
      </w:r>
      <w:r>
        <w:rPr>
          <w:rFonts w:hint="default" w:ascii="宋体" w:hAnsi="宋体" w:cs="宋体"/>
          <w:color w:val="auto"/>
          <w:sz w:val="24"/>
          <w:szCs w:val="24"/>
          <w:highlight w:val="none"/>
          <w:lang w:val="en-US" w:eastAsia="zh-CN"/>
        </w:rPr>
        <w:t>2 s。该控制逻辑既保证了异常响应的及时性，又避免了自动化误动作可能带来的生产波动风险。</w:t>
      </w:r>
    </w:p>
    <w:p w14:paraId="6457E1AF">
      <w:pPr>
        <w:snapToGrid w:val="0"/>
        <w:spacing w:line="360" w:lineRule="auto"/>
        <w:ind w:firstLine="482" w:firstLineChars="200"/>
        <w:rPr>
          <w:rFonts w:hint="default" w:ascii="宋体" w:hAnsi="宋体" w:cs="宋体"/>
          <w:b/>
          <w:bCs/>
          <w:color w:val="auto"/>
          <w:sz w:val="24"/>
          <w:szCs w:val="24"/>
          <w:highlight w:val="none"/>
          <w:lang w:val="en-US" w:eastAsia="zh-CN"/>
        </w:rPr>
      </w:pPr>
      <w:r>
        <w:rPr>
          <w:rFonts w:hint="default" w:ascii="宋体" w:hAnsi="宋体" w:cs="宋体"/>
          <w:b/>
          <w:bCs/>
          <w:color w:val="auto"/>
          <w:sz w:val="24"/>
          <w:szCs w:val="24"/>
          <w:highlight w:val="none"/>
          <w:lang w:val="en-US" w:eastAsia="zh-CN"/>
        </w:rPr>
        <w:t>7.4 移动端远程监控</w:t>
      </w:r>
    </w:p>
    <w:p w14:paraId="45659B5C">
      <w:pPr>
        <w:snapToGrid w:val="0"/>
        <w:spacing w:line="360" w:lineRule="auto"/>
        <w:ind w:firstLine="480" w:firstLineChars="200"/>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支持移动端APP和网页端远程访问，实现以下功能：</w:t>
      </w:r>
    </w:p>
    <w:p w14:paraId="404A8E95">
      <w:pPr>
        <w:snapToGrid w:val="0"/>
        <w:spacing w:line="360" w:lineRule="auto"/>
        <w:ind w:firstLine="480" w:firstLineChars="200"/>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实时温度数据查看；</w:t>
      </w:r>
    </w:p>
    <w:p w14:paraId="79C7BE3B">
      <w:pPr>
        <w:snapToGrid w:val="0"/>
        <w:spacing w:line="360" w:lineRule="auto"/>
        <w:ind w:firstLine="480" w:firstLineChars="200"/>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温度场分布图像浏览；</w:t>
      </w:r>
    </w:p>
    <w:p w14:paraId="6AC936C3">
      <w:pPr>
        <w:snapToGrid w:val="0"/>
        <w:spacing w:line="360" w:lineRule="auto"/>
        <w:ind w:firstLine="480" w:firstLineChars="200"/>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报警信息推送；</w:t>
      </w:r>
    </w:p>
    <w:p w14:paraId="6107FE13">
      <w:pPr>
        <w:snapToGrid w:val="0"/>
        <w:spacing w:line="360" w:lineRule="auto"/>
        <w:ind w:firstLine="480" w:firstLineChars="200"/>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历史数据查询。</w:t>
      </w:r>
    </w:p>
    <w:p w14:paraId="2E08CB1A">
      <w:pPr>
        <w:numPr>
          <w:ilvl w:val="0"/>
          <w:numId w:val="5"/>
        </w:numPr>
        <w:adjustRightInd w:val="0"/>
        <w:snapToGrid w:val="0"/>
        <w:spacing w:line="360" w:lineRule="auto"/>
        <w:ind w:firstLine="482" w:firstLineChars="200"/>
        <w:rPr>
          <w:rFonts w:hint="default" w:ascii="宋体" w:hAnsi="宋体" w:cs="宋体"/>
          <w:b/>
          <w:bCs/>
          <w:sz w:val="24"/>
          <w:szCs w:val="24"/>
          <w:lang w:val="en-US" w:eastAsia="zh-CN"/>
        </w:rPr>
      </w:pPr>
      <w:r>
        <w:rPr>
          <w:rFonts w:hint="eastAsia" w:ascii="宋体" w:hAnsi="宋体" w:cs="宋体"/>
          <w:b/>
          <w:bCs/>
          <w:sz w:val="24"/>
          <w:szCs w:val="24"/>
          <w:lang w:val="en-US" w:eastAsia="zh-CN"/>
        </w:rPr>
        <w:t>数据管理</w:t>
      </w:r>
    </w:p>
    <w:p w14:paraId="34DF64B6">
      <w:pPr>
        <w:snapToGrid w:val="0"/>
        <w:spacing w:line="360" w:lineRule="auto"/>
        <w:ind w:firstLine="480" w:firstLineChars="200"/>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8.1 数据</w:t>
      </w:r>
      <w:r>
        <w:rPr>
          <w:rFonts w:hint="eastAsia" w:ascii="宋体" w:hAnsi="宋体" w:cs="宋体"/>
          <w:color w:val="auto"/>
          <w:sz w:val="24"/>
          <w:szCs w:val="24"/>
          <w:highlight w:val="none"/>
          <w:lang w:val="en-US" w:eastAsia="zh-CN"/>
        </w:rPr>
        <w:t>采集</w:t>
      </w:r>
    </w:p>
    <w:p w14:paraId="2C8019FC">
      <w:pPr>
        <w:snapToGrid w:val="0"/>
        <w:spacing w:line="360" w:lineRule="auto"/>
        <w:ind w:firstLine="480" w:firstLineChars="200"/>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1）存储内容：温度数据、红外视频图像、报警记录、操作日志；</w:t>
      </w:r>
    </w:p>
    <w:p w14:paraId="066F8088">
      <w:pPr>
        <w:snapToGrid w:val="0"/>
        <w:spacing w:line="360" w:lineRule="auto"/>
        <w:ind w:firstLine="480" w:firstLineChars="200"/>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2）存储周期：</w:t>
      </w:r>
      <w:r>
        <w:rPr>
          <w:rFonts w:hint="eastAsia" w:ascii="宋体" w:hAnsi="宋体" w:cs="宋体"/>
          <w:color w:val="auto"/>
          <w:sz w:val="24"/>
          <w:szCs w:val="24"/>
          <w:highlight w:val="none"/>
          <w:lang w:val="en-US" w:eastAsia="zh-CN"/>
        </w:rPr>
        <w:t>≥</w:t>
      </w:r>
      <w:r>
        <w:rPr>
          <w:rFonts w:hint="default" w:ascii="宋体" w:hAnsi="宋体" w:cs="宋体"/>
          <w:color w:val="auto"/>
          <w:sz w:val="24"/>
          <w:szCs w:val="24"/>
          <w:highlight w:val="none"/>
          <w:lang w:val="en-US" w:eastAsia="zh-CN"/>
        </w:rPr>
        <w:t>2年；</w:t>
      </w:r>
    </w:p>
    <w:p w14:paraId="7FCDDD1E">
      <w:pPr>
        <w:snapToGrid w:val="0"/>
        <w:spacing w:line="360" w:lineRule="auto"/>
        <w:ind w:firstLine="480" w:firstLineChars="200"/>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3）数据精度：温度数据精确至0.1 ℃；</w:t>
      </w:r>
    </w:p>
    <w:p w14:paraId="56B95D63">
      <w:pPr>
        <w:snapToGrid w:val="0"/>
        <w:spacing w:line="360" w:lineRule="auto"/>
        <w:ind w:firstLine="480" w:firstLineChars="200"/>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4）数据完整性：具备断电保护功能，确保数据不丢失。</w:t>
      </w:r>
    </w:p>
    <w:p w14:paraId="6786C5C3">
      <w:pPr>
        <w:snapToGrid w:val="0"/>
        <w:spacing w:line="360" w:lineRule="auto"/>
        <w:ind w:firstLine="480" w:firstLineChars="200"/>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8.2 数据查询与导出</w:t>
      </w:r>
    </w:p>
    <w:p w14:paraId="22FF4635">
      <w:pPr>
        <w:snapToGrid w:val="0"/>
        <w:spacing w:line="360" w:lineRule="auto"/>
        <w:ind w:firstLine="480" w:firstLineChars="200"/>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支持按时间、区域、报警级别等多维度条件进行数据检索，支持数据报表的自动生成与导出（格式包括Excel、PDF等）。</w:t>
      </w:r>
    </w:p>
    <w:p w14:paraId="46F8800E">
      <w:pPr>
        <w:numPr>
          <w:ilvl w:val="0"/>
          <w:numId w:val="5"/>
        </w:numPr>
        <w:adjustRightInd w:val="0"/>
        <w:snapToGrid w:val="0"/>
        <w:spacing w:line="360" w:lineRule="auto"/>
        <w:ind w:firstLine="482" w:firstLineChars="200"/>
        <w:rPr>
          <w:rFonts w:hint="default" w:ascii="宋体" w:hAnsi="宋体" w:cs="宋体"/>
          <w:b/>
          <w:bCs/>
          <w:sz w:val="24"/>
          <w:szCs w:val="24"/>
          <w:lang w:val="en-US" w:eastAsia="zh-CN"/>
        </w:rPr>
      </w:pPr>
      <w:r>
        <w:rPr>
          <w:rFonts w:hint="eastAsia" w:ascii="宋体" w:hAnsi="宋体" w:cs="宋体"/>
          <w:b/>
          <w:bCs/>
          <w:sz w:val="24"/>
          <w:szCs w:val="24"/>
          <w:lang w:val="en-US" w:eastAsia="zh-CN"/>
        </w:rPr>
        <w:t>安全防护</w:t>
      </w:r>
    </w:p>
    <w:p w14:paraId="124FFDB9">
      <w:pPr>
        <w:snapToGrid w:val="0"/>
        <w:spacing w:line="360" w:lineRule="auto"/>
        <w:ind w:firstLine="480" w:firstLineChars="200"/>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对接地要求、抗干扰要求、应急机制、检修维护周期及内容进行了统一规范。</w:t>
      </w:r>
    </w:p>
    <w:p w14:paraId="3B47D076">
      <w:pPr>
        <w:numPr>
          <w:ilvl w:val="0"/>
          <w:numId w:val="3"/>
        </w:numPr>
        <w:snapToGrid w:val="0"/>
        <w:spacing w:before="156" w:beforeLines="50" w:after="156" w:afterLines="50" w:line="360" w:lineRule="auto"/>
        <w:outlineLvl w:val="0"/>
        <w:rPr>
          <w:rFonts w:ascii="黑体" w:hAnsi="黑体" w:eastAsia="黑体" w:cs="黑体"/>
          <w:sz w:val="24"/>
          <w:szCs w:val="24"/>
        </w:rPr>
      </w:pPr>
      <w:bookmarkStart w:id="1" w:name="_Toc136242416"/>
      <w:r>
        <w:rPr>
          <w:rFonts w:hint="eastAsia" w:ascii="黑体" w:hAnsi="黑体" w:eastAsia="黑体" w:cs="黑体"/>
          <w:sz w:val="24"/>
          <w:szCs w:val="24"/>
        </w:rPr>
        <w:t>运行与管理</w:t>
      </w:r>
      <w:bookmarkEnd w:id="1"/>
    </w:p>
    <w:p w14:paraId="38C1A023">
      <w:pPr>
        <w:adjustRightInd w:val="0"/>
        <w:snapToGrid w:val="0"/>
        <w:spacing w:line="360" w:lineRule="auto"/>
        <w:ind w:firstLine="480" w:firstLineChars="200"/>
        <w:rPr>
          <w:rFonts w:hint="eastAsia" w:ascii="宋体" w:hAnsi="宋体" w:cs="宋体"/>
          <w:color w:val="FF0000"/>
          <w:sz w:val="24"/>
          <w:szCs w:val="24"/>
          <w:lang w:val="en-US" w:eastAsia="zh-CN"/>
        </w:rPr>
      </w:pPr>
      <w:r>
        <w:rPr>
          <w:rFonts w:hint="default" w:ascii="Segoe UI" w:hAnsi="Segoe UI" w:eastAsia="Segoe UI" w:cs="Segoe UI"/>
          <w:i w:val="0"/>
          <w:iCs w:val="0"/>
          <w:caps w:val="0"/>
          <w:spacing w:val="0"/>
          <w:sz w:val="24"/>
          <w:szCs w:val="24"/>
          <w:shd w:val="clear" w:fill="FFFFFF"/>
        </w:rPr>
        <w:t>标准发布实施后，使用单位应依据标准规定的系统架构（感知层、传输层、平台层、应用层）、设备技术要求（红外热像仪防护等级IP68、五大高危区域覆盖）及软件系统功能（温度场重构、三级报警联锁、远程监控）等核心条款，建立氧压釜温度智能监控系统的日常运行管理制度，定期对红外热像仪、电源箱、网络汇聚设备及报警联锁功能进行检查、维护和功能测试，确保系统故障自诊断功能有效运行、报警响应时间</w:t>
      </w:r>
      <w:r>
        <w:rPr>
          <w:rFonts w:hint="eastAsia" w:ascii="Segoe UI" w:hAnsi="Segoe UI" w:eastAsia="宋体" w:cs="Segoe UI"/>
          <w:i w:val="0"/>
          <w:iCs w:val="0"/>
          <w:caps w:val="0"/>
          <w:spacing w:val="0"/>
          <w:sz w:val="24"/>
          <w:szCs w:val="24"/>
          <w:shd w:val="clear" w:fill="FFFFFF"/>
          <w:lang w:val="en-US" w:eastAsia="zh-CN"/>
        </w:rPr>
        <w:t>≤</w:t>
      </w:r>
      <w:r>
        <w:rPr>
          <w:rFonts w:hint="default" w:ascii="Segoe UI" w:hAnsi="Segoe UI" w:eastAsia="Segoe UI" w:cs="Segoe UI"/>
          <w:i w:val="0"/>
          <w:iCs w:val="0"/>
          <w:caps w:val="0"/>
          <w:spacing w:val="0"/>
          <w:sz w:val="24"/>
          <w:szCs w:val="24"/>
          <w:shd w:val="clear" w:fill="FFFFFF"/>
        </w:rPr>
        <w:t>2 s、历史数据存储完整且可追溯（</w:t>
      </w:r>
      <w:r>
        <w:rPr>
          <w:rFonts w:hint="eastAsia" w:ascii="Segoe UI" w:hAnsi="Segoe UI" w:eastAsia="宋体" w:cs="Segoe UI"/>
          <w:i w:val="0"/>
          <w:iCs w:val="0"/>
          <w:caps w:val="0"/>
          <w:spacing w:val="0"/>
          <w:sz w:val="24"/>
          <w:szCs w:val="24"/>
          <w:shd w:val="clear" w:fill="FFFFFF"/>
          <w:lang w:val="en-US" w:eastAsia="zh-CN"/>
        </w:rPr>
        <w:t>≥</w:t>
      </w:r>
      <w:r>
        <w:rPr>
          <w:rFonts w:hint="default" w:ascii="Segoe UI" w:hAnsi="Segoe UI" w:eastAsia="Segoe UI" w:cs="Segoe UI"/>
          <w:i w:val="0"/>
          <w:iCs w:val="0"/>
          <w:caps w:val="0"/>
          <w:spacing w:val="0"/>
          <w:sz w:val="24"/>
          <w:szCs w:val="24"/>
          <w:shd w:val="clear" w:fill="FFFFFF"/>
        </w:rPr>
        <w:t>2年），并配合标准归口单位开展标准实施效果的跟踪评估与反馈。</w:t>
      </w:r>
    </w:p>
    <w:p w14:paraId="12F48D71">
      <w:pPr>
        <w:numPr>
          <w:ilvl w:val="0"/>
          <w:numId w:val="3"/>
        </w:numPr>
        <w:snapToGrid w:val="0"/>
        <w:spacing w:before="156" w:beforeLines="50" w:after="156" w:afterLines="50" w:line="360" w:lineRule="auto"/>
        <w:outlineLvl w:val="0"/>
        <w:rPr>
          <w:rFonts w:ascii="黑体" w:hAnsi="黑体" w:eastAsia="黑体" w:cs="黑体"/>
          <w:sz w:val="24"/>
          <w:szCs w:val="24"/>
        </w:rPr>
      </w:pPr>
      <w:r>
        <w:rPr>
          <w:rFonts w:hint="eastAsia" w:ascii="黑体" w:hAnsi="黑体" w:eastAsia="黑体" w:cs="黑体"/>
          <w:sz w:val="24"/>
          <w:szCs w:val="24"/>
        </w:rPr>
        <w:t>预期达到的社会效益</w:t>
      </w:r>
    </w:p>
    <w:p w14:paraId="33A46246">
      <w:pPr>
        <w:snapToGrid w:val="0"/>
        <w:spacing w:line="360" w:lineRule="auto"/>
        <w:ind w:firstLine="480" w:firstLineChars="200"/>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本标准实施后，预期将达到以下社会效益：</w:t>
      </w:r>
    </w:p>
    <w:p w14:paraId="03FD75E3">
      <w:pPr>
        <w:snapToGrid w:val="0"/>
        <w:spacing w:line="360" w:lineRule="auto"/>
        <w:ind w:firstLine="480" w:firstLineChars="200"/>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1</w:t>
      </w:r>
      <w:r>
        <w:rPr>
          <w:rFonts w:hint="eastAsia" w:ascii="宋体" w:hAnsi="宋体" w:cs="宋体"/>
          <w:color w:val="auto"/>
          <w:sz w:val="24"/>
          <w:szCs w:val="24"/>
          <w:highlight w:val="none"/>
          <w:lang w:val="en-US" w:eastAsia="zh-CN"/>
        </w:rPr>
        <w:t>、</w:t>
      </w:r>
      <w:r>
        <w:rPr>
          <w:rFonts w:hint="default" w:ascii="宋体" w:hAnsi="宋体" w:cs="宋体"/>
          <w:color w:val="auto"/>
          <w:sz w:val="24"/>
          <w:szCs w:val="24"/>
          <w:highlight w:val="none"/>
          <w:lang w:val="en-US" w:eastAsia="zh-CN"/>
        </w:rPr>
        <w:t>安全生产效益：通过建立氧压釜表面及关键部位温度的标准化监控体系，实现对底部氧管入釜连接区、搅拌机轴承/减速箱、机封冷却水区等五大高危区域的实时在线监测与智能预警，有效预防氧气管泄漏、爆管等重大事故，消除人工巡检盲区，降低火灾和爆炸风险，切实保障操作人员生命安全和设备资产安全。</w:t>
      </w:r>
    </w:p>
    <w:p w14:paraId="1C3E03C0">
      <w:pPr>
        <w:snapToGrid w:val="0"/>
        <w:spacing w:line="360" w:lineRule="auto"/>
        <w:ind w:firstLine="480" w:firstLineChars="200"/>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2</w:t>
      </w:r>
      <w:r>
        <w:rPr>
          <w:rFonts w:hint="eastAsia" w:ascii="宋体" w:hAnsi="宋体" w:cs="宋体"/>
          <w:color w:val="auto"/>
          <w:sz w:val="24"/>
          <w:szCs w:val="24"/>
          <w:highlight w:val="none"/>
          <w:lang w:val="en-US" w:eastAsia="zh-CN"/>
        </w:rPr>
        <w:t>、</w:t>
      </w:r>
      <w:r>
        <w:rPr>
          <w:rFonts w:hint="default" w:ascii="宋体" w:hAnsi="宋体" w:cs="宋体"/>
          <w:color w:val="auto"/>
          <w:sz w:val="24"/>
          <w:szCs w:val="24"/>
          <w:highlight w:val="none"/>
          <w:lang w:val="en-US" w:eastAsia="zh-CN"/>
        </w:rPr>
        <w:t>行业技术进步效益：标准规定了红外热像仪组网、温度场重构、三级报警（温度异常分级响应机制）及远程监控等先进技术要求，为氧压浸出炼锌企业提供了统一的设计、选型、安装技术依据，推动行业从传统离散点式测温向全局面智能监控的技术升级。</w:t>
      </w:r>
    </w:p>
    <w:p w14:paraId="3A63F823">
      <w:pPr>
        <w:snapToGrid w:val="0"/>
        <w:spacing w:line="360" w:lineRule="auto"/>
        <w:ind w:firstLine="480" w:firstLineChars="200"/>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3</w:t>
      </w:r>
      <w:r>
        <w:rPr>
          <w:rFonts w:hint="eastAsia" w:ascii="宋体" w:hAnsi="宋体" w:cs="宋体"/>
          <w:color w:val="auto"/>
          <w:sz w:val="24"/>
          <w:szCs w:val="24"/>
          <w:highlight w:val="none"/>
          <w:lang w:val="en-US" w:eastAsia="zh-CN"/>
        </w:rPr>
        <w:t>、</w:t>
      </w:r>
      <w:r>
        <w:rPr>
          <w:rFonts w:hint="default" w:ascii="宋体" w:hAnsi="宋体" w:cs="宋体"/>
          <w:color w:val="auto"/>
          <w:sz w:val="24"/>
          <w:szCs w:val="24"/>
          <w:highlight w:val="none"/>
          <w:lang w:val="en-US" w:eastAsia="zh-CN"/>
        </w:rPr>
        <w:t>标准体系完善效益：作为国内外首个针对氧压浸出炼锌氧压釜温度智能监控的专项标准，填补了该领域标准空白，为后续设备运维标准、事故追溯规范的制定提供技术基础，促进湿法炼锌行业标准体系的健全与完善。</w:t>
      </w:r>
    </w:p>
    <w:p w14:paraId="0F5EBA56">
      <w:pPr>
        <w:snapToGrid w:val="0"/>
        <w:spacing w:line="360" w:lineRule="auto"/>
        <w:ind w:firstLine="480" w:firstLineChars="200"/>
        <w:rPr>
          <w:rFonts w:hint="eastAsia" w:ascii="宋体" w:hAnsi="宋体" w:cs="宋体"/>
          <w:color w:val="FF0000"/>
          <w:sz w:val="24"/>
          <w:szCs w:val="24"/>
          <w:lang w:val="en-US" w:eastAsia="zh-CN"/>
        </w:rPr>
      </w:pPr>
      <w:r>
        <w:rPr>
          <w:rFonts w:hint="default" w:ascii="宋体" w:hAnsi="宋体" w:cs="宋体"/>
          <w:color w:val="auto"/>
          <w:sz w:val="24"/>
          <w:szCs w:val="24"/>
          <w:highlight w:val="none"/>
          <w:lang w:val="en-US" w:eastAsia="zh-CN"/>
        </w:rPr>
        <w:t>4</w:t>
      </w:r>
      <w:r>
        <w:rPr>
          <w:rFonts w:hint="eastAsia" w:ascii="宋体" w:hAnsi="宋体" w:cs="宋体"/>
          <w:color w:val="auto"/>
          <w:sz w:val="24"/>
          <w:szCs w:val="24"/>
          <w:highlight w:val="none"/>
          <w:lang w:val="en-US" w:eastAsia="zh-CN"/>
        </w:rPr>
        <w:t>、</w:t>
      </w:r>
      <w:r>
        <w:rPr>
          <w:rFonts w:hint="default" w:ascii="宋体" w:hAnsi="宋体" w:cs="宋体"/>
          <w:color w:val="auto"/>
          <w:sz w:val="24"/>
          <w:szCs w:val="24"/>
          <w:highlight w:val="none"/>
          <w:lang w:val="en-US" w:eastAsia="zh-CN"/>
        </w:rPr>
        <w:t>产业可持续发展效益：标准契合国家工信部《“十四五”工业绿色发展规划》、《有色金属行业碳达峰实施方案》等政策导向，为绿色低碳的全湿法炼锌工艺补齐了安全监控短板，有助于提升行业整体安全水平和可持续发展能力。</w:t>
      </w:r>
    </w:p>
    <w:p w14:paraId="694C8F56">
      <w:pPr>
        <w:numPr>
          <w:ilvl w:val="0"/>
          <w:numId w:val="3"/>
        </w:numPr>
        <w:snapToGrid w:val="0"/>
        <w:spacing w:before="156" w:beforeLines="50" w:after="156" w:afterLines="50" w:line="360" w:lineRule="auto"/>
        <w:outlineLvl w:val="0"/>
        <w:rPr>
          <w:rFonts w:ascii="黑体" w:hAnsi="黑体" w:eastAsia="黑体" w:cs="黑体"/>
          <w:sz w:val="24"/>
          <w:szCs w:val="24"/>
        </w:rPr>
      </w:pPr>
      <w:r>
        <w:rPr>
          <w:rFonts w:hint="eastAsia" w:ascii="黑体" w:hAnsi="黑体" w:eastAsia="黑体" w:cs="黑体"/>
          <w:sz w:val="24"/>
          <w:szCs w:val="24"/>
        </w:rPr>
        <w:t>项目先进性、创新性及经济和社会效益</w:t>
      </w:r>
    </w:p>
    <w:p w14:paraId="7F7828CB">
      <w:pPr>
        <w:adjustRightInd w:val="0"/>
        <w:snapToGrid w:val="0"/>
        <w:spacing w:line="360" w:lineRule="auto"/>
        <w:ind w:firstLine="480" w:firstLineChars="200"/>
        <w:rPr>
          <w:rFonts w:hint="eastAsia" w:ascii="宋体" w:hAnsi="宋体" w:cs="宋体"/>
          <w:color w:val="FF0000"/>
          <w:sz w:val="24"/>
          <w:szCs w:val="24"/>
          <w:lang w:val="en-US" w:eastAsia="zh-CN"/>
        </w:rPr>
      </w:pPr>
      <w:r>
        <w:rPr>
          <w:rFonts w:hint="default" w:ascii="Segoe UI" w:hAnsi="Segoe UI" w:eastAsia="Segoe UI" w:cs="Segoe UI"/>
          <w:i w:val="0"/>
          <w:iCs w:val="0"/>
          <w:caps w:val="0"/>
          <w:spacing w:val="0"/>
          <w:sz w:val="24"/>
          <w:szCs w:val="24"/>
          <w:shd w:val="clear" w:fill="FFFFFF"/>
        </w:rPr>
        <w:t>本标准在技术理念上达到国际先进水平，首次将氧压釜温度监控从传统单点离散测温（覆盖面积不足釜体表面积的5%）提升至基于红外热像仪组网、温度场重构和三级报警联锁机制的全局面智能监控，关键性能指标行业领先（防护等级IP68、紧急报警响应时间</w:t>
      </w:r>
      <w:r>
        <w:rPr>
          <w:rFonts w:hint="eastAsia" w:ascii="Segoe UI" w:hAnsi="Segoe UI" w:eastAsia="宋体" w:cs="Segoe UI"/>
          <w:i w:val="0"/>
          <w:iCs w:val="0"/>
          <w:caps w:val="0"/>
          <w:spacing w:val="0"/>
          <w:sz w:val="24"/>
          <w:szCs w:val="24"/>
          <w:shd w:val="clear" w:fill="FFFFFF"/>
          <w:lang w:eastAsia="zh-CN"/>
        </w:rPr>
        <w:t>≤</w:t>
      </w:r>
      <w:r>
        <w:rPr>
          <w:rFonts w:hint="default" w:ascii="Segoe UI" w:hAnsi="Segoe UI" w:eastAsia="Segoe UI" w:cs="Segoe UI"/>
          <w:i w:val="0"/>
          <w:iCs w:val="0"/>
          <w:caps w:val="0"/>
          <w:spacing w:val="0"/>
          <w:sz w:val="24"/>
          <w:szCs w:val="24"/>
          <w:shd w:val="clear" w:fill="FFFFFF"/>
        </w:rPr>
        <w:t>2 s、数据存储</w:t>
      </w:r>
      <w:r>
        <w:rPr>
          <w:rFonts w:hint="eastAsia" w:ascii="Segoe UI" w:hAnsi="Segoe UI" w:eastAsia="宋体" w:cs="Segoe UI"/>
          <w:i w:val="0"/>
          <w:iCs w:val="0"/>
          <w:caps w:val="0"/>
          <w:spacing w:val="0"/>
          <w:sz w:val="24"/>
          <w:szCs w:val="24"/>
          <w:shd w:val="clear" w:fill="FFFFFF"/>
          <w:lang w:val="en-US" w:eastAsia="zh-CN"/>
        </w:rPr>
        <w:t>≥</w:t>
      </w:r>
      <w:r>
        <w:rPr>
          <w:rFonts w:hint="default" w:ascii="Segoe UI" w:hAnsi="Segoe UI" w:eastAsia="Segoe UI" w:cs="Segoe UI"/>
          <w:i w:val="0"/>
          <w:iCs w:val="0"/>
          <w:caps w:val="0"/>
          <w:spacing w:val="0"/>
          <w:sz w:val="24"/>
          <w:szCs w:val="24"/>
          <w:shd w:val="clear" w:fill="FFFFFF"/>
        </w:rPr>
        <w:t>2年且精度0.1 ℃），并针对高温高压高酸极端工况，在国内外率先建立覆盖五大高危区域（底部氧管入釜连接区、搅拌机轴承/减速箱、机封冷却水区、环焊缝区、固相沉积锥底区）的标准化监控体系，填补了行业标准空白；经济上可有效减少非计划停机损失、延长设备使用寿命、降低人工巡检成本，社会上切实保障操作人员生命安全、引领湿法炼锌行业智能化安全升级，契合《中国制造2025》绿色制造和《“十四五”循环经济发展规划》等国家战略导向。</w:t>
      </w:r>
    </w:p>
    <w:p w14:paraId="32E28A17">
      <w:pPr>
        <w:numPr>
          <w:ilvl w:val="0"/>
          <w:numId w:val="3"/>
        </w:numPr>
        <w:snapToGrid w:val="0"/>
        <w:spacing w:before="156" w:beforeLines="50" w:after="156" w:afterLines="50" w:line="360" w:lineRule="auto"/>
        <w:outlineLvl w:val="0"/>
        <w:rPr>
          <w:rFonts w:ascii="黑体" w:hAnsi="黑体" w:eastAsia="黑体" w:cs="黑体"/>
          <w:sz w:val="24"/>
          <w:szCs w:val="24"/>
        </w:rPr>
      </w:pPr>
      <w:r>
        <w:rPr>
          <w:rFonts w:hint="eastAsia" w:ascii="黑体" w:hAnsi="黑体" w:eastAsia="黑体" w:cs="黑体"/>
          <w:sz w:val="24"/>
          <w:szCs w:val="24"/>
        </w:rPr>
        <w:t>与有关现行法律、法规、强制性国家标准的关系</w:t>
      </w:r>
    </w:p>
    <w:p w14:paraId="54FADDFB">
      <w:pPr>
        <w:snapToGrid w:val="0"/>
        <w:spacing w:line="360" w:lineRule="auto"/>
        <w:ind w:firstLine="480" w:firstLineChars="200"/>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本标准与现行法律法规及强制性国家标准协调一致，不存在冲突。主要关系如下：</w:t>
      </w:r>
    </w:p>
    <w:p w14:paraId="43E1AE28">
      <w:pPr>
        <w:snapToGrid w:val="0"/>
        <w:spacing w:line="360" w:lineRule="auto"/>
        <w:ind w:firstLine="480" w:firstLineChars="200"/>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w:t>
      </w:r>
      <w:r>
        <w:rPr>
          <w:rFonts w:hint="default" w:ascii="宋体" w:hAnsi="宋体" w:cs="宋体"/>
          <w:color w:val="auto"/>
          <w:sz w:val="24"/>
          <w:szCs w:val="24"/>
          <w:highlight w:val="none"/>
          <w:lang w:val="en-US" w:eastAsia="zh-CN"/>
        </w:rPr>
        <w:t>与电磁兼容标准的协调性：本标准引用了GB/T 17626.3《电磁兼容 试验和测量技术 第3部分：射频电磁场辐射抗扰度试验》、GB/T 17626.8《电磁兼容 试验和测量技术 工频磁场抗扰度试验》，标准中涉及的设备电磁兼容性要求与上述标准协调配套。</w:t>
      </w:r>
    </w:p>
    <w:p w14:paraId="5B815BA5">
      <w:pPr>
        <w:snapToGrid w:val="0"/>
        <w:spacing w:line="360" w:lineRule="auto"/>
        <w:ind w:firstLine="480" w:firstLineChars="200"/>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r>
        <w:rPr>
          <w:rFonts w:hint="default" w:ascii="宋体" w:hAnsi="宋体" w:cs="宋体"/>
          <w:color w:val="auto"/>
          <w:sz w:val="24"/>
          <w:szCs w:val="24"/>
          <w:highlight w:val="none"/>
          <w:lang w:val="en-US" w:eastAsia="zh-CN"/>
        </w:rPr>
        <w:t>与安全生产法律法规的关系：本标准关于氧压釜温度智能监控及三级报警安全联锁的技术要求，是对《中华人民共和国安全生产法》关于“生产经营单位必须对安全设备进行经常性维护、保养，并定期检测，保证正常运转”及“采用新工艺、新技术、新材料或者使用新设备，必须了解、掌握其安全技术特性，采取有效的安全防护措施”等要求的具体技术落实。</w:t>
      </w:r>
    </w:p>
    <w:p w14:paraId="11C7D753">
      <w:pPr>
        <w:snapToGrid w:val="0"/>
        <w:spacing w:line="360" w:lineRule="auto"/>
        <w:ind w:firstLine="480" w:firstLineChars="200"/>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r>
        <w:rPr>
          <w:rFonts w:hint="default" w:ascii="宋体" w:hAnsi="宋体" w:cs="宋体"/>
          <w:color w:val="auto"/>
          <w:sz w:val="24"/>
          <w:szCs w:val="24"/>
          <w:highlight w:val="none"/>
          <w:lang w:val="en-US" w:eastAsia="zh-CN"/>
        </w:rPr>
        <w:t>与产业政策的关系：本标准契合国家工信部《“十四五”工业绿色发展规划》、《有色金属行业碳达峰实施方案》和《铅锌冶炼厂工艺设计规范》（GB 50985-2014）等产业政策导向，为氧压浸出炼锌工艺的绿色低碳推广提供安全技术支撑。</w:t>
      </w:r>
    </w:p>
    <w:p w14:paraId="6E957DFE">
      <w:pPr>
        <w:numPr>
          <w:ilvl w:val="0"/>
          <w:numId w:val="3"/>
        </w:numPr>
        <w:snapToGrid w:val="0"/>
        <w:spacing w:before="156" w:beforeLines="50" w:after="156" w:afterLines="50" w:line="360" w:lineRule="auto"/>
        <w:outlineLvl w:val="0"/>
        <w:rPr>
          <w:rFonts w:ascii="黑体" w:hAnsi="黑体" w:eastAsia="黑体" w:cs="黑体"/>
          <w:sz w:val="24"/>
          <w:szCs w:val="24"/>
        </w:rPr>
      </w:pPr>
      <w:r>
        <w:rPr>
          <w:rFonts w:hint="eastAsia" w:ascii="黑体" w:hAnsi="黑体" w:eastAsia="黑体" w:cs="黑体"/>
          <w:sz w:val="24"/>
          <w:szCs w:val="24"/>
        </w:rPr>
        <w:t>标准中涉及专利和知识产权说明</w:t>
      </w:r>
    </w:p>
    <w:p w14:paraId="7F6C0B56">
      <w:pPr>
        <w:snapToGrid w:val="0"/>
        <w:spacing w:line="360" w:lineRule="auto"/>
        <w:ind w:firstLine="480" w:firstLineChars="200"/>
        <w:rPr>
          <w:rFonts w:hint="default" w:ascii="宋体" w:hAnsi="宋体" w:cs="宋体"/>
          <w:color w:val="auto"/>
          <w:sz w:val="24"/>
          <w:szCs w:val="24"/>
          <w:highlight w:val="none"/>
          <w:lang w:val="en-US" w:eastAsia="zh-CN"/>
        </w:rPr>
      </w:pPr>
      <w:r>
        <w:rPr>
          <w:rFonts w:hint="default" w:ascii="宋体" w:hAnsi="宋体" w:cs="宋体"/>
          <w:color w:val="auto"/>
          <w:sz w:val="24"/>
          <w:szCs w:val="24"/>
          <w:highlight w:val="none"/>
          <w:lang w:val="en-US" w:eastAsia="zh-CN"/>
        </w:rPr>
        <w:t>本标准核心技术已通过主编单位及国内供应商实现国产化应用。经检索，目前无直接相关的必要专利。标准草案前言已明确声明：“请注意本文件的某些内容可能涉及专利。本文件的发布机构不承担识别专利的责任。”</w:t>
      </w:r>
    </w:p>
    <w:p w14:paraId="02C4B244">
      <w:pPr>
        <w:snapToGrid w:val="0"/>
        <w:spacing w:line="360" w:lineRule="auto"/>
        <w:ind w:firstLine="480" w:firstLineChars="200"/>
        <w:rPr>
          <w:rFonts w:hint="eastAsia" w:ascii="宋体" w:hAnsi="宋体" w:cs="宋体"/>
          <w:color w:val="FF0000"/>
          <w:sz w:val="24"/>
          <w:szCs w:val="24"/>
          <w:lang w:val="en-US" w:eastAsia="zh-CN"/>
        </w:rPr>
      </w:pPr>
      <w:r>
        <w:rPr>
          <w:rFonts w:hint="default" w:ascii="宋体" w:hAnsi="宋体" w:cs="宋体"/>
          <w:color w:val="auto"/>
          <w:sz w:val="24"/>
          <w:szCs w:val="24"/>
          <w:highlight w:val="none"/>
          <w:lang w:val="en-US" w:eastAsia="zh-CN"/>
        </w:rPr>
        <w:t>如果后续在标准实施过程中发现涉及专利，将按照GB/T 1.1-2020及GB/T 20003.1的相关规定处理。本文件的发布机构不承担识别专利的责任。</w:t>
      </w:r>
    </w:p>
    <w:p w14:paraId="51BF1CEE">
      <w:pPr>
        <w:numPr>
          <w:ilvl w:val="0"/>
          <w:numId w:val="3"/>
        </w:numPr>
        <w:snapToGrid w:val="0"/>
        <w:spacing w:before="156" w:beforeLines="50" w:after="156" w:afterLines="50" w:line="360" w:lineRule="auto"/>
        <w:outlineLvl w:val="0"/>
        <w:rPr>
          <w:rFonts w:ascii="黑体" w:hAnsi="黑体" w:eastAsia="黑体" w:cs="黑体"/>
          <w:sz w:val="24"/>
          <w:szCs w:val="24"/>
        </w:rPr>
      </w:pPr>
      <w:r>
        <w:rPr>
          <w:rFonts w:hint="eastAsia" w:ascii="黑体" w:hAnsi="黑体" w:eastAsia="黑体" w:cs="黑体"/>
          <w:sz w:val="24"/>
          <w:szCs w:val="24"/>
        </w:rPr>
        <w:t>重大分岐意见的处理经过和依据</w:t>
      </w:r>
    </w:p>
    <w:p w14:paraId="5303C180">
      <w:pPr>
        <w:snapToGrid w:val="0"/>
        <w:spacing w:line="360" w:lineRule="auto"/>
        <w:ind w:firstLine="480" w:firstLineChars="200"/>
        <w:rPr>
          <w:rFonts w:hint="eastAsia" w:ascii="宋体" w:hAnsi="宋体" w:cs="宋体"/>
          <w:color w:val="FF0000"/>
          <w:sz w:val="24"/>
          <w:szCs w:val="24"/>
          <w:lang w:val="en-US" w:eastAsia="zh-CN"/>
        </w:rPr>
      </w:pPr>
      <w:r>
        <w:rPr>
          <w:rFonts w:hint="eastAsia" w:ascii="宋体" w:hAnsi="宋体" w:cs="宋体"/>
          <w:color w:val="auto"/>
          <w:sz w:val="24"/>
          <w:szCs w:val="24"/>
          <w:highlight w:val="none"/>
          <w:lang w:val="en-US" w:eastAsia="zh-CN"/>
        </w:rPr>
        <w:t>在标准制定过程中，编制组通过广泛征求意见、组织专家研讨等方式，充分收集各方观点。针对不同意见，编制组进行深入分析和讨论，依据行业生产实践数据、科研成果和相关标准规范，综合权衡各方利益，寻求最佳解决方案。在关键问题上，经多次沟通协商，达成一致意见，确保标准的科学性和实用性。</w:t>
      </w:r>
    </w:p>
    <w:p w14:paraId="19D3098F">
      <w:pPr>
        <w:numPr>
          <w:ilvl w:val="0"/>
          <w:numId w:val="3"/>
        </w:numPr>
        <w:snapToGrid w:val="0"/>
        <w:spacing w:before="156" w:beforeLines="50" w:after="156" w:afterLines="50" w:line="360" w:lineRule="auto"/>
        <w:outlineLvl w:val="0"/>
        <w:rPr>
          <w:rFonts w:ascii="黑体" w:hAnsi="黑体" w:eastAsia="黑体" w:cs="黑体"/>
          <w:sz w:val="24"/>
          <w:szCs w:val="24"/>
        </w:rPr>
      </w:pPr>
      <w:r>
        <w:rPr>
          <w:rFonts w:hint="eastAsia" w:ascii="黑体" w:hAnsi="黑体" w:eastAsia="黑体" w:cs="黑体"/>
          <w:sz w:val="24"/>
          <w:szCs w:val="24"/>
        </w:rPr>
        <w:t>废止现行有关标准的建议</w:t>
      </w:r>
    </w:p>
    <w:p w14:paraId="0D5C2870">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本标准为首次制定，目前不存在与之冲突的现行标准，因此无废止现行有关标准的建议。</w:t>
      </w:r>
    </w:p>
    <w:p w14:paraId="263A3E0B">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随着行业发展，若出现与本标准重复或矛盾的标准，应根据实际情况进行评估和调整，以保证标准体系的一致性和有效性。</w:t>
      </w:r>
    </w:p>
    <w:p w14:paraId="1D5260CE">
      <w:pPr>
        <w:numPr>
          <w:ilvl w:val="0"/>
          <w:numId w:val="3"/>
        </w:numPr>
        <w:snapToGrid w:val="0"/>
        <w:spacing w:before="156" w:beforeLines="50" w:after="156" w:afterLines="50" w:line="360" w:lineRule="auto"/>
        <w:ind w:left="0" w:leftChars="0" w:firstLine="0" w:firstLineChars="0"/>
        <w:outlineLvl w:val="0"/>
        <w:rPr>
          <w:rFonts w:hint="eastAsia" w:ascii="黑体" w:hAnsi="黑体" w:eastAsia="黑体" w:cs="黑体"/>
          <w:sz w:val="24"/>
          <w:szCs w:val="24"/>
        </w:rPr>
      </w:pPr>
      <w:r>
        <w:rPr>
          <w:rFonts w:hint="eastAsia" w:ascii="黑体" w:hAnsi="黑体" w:eastAsia="黑体" w:cs="黑体"/>
          <w:sz w:val="24"/>
          <w:szCs w:val="24"/>
        </w:rPr>
        <w:t>其他应予说明的事项</w:t>
      </w:r>
    </w:p>
    <w:p w14:paraId="4A16FC7A">
      <w:pPr>
        <w:snapToGrid w:val="0"/>
        <w:spacing w:line="360" w:lineRule="auto"/>
        <w:ind w:firstLine="480" w:firstLineChars="200"/>
        <w:rPr>
          <w:rFonts w:hint="default" w:ascii="Segoe UI" w:hAnsi="Segoe UI" w:eastAsia="Segoe UI" w:cs="Segoe UI"/>
          <w:i w:val="0"/>
          <w:iCs w:val="0"/>
          <w:caps w:val="0"/>
          <w:spacing w:val="0"/>
          <w:sz w:val="24"/>
          <w:szCs w:val="24"/>
          <w:shd w:val="clear" w:fill="FFFFFF"/>
        </w:rPr>
      </w:pPr>
      <w:r>
        <w:rPr>
          <w:rFonts w:hint="default" w:ascii="Segoe UI" w:hAnsi="Segoe UI" w:eastAsia="Segoe UI" w:cs="Segoe UI"/>
          <w:i w:val="0"/>
          <w:iCs w:val="0"/>
          <w:caps w:val="0"/>
          <w:spacing w:val="0"/>
          <w:sz w:val="24"/>
          <w:szCs w:val="24"/>
          <w:shd w:val="clear" w:fill="FFFFFF"/>
        </w:rPr>
        <w:t>本标准在制定过程中，充分考虑了各企业在氧压釜规格、工艺参数设置、现有控制系统接口等方面存在差异，在实际应用中，企业可在满足本标准规定的系统架构（四层架构）、关键性能指标（防护等级IP68、三级报警阈值及响应时间</w:t>
      </w:r>
      <w:r>
        <w:rPr>
          <w:rFonts w:hint="eastAsia" w:ascii="Segoe UI" w:hAnsi="Segoe UI" w:eastAsia="宋体" w:cs="Segoe UI"/>
          <w:i w:val="0"/>
          <w:iCs w:val="0"/>
          <w:caps w:val="0"/>
          <w:spacing w:val="0"/>
          <w:sz w:val="24"/>
          <w:szCs w:val="24"/>
          <w:shd w:val="clear" w:fill="FFFFFF"/>
          <w:lang w:eastAsia="zh-CN"/>
        </w:rPr>
        <w:t>≤</w:t>
      </w:r>
      <w:r>
        <w:rPr>
          <w:rFonts w:hint="default" w:ascii="Segoe UI" w:hAnsi="Segoe UI" w:eastAsia="Segoe UI" w:cs="Segoe UI"/>
          <w:i w:val="0"/>
          <w:iCs w:val="0"/>
          <w:caps w:val="0"/>
          <w:spacing w:val="0"/>
          <w:sz w:val="24"/>
          <w:szCs w:val="24"/>
          <w:shd w:val="clear" w:fill="FFFFFF"/>
        </w:rPr>
        <w:t>2 s、五大高危区域覆盖要求等）的前提下，根据自身实际情况对具体设备选型、安装布局及软件界面交互方式等进行适当优化调整，但不得降低本标准规定的安全防护等级和技术要求。标准编制组将持续跟踪氧压浸出炼锌行业温度智能监控技术的发展动态和实际应用反馈，根据技术迭代和生产实践经验，适时对本标准进行修订和完善，以适应行业不断发展的智能化需求。</w:t>
      </w:r>
    </w:p>
    <w:p w14:paraId="3C097581">
      <w:pPr>
        <w:snapToGrid w:val="0"/>
        <w:spacing w:line="360" w:lineRule="auto"/>
        <w:ind w:firstLine="480" w:firstLineChars="200"/>
        <w:rPr>
          <w:rFonts w:hint="default" w:ascii="Segoe UI" w:hAnsi="Segoe UI" w:eastAsia="Segoe UI" w:cs="Segoe UI"/>
          <w:i w:val="0"/>
          <w:iCs w:val="0"/>
          <w:caps w:val="0"/>
          <w:spacing w:val="0"/>
          <w:sz w:val="24"/>
          <w:szCs w:val="24"/>
          <w:shd w:val="clear" w:fill="FFFFFF"/>
        </w:rPr>
      </w:pPr>
    </w:p>
    <w:p w14:paraId="6673C63B">
      <w:pPr>
        <w:snapToGrid w:val="0"/>
        <w:spacing w:line="360" w:lineRule="auto"/>
        <w:ind w:firstLine="480" w:firstLineChars="200"/>
        <w:rPr>
          <w:rFonts w:hint="eastAsia" w:ascii="Segoe UI" w:hAnsi="Segoe UI" w:eastAsia="Segoe UI" w:cs="Segoe UI"/>
          <w:i w:val="0"/>
          <w:iCs w:val="0"/>
          <w:caps w:val="0"/>
          <w:spacing w:val="0"/>
          <w:sz w:val="24"/>
          <w:szCs w:val="24"/>
          <w:shd w:val="clear" w:fill="FFFFFF"/>
        </w:rPr>
      </w:pPr>
    </w:p>
    <w:p w14:paraId="24A981C8">
      <w:pPr>
        <w:adjustRightInd w:val="0"/>
        <w:snapToGrid w:val="0"/>
        <w:spacing w:line="360" w:lineRule="auto"/>
        <w:ind w:firstLine="480" w:firstLineChars="200"/>
        <w:rPr>
          <w:rFonts w:ascii="宋体" w:hAnsi="宋体"/>
          <w:sz w:val="24"/>
          <w:szCs w:val="24"/>
        </w:rPr>
      </w:pPr>
    </w:p>
    <w:p w14:paraId="3D9EAF6E">
      <w:pPr>
        <w:snapToGrid w:val="0"/>
        <w:spacing w:line="360" w:lineRule="auto"/>
        <w:ind w:firstLine="480" w:firstLineChars="200"/>
        <w:rPr>
          <w:rFonts w:ascii="宋体" w:hAnsi="宋体" w:cs="宋体"/>
          <w:sz w:val="24"/>
          <w:szCs w:val="24"/>
        </w:rPr>
      </w:pPr>
      <w:r>
        <w:rPr>
          <w:rFonts w:hint="eastAsia" w:ascii="宋体" w:hAnsi="宋体" w:cs="宋体"/>
          <w:sz w:val="24"/>
          <w:szCs w:val="24"/>
        </w:rPr>
        <w:t xml:space="preserve"> </w:t>
      </w:r>
    </w:p>
    <w:p w14:paraId="18C9C96B">
      <w:pPr>
        <w:snapToGrid w:val="0"/>
        <w:spacing w:line="360" w:lineRule="auto"/>
        <w:jc w:val="center"/>
        <w:rPr>
          <w:rFonts w:hint="eastAsia" w:ascii="宋体" w:hAnsi="宋体" w:cs="宋体"/>
          <w:sz w:val="24"/>
          <w:szCs w:val="24"/>
        </w:rPr>
      </w:pPr>
      <w:r>
        <w:rPr>
          <w:rFonts w:hint="eastAsia" w:ascii="宋体" w:hAnsi="宋体" w:cs="宋体"/>
          <w:sz w:val="24"/>
          <w:szCs w:val="24"/>
          <w:lang w:val="en-US" w:eastAsia="zh-CN"/>
        </w:rPr>
        <w:t xml:space="preserve">                                   </w:t>
      </w:r>
      <w:r>
        <w:rPr>
          <w:rFonts w:hint="eastAsia" w:ascii="宋体" w:hAnsi="宋体" w:cs="宋体"/>
          <w:sz w:val="24"/>
          <w:szCs w:val="24"/>
        </w:rPr>
        <w:t>《</w:t>
      </w:r>
      <w:r>
        <w:rPr>
          <w:rFonts w:hint="eastAsia" w:ascii="宋体" w:hAnsi="宋体" w:cs="宋体"/>
          <w:sz w:val="24"/>
          <w:szCs w:val="24"/>
          <w:lang w:eastAsia="zh-CN"/>
        </w:rPr>
        <w:t>氧压浸出炼锌氧压釜温度智能监控技术要求</w:t>
      </w:r>
      <w:r>
        <w:rPr>
          <w:rFonts w:hint="eastAsia" w:ascii="宋体" w:hAnsi="宋体" w:cs="宋体"/>
          <w:sz w:val="24"/>
          <w:szCs w:val="24"/>
        </w:rPr>
        <w:t>》</w:t>
      </w:r>
    </w:p>
    <w:p w14:paraId="1F1448C1">
      <w:pPr>
        <w:snapToGrid w:val="0"/>
        <w:spacing w:line="360" w:lineRule="auto"/>
        <w:jc w:val="center"/>
        <w:rPr>
          <w:rFonts w:ascii="宋体" w:hAnsi="宋体" w:cs="宋体"/>
          <w:sz w:val="24"/>
          <w:szCs w:val="24"/>
        </w:rPr>
      </w:pPr>
      <w:r>
        <w:rPr>
          <w:rFonts w:hint="eastAsia" w:ascii="宋体" w:hAnsi="宋体" w:cs="宋体"/>
          <w:sz w:val="24"/>
          <w:szCs w:val="24"/>
          <w:lang w:val="en-US" w:eastAsia="zh-CN"/>
        </w:rPr>
        <w:t xml:space="preserve">                                   </w:t>
      </w:r>
      <w:r>
        <w:rPr>
          <w:rFonts w:hint="eastAsia" w:ascii="宋体" w:hAnsi="宋体" w:cs="宋体"/>
          <w:sz w:val="24"/>
          <w:szCs w:val="24"/>
        </w:rPr>
        <w:t>标准编制组</w:t>
      </w:r>
    </w:p>
    <w:p w14:paraId="1475E65A">
      <w:pPr>
        <w:adjustRightInd w:val="0"/>
        <w:snapToGrid w:val="0"/>
        <w:spacing w:line="360" w:lineRule="auto"/>
        <w:ind w:right="960" w:firstLine="480" w:firstLineChars="200"/>
        <w:jc w:val="center"/>
        <w:rPr>
          <w:sz w:val="24"/>
          <w:szCs w:val="24"/>
        </w:rPr>
      </w:pPr>
      <w:r>
        <w:rPr>
          <w:rFonts w:ascii="宋体" w:hAnsi="宋体"/>
          <w:sz w:val="24"/>
          <w:szCs w:val="24"/>
        </w:rPr>
        <w:t xml:space="preserve">                      </w:t>
      </w:r>
      <w:r>
        <w:rPr>
          <w:rFonts w:hint="eastAsia" w:ascii="宋体" w:hAnsi="宋体"/>
          <w:sz w:val="24"/>
          <w:szCs w:val="24"/>
        </w:rPr>
        <w:t xml:space="preserve">                 202</w:t>
      </w:r>
      <w:r>
        <w:rPr>
          <w:rFonts w:hint="eastAsia" w:ascii="宋体" w:hAnsi="宋体"/>
          <w:sz w:val="24"/>
          <w:szCs w:val="24"/>
          <w:lang w:val="en-US" w:eastAsia="zh-CN"/>
        </w:rPr>
        <w:t>6</w:t>
      </w:r>
      <w:r>
        <w:rPr>
          <w:rFonts w:hint="eastAsia" w:ascii="宋体" w:hAnsi="宋体"/>
          <w:sz w:val="24"/>
          <w:szCs w:val="24"/>
        </w:rPr>
        <w:t>年</w:t>
      </w:r>
      <w:r>
        <w:rPr>
          <w:rFonts w:hint="eastAsia" w:ascii="宋体" w:hAnsi="宋体"/>
          <w:sz w:val="24"/>
          <w:szCs w:val="24"/>
          <w:lang w:val="en-US" w:eastAsia="zh-CN"/>
        </w:rPr>
        <w:t>06</w:t>
      </w:r>
      <w:r>
        <w:rPr>
          <w:rFonts w:hint="eastAsia" w:ascii="宋体" w:hAnsi="宋体"/>
          <w:sz w:val="24"/>
          <w:szCs w:val="24"/>
        </w:rPr>
        <w:t>月</w:t>
      </w:r>
      <w:r>
        <w:rPr>
          <w:rFonts w:hint="eastAsia" w:ascii="宋体" w:hAnsi="宋体"/>
          <w:sz w:val="24"/>
          <w:szCs w:val="24"/>
          <w:lang w:val="en-US" w:eastAsia="zh-CN"/>
        </w:rPr>
        <w:t>26</w:t>
      </w:r>
      <w:r>
        <w:rPr>
          <w:rFonts w:hint="eastAsia" w:ascii="宋体" w:hAnsi="宋体"/>
          <w:sz w:val="24"/>
          <w:szCs w:val="24"/>
        </w:rPr>
        <w:t>日</w:t>
      </w:r>
    </w:p>
    <w:sectPr>
      <w:pgSz w:w="11906" w:h="16838"/>
      <w:pgMar w:top="1134" w:right="1349" w:bottom="1134" w:left="1349"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FEDF43">
    <w:pPr>
      <w:pStyle w:val="13"/>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0C864D"/>
    <w:multiLevelType w:val="singleLevel"/>
    <w:tmpl w:val="830C864D"/>
    <w:lvl w:ilvl="0" w:tentative="0">
      <w:start w:val="1"/>
      <w:numFmt w:val="decimal"/>
      <w:suff w:val="nothing"/>
      <w:lvlText w:val="%1）"/>
      <w:lvlJc w:val="left"/>
    </w:lvl>
  </w:abstractNum>
  <w:abstractNum w:abstractNumId="1">
    <w:nsid w:val="847D89D5"/>
    <w:multiLevelType w:val="singleLevel"/>
    <w:tmpl w:val="847D89D5"/>
    <w:lvl w:ilvl="0" w:tentative="0">
      <w:start w:val="1"/>
      <w:numFmt w:val="chineseCounting"/>
      <w:suff w:val="nothing"/>
      <w:lvlText w:val="（%1）"/>
      <w:lvlJc w:val="left"/>
      <w:rPr>
        <w:rFonts w:hint="eastAsia"/>
      </w:rPr>
    </w:lvl>
  </w:abstractNum>
  <w:abstractNum w:abstractNumId="2">
    <w:nsid w:val="DB0046F1"/>
    <w:multiLevelType w:val="singleLevel"/>
    <w:tmpl w:val="DB0046F1"/>
    <w:lvl w:ilvl="0" w:tentative="0">
      <w:start w:val="1"/>
      <w:numFmt w:val="decimal"/>
      <w:suff w:val="nothing"/>
      <w:lvlText w:val="%1、"/>
      <w:lvlJc w:val="left"/>
    </w:lvl>
  </w:abstractNum>
  <w:abstractNum w:abstractNumId="3">
    <w:nsid w:val="1FC91163"/>
    <w:multiLevelType w:val="multilevel"/>
    <w:tmpl w:val="1FC91163"/>
    <w:lvl w:ilvl="0" w:tentative="0">
      <w:start w:val="1"/>
      <w:numFmt w:val="decimal"/>
      <w:suff w:val="nothing"/>
      <w:lvlText w:val="%1　"/>
      <w:lvlJc w:val="left"/>
      <w:pPr>
        <w:ind w:left="850" w:firstLine="0"/>
      </w:pPr>
    </w:lvl>
    <w:lvl w:ilvl="1" w:tentative="0">
      <w:start w:val="1"/>
      <w:numFmt w:val="decimal"/>
      <w:pStyle w:val="45"/>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pStyle w:val="44"/>
      <w:suff w:val="nothing"/>
      <w:lvlText w:val="%1.%2.%3　"/>
      <w:lvlJc w:val="left"/>
      <w:pPr>
        <w:ind w:left="0" w:firstLine="0"/>
      </w:pPr>
      <w:rPr>
        <w:rFonts w:hint="eastAsia" w:ascii="黑体" w:hAnsi="Times New Roman" w:eastAsia="黑体"/>
        <w:b w:val="0"/>
        <w:i w:val="0"/>
        <w:sz w:val="21"/>
      </w:rPr>
    </w:lvl>
    <w:lvl w:ilvl="3" w:tentative="0">
      <w:start w:val="1"/>
      <w:numFmt w:val="decimal"/>
      <w:pStyle w:val="43"/>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285" w:firstLine="0"/>
      </w:pPr>
      <w:rPr>
        <w:rFonts w:hint="eastAsia" w:ascii="黑体" w:hAnsi="Times New Roman" w:eastAsia="黑体"/>
        <w:b w:val="0"/>
        <w:i w:val="0"/>
        <w:sz w:val="21"/>
      </w:rPr>
    </w:lvl>
    <w:lvl w:ilvl="5" w:tentative="0">
      <w:start w:val="1"/>
      <w:numFmt w:val="decimal"/>
      <w:suff w:val="nothing"/>
      <w:lvlText w:val="%1.%2.%3.%4.%5.%6　"/>
      <w:lvlJc w:val="left"/>
      <w:pPr>
        <w:ind w:left="-285" w:firstLine="0"/>
      </w:pPr>
      <w:rPr>
        <w:rFonts w:hint="eastAsia" w:ascii="黑体" w:hAnsi="Times New Roman" w:eastAsia="黑体"/>
        <w:b w:val="0"/>
        <w:i w:val="0"/>
        <w:sz w:val="21"/>
      </w:rPr>
    </w:lvl>
    <w:lvl w:ilvl="6" w:tentative="0">
      <w:start w:val="1"/>
      <w:numFmt w:val="decimal"/>
      <w:suff w:val="nothing"/>
      <w:lvlText w:val="%1%2.%3.%4.%5.%6.%7　"/>
      <w:lvlJc w:val="left"/>
      <w:pPr>
        <w:ind w:left="-285" w:firstLine="0"/>
      </w:pPr>
      <w:rPr>
        <w:rFonts w:hint="eastAsia" w:ascii="黑体" w:hAnsi="Times New Roman" w:eastAsia="黑体"/>
        <w:b w:val="0"/>
        <w:i w:val="0"/>
        <w:sz w:val="21"/>
      </w:rPr>
    </w:lvl>
    <w:lvl w:ilvl="7" w:tentative="0">
      <w:start w:val="1"/>
      <w:numFmt w:val="decimal"/>
      <w:lvlText w:val="%1.%2.%3.%4.%5.%6.%7.%8"/>
      <w:lvlJc w:val="left"/>
      <w:pPr>
        <w:tabs>
          <w:tab w:val="left" w:pos="4066"/>
        </w:tabs>
        <w:ind w:left="3684" w:hanging="1418"/>
      </w:pPr>
      <w:rPr>
        <w:rFonts w:hint="eastAsia"/>
      </w:rPr>
    </w:lvl>
    <w:lvl w:ilvl="8" w:tentative="0">
      <w:start w:val="1"/>
      <w:numFmt w:val="decimal"/>
      <w:lvlText w:val="%1.%2.%3.%4.%5.%6.%7.%8.%9"/>
      <w:lvlJc w:val="left"/>
      <w:pPr>
        <w:tabs>
          <w:tab w:val="left" w:pos="4492"/>
        </w:tabs>
        <w:ind w:left="4392" w:hanging="1700"/>
      </w:pPr>
      <w:rPr>
        <w:rFonts w:hint="eastAsia"/>
      </w:rPr>
    </w:lvl>
  </w:abstractNum>
  <w:abstractNum w:abstractNumId="4">
    <w:nsid w:val="445A1783"/>
    <w:multiLevelType w:val="singleLevel"/>
    <w:tmpl w:val="445A1783"/>
    <w:lvl w:ilvl="0" w:tentative="0">
      <w:start w:val="1"/>
      <w:numFmt w:val="chineseCounting"/>
      <w:suff w:val="nothing"/>
      <w:lvlText w:val="%1、"/>
      <w:lvlJc w:val="left"/>
      <w:rPr>
        <w:rFonts w:hint="eastAsia"/>
      </w:rPr>
    </w:lvl>
  </w:abstractNum>
  <w:abstractNum w:abstractNumId="5">
    <w:nsid w:val="44C50F90"/>
    <w:multiLevelType w:val="multilevel"/>
    <w:tmpl w:val="44C50F90"/>
    <w:lvl w:ilvl="0" w:tentative="0">
      <w:start w:val="1"/>
      <w:numFmt w:val="lowerLetter"/>
      <w:pStyle w:val="41"/>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num w:numId="1">
    <w:abstractNumId w:val="5"/>
  </w:num>
  <w:num w:numId="2">
    <w:abstractNumId w:val="3"/>
  </w:num>
  <w:num w:numId="3">
    <w:abstractNumId w:val="4"/>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2MWNhYTM0YTdjMTJkNTQ1NDU4ZDdjYjRjZDEwNjQifQ=="/>
  </w:docVars>
  <w:rsids>
    <w:rsidRoot w:val="0049152D"/>
    <w:rsid w:val="00000899"/>
    <w:rsid w:val="00002C81"/>
    <w:rsid w:val="0000483E"/>
    <w:rsid w:val="0000533A"/>
    <w:rsid w:val="00006069"/>
    <w:rsid w:val="00007345"/>
    <w:rsid w:val="0000734E"/>
    <w:rsid w:val="000119A5"/>
    <w:rsid w:val="00011F52"/>
    <w:rsid w:val="0001287D"/>
    <w:rsid w:val="00013051"/>
    <w:rsid w:val="00013700"/>
    <w:rsid w:val="00013B39"/>
    <w:rsid w:val="00014230"/>
    <w:rsid w:val="000142A3"/>
    <w:rsid w:val="0001434A"/>
    <w:rsid w:val="000146E1"/>
    <w:rsid w:val="00015683"/>
    <w:rsid w:val="00015B66"/>
    <w:rsid w:val="00016452"/>
    <w:rsid w:val="00016C1B"/>
    <w:rsid w:val="000174E9"/>
    <w:rsid w:val="00017703"/>
    <w:rsid w:val="00020B8D"/>
    <w:rsid w:val="00020E6C"/>
    <w:rsid w:val="0002350F"/>
    <w:rsid w:val="00025C36"/>
    <w:rsid w:val="00026B44"/>
    <w:rsid w:val="00026C0C"/>
    <w:rsid w:val="000312D7"/>
    <w:rsid w:val="00032958"/>
    <w:rsid w:val="00033C9E"/>
    <w:rsid w:val="00035A30"/>
    <w:rsid w:val="000362EA"/>
    <w:rsid w:val="0003648A"/>
    <w:rsid w:val="000370C9"/>
    <w:rsid w:val="000376FC"/>
    <w:rsid w:val="00041459"/>
    <w:rsid w:val="000425E5"/>
    <w:rsid w:val="00043943"/>
    <w:rsid w:val="00047256"/>
    <w:rsid w:val="00047805"/>
    <w:rsid w:val="00047897"/>
    <w:rsid w:val="00047C97"/>
    <w:rsid w:val="000538E0"/>
    <w:rsid w:val="00053978"/>
    <w:rsid w:val="000543AE"/>
    <w:rsid w:val="00056B2E"/>
    <w:rsid w:val="00057549"/>
    <w:rsid w:val="00060E9C"/>
    <w:rsid w:val="00061A95"/>
    <w:rsid w:val="00061BAC"/>
    <w:rsid w:val="00062BA9"/>
    <w:rsid w:val="000630E4"/>
    <w:rsid w:val="0006311A"/>
    <w:rsid w:val="000632D5"/>
    <w:rsid w:val="000634E4"/>
    <w:rsid w:val="000636D6"/>
    <w:rsid w:val="00063E72"/>
    <w:rsid w:val="000647B0"/>
    <w:rsid w:val="000647D1"/>
    <w:rsid w:val="000648D5"/>
    <w:rsid w:val="00064F0E"/>
    <w:rsid w:val="0006509C"/>
    <w:rsid w:val="00065850"/>
    <w:rsid w:val="000661DC"/>
    <w:rsid w:val="0006634E"/>
    <w:rsid w:val="00067F99"/>
    <w:rsid w:val="0007025D"/>
    <w:rsid w:val="0007113B"/>
    <w:rsid w:val="00072938"/>
    <w:rsid w:val="00072B7E"/>
    <w:rsid w:val="00073823"/>
    <w:rsid w:val="000738A3"/>
    <w:rsid w:val="00073EA4"/>
    <w:rsid w:val="00074BD0"/>
    <w:rsid w:val="00075228"/>
    <w:rsid w:val="00076905"/>
    <w:rsid w:val="00081042"/>
    <w:rsid w:val="00083504"/>
    <w:rsid w:val="00083671"/>
    <w:rsid w:val="0008539E"/>
    <w:rsid w:val="0008748A"/>
    <w:rsid w:val="00087579"/>
    <w:rsid w:val="00090932"/>
    <w:rsid w:val="0009564E"/>
    <w:rsid w:val="000956AA"/>
    <w:rsid w:val="00095716"/>
    <w:rsid w:val="00095B00"/>
    <w:rsid w:val="000968E7"/>
    <w:rsid w:val="00096C0A"/>
    <w:rsid w:val="000A25DA"/>
    <w:rsid w:val="000A2674"/>
    <w:rsid w:val="000A46E3"/>
    <w:rsid w:val="000A68B0"/>
    <w:rsid w:val="000A68DC"/>
    <w:rsid w:val="000B0288"/>
    <w:rsid w:val="000B12AD"/>
    <w:rsid w:val="000B20BA"/>
    <w:rsid w:val="000B4AD4"/>
    <w:rsid w:val="000C2E3D"/>
    <w:rsid w:val="000C4435"/>
    <w:rsid w:val="000C782F"/>
    <w:rsid w:val="000C7BE6"/>
    <w:rsid w:val="000D004B"/>
    <w:rsid w:val="000D146E"/>
    <w:rsid w:val="000D255F"/>
    <w:rsid w:val="000D2968"/>
    <w:rsid w:val="000D3C54"/>
    <w:rsid w:val="000D419A"/>
    <w:rsid w:val="000D6C50"/>
    <w:rsid w:val="000E0E5D"/>
    <w:rsid w:val="000E12A2"/>
    <w:rsid w:val="000E2F2B"/>
    <w:rsid w:val="000E3BE4"/>
    <w:rsid w:val="000E5601"/>
    <w:rsid w:val="000E5B35"/>
    <w:rsid w:val="000E7291"/>
    <w:rsid w:val="000E7398"/>
    <w:rsid w:val="000E7492"/>
    <w:rsid w:val="000E75F6"/>
    <w:rsid w:val="000F0726"/>
    <w:rsid w:val="000F21CD"/>
    <w:rsid w:val="000F2931"/>
    <w:rsid w:val="000F60BA"/>
    <w:rsid w:val="000F7755"/>
    <w:rsid w:val="000F7CA9"/>
    <w:rsid w:val="000F7EE8"/>
    <w:rsid w:val="0010164F"/>
    <w:rsid w:val="00101FD6"/>
    <w:rsid w:val="00103B79"/>
    <w:rsid w:val="00103F5A"/>
    <w:rsid w:val="001043C6"/>
    <w:rsid w:val="0010446D"/>
    <w:rsid w:val="0011080B"/>
    <w:rsid w:val="00112E27"/>
    <w:rsid w:val="001133B5"/>
    <w:rsid w:val="0011342C"/>
    <w:rsid w:val="00115E89"/>
    <w:rsid w:val="001169BC"/>
    <w:rsid w:val="001172DB"/>
    <w:rsid w:val="0011791C"/>
    <w:rsid w:val="0011799D"/>
    <w:rsid w:val="00117A27"/>
    <w:rsid w:val="00120FE8"/>
    <w:rsid w:val="001215B6"/>
    <w:rsid w:val="00122E35"/>
    <w:rsid w:val="00123CA5"/>
    <w:rsid w:val="00125817"/>
    <w:rsid w:val="00125CAC"/>
    <w:rsid w:val="00125DB0"/>
    <w:rsid w:val="00126111"/>
    <w:rsid w:val="001268D7"/>
    <w:rsid w:val="00130CC9"/>
    <w:rsid w:val="00133DCA"/>
    <w:rsid w:val="0013566C"/>
    <w:rsid w:val="001360C1"/>
    <w:rsid w:val="001421CF"/>
    <w:rsid w:val="00142C75"/>
    <w:rsid w:val="00143A39"/>
    <w:rsid w:val="00144F28"/>
    <w:rsid w:val="00145147"/>
    <w:rsid w:val="00145188"/>
    <w:rsid w:val="001455A0"/>
    <w:rsid w:val="00147858"/>
    <w:rsid w:val="001502D3"/>
    <w:rsid w:val="0015114D"/>
    <w:rsid w:val="001517E4"/>
    <w:rsid w:val="00151DFA"/>
    <w:rsid w:val="00152A50"/>
    <w:rsid w:val="00152CEE"/>
    <w:rsid w:val="00152F27"/>
    <w:rsid w:val="001531DA"/>
    <w:rsid w:val="0016143F"/>
    <w:rsid w:val="00161FB3"/>
    <w:rsid w:val="00162FCD"/>
    <w:rsid w:val="00163968"/>
    <w:rsid w:val="00164041"/>
    <w:rsid w:val="00164320"/>
    <w:rsid w:val="0016453D"/>
    <w:rsid w:val="00165B11"/>
    <w:rsid w:val="00167FF7"/>
    <w:rsid w:val="001710BE"/>
    <w:rsid w:val="00171C88"/>
    <w:rsid w:val="001728AD"/>
    <w:rsid w:val="00173330"/>
    <w:rsid w:val="00175F20"/>
    <w:rsid w:val="0017788A"/>
    <w:rsid w:val="00180F34"/>
    <w:rsid w:val="00181FDF"/>
    <w:rsid w:val="00183DBE"/>
    <w:rsid w:val="00183F8C"/>
    <w:rsid w:val="00184A11"/>
    <w:rsid w:val="00185294"/>
    <w:rsid w:val="00186327"/>
    <w:rsid w:val="001866BE"/>
    <w:rsid w:val="001868B2"/>
    <w:rsid w:val="0019074F"/>
    <w:rsid w:val="001909E7"/>
    <w:rsid w:val="001921B3"/>
    <w:rsid w:val="0019306C"/>
    <w:rsid w:val="001936E4"/>
    <w:rsid w:val="001945B5"/>
    <w:rsid w:val="00194AB3"/>
    <w:rsid w:val="00195204"/>
    <w:rsid w:val="0019675D"/>
    <w:rsid w:val="00196900"/>
    <w:rsid w:val="00196D91"/>
    <w:rsid w:val="0019747E"/>
    <w:rsid w:val="001976D2"/>
    <w:rsid w:val="00197920"/>
    <w:rsid w:val="001A0EA6"/>
    <w:rsid w:val="001A2F17"/>
    <w:rsid w:val="001A2FAE"/>
    <w:rsid w:val="001A577D"/>
    <w:rsid w:val="001B1F37"/>
    <w:rsid w:val="001B2EA2"/>
    <w:rsid w:val="001B4D60"/>
    <w:rsid w:val="001B548E"/>
    <w:rsid w:val="001B6C1B"/>
    <w:rsid w:val="001B7658"/>
    <w:rsid w:val="001B7E54"/>
    <w:rsid w:val="001C010F"/>
    <w:rsid w:val="001C1800"/>
    <w:rsid w:val="001C1A61"/>
    <w:rsid w:val="001C1C7F"/>
    <w:rsid w:val="001C3BD9"/>
    <w:rsid w:val="001C3C44"/>
    <w:rsid w:val="001C5F5B"/>
    <w:rsid w:val="001C63FA"/>
    <w:rsid w:val="001C6400"/>
    <w:rsid w:val="001C64E2"/>
    <w:rsid w:val="001C7F8B"/>
    <w:rsid w:val="001D122A"/>
    <w:rsid w:val="001D1CBF"/>
    <w:rsid w:val="001D29BF"/>
    <w:rsid w:val="001D2E17"/>
    <w:rsid w:val="001D3A88"/>
    <w:rsid w:val="001D4C7B"/>
    <w:rsid w:val="001D50AF"/>
    <w:rsid w:val="001E0750"/>
    <w:rsid w:val="001E1C8D"/>
    <w:rsid w:val="001E2613"/>
    <w:rsid w:val="001E35D2"/>
    <w:rsid w:val="001E5CB5"/>
    <w:rsid w:val="001E7143"/>
    <w:rsid w:val="001E77A0"/>
    <w:rsid w:val="001F0609"/>
    <w:rsid w:val="001F1028"/>
    <w:rsid w:val="001F18F7"/>
    <w:rsid w:val="001F21E5"/>
    <w:rsid w:val="001F3BE7"/>
    <w:rsid w:val="001F4570"/>
    <w:rsid w:val="001F64BD"/>
    <w:rsid w:val="001F7AA9"/>
    <w:rsid w:val="001F7D16"/>
    <w:rsid w:val="001F7D87"/>
    <w:rsid w:val="002007E1"/>
    <w:rsid w:val="00201957"/>
    <w:rsid w:val="002028F6"/>
    <w:rsid w:val="00202F21"/>
    <w:rsid w:val="00203916"/>
    <w:rsid w:val="00204E1B"/>
    <w:rsid w:val="00205696"/>
    <w:rsid w:val="002066A0"/>
    <w:rsid w:val="00210806"/>
    <w:rsid w:val="00210D97"/>
    <w:rsid w:val="00211DAA"/>
    <w:rsid w:val="00212C2F"/>
    <w:rsid w:val="00213C05"/>
    <w:rsid w:val="00213CB8"/>
    <w:rsid w:val="00213CDF"/>
    <w:rsid w:val="002149D3"/>
    <w:rsid w:val="00215CF2"/>
    <w:rsid w:val="00217EB2"/>
    <w:rsid w:val="00221A02"/>
    <w:rsid w:val="00221D88"/>
    <w:rsid w:val="0022398D"/>
    <w:rsid w:val="002252C9"/>
    <w:rsid w:val="00230C35"/>
    <w:rsid w:val="00231422"/>
    <w:rsid w:val="00232045"/>
    <w:rsid w:val="002320C8"/>
    <w:rsid w:val="00233226"/>
    <w:rsid w:val="00233A1C"/>
    <w:rsid w:val="0023455B"/>
    <w:rsid w:val="00234F74"/>
    <w:rsid w:val="00234FE4"/>
    <w:rsid w:val="00235328"/>
    <w:rsid w:val="002356F0"/>
    <w:rsid w:val="00235CB5"/>
    <w:rsid w:val="00240AED"/>
    <w:rsid w:val="00240E23"/>
    <w:rsid w:val="00246A1A"/>
    <w:rsid w:val="00251FCE"/>
    <w:rsid w:val="002531B1"/>
    <w:rsid w:val="0025380C"/>
    <w:rsid w:val="00254BF3"/>
    <w:rsid w:val="002601E8"/>
    <w:rsid w:val="00260A33"/>
    <w:rsid w:val="00260CFE"/>
    <w:rsid w:val="0026166B"/>
    <w:rsid w:val="0026175A"/>
    <w:rsid w:val="00262CCF"/>
    <w:rsid w:val="00262E37"/>
    <w:rsid w:val="0026368F"/>
    <w:rsid w:val="00263946"/>
    <w:rsid w:val="00264E80"/>
    <w:rsid w:val="002653CB"/>
    <w:rsid w:val="002662BE"/>
    <w:rsid w:val="00267B20"/>
    <w:rsid w:val="00271A24"/>
    <w:rsid w:val="002727E2"/>
    <w:rsid w:val="002727F2"/>
    <w:rsid w:val="002759A5"/>
    <w:rsid w:val="00276418"/>
    <w:rsid w:val="002766E1"/>
    <w:rsid w:val="00277D55"/>
    <w:rsid w:val="00277DE9"/>
    <w:rsid w:val="00280742"/>
    <w:rsid w:val="00281A43"/>
    <w:rsid w:val="0028345E"/>
    <w:rsid w:val="00283F0D"/>
    <w:rsid w:val="002870F4"/>
    <w:rsid w:val="002931B8"/>
    <w:rsid w:val="00293432"/>
    <w:rsid w:val="00293797"/>
    <w:rsid w:val="002A119B"/>
    <w:rsid w:val="002A1596"/>
    <w:rsid w:val="002A39FC"/>
    <w:rsid w:val="002A477A"/>
    <w:rsid w:val="002A52DB"/>
    <w:rsid w:val="002A5373"/>
    <w:rsid w:val="002A61D8"/>
    <w:rsid w:val="002A7451"/>
    <w:rsid w:val="002B0BEE"/>
    <w:rsid w:val="002B12B9"/>
    <w:rsid w:val="002B1C35"/>
    <w:rsid w:val="002B2BCB"/>
    <w:rsid w:val="002B3266"/>
    <w:rsid w:val="002B33F4"/>
    <w:rsid w:val="002B351D"/>
    <w:rsid w:val="002B45E4"/>
    <w:rsid w:val="002B4A70"/>
    <w:rsid w:val="002B6C88"/>
    <w:rsid w:val="002C11C3"/>
    <w:rsid w:val="002C32C0"/>
    <w:rsid w:val="002C33FD"/>
    <w:rsid w:val="002C3F54"/>
    <w:rsid w:val="002C42AC"/>
    <w:rsid w:val="002C6308"/>
    <w:rsid w:val="002C6478"/>
    <w:rsid w:val="002C7E20"/>
    <w:rsid w:val="002D16DB"/>
    <w:rsid w:val="002D29B7"/>
    <w:rsid w:val="002D6F42"/>
    <w:rsid w:val="002D75D7"/>
    <w:rsid w:val="002E22A3"/>
    <w:rsid w:val="002E34A8"/>
    <w:rsid w:val="002E3C9C"/>
    <w:rsid w:val="002E3FAA"/>
    <w:rsid w:val="002E4B56"/>
    <w:rsid w:val="002E7402"/>
    <w:rsid w:val="002E743E"/>
    <w:rsid w:val="002F0868"/>
    <w:rsid w:val="002F0A63"/>
    <w:rsid w:val="002F18EC"/>
    <w:rsid w:val="002F3E1F"/>
    <w:rsid w:val="002F3FA9"/>
    <w:rsid w:val="002F4638"/>
    <w:rsid w:val="002F47B1"/>
    <w:rsid w:val="002F56D7"/>
    <w:rsid w:val="002F6351"/>
    <w:rsid w:val="002F6E9F"/>
    <w:rsid w:val="002F7378"/>
    <w:rsid w:val="00300AFD"/>
    <w:rsid w:val="00301047"/>
    <w:rsid w:val="003013BE"/>
    <w:rsid w:val="00304AE0"/>
    <w:rsid w:val="003058A9"/>
    <w:rsid w:val="00306204"/>
    <w:rsid w:val="00310C92"/>
    <w:rsid w:val="00311726"/>
    <w:rsid w:val="00311A03"/>
    <w:rsid w:val="00311EF2"/>
    <w:rsid w:val="00311F46"/>
    <w:rsid w:val="00321BF3"/>
    <w:rsid w:val="003222DE"/>
    <w:rsid w:val="00323A14"/>
    <w:rsid w:val="00326E25"/>
    <w:rsid w:val="00327C26"/>
    <w:rsid w:val="0033114F"/>
    <w:rsid w:val="00332590"/>
    <w:rsid w:val="0033375D"/>
    <w:rsid w:val="003341F6"/>
    <w:rsid w:val="0033461E"/>
    <w:rsid w:val="00334FD6"/>
    <w:rsid w:val="0033778F"/>
    <w:rsid w:val="00337C4B"/>
    <w:rsid w:val="00340915"/>
    <w:rsid w:val="00340C08"/>
    <w:rsid w:val="00340C89"/>
    <w:rsid w:val="0034101B"/>
    <w:rsid w:val="00341EAD"/>
    <w:rsid w:val="0034335F"/>
    <w:rsid w:val="0034452B"/>
    <w:rsid w:val="00344AA8"/>
    <w:rsid w:val="00345E08"/>
    <w:rsid w:val="0034682F"/>
    <w:rsid w:val="00350386"/>
    <w:rsid w:val="003520BC"/>
    <w:rsid w:val="003530CC"/>
    <w:rsid w:val="00353342"/>
    <w:rsid w:val="00353EE8"/>
    <w:rsid w:val="00354085"/>
    <w:rsid w:val="0035503B"/>
    <w:rsid w:val="00357AB2"/>
    <w:rsid w:val="0036126F"/>
    <w:rsid w:val="0036236D"/>
    <w:rsid w:val="0036516E"/>
    <w:rsid w:val="00365702"/>
    <w:rsid w:val="0036648C"/>
    <w:rsid w:val="0036699F"/>
    <w:rsid w:val="00366FD6"/>
    <w:rsid w:val="00370D90"/>
    <w:rsid w:val="00371730"/>
    <w:rsid w:val="0037462A"/>
    <w:rsid w:val="00376214"/>
    <w:rsid w:val="003764C4"/>
    <w:rsid w:val="00376D7D"/>
    <w:rsid w:val="0038013C"/>
    <w:rsid w:val="0038064F"/>
    <w:rsid w:val="003807E6"/>
    <w:rsid w:val="003829D3"/>
    <w:rsid w:val="003854A7"/>
    <w:rsid w:val="003859E4"/>
    <w:rsid w:val="00387C73"/>
    <w:rsid w:val="00390678"/>
    <w:rsid w:val="003907CF"/>
    <w:rsid w:val="003946D1"/>
    <w:rsid w:val="00395D8B"/>
    <w:rsid w:val="003966FD"/>
    <w:rsid w:val="003A004A"/>
    <w:rsid w:val="003A0A71"/>
    <w:rsid w:val="003A0D28"/>
    <w:rsid w:val="003A0E43"/>
    <w:rsid w:val="003A0F8D"/>
    <w:rsid w:val="003A226A"/>
    <w:rsid w:val="003A3735"/>
    <w:rsid w:val="003A3C95"/>
    <w:rsid w:val="003B0813"/>
    <w:rsid w:val="003B159B"/>
    <w:rsid w:val="003B193E"/>
    <w:rsid w:val="003B1D01"/>
    <w:rsid w:val="003B2710"/>
    <w:rsid w:val="003B30B6"/>
    <w:rsid w:val="003B5DA9"/>
    <w:rsid w:val="003B6FED"/>
    <w:rsid w:val="003C0561"/>
    <w:rsid w:val="003C0C3F"/>
    <w:rsid w:val="003C1DF8"/>
    <w:rsid w:val="003C259D"/>
    <w:rsid w:val="003C4551"/>
    <w:rsid w:val="003C45CD"/>
    <w:rsid w:val="003C5329"/>
    <w:rsid w:val="003D00B3"/>
    <w:rsid w:val="003D078B"/>
    <w:rsid w:val="003D23D7"/>
    <w:rsid w:val="003D2D50"/>
    <w:rsid w:val="003D2E34"/>
    <w:rsid w:val="003D3021"/>
    <w:rsid w:val="003D3613"/>
    <w:rsid w:val="003D5F4E"/>
    <w:rsid w:val="003D6715"/>
    <w:rsid w:val="003D697A"/>
    <w:rsid w:val="003D70CD"/>
    <w:rsid w:val="003D763B"/>
    <w:rsid w:val="003D77DA"/>
    <w:rsid w:val="003E0B81"/>
    <w:rsid w:val="003E1850"/>
    <w:rsid w:val="003E28B7"/>
    <w:rsid w:val="003E29D5"/>
    <w:rsid w:val="003E56DB"/>
    <w:rsid w:val="003E57D1"/>
    <w:rsid w:val="003E6ADF"/>
    <w:rsid w:val="003E6EF7"/>
    <w:rsid w:val="003F1FE4"/>
    <w:rsid w:val="003F49C6"/>
    <w:rsid w:val="003F555E"/>
    <w:rsid w:val="003F614E"/>
    <w:rsid w:val="003F7502"/>
    <w:rsid w:val="003F7BA1"/>
    <w:rsid w:val="004022DF"/>
    <w:rsid w:val="00404211"/>
    <w:rsid w:val="00406567"/>
    <w:rsid w:val="0040765C"/>
    <w:rsid w:val="004076E2"/>
    <w:rsid w:val="0040773D"/>
    <w:rsid w:val="00407C11"/>
    <w:rsid w:val="00410088"/>
    <w:rsid w:val="004116FB"/>
    <w:rsid w:val="00412931"/>
    <w:rsid w:val="00414A71"/>
    <w:rsid w:val="00414AB7"/>
    <w:rsid w:val="004153B6"/>
    <w:rsid w:val="00416FB1"/>
    <w:rsid w:val="00417CE4"/>
    <w:rsid w:val="00421809"/>
    <w:rsid w:val="00422048"/>
    <w:rsid w:val="00424370"/>
    <w:rsid w:val="00425776"/>
    <w:rsid w:val="00425D82"/>
    <w:rsid w:val="004261BD"/>
    <w:rsid w:val="00427873"/>
    <w:rsid w:val="00430126"/>
    <w:rsid w:val="004301D5"/>
    <w:rsid w:val="004304B8"/>
    <w:rsid w:val="00432144"/>
    <w:rsid w:val="00435E7B"/>
    <w:rsid w:val="0043627F"/>
    <w:rsid w:val="0043704E"/>
    <w:rsid w:val="00440278"/>
    <w:rsid w:val="004405DE"/>
    <w:rsid w:val="0044264F"/>
    <w:rsid w:val="00442AA5"/>
    <w:rsid w:val="0044332E"/>
    <w:rsid w:val="00444E84"/>
    <w:rsid w:val="00445FBC"/>
    <w:rsid w:val="0044667C"/>
    <w:rsid w:val="00446C4C"/>
    <w:rsid w:val="004514C8"/>
    <w:rsid w:val="00451F87"/>
    <w:rsid w:val="00452906"/>
    <w:rsid w:val="004529DD"/>
    <w:rsid w:val="00452DAC"/>
    <w:rsid w:val="00453850"/>
    <w:rsid w:val="00454EB1"/>
    <w:rsid w:val="004565BC"/>
    <w:rsid w:val="004576A5"/>
    <w:rsid w:val="00460FA1"/>
    <w:rsid w:val="00462143"/>
    <w:rsid w:val="00462622"/>
    <w:rsid w:val="0046322F"/>
    <w:rsid w:val="004666E1"/>
    <w:rsid w:val="0046734F"/>
    <w:rsid w:val="004720CB"/>
    <w:rsid w:val="004728DF"/>
    <w:rsid w:val="00473AA0"/>
    <w:rsid w:val="0047455F"/>
    <w:rsid w:val="00474C54"/>
    <w:rsid w:val="004765D1"/>
    <w:rsid w:val="004767A9"/>
    <w:rsid w:val="00476946"/>
    <w:rsid w:val="00476BD5"/>
    <w:rsid w:val="00480137"/>
    <w:rsid w:val="00480F80"/>
    <w:rsid w:val="00480FD3"/>
    <w:rsid w:val="00481581"/>
    <w:rsid w:val="0048184E"/>
    <w:rsid w:val="00482782"/>
    <w:rsid w:val="004840FC"/>
    <w:rsid w:val="00486195"/>
    <w:rsid w:val="004863ED"/>
    <w:rsid w:val="00486436"/>
    <w:rsid w:val="004869D0"/>
    <w:rsid w:val="00486D21"/>
    <w:rsid w:val="00487974"/>
    <w:rsid w:val="004900F7"/>
    <w:rsid w:val="0049152D"/>
    <w:rsid w:val="00494307"/>
    <w:rsid w:val="004943AB"/>
    <w:rsid w:val="00495C7F"/>
    <w:rsid w:val="00496CFF"/>
    <w:rsid w:val="00497207"/>
    <w:rsid w:val="004A1953"/>
    <w:rsid w:val="004A28E4"/>
    <w:rsid w:val="004A2B95"/>
    <w:rsid w:val="004B0F1A"/>
    <w:rsid w:val="004B12D0"/>
    <w:rsid w:val="004B2DFA"/>
    <w:rsid w:val="004C37E3"/>
    <w:rsid w:val="004C5DDC"/>
    <w:rsid w:val="004C639B"/>
    <w:rsid w:val="004C7324"/>
    <w:rsid w:val="004D0ACA"/>
    <w:rsid w:val="004D29DA"/>
    <w:rsid w:val="004D3777"/>
    <w:rsid w:val="004E166F"/>
    <w:rsid w:val="004E1E35"/>
    <w:rsid w:val="004E353D"/>
    <w:rsid w:val="004E4B54"/>
    <w:rsid w:val="004E5227"/>
    <w:rsid w:val="004E555F"/>
    <w:rsid w:val="004E6E7F"/>
    <w:rsid w:val="004F3C9C"/>
    <w:rsid w:val="004F40C5"/>
    <w:rsid w:val="004F4C96"/>
    <w:rsid w:val="004F69A5"/>
    <w:rsid w:val="004F76C2"/>
    <w:rsid w:val="00500130"/>
    <w:rsid w:val="005011DC"/>
    <w:rsid w:val="00504978"/>
    <w:rsid w:val="0050730B"/>
    <w:rsid w:val="00511BD6"/>
    <w:rsid w:val="0051428E"/>
    <w:rsid w:val="005147F3"/>
    <w:rsid w:val="00515D70"/>
    <w:rsid w:val="00517579"/>
    <w:rsid w:val="005176CE"/>
    <w:rsid w:val="005200E9"/>
    <w:rsid w:val="00522BD3"/>
    <w:rsid w:val="00523E5C"/>
    <w:rsid w:val="00524C16"/>
    <w:rsid w:val="005254B4"/>
    <w:rsid w:val="00525782"/>
    <w:rsid w:val="005267EB"/>
    <w:rsid w:val="00526A34"/>
    <w:rsid w:val="00526AAF"/>
    <w:rsid w:val="005276A6"/>
    <w:rsid w:val="00531DC8"/>
    <w:rsid w:val="00532265"/>
    <w:rsid w:val="00533A74"/>
    <w:rsid w:val="0053413C"/>
    <w:rsid w:val="00534433"/>
    <w:rsid w:val="00535449"/>
    <w:rsid w:val="00535487"/>
    <w:rsid w:val="00536839"/>
    <w:rsid w:val="00540BF2"/>
    <w:rsid w:val="0054112B"/>
    <w:rsid w:val="0054246B"/>
    <w:rsid w:val="005425CC"/>
    <w:rsid w:val="0054373A"/>
    <w:rsid w:val="005446B5"/>
    <w:rsid w:val="0054479D"/>
    <w:rsid w:val="00544E4C"/>
    <w:rsid w:val="005452B7"/>
    <w:rsid w:val="005464CA"/>
    <w:rsid w:val="00550C8A"/>
    <w:rsid w:val="00550D1E"/>
    <w:rsid w:val="00552199"/>
    <w:rsid w:val="0055331E"/>
    <w:rsid w:val="005562D8"/>
    <w:rsid w:val="00557088"/>
    <w:rsid w:val="00557CB4"/>
    <w:rsid w:val="00561267"/>
    <w:rsid w:val="00561B33"/>
    <w:rsid w:val="00563071"/>
    <w:rsid w:val="005652D7"/>
    <w:rsid w:val="0057237B"/>
    <w:rsid w:val="00573390"/>
    <w:rsid w:val="005757B3"/>
    <w:rsid w:val="0057757C"/>
    <w:rsid w:val="0058145D"/>
    <w:rsid w:val="00582510"/>
    <w:rsid w:val="00582834"/>
    <w:rsid w:val="005829BF"/>
    <w:rsid w:val="00582FD9"/>
    <w:rsid w:val="00583048"/>
    <w:rsid w:val="00583845"/>
    <w:rsid w:val="00583960"/>
    <w:rsid w:val="005849A6"/>
    <w:rsid w:val="005859AF"/>
    <w:rsid w:val="00590E7B"/>
    <w:rsid w:val="00591422"/>
    <w:rsid w:val="005940E3"/>
    <w:rsid w:val="005946AF"/>
    <w:rsid w:val="005947B8"/>
    <w:rsid w:val="0059508E"/>
    <w:rsid w:val="00595137"/>
    <w:rsid w:val="00595729"/>
    <w:rsid w:val="00596591"/>
    <w:rsid w:val="005972B3"/>
    <w:rsid w:val="005A0829"/>
    <w:rsid w:val="005A0EB2"/>
    <w:rsid w:val="005A1119"/>
    <w:rsid w:val="005A264C"/>
    <w:rsid w:val="005A3477"/>
    <w:rsid w:val="005A366C"/>
    <w:rsid w:val="005A3B0F"/>
    <w:rsid w:val="005A3B3F"/>
    <w:rsid w:val="005B1210"/>
    <w:rsid w:val="005B1340"/>
    <w:rsid w:val="005B15F5"/>
    <w:rsid w:val="005B2378"/>
    <w:rsid w:val="005B36D7"/>
    <w:rsid w:val="005B58D2"/>
    <w:rsid w:val="005B6AD4"/>
    <w:rsid w:val="005B6B92"/>
    <w:rsid w:val="005B7284"/>
    <w:rsid w:val="005C0088"/>
    <w:rsid w:val="005C0357"/>
    <w:rsid w:val="005C0611"/>
    <w:rsid w:val="005C0980"/>
    <w:rsid w:val="005C0D65"/>
    <w:rsid w:val="005C0EE2"/>
    <w:rsid w:val="005C14A3"/>
    <w:rsid w:val="005C153A"/>
    <w:rsid w:val="005C1E43"/>
    <w:rsid w:val="005C40D0"/>
    <w:rsid w:val="005C566E"/>
    <w:rsid w:val="005D069C"/>
    <w:rsid w:val="005D179F"/>
    <w:rsid w:val="005D1EDE"/>
    <w:rsid w:val="005D489F"/>
    <w:rsid w:val="005D6DF8"/>
    <w:rsid w:val="005E200B"/>
    <w:rsid w:val="005E2355"/>
    <w:rsid w:val="005E3A3E"/>
    <w:rsid w:val="005E4DA4"/>
    <w:rsid w:val="005E6CA1"/>
    <w:rsid w:val="005E702C"/>
    <w:rsid w:val="005E73C2"/>
    <w:rsid w:val="005E7C44"/>
    <w:rsid w:val="005F197A"/>
    <w:rsid w:val="005F2927"/>
    <w:rsid w:val="005F2DF7"/>
    <w:rsid w:val="005F3007"/>
    <w:rsid w:val="005F304B"/>
    <w:rsid w:val="005F3B3D"/>
    <w:rsid w:val="005F5F6F"/>
    <w:rsid w:val="005F698A"/>
    <w:rsid w:val="00600538"/>
    <w:rsid w:val="00605CDD"/>
    <w:rsid w:val="00605EA7"/>
    <w:rsid w:val="0060674D"/>
    <w:rsid w:val="00606A00"/>
    <w:rsid w:val="00607A0D"/>
    <w:rsid w:val="006107CF"/>
    <w:rsid w:val="006110A4"/>
    <w:rsid w:val="0061333F"/>
    <w:rsid w:val="0061335C"/>
    <w:rsid w:val="00613FB1"/>
    <w:rsid w:val="006147B6"/>
    <w:rsid w:val="006155CA"/>
    <w:rsid w:val="0061668E"/>
    <w:rsid w:val="00616F62"/>
    <w:rsid w:val="006170F3"/>
    <w:rsid w:val="0061742C"/>
    <w:rsid w:val="006179B6"/>
    <w:rsid w:val="00621FD6"/>
    <w:rsid w:val="00624E56"/>
    <w:rsid w:val="00625747"/>
    <w:rsid w:val="00625A71"/>
    <w:rsid w:val="00627441"/>
    <w:rsid w:val="006316F9"/>
    <w:rsid w:val="006325B0"/>
    <w:rsid w:val="0063264C"/>
    <w:rsid w:val="006328AF"/>
    <w:rsid w:val="006331CE"/>
    <w:rsid w:val="00633980"/>
    <w:rsid w:val="00633EE8"/>
    <w:rsid w:val="006350C0"/>
    <w:rsid w:val="00636185"/>
    <w:rsid w:val="0063664A"/>
    <w:rsid w:val="0063792B"/>
    <w:rsid w:val="006425BC"/>
    <w:rsid w:val="00644904"/>
    <w:rsid w:val="00644F62"/>
    <w:rsid w:val="006451CB"/>
    <w:rsid w:val="00645383"/>
    <w:rsid w:val="00646E4E"/>
    <w:rsid w:val="0064758B"/>
    <w:rsid w:val="0064769A"/>
    <w:rsid w:val="00650546"/>
    <w:rsid w:val="006518DC"/>
    <w:rsid w:val="006519D0"/>
    <w:rsid w:val="00652836"/>
    <w:rsid w:val="00652FDF"/>
    <w:rsid w:val="0065321E"/>
    <w:rsid w:val="006533FD"/>
    <w:rsid w:val="00653D6B"/>
    <w:rsid w:val="006550B2"/>
    <w:rsid w:val="0065605D"/>
    <w:rsid w:val="006570C7"/>
    <w:rsid w:val="006577D8"/>
    <w:rsid w:val="00657B29"/>
    <w:rsid w:val="00657B50"/>
    <w:rsid w:val="006602A7"/>
    <w:rsid w:val="00660496"/>
    <w:rsid w:val="00660F14"/>
    <w:rsid w:val="0066162E"/>
    <w:rsid w:val="006617FA"/>
    <w:rsid w:val="00661B7A"/>
    <w:rsid w:val="00663325"/>
    <w:rsid w:val="006636FE"/>
    <w:rsid w:val="00664255"/>
    <w:rsid w:val="00664476"/>
    <w:rsid w:val="00664A10"/>
    <w:rsid w:val="0066541E"/>
    <w:rsid w:val="006654CA"/>
    <w:rsid w:val="00665A35"/>
    <w:rsid w:val="00665C20"/>
    <w:rsid w:val="00672D4A"/>
    <w:rsid w:val="00673DCE"/>
    <w:rsid w:val="006749E5"/>
    <w:rsid w:val="00675C9D"/>
    <w:rsid w:val="00675DA5"/>
    <w:rsid w:val="00676165"/>
    <w:rsid w:val="00676CB1"/>
    <w:rsid w:val="00680ED2"/>
    <w:rsid w:val="00686291"/>
    <w:rsid w:val="00686FA4"/>
    <w:rsid w:val="006903A7"/>
    <w:rsid w:val="00691712"/>
    <w:rsid w:val="00691E65"/>
    <w:rsid w:val="00691EA1"/>
    <w:rsid w:val="006921EB"/>
    <w:rsid w:val="00693886"/>
    <w:rsid w:val="00694BE9"/>
    <w:rsid w:val="00696114"/>
    <w:rsid w:val="0069667F"/>
    <w:rsid w:val="00696D4A"/>
    <w:rsid w:val="006974AF"/>
    <w:rsid w:val="00697728"/>
    <w:rsid w:val="006A03C8"/>
    <w:rsid w:val="006A07EB"/>
    <w:rsid w:val="006A1279"/>
    <w:rsid w:val="006A1CD6"/>
    <w:rsid w:val="006A362D"/>
    <w:rsid w:val="006A5E39"/>
    <w:rsid w:val="006A615E"/>
    <w:rsid w:val="006A641C"/>
    <w:rsid w:val="006B048C"/>
    <w:rsid w:val="006B210C"/>
    <w:rsid w:val="006B2C4A"/>
    <w:rsid w:val="006B2D1C"/>
    <w:rsid w:val="006B31C3"/>
    <w:rsid w:val="006B35DA"/>
    <w:rsid w:val="006B53F6"/>
    <w:rsid w:val="006B655F"/>
    <w:rsid w:val="006C11BE"/>
    <w:rsid w:val="006C1F06"/>
    <w:rsid w:val="006C2DB2"/>
    <w:rsid w:val="006C43B5"/>
    <w:rsid w:val="006C5E78"/>
    <w:rsid w:val="006C615F"/>
    <w:rsid w:val="006C6E2E"/>
    <w:rsid w:val="006C773D"/>
    <w:rsid w:val="006D28A5"/>
    <w:rsid w:val="006D2F81"/>
    <w:rsid w:val="006D3518"/>
    <w:rsid w:val="006D3F0C"/>
    <w:rsid w:val="006D4494"/>
    <w:rsid w:val="006D4AFF"/>
    <w:rsid w:val="006D53EB"/>
    <w:rsid w:val="006D67E7"/>
    <w:rsid w:val="006D6A30"/>
    <w:rsid w:val="006D76DB"/>
    <w:rsid w:val="006E1599"/>
    <w:rsid w:val="006E3F66"/>
    <w:rsid w:val="006E58C8"/>
    <w:rsid w:val="006E669A"/>
    <w:rsid w:val="006E7C7B"/>
    <w:rsid w:val="006F1F44"/>
    <w:rsid w:val="006F2ADA"/>
    <w:rsid w:val="006F2AE7"/>
    <w:rsid w:val="006F2D52"/>
    <w:rsid w:val="006F3591"/>
    <w:rsid w:val="006F7B7C"/>
    <w:rsid w:val="0070002A"/>
    <w:rsid w:val="00700DAE"/>
    <w:rsid w:val="007015A1"/>
    <w:rsid w:val="0070297A"/>
    <w:rsid w:val="00704090"/>
    <w:rsid w:val="00706102"/>
    <w:rsid w:val="00711461"/>
    <w:rsid w:val="0071373D"/>
    <w:rsid w:val="00713758"/>
    <w:rsid w:val="00715907"/>
    <w:rsid w:val="00720307"/>
    <w:rsid w:val="00722D85"/>
    <w:rsid w:val="007236C0"/>
    <w:rsid w:val="00724361"/>
    <w:rsid w:val="00724564"/>
    <w:rsid w:val="007255E3"/>
    <w:rsid w:val="007265F0"/>
    <w:rsid w:val="007269E3"/>
    <w:rsid w:val="00726BCA"/>
    <w:rsid w:val="00727582"/>
    <w:rsid w:val="00732460"/>
    <w:rsid w:val="00733D7B"/>
    <w:rsid w:val="00735881"/>
    <w:rsid w:val="00735F13"/>
    <w:rsid w:val="007364A0"/>
    <w:rsid w:val="007408D5"/>
    <w:rsid w:val="0074154C"/>
    <w:rsid w:val="00741EE1"/>
    <w:rsid w:val="00741FDE"/>
    <w:rsid w:val="00742757"/>
    <w:rsid w:val="007430B3"/>
    <w:rsid w:val="007453E5"/>
    <w:rsid w:val="00746363"/>
    <w:rsid w:val="007464AF"/>
    <w:rsid w:val="00746C27"/>
    <w:rsid w:val="00750371"/>
    <w:rsid w:val="00750941"/>
    <w:rsid w:val="00750BF7"/>
    <w:rsid w:val="0075108D"/>
    <w:rsid w:val="007557DC"/>
    <w:rsid w:val="00760148"/>
    <w:rsid w:val="007611F3"/>
    <w:rsid w:val="00762451"/>
    <w:rsid w:val="007656EE"/>
    <w:rsid w:val="00766B87"/>
    <w:rsid w:val="00767F5A"/>
    <w:rsid w:val="00771493"/>
    <w:rsid w:val="00771A62"/>
    <w:rsid w:val="00772A01"/>
    <w:rsid w:val="0077338A"/>
    <w:rsid w:val="00773A59"/>
    <w:rsid w:val="00774701"/>
    <w:rsid w:val="007771DC"/>
    <w:rsid w:val="00777F89"/>
    <w:rsid w:val="00781D10"/>
    <w:rsid w:val="00782574"/>
    <w:rsid w:val="007831CE"/>
    <w:rsid w:val="0078347B"/>
    <w:rsid w:val="00784F06"/>
    <w:rsid w:val="007852BF"/>
    <w:rsid w:val="007852F1"/>
    <w:rsid w:val="00790B45"/>
    <w:rsid w:val="0079220D"/>
    <w:rsid w:val="00792719"/>
    <w:rsid w:val="00792749"/>
    <w:rsid w:val="007928CE"/>
    <w:rsid w:val="00792ADA"/>
    <w:rsid w:val="00793ECE"/>
    <w:rsid w:val="00796E22"/>
    <w:rsid w:val="0079778C"/>
    <w:rsid w:val="00797E1A"/>
    <w:rsid w:val="00797F54"/>
    <w:rsid w:val="007A35C4"/>
    <w:rsid w:val="007A3CC4"/>
    <w:rsid w:val="007A4418"/>
    <w:rsid w:val="007A45F1"/>
    <w:rsid w:val="007A56FF"/>
    <w:rsid w:val="007A5B54"/>
    <w:rsid w:val="007A766F"/>
    <w:rsid w:val="007B1720"/>
    <w:rsid w:val="007B1B31"/>
    <w:rsid w:val="007B2921"/>
    <w:rsid w:val="007B392C"/>
    <w:rsid w:val="007B4388"/>
    <w:rsid w:val="007B45BA"/>
    <w:rsid w:val="007B49CE"/>
    <w:rsid w:val="007B4E9A"/>
    <w:rsid w:val="007B5178"/>
    <w:rsid w:val="007B5474"/>
    <w:rsid w:val="007B5E52"/>
    <w:rsid w:val="007B69A9"/>
    <w:rsid w:val="007B79BB"/>
    <w:rsid w:val="007C0298"/>
    <w:rsid w:val="007C08B0"/>
    <w:rsid w:val="007C1163"/>
    <w:rsid w:val="007C1847"/>
    <w:rsid w:val="007C2376"/>
    <w:rsid w:val="007C23F5"/>
    <w:rsid w:val="007C45B1"/>
    <w:rsid w:val="007C482F"/>
    <w:rsid w:val="007C6371"/>
    <w:rsid w:val="007C672B"/>
    <w:rsid w:val="007D2756"/>
    <w:rsid w:val="007D280C"/>
    <w:rsid w:val="007D3C02"/>
    <w:rsid w:val="007D4395"/>
    <w:rsid w:val="007D4964"/>
    <w:rsid w:val="007D49A6"/>
    <w:rsid w:val="007D4B36"/>
    <w:rsid w:val="007D70B2"/>
    <w:rsid w:val="007D7313"/>
    <w:rsid w:val="007E0FC8"/>
    <w:rsid w:val="007E12FA"/>
    <w:rsid w:val="007E1C58"/>
    <w:rsid w:val="007E1D94"/>
    <w:rsid w:val="007E29EB"/>
    <w:rsid w:val="007E2B9F"/>
    <w:rsid w:val="007E4197"/>
    <w:rsid w:val="007E59FE"/>
    <w:rsid w:val="007E5C58"/>
    <w:rsid w:val="007E6320"/>
    <w:rsid w:val="007E640E"/>
    <w:rsid w:val="007E72D7"/>
    <w:rsid w:val="007F11F4"/>
    <w:rsid w:val="007F2366"/>
    <w:rsid w:val="007F2A06"/>
    <w:rsid w:val="007F4F74"/>
    <w:rsid w:val="007F5A11"/>
    <w:rsid w:val="007F62FA"/>
    <w:rsid w:val="007F6887"/>
    <w:rsid w:val="00801520"/>
    <w:rsid w:val="008020B9"/>
    <w:rsid w:val="0080321B"/>
    <w:rsid w:val="008057DB"/>
    <w:rsid w:val="00807805"/>
    <w:rsid w:val="00810C47"/>
    <w:rsid w:val="00810DC1"/>
    <w:rsid w:val="008122E0"/>
    <w:rsid w:val="0081279E"/>
    <w:rsid w:val="008139A3"/>
    <w:rsid w:val="008139C1"/>
    <w:rsid w:val="00813A79"/>
    <w:rsid w:val="0081473C"/>
    <w:rsid w:val="0081684A"/>
    <w:rsid w:val="00816BB8"/>
    <w:rsid w:val="00817F38"/>
    <w:rsid w:val="00820E4E"/>
    <w:rsid w:val="00820F3F"/>
    <w:rsid w:val="0082207A"/>
    <w:rsid w:val="00823429"/>
    <w:rsid w:val="00823888"/>
    <w:rsid w:val="008309E3"/>
    <w:rsid w:val="008314BA"/>
    <w:rsid w:val="00832337"/>
    <w:rsid w:val="00832B7B"/>
    <w:rsid w:val="00832FFA"/>
    <w:rsid w:val="008347F7"/>
    <w:rsid w:val="008353FC"/>
    <w:rsid w:val="00836C5C"/>
    <w:rsid w:val="00837C2E"/>
    <w:rsid w:val="00837FDA"/>
    <w:rsid w:val="00841543"/>
    <w:rsid w:val="00841833"/>
    <w:rsid w:val="008418E3"/>
    <w:rsid w:val="00841FB9"/>
    <w:rsid w:val="00842E49"/>
    <w:rsid w:val="00843D2B"/>
    <w:rsid w:val="00843FE0"/>
    <w:rsid w:val="00844357"/>
    <w:rsid w:val="008443F9"/>
    <w:rsid w:val="00844C65"/>
    <w:rsid w:val="00845862"/>
    <w:rsid w:val="00846311"/>
    <w:rsid w:val="008470F0"/>
    <w:rsid w:val="008473F7"/>
    <w:rsid w:val="00847750"/>
    <w:rsid w:val="008478D1"/>
    <w:rsid w:val="00850C3C"/>
    <w:rsid w:val="00851A9C"/>
    <w:rsid w:val="0085300C"/>
    <w:rsid w:val="008608E6"/>
    <w:rsid w:val="00860B78"/>
    <w:rsid w:val="00860BCC"/>
    <w:rsid w:val="00861880"/>
    <w:rsid w:val="0086195A"/>
    <w:rsid w:val="00861B47"/>
    <w:rsid w:val="00861C03"/>
    <w:rsid w:val="0086229E"/>
    <w:rsid w:val="00862CED"/>
    <w:rsid w:val="0086480A"/>
    <w:rsid w:val="00864CD8"/>
    <w:rsid w:val="00867F87"/>
    <w:rsid w:val="00870279"/>
    <w:rsid w:val="00870603"/>
    <w:rsid w:val="0087096F"/>
    <w:rsid w:val="008755BA"/>
    <w:rsid w:val="00881208"/>
    <w:rsid w:val="00884FC6"/>
    <w:rsid w:val="0089080C"/>
    <w:rsid w:val="00890C8E"/>
    <w:rsid w:val="00895D8D"/>
    <w:rsid w:val="008A172E"/>
    <w:rsid w:val="008A1F51"/>
    <w:rsid w:val="008A2695"/>
    <w:rsid w:val="008A33D5"/>
    <w:rsid w:val="008A42E1"/>
    <w:rsid w:val="008A45E8"/>
    <w:rsid w:val="008A5278"/>
    <w:rsid w:val="008A5D75"/>
    <w:rsid w:val="008A7719"/>
    <w:rsid w:val="008A7A9A"/>
    <w:rsid w:val="008B0AFD"/>
    <w:rsid w:val="008B3B41"/>
    <w:rsid w:val="008B44DA"/>
    <w:rsid w:val="008B4D42"/>
    <w:rsid w:val="008B5CA8"/>
    <w:rsid w:val="008B6FB0"/>
    <w:rsid w:val="008C1AB9"/>
    <w:rsid w:val="008C288A"/>
    <w:rsid w:val="008C32CD"/>
    <w:rsid w:val="008C4891"/>
    <w:rsid w:val="008C64BD"/>
    <w:rsid w:val="008C7A4C"/>
    <w:rsid w:val="008C7F9B"/>
    <w:rsid w:val="008D1583"/>
    <w:rsid w:val="008D38F1"/>
    <w:rsid w:val="008D509B"/>
    <w:rsid w:val="008D53A8"/>
    <w:rsid w:val="008D716B"/>
    <w:rsid w:val="008E047F"/>
    <w:rsid w:val="008E0678"/>
    <w:rsid w:val="008E110C"/>
    <w:rsid w:val="008E11F8"/>
    <w:rsid w:val="008E4D3C"/>
    <w:rsid w:val="008E4E14"/>
    <w:rsid w:val="008E7F39"/>
    <w:rsid w:val="008F0191"/>
    <w:rsid w:val="008F0A69"/>
    <w:rsid w:val="008F102D"/>
    <w:rsid w:val="008F14A2"/>
    <w:rsid w:val="008F3EF3"/>
    <w:rsid w:val="008F4D5D"/>
    <w:rsid w:val="008F7204"/>
    <w:rsid w:val="009047FC"/>
    <w:rsid w:val="0090530E"/>
    <w:rsid w:val="009058EC"/>
    <w:rsid w:val="00905CA5"/>
    <w:rsid w:val="009064C3"/>
    <w:rsid w:val="00906858"/>
    <w:rsid w:val="00906E4E"/>
    <w:rsid w:val="00907177"/>
    <w:rsid w:val="009071AD"/>
    <w:rsid w:val="00907A06"/>
    <w:rsid w:val="00907A43"/>
    <w:rsid w:val="009131C0"/>
    <w:rsid w:val="0091413D"/>
    <w:rsid w:val="009155A6"/>
    <w:rsid w:val="00916FAC"/>
    <w:rsid w:val="009175F1"/>
    <w:rsid w:val="00920DC1"/>
    <w:rsid w:val="00920F09"/>
    <w:rsid w:val="00922FA5"/>
    <w:rsid w:val="00923B5B"/>
    <w:rsid w:val="00923DD8"/>
    <w:rsid w:val="00924FEC"/>
    <w:rsid w:val="009250A2"/>
    <w:rsid w:val="00926375"/>
    <w:rsid w:val="00930551"/>
    <w:rsid w:val="00931EF1"/>
    <w:rsid w:val="00932C17"/>
    <w:rsid w:val="0093307B"/>
    <w:rsid w:val="009331B2"/>
    <w:rsid w:val="009351F3"/>
    <w:rsid w:val="00937229"/>
    <w:rsid w:val="00941C1D"/>
    <w:rsid w:val="00941EF0"/>
    <w:rsid w:val="009423AA"/>
    <w:rsid w:val="009423AC"/>
    <w:rsid w:val="00943218"/>
    <w:rsid w:val="009453A2"/>
    <w:rsid w:val="00946AB1"/>
    <w:rsid w:val="00946D33"/>
    <w:rsid w:val="009504B8"/>
    <w:rsid w:val="009517F6"/>
    <w:rsid w:val="00953281"/>
    <w:rsid w:val="00953B8E"/>
    <w:rsid w:val="00956565"/>
    <w:rsid w:val="00957FDC"/>
    <w:rsid w:val="009601AB"/>
    <w:rsid w:val="00960D92"/>
    <w:rsid w:val="00961947"/>
    <w:rsid w:val="00962C7C"/>
    <w:rsid w:val="00962F2C"/>
    <w:rsid w:val="0096331D"/>
    <w:rsid w:val="00963579"/>
    <w:rsid w:val="00963C26"/>
    <w:rsid w:val="00963D08"/>
    <w:rsid w:val="00963E4F"/>
    <w:rsid w:val="00965CA7"/>
    <w:rsid w:val="00966160"/>
    <w:rsid w:val="0096706B"/>
    <w:rsid w:val="009672AC"/>
    <w:rsid w:val="00967EDD"/>
    <w:rsid w:val="00971910"/>
    <w:rsid w:val="00972551"/>
    <w:rsid w:val="00972B8E"/>
    <w:rsid w:val="00973A55"/>
    <w:rsid w:val="00974C45"/>
    <w:rsid w:val="00975A1E"/>
    <w:rsid w:val="00975C75"/>
    <w:rsid w:val="00980B13"/>
    <w:rsid w:val="00980F6D"/>
    <w:rsid w:val="00981871"/>
    <w:rsid w:val="00982E2D"/>
    <w:rsid w:val="00982F94"/>
    <w:rsid w:val="00983EDA"/>
    <w:rsid w:val="00985422"/>
    <w:rsid w:val="0098571D"/>
    <w:rsid w:val="009867CF"/>
    <w:rsid w:val="00986DCF"/>
    <w:rsid w:val="00991021"/>
    <w:rsid w:val="00992A6C"/>
    <w:rsid w:val="00992B39"/>
    <w:rsid w:val="00996DF4"/>
    <w:rsid w:val="009A02E4"/>
    <w:rsid w:val="009A0A3D"/>
    <w:rsid w:val="009A1442"/>
    <w:rsid w:val="009A1C7C"/>
    <w:rsid w:val="009A2D3A"/>
    <w:rsid w:val="009A3F87"/>
    <w:rsid w:val="009A4588"/>
    <w:rsid w:val="009A4F82"/>
    <w:rsid w:val="009A5325"/>
    <w:rsid w:val="009A5DC3"/>
    <w:rsid w:val="009A659A"/>
    <w:rsid w:val="009A67B4"/>
    <w:rsid w:val="009A7570"/>
    <w:rsid w:val="009B475F"/>
    <w:rsid w:val="009B4A1E"/>
    <w:rsid w:val="009C0E14"/>
    <w:rsid w:val="009C1DA6"/>
    <w:rsid w:val="009C32A2"/>
    <w:rsid w:val="009C3472"/>
    <w:rsid w:val="009C6B17"/>
    <w:rsid w:val="009D2013"/>
    <w:rsid w:val="009D203D"/>
    <w:rsid w:val="009D558F"/>
    <w:rsid w:val="009E0477"/>
    <w:rsid w:val="009E0E03"/>
    <w:rsid w:val="009E12AC"/>
    <w:rsid w:val="009E1533"/>
    <w:rsid w:val="009E196E"/>
    <w:rsid w:val="009E1CB5"/>
    <w:rsid w:val="009E32E0"/>
    <w:rsid w:val="009E40D0"/>
    <w:rsid w:val="009E4365"/>
    <w:rsid w:val="009E4C53"/>
    <w:rsid w:val="009E52D8"/>
    <w:rsid w:val="009E5AB1"/>
    <w:rsid w:val="009E5CBB"/>
    <w:rsid w:val="009F096D"/>
    <w:rsid w:val="009F1DA4"/>
    <w:rsid w:val="009F394D"/>
    <w:rsid w:val="009F3CC4"/>
    <w:rsid w:val="009F43BE"/>
    <w:rsid w:val="009F44E0"/>
    <w:rsid w:val="009F571B"/>
    <w:rsid w:val="009F5B90"/>
    <w:rsid w:val="009F6357"/>
    <w:rsid w:val="009F6C02"/>
    <w:rsid w:val="009F74B2"/>
    <w:rsid w:val="009F7D94"/>
    <w:rsid w:val="00A0147C"/>
    <w:rsid w:val="00A01902"/>
    <w:rsid w:val="00A02DC2"/>
    <w:rsid w:val="00A03480"/>
    <w:rsid w:val="00A04AF7"/>
    <w:rsid w:val="00A070B7"/>
    <w:rsid w:val="00A11CA2"/>
    <w:rsid w:val="00A12756"/>
    <w:rsid w:val="00A13D77"/>
    <w:rsid w:val="00A1573B"/>
    <w:rsid w:val="00A15EFB"/>
    <w:rsid w:val="00A230A8"/>
    <w:rsid w:val="00A231B3"/>
    <w:rsid w:val="00A246A8"/>
    <w:rsid w:val="00A2660D"/>
    <w:rsid w:val="00A2730C"/>
    <w:rsid w:val="00A27CF3"/>
    <w:rsid w:val="00A30BC4"/>
    <w:rsid w:val="00A30C4E"/>
    <w:rsid w:val="00A320EF"/>
    <w:rsid w:val="00A32843"/>
    <w:rsid w:val="00A33131"/>
    <w:rsid w:val="00A40C00"/>
    <w:rsid w:val="00A4126E"/>
    <w:rsid w:val="00A42D32"/>
    <w:rsid w:val="00A43BE4"/>
    <w:rsid w:val="00A46A63"/>
    <w:rsid w:val="00A47F91"/>
    <w:rsid w:val="00A50A3C"/>
    <w:rsid w:val="00A520A0"/>
    <w:rsid w:val="00A54547"/>
    <w:rsid w:val="00A547CF"/>
    <w:rsid w:val="00A54B05"/>
    <w:rsid w:val="00A55E9E"/>
    <w:rsid w:val="00A56B65"/>
    <w:rsid w:val="00A57154"/>
    <w:rsid w:val="00A574FC"/>
    <w:rsid w:val="00A60A2E"/>
    <w:rsid w:val="00A60D3C"/>
    <w:rsid w:val="00A60F66"/>
    <w:rsid w:val="00A628C6"/>
    <w:rsid w:val="00A62AB4"/>
    <w:rsid w:val="00A63BA4"/>
    <w:rsid w:val="00A653EC"/>
    <w:rsid w:val="00A6711F"/>
    <w:rsid w:val="00A67BD6"/>
    <w:rsid w:val="00A70051"/>
    <w:rsid w:val="00A72527"/>
    <w:rsid w:val="00A727F9"/>
    <w:rsid w:val="00A72AD6"/>
    <w:rsid w:val="00A72EDD"/>
    <w:rsid w:val="00A739CC"/>
    <w:rsid w:val="00A75BF2"/>
    <w:rsid w:val="00A824D5"/>
    <w:rsid w:val="00A8270A"/>
    <w:rsid w:val="00A86745"/>
    <w:rsid w:val="00A928A8"/>
    <w:rsid w:val="00A93F20"/>
    <w:rsid w:val="00A94AAE"/>
    <w:rsid w:val="00A94C7E"/>
    <w:rsid w:val="00A952DC"/>
    <w:rsid w:val="00A9692C"/>
    <w:rsid w:val="00A97867"/>
    <w:rsid w:val="00A97F66"/>
    <w:rsid w:val="00AA324F"/>
    <w:rsid w:val="00AA539D"/>
    <w:rsid w:val="00AA56B6"/>
    <w:rsid w:val="00AA763A"/>
    <w:rsid w:val="00AA7A54"/>
    <w:rsid w:val="00AB046D"/>
    <w:rsid w:val="00AB074C"/>
    <w:rsid w:val="00AB1416"/>
    <w:rsid w:val="00AB29C1"/>
    <w:rsid w:val="00AB4BB2"/>
    <w:rsid w:val="00AB50CF"/>
    <w:rsid w:val="00AC0055"/>
    <w:rsid w:val="00AC007F"/>
    <w:rsid w:val="00AC0677"/>
    <w:rsid w:val="00AC2558"/>
    <w:rsid w:val="00AC2F81"/>
    <w:rsid w:val="00AC3B25"/>
    <w:rsid w:val="00AC4DB2"/>
    <w:rsid w:val="00AC5119"/>
    <w:rsid w:val="00AC59E2"/>
    <w:rsid w:val="00AC6BA8"/>
    <w:rsid w:val="00AC711A"/>
    <w:rsid w:val="00AD046A"/>
    <w:rsid w:val="00AD258F"/>
    <w:rsid w:val="00AD28CB"/>
    <w:rsid w:val="00AD3BBA"/>
    <w:rsid w:val="00AD3C09"/>
    <w:rsid w:val="00AD3C7F"/>
    <w:rsid w:val="00AD48C6"/>
    <w:rsid w:val="00AD4B16"/>
    <w:rsid w:val="00AD528D"/>
    <w:rsid w:val="00AD6C53"/>
    <w:rsid w:val="00AD71DC"/>
    <w:rsid w:val="00AE433E"/>
    <w:rsid w:val="00AF1E7D"/>
    <w:rsid w:val="00AF26BD"/>
    <w:rsid w:val="00AF51F2"/>
    <w:rsid w:val="00B000EC"/>
    <w:rsid w:val="00B017D4"/>
    <w:rsid w:val="00B01EA1"/>
    <w:rsid w:val="00B03376"/>
    <w:rsid w:val="00B043A6"/>
    <w:rsid w:val="00B0560D"/>
    <w:rsid w:val="00B05895"/>
    <w:rsid w:val="00B05FC1"/>
    <w:rsid w:val="00B101C3"/>
    <w:rsid w:val="00B1049D"/>
    <w:rsid w:val="00B112A3"/>
    <w:rsid w:val="00B11A4B"/>
    <w:rsid w:val="00B120FE"/>
    <w:rsid w:val="00B12BC6"/>
    <w:rsid w:val="00B17AF0"/>
    <w:rsid w:val="00B236C5"/>
    <w:rsid w:val="00B239A7"/>
    <w:rsid w:val="00B245DB"/>
    <w:rsid w:val="00B26620"/>
    <w:rsid w:val="00B27045"/>
    <w:rsid w:val="00B27C98"/>
    <w:rsid w:val="00B27FD1"/>
    <w:rsid w:val="00B300F4"/>
    <w:rsid w:val="00B30765"/>
    <w:rsid w:val="00B31DD6"/>
    <w:rsid w:val="00B32630"/>
    <w:rsid w:val="00B34CAA"/>
    <w:rsid w:val="00B412DC"/>
    <w:rsid w:val="00B41CD9"/>
    <w:rsid w:val="00B41DD3"/>
    <w:rsid w:val="00B426B4"/>
    <w:rsid w:val="00B46CCD"/>
    <w:rsid w:val="00B5039F"/>
    <w:rsid w:val="00B51FC9"/>
    <w:rsid w:val="00B5314F"/>
    <w:rsid w:val="00B54DDA"/>
    <w:rsid w:val="00B54F3A"/>
    <w:rsid w:val="00B567B2"/>
    <w:rsid w:val="00B56A7D"/>
    <w:rsid w:val="00B571FF"/>
    <w:rsid w:val="00B60946"/>
    <w:rsid w:val="00B60BD3"/>
    <w:rsid w:val="00B6558E"/>
    <w:rsid w:val="00B67193"/>
    <w:rsid w:val="00B67D35"/>
    <w:rsid w:val="00B67E9F"/>
    <w:rsid w:val="00B70F4B"/>
    <w:rsid w:val="00B718C4"/>
    <w:rsid w:val="00B71B75"/>
    <w:rsid w:val="00B74F18"/>
    <w:rsid w:val="00B75762"/>
    <w:rsid w:val="00B77617"/>
    <w:rsid w:val="00B77CBF"/>
    <w:rsid w:val="00B80F2E"/>
    <w:rsid w:val="00B829AB"/>
    <w:rsid w:val="00B82F45"/>
    <w:rsid w:val="00B83405"/>
    <w:rsid w:val="00B83F20"/>
    <w:rsid w:val="00B84E6B"/>
    <w:rsid w:val="00B86A84"/>
    <w:rsid w:val="00B9018E"/>
    <w:rsid w:val="00B903A5"/>
    <w:rsid w:val="00B905C3"/>
    <w:rsid w:val="00B92054"/>
    <w:rsid w:val="00B920B7"/>
    <w:rsid w:val="00B9366B"/>
    <w:rsid w:val="00B9478E"/>
    <w:rsid w:val="00B9488C"/>
    <w:rsid w:val="00B95859"/>
    <w:rsid w:val="00B96A70"/>
    <w:rsid w:val="00B97FB6"/>
    <w:rsid w:val="00BA05ED"/>
    <w:rsid w:val="00BA062A"/>
    <w:rsid w:val="00BA46D7"/>
    <w:rsid w:val="00BA48AB"/>
    <w:rsid w:val="00BA5670"/>
    <w:rsid w:val="00BA66CE"/>
    <w:rsid w:val="00BA7712"/>
    <w:rsid w:val="00BA7B09"/>
    <w:rsid w:val="00BB2044"/>
    <w:rsid w:val="00BB432B"/>
    <w:rsid w:val="00BB4DA6"/>
    <w:rsid w:val="00BC02C5"/>
    <w:rsid w:val="00BC2CDB"/>
    <w:rsid w:val="00BC371D"/>
    <w:rsid w:val="00BC4A6E"/>
    <w:rsid w:val="00BC548D"/>
    <w:rsid w:val="00BC6356"/>
    <w:rsid w:val="00BC6621"/>
    <w:rsid w:val="00BC6D78"/>
    <w:rsid w:val="00BD0BA6"/>
    <w:rsid w:val="00BD1290"/>
    <w:rsid w:val="00BD1A8F"/>
    <w:rsid w:val="00BD24D4"/>
    <w:rsid w:val="00BD4E7A"/>
    <w:rsid w:val="00BD5E18"/>
    <w:rsid w:val="00BD6E7A"/>
    <w:rsid w:val="00BE01B3"/>
    <w:rsid w:val="00BE09B6"/>
    <w:rsid w:val="00BE3B1F"/>
    <w:rsid w:val="00BE4F7B"/>
    <w:rsid w:val="00BE5204"/>
    <w:rsid w:val="00BE5598"/>
    <w:rsid w:val="00BE5A42"/>
    <w:rsid w:val="00BE6C70"/>
    <w:rsid w:val="00BE6DA3"/>
    <w:rsid w:val="00BE7612"/>
    <w:rsid w:val="00BF109A"/>
    <w:rsid w:val="00BF3586"/>
    <w:rsid w:val="00C03BA0"/>
    <w:rsid w:val="00C078B4"/>
    <w:rsid w:val="00C07D37"/>
    <w:rsid w:val="00C1073D"/>
    <w:rsid w:val="00C123A9"/>
    <w:rsid w:val="00C125CE"/>
    <w:rsid w:val="00C131D6"/>
    <w:rsid w:val="00C13379"/>
    <w:rsid w:val="00C13F24"/>
    <w:rsid w:val="00C15DA6"/>
    <w:rsid w:val="00C165DE"/>
    <w:rsid w:val="00C214C2"/>
    <w:rsid w:val="00C25ED7"/>
    <w:rsid w:val="00C26002"/>
    <w:rsid w:val="00C26983"/>
    <w:rsid w:val="00C274C9"/>
    <w:rsid w:val="00C30622"/>
    <w:rsid w:val="00C31586"/>
    <w:rsid w:val="00C316C2"/>
    <w:rsid w:val="00C31ADD"/>
    <w:rsid w:val="00C3339F"/>
    <w:rsid w:val="00C3413B"/>
    <w:rsid w:val="00C34EA3"/>
    <w:rsid w:val="00C3551D"/>
    <w:rsid w:val="00C35FC9"/>
    <w:rsid w:val="00C3704C"/>
    <w:rsid w:val="00C377C5"/>
    <w:rsid w:val="00C43BE1"/>
    <w:rsid w:val="00C44DBD"/>
    <w:rsid w:val="00C461DC"/>
    <w:rsid w:val="00C46671"/>
    <w:rsid w:val="00C46E46"/>
    <w:rsid w:val="00C50BA4"/>
    <w:rsid w:val="00C52F3F"/>
    <w:rsid w:val="00C55615"/>
    <w:rsid w:val="00C57FA6"/>
    <w:rsid w:val="00C60DFE"/>
    <w:rsid w:val="00C611F1"/>
    <w:rsid w:val="00C616EE"/>
    <w:rsid w:val="00C63123"/>
    <w:rsid w:val="00C63D0D"/>
    <w:rsid w:val="00C640E1"/>
    <w:rsid w:val="00C6449E"/>
    <w:rsid w:val="00C64727"/>
    <w:rsid w:val="00C655DD"/>
    <w:rsid w:val="00C668FA"/>
    <w:rsid w:val="00C72066"/>
    <w:rsid w:val="00C74A04"/>
    <w:rsid w:val="00C81BE8"/>
    <w:rsid w:val="00C825D1"/>
    <w:rsid w:val="00C82BDE"/>
    <w:rsid w:val="00C84386"/>
    <w:rsid w:val="00C84DA9"/>
    <w:rsid w:val="00C8690B"/>
    <w:rsid w:val="00C872CC"/>
    <w:rsid w:val="00C875A8"/>
    <w:rsid w:val="00C8771D"/>
    <w:rsid w:val="00C87997"/>
    <w:rsid w:val="00C9040C"/>
    <w:rsid w:val="00C904F3"/>
    <w:rsid w:val="00C91D12"/>
    <w:rsid w:val="00C9646E"/>
    <w:rsid w:val="00CA164D"/>
    <w:rsid w:val="00CA3BD2"/>
    <w:rsid w:val="00CA429B"/>
    <w:rsid w:val="00CA6B0F"/>
    <w:rsid w:val="00CA7768"/>
    <w:rsid w:val="00CA792E"/>
    <w:rsid w:val="00CA7EF2"/>
    <w:rsid w:val="00CA7F73"/>
    <w:rsid w:val="00CB162D"/>
    <w:rsid w:val="00CB1736"/>
    <w:rsid w:val="00CB5EF9"/>
    <w:rsid w:val="00CB77E9"/>
    <w:rsid w:val="00CC0327"/>
    <w:rsid w:val="00CC1E9D"/>
    <w:rsid w:val="00CC269C"/>
    <w:rsid w:val="00CC3C57"/>
    <w:rsid w:val="00CC4EE1"/>
    <w:rsid w:val="00CC5F73"/>
    <w:rsid w:val="00CC6124"/>
    <w:rsid w:val="00CC671A"/>
    <w:rsid w:val="00CC72F2"/>
    <w:rsid w:val="00CC76BC"/>
    <w:rsid w:val="00CD01B1"/>
    <w:rsid w:val="00CD07D4"/>
    <w:rsid w:val="00CD12BB"/>
    <w:rsid w:val="00CD6611"/>
    <w:rsid w:val="00CD6966"/>
    <w:rsid w:val="00CE11ED"/>
    <w:rsid w:val="00CE1291"/>
    <w:rsid w:val="00CE2583"/>
    <w:rsid w:val="00CE289E"/>
    <w:rsid w:val="00CE2ED3"/>
    <w:rsid w:val="00CE337E"/>
    <w:rsid w:val="00CE3A9F"/>
    <w:rsid w:val="00CE3C02"/>
    <w:rsid w:val="00CE587F"/>
    <w:rsid w:val="00CE5A82"/>
    <w:rsid w:val="00CE6ED1"/>
    <w:rsid w:val="00CE72FB"/>
    <w:rsid w:val="00CE7DF7"/>
    <w:rsid w:val="00CF16E4"/>
    <w:rsid w:val="00CF31CB"/>
    <w:rsid w:val="00CF44DA"/>
    <w:rsid w:val="00D003B0"/>
    <w:rsid w:val="00D029DE"/>
    <w:rsid w:val="00D03BD1"/>
    <w:rsid w:val="00D06D79"/>
    <w:rsid w:val="00D10277"/>
    <w:rsid w:val="00D107FE"/>
    <w:rsid w:val="00D10961"/>
    <w:rsid w:val="00D14AB0"/>
    <w:rsid w:val="00D1521D"/>
    <w:rsid w:val="00D169BB"/>
    <w:rsid w:val="00D212C5"/>
    <w:rsid w:val="00D2148D"/>
    <w:rsid w:val="00D21A67"/>
    <w:rsid w:val="00D22C7B"/>
    <w:rsid w:val="00D23904"/>
    <w:rsid w:val="00D23B55"/>
    <w:rsid w:val="00D24065"/>
    <w:rsid w:val="00D24DCE"/>
    <w:rsid w:val="00D256AC"/>
    <w:rsid w:val="00D26994"/>
    <w:rsid w:val="00D320AC"/>
    <w:rsid w:val="00D3304B"/>
    <w:rsid w:val="00D359BF"/>
    <w:rsid w:val="00D36DB4"/>
    <w:rsid w:val="00D371D3"/>
    <w:rsid w:val="00D37299"/>
    <w:rsid w:val="00D4083C"/>
    <w:rsid w:val="00D42141"/>
    <w:rsid w:val="00D42448"/>
    <w:rsid w:val="00D42D11"/>
    <w:rsid w:val="00D430A0"/>
    <w:rsid w:val="00D44EEB"/>
    <w:rsid w:val="00D45141"/>
    <w:rsid w:val="00D4564B"/>
    <w:rsid w:val="00D47251"/>
    <w:rsid w:val="00D50B05"/>
    <w:rsid w:val="00D513C2"/>
    <w:rsid w:val="00D51EB8"/>
    <w:rsid w:val="00D53469"/>
    <w:rsid w:val="00D53C4A"/>
    <w:rsid w:val="00D55B61"/>
    <w:rsid w:val="00D56420"/>
    <w:rsid w:val="00D578D6"/>
    <w:rsid w:val="00D60251"/>
    <w:rsid w:val="00D61BA1"/>
    <w:rsid w:val="00D61EC4"/>
    <w:rsid w:val="00D63B93"/>
    <w:rsid w:val="00D644F7"/>
    <w:rsid w:val="00D64D43"/>
    <w:rsid w:val="00D6533E"/>
    <w:rsid w:val="00D66304"/>
    <w:rsid w:val="00D66B6B"/>
    <w:rsid w:val="00D675A8"/>
    <w:rsid w:val="00D67794"/>
    <w:rsid w:val="00D7004B"/>
    <w:rsid w:val="00D7190C"/>
    <w:rsid w:val="00D7207F"/>
    <w:rsid w:val="00D72152"/>
    <w:rsid w:val="00D72F0A"/>
    <w:rsid w:val="00D75AFF"/>
    <w:rsid w:val="00D75EC4"/>
    <w:rsid w:val="00D7634D"/>
    <w:rsid w:val="00D76DF4"/>
    <w:rsid w:val="00D816E6"/>
    <w:rsid w:val="00D830F3"/>
    <w:rsid w:val="00D84245"/>
    <w:rsid w:val="00D84264"/>
    <w:rsid w:val="00D85B2B"/>
    <w:rsid w:val="00D86727"/>
    <w:rsid w:val="00D941C7"/>
    <w:rsid w:val="00D94661"/>
    <w:rsid w:val="00D94930"/>
    <w:rsid w:val="00D95A89"/>
    <w:rsid w:val="00D95D4E"/>
    <w:rsid w:val="00D966A4"/>
    <w:rsid w:val="00D966F4"/>
    <w:rsid w:val="00D97FC7"/>
    <w:rsid w:val="00DA0EA1"/>
    <w:rsid w:val="00DA1558"/>
    <w:rsid w:val="00DA1891"/>
    <w:rsid w:val="00DA31A6"/>
    <w:rsid w:val="00DA3763"/>
    <w:rsid w:val="00DA6543"/>
    <w:rsid w:val="00DB0A43"/>
    <w:rsid w:val="00DB2A93"/>
    <w:rsid w:val="00DB6BA8"/>
    <w:rsid w:val="00DB7F50"/>
    <w:rsid w:val="00DC05C6"/>
    <w:rsid w:val="00DC0AFF"/>
    <w:rsid w:val="00DC0D5D"/>
    <w:rsid w:val="00DC0F59"/>
    <w:rsid w:val="00DC1118"/>
    <w:rsid w:val="00DC1B4D"/>
    <w:rsid w:val="00DC1EE1"/>
    <w:rsid w:val="00DC278C"/>
    <w:rsid w:val="00DC315C"/>
    <w:rsid w:val="00DC35F5"/>
    <w:rsid w:val="00DC3D99"/>
    <w:rsid w:val="00DC3E2F"/>
    <w:rsid w:val="00DC5106"/>
    <w:rsid w:val="00DC63B9"/>
    <w:rsid w:val="00DC7379"/>
    <w:rsid w:val="00DD08E9"/>
    <w:rsid w:val="00DD334E"/>
    <w:rsid w:val="00DD4B17"/>
    <w:rsid w:val="00DD53B0"/>
    <w:rsid w:val="00DD5B2C"/>
    <w:rsid w:val="00DD5CAA"/>
    <w:rsid w:val="00DD7A88"/>
    <w:rsid w:val="00DE06BD"/>
    <w:rsid w:val="00DE1107"/>
    <w:rsid w:val="00DE2848"/>
    <w:rsid w:val="00DE3511"/>
    <w:rsid w:val="00DE3CCF"/>
    <w:rsid w:val="00DE403C"/>
    <w:rsid w:val="00DE459E"/>
    <w:rsid w:val="00DE5FE8"/>
    <w:rsid w:val="00DE66E7"/>
    <w:rsid w:val="00DE7104"/>
    <w:rsid w:val="00DE7C48"/>
    <w:rsid w:val="00DF2795"/>
    <w:rsid w:val="00DF4176"/>
    <w:rsid w:val="00DF4C0F"/>
    <w:rsid w:val="00DF5045"/>
    <w:rsid w:val="00DF5BB3"/>
    <w:rsid w:val="00DF62F9"/>
    <w:rsid w:val="00DF7057"/>
    <w:rsid w:val="00DF7937"/>
    <w:rsid w:val="00E0023D"/>
    <w:rsid w:val="00E0111A"/>
    <w:rsid w:val="00E01169"/>
    <w:rsid w:val="00E017A6"/>
    <w:rsid w:val="00E02E01"/>
    <w:rsid w:val="00E04563"/>
    <w:rsid w:val="00E07309"/>
    <w:rsid w:val="00E07C98"/>
    <w:rsid w:val="00E1281A"/>
    <w:rsid w:val="00E14896"/>
    <w:rsid w:val="00E1628E"/>
    <w:rsid w:val="00E208B5"/>
    <w:rsid w:val="00E20BEE"/>
    <w:rsid w:val="00E21947"/>
    <w:rsid w:val="00E21C42"/>
    <w:rsid w:val="00E225FB"/>
    <w:rsid w:val="00E22E25"/>
    <w:rsid w:val="00E22F70"/>
    <w:rsid w:val="00E2655E"/>
    <w:rsid w:val="00E32CEB"/>
    <w:rsid w:val="00E337BC"/>
    <w:rsid w:val="00E34B24"/>
    <w:rsid w:val="00E35CAB"/>
    <w:rsid w:val="00E35CAD"/>
    <w:rsid w:val="00E37145"/>
    <w:rsid w:val="00E40019"/>
    <w:rsid w:val="00E40492"/>
    <w:rsid w:val="00E4058F"/>
    <w:rsid w:val="00E40F2A"/>
    <w:rsid w:val="00E42948"/>
    <w:rsid w:val="00E42DC1"/>
    <w:rsid w:val="00E43441"/>
    <w:rsid w:val="00E44814"/>
    <w:rsid w:val="00E44FFF"/>
    <w:rsid w:val="00E4610E"/>
    <w:rsid w:val="00E4738F"/>
    <w:rsid w:val="00E51633"/>
    <w:rsid w:val="00E5245D"/>
    <w:rsid w:val="00E5274B"/>
    <w:rsid w:val="00E549AA"/>
    <w:rsid w:val="00E54B99"/>
    <w:rsid w:val="00E55819"/>
    <w:rsid w:val="00E560F1"/>
    <w:rsid w:val="00E6161B"/>
    <w:rsid w:val="00E61FCC"/>
    <w:rsid w:val="00E62057"/>
    <w:rsid w:val="00E6290C"/>
    <w:rsid w:val="00E62ED4"/>
    <w:rsid w:val="00E6334B"/>
    <w:rsid w:val="00E651D0"/>
    <w:rsid w:val="00E653C7"/>
    <w:rsid w:val="00E67634"/>
    <w:rsid w:val="00E67763"/>
    <w:rsid w:val="00E701CD"/>
    <w:rsid w:val="00E728C5"/>
    <w:rsid w:val="00E731A1"/>
    <w:rsid w:val="00E777FD"/>
    <w:rsid w:val="00E81BCB"/>
    <w:rsid w:val="00E82AD6"/>
    <w:rsid w:val="00E82E2C"/>
    <w:rsid w:val="00E83CB6"/>
    <w:rsid w:val="00E8477B"/>
    <w:rsid w:val="00E84C73"/>
    <w:rsid w:val="00E852D3"/>
    <w:rsid w:val="00E86C6D"/>
    <w:rsid w:val="00E91F16"/>
    <w:rsid w:val="00EA0835"/>
    <w:rsid w:val="00EA12F8"/>
    <w:rsid w:val="00EA219D"/>
    <w:rsid w:val="00EA23AB"/>
    <w:rsid w:val="00EA2B7E"/>
    <w:rsid w:val="00EA6CBC"/>
    <w:rsid w:val="00EB0229"/>
    <w:rsid w:val="00EB0BA2"/>
    <w:rsid w:val="00EB113C"/>
    <w:rsid w:val="00EB178D"/>
    <w:rsid w:val="00EB2177"/>
    <w:rsid w:val="00EB225D"/>
    <w:rsid w:val="00EB3C97"/>
    <w:rsid w:val="00EB497E"/>
    <w:rsid w:val="00EB658B"/>
    <w:rsid w:val="00EB69C2"/>
    <w:rsid w:val="00EB74C1"/>
    <w:rsid w:val="00EC18F1"/>
    <w:rsid w:val="00EC2B47"/>
    <w:rsid w:val="00EC2C8C"/>
    <w:rsid w:val="00EC3079"/>
    <w:rsid w:val="00EC44CD"/>
    <w:rsid w:val="00EC454B"/>
    <w:rsid w:val="00EC4D79"/>
    <w:rsid w:val="00EC511E"/>
    <w:rsid w:val="00EC5F37"/>
    <w:rsid w:val="00ED1496"/>
    <w:rsid w:val="00ED187D"/>
    <w:rsid w:val="00ED27CB"/>
    <w:rsid w:val="00ED2997"/>
    <w:rsid w:val="00ED3B99"/>
    <w:rsid w:val="00ED5530"/>
    <w:rsid w:val="00ED67F0"/>
    <w:rsid w:val="00ED7DAF"/>
    <w:rsid w:val="00ED7F88"/>
    <w:rsid w:val="00EE3498"/>
    <w:rsid w:val="00EE3BB1"/>
    <w:rsid w:val="00EE50B9"/>
    <w:rsid w:val="00EE5257"/>
    <w:rsid w:val="00EE7488"/>
    <w:rsid w:val="00EE7EA8"/>
    <w:rsid w:val="00EF04A1"/>
    <w:rsid w:val="00EF05E6"/>
    <w:rsid w:val="00EF1488"/>
    <w:rsid w:val="00EF1E76"/>
    <w:rsid w:val="00EF3FF1"/>
    <w:rsid w:val="00EF4571"/>
    <w:rsid w:val="00EF564A"/>
    <w:rsid w:val="00EF72E5"/>
    <w:rsid w:val="00EF778C"/>
    <w:rsid w:val="00F02D20"/>
    <w:rsid w:val="00F03EAC"/>
    <w:rsid w:val="00F0584C"/>
    <w:rsid w:val="00F05FB0"/>
    <w:rsid w:val="00F10080"/>
    <w:rsid w:val="00F113B0"/>
    <w:rsid w:val="00F11B8A"/>
    <w:rsid w:val="00F1264C"/>
    <w:rsid w:val="00F1534B"/>
    <w:rsid w:val="00F16179"/>
    <w:rsid w:val="00F17F04"/>
    <w:rsid w:val="00F20246"/>
    <w:rsid w:val="00F22756"/>
    <w:rsid w:val="00F233D8"/>
    <w:rsid w:val="00F25618"/>
    <w:rsid w:val="00F2761F"/>
    <w:rsid w:val="00F312FC"/>
    <w:rsid w:val="00F31D7C"/>
    <w:rsid w:val="00F31EB6"/>
    <w:rsid w:val="00F34773"/>
    <w:rsid w:val="00F34DC7"/>
    <w:rsid w:val="00F358A8"/>
    <w:rsid w:val="00F363B9"/>
    <w:rsid w:val="00F40BFC"/>
    <w:rsid w:val="00F41101"/>
    <w:rsid w:val="00F42C31"/>
    <w:rsid w:val="00F432B1"/>
    <w:rsid w:val="00F4350A"/>
    <w:rsid w:val="00F44A8B"/>
    <w:rsid w:val="00F45328"/>
    <w:rsid w:val="00F508A3"/>
    <w:rsid w:val="00F51096"/>
    <w:rsid w:val="00F517C3"/>
    <w:rsid w:val="00F51CD7"/>
    <w:rsid w:val="00F52075"/>
    <w:rsid w:val="00F52EEF"/>
    <w:rsid w:val="00F5330E"/>
    <w:rsid w:val="00F551D5"/>
    <w:rsid w:val="00F57548"/>
    <w:rsid w:val="00F605E4"/>
    <w:rsid w:val="00F606ED"/>
    <w:rsid w:val="00F60856"/>
    <w:rsid w:val="00F63CFD"/>
    <w:rsid w:val="00F63D21"/>
    <w:rsid w:val="00F64434"/>
    <w:rsid w:val="00F64482"/>
    <w:rsid w:val="00F64498"/>
    <w:rsid w:val="00F64579"/>
    <w:rsid w:val="00F65568"/>
    <w:rsid w:val="00F65623"/>
    <w:rsid w:val="00F65B8F"/>
    <w:rsid w:val="00F66B71"/>
    <w:rsid w:val="00F67A22"/>
    <w:rsid w:val="00F67D08"/>
    <w:rsid w:val="00F67EFB"/>
    <w:rsid w:val="00F7083B"/>
    <w:rsid w:val="00F70CBA"/>
    <w:rsid w:val="00F7168B"/>
    <w:rsid w:val="00F742F1"/>
    <w:rsid w:val="00F74832"/>
    <w:rsid w:val="00F759F4"/>
    <w:rsid w:val="00F7660E"/>
    <w:rsid w:val="00F77803"/>
    <w:rsid w:val="00F77947"/>
    <w:rsid w:val="00F8057F"/>
    <w:rsid w:val="00F805C2"/>
    <w:rsid w:val="00F810C0"/>
    <w:rsid w:val="00F81430"/>
    <w:rsid w:val="00F818E2"/>
    <w:rsid w:val="00F86DAF"/>
    <w:rsid w:val="00F90F78"/>
    <w:rsid w:val="00F92C1F"/>
    <w:rsid w:val="00F93877"/>
    <w:rsid w:val="00F93EB8"/>
    <w:rsid w:val="00F93EF3"/>
    <w:rsid w:val="00F945CD"/>
    <w:rsid w:val="00F94E99"/>
    <w:rsid w:val="00F96986"/>
    <w:rsid w:val="00FA27DF"/>
    <w:rsid w:val="00FA33A5"/>
    <w:rsid w:val="00FA4826"/>
    <w:rsid w:val="00FA4EE7"/>
    <w:rsid w:val="00FA5476"/>
    <w:rsid w:val="00FA74C7"/>
    <w:rsid w:val="00FA7CC4"/>
    <w:rsid w:val="00FB3C03"/>
    <w:rsid w:val="00FB65AE"/>
    <w:rsid w:val="00FC060E"/>
    <w:rsid w:val="00FC159E"/>
    <w:rsid w:val="00FC1EFA"/>
    <w:rsid w:val="00FC2CB8"/>
    <w:rsid w:val="00FC3698"/>
    <w:rsid w:val="00FC3E35"/>
    <w:rsid w:val="00FC429E"/>
    <w:rsid w:val="00FC42D5"/>
    <w:rsid w:val="00FC661B"/>
    <w:rsid w:val="00FC7C0C"/>
    <w:rsid w:val="00FC7FD0"/>
    <w:rsid w:val="00FD0408"/>
    <w:rsid w:val="00FD1841"/>
    <w:rsid w:val="00FD24FF"/>
    <w:rsid w:val="00FD39DE"/>
    <w:rsid w:val="00FD49D7"/>
    <w:rsid w:val="00FD6082"/>
    <w:rsid w:val="00FD69C9"/>
    <w:rsid w:val="00FD7D68"/>
    <w:rsid w:val="00FE0469"/>
    <w:rsid w:val="00FE0A11"/>
    <w:rsid w:val="00FE0D9F"/>
    <w:rsid w:val="00FE1194"/>
    <w:rsid w:val="00FE1381"/>
    <w:rsid w:val="00FE20C4"/>
    <w:rsid w:val="00FE2AF3"/>
    <w:rsid w:val="00FE3D79"/>
    <w:rsid w:val="00FE4718"/>
    <w:rsid w:val="00FE79C3"/>
    <w:rsid w:val="00FE7A1F"/>
    <w:rsid w:val="00FF1726"/>
    <w:rsid w:val="00FF34B2"/>
    <w:rsid w:val="00FF42EE"/>
    <w:rsid w:val="00FF478B"/>
    <w:rsid w:val="00FF5BB4"/>
    <w:rsid w:val="00FF67C0"/>
    <w:rsid w:val="011511BA"/>
    <w:rsid w:val="012A4899"/>
    <w:rsid w:val="012F2443"/>
    <w:rsid w:val="014868D6"/>
    <w:rsid w:val="015679D0"/>
    <w:rsid w:val="016E044A"/>
    <w:rsid w:val="01804694"/>
    <w:rsid w:val="01875DDB"/>
    <w:rsid w:val="01A00C4B"/>
    <w:rsid w:val="02052180"/>
    <w:rsid w:val="024535A0"/>
    <w:rsid w:val="02B726F0"/>
    <w:rsid w:val="033514A1"/>
    <w:rsid w:val="03B409DD"/>
    <w:rsid w:val="03C36E72"/>
    <w:rsid w:val="03DE3CAC"/>
    <w:rsid w:val="03F4527E"/>
    <w:rsid w:val="04187CA9"/>
    <w:rsid w:val="046E5030"/>
    <w:rsid w:val="04820ADC"/>
    <w:rsid w:val="04A70542"/>
    <w:rsid w:val="04BE2226"/>
    <w:rsid w:val="05087233"/>
    <w:rsid w:val="05094D59"/>
    <w:rsid w:val="05704DD8"/>
    <w:rsid w:val="05900FD6"/>
    <w:rsid w:val="061F2A86"/>
    <w:rsid w:val="06310712"/>
    <w:rsid w:val="064E6EC7"/>
    <w:rsid w:val="06585F98"/>
    <w:rsid w:val="06B70F10"/>
    <w:rsid w:val="06CC4290"/>
    <w:rsid w:val="06CE0A83"/>
    <w:rsid w:val="0708351A"/>
    <w:rsid w:val="073D5180"/>
    <w:rsid w:val="07677AD1"/>
    <w:rsid w:val="076D38BD"/>
    <w:rsid w:val="07AC659B"/>
    <w:rsid w:val="07B74F40"/>
    <w:rsid w:val="07DD49A7"/>
    <w:rsid w:val="09091E10"/>
    <w:rsid w:val="099A5574"/>
    <w:rsid w:val="09BB0D18"/>
    <w:rsid w:val="09F36E1A"/>
    <w:rsid w:val="0A1B7A08"/>
    <w:rsid w:val="0A544CC8"/>
    <w:rsid w:val="0A6C2012"/>
    <w:rsid w:val="0A951569"/>
    <w:rsid w:val="0AAB0D8C"/>
    <w:rsid w:val="0AFF69E2"/>
    <w:rsid w:val="0B375B07"/>
    <w:rsid w:val="0B667E81"/>
    <w:rsid w:val="0C13466E"/>
    <w:rsid w:val="0C482343"/>
    <w:rsid w:val="0C4A6383"/>
    <w:rsid w:val="0C965124"/>
    <w:rsid w:val="0D0E5602"/>
    <w:rsid w:val="0D29279E"/>
    <w:rsid w:val="0D783CF0"/>
    <w:rsid w:val="0DB937C0"/>
    <w:rsid w:val="0DDE4FD5"/>
    <w:rsid w:val="0E146C48"/>
    <w:rsid w:val="0E3523B0"/>
    <w:rsid w:val="0E5C44FB"/>
    <w:rsid w:val="0E875EED"/>
    <w:rsid w:val="0EE77EB9"/>
    <w:rsid w:val="0EF425D6"/>
    <w:rsid w:val="0F0D5446"/>
    <w:rsid w:val="0F16079E"/>
    <w:rsid w:val="0F4A4FC1"/>
    <w:rsid w:val="0F953749"/>
    <w:rsid w:val="10120F66"/>
    <w:rsid w:val="102351BA"/>
    <w:rsid w:val="106E75C3"/>
    <w:rsid w:val="10EC52D4"/>
    <w:rsid w:val="11212D68"/>
    <w:rsid w:val="112E1DCF"/>
    <w:rsid w:val="11346136"/>
    <w:rsid w:val="115A77AB"/>
    <w:rsid w:val="118A7F89"/>
    <w:rsid w:val="12C4449F"/>
    <w:rsid w:val="130D010A"/>
    <w:rsid w:val="13392CAD"/>
    <w:rsid w:val="13545BBB"/>
    <w:rsid w:val="136E53A1"/>
    <w:rsid w:val="139E0D62"/>
    <w:rsid w:val="14103A0E"/>
    <w:rsid w:val="146A26EA"/>
    <w:rsid w:val="14847F58"/>
    <w:rsid w:val="14DC5FE6"/>
    <w:rsid w:val="15226884"/>
    <w:rsid w:val="15671D54"/>
    <w:rsid w:val="156E69A1"/>
    <w:rsid w:val="163F4A7E"/>
    <w:rsid w:val="165536DA"/>
    <w:rsid w:val="16677B31"/>
    <w:rsid w:val="16BF171B"/>
    <w:rsid w:val="16D05547"/>
    <w:rsid w:val="16E82A20"/>
    <w:rsid w:val="16F94449"/>
    <w:rsid w:val="17563E2E"/>
    <w:rsid w:val="1767603B"/>
    <w:rsid w:val="17931E22"/>
    <w:rsid w:val="17D3547E"/>
    <w:rsid w:val="183127F8"/>
    <w:rsid w:val="18704CB4"/>
    <w:rsid w:val="189C7F66"/>
    <w:rsid w:val="18CC5168"/>
    <w:rsid w:val="18F30AA8"/>
    <w:rsid w:val="192E28F8"/>
    <w:rsid w:val="19834C82"/>
    <w:rsid w:val="1A073B05"/>
    <w:rsid w:val="1A7B1DFD"/>
    <w:rsid w:val="1A844933"/>
    <w:rsid w:val="1AB01AA7"/>
    <w:rsid w:val="1AE003F2"/>
    <w:rsid w:val="1AFE6CB6"/>
    <w:rsid w:val="1B1A7868"/>
    <w:rsid w:val="1B210BF7"/>
    <w:rsid w:val="1B5231B9"/>
    <w:rsid w:val="1C694603"/>
    <w:rsid w:val="1CC95462"/>
    <w:rsid w:val="1D0A083A"/>
    <w:rsid w:val="1D1A3B4F"/>
    <w:rsid w:val="1E663434"/>
    <w:rsid w:val="1E674B72"/>
    <w:rsid w:val="1EA511EA"/>
    <w:rsid w:val="1F093E7B"/>
    <w:rsid w:val="1F122276"/>
    <w:rsid w:val="1F1C5C55"/>
    <w:rsid w:val="1F6B2440"/>
    <w:rsid w:val="1F996FAD"/>
    <w:rsid w:val="1FE67A0D"/>
    <w:rsid w:val="20120B0E"/>
    <w:rsid w:val="20EF2BFD"/>
    <w:rsid w:val="21262AC3"/>
    <w:rsid w:val="214B42D7"/>
    <w:rsid w:val="216B497A"/>
    <w:rsid w:val="218B0B78"/>
    <w:rsid w:val="22C80A1D"/>
    <w:rsid w:val="236478D2"/>
    <w:rsid w:val="238E2BA1"/>
    <w:rsid w:val="240864B0"/>
    <w:rsid w:val="242D5C43"/>
    <w:rsid w:val="245142FB"/>
    <w:rsid w:val="245F009A"/>
    <w:rsid w:val="247955FF"/>
    <w:rsid w:val="25341526"/>
    <w:rsid w:val="253D662D"/>
    <w:rsid w:val="2561056D"/>
    <w:rsid w:val="26526108"/>
    <w:rsid w:val="2685028B"/>
    <w:rsid w:val="26B4291F"/>
    <w:rsid w:val="26CD1C32"/>
    <w:rsid w:val="273B4DEE"/>
    <w:rsid w:val="27F54F9D"/>
    <w:rsid w:val="28E92B74"/>
    <w:rsid w:val="29141CEC"/>
    <w:rsid w:val="295B52D4"/>
    <w:rsid w:val="29791BFE"/>
    <w:rsid w:val="297B3BC8"/>
    <w:rsid w:val="29E727C7"/>
    <w:rsid w:val="2A1060BE"/>
    <w:rsid w:val="2A3224D8"/>
    <w:rsid w:val="2A67266B"/>
    <w:rsid w:val="2A790107"/>
    <w:rsid w:val="2A9124B6"/>
    <w:rsid w:val="2B1013E7"/>
    <w:rsid w:val="2BAC0068"/>
    <w:rsid w:val="2BE9306B"/>
    <w:rsid w:val="2C1C51EE"/>
    <w:rsid w:val="2CE35D0C"/>
    <w:rsid w:val="2CF17ED9"/>
    <w:rsid w:val="2D095047"/>
    <w:rsid w:val="2D104A12"/>
    <w:rsid w:val="2D491F9E"/>
    <w:rsid w:val="2D4A5D8B"/>
    <w:rsid w:val="2DD6396D"/>
    <w:rsid w:val="2DF61A6F"/>
    <w:rsid w:val="2E3D31FA"/>
    <w:rsid w:val="2E495DE7"/>
    <w:rsid w:val="2E5D1AEE"/>
    <w:rsid w:val="2E6B5FB9"/>
    <w:rsid w:val="2E9559E1"/>
    <w:rsid w:val="2EF44200"/>
    <w:rsid w:val="2F01691D"/>
    <w:rsid w:val="2F0342D0"/>
    <w:rsid w:val="2F034443"/>
    <w:rsid w:val="2F20599A"/>
    <w:rsid w:val="2F2D7712"/>
    <w:rsid w:val="2F6F7D2B"/>
    <w:rsid w:val="2F72726C"/>
    <w:rsid w:val="2F7E7F6E"/>
    <w:rsid w:val="2F835584"/>
    <w:rsid w:val="2F866E22"/>
    <w:rsid w:val="2FB67708"/>
    <w:rsid w:val="2FBD0A96"/>
    <w:rsid w:val="2FD14541"/>
    <w:rsid w:val="2FDE6C5E"/>
    <w:rsid w:val="2FE50BA9"/>
    <w:rsid w:val="30451BBC"/>
    <w:rsid w:val="30DF4A3C"/>
    <w:rsid w:val="317F0BCA"/>
    <w:rsid w:val="3195334D"/>
    <w:rsid w:val="31CC2E8C"/>
    <w:rsid w:val="31CC4FC0"/>
    <w:rsid w:val="31D82DA0"/>
    <w:rsid w:val="32081D71"/>
    <w:rsid w:val="320D7387"/>
    <w:rsid w:val="32132BEF"/>
    <w:rsid w:val="32832A04"/>
    <w:rsid w:val="32A058A2"/>
    <w:rsid w:val="32A61CB5"/>
    <w:rsid w:val="32D3412D"/>
    <w:rsid w:val="333A41AC"/>
    <w:rsid w:val="334868C9"/>
    <w:rsid w:val="33490893"/>
    <w:rsid w:val="33F36147"/>
    <w:rsid w:val="342A4220"/>
    <w:rsid w:val="34390907"/>
    <w:rsid w:val="345C6E70"/>
    <w:rsid w:val="34C35C01"/>
    <w:rsid w:val="34DA5C46"/>
    <w:rsid w:val="354041AE"/>
    <w:rsid w:val="35814314"/>
    <w:rsid w:val="35B04BF9"/>
    <w:rsid w:val="35FD3267"/>
    <w:rsid w:val="36140CE4"/>
    <w:rsid w:val="36287465"/>
    <w:rsid w:val="368A71F8"/>
    <w:rsid w:val="36A007CA"/>
    <w:rsid w:val="372C6501"/>
    <w:rsid w:val="373B6744"/>
    <w:rsid w:val="376161AB"/>
    <w:rsid w:val="37734130"/>
    <w:rsid w:val="379F0A81"/>
    <w:rsid w:val="37DC1CD5"/>
    <w:rsid w:val="37F36AAC"/>
    <w:rsid w:val="37F963E3"/>
    <w:rsid w:val="382D2F86"/>
    <w:rsid w:val="388859B9"/>
    <w:rsid w:val="38A87E0A"/>
    <w:rsid w:val="38B844F1"/>
    <w:rsid w:val="38EA6674"/>
    <w:rsid w:val="38EC7CF6"/>
    <w:rsid w:val="391C28EE"/>
    <w:rsid w:val="39287538"/>
    <w:rsid w:val="392E09A2"/>
    <w:rsid w:val="393F251C"/>
    <w:rsid w:val="397D1296"/>
    <w:rsid w:val="39DC10A9"/>
    <w:rsid w:val="39E210F9"/>
    <w:rsid w:val="3A241712"/>
    <w:rsid w:val="3A6C3919"/>
    <w:rsid w:val="3AB42A96"/>
    <w:rsid w:val="3AB94550"/>
    <w:rsid w:val="3AD60CE0"/>
    <w:rsid w:val="3AFA638A"/>
    <w:rsid w:val="3B1479D8"/>
    <w:rsid w:val="3B7A0F58"/>
    <w:rsid w:val="3B8331C0"/>
    <w:rsid w:val="3BA752A4"/>
    <w:rsid w:val="3C672EE2"/>
    <w:rsid w:val="3CA803D8"/>
    <w:rsid w:val="3CB90837"/>
    <w:rsid w:val="3CCD42E3"/>
    <w:rsid w:val="3D0221DE"/>
    <w:rsid w:val="3D075784"/>
    <w:rsid w:val="3D0D46DF"/>
    <w:rsid w:val="3D456865"/>
    <w:rsid w:val="3D954E00"/>
    <w:rsid w:val="3DF02037"/>
    <w:rsid w:val="3E35213F"/>
    <w:rsid w:val="3E4101E2"/>
    <w:rsid w:val="3E9C3F6D"/>
    <w:rsid w:val="3F0044FB"/>
    <w:rsid w:val="3F275F2C"/>
    <w:rsid w:val="3F43263A"/>
    <w:rsid w:val="3F56236D"/>
    <w:rsid w:val="3F880CFE"/>
    <w:rsid w:val="3FD87226"/>
    <w:rsid w:val="400712C3"/>
    <w:rsid w:val="40DB5220"/>
    <w:rsid w:val="40E51BFB"/>
    <w:rsid w:val="410C108E"/>
    <w:rsid w:val="41313092"/>
    <w:rsid w:val="41361594"/>
    <w:rsid w:val="41367B64"/>
    <w:rsid w:val="42213106"/>
    <w:rsid w:val="425569F1"/>
    <w:rsid w:val="42725710"/>
    <w:rsid w:val="427B074B"/>
    <w:rsid w:val="42EC7446"/>
    <w:rsid w:val="42FE2D71"/>
    <w:rsid w:val="430C76E0"/>
    <w:rsid w:val="4352109E"/>
    <w:rsid w:val="4379487C"/>
    <w:rsid w:val="438A6A89"/>
    <w:rsid w:val="439B0C97"/>
    <w:rsid w:val="43F959BD"/>
    <w:rsid w:val="441F5424"/>
    <w:rsid w:val="442B0DDF"/>
    <w:rsid w:val="4441183E"/>
    <w:rsid w:val="44AB4F09"/>
    <w:rsid w:val="45060392"/>
    <w:rsid w:val="45352A25"/>
    <w:rsid w:val="453B022E"/>
    <w:rsid w:val="45B44292"/>
    <w:rsid w:val="45CD1983"/>
    <w:rsid w:val="45F72580"/>
    <w:rsid w:val="46032B23"/>
    <w:rsid w:val="46340F2E"/>
    <w:rsid w:val="46A71700"/>
    <w:rsid w:val="46BA1434"/>
    <w:rsid w:val="46E12E64"/>
    <w:rsid w:val="46FF32EA"/>
    <w:rsid w:val="474F17A4"/>
    <w:rsid w:val="47691737"/>
    <w:rsid w:val="477517FF"/>
    <w:rsid w:val="47866373"/>
    <w:rsid w:val="47947ED7"/>
    <w:rsid w:val="47A2039B"/>
    <w:rsid w:val="4860425D"/>
    <w:rsid w:val="487876B6"/>
    <w:rsid w:val="48960B41"/>
    <w:rsid w:val="48B1644C"/>
    <w:rsid w:val="491E5D2B"/>
    <w:rsid w:val="49261002"/>
    <w:rsid w:val="493733B5"/>
    <w:rsid w:val="49AE2DA6"/>
    <w:rsid w:val="4A3E05CE"/>
    <w:rsid w:val="4A5C2802"/>
    <w:rsid w:val="4A77763C"/>
    <w:rsid w:val="4A9A3CB3"/>
    <w:rsid w:val="4A9B77CE"/>
    <w:rsid w:val="4AAC19DB"/>
    <w:rsid w:val="4AD32662"/>
    <w:rsid w:val="4AE7656F"/>
    <w:rsid w:val="4B15132F"/>
    <w:rsid w:val="4BAE1108"/>
    <w:rsid w:val="4BAF1783"/>
    <w:rsid w:val="4C290139"/>
    <w:rsid w:val="4C4C62F7"/>
    <w:rsid w:val="4C9B5863"/>
    <w:rsid w:val="4CC748AA"/>
    <w:rsid w:val="4D1C5EE9"/>
    <w:rsid w:val="4DB56DF9"/>
    <w:rsid w:val="4DBC2D6E"/>
    <w:rsid w:val="4DEF24B1"/>
    <w:rsid w:val="4E2875CB"/>
    <w:rsid w:val="4F226745"/>
    <w:rsid w:val="4F3A7FB9"/>
    <w:rsid w:val="4F6E04C0"/>
    <w:rsid w:val="4F756840"/>
    <w:rsid w:val="50412BC6"/>
    <w:rsid w:val="50566671"/>
    <w:rsid w:val="505F4DFA"/>
    <w:rsid w:val="50720FD1"/>
    <w:rsid w:val="50CE10DD"/>
    <w:rsid w:val="50DD28EE"/>
    <w:rsid w:val="50E7551B"/>
    <w:rsid w:val="516C0C17"/>
    <w:rsid w:val="51713BAA"/>
    <w:rsid w:val="517A013D"/>
    <w:rsid w:val="51997C86"/>
    <w:rsid w:val="52641FE4"/>
    <w:rsid w:val="527C7EE5"/>
    <w:rsid w:val="52AA4A52"/>
    <w:rsid w:val="53492B23"/>
    <w:rsid w:val="5358625C"/>
    <w:rsid w:val="53C71634"/>
    <w:rsid w:val="53E73A84"/>
    <w:rsid w:val="543C792C"/>
    <w:rsid w:val="54435173"/>
    <w:rsid w:val="54AD25D8"/>
    <w:rsid w:val="559612BE"/>
    <w:rsid w:val="55EC6C9F"/>
    <w:rsid w:val="55F06C20"/>
    <w:rsid w:val="56721C4F"/>
    <w:rsid w:val="5674401F"/>
    <w:rsid w:val="56764C4B"/>
    <w:rsid w:val="571F6064"/>
    <w:rsid w:val="577B4C0F"/>
    <w:rsid w:val="578A30A4"/>
    <w:rsid w:val="57EB16B7"/>
    <w:rsid w:val="580746F5"/>
    <w:rsid w:val="58415EB1"/>
    <w:rsid w:val="587D6765"/>
    <w:rsid w:val="58823D7B"/>
    <w:rsid w:val="58B06B3A"/>
    <w:rsid w:val="58BD6B62"/>
    <w:rsid w:val="58CD3249"/>
    <w:rsid w:val="58E32A6C"/>
    <w:rsid w:val="597933D0"/>
    <w:rsid w:val="599E2E37"/>
    <w:rsid w:val="59B12B6A"/>
    <w:rsid w:val="5A8E4C59"/>
    <w:rsid w:val="5AB20948"/>
    <w:rsid w:val="5B24736C"/>
    <w:rsid w:val="5B372BFB"/>
    <w:rsid w:val="5B6B6D49"/>
    <w:rsid w:val="5B721E85"/>
    <w:rsid w:val="5B871DD5"/>
    <w:rsid w:val="5BF154A0"/>
    <w:rsid w:val="5C545A2F"/>
    <w:rsid w:val="5CAB1AF3"/>
    <w:rsid w:val="5D4D4EC0"/>
    <w:rsid w:val="5E282CCF"/>
    <w:rsid w:val="5E5D506F"/>
    <w:rsid w:val="5ED63826"/>
    <w:rsid w:val="5F1020E1"/>
    <w:rsid w:val="5F272D94"/>
    <w:rsid w:val="5F685A79"/>
    <w:rsid w:val="60496DBA"/>
    <w:rsid w:val="60685804"/>
    <w:rsid w:val="60D90D70"/>
    <w:rsid w:val="60DC1E35"/>
    <w:rsid w:val="61047FA7"/>
    <w:rsid w:val="613E56A3"/>
    <w:rsid w:val="6149725F"/>
    <w:rsid w:val="616B7AA3"/>
    <w:rsid w:val="61761FA3"/>
    <w:rsid w:val="61EF2482"/>
    <w:rsid w:val="63552143"/>
    <w:rsid w:val="63844E4C"/>
    <w:rsid w:val="63C11BFC"/>
    <w:rsid w:val="63DC4C88"/>
    <w:rsid w:val="63DD79BD"/>
    <w:rsid w:val="63F37973"/>
    <w:rsid w:val="642A77A1"/>
    <w:rsid w:val="64545489"/>
    <w:rsid w:val="64567F98"/>
    <w:rsid w:val="646D768E"/>
    <w:rsid w:val="64A82DBC"/>
    <w:rsid w:val="64E738E4"/>
    <w:rsid w:val="65095741"/>
    <w:rsid w:val="65314B5F"/>
    <w:rsid w:val="656E190F"/>
    <w:rsid w:val="65D5373C"/>
    <w:rsid w:val="66081D64"/>
    <w:rsid w:val="6683763C"/>
    <w:rsid w:val="668D04BB"/>
    <w:rsid w:val="66D103A8"/>
    <w:rsid w:val="66D439F4"/>
    <w:rsid w:val="674E7C4A"/>
    <w:rsid w:val="67D0065F"/>
    <w:rsid w:val="6837248C"/>
    <w:rsid w:val="68534DEC"/>
    <w:rsid w:val="688B4586"/>
    <w:rsid w:val="68A839E0"/>
    <w:rsid w:val="68CA1553"/>
    <w:rsid w:val="690D143F"/>
    <w:rsid w:val="69262831"/>
    <w:rsid w:val="692A0243"/>
    <w:rsid w:val="692F7608"/>
    <w:rsid w:val="696C260A"/>
    <w:rsid w:val="6A072332"/>
    <w:rsid w:val="6AB46016"/>
    <w:rsid w:val="6AC975E8"/>
    <w:rsid w:val="6AEF52A0"/>
    <w:rsid w:val="6AF32CE1"/>
    <w:rsid w:val="6B3E697D"/>
    <w:rsid w:val="6B6F63E1"/>
    <w:rsid w:val="6BA53BB1"/>
    <w:rsid w:val="6BFF7765"/>
    <w:rsid w:val="6C101972"/>
    <w:rsid w:val="6C16685D"/>
    <w:rsid w:val="6C47110C"/>
    <w:rsid w:val="6C5D10A4"/>
    <w:rsid w:val="6C8574C7"/>
    <w:rsid w:val="6C9A123C"/>
    <w:rsid w:val="6CBD4F2A"/>
    <w:rsid w:val="6CD209D6"/>
    <w:rsid w:val="6D1E4D0E"/>
    <w:rsid w:val="6D371181"/>
    <w:rsid w:val="6D480C98"/>
    <w:rsid w:val="6D4A605D"/>
    <w:rsid w:val="6D667370"/>
    <w:rsid w:val="6D851EB3"/>
    <w:rsid w:val="6E3C6504"/>
    <w:rsid w:val="6EE125CF"/>
    <w:rsid w:val="6F3335BA"/>
    <w:rsid w:val="6F437969"/>
    <w:rsid w:val="6F4B4BFB"/>
    <w:rsid w:val="702032C5"/>
    <w:rsid w:val="706A1AA4"/>
    <w:rsid w:val="70787AE6"/>
    <w:rsid w:val="70C81132"/>
    <w:rsid w:val="715F2A54"/>
    <w:rsid w:val="71A11A70"/>
    <w:rsid w:val="7292342F"/>
    <w:rsid w:val="72DF2055"/>
    <w:rsid w:val="73075151"/>
    <w:rsid w:val="73133AF6"/>
    <w:rsid w:val="733F2B3D"/>
    <w:rsid w:val="73415B78"/>
    <w:rsid w:val="735812E0"/>
    <w:rsid w:val="735A1725"/>
    <w:rsid w:val="73722F12"/>
    <w:rsid w:val="73C117A4"/>
    <w:rsid w:val="74024296"/>
    <w:rsid w:val="74D00BBF"/>
    <w:rsid w:val="75AA6994"/>
    <w:rsid w:val="75AB44BA"/>
    <w:rsid w:val="75D457BF"/>
    <w:rsid w:val="75DE1077"/>
    <w:rsid w:val="769006E4"/>
    <w:rsid w:val="76A038F3"/>
    <w:rsid w:val="76A76695"/>
    <w:rsid w:val="76D67314"/>
    <w:rsid w:val="76E521D9"/>
    <w:rsid w:val="77275DC2"/>
    <w:rsid w:val="776318B7"/>
    <w:rsid w:val="77C8281B"/>
    <w:rsid w:val="77DD48C7"/>
    <w:rsid w:val="77DE0A3F"/>
    <w:rsid w:val="78250553"/>
    <w:rsid w:val="78306EF8"/>
    <w:rsid w:val="78986F77"/>
    <w:rsid w:val="792627D5"/>
    <w:rsid w:val="792C3B64"/>
    <w:rsid w:val="79B7342D"/>
    <w:rsid w:val="79DC10E6"/>
    <w:rsid w:val="7A241826"/>
    <w:rsid w:val="7A5E7D4D"/>
    <w:rsid w:val="7AB7745D"/>
    <w:rsid w:val="7ADB139D"/>
    <w:rsid w:val="7B356567"/>
    <w:rsid w:val="7B42766E"/>
    <w:rsid w:val="7B7B6CE0"/>
    <w:rsid w:val="7BF46DF7"/>
    <w:rsid w:val="7BF546E1"/>
    <w:rsid w:val="7C02295A"/>
    <w:rsid w:val="7C291D08"/>
    <w:rsid w:val="7C29438A"/>
    <w:rsid w:val="7C457D32"/>
    <w:rsid w:val="7C5F7DAC"/>
    <w:rsid w:val="7C8021FC"/>
    <w:rsid w:val="7C995C7B"/>
    <w:rsid w:val="7D391C6F"/>
    <w:rsid w:val="7D8E53BA"/>
    <w:rsid w:val="7D910439"/>
    <w:rsid w:val="7DCE7B8A"/>
    <w:rsid w:val="7EB51F05"/>
    <w:rsid w:val="7EC5039A"/>
    <w:rsid w:val="7F160BF6"/>
    <w:rsid w:val="7F1C1F84"/>
    <w:rsid w:val="7F4339B5"/>
    <w:rsid w:val="7F791185"/>
    <w:rsid w:val="7F9D1317"/>
    <w:rsid w:val="7FCC39AA"/>
    <w:rsid w:val="7FD76909"/>
    <w:rsid w:val="7FE42A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6"/>
    <w:qFormat/>
    <w:uiPriority w:val="9"/>
    <w:pPr>
      <w:keepNext/>
      <w:keepLines/>
      <w:widowControl/>
      <w:adjustRightInd w:val="0"/>
      <w:snapToGrid w:val="0"/>
      <w:jc w:val="left"/>
      <w:outlineLvl w:val="0"/>
    </w:pPr>
    <w:rPr>
      <w:rFonts w:ascii="Tahoma" w:hAnsi="Tahoma" w:eastAsia="微软雅黑" w:cs="Times New Roman"/>
      <w:b/>
      <w:bCs/>
      <w:kern w:val="44"/>
      <w:sz w:val="30"/>
      <w:szCs w:val="44"/>
    </w:rPr>
  </w:style>
  <w:style w:type="paragraph" w:styleId="3">
    <w:name w:val="heading 2"/>
    <w:basedOn w:val="1"/>
    <w:next w:val="1"/>
    <w:link w:val="37"/>
    <w:qFormat/>
    <w:uiPriority w:val="9"/>
    <w:pPr>
      <w:keepNext/>
      <w:keepLines/>
      <w:spacing w:before="260" w:after="260" w:afterAutospacing="1" w:line="416" w:lineRule="auto"/>
      <w:outlineLvl w:val="1"/>
    </w:pPr>
    <w:rPr>
      <w:rFonts w:ascii="Cambria" w:hAnsi="Cambria" w:eastAsia="宋体" w:cs="Times New Roman"/>
      <w:b/>
      <w:bCs/>
      <w:kern w:val="0"/>
      <w:sz w:val="32"/>
      <w:szCs w:val="32"/>
    </w:rPr>
  </w:style>
  <w:style w:type="paragraph" w:styleId="4">
    <w:name w:val="heading 3"/>
    <w:basedOn w:val="1"/>
    <w:next w:val="1"/>
    <w:semiHidden/>
    <w:unhideWhenUsed/>
    <w:qFormat/>
    <w:uiPriority w:val="9"/>
    <w:pPr>
      <w:spacing w:beforeAutospacing="1" w:afterAutospacing="1"/>
      <w:jc w:val="left"/>
      <w:outlineLvl w:val="2"/>
    </w:pPr>
    <w:rPr>
      <w:rFonts w:hint="eastAsia" w:ascii="宋体" w:hAnsi="宋体" w:eastAsia="宋体" w:cs="Times New Roman"/>
      <w:b/>
      <w:bCs/>
      <w:kern w:val="0"/>
      <w:sz w:val="27"/>
      <w:szCs w:val="27"/>
    </w:rPr>
  </w:style>
  <w:style w:type="paragraph" w:styleId="5">
    <w:name w:val="heading 4"/>
    <w:basedOn w:val="1"/>
    <w:next w:val="1"/>
    <w:semiHidden/>
    <w:unhideWhenUsed/>
    <w:qFormat/>
    <w:uiPriority w:val="9"/>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6">
    <w:name w:val="heading 5"/>
    <w:basedOn w:val="1"/>
    <w:next w:val="1"/>
    <w:semiHidden/>
    <w:unhideWhenUsed/>
    <w:qFormat/>
    <w:uiPriority w:val="9"/>
    <w:pPr>
      <w:spacing w:before="0" w:beforeAutospacing="1" w:after="0" w:afterAutospacing="1"/>
      <w:jc w:val="left"/>
    </w:pPr>
    <w:rPr>
      <w:rFonts w:hint="eastAsia" w:ascii="宋体" w:hAnsi="宋体" w:eastAsia="宋体" w:cs="宋体"/>
      <w:b/>
      <w:bCs/>
      <w:kern w:val="0"/>
      <w:sz w:val="20"/>
      <w:szCs w:val="20"/>
      <w:lang w:val="en-US" w:eastAsia="zh-CN" w:bidi="ar"/>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7">
    <w:name w:val="annotation text"/>
    <w:basedOn w:val="1"/>
    <w:link w:val="29"/>
    <w:qFormat/>
    <w:uiPriority w:val="99"/>
    <w:pPr>
      <w:spacing w:line="360" w:lineRule="auto"/>
      <w:jc w:val="left"/>
    </w:pPr>
    <w:rPr>
      <w:rFonts w:ascii="宋体" w:hAnsi="宋体" w:eastAsia="宋体" w:cs="Times New Roman"/>
      <w:szCs w:val="24"/>
    </w:rPr>
  </w:style>
  <w:style w:type="paragraph" w:styleId="8">
    <w:name w:val="Body Text"/>
    <w:basedOn w:val="1"/>
    <w:link w:val="35"/>
    <w:unhideWhenUsed/>
    <w:qFormat/>
    <w:uiPriority w:val="99"/>
    <w:pPr>
      <w:spacing w:after="120"/>
    </w:pPr>
    <w:rPr>
      <w:rFonts w:eastAsia="仿宋_GB2312"/>
    </w:rPr>
  </w:style>
  <w:style w:type="paragraph" w:styleId="9">
    <w:name w:val="Body Text Indent"/>
    <w:basedOn w:val="1"/>
    <w:link w:val="28"/>
    <w:qFormat/>
    <w:uiPriority w:val="0"/>
    <w:pPr>
      <w:ind w:firstLine="420"/>
    </w:pPr>
    <w:rPr>
      <w:rFonts w:ascii="Times New Roman" w:hAnsi="Times New Roman" w:eastAsia="宋体" w:cs="Times New Roman"/>
      <w:sz w:val="24"/>
      <w:szCs w:val="24"/>
    </w:rPr>
  </w:style>
  <w:style w:type="paragraph" w:styleId="10">
    <w:name w:val="Date"/>
    <w:basedOn w:val="1"/>
    <w:next w:val="1"/>
    <w:link w:val="34"/>
    <w:unhideWhenUsed/>
    <w:qFormat/>
    <w:uiPriority w:val="99"/>
    <w:pPr>
      <w:ind w:left="100" w:leftChars="2500"/>
    </w:pPr>
  </w:style>
  <w:style w:type="paragraph" w:styleId="11">
    <w:name w:val="Balloon Text"/>
    <w:basedOn w:val="1"/>
    <w:link w:val="24"/>
    <w:unhideWhenUsed/>
    <w:qFormat/>
    <w:uiPriority w:val="99"/>
    <w:rPr>
      <w:sz w:val="18"/>
      <w:szCs w:val="18"/>
    </w:rPr>
  </w:style>
  <w:style w:type="paragraph" w:styleId="12">
    <w:name w:val="footer"/>
    <w:basedOn w:val="1"/>
    <w:link w:val="26"/>
    <w:unhideWhenUsed/>
    <w:qFormat/>
    <w:uiPriority w:val="99"/>
    <w:pPr>
      <w:tabs>
        <w:tab w:val="center" w:pos="4153"/>
        <w:tab w:val="right" w:pos="8306"/>
      </w:tabs>
      <w:snapToGrid w:val="0"/>
      <w:jc w:val="left"/>
    </w:pPr>
    <w:rPr>
      <w:sz w:val="18"/>
      <w:szCs w:val="18"/>
    </w:rPr>
  </w:style>
  <w:style w:type="paragraph" w:styleId="13">
    <w:name w:val="header"/>
    <w:basedOn w:val="1"/>
    <w:link w:val="25"/>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uiPriority w:val="39"/>
    <w:pPr>
      <w:spacing w:after="100" w:afterAutospacing="1"/>
    </w:pPr>
    <w:rPr>
      <w:rFonts w:ascii="Times New Roman" w:hAnsi="Times New Roman" w:eastAsia="宋体" w:cs="Times New Roman"/>
    </w:rPr>
  </w:style>
  <w:style w:type="paragraph" w:styleId="15">
    <w:name w:val="toc 2"/>
    <w:basedOn w:val="1"/>
    <w:next w:val="1"/>
    <w:unhideWhenUsed/>
    <w:qFormat/>
    <w:uiPriority w:val="39"/>
    <w:pPr>
      <w:spacing w:after="100" w:afterAutospacing="1"/>
      <w:ind w:left="420" w:leftChars="200"/>
    </w:pPr>
    <w:rPr>
      <w:rFonts w:ascii="Times New Roman" w:hAnsi="Times New Roman" w:eastAsia="宋体" w:cs="Times New Roman"/>
    </w:rPr>
  </w:style>
  <w:style w:type="paragraph" w:styleId="16">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table" w:styleId="18">
    <w:name w:val="Table Grid"/>
    <w:basedOn w:val="17"/>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0">
    <w:name w:val="Strong"/>
    <w:qFormat/>
    <w:uiPriority w:val="0"/>
    <w:rPr>
      <w:b/>
      <w:bCs/>
    </w:rPr>
  </w:style>
  <w:style w:type="character" w:styleId="21">
    <w:name w:val="FollowedHyperlink"/>
    <w:unhideWhenUsed/>
    <w:qFormat/>
    <w:uiPriority w:val="99"/>
    <w:rPr>
      <w:color w:val="800080"/>
      <w:u w:val="single"/>
    </w:rPr>
  </w:style>
  <w:style w:type="character" w:styleId="22">
    <w:name w:val="Hyperlink"/>
    <w:unhideWhenUsed/>
    <w:qFormat/>
    <w:uiPriority w:val="99"/>
    <w:rPr>
      <w:color w:val="0000FF"/>
      <w:u w:val="single"/>
    </w:rPr>
  </w:style>
  <w:style w:type="character" w:styleId="23">
    <w:name w:val="annotation reference"/>
    <w:basedOn w:val="19"/>
    <w:semiHidden/>
    <w:unhideWhenUsed/>
    <w:qFormat/>
    <w:uiPriority w:val="99"/>
    <w:rPr>
      <w:sz w:val="21"/>
      <w:szCs w:val="21"/>
    </w:rPr>
  </w:style>
  <w:style w:type="character" w:customStyle="1" w:styleId="24">
    <w:name w:val="批注框文本 字符"/>
    <w:basedOn w:val="19"/>
    <w:link w:val="11"/>
    <w:qFormat/>
    <w:uiPriority w:val="99"/>
    <w:rPr>
      <w:sz w:val="18"/>
      <w:szCs w:val="18"/>
    </w:rPr>
  </w:style>
  <w:style w:type="character" w:customStyle="1" w:styleId="25">
    <w:name w:val="页眉 字符"/>
    <w:basedOn w:val="19"/>
    <w:link w:val="13"/>
    <w:qFormat/>
    <w:uiPriority w:val="99"/>
    <w:rPr>
      <w:sz w:val="18"/>
      <w:szCs w:val="18"/>
    </w:rPr>
  </w:style>
  <w:style w:type="character" w:customStyle="1" w:styleId="26">
    <w:name w:val="页脚 字符"/>
    <w:basedOn w:val="19"/>
    <w:link w:val="12"/>
    <w:qFormat/>
    <w:uiPriority w:val="99"/>
    <w:rPr>
      <w:sz w:val="18"/>
      <w:szCs w:val="18"/>
    </w:rPr>
  </w:style>
  <w:style w:type="paragraph" w:customStyle="1" w:styleId="27">
    <w:name w:val="章标题"/>
    <w:next w:val="1"/>
    <w:qFormat/>
    <w:uiPriority w:val="0"/>
    <w:pPr>
      <w:spacing w:beforeLines="50" w:afterLines="50"/>
      <w:jc w:val="both"/>
      <w:outlineLvl w:val="1"/>
    </w:pPr>
    <w:rPr>
      <w:rFonts w:ascii="黑体" w:hAnsi="Times New Roman" w:eastAsia="黑体" w:cs="Times New Roman"/>
      <w:sz w:val="21"/>
      <w:lang w:val="en-US" w:eastAsia="zh-CN" w:bidi="ar-SA"/>
    </w:rPr>
  </w:style>
  <w:style w:type="character" w:customStyle="1" w:styleId="28">
    <w:name w:val="正文文本缩进 字符"/>
    <w:basedOn w:val="19"/>
    <w:link w:val="9"/>
    <w:qFormat/>
    <w:uiPriority w:val="0"/>
    <w:rPr>
      <w:rFonts w:ascii="Times New Roman" w:hAnsi="Times New Roman" w:eastAsia="宋体" w:cs="Times New Roman"/>
      <w:sz w:val="24"/>
      <w:szCs w:val="24"/>
    </w:rPr>
  </w:style>
  <w:style w:type="character" w:customStyle="1" w:styleId="29">
    <w:name w:val="批注文字 字符"/>
    <w:basedOn w:val="19"/>
    <w:link w:val="7"/>
    <w:qFormat/>
    <w:uiPriority w:val="99"/>
    <w:rPr>
      <w:rFonts w:ascii="宋体" w:hAnsi="宋体" w:eastAsia="宋体" w:cs="Times New Roman"/>
      <w:szCs w:val="24"/>
    </w:rPr>
  </w:style>
  <w:style w:type="paragraph" w:styleId="30">
    <w:name w:val="List Paragraph"/>
    <w:basedOn w:val="1"/>
    <w:qFormat/>
    <w:uiPriority w:val="34"/>
    <w:pPr>
      <w:ind w:firstLine="420" w:firstLineChars="200"/>
    </w:pPr>
  </w:style>
  <w:style w:type="paragraph" w:customStyle="1" w:styleId="31">
    <w:name w:val="段"/>
    <w:link w:val="32"/>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character" w:customStyle="1" w:styleId="32">
    <w:name w:val="段 Char"/>
    <w:link w:val="31"/>
    <w:qFormat/>
    <w:uiPriority w:val="0"/>
    <w:rPr>
      <w:rFonts w:ascii="宋体" w:hAnsi="Times New Roman" w:eastAsia="宋体" w:cs="Times New Roman"/>
      <w:kern w:val="0"/>
    </w:rPr>
  </w:style>
  <w:style w:type="paragraph" w:customStyle="1" w:styleId="33">
    <w:name w:val="修订1"/>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34">
    <w:name w:val="日期 字符"/>
    <w:basedOn w:val="19"/>
    <w:link w:val="10"/>
    <w:qFormat/>
    <w:uiPriority w:val="99"/>
    <w:rPr>
      <w:rFonts w:asciiTheme="minorHAnsi" w:hAnsiTheme="minorHAnsi" w:eastAsiaTheme="minorEastAsia" w:cstheme="minorBidi"/>
      <w:kern w:val="2"/>
      <w:sz w:val="21"/>
      <w:szCs w:val="22"/>
    </w:rPr>
  </w:style>
  <w:style w:type="character" w:customStyle="1" w:styleId="35">
    <w:name w:val="正文文本 字符"/>
    <w:basedOn w:val="19"/>
    <w:link w:val="8"/>
    <w:qFormat/>
    <w:uiPriority w:val="99"/>
    <w:rPr>
      <w:rFonts w:eastAsia="仿宋_GB2312" w:asciiTheme="minorHAnsi" w:hAnsiTheme="minorHAnsi" w:cstheme="minorBidi"/>
      <w:kern w:val="2"/>
      <w:sz w:val="21"/>
      <w:szCs w:val="22"/>
    </w:rPr>
  </w:style>
  <w:style w:type="character" w:customStyle="1" w:styleId="36">
    <w:name w:val="标题 1 字符"/>
    <w:basedOn w:val="19"/>
    <w:link w:val="2"/>
    <w:qFormat/>
    <w:uiPriority w:val="9"/>
    <w:rPr>
      <w:rFonts w:ascii="Tahoma" w:hAnsi="Tahoma" w:eastAsia="微软雅黑"/>
      <w:b/>
      <w:bCs/>
      <w:kern w:val="44"/>
      <w:sz w:val="30"/>
      <w:szCs w:val="44"/>
    </w:rPr>
  </w:style>
  <w:style w:type="character" w:customStyle="1" w:styleId="37">
    <w:name w:val="标题 2 字符"/>
    <w:basedOn w:val="19"/>
    <w:link w:val="3"/>
    <w:qFormat/>
    <w:uiPriority w:val="9"/>
    <w:rPr>
      <w:rFonts w:ascii="Cambria" w:hAnsi="Cambria"/>
      <w:b/>
      <w:bCs/>
      <w:sz w:val="32"/>
      <w:szCs w:val="32"/>
    </w:rPr>
  </w:style>
  <w:style w:type="paragraph" w:customStyle="1" w:styleId="38">
    <w:name w:val="列出段落1"/>
    <w:basedOn w:val="1"/>
    <w:qFormat/>
    <w:uiPriority w:val="0"/>
    <w:pPr>
      <w:spacing w:after="100" w:afterAutospacing="1"/>
      <w:ind w:firstLine="420" w:firstLineChars="200"/>
    </w:pPr>
    <w:rPr>
      <w:rFonts w:ascii="Times New Roman" w:hAnsi="Times New Roman" w:eastAsia="宋体" w:cs="Times New Roman"/>
    </w:rPr>
  </w:style>
  <w:style w:type="paragraph" w:customStyle="1" w:styleId="39">
    <w:name w:val="TOC 标题1"/>
    <w:basedOn w:val="2"/>
    <w:next w:val="1"/>
    <w:qFormat/>
    <w:uiPriority w:val="39"/>
    <w:pPr>
      <w:adjustRightInd/>
      <w:snapToGrid/>
      <w:spacing w:before="480" w:line="276" w:lineRule="auto"/>
      <w:outlineLvl w:val="9"/>
    </w:pPr>
    <w:rPr>
      <w:rFonts w:ascii="Cambria" w:hAnsi="Cambria" w:eastAsia="宋体"/>
      <w:color w:val="365F91"/>
      <w:kern w:val="0"/>
      <w:sz w:val="28"/>
      <w:szCs w:val="28"/>
    </w:rPr>
  </w:style>
  <w:style w:type="paragraph" w:customStyle="1" w:styleId="40">
    <w:name w:val="列出段落11"/>
    <w:basedOn w:val="1"/>
    <w:qFormat/>
    <w:uiPriority w:val="0"/>
    <w:pPr>
      <w:ind w:firstLine="420" w:firstLineChars="200"/>
    </w:pPr>
    <w:rPr>
      <w:rFonts w:ascii="Times New Roman" w:hAnsi="Times New Roman" w:eastAsia="宋体" w:cs="Times New Roman"/>
      <w:szCs w:val="21"/>
    </w:rPr>
  </w:style>
  <w:style w:type="paragraph" w:customStyle="1" w:styleId="41">
    <w:name w:val="字母编号列项（一级）"/>
    <w:qFormat/>
    <w:uiPriority w:val="0"/>
    <w:pPr>
      <w:numPr>
        <w:ilvl w:val="0"/>
        <w:numId w:val="1"/>
      </w:numPr>
      <w:jc w:val="both"/>
    </w:pPr>
    <w:rPr>
      <w:rFonts w:ascii="宋体" w:hAnsi="Times New Roman" w:eastAsia="宋体" w:cs="Times New Roman"/>
      <w:sz w:val="21"/>
      <w:lang w:val="en-US" w:eastAsia="zh-CN" w:bidi="ar-SA"/>
    </w:rPr>
  </w:style>
  <w:style w:type="paragraph" w:customStyle="1" w:styleId="42">
    <w:name w:val="三级无"/>
    <w:basedOn w:val="43"/>
    <w:qFormat/>
    <w:uiPriority w:val="0"/>
    <w:pPr>
      <w:numPr>
        <w:ilvl w:val="3"/>
        <w:numId w:val="2"/>
      </w:numPr>
      <w:spacing w:beforeLines="0" w:afterLines="0"/>
    </w:pPr>
    <w:rPr>
      <w:rFonts w:ascii="宋体" w:eastAsia="宋体"/>
    </w:rPr>
  </w:style>
  <w:style w:type="paragraph" w:customStyle="1" w:styleId="43">
    <w:name w:val="三级条标题"/>
    <w:basedOn w:val="44"/>
    <w:next w:val="31"/>
    <w:qFormat/>
    <w:uiPriority w:val="0"/>
    <w:pPr>
      <w:numPr>
        <w:ilvl w:val="3"/>
      </w:numPr>
      <w:outlineLvl w:val="4"/>
    </w:pPr>
  </w:style>
  <w:style w:type="paragraph" w:customStyle="1" w:styleId="44">
    <w:name w:val="二级条标题"/>
    <w:basedOn w:val="45"/>
    <w:next w:val="31"/>
    <w:qFormat/>
    <w:uiPriority w:val="0"/>
    <w:pPr>
      <w:numPr>
        <w:ilvl w:val="2"/>
      </w:numPr>
      <w:spacing w:before="50" w:after="50"/>
      <w:outlineLvl w:val="3"/>
    </w:pPr>
  </w:style>
  <w:style w:type="paragraph" w:customStyle="1" w:styleId="45">
    <w:name w:val="一级条标题"/>
    <w:next w:val="31"/>
    <w:qFormat/>
    <w:uiPriority w:val="0"/>
    <w:pPr>
      <w:numPr>
        <w:ilvl w:val="1"/>
        <w:numId w:val="2"/>
      </w:numPr>
      <w:spacing w:beforeLines="50" w:afterLines="50"/>
      <w:outlineLvl w:val="2"/>
    </w:pPr>
    <w:rPr>
      <w:rFonts w:ascii="黑体" w:hAnsi="Times New Roman" w:eastAsia="黑体" w:cs="Times New Roman"/>
      <w:sz w:val="21"/>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B84975-0E35-416F-B0C4-DA1909882ADF}">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17</Pages>
  <Words>12927</Words>
  <Characters>13494</Characters>
  <Lines>53</Lines>
  <Paragraphs>14</Paragraphs>
  <TotalTime>2</TotalTime>
  <ScaleCrop>false</ScaleCrop>
  <LinksUpToDate>false</LinksUpToDate>
  <CharactersWithSpaces>13710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2024-08-22T17:06:00Z</dcterms:created>
  <dc:creator>Sky123.Org</dc:creator>
  <cp:lastModifiedBy>林若虚</cp:lastModifiedBy>
  <dcterms:modified xsi:type="dcterms:W3CDTF">2026-07-03T00:33:53Z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2997E0B0200A4B49BD766EEB06A7F441</vt:lpwstr>
  </property>
  <property fmtid="{D5CDD505-2E9C-101B-9397-08002B2CF9AE}" pid="4" name="KSOTemplateDocerSaveRecord">
    <vt:lpwstr>eyJoZGlkIjoiMDExZjM0YjdhMWI4MGI1OWE0ODRkNjk3NzZiODZkMzIiLCJ1c2VySWQiOiIxMDAzNDI2MTY3In0=</vt:lpwstr>
  </property>
</Properties>
</file>