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9"/>
      </w:pPr>
      <w:bookmarkStart w:id="0" w:name="SectionMark0"/>
      <w:r>
        <mc:AlternateContent>
          <mc:Choice Requires="wps">
            <w:drawing>
              <wp:anchor distT="0" distB="0" distL="114300" distR="114300" simplePos="0" relativeHeight="251668480" behindDoc="0" locked="1" layoutInCell="0" allowOverlap="1">
                <wp:simplePos x="0" y="0"/>
                <wp:positionH relativeFrom="margin">
                  <wp:posOffset>1604010</wp:posOffset>
                </wp:positionH>
                <wp:positionV relativeFrom="margin">
                  <wp:posOffset>8993505</wp:posOffset>
                </wp:positionV>
                <wp:extent cx="2867025" cy="342265"/>
                <wp:effectExtent l="0" t="0" r="9525" b="635"/>
                <wp:wrapNone/>
                <wp:docPr id="22" name="fmFrame7"/>
                <wp:cNvGraphicFramePr/>
                <a:graphic xmlns:a="http://schemas.openxmlformats.org/drawingml/2006/main">
                  <a:graphicData uri="http://schemas.microsoft.com/office/word/2010/wordprocessingShape">
                    <wps:wsp>
                      <wps:cNvSpPr txBox="1">
                        <a:spLocks noChangeArrowheads="1"/>
                      </wps:cNvSpPr>
                      <wps:spPr bwMode="auto">
                        <a:xfrm>
                          <a:off x="0" y="0"/>
                          <a:ext cx="2867025" cy="342265"/>
                        </a:xfrm>
                        <a:prstGeom prst="rect">
                          <a:avLst/>
                        </a:prstGeom>
                        <a:solidFill>
                          <a:srgbClr val="FFFFFF"/>
                        </a:solidFill>
                        <a:ln>
                          <a:noFill/>
                        </a:ln>
                        <a:effectLst/>
                      </wps:spPr>
                      <wps:txbx>
                        <w:txbxContent>
                          <w:p>
                            <w:pPr>
                              <w:pStyle w:val="53"/>
                              <w:ind w:firstLine="0" w:firstLineChars="0"/>
                              <w:jc w:val="distribute"/>
                              <w:rPr>
                                <w:b/>
                                <w:spacing w:val="20"/>
                                <w:w w:val="135"/>
                                <w:sz w:val="28"/>
                                <w:szCs w:val="28"/>
                              </w:rPr>
                            </w:pPr>
                            <w:r>
                              <w:rPr>
                                <w:rFonts w:ascii="Times New Roman" w:eastAsia="黑体"/>
                                <w:sz w:val="32"/>
                                <w:szCs w:val="32"/>
                              </w:rPr>
                              <w:t>国家</w:t>
                            </w:r>
                            <w:r>
                              <w:rPr>
                                <w:rFonts w:hint="eastAsia" w:ascii="Times New Roman" w:eastAsia="黑体"/>
                                <w:sz w:val="32"/>
                                <w:szCs w:val="32"/>
                              </w:rPr>
                              <w:t>市场监督管理总局</w:t>
                            </w:r>
                          </w:p>
                          <w:p>
                            <w:pPr>
                              <w:pStyle w:val="53"/>
                              <w:ind w:firstLine="560"/>
                              <w:jc w:val="distribute"/>
                              <w:rPr>
                                <w:sz w:val="28"/>
                                <w:szCs w:val="28"/>
                              </w:rPr>
                            </w:pPr>
                          </w:p>
                          <w:p>
                            <w:pPr>
                              <w:pStyle w:val="53"/>
                              <w:ind w:firstLine="560"/>
                              <w:jc w:val="distribute"/>
                              <w:rPr>
                                <w:sz w:val="28"/>
                                <w:szCs w:val="28"/>
                              </w:rPr>
                            </w:pP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126.3pt;margin-top:708.15pt;height:26.95pt;width:225.75pt;mso-position-horizontal-relative:margin;mso-position-vertical-relative:margin;z-index:251668480;mso-width-relative:page;mso-height-relative:page;" fillcolor="#FFFFFF" filled="t" stroked="f" coordsize="21600,21600" o:allowincell="f" o:gfxdata="UEsDBAoAAAAAAIdO4kAAAAAAAAAAAAAAAAAEAAAAZHJzL1BLAwQUAAAACACHTuJAYsaTi9oAAAAN&#10;AQAADwAAAGRycy9kb3ducmV2LnhtbE2PwU7DMAyG70i8Q2QkLoglDaNDpekkNrixw8a0s9eEtqJx&#10;qiRdt7cnO8HR/j/9/lwuz7ZnJ+ND50hBNhPADNVOd9Qo2H99PL4ACxFJY+/IKLiYAMvq9qbEQruJ&#10;tua0iw1LJRQKVNDGOBSch7o1FsPMDYZS9u28xZhG33DtcUrltudSiJxb7ChdaHEwq9bUP7vRKsjX&#10;fpy2tHpY798/cTM08vB2OSh1f5eJV2DRnOMfDFf9pA5Vcjq6kXRgvQL5LPOEpmCe5U/AErIQ8wzY&#10;8bpaCAm8Kvn/L6pfUEsDBBQAAAAIAIdO4kBO6CTsFwIAADoEAAAOAAAAZHJzL2Uyb0RvYy54bWyt&#10;U8tu2zAQvBfoPxC817LVxgkEy0Fqw0WB9AGk/QCKoiSiFJdd0pbSr++Skt00veRQHYQluZzdmR1u&#10;bsfesJNCr8GWfLVYcqashFrbtuTfvx3e3HDmg7C1MGBVyR+V57fb1682gytUDh2YWiEjEOuLwZW8&#10;C8EVWeZlp3rhF+CUpcMGsBeBlthmNYqB0HuT5cvlOhsAa4cglfe0u58O+YyILwGEptFS7UEee2XD&#10;hIrKiECUfKed59vUbdMoGb40jVeBmZIT05D+VITiKv6z7UYULQrXaTm3IF7SwjNOvdCWil6g9iII&#10;dkT9D1SvJYKHJiwk9NlEJClCLFbLZ9o8dMKpxIWk9u4iuv9/sPLz6SsyXZc8zzmzoqeJN/0BKbiO&#10;4gzOF5Tz4CgrjO9hJMskot7dg/zhmYVdJ2yr7hBh6JSoqblVvJk9uTrh+AhSDZ+gpiLiGCABjQ32&#10;UTnSghE6DebxMhg1BiZpM79ZXy/zK84knb19l+frq1RCFOfbDn34oKBnMSg50uATujjd+xC7EcU5&#10;JRbzYHR90MakBbbVziA7CTLJIX0z+l9pxsZkC/HahDjtqGSzuUwkHXlOjMNYjbOIFdSPRB9hsiA9&#10;QAo6wF+cDWS/kvufR4GKM/PRkoTRq+cAz0F1DoSVdLXkgbMp3IXJ00eHuu0IeRqShTuSudFJgdja&#10;1MU8HLJUEma2f/Ts03XK+vPkt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saTi9oAAAANAQAA&#10;DwAAAAAAAAABACAAAAAiAAAAZHJzL2Rvd25yZXYueG1sUEsBAhQAFAAAAAgAh07iQE7oJOwXAgAA&#10;OgQAAA4AAAAAAAAAAQAgAAAAKQEAAGRycy9lMm9Eb2MueG1sUEsFBgAAAAAGAAYAWQEAALIFAAAA&#10;AA==&#10;">
                <v:fill on="t" focussize="0,0"/>
                <v:stroke on="f"/>
                <v:imagedata o:title=""/>
                <o:lock v:ext="edit" aspectratio="f"/>
                <v:textbox inset="0mm,0mm,0mm,0mm">
                  <w:txbxContent>
                    <w:p>
                      <w:pPr>
                        <w:pStyle w:val="53"/>
                        <w:ind w:firstLine="0" w:firstLineChars="0"/>
                        <w:jc w:val="distribute"/>
                        <w:rPr>
                          <w:b/>
                          <w:spacing w:val="20"/>
                          <w:w w:val="135"/>
                          <w:sz w:val="28"/>
                          <w:szCs w:val="28"/>
                        </w:rPr>
                      </w:pPr>
                      <w:r>
                        <w:rPr>
                          <w:rFonts w:ascii="Times New Roman" w:eastAsia="黑体"/>
                          <w:sz w:val="32"/>
                          <w:szCs w:val="32"/>
                        </w:rPr>
                        <w:t>国家</w:t>
                      </w:r>
                      <w:r>
                        <w:rPr>
                          <w:rFonts w:hint="eastAsia" w:ascii="Times New Roman" w:eastAsia="黑体"/>
                          <w:sz w:val="32"/>
                          <w:szCs w:val="32"/>
                        </w:rPr>
                        <w:t>市场监督管理总局</w:t>
                      </w:r>
                    </w:p>
                    <w:p>
                      <w:pPr>
                        <w:pStyle w:val="53"/>
                        <w:ind w:firstLine="560"/>
                        <w:jc w:val="distribute"/>
                        <w:rPr>
                          <w:sz w:val="28"/>
                          <w:szCs w:val="28"/>
                        </w:rPr>
                      </w:pPr>
                    </w:p>
                    <w:p>
                      <w:pPr>
                        <w:pStyle w:val="53"/>
                        <w:ind w:firstLine="560"/>
                        <w:jc w:val="distribute"/>
                        <w:rPr>
                          <w:sz w:val="28"/>
                          <w:szCs w:val="28"/>
                        </w:rPr>
                      </w:pPr>
                    </w:p>
                  </w:txbxContent>
                </v:textbox>
                <w10:anchorlock/>
              </v:shape>
            </w:pict>
          </mc:Fallback>
        </mc:AlternateContent>
      </w:r>
      <w:r>
        <w:drawing>
          <wp:anchor distT="0" distB="0" distL="114300" distR="114300" simplePos="0" relativeHeight="251667456" behindDoc="0" locked="1" layoutInCell="0" allowOverlap="1">
            <wp:simplePos x="0" y="0"/>
            <wp:positionH relativeFrom="margin">
              <wp:posOffset>4342765</wp:posOffset>
            </wp:positionH>
            <wp:positionV relativeFrom="margin">
              <wp:posOffset>116840</wp:posOffset>
            </wp:positionV>
            <wp:extent cx="1439545" cy="720090"/>
            <wp:effectExtent l="0" t="0" r="8255" b="3810"/>
            <wp:wrapNone/>
            <wp:docPr id="21" name="HBPicture" descr="GB"/>
            <wp:cNvGraphicFramePr/>
            <a:graphic xmlns:a="http://schemas.openxmlformats.org/drawingml/2006/main">
              <a:graphicData uri="http://schemas.openxmlformats.org/drawingml/2006/picture">
                <pic:pic xmlns:pic="http://schemas.openxmlformats.org/drawingml/2006/picture">
                  <pic:nvPicPr>
                    <pic:cNvPr id="21" name="HBPicture" descr="GB"/>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439545" cy="720090"/>
                    </a:xfrm>
                    <a:prstGeom prst="rect">
                      <a:avLst/>
                    </a:prstGeom>
                    <a:noFill/>
                    <a:ln>
                      <a:noFill/>
                    </a:ln>
                  </pic:spPr>
                </pic:pic>
              </a:graphicData>
            </a:graphic>
          </wp:anchor>
        </w:drawing>
      </w:r>
      <w:r>
        <mc:AlternateContent>
          <mc:Choice Requires="wps">
            <w:drawing>
              <wp:anchor distT="0" distB="0" distL="114300" distR="114300" simplePos="0" relativeHeight="251664384" behindDoc="0" locked="1" layoutInCell="0" allowOverlap="1">
                <wp:simplePos x="0" y="0"/>
                <wp:positionH relativeFrom="margin">
                  <wp:posOffset>1604645</wp:posOffset>
                </wp:positionH>
                <wp:positionV relativeFrom="margin">
                  <wp:posOffset>9269730</wp:posOffset>
                </wp:positionV>
                <wp:extent cx="2867025" cy="347345"/>
                <wp:effectExtent l="0" t="0" r="9525" b="0"/>
                <wp:wrapNone/>
                <wp:docPr id="20" name="fmFrame7"/>
                <wp:cNvGraphicFramePr/>
                <a:graphic xmlns:a="http://schemas.openxmlformats.org/drawingml/2006/main">
                  <a:graphicData uri="http://schemas.microsoft.com/office/word/2010/wordprocessingShape">
                    <wps:wsp>
                      <wps:cNvSpPr txBox="1">
                        <a:spLocks noChangeArrowheads="1"/>
                      </wps:cNvSpPr>
                      <wps:spPr bwMode="auto">
                        <a:xfrm>
                          <a:off x="0" y="0"/>
                          <a:ext cx="2867025" cy="347345"/>
                        </a:xfrm>
                        <a:prstGeom prst="rect">
                          <a:avLst/>
                        </a:prstGeom>
                        <a:solidFill>
                          <a:srgbClr val="FFFFFF"/>
                        </a:solidFill>
                        <a:ln>
                          <a:noFill/>
                        </a:ln>
                        <a:effectLst/>
                      </wps:spPr>
                      <wps:txbx>
                        <w:txbxContent>
                          <w:p>
                            <w:pPr>
                              <w:pStyle w:val="77"/>
                              <w:jc w:val="distribute"/>
                              <w:rPr>
                                <w:rFonts w:ascii="Times New Roman" w:eastAsia="黑体"/>
                                <w:b w:val="0"/>
                                <w:spacing w:val="0"/>
                                <w:w w:val="100"/>
                                <w:sz w:val="32"/>
                                <w:szCs w:val="32"/>
                              </w:rPr>
                            </w:pPr>
                            <w:r>
                              <w:rPr>
                                <w:rFonts w:hint="eastAsia" w:ascii="Times New Roman" w:eastAsia="黑体"/>
                                <w:b w:val="0"/>
                                <w:spacing w:val="0"/>
                                <w:w w:val="100"/>
                                <w:sz w:val="32"/>
                                <w:szCs w:val="32"/>
                              </w:rPr>
                              <w:t>国家标准化管理委员会</w:t>
                            </w:r>
                          </w:p>
                          <w:p>
                            <w:pPr>
                              <w:pStyle w:val="53"/>
                              <w:ind w:firstLine="420"/>
                              <w:jc w:val="distribute"/>
                            </w:pPr>
                          </w:p>
                          <w:p>
                            <w:pPr>
                              <w:pStyle w:val="53"/>
                              <w:ind w:firstLine="420"/>
                              <w:jc w:val="distribute"/>
                            </w:pPr>
                          </w:p>
                        </w:txbxContent>
                      </wps:txbx>
                      <wps:bodyPr rot="0" vert="horz" wrap="square" lIns="0" tIns="0" rIns="0" bIns="0" anchor="t" anchorCtr="0" upright="1">
                        <a:noAutofit/>
                      </wps:bodyPr>
                    </wps:wsp>
                  </a:graphicData>
                </a:graphic>
              </wp:anchor>
            </w:drawing>
          </mc:Choice>
          <mc:Fallback>
            <w:pict>
              <v:shape id="fmFrame7" o:spid="_x0000_s1026" o:spt="202" type="#_x0000_t202" style="position:absolute;left:0pt;margin-left:126.35pt;margin-top:729.9pt;height:27.35pt;width:225.75pt;mso-position-horizontal-relative:margin;mso-position-vertical-relative:margin;z-index:251664384;mso-width-relative:page;mso-height-relative:page;" fillcolor="#FFFFFF" filled="t" stroked="f" coordsize="21600,21600" o:allowincell="f" o:gfxdata="UEsDBAoAAAAAAIdO4kAAAAAAAAAAAAAAAAAEAAAAZHJzL1BLAwQUAAAACACHTuJAfZrx99oAAAAN&#10;AQAADwAAAGRycy9kb3ducmV2LnhtbE2PwW7CMBBE75X6D9ZW6qUqNhaBksZBKrS39gBFnE1skqjx&#10;OrIdAn/f7akcd+ZpdqZYXVzHzjbE1qOC6UQAs1h502KtYP/98fwCLCaNRncerYKrjbAq7+8KnRs/&#10;4taed6lmFIIx1wqalPqc81g11uk48b1F8k4+OJ3oDDU3QY8U7jouhZhzp1ukD43u7bqx1c9ucArm&#10;mzCMW1w/bfbvn/qrr+Xh7XpQ6vFhKl6BJXtJ/zD81afqUFKnox/QRNYpkJlcEErGLFvSCEIWYiaB&#10;HUnKSAReFvx2RfkLUEsDBBQAAAAIAIdO4kCibLL6FgIAADoEAAAOAAAAZHJzL2Uyb0RvYy54bWyt&#10;U8tu2zAQvBfoPxC817KdhwPBcpDacFEgfQBpP4CiKImoxGWXtCX367skZTdNLzlUB2FJ7s7uDIfr&#10;+7Hv2FGh02AKvpjNOVNGQqVNU/Dv3/bv7jhzXphKdGBUwU/K8fvN2zfrweZqCS10lUJGIMblgy14&#10;673Ns8zJVvXCzcAqQ4c1YC88LbHJKhQDofddtpzPb7MBsLIIUjlHu7t0yCdEfA0g1LWWagfy0Cvj&#10;EyqqTnii5FptHd/EaetaSf+lrp3yrCs4MfXxT00oLsM/26xF3qCwrZbTCOI1I7zg1AttqOkFaie8&#10;YAfU/0D1WiI4qP1MQp8lIlERYrGYv9DmqRVWRS4ktbMX0d3/g5Wfj1+R6argS5LEiJ5uvO73SMEq&#10;iDNYl1POk6UsP76HkSwTiTr7CPKHYwa2rTCNekCEoVWiouEWoTJ7VppwXAAph09QURNx8BCBxhr7&#10;oBxpwQidpjhdLkaNnknaXN7drubLG84knV1dr66ub2ILkZ+rLTr/QUHPQlBwpIuP6OL46HyYRuTn&#10;lNDMQaerve66uMCm3HbIjoJMso/fhP5XWmdCsoFQlhDTjoo2m9oE0oFnYuzHcpxELKE6EX2EZEF6&#10;gBS0gL84G8h+BXc/DwIVZ91HQxIGr54DPAflORBGUmnBPWcp3Prk6YNF3bSEnC7JwAPJXOuoQBgt&#10;TTFdDlkqCjPZP3j2+Tpm/Xnym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9mvH32gAAAA0BAAAP&#10;AAAAAAAAAAEAIAAAACIAAABkcnMvZG93bnJldi54bWxQSwECFAAUAAAACACHTuJAomyy+hYCAAA6&#10;BAAADgAAAAAAAAABACAAAAApAQAAZHJzL2Uyb0RvYy54bWxQSwUGAAAAAAYABgBZAQAAsQUAAAAA&#10;">
                <v:fill on="t" focussize="0,0"/>
                <v:stroke on="f"/>
                <v:imagedata o:title=""/>
                <o:lock v:ext="edit" aspectratio="f"/>
                <v:textbox inset="0mm,0mm,0mm,0mm">
                  <w:txbxContent>
                    <w:p>
                      <w:pPr>
                        <w:pStyle w:val="77"/>
                        <w:jc w:val="distribute"/>
                        <w:rPr>
                          <w:rFonts w:ascii="Times New Roman" w:eastAsia="黑体"/>
                          <w:b w:val="0"/>
                          <w:spacing w:val="0"/>
                          <w:w w:val="100"/>
                          <w:sz w:val="32"/>
                          <w:szCs w:val="32"/>
                        </w:rPr>
                      </w:pPr>
                      <w:r>
                        <w:rPr>
                          <w:rFonts w:hint="eastAsia" w:ascii="Times New Roman" w:eastAsia="黑体"/>
                          <w:b w:val="0"/>
                          <w:spacing w:val="0"/>
                          <w:w w:val="100"/>
                          <w:sz w:val="32"/>
                          <w:szCs w:val="32"/>
                        </w:rPr>
                        <w:t>国家标准化管理委员会</w:t>
                      </w:r>
                    </w:p>
                    <w:p>
                      <w:pPr>
                        <w:pStyle w:val="53"/>
                        <w:ind w:firstLine="420"/>
                        <w:jc w:val="distribute"/>
                      </w:pPr>
                    </w:p>
                    <w:p>
                      <w:pPr>
                        <w:pStyle w:val="53"/>
                        <w:ind w:firstLine="420"/>
                        <w:jc w:val="distribute"/>
                      </w:pPr>
                    </w:p>
                  </w:txbxContent>
                </v:textbox>
                <w10:anchorlock/>
              </v:shape>
            </w:pict>
          </mc:Fallback>
        </mc:AlternateContent>
      </w:r>
      <w:r>
        <mc:AlternateContent>
          <mc:Choice Requires="wps">
            <w:drawing>
              <wp:anchor distT="0" distB="0" distL="114300" distR="114300" simplePos="0" relativeHeight="251663360" behindDoc="0" locked="1" layoutInCell="1" allowOverlap="1">
                <wp:simplePos x="0" y="0"/>
                <wp:positionH relativeFrom="margin">
                  <wp:posOffset>4000500</wp:posOffset>
                </wp:positionH>
                <wp:positionV relativeFrom="margin">
                  <wp:posOffset>8559165</wp:posOffset>
                </wp:positionV>
                <wp:extent cx="2019300" cy="312420"/>
                <wp:effectExtent l="0" t="0" r="0" b="0"/>
                <wp:wrapNone/>
                <wp:docPr id="19" name="fmFrame6"/>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pPr>
                              <w:pStyle w:val="67"/>
                            </w:pPr>
                            <w:r>
                              <w:rPr>
                                <w:rFonts w:hint="eastAsia" w:ascii="黑体" w:hAnsi="黑体" w:cs="黑体"/>
                              </w:rPr>
                              <w:t>202X</w:t>
                            </w:r>
                            <w:r>
                              <w:rPr>
                                <w:rFonts w:hint="eastAsia" w:ascii="黑体" w:hAnsi="黑体" w:cs="黑体"/>
                                <w:color w:val="000000"/>
                              </w:rPr>
                              <w:t>-XX-XX</w:t>
                            </w:r>
                            <w:r>
                              <w:rPr>
                                <w:rFonts w:hint="eastAsia" w:ascii="黑体" w:hAnsi="黑体" w:cs="黑体"/>
                              </w:rPr>
                              <w:t>实施</w:t>
                            </w:r>
                          </w:p>
                        </w:txbxContent>
                      </wps:txbx>
                      <wps:bodyPr rot="0" vert="horz" wrap="square" lIns="0" tIns="0" rIns="0" bIns="0" anchor="t" anchorCtr="0" upright="1">
                        <a:noAutofit/>
                      </wps:bodyPr>
                    </wps:wsp>
                  </a:graphicData>
                </a:graphic>
              </wp:anchor>
            </w:drawing>
          </mc:Choice>
          <mc:Fallback>
            <w:pict>
              <v:shape id="fmFrame6" o:spid="_x0000_s1026" o:spt="202" type="#_x0000_t202" style="position:absolute;left:0pt;margin-left:315pt;margin-top:673.95pt;height:24.6pt;width:159pt;mso-position-horizontal-relative:margin;mso-position-vertical-relative:margin;z-index:251663360;mso-width-relative:page;mso-height-relative:page;" fillcolor="#FFFFFF" filled="t" stroked="f" coordsize="21600,21600" o:gfxdata="UEsDBAoAAAAAAIdO4kAAAAAAAAAAAAAAAAAEAAAAZHJzL1BLAwQUAAAACACHTuJAwZMhj9oAAAAN&#10;AQAADwAAAGRycy9kb3ducmV2LnhtbE2PwW7CMBBE75X6D9ZW6qUqdgABSeMgFdpbe4AizkvsJlHj&#10;dRQ7BP6+y6k97sxo9k2+vrhWnG0fGk8akokCYan0pqFKw+Hr/XkFIkQkg60nq+FqA6yL+7scM+NH&#10;2tnzPlaCSyhkqKGOscukDGVtHYaJ7yyx9+17h5HPvpKmx5HLXSunSi2kw4b4Q42d3dS2/NkPTsNi&#10;2w/jjjZP28PbB3521fT4ej1q/fiQqBcQ0V7iXxhu+IwOBTOd/EAmiJY7Zoq3RDZm82UKgiPpfMXS&#10;6SalywRkkcv/K4pfUEsDBBQAAAAIAIdO4kCkM/+FDgIAACwEAAAOAAAAZHJzL2Uyb0RvYy54bWyt&#10;U8GO0zAQvSPxD5bvNG0Xrdio6WppVYS0wEoLH+A4TmJhe8zYbVK+nrHTllW57IEcorE98zzvzfPq&#10;frSGHRQGDa7ii9mcM+UkNNp1Ff/xfffuA2chCtcIA05V/KgCv1+/fbMafKmW0INpFDICcaEcfMX7&#10;GH1ZFEH2yoowA68cHbaAVkRaYlc0KAZCt6ZYzue3xQDYeASpQqDd7XTIT4j4GkBoWy3VFuTeKhcn&#10;VFRGRKIUeu0DX+du21bJ+K1tg4rMVJyYxvynSyiu079Yr0TZofC9lqcWxGtauOJkhXZ06QVqK6Jg&#10;e9T/QFktEQK0cSbBFhORrAixWMyvtHnuhVeZC0kd/EX08P9g5dfDEzLdkBPuOHPC0sRbu0MKbpM4&#10;gw8l5Tx7yorjRxgpMRMN/hHkz8AcbHrhOvWACEOvREPNLVJl8aJ0wgkJpB6+QEOXiH2EDDS2aJNy&#10;pAUjdBrM8TIYNUYmaZO0ubuZ05Gks5vF8v0yT64Q5bnaY4ifFFiWgoojDT6ji8NjiKkbUZ5T0mUB&#10;jG522pi8wK7eGGQHQSbZ5S8TuEozLiU7SGUTYtrJNBOziWMc6/EkWw3NkQgjTKajJ0dBD/ibs4EM&#10;V/Hway9QcWY+OxItufMc4Dmoz4FwkkorHjmbwk2cXLz3qLuekKexOHggYVudOacJTF2c+iQTZSlO&#10;hk8ufbnOWX8f+fo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wZMhj9oAAAANAQAADwAAAAAAAAAB&#10;ACAAAAAiAAAAZHJzL2Rvd25yZXYueG1sUEsBAhQAFAAAAAgAh07iQKQz/4UOAgAALAQAAA4AAAAA&#10;AAAAAQAgAAAAKQEAAGRycy9lMm9Eb2MueG1sUEsFBgAAAAAGAAYAWQEAAKkFAAAAAA==&#10;">
                <v:fill on="t" focussize="0,0"/>
                <v:stroke on="f"/>
                <v:imagedata o:title=""/>
                <o:lock v:ext="edit" aspectratio="f"/>
                <v:textbox inset="0mm,0mm,0mm,0mm">
                  <w:txbxContent>
                    <w:p>
                      <w:pPr>
                        <w:pStyle w:val="67"/>
                      </w:pPr>
                      <w:r>
                        <w:rPr>
                          <w:rFonts w:hint="eastAsia" w:ascii="黑体" w:hAnsi="黑体" w:cs="黑体"/>
                        </w:rPr>
                        <w:t>202X</w:t>
                      </w:r>
                      <w:r>
                        <w:rPr>
                          <w:rFonts w:hint="eastAsia" w:ascii="黑体" w:hAnsi="黑体" w:cs="黑体"/>
                          <w:color w:val="000000"/>
                        </w:rPr>
                        <w:t>-XX-XX</w:t>
                      </w:r>
                      <w:r>
                        <w:rPr>
                          <w:rFonts w:hint="eastAsia" w:ascii="黑体" w:hAnsi="黑体" w:cs="黑体"/>
                        </w:rPr>
                        <w:t>实施</w:t>
                      </w:r>
                    </w:p>
                  </w:txbxContent>
                </v:textbox>
                <w10:anchorlock/>
              </v:shape>
            </w:pict>
          </mc:Fallback>
        </mc:AlternateContent>
      </w:r>
      <w:r>
        <mc:AlternateContent>
          <mc:Choice Requires="wps">
            <w:drawing>
              <wp:anchor distT="0" distB="0" distL="114300" distR="114300" simplePos="0" relativeHeight="251662336" behindDoc="0" locked="1" layoutInCell="1" allowOverlap="1">
                <wp:simplePos x="0" y="0"/>
                <wp:positionH relativeFrom="margin">
                  <wp:posOffset>0</wp:posOffset>
                </wp:positionH>
                <wp:positionV relativeFrom="margin">
                  <wp:posOffset>8559800</wp:posOffset>
                </wp:positionV>
                <wp:extent cx="2019300" cy="312420"/>
                <wp:effectExtent l="0" t="0" r="0" b="0"/>
                <wp:wrapNone/>
                <wp:docPr id="18" name="fmFrame5"/>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wps:spPr>
                      <wps:txbx>
                        <w:txbxContent>
                          <w:p>
                            <w:pPr>
                              <w:pStyle w:val="68"/>
                              <w:rPr>
                                <w:rFonts w:hint="eastAsia" w:ascii="黑体" w:hAnsi="黑体" w:cs="黑体"/>
                                <w:color w:val="000000"/>
                              </w:rPr>
                            </w:pPr>
                            <w:r>
                              <w:rPr>
                                <w:rFonts w:hint="eastAsia" w:ascii="黑体" w:hAnsi="黑体" w:cs="黑体"/>
                              </w:rPr>
                              <w:t>20</w:t>
                            </w:r>
                            <w:r>
                              <w:rPr>
                                <w:rFonts w:hint="eastAsia" w:ascii="黑体" w:hAnsi="黑体" w:cs="黑体"/>
                                <w:color w:val="000000"/>
                              </w:rPr>
                              <w:t>2X-XX-XX发布</w:t>
                            </w:r>
                          </w:p>
                        </w:txbxContent>
                      </wps:txbx>
                      <wps:bodyPr rot="0" vert="horz" wrap="square" lIns="0" tIns="0" rIns="0" bIns="0" anchor="t" anchorCtr="0" upright="1">
                        <a:noAutofit/>
                      </wps:bodyPr>
                    </wps:wsp>
                  </a:graphicData>
                </a:graphic>
              </wp:anchor>
            </w:drawing>
          </mc:Choice>
          <mc:Fallback>
            <w:pict>
              <v:shape id="fmFrame5" o:spid="_x0000_s1026" o:spt="202" type="#_x0000_t202" style="position:absolute;left:0pt;margin-left:0pt;margin-top:674pt;height:24.6pt;width:159pt;mso-position-horizontal-relative:margin;mso-position-vertical-relative:margin;z-index:251662336;mso-width-relative:page;mso-height-relative:page;" fillcolor="#FFFFFF" filled="t" stroked="f" coordsize="21600,21600" o:gfxdata="UEsDBAoAAAAAAIdO4kAAAAAAAAAAAAAAAAAEAAAAZHJzL1BLAwQUAAAACACHTuJA5S0PbtYAAAAK&#10;AQAADwAAAGRycy9kb3ducmV2LnhtbE1PQU7DMBC8I/EHa5G4IOokRaWEOJVo4QaHlqpnN16SiHgd&#10;2U7T/p7Nid5mZ0azM8XqbDtxQh9aRwrSWQICqXKmpVrB/vvjcQkiRE1Gd45QwQUDrMrbm0Lnxo20&#10;xdMu1oJDKORaQRNjn0sZqgatDjPXI7H247zVkU9fS+P1yOG2k1mSLKTVLfGHRve4brD63Q1WwWLj&#10;h3FL64fN/v1Tf/V1dni7HJS6v0uTVxARz/HfDFN9rg4ldzq6gUwQnQIeEpmdPy0ZsT5PJ3CcqJfn&#10;DGRZyOsJ5R9QSwMEFAAAAAgAh07iQFrRuEIOAgAALAQAAA4AAABkcnMvZTJvRG9jLnhtbK1TTY/b&#10;IBC9V+p/QNwbJ9m2aq04q22iVJW2H9J2fwDG2EYFhg4kdvrrO+AkXaWXPawP1gAzj3lvHqvb0Rp2&#10;UBg0uIovZnPOlJPQaNdV/PHn7s0HzkIUrhEGnKr4UQV+u379ajX4Ui2hB9MoZATiQjn4ivcx+rIo&#10;guyVFWEGXjk6bAGtiLTErmhQDIRuTbGcz98XA2DjEaQKgXa30yE/IeJzAKFttVRbkHurXJxQURkR&#10;iVLotQ98nbttWyXj97YNKjJTcWIa858uobhO/2K9EmWHwvdanloQz2nhipMV2tGlF6itiILtUf8H&#10;ZbVECNDGmQRbTESyIsRiMb/S5qEXXmUuJHXwF9HDy8HKb4cfyHRDTqC5O2Fp4q3dIQXvkjiDDyXl&#10;PHjKiuMnGCkxEw3+HuSvwBxseuE6dYcIQ69EQ80tUmXxpHTCCQmkHr5CQ5eIfYQMNLZok3KkBSN0&#10;GszxMhg1RiZpk7T5eDOnI0lnN4vl22WeXCHKc7XHED8rsCwFFUcafEYXh/sQUzeiPKekywIY3ey0&#10;MXmBXb0xyA6CTLLLXyZwlWZcSnaQyibEtJNpJmYTxzjW40m2GpojEUaYTEdPjoIe8A9nAxmu4uH3&#10;XqDizHxxJFpy5znAc1CfA+EklVY8cjaFmzi5eO9Rdz0hT2NxcEfCtjpzThOYujj1SSbKUpwMn1z6&#10;dJ2z/j3y9V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lLQ9u1gAAAAoBAAAPAAAAAAAAAAEAIAAA&#10;ACIAAABkcnMvZG93bnJldi54bWxQSwECFAAUAAAACACHTuJAWtG4Qg4CAAAsBAAADgAAAAAAAAAB&#10;ACAAAAAlAQAAZHJzL2Uyb0RvYy54bWxQSwUGAAAAAAYABgBZAQAApQUAAAAA&#10;">
                <v:fill on="t" focussize="0,0"/>
                <v:stroke on="f"/>
                <v:imagedata o:title=""/>
                <o:lock v:ext="edit" aspectratio="f"/>
                <v:textbox inset="0mm,0mm,0mm,0mm">
                  <w:txbxContent>
                    <w:p>
                      <w:pPr>
                        <w:pStyle w:val="68"/>
                        <w:rPr>
                          <w:rFonts w:hint="eastAsia" w:ascii="黑体" w:hAnsi="黑体" w:cs="黑体"/>
                          <w:color w:val="000000"/>
                        </w:rPr>
                      </w:pPr>
                      <w:r>
                        <w:rPr>
                          <w:rFonts w:hint="eastAsia" w:ascii="黑体" w:hAnsi="黑体" w:cs="黑体"/>
                        </w:rPr>
                        <w:t>20</w:t>
                      </w:r>
                      <w:r>
                        <w:rPr>
                          <w:rFonts w:hint="eastAsia" w:ascii="黑体" w:hAnsi="黑体" w:cs="黑体"/>
                          <w:color w:val="000000"/>
                        </w:rPr>
                        <w:t>2X-XX-XX发布</w:t>
                      </w:r>
                    </w:p>
                  </w:txbxContent>
                </v:textbox>
                <w10:anchorlock/>
              </v:shape>
            </w:pict>
          </mc:Fallback>
        </mc:AlternateContent>
      </w:r>
      <w:r>
        <mc:AlternateContent>
          <mc:Choice Requires="wps">
            <w:drawing>
              <wp:anchor distT="0" distB="0" distL="114300" distR="114300" simplePos="0" relativeHeight="251661312" behindDoc="0" locked="1" layoutInCell="0" allowOverlap="1">
                <wp:simplePos x="0" y="0"/>
                <wp:positionH relativeFrom="margin">
                  <wp:posOffset>-6350</wp:posOffset>
                </wp:positionH>
                <wp:positionV relativeFrom="margin">
                  <wp:posOffset>2709545</wp:posOffset>
                </wp:positionV>
                <wp:extent cx="6121400" cy="3738245"/>
                <wp:effectExtent l="0" t="0" r="0" b="0"/>
                <wp:wrapNone/>
                <wp:docPr id="17" name="fmFrame4"/>
                <wp:cNvGraphicFramePr/>
                <a:graphic xmlns:a="http://schemas.openxmlformats.org/drawingml/2006/main">
                  <a:graphicData uri="http://schemas.microsoft.com/office/word/2010/wordprocessingShape">
                    <wps:wsp>
                      <wps:cNvSpPr txBox="1">
                        <a:spLocks noChangeArrowheads="1"/>
                      </wps:cNvSpPr>
                      <wps:spPr bwMode="auto">
                        <a:xfrm>
                          <a:off x="0" y="0"/>
                          <a:ext cx="6121400" cy="3738245"/>
                        </a:xfrm>
                        <a:prstGeom prst="rect">
                          <a:avLst/>
                        </a:prstGeom>
                        <a:solidFill>
                          <a:srgbClr val="FFFFFF"/>
                        </a:solidFill>
                        <a:ln>
                          <a:noFill/>
                        </a:ln>
                      </wps:spPr>
                      <wps:txbx>
                        <w:txbxContent>
                          <w:p>
                            <w:pPr>
                              <w:pStyle w:val="101"/>
                              <w:spacing w:before="156" w:line="240" w:lineRule="auto"/>
                              <w:rPr>
                                <w:rFonts w:hint="eastAsia" w:ascii="黑体" w:hAnsi="楷体" w:eastAsia="黑体"/>
                                <w:sz w:val="52"/>
                                <w:szCs w:val="52"/>
                              </w:rPr>
                            </w:pPr>
                            <w:bookmarkStart w:id="36" w:name="OLE_LINK7"/>
                            <w:bookmarkStart w:id="37" w:name="OLE_LINK6"/>
                            <w:r>
                              <w:rPr>
                                <w:rFonts w:hint="eastAsia" w:ascii="黑体" w:hAnsi="楷体" w:eastAsia="黑体"/>
                                <w:sz w:val="52"/>
                                <w:szCs w:val="52"/>
                              </w:rPr>
                              <w:t>锂离子电池正极材料检测方法             热稳定性的测定</w:t>
                            </w:r>
                          </w:p>
                          <w:bookmarkEnd w:id="36"/>
                          <w:bookmarkEnd w:id="37"/>
                          <w:p>
                            <w:pPr>
                              <w:pStyle w:val="101"/>
                              <w:spacing w:before="156"/>
                              <w:rPr>
                                <w:rFonts w:hint="eastAsia" w:ascii="黑体" w:hAnsi="黑体" w:eastAsia="黑体" w:cs="黑体"/>
                                <w:sz w:val="24"/>
                                <w:szCs w:val="24"/>
                              </w:rPr>
                            </w:pPr>
                            <w:r>
                              <w:rPr>
                                <w:rFonts w:hint="eastAsia" w:ascii="黑体" w:hAnsi="黑体" w:eastAsia="黑体" w:cs="黑体"/>
                                <w:sz w:val="24"/>
                              </w:rPr>
                              <w:t>Test methods of cathode materials for lithium ion battery—</w:t>
                            </w:r>
                            <w:r>
                              <w:rPr>
                                <w:rFonts w:hint="eastAsia" w:ascii="黑体" w:hAnsi="黑体" w:eastAsia="黑体" w:cs="黑体"/>
                                <w:sz w:val="24"/>
                                <w:szCs w:val="24"/>
                              </w:rPr>
                              <w:t xml:space="preserve">Determination of </w:t>
                            </w:r>
                            <w:r>
                              <w:rPr>
                                <w:rFonts w:hint="eastAsia" w:ascii="黑体" w:hAnsi="黑体" w:eastAsia="黑体" w:cs="黑体"/>
                                <w:sz w:val="24"/>
                              </w:rPr>
                              <w:t xml:space="preserve"> thermostability</w:t>
                            </w:r>
                          </w:p>
                          <w:p>
                            <w:pPr>
                              <w:pStyle w:val="88"/>
                              <w:shd w:val="clear" w:color="auto" w:fill="FFFFFF"/>
                              <w:spacing w:before="567" w:beforeAutospacing="0" w:after="0" w:line="330" w:lineRule="exact"/>
                              <w:ind w:firstLine="4110" w:firstLineChars="1468"/>
                              <w:jc w:val="both"/>
                              <w:rPr>
                                <w:rFonts w:ascii="Times New Roman" w:hAnsi="Times New Roman" w:eastAsia="黑体" w:cs="Times New Roman"/>
                                <w:color w:val="auto"/>
                                <w:sz w:val="28"/>
                              </w:rPr>
                            </w:pPr>
                            <w:r>
                              <w:rPr>
                                <w:rFonts w:hint="eastAsia" w:ascii="Times New Roman" w:hAnsi="Times New Roman" w:eastAsia="黑体" w:cs="Times New Roman"/>
                                <w:color w:val="auto"/>
                                <w:sz w:val="28"/>
                              </w:rPr>
                              <w:t>（</w:t>
                            </w:r>
                            <w:r>
                              <w:rPr>
                                <w:rFonts w:hint="eastAsia" w:ascii="Times New Roman" w:hAnsi="Times New Roman" w:eastAsia="黑体" w:cs="Times New Roman"/>
                                <w:color w:val="auto"/>
                                <w:sz w:val="28"/>
                                <w:lang w:val="en-US" w:eastAsia="zh-CN"/>
                              </w:rPr>
                              <w:t>讨论稿</w:t>
                            </w:r>
                            <w:r>
                              <w:rPr>
                                <w:rFonts w:hint="eastAsia" w:ascii="Times New Roman" w:hAnsi="Times New Roman" w:eastAsia="黑体" w:cs="Times New Roman"/>
                                <w:color w:val="auto"/>
                                <w:sz w:val="28"/>
                              </w:rPr>
                              <w:t>）</w:t>
                            </w:r>
                          </w:p>
                          <w:p>
                            <w:pPr>
                              <w:pStyle w:val="101"/>
                            </w:pPr>
                          </w:p>
                          <w:p>
                            <w:pPr>
                              <w:pStyle w:val="118"/>
                            </w:pPr>
                          </w:p>
                          <w:p>
                            <w:pPr>
                              <w:pStyle w:val="81"/>
                              <w:jc w:val="both"/>
                            </w:pPr>
                          </w:p>
                        </w:txbxContent>
                      </wps:txbx>
                      <wps:bodyPr rot="0" vert="horz" wrap="square" lIns="0" tIns="0" rIns="0" bIns="0" anchor="t" anchorCtr="0" upright="1">
                        <a:noAutofit/>
                      </wps:bodyPr>
                    </wps:wsp>
                  </a:graphicData>
                </a:graphic>
              </wp:anchor>
            </w:drawing>
          </mc:Choice>
          <mc:Fallback>
            <w:pict>
              <v:shape id="fmFrame4" o:spid="_x0000_s1026" o:spt="202" type="#_x0000_t202" style="position:absolute;left:0pt;margin-left:-0.5pt;margin-top:213.35pt;height:294.35pt;width:482pt;mso-position-horizontal-relative:margin;mso-position-vertical-relative:margin;z-index:251661312;mso-width-relative:page;mso-height-relative:page;" fillcolor="#FFFFFF" filled="t" stroked="f" coordsize="21600,21600" o:allowincell="f" o:gfxdata="UEsDBAoAAAAAAIdO4kAAAAAAAAAAAAAAAAAEAAAAZHJzL1BLAwQUAAAACACHTuJAG+WzTdoAAAAL&#10;AQAADwAAAGRycy9kb3ducmV2LnhtbE2PwU7DMAyG70i8Q2QkLmhLWkaB0nQSG9zGYWPaOWtMW9E4&#10;VZOu29tjTnC0/en39xfLs+vECYfQetKQzBUIpMrblmoN+8/32ROIEA1Z03lCDRcMsCyvrwqTWz/R&#10;Fk+7WAsOoZAbDU2MfS5lqBp0Jsx9j8S3Lz84E3kcamkHM3G462SqVCadaYk/NKbHVYPV9250GrL1&#10;ME5bWt2t928b89HX6eH1ctD69iZRLyAinuMfDL/6rA4lOx39SDaITsMs4SpRwyLNHkEw8Jzd8+bI&#10;pEoeFiDLQv7vUP4AUEsDBBQAAAAIAIdO4kDcXG0BEQIAAC0EAAAOAAAAZHJzL2Uyb0RvYy54bWyt&#10;U8Fu2zAMvQ/YPwi6L07SrC2MOEWXIMOAbh3Q7QNkWbaFyaJGKbGzrx8lO1nXXXqYDwYlko98j9T6&#10;bugMOyr0GmzBF7M5Z8pKqLRtCv792/7dLWc+CFsJA1YV/KQ8v9u8fbPuXa6W0IKpFDICsT7vXcHb&#10;EFyeZV62qhN+Bk5ZctaAnQh0xCarUPSE3plsOZ9fZz1g5RCk8p5ud6OTT4j4GkCoay3VDuShUzaM&#10;qKiMCETJt9p5vknd1rWS4bGuvQrMFJyYhvSnImSX8Z9t1iJvULhWy6kF8ZoWXnDqhLZU9AK1E0Gw&#10;A+p/oDotETzUYSahy0YiSRFisZi/0OapFU4lLiS1dxfR/f+DlV+OX5HpijbhhjMrOpp43e2RjFUU&#10;p3c+p5gnR1Fh+AADBSai3j2A/OGZhW0rbKPuEaFvlaiouUXMzJ6ljjg+gpT9Z6ioiDgESEBDjV1U&#10;jrRghE6DOV0Go4bAJF1eL5aL1ZxcknxXN1e3y9X7VEPk53SHPnxU0LFoFBxp8gleHB98iO2I/BwS&#10;q3kwutprY9IBm3JrkB0Fbck+fRP6X2HGxmALMW1EjDeJZ6Q2kgxDOUy6lVCdiDHCuHX05shoAX9x&#10;1tPGFdz/PAhUnJlPllSL63k28GyUZ0NYSakFD5yN5jaMa3xwqJuWkMe5WLgnZWudOMcRjF1MfdIW&#10;JSmmjY9r+vycov688s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G+WzTdoAAAALAQAADwAAAAAA&#10;AAABACAAAAAiAAAAZHJzL2Rvd25yZXYueG1sUEsBAhQAFAAAAAgAh07iQNxcbQERAgAALQQAAA4A&#10;AAAAAAAAAQAgAAAAKQEAAGRycy9lMm9Eb2MueG1sUEsFBgAAAAAGAAYAWQEAAKwFAAAAAA==&#10;">
                <v:fill on="t" focussize="0,0"/>
                <v:stroke on="f"/>
                <v:imagedata o:title=""/>
                <o:lock v:ext="edit" aspectratio="f"/>
                <v:textbox inset="0mm,0mm,0mm,0mm">
                  <w:txbxContent>
                    <w:p>
                      <w:pPr>
                        <w:pStyle w:val="101"/>
                        <w:spacing w:before="156" w:line="240" w:lineRule="auto"/>
                        <w:rPr>
                          <w:rFonts w:hint="eastAsia" w:ascii="黑体" w:hAnsi="楷体" w:eastAsia="黑体"/>
                          <w:sz w:val="52"/>
                          <w:szCs w:val="52"/>
                        </w:rPr>
                      </w:pPr>
                      <w:bookmarkStart w:id="36" w:name="OLE_LINK7"/>
                      <w:bookmarkStart w:id="37" w:name="OLE_LINK6"/>
                      <w:r>
                        <w:rPr>
                          <w:rFonts w:hint="eastAsia" w:ascii="黑体" w:hAnsi="楷体" w:eastAsia="黑体"/>
                          <w:sz w:val="52"/>
                          <w:szCs w:val="52"/>
                        </w:rPr>
                        <w:t>锂离子电池正极材料检测方法             热稳定性的测定</w:t>
                      </w:r>
                    </w:p>
                    <w:bookmarkEnd w:id="36"/>
                    <w:bookmarkEnd w:id="37"/>
                    <w:p>
                      <w:pPr>
                        <w:pStyle w:val="101"/>
                        <w:spacing w:before="156"/>
                        <w:rPr>
                          <w:rFonts w:hint="eastAsia" w:ascii="黑体" w:hAnsi="黑体" w:eastAsia="黑体" w:cs="黑体"/>
                          <w:sz w:val="24"/>
                          <w:szCs w:val="24"/>
                        </w:rPr>
                      </w:pPr>
                      <w:r>
                        <w:rPr>
                          <w:rFonts w:hint="eastAsia" w:ascii="黑体" w:hAnsi="黑体" w:eastAsia="黑体" w:cs="黑体"/>
                          <w:sz w:val="24"/>
                        </w:rPr>
                        <w:t>Test methods of cathode materials for lithium ion battery—</w:t>
                      </w:r>
                      <w:r>
                        <w:rPr>
                          <w:rFonts w:hint="eastAsia" w:ascii="黑体" w:hAnsi="黑体" w:eastAsia="黑体" w:cs="黑体"/>
                          <w:sz w:val="24"/>
                          <w:szCs w:val="24"/>
                        </w:rPr>
                        <w:t xml:space="preserve">Determination of </w:t>
                      </w:r>
                      <w:r>
                        <w:rPr>
                          <w:rFonts w:hint="eastAsia" w:ascii="黑体" w:hAnsi="黑体" w:eastAsia="黑体" w:cs="黑体"/>
                          <w:sz w:val="24"/>
                        </w:rPr>
                        <w:t xml:space="preserve"> thermostability</w:t>
                      </w:r>
                    </w:p>
                    <w:p>
                      <w:pPr>
                        <w:pStyle w:val="88"/>
                        <w:shd w:val="clear" w:color="auto" w:fill="FFFFFF"/>
                        <w:spacing w:before="567" w:beforeAutospacing="0" w:after="0" w:line="330" w:lineRule="exact"/>
                        <w:ind w:firstLine="4110" w:firstLineChars="1468"/>
                        <w:jc w:val="both"/>
                        <w:rPr>
                          <w:rFonts w:ascii="Times New Roman" w:hAnsi="Times New Roman" w:eastAsia="黑体" w:cs="Times New Roman"/>
                          <w:color w:val="auto"/>
                          <w:sz w:val="28"/>
                        </w:rPr>
                      </w:pPr>
                      <w:r>
                        <w:rPr>
                          <w:rFonts w:hint="eastAsia" w:ascii="Times New Roman" w:hAnsi="Times New Roman" w:eastAsia="黑体" w:cs="Times New Roman"/>
                          <w:color w:val="auto"/>
                          <w:sz w:val="28"/>
                        </w:rPr>
                        <w:t>（</w:t>
                      </w:r>
                      <w:r>
                        <w:rPr>
                          <w:rFonts w:hint="eastAsia" w:ascii="Times New Roman" w:hAnsi="Times New Roman" w:eastAsia="黑体" w:cs="Times New Roman"/>
                          <w:color w:val="auto"/>
                          <w:sz w:val="28"/>
                          <w:lang w:val="en-US" w:eastAsia="zh-CN"/>
                        </w:rPr>
                        <w:t>讨论稿</w:t>
                      </w:r>
                      <w:r>
                        <w:rPr>
                          <w:rFonts w:hint="eastAsia" w:ascii="Times New Roman" w:hAnsi="Times New Roman" w:eastAsia="黑体" w:cs="Times New Roman"/>
                          <w:color w:val="auto"/>
                          <w:sz w:val="28"/>
                        </w:rPr>
                        <w:t>）</w:t>
                      </w:r>
                    </w:p>
                    <w:p>
                      <w:pPr>
                        <w:pStyle w:val="101"/>
                      </w:pPr>
                    </w:p>
                    <w:p>
                      <w:pPr>
                        <w:pStyle w:val="118"/>
                      </w:pPr>
                    </w:p>
                    <w:p>
                      <w:pPr>
                        <w:pStyle w:val="81"/>
                        <w:jc w:val="both"/>
                      </w:pPr>
                    </w:p>
                  </w:txbxContent>
                </v:textbox>
                <w10:anchorlock/>
              </v:shape>
            </w:pict>
          </mc:Fallback>
        </mc:AlternateContent>
      </w:r>
      <w:r>
        <mc:AlternateContent>
          <mc:Choice Requires="wps">
            <w:drawing>
              <wp:anchor distT="0" distB="0" distL="114300" distR="114300" simplePos="0" relativeHeight="251660288" behindDoc="0" locked="1" layoutInCell="0" allowOverlap="1">
                <wp:simplePos x="0" y="0"/>
                <wp:positionH relativeFrom="margin">
                  <wp:posOffset>66675</wp:posOffset>
                </wp:positionH>
                <wp:positionV relativeFrom="margin">
                  <wp:posOffset>1063625</wp:posOffset>
                </wp:positionV>
                <wp:extent cx="6067425" cy="391160"/>
                <wp:effectExtent l="0" t="0" r="9525" b="8890"/>
                <wp:wrapNone/>
                <wp:docPr id="16" name="fmFrame2"/>
                <wp:cNvGraphicFramePr/>
                <a:graphic xmlns:a="http://schemas.openxmlformats.org/drawingml/2006/main">
                  <a:graphicData uri="http://schemas.microsoft.com/office/word/2010/wordprocessingShape">
                    <wps:wsp>
                      <wps:cNvSpPr txBox="1">
                        <a:spLocks noChangeArrowheads="1"/>
                      </wps:cNvSpPr>
                      <wps:spPr bwMode="auto">
                        <a:xfrm>
                          <a:off x="0" y="0"/>
                          <a:ext cx="6067425" cy="391160"/>
                        </a:xfrm>
                        <a:prstGeom prst="rect">
                          <a:avLst/>
                        </a:prstGeom>
                        <a:solidFill>
                          <a:srgbClr val="FFFFFF"/>
                        </a:solidFill>
                        <a:ln>
                          <a:noFill/>
                        </a:ln>
                      </wps:spPr>
                      <wps:txbx>
                        <w:txbxContent>
                          <w:p>
                            <w:pPr>
                              <w:pStyle w:val="109"/>
                            </w:pPr>
                            <w:r>
                              <w:rPr>
                                <w:rFonts w:hint="eastAsia"/>
                              </w:rPr>
                              <w:t>中华人民共和国国家标准</w:t>
                            </w:r>
                          </w:p>
                        </w:txbxContent>
                      </wps:txbx>
                      <wps:bodyPr rot="0" vert="horz" wrap="square" lIns="0" tIns="0" rIns="0" bIns="0" anchor="t" anchorCtr="0" upright="1">
                        <a:noAutofit/>
                      </wps:bodyPr>
                    </wps:wsp>
                  </a:graphicData>
                </a:graphic>
              </wp:anchor>
            </w:drawing>
          </mc:Choice>
          <mc:Fallback>
            <w:pict>
              <v:shape id="fmFrame2" o:spid="_x0000_s1026" o:spt="202" type="#_x0000_t202" style="position:absolute;left:0pt;margin-left:5.25pt;margin-top:83.75pt;height:30.8pt;width:477.75pt;mso-position-horizontal-relative:margin;mso-position-vertical-relative:margin;z-index:251660288;mso-width-relative:page;mso-height-relative:page;" fillcolor="#FFFFFF" filled="t" stroked="f" coordsize="21600,21600" o:allowincell="f" o:gfxdata="UEsDBAoAAAAAAIdO4kAAAAAAAAAAAAAAAAAEAAAAZHJzL1BLAwQUAAAACACHTuJAoWtUKdgAAAAK&#10;AQAADwAAAGRycy9kb3ducmV2LnhtbE2PQU/DMAyF70j8h8hIXBBLW4nAStNJbHCDw8a0c9aYtqJx&#10;qiRdt3+POcHJfvLT8/eq1dkN4oQh9p405IsMBFLjbU+thv3n2/0TiJgMWTN4Qg0XjLCqr68qU1o/&#10;0xZPu9QKDqFYGg1dSmMpZWw6dCYu/IjEty8fnEksQyttMDOHu0EWWaakMz3xh86MuO6w+d5NToPa&#10;hGne0vpus399Nx9jWxxeLgetb2/y7BlEwnP6M8MvPqNDzUxHP5GNYmCdPbCTp3rkhQ1LpbjcUUNR&#10;LHOQdSX/V6h/AFBLAwQUAAAACACHTuJAkZwWixACAAAsBAAADgAAAGRycy9lMm9Eb2MueG1srVPB&#10;jtMwEL0j8Q+W7zRtgQJR09XSqghpWZAWPsBxnMTC9pix22T5esZOW1blsgdyiMb2zPO8N8/rm9Ea&#10;dlQYNLiKL2ZzzpST0GjXVfzH9/2r95yFKFwjDDhV8UcV+M3m5Yv14Eu1hB5Mo5ARiAvl4Cvex+jL&#10;ogiyV1aEGXjl6LAFtCLSEruiQTEQujXFcj5fFQNg4xGkCoF2d9MhPyHicwChbbVUO5AHq1ycUFEZ&#10;EYlS6LUPfJO7bVsl49e2DSoyU3FiGvOfLqG4Tv9isxZlh8L3Wp5aEM9p4YqTFdrRpReonYiCHVD/&#10;A2W1RAjQxpkEW0xEsiLEYjG/0uahF15lLiR18BfRw/+DlffHb8h0Q05YceaEpYm3do8ULJM4gw8l&#10;5Tx4yorjRxgpMRMN/g7kz8AcbHvhOnWLCEOvREPNLVJl8aR0wgkJpB6+QEOXiEOEDDS2aJNypAUj&#10;dBrM42UwaoxM0uZqvnr3ZvmWM0lnrz8sFqs8uUKU52qPIX5SYFkKKo40+Iwujnchpm5EeU5JlwUw&#10;utlrY/ICu3prkB0FmWSfv0zgKs24lOwglU2IaSfTTMwmjnGsx5NsNTSPRBhhMh09OQp6wN+cDWS4&#10;iodfB4GKM/PZkWjJnecAz0F9DoSTVFrxyNkUbuPk4oNH3fWEPI3FwS0J2+rMOU1g6uLUJ5koS3Ey&#10;fHLp03XO+vvIN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oWtUKdgAAAAKAQAADwAAAAAAAAAB&#10;ACAAAAAiAAAAZHJzL2Rvd25yZXYueG1sUEsBAhQAFAAAAAgAh07iQJGcFosQAgAALAQAAA4AAAAA&#10;AAAAAQAgAAAAJwEAAGRycy9lMm9Eb2MueG1sUEsFBgAAAAAGAAYAWQEAAKkFAAAAAA==&#10;">
                <v:fill on="t" focussize="0,0"/>
                <v:stroke on="f"/>
                <v:imagedata o:title=""/>
                <o:lock v:ext="edit" aspectratio="f"/>
                <v:textbox inset="0mm,0mm,0mm,0mm">
                  <w:txbxContent>
                    <w:p>
                      <w:pPr>
                        <w:pStyle w:val="109"/>
                      </w:pPr>
                      <w:r>
                        <w:rPr>
                          <w:rFonts w:hint="eastAsia"/>
                        </w:rPr>
                        <w:t>中华人民共和国国家标准</w:t>
                      </w:r>
                    </w:p>
                  </w:txbxContent>
                </v:textbox>
                <w10:anchorlock/>
              </v:shape>
            </w:pict>
          </mc:Fallback>
        </mc:AlternateContent>
      </w:r>
      <w:r>
        <mc:AlternateContent>
          <mc:Choice Requires="wps">
            <w:drawing>
              <wp:anchor distT="0" distB="0" distL="114300" distR="114300" simplePos="0" relativeHeight="251659264" behindDoc="0" locked="1" layoutInCell="0" allowOverlap="1">
                <wp:simplePos x="0" y="0"/>
                <wp:positionH relativeFrom="margin">
                  <wp:posOffset>-5080</wp:posOffset>
                </wp:positionH>
                <wp:positionV relativeFrom="margin">
                  <wp:posOffset>-17145</wp:posOffset>
                </wp:positionV>
                <wp:extent cx="923925" cy="390525"/>
                <wp:effectExtent l="0" t="0" r="9525" b="9525"/>
                <wp:wrapNone/>
                <wp:docPr id="15" name="fmFrame1"/>
                <wp:cNvGraphicFramePr/>
                <a:graphic xmlns:a="http://schemas.openxmlformats.org/drawingml/2006/main">
                  <a:graphicData uri="http://schemas.microsoft.com/office/word/2010/wordprocessingShape">
                    <wps:wsp>
                      <wps:cNvSpPr txBox="1">
                        <a:spLocks noChangeArrowheads="1"/>
                      </wps:cNvSpPr>
                      <wps:spPr bwMode="auto">
                        <a:xfrm>
                          <a:off x="0" y="0"/>
                          <a:ext cx="923925" cy="390525"/>
                        </a:xfrm>
                        <a:prstGeom prst="rect">
                          <a:avLst/>
                        </a:prstGeom>
                        <a:solidFill>
                          <a:srgbClr val="FFFFFF"/>
                        </a:solidFill>
                        <a:ln>
                          <a:noFill/>
                        </a:ln>
                      </wps:spPr>
                      <wps:txbx>
                        <w:txbxContent>
                          <w:p>
                            <w:pPr>
                              <w:pStyle w:val="104"/>
                              <w:rPr>
                                <w:rFonts w:hint="eastAsia" w:ascii="黑体" w:hAnsi="黑体" w:cs="黑体"/>
                              </w:rPr>
                            </w:pPr>
                            <w:r>
                              <w:rPr>
                                <w:rFonts w:hint="eastAsia" w:ascii="黑体" w:hAnsi="黑体" w:cs="黑体"/>
                              </w:rPr>
                              <w:t>ICS 77.160</w:t>
                            </w:r>
                          </w:p>
                          <w:p>
                            <w:pPr>
                              <w:pStyle w:val="104"/>
                              <w:rPr>
                                <w:rFonts w:hint="eastAsia" w:ascii="黑体" w:hAnsi="黑体" w:cs="黑体"/>
                              </w:rPr>
                            </w:pPr>
                            <w:r>
                              <w:rPr>
                                <w:rFonts w:hint="eastAsia" w:ascii="黑体" w:hAnsi="黑体" w:cs="黑体"/>
                              </w:rPr>
                              <w:t>CCS H16</w:t>
                            </w:r>
                          </w:p>
                          <w:p>
                            <w:pPr>
                              <w:pStyle w:val="104"/>
                            </w:pPr>
                          </w:p>
                        </w:txbxContent>
                      </wps:txbx>
                      <wps:bodyPr rot="0" vert="horz" wrap="square" lIns="0" tIns="0" rIns="0" bIns="0" anchor="t" anchorCtr="0" upright="1">
                        <a:noAutofit/>
                      </wps:bodyPr>
                    </wps:wsp>
                  </a:graphicData>
                </a:graphic>
              </wp:anchor>
            </w:drawing>
          </mc:Choice>
          <mc:Fallback>
            <w:pict>
              <v:shape id="fmFrame1" o:spid="_x0000_s1026" o:spt="202" type="#_x0000_t202" style="position:absolute;left:0pt;margin-left:-0.4pt;margin-top:-1.35pt;height:30.75pt;width:72.75pt;mso-position-horizontal-relative:margin;mso-position-vertical-relative:margin;z-index:251659264;mso-width-relative:page;mso-height-relative:page;" fillcolor="#FFFFFF" filled="t" stroked="f" coordsize="21600,21600" o:allowincell="f" o:gfxdata="UEsDBAoAAAAAAIdO4kAAAAAAAAAAAAAAAAAEAAAAZHJzL1BLAwQUAAAACACHTuJAQrUZ4dUAAAAH&#10;AQAADwAAAGRycy9kb3ducmV2LnhtbE2OwU7DMBBE70j8g7VIXBB1GpUSpXEq0cINDi1Vz9t4m0TE&#10;68h2mvbvcU5w2lnNaOYV66vpxIWcby0rmM8SEMSV1S3XCg7fH88ZCB+QNXaWScGNPKzL+7sCc21H&#10;3tFlH2oRS9jnqKAJoc+l9FVDBv3M9sTRO1tnMMTX1VI7HGO56WSaJEtpsOW40GBPm4aqn/1gFCy3&#10;bhh3vHnaHt4/8auv0+Pb7ajU48M8WYEIdA1/YZjwIzqUkelkB9ZedAom8BBP+gpisheLKE4KXrIM&#10;ZFnI//zlL1BLAwQUAAAACACHTuJAwCXOqA0CAAArBAAADgAAAGRycy9lMm9Eb2MueG1srVNNj9sg&#10;EL1X6n9A3BsnWW3VWHFW20SpKm0/pG1/AMY4RgWGDiR2+us7YCfdbi97qA/WADOPeW8e67vBGnZS&#10;GDS4ii9mc86Uk9Bod6j492/7N+84C1G4RhhwquJnFfjd5vWrde9LtYQOTKOQEYgLZe8r3sXoy6II&#10;slNWhBl45eiwBbQi0hIPRYOiJ3RriuV8/rboARuPIFUItLsbD/mEiC8BhLbVUu1AHq1ycURFZUQk&#10;SqHTPvBN7rZtlYxf2jaoyEzFiWnMf7qE4jr9i81alAcUvtNyakG8pIVnnKzQji69Qu1EFOyI+h8o&#10;qyVCgDbOJNhiJJIVIRaL+TNtHjvhVeZCUgd/FT38P1j5+fQVmW7ICbecOWFp4q3dIwWLJE7vQ0k5&#10;j56y4vAeBkrMRIN/APkjMAfbTriDukeEvlOioeZyZfGkdMQJCaTuP0FDl4hjhAw0tGiTcqQFI3Qa&#10;zPk6GDVEJmlztbxZLak/SUc3q/ktxdRbIcpLsccQPyiwLAUVR5p7BhenhxDH1EtKuiuA0c1eG5MX&#10;eKi3BtlJkEf2+ZvQ/0ozLiU7SGUjYtrJLBOxkWIc6mFSrYbmTHwRRs/Ri6OgA/zFWU9+q3j4eRSo&#10;ODMfHWmWzHkJ8BLUl0A4SaUVj5yN4TaOJj561IeOkMepOLgnXVudOacBjF1MfZKHsmqT35NJn65z&#10;1p83vvk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rUZ4dUAAAAHAQAADwAAAAAAAAABACAAAAAi&#10;AAAAZHJzL2Rvd25yZXYueG1sUEsBAhQAFAAAAAgAh07iQMAlzqgNAgAAKwQAAA4AAAAAAAAAAQAg&#10;AAAAJAEAAGRycy9lMm9Eb2MueG1sUEsFBgAAAAAGAAYAWQEAAKMFAAAAAA==&#10;">
                <v:fill on="t" focussize="0,0"/>
                <v:stroke on="f"/>
                <v:imagedata o:title=""/>
                <o:lock v:ext="edit" aspectratio="f"/>
                <v:textbox inset="0mm,0mm,0mm,0mm">
                  <w:txbxContent>
                    <w:p>
                      <w:pPr>
                        <w:pStyle w:val="104"/>
                        <w:rPr>
                          <w:rFonts w:hint="eastAsia" w:ascii="黑体" w:hAnsi="黑体" w:cs="黑体"/>
                        </w:rPr>
                      </w:pPr>
                      <w:r>
                        <w:rPr>
                          <w:rFonts w:hint="eastAsia" w:ascii="黑体" w:hAnsi="黑体" w:cs="黑体"/>
                        </w:rPr>
                        <w:t>ICS 77.160</w:t>
                      </w:r>
                    </w:p>
                    <w:p>
                      <w:pPr>
                        <w:pStyle w:val="104"/>
                        <w:rPr>
                          <w:rFonts w:hint="eastAsia" w:ascii="黑体" w:hAnsi="黑体" w:cs="黑体"/>
                        </w:rPr>
                      </w:pPr>
                      <w:r>
                        <w:rPr>
                          <w:rFonts w:hint="eastAsia" w:ascii="黑体" w:hAnsi="黑体" w:cs="黑体"/>
                        </w:rPr>
                        <w:t>CCS H16</w:t>
                      </w:r>
                    </w:p>
                    <w:p>
                      <w:pPr>
                        <w:pStyle w:val="104"/>
                      </w:pPr>
                    </w:p>
                  </w:txbxContent>
                </v:textbox>
                <w10:anchorlock/>
              </v:shape>
            </w:pict>
          </mc:Fallback>
        </mc:AlternateContent>
      </w:r>
    </w:p>
    <w:p/>
    <w:p/>
    <w:p/>
    <w:p/>
    <w:p/>
    <w:p/>
    <w:p/>
    <w:p>
      <w:r>
        <mc:AlternateContent>
          <mc:Choice Requires="wps">
            <w:drawing>
              <wp:anchor distT="0" distB="0" distL="114300" distR="114300" simplePos="0" relativeHeight="251670528" behindDoc="0" locked="0" layoutInCell="1" allowOverlap="1">
                <wp:simplePos x="0" y="0"/>
                <wp:positionH relativeFrom="margin">
                  <wp:posOffset>269240</wp:posOffset>
                </wp:positionH>
                <wp:positionV relativeFrom="paragraph">
                  <wp:posOffset>175895</wp:posOffset>
                </wp:positionV>
                <wp:extent cx="5716905" cy="486410"/>
                <wp:effectExtent l="0" t="0" r="0" b="8890"/>
                <wp:wrapNone/>
                <wp:docPr id="14" name="文本框 40"/>
                <wp:cNvGraphicFramePr/>
                <a:graphic xmlns:a="http://schemas.openxmlformats.org/drawingml/2006/main">
                  <a:graphicData uri="http://schemas.microsoft.com/office/word/2010/wordprocessingShape">
                    <wps:wsp>
                      <wps:cNvSpPr txBox="1">
                        <a:spLocks noChangeArrowheads="1"/>
                      </wps:cNvSpPr>
                      <wps:spPr bwMode="auto">
                        <a:xfrm>
                          <a:off x="0" y="0"/>
                          <a:ext cx="5716905" cy="486410"/>
                        </a:xfrm>
                        <a:prstGeom prst="rect">
                          <a:avLst/>
                        </a:prstGeom>
                        <a:noFill/>
                        <a:ln>
                          <a:noFill/>
                        </a:ln>
                      </wps:spPr>
                      <wps:txbx>
                        <w:txbxContent>
                          <w:p>
                            <w:pPr>
                              <w:spacing w:line="280" w:lineRule="exact"/>
                              <w:jc w:val="right"/>
                            </w:pPr>
                            <w:r>
                              <w:rPr>
                                <w:rFonts w:ascii="黑体" w:hAnsi="黑体" w:eastAsia="黑体"/>
                                <w:sz w:val="28"/>
                              </w:rPr>
                              <w:t>GB/T XXXX-202X</w:t>
                            </w:r>
                          </w:p>
                        </w:txbxContent>
                      </wps:txbx>
                      <wps:bodyPr rot="0" vert="horz" wrap="square" lIns="91440" tIns="45720" rIns="91440" bIns="45720" anchor="t" anchorCtr="0" upright="1">
                        <a:noAutofit/>
                      </wps:bodyPr>
                    </wps:wsp>
                  </a:graphicData>
                </a:graphic>
              </wp:anchor>
            </w:drawing>
          </mc:Choice>
          <mc:Fallback>
            <w:pict>
              <v:shape id="文本框 40" o:spid="_x0000_s1026" o:spt="202" type="#_x0000_t202" style="position:absolute;left:0pt;margin-left:21.2pt;margin-top:13.85pt;height:38.3pt;width:450.15pt;mso-position-horizontal-relative:margin;z-index:251670528;mso-width-relative:page;mso-height-relative:page;" filled="f" stroked="f" coordsize="21600,21600" o:gfxdata="UEsDBAoAAAAAAIdO4kAAAAAAAAAAAAAAAAAEAAAAZHJzL1BLAwQUAAAACACHTuJAREM9ENYAAAAJ&#10;AQAADwAAAGRycy9kb3ducmV2LnhtbE2PTU/DMAyG70j7D5GRuLFkJTBWmu4wxJWJ8SFxyxqvrWic&#10;qsnW8u9nTuxm6330+nGxnnwnTjjENpCBxVyBQKqCa6k28PH+cvsIIiZLznaB0MAvRliXs6vC5i6M&#10;9IanXaoFl1DMrYEmpT6XMlYNehvnoUfi7BAGbxOvQy3dYEcu953MlHqQ3rbEFxrb46bB6md39AY+&#10;Xw/fX1pt62d/349hUpL8Shpzc71QTyASTukfhj99VoeSnfbhSC6KzoDONJMGsuUSBOcrnfGwZ1Dp&#10;O5BlIS8/KM9QSwMEFAAAAAgAh07iQElO530ZAgAAFwQAAA4AAABkcnMvZTJvRG9jLnhtbK1TS27b&#10;MBDdF+gdCO5rWYbsJILlII2RokD6AdIegKYoi6jEYYe0JfcA7Q2y6qb7nsvn6JByHDfdZNENQXKG&#10;b957M5xf9m3DtgqdBlPwdDTmTBkJpTbrgn/+dPPqnDPnhSlFA0YVfKccv1y8fDHvbK4mUENTKmQE&#10;Ylze2YLX3ts8SZysVSvcCKwyFKwAW+HpiOukRNERetskk/F4lnSApUWQyjm6XQ5BfkDE5wBCVWmp&#10;liA3rTJ+QEXVCE+SXK2t44vItqqU9B+qyinPmoKTUh9XKkL7VViTxVzkaxS21vJAQTyHwhNNrdCG&#10;ih6hlsILtkH9D1SrJYKDyo8ktMkgJDpCKtLxE2/uamFV1EJWO3s03f0/WPl++xGZLmkSMs6MaKnj&#10;+/sf+5+/97++sywa1FmXU96dpUzfv4aekqNYZ29BfnHMwHUtzFpdIUJXK1ESwTRYm5w8DS1xuQsg&#10;q+4dlFRIbDxEoL7CNrhHfjBCp+bsjs1RvWeSLqdn6exiPOVMUiw7n2VpJJeI/OG1ReffKGhZ2BQc&#10;qfkRXWxvnQ9sRP6QEooZuNFNEwegMX9dUGK4iewD4YG671c9ZQcVKyh3pANhmCf6TbSpAb9x1tEs&#10;Fdx93QhUnDVvDXlxkWbkJPPxkE3PJnTA08jqNCKMJKiCe86G7bUfBnZjUa9rqjS4b+CK/Kt0lPbI&#10;6sCb5iUqPsx2GMjTc8x6/M+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ERDPRDWAAAACQEAAA8A&#10;AAAAAAAAAQAgAAAAIgAAAGRycy9kb3ducmV2LnhtbFBLAQIUABQAAAAIAIdO4kBJTud9GQIAABcE&#10;AAAOAAAAAAAAAAEAIAAAACUBAABkcnMvZTJvRG9jLnhtbFBLBQYAAAAABgAGAFkBAACwBQAAAAA=&#10;">
                <v:fill on="f" focussize="0,0"/>
                <v:stroke on="f"/>
                <v:imagedata o:title=""/>
                <o:lock v:ext="edit" aspectratio="f"/>
                <v:textbox>
                  <w:txbxContent>
                    <w:p>
                      <w:pPr>
                        <w:spacing w:line="280" w:lineRule="exact"/>
                        <w:jc w:val="right"/>
                      </w:pPr>
                      <w:r>
                        <w:rPr>
                          <w:rFonts w:ascii="黑体" w:hAnsi="黑体" w:eastAsia="黑体"/>
                          <w:sz w:val="28"/>
                        </w:rPr>
                        <w:t>GB/T XXXX-202X</w:t>
                      </w:r>
                    </w:p>
                  </w:txbxContent>
                </v:textbox>
              </v:shape>
            </w:pict>
          </mc:Fallback>
        </mc:AlternateContent>
      </w:r>
    </w:p>
    <w:p/>
    <w:p>
      <w:r>
        <mc:AlternateContent>
          <mc:Choice Requires="wps">
            <w:drawing>
              <wp:anchor distT="0" distB="0" distL="114300" distR="114300" simplePos="0" relativeHeight="251665408" behindDoc="0" locked="0" layoutInCell="1" allowOverlap="1">
                <wp:simplePos x="0" y="0"/>
                <wp:positionH relativeFrom="margin">
                  <wp:posOffset>0</wp:posOffset>
                </wp:positionH>
                <wp:positionV relativeFrom="paragraph">
                  <wp:posOffset>351155</wp:posOffset>
                </wp:positionV>
                <wp:extent cx="6121400" cy="0"/>
                <wp:effectExtent l="0" t="0" r="31750" b="19050"/>
                <wp:wrapSquare wrapText="bothSides"/>
                <wp:docPr id="13" name="直线 10"/>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ln>
                        <a:effectLst/>
                      </wps:spPr>
                      <wps:bodyPr/>
                    </wps:wsp>
                  </a:graphicData>
                </a:graphic>
              </wp:anchor>
            </w:drawing>
          </mc:Choice>
          <mc:Fallback>
            <w:pict>
              <v:line id="直线 10" o:spid="_x0000_s1026" o:spt="20" style="position:absolute;left:0pt;margin-left:0pt;margin-top:27.65pt;height:0pt;width:482pt;mso-position-horizontal-relative:margin;mso-wrap-distance-bottom:0pt;mso-wrap-distance-left:9pt;mso-wrap-distance-right:9pt;mso-wrap-distance-top:0pt;z-index:251665408;mso-width-relative:page;mso-height-relative:page;" filled="f" stroked="t" coordsize="21600,21600" o:gfxdata="UEsDBAoAAAAAAIdO4kAAAAAAAAAAAAAAAAAEAAAAZHJzL1BLAwQUAAAACACHTuJA+Vbmd9UAAAAG&#10;AQAADwAAAGRycy9kb3ducmV2LnhtbE2PzU7DMBCE70i8g7VI3KjTQksIcXoAVRWIS1skrtt4iQPx&#10;Oo3dH96eRRzgODOrmW/L+cl36kBDbAMbGI8yUMR1sC03Bl43i6scVEzIFrvAZOCLIsyr87MSCxuO&#10;vKLDOjVKSjgWaMCl1Bdax9qRxzgKPbFk72HwmEQOjbYDHqXcd3qSZTPtsWVZcNjTg6P6c733BvBx&#10;uUpv+eT5tn1yLx+bxW7p8p0xlxfj7B5UolP6O4YffEGHSpi2Yc82qs6APJIMTKfXoCS9m92Isf01&#10;dFXq//jVN1BLAwQUAAAACACHTuJAPg9fhdsBAACyAwAADgAAAGRycy9lMm9Eb2MueG1srVPBjtMw&#10;EL0j8Q+W7zRJQQuKmu6h1XJZoNLufsDUcRIL22PZbtN+C7/BiQufs7/B2G0KlMseyMHyeGbezHsz&#10;WdwejGZ76YNC2/BqVnImrcBW2b7hT493bz5wFiLYFjRa2fCjDPx2+frVYnS1nOOAupWeEYgN9ega&#10;PsTo6qIIYpAGwgydtOTs0BuIZPq+aD2MhG50MS/Lm2JE3zqPQoZAr+uTk58R/UsAseuUkGsUOyNt&#10;PKF6qSESpTAoF/gyd9t1UsQvXRdkZLrhxDTmk4rQfZvOYrmAuvfgBiXOLcBLWrjiZEBZKnqBWkME&#10;tvPqHyijhMeAXZwJNMWJSFaEWFTllTYPAziZuZDUwV1ED/8PVnzebzxTLW3CW84sGJr487fvzz9+&#10;siqrM7pQU9DKbnziJw72wd2j+BqYxdUAtpe5y8ejo8wq6Vn8lZKM4KjGdvyELcXALmKW6tB5kyBJ&#10;BHbIEzleJiIPkQl6vKnm1buShiUmXwH1lOh8iB8lGpYuDdfKJrGghv19iKkRqKeQ9GzxTmmdB64t&#10;G6nb+XuCTq6AWrXJmw3fb1fasz2knclfpnUV5nFn21MVbVOezOt2Lj3RTosY6i22x42ftKFR5ubO&#10;a5d25U87K/j7V1v+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lW5nfVAAAABgEAAA8AAAAAAAAA&#10;AQAgAAAAIgAAAGRycy9kb3ducmV2LnhtbFBLAQIUABQAAAAIAIdO4kA+D1+F2wEAALIDAAAOAAAA&#10;AAAAAAEAIAAAACQBAABkcnMvZTJvRG9jLnhtbFBLBQYAAAAABgAGAFkBAABxBQAAAAA=&#10;">
                <v:fill on="f" focussize="0,0"/>
                <v:stroke weight="1pt" color="#000000" joinstyle="round"/>
                <v:imagedata o:title=""/>
                <o:lock v:ext="edit" aspectratio="f"/>
                <w10:wrap type="square"/>
              </v:line>
            </w:pict>
          </mc:Fallback>
        </mc:AlternateContent>
      </w:r>
    </w:p>
    <w:p/>
    <w:p/>
    <w:p/>
    <w:p/>
    <w:p/>
    <w:p/>
    <w:p/>
    <w:p/>
    <w:p/>
    <w:p/>
    <w:p/>
    <w:p>
      <w:pPr>
        <w:tabs>
          <w:tab w:val="left" w:pos="8916"/>
        </w:tabs>
        <w:jc w:val="left"/>
      </w:pPr>
      <w:r>
        <mc:AlternateContent>
          <mc:Choice Requires="wps">
            <w:drawing>
              <wp:anchor distT="0" distB="0" distL="114300" distR="114300" simplePos="0" relativeHeight="251666432" behindDoc="0" locked="0" layoutInCell="1" allowOverlap="1">
                <wp:simplePos x="0" y="0"/>
                <wp:positionH relativeFrom="margin">
                  <wp:posOffset>0</wp:posOffset>
                </wp:positionH>
                <wp:positionV relativeFrom="paragraph">
                  <wp:posOffset>4384040</wp:posOffset>
                </wp:positionV>
                <wp:extent cx="6121400" cy="0"/>
                <wp:effectExtent l="0" t="0" r="31750" b="19050"/>
                <wp:wrapSquare wrapText="bothSides"/>
                <wp:docPr id="11" name="直线 11"/>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00000"/>
                          </a:solidFill>
                          <a:round/>
                        </a:ln>
                      </wps:spPr>
                      <wps:bodyPr/>
                    </wps:wsp>
                  </a:graphicData>
                </a:graphic>
              </wp:anchor>
            </w:drawing>
          </mc:Choice>
          <mc:Fallback>
            <w:pict>
              <v:line id="直线 11" o:spid="_x0000_s1026" o:spt="20" style="position:absolute;left:0pt;margin-left:0pt;margin-top:345.2pt;height:0pt;width:482pt;mso-position-horizontal-relative:margin;mso-wrap-distance-bottom:0pt;mso-wrap-distance-left:9pt;mso-wrap-distance-right:9pt;mso-wrap-distance-top:0pt;z-index:251666432;mso-width-relative:page;mso-height-relative:page;" filled="f" stroked="t" coordsize="21600,21600" o:gfxdata="UEsDBAoAAAAAAIdO4kAAAAAAAAAAAAAAAAAEAAAAZHJzL1BLAwQUAAAACACHTuJA7YrgANYAAAAI&#10;AQAADwAAAGRycy9kb3ducmV2LnhtbE2PzU7DMBCE70i8g7VI3KjdqgppiNMDqKpAXNoicd3G2zgl&#10;ttPY/eHtWSSkctyZ0ew35fziOnGiIbbBaxiPFAjydTCtbzR8bBYPOYiY0BvsgicN3xRhXt3elFiY&#10;cPYrOq1TI7jExwI12JT6QspYW3IYR6Enz94uDA4Tn0MjzYBnLnednCiVSYet5w8We3q2VH+tj04D&#10;vixX6TOfvD22r/Z9v1kcljY/aH1/N1ZPIBJd0jUMv/iMDhUzbcPRmyg6DTwkachmagqC7Vk2ZWX7&#10;p8iqlP8HVD9QSwMEFAAAAAgAh07iQHAYOAnVAQAApAMAAA4AAABkcnMvZTJvRG9jLnhtbK1TS27b&#10;MBDdF+gdCO5rSUaRFoLlLGykm7Q1kPQAY4qSiJAcgqQt+Sy9Rlfd9Di5Rof0J026ySJaEJzf47w3&#10;o8X1ZDTbSx8U2oZXs5IzaQW2yvYN/3F/8+EzZyGCbUGjlQ0/yMCvl+/fLUZXyzkOqFvpGYHYUI+u&#10;4UOMri6KIAZpIMzQSUvBDr2BSKbvi9bDSOhGF/OyvCpG9K3zKGQI5F0fg/yE6F8DiF2nhFyj2Blp&#10;4xHVSw2RKIVBucCXuduukyJ+77ogI9MNJ6Yxn/QI3bfpLJYLqHsPblDi1AK8poUXnAwoS49eoNYQ&#10;ge28+g/KKOExYBdnAk1xJJIVIRZV+UKbuwGczFxI6uAuooe3gxXf9hvPVEubUHFmwdDEH3/+evz9&#10;h5GD1BldqClpZTc+8ROTvXO3KB4Cs7gawPYyd3l/cFSZK4pnJckIjt7Yjl+xpRzYRcxSTZ03CZJE&#10;YFOeyOEyETlFJsh5Vc2rjyUNS5xjBdTnQudD/CLRsHRpuFY2iQU17G9DpNYp9ZyS3BZvlNZ54Nqy&#10;kbqdfyLoFAqoVZui2fD9dqU920PamfwlIQjtWZrHnW2Pfm0pfCZ6lGyL7WHjUzj5aXgZ4LRoaTv+&#10;tXPW08+1/A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tiuAA1gAAAAgBAAAPAAAAAAAAAAEAIAAA&#10;ACIAAABkcnMvZG93bnJldi54bWxQSwECFAAUAAAACACHTuJAcBg4CdUBAACkAwAADgAAAAAAAAAB&#10;ACAAAAAlAQAAZHJzL2Uyb0RvYy54bWxQSwUGAAAAAAYABgBZAQAAbAUAAAAA&#10;">
                <v:fill on="f" focussize="0,0"/>
                <v:stroke weight="1pt" color="#000000" joinstyle="round"/>
                <v:imagedata o:title=""/>
                <o:lock v:ext="edit" aspectratio="f"/>
                <w10:wrap type="square"/>
              </v:line>
            </w:pict>
          </mc:Fallback>
        </mc:AlternateContent>
      </w:r>
      <w:r>
        <w:tab/>
      </w: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pPr>
    </w:p>
    <w:p>
      <w:pPr>
        <w:tabs>
          <w:tab w:val="left" w:pos="8916"/>
        </w:tabs>
        <w:jc w:val="left"/>
        <w:sectPr>
          <w:headerReference r:id="rId5" w:type="first"/>
          <w:footerReference r:id="rId8" w:type="first"/>
          <w:headerReference r:id="rId3" w:type="default"/>
          <w:footerReference r:id="rId6" w:type="default"/>
          <w:headerReference r:id="rId4" w:type="even"/>
          <w:footerReference r:id="rId7" w:type="even"/>
          <w:pgSz w:w="11907" w:h="16839"/>
          <w:pgMar w:top="567" w:right="851" w:bottom="1418" w:left="1418" w:header="0" w:footer="0" w:gutter="0"/>
          <w:pgNumType w:fmt="upperRoman" w:start="1"/>
          <w:cols w:space="720" w:num="1"/>
          <w:titlePg/>
          <w:docGrid w:type="lines" w:linePitch="312" w:charSpace="0"/>
        </w:sectPr>
      </w:pPr>
      <w:r>
        <mc:AlternateContent>
          <mc:Choice Requires="wps">
            <w:drawing>
              <wp:anchor distT="0" distB="0" distL="114300" distR="114300" simplePos="0" relativeHeight="251669504" behindDoc="0" locked="0" layoutInCell="1" allowOverlap="1">
                <wp:simplePos x="0" y="0"/>
                <wp:positionH relativeFrom="column">
                  <wp:posOffset>4739005</wp:posOffset>
                </wp:positionH>
                <wp:positionV relativeFrom="paragraph">
                  <wp:posOffset>1221105</wp:posOffset>
                </wp:positionV>
                <wp:extent cx="621665" cy="471170"/>
                <wp:effectExtent l="0" t="0" r="26035" b="24130"/>
                <wp:wrapNone/>
                <wp:docPr id="12" name="文本框 26"/>
                <wp:cNvGraphicFramePr/>
                <a:graphic xmlns:a="http://schemas.openxmlformats.org/drawingml/2006/main">
                  <a:graphicData uri="http://schemas.microsoft.com/office/word/2010/wordprocessingShape">
                    <wps:wsp>
                      <wps:cNvSpPr txBox="1">
                        <a:spLocks noChangeArrowheads="1"/>
                      </wps:cNvSpPr>
                      <wps:spPr bwMode="auto">
                        <a:xfrm>
                          <a:off x="0" y="0"/>
                          <a:ext cx="621792" cy="471170"/>
                        </a:xfrm>
                        <a:prstGeom prst="rect">
                          <a:avLst/>
                        </a:prstGeom>
                        <a:noFill/>
                        <a:ln w="9525">
                          <a:solidFill>
                            <a:srgbClr val="FFFFFF"/>
                          </a:solidFill>
                          <a:miter lim="800000"/>
                        </a:ln>
                      </wps:spPr>
                      <wps:txbx>
                        <w:txbxContent>
                          <w:p>
                            <w:pPr>
                              <w:jc w:val="distribute"/>
                              <w:rPr>
                                <w:rFonts w:hint="eastAsia" w:ascii="黑体" w:hAnsi="黑体" w:eastAsia="黑体"/>
                                <w:bCs/>
                                <w:color w:val="000000"/>
                                <w:sz w:val="28"/>
                              </w:rPr>
                            </w:pPr>
                            <w:r>
                              <w:rPr>
                                <w:rFonts w:hint="eastAsia" w:ascii="黑体" w:hAnsi="黑体" w:eastAsia="黑体"/>
                                <w:bCs/>
                                <w:color w:val="000000"/>
                                <w:sz w:val="28"/>
                              </w:rPr>
                              <w:t>发布</w:t>
                            </w:r>
                          </w:p>
                        </w:txbxContent>
                      </wps:txbx>
                      <wps:bodyPr rot="0" vert="horz" wrap="square" lIns="91440" tIns="45720" rIns="91440" bIns="45720" anchor="t" anchorCtr="0" upright="1">
                        <a:noAutofit/>
                      </wps:bodyPr>
                    </wps:wsp>
                  </a:graphicData>
                </a:graphic>
              </wp:anchor>
            </w:drawing>
          </mc:Choice>
          <mc:Fallback>
            <w:pict>
              <v:shape id="文本框 26" o:spid="_x0000_s1026" o:spt="202" type="#_x0000_t202" style="position:absolute;left:0pt;margin-left:373.15pt;margin-top:96.15pt;height:37.1pt;width:48.95pt;z-index:251669504;mso-width-relative:page;mso-height-relative:page;" filled="f" stroked="t" coordsize="21600,21600" o:gfxdata="UEsDBAoAAAAAAIdO4kAAAAAAAAAAAAAAAAAEAAAAZHJzL1BLAwQUAAAACACHTuJAAhWsgtoAAAAL&#10;AQAADwAAAGRycy9kb3ducmV2LnhtbE2PQU7DMBBF90jcwRokNhV1GoKbhjhdILFgUUpLD+DGJg7E&#10;4yh2knJ7hhXsZvSf/rwptxfXsckMofUoYbVMgBmsvW6xkXB6f77LgYWoUKvOo5HwbQJsq+urUhXa&#10;z3gw0zE2jEowFEqCjbEvOA+1NU6Fpe8NUvbhB6cirUPD9aBmKncdT5NEcKdapAtW9ebJmvrrODoJ&#10;hxf7tsBst+s0n8Tn6XXcz/lCytubVfIILJpL/IPhV5/UoSKnsx9RB9ZJWGfinlAKNikNRORZlgI7&#10;S0iFeABelfz/D9UPUEsDBBQAAAAIAIdO4kCP8sVIQQIAAF8EAAAOAAAAZHJzL2Uyb0RvYy54bWyt&#10;VEtu2zAQ3RfoHQjua1mCYyeC5SC1kaJA+gHSHoCmKIsoyWFJ2lJ6gPYGWXXTfc+Vc3RIKa6RbrKo&#10;FgKpGb6Z995Qy8teK3IQzkswFc0nU0qE4VBLs6vo50/Xr84p8YGZmikwoqJ3wtPL1csXy86WooAW&#10;VC0cQRDjy85WtA3BllnmeSs08xOwwmCwAadZwK3bZbVjHaJrlRXT6TzrwNXWARfe49fNEKQjonsO&#10;IDSN5GIDfK+FCQOqE4oFpORbaT1dpW6bRvDwoWm8CERVFJmG9MYiuN7Gd7ZasnLnmG0lH1tgz2nh&#10;CSfNpMGiR6gNC4zsnfwHSkvuwEMTJhx0NhBJiiCLfPpEm9uWWZG4oNTeHkX3/w+Wvz98dETWOAkF&#10;JYZpdPzh/sfDz98Pv76TYh4F6qwvMe/WYmboX0OPyYmstzfAv3hiYN0ysxNXzkHXClZjg3k8mZ0c&#10;HXB8BNl276DGQmwfIAH1jdNRPdSDIDqac3c0R/SBcPw4L/LFBfbIMTRb5PkimZex8vGwdT68EaBJ&#10;XFTUofcJnB1ufIjNsPIxJdYycC2VSv4rQ7qKXpwVZwMtULKOwZjm3W67Vo4cGE7QdXoSM4ycpmkZ&#10;8FYoqSt6Po3PmKTMqEIkPkgQ+m0/qrqF+g71cDDMJd5KXLTgvlHS4UxW1H/dMycoUW8NanqRz2Zx&#10;iNNmdrYocONOI9vTCDMcoSoaKBmW6zAM/t46uWux0uCigSv0oZFJo2jY0NXYN85dkm68I3GwT/cp&#10;6+9/YfU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hWsgtoAAAALAQAADwAAAAAAAAABACAAAAAi&#10;AAAAZHJzL2Rvd25yZXYueG1sUEsBAhQAFAAAAAgAh07iQI/yxUhBAgAAXwQAAA4AAAAAAAAAAQAg&#10;AAAAKQEAAGRycy9lMm9Eb2MueG1sUEsFBgAAAAAGAAYAWQEAANwFAAAAAA==&#10;">
                <v:fill on="f" focussize="0,0"/>
                <v:stroke color="#FFFFFF" miterlimit="8" joinstyle="miter"/>
                <v:imagedata o:title=""/>
                <o:lock v:ext="edit" aspectratio="f"/>
                <v:textbox>
                  <w:txbxContent>
                    <w:p>
                      <w:pPr>
                        <w:jc w:val="distribute"/>
                        <w:rPr>
                          <w:rFonts w:hint="eastAsia" w:ascii="黑体" w:hAnsi="黑体" w:eastAsia="黑体"/>
                          <w:bCs/>
                          <w:color w:val="000000"/>
                          <w:sz w:val="28"/>
                        </w:rPr>
                      </w:pPr>
                      <w:r>
                        <w:rPr>
                          <w:rFonts w:hint="eastAsia" w:ascii="黑体" w:hAnsi="黑体" w:eastAsia="黑体"/>
                          <w:bCs/>
                          <w:color w:val="000000"/>
                          <w:sz w:val="28"/>
                        </w:rPr>
                        <w:t>发布</w:t>
                      </w:r>
                    </w:p>
                  </w:txbxContent>
                </v:textbox>
              </v:shape>
            </w:pict>
          </mc:Fallback>
        </mc:AlternateContent>
      </w:r>
    </w:p>
    <w:bookmarkEnd w:id="0"/>
    <w:p>
      <w:pPr>
        <w:pStyle w:val="79"/>
        <w:numPr>
          <w:ilvl w:val="0"/>
          <w:numId w:val="0"/>
        </w:numPr>
        <w:spacing w:before="851" w:after="680"/>
        <w:rPr>
          <w:rFonts w:ascii="Times New Roman"/>
        </w:rPr>
      </w:pPr>
      <w:bookmarkStart w:id="1" w:name="SectionMark2"/>
      <w:r>
        <w:rPr>
          <w:rFonts w:ascii="Times New Roman"/>
        </w:rPr>
        <w:t>前   言</w:t>
      </w:r>
    </w:p>
    <w:p>
      <w:pPr>
        <w:ind w:firstLine="420"/>
      </w:pPr>
      <w:r>
        <w:t>本文件按照GB/T 1.1-2020《标准化工作导则 第1部分：标准化文件的结构和起草规则》的规定起草。</w:t>
      </w:r>
    </w:p>
    <w:p>
      <w:pPr>
        <w:widowControl/>
        <w:tabs>
          <w:tab w:val="center" w:pos="4201"/>
          <w:tab w:val="right" w:leader="dot" w:pos="9298"/>
        </w:tabs>
        <w:autoSpaceDE w:val="0"/>
        <w:autoSpaceDN w:val="0"/>
        <w:ind w:firstLine="420" w:firstLineChars="200"/>
        <w:rPr>
          <w:kern w:val="0"/>
          <w:szCs w:val="20"/>
        </w:rPr>
      </w:pPr>
      <w:r>
        <w:rPr>
          <w:kern w:val="0"/>
          <w:szCs w:val="20"/>
        </w:rPr>
        <w:t>请注意本文件的某些内容可能涉及专利。本文件的发布机构不承担识别专利的责任。</w:t>
      </w:r>
    </w:p>
    <w:p>
      <w:pPr>
        <w:widowControl/>
        <w:tabs>
          <w:tab w:val="center" w:pos="4201"/>
          <w:tab w:val="right" w:leader="dot" w:pos="9298"/>
        </w:tabs>
        <w:autoSpaceDE w:val="0"/>
        <w:autoSpaceDN w:val="0"/>
        <w:ind w:firstLine="420" w:firstLineChars="200"/>
        <w:rPr>
          <w:kern w:val="0"/>
          <w:szCs w:val="20"/>
        </w:rPr>
      </w:pPr>
      <w:bookmarkStart w:id="2" w:name="_Hlk227922044"/>
      <w:r>
        <w:rPr>
          <w:kern w:val="0"/>
          <w:szCs w:val="21"/>
        </w:rPr>
        <w:t>本文件由中</w:t>
      </w:r>
      <w:r>
        <w:rPr>
          <w:kern w:val="0"/>
          <w:szCs w:val="20"/>
        </w:rPr>
        <w:t>国有色金属工业协会提出。</w:t>
      </w:r>
    </w:p>
    <w:p>
      <w:pPr>
        <w:widowControl/>
        <w:tabs>
          <w:tab w:val="center" w:pos="4201"/>
          <w:tab w:val="right" w:leader="dot" w:pos="9298"/>
        </w:tabs>
        <w:autoSpaceDE w:val="0"/>
        <w:autoSpaceDN w:val="0"/>
        <w:ind w:firstLine="420" w:firstLineChars="200"/>
        <w:rPr>
          <w:kern w:val="0"/>
          <w:szCs w:val="21"/>
        </w:rPr>
      </w:pPr>
      <w:r>
        <w:rPr>
          <w:kern w:val="0"/>
          <w:szCs w:val="20"/>
        </w:rPr>
        <w:t>本文件由全国有色金属标准化技术委员会</w:t>
      </w:r>
      <w:r>
        <w:rPr>
          <w:kern w:val="0"/>
          <w:szCs w:val="21"/>
        </w:rPr>
        <w:t>（SAC/TC 243）</w:t>
      </w:r>
      <w:r>
        <w:rPr>
          <w:spacing w:val="-2"/>
          <w:kern w:val="0"/>
          <w:szCs w:val="21"/>
        </w:rPr>
        <w:t>归口</w:t>
      </w:r>
      <w:r>
        <w:rPr>
          <w:kern w:val="0"/>
          <w:szCs w:val="21"/>
        </w:rPr>
        <w:t>。</w:t>
      </w:r>
    </w:p>
    <w:bookmarkEnd w:id="2"/>
    <w:p>
      <w:pPr>
        <w:widowControl/>
        <w:tabs>
          <w:tab w:val="center" w:pos="4201"/>
          <w:tab w:val="right" w:leader="dot" w:pos="9298"/>
        </w:tabs>
        <w:autoSpaceDE w:val="0"/>
        <w:autoSpaceDN w:val="0"/>
        <w:ind w:firstLine="420" w:firstLineChars="200"/>
        <w:rPr>
          <w:kern w:val="0"/>
          <w:szCs w:val="20"/>
        </w:rPr>
      </w:pPr>
      <w:r>
        <w:rPr>
          <w:kern w:val="0"/>
          <w:szCs w:val="20"/>
        </w:rPr>
        <w:t>本文件起草单位：北京当升材料科技股份有限公司</w:t>
      </w:r>
      <w:r>
        <w:rPr>
          <w:rFonts w:hint="eastAsia"/>
          <w:kern w:val="0"/>
          <w:szCs w:val="20"/>
        </w:rPr>
        <w:t>、</w:t>
      </w:r>
      <w:bookmarkStart w:id="3" w:name="OLE_LINK23"/>
      <w:r>
        <w:rPr>
          <w:kern w:val="0"/>
          <w:szCs w:val="20"/>
        </w:rPr>
        <w:t>天津国安盟固利新材料科技股份有限公司</w:t>
      </w:r>
      <w:r>
        <w:rPr>
          <w:rFonts w:hint="eastAsia"/>
          <w:kern w:val="0"/>
          <w:szCs w:val="20"/>
        </w:rPr>
        <w:t>、</w:t>
      </w:r>
      <w:r>
        <w:rPr>
          <w:kern w:val="0"/>
          <w:szCs w:val="20"/>
        </w:rPr>
        <w:t>天津巴莫科技有限责任公司</w:t>
      </w:r>
      <w:bookmarkEnd w:id="3"/>
      <w:r>
        <w:rPr>
          <w:rFonts w:hint="eastAsia"/>
          <w:kern w:val="0"/>
          <w:szCs w:val="20"/>
        </w:rPr>
        <w:t>、</w:t>
      </w:r>
      <w:r>
        <w:rPr>
          <w:kern w:val="0"/>
          <w:szCs w:val="20"/>
        </w:rPr>
        <w:t>国联汽车动力电池研究院有限责任公司</w:t>
      </w:r>
      <w:r>
        <w:rPr>
          <w:rFonts w:hint="eastAsia"/>
          <w:kern w:val="0"/>
          <w:szCs w:val="20"/>
          <w:lang w:eastAsia="zh-CN"/>
        </w:rPr>
        <w:t>、</w:t>
      </w:r>
      <w:r>
        <w:rPr>
          <w:kern w:val="0"/>
          <w:szCs w:val="20"/>
        </w:rPr>
        <w:t>湖北万润新能源科技股份有限公司</w:t>
      </w:r>
      <w:r>
        <w:rPr>
          <w:rFonts w:hint="eastAsia"/>
          <w:kern w:val="0"/>
          <w:szCs w:val="20"/>
        </w:rPr>
        <w:t>、</w:t>
      </w:r>
      <w:r>
        <w:rPr>
          <w:kern w:val="0"/>
          <w:szCs w:val="20"/>
        </w:rPr>
        <w:t>深圳市德方纳米科技股份有限公司</w:t>
      </w:r>
      <w:r>
        <w:rPr>
          <w:rFonts w:hint="eastAsia"/>
          <w:kern w:val="0"/>
          <w:szCs w:val="20"/>
        </w:rPr>
        <w:t>、</w:t>
      </w:r>
      <w:r>
        <w:rPr>
          <w:kern w:val="0"/>
          <w:szCs w:val="20"/>
        </w:rPr>
        <w:t>东风汽车集团有限公司研发总院</w:t>
      </w:r>
      <w:r>
        <w:rPr>
          <w:rFonts w:hint="eastAsia"/>
          <w:kern w:val="0"/>
          <w:szCs w:val="20"/>
        </w:rPr>
        <w:t>、</w:t>
      </w:r>
      <w:r>
        <w:rPr>
          <w:kern w:val="0"/>
          <w:szCs w:val="20"/>
        </w:rPr>
        <w:t>中科致良新能源材料（浙江）有限公司</w:t>
      </w:r>
      <w:r>
        <w:rPr>
          <w:rFonts w:hint="eastAsia"/>
          <w:kern w:val="0"/>
          <w:szCs w:val="20"/>
        </w:rPr>
        <w:t>、</w:t>
      </w:r>
      <w:r>
        <w:rPr>
          <w:kern w:val="0"/>
          <w:szCs w:val="20"/>
        </w:rPr>
        <w:t>合肥国轩高科动力能源有限公司</w:t>
      </w:r>
      <w:r>
        <w:rPr>
          <w:rFonts w:hint="eastAsia"/>
          <w:kern w:val="0"/>
          <w:szCs w:val="20"/>
        </w:rPr>
        <w:t>、</w:t>
      </w:r>
      <w:bookmarkStart w:id="4" w:name="OLE_LINK22"/>
      <w:r>
        <w:rPr>
          <w:kern w:val="0"/>
          <w:szCs w:val="20"/>
        </w:rPr>
        <w:t>格林美（无锡）能源材料有限公司</w:t>
      </w:r>
      <w:bookmarkEnd w:id="4"/>
      <w:r>
        <w:rPr>
          <w:rFonts w:hint="eastAsia"/>
          <w:kern w:val="0"/>
          <w:szCs w:val="20"/>
        </w:rPr>
        <w:t>、、</w:t>
      </w:r>
      <w:bookmarkStart w:id="5" w:name="OLE_LINK18"/>
      <w:r>
        <w:rPr>
          <w:kern w:val="0"/>
          <w:szCs w:val="20"/>
        </w:rPr>
        <w:t>梅特勒托利多科技（中国）有限公司</w:t>
      </w:r>
      <w:bookmarkEnd w:id="5"/>
      <w:r>
        <w:rPr>
          <w:rFonts w:hint="eastAsia"/>
          <w:kern w:val="0"/>
          <w:szCs w:val="20"/>
        </w:rPr>
        <w:t>、</w:t>
      </w:r>
      <w:bookmarkStart w:id="6" w:name="OLE_LINK19"/>
      <w:r>
        <w:rPr>
          <w:kern w:val="0"/>
          <w:szCs w:val="20"/>
        </w:rPr>
        <w:t>常州锂源新能源科技有限公司</w:t>
      </w:r>
      <w:bookmarkEnd w:id="6"/>
      <w:r>
        <w:rPr>
          <w:rFonts w:hint="eastAsia"/>
          <w:kern w:val="0"/>
          <w:szCs w:val="20"/>
        </w:rPr>
        <w:t>、</w:t>
      </w:r>
      <w:r>
        <w:rPr>
          <w:kern w:val="0"/>
          <w:szCs w:val="20"/>
        </w:rPr>
        <w:t>湖南长远锂科新能源有限公司</w:t>
      </w:r>
      <w:r>
        <w:rPr>
          <w:rFonts w:hint="eastAsia"/>
          <w:kern w:val="0"/>
          <w:szCs w:val="20"/>
        </w:rPr>
        <w:t>、</w:t>
      </w:r>
      <w:r>
        <w:rPr>
          <w:kern w:val="0"/>
          <w:szCs w:val="20"/>
        </w:rPr>
        <w:t>江西赣锋锂业集团股份有限公司</w:t>
      </w:r>
      <w:r>
        <w:rPr>
          <w:rFonts w:hint="eastAsia"/>
          <w:kern w:val="0"/>
          <w:szCs w:val="20"/>
        </w:rPr>
        <w:t>、</w:t>
      </w:r>
      <w:r>
        <w:rPr>
          <w:kern w:val="0"/>
          <w:szCs w:val="20"/>
        </w:rPr>
        <w:t>厦门厦钨新能源材料股份有限公司</w:t>
      </w:r>
      <w:r>
        <w:rPr>
          <w:rFonts w:hint="eastAsia"/>
          <w:kern w:val="0"/>
          <w:szCs w:val="20"/>
        </w:rPr>
        <w:t>、</w:t>
      </w:r>
      <w:r>
        <w:rPr>
          <w:kern w:val="0"/>
          <w:szCs w:val="20"/>
        </w:rPr>
        <w:t>有研新能源材料（江西）有限公司</w:t>
      </w:r>
      <w:r>
        <w:rPr>
          <w:rFonts w:hint="eastAsia"/>
          <w:kern w:val="0"/>
          <w:szCs w:val="20"/>
        </w:rPr>
        <w:t>、</w:t>
      </w:r>
      <w:r>
        <w:rPr>
          <w:kern w:val="0"/>
          <w:szCs w:val="20"/>
        </w:rPr>
        <w:t>巴斯夫杉杉电池材料有限公司</w:t>
      </w:r>
      <w:r>
        <w:rPr>
          <w:rFonts w:hint="eastAsia"/>
          <w:kern w:val="0"/>
          <w:szCs w:val="20"/>
        </w:rPr>
        <w:t>等。</w:t>
      </w:r>
    </w:p>
    <w:p>
      <w:pPr>
        <w:widowControl/>
        <w:ind w:firstLine="420" w:firstLineChars="200"/>
        <w:jc w:val="left"/>
        <w:rPr>
          <w:rFonts w:eastAsia="黑体"/>
          <w:kern w:val="0"/>
          <w:sz w:val="32"/>
          <w:szCs w:val="20"/>
        </w:rPr>
      </w:pPr>
      <w:r>
        <w:t>本文件主要起草人：</w:t>
      </w:r>
      <w:r>
        <w:br w:type="page"/>
      </w:r>
    </w:p>
    <w:bookmarkEnd w:id="1"/>
    <w:p>
      <w:pPr>
        <w:pStyle w:val="114"/>
        <w:spacing w:before="300" w:after="240" w:line="240" w:lineRule="auto"/>
        <w:rPr>
          <w:rFonts w:ascii="Times New Roman"/>
        </w:rPr>
      </w:pPr>
      <w:bookmarkStart w:id="7" w:name="_Hlk227909587"/>
      <w:bookmarkStart w:id="8" w:name="SectionMark4"/>
      <w:r>
        <w:rPr>
          <w:rFonts w:ascii="Times New Roman"/>
        </w:rPr>
        <w:t>锂离子电池正极材料检测方法 热稳定性的测定</w:t>
      </w:r>
    </w:p>
    <w:bookmarkEnd w:id="7"/>
    <w:p>
      <w:pPr>
        <w:pStyle w:val="80"/>
        <w:numPr>
          <w:ilvl w:val="0"/>
          <w:numId w:val="12"/>
        </w:numPr>
        <w:tabs>
          <w:tab w:val="left" w:pos="112"/>
          <w:tab w:val="clear" w:pos="360"/>
        </w:tabs>
        <w:spacing w:before="312" w:beforeLines="100" w:after="312" w:afterLines="100"/>
        <w:ind w:left="357" w:hanging="357"/>
        <w:rPr>
          <w:rFonts w:ascii="Times New Roman"/>
        </w:rPr>
      </w:pPr>
      <w:r>
        <w:rPr>
          <w:rFonts w:ascii="Times New Roman"/>
        </w:rPr>
        <w:t>　范围</w:t>
      </w:r>
    </w:p>
    <w:p>
      <w:pPr>
        <w:pStyle w:val="53"/>
        <w:ind w:firstLine="420"/>
        <w:rPr>
          <w:rFonts w:ascii="Times New Roman"/>
          <w:szCs w:val="21"/>
        </w:rPr>
      </w:pPr>
      <w:r>
        <w:rPr>
          <w:rFonts w:ascii="Times New Roman"/>
          <w:szCs w:val="21"/>
        </w:rPr>
        <w:t>本文件规定了锂离子电池正极材料热稳定性的测定方法。</w:t>
      </w:r>
    </w:p>
    <w:p>
      <w:pPr>
        <w:pStyle w:val="53"/>
        <w:ind w:firstLine="420"/>
        <w:rPr>
          <w:rFonts w:ascii="Times New Roman"/>
          <w:szCs w:val="21"/>
        </w:rPr>
      </w:pPr>
      <w:r>
        <w:rPr>
          <w:rFonts w:ascii="Times New Roman"/>
          <w:szCs w:val="21"/>
        </w:rPr>
        <w:t>本文件适用于锂离子电池正极材料钴酸锂、镍钴锰酸锂、锰酸锂</w:t>
      </w:r>
      <w:r>
        <w:rPr>
          <w:rFonts w:hint="eastAsia" w:ascii="Times New Roman"/>
          <w:szCs w:val="21"/>
          <w:lang w:val="en-US" w:eastAsia="zh-CN"/>
        </w:rPr>
        <w:t>、</w:t>
      </w:r>
      <w:r>
        <w:rPr>
          <w:rFonts w:ascii="Times New Roman"/>
          <w:szCs w:val="21"/>
        </w:rPr>
        <w:t>磷酸铁锂、富锂锰基等</w:t>
      </w:r>
      <w:r>
        <w:rPr>
          <w:rFonts w:hint="eastAsia" w:ascii="Times New Roman"/>
          <w:szCs w:val="21"/>
        </w:rPr>
        <w:t>正极材料</w:t>
      </w:r>
      <w:r>
        <w:rPr>
          <w:rFonts w:ascii="Times New Roman"/>
          <w:szCs w:val="21"/>
        </w:rPr>
        <w:t>热稳定性的测定。</w:t>
      </w:r>
    </w:p>
    <w:p>
      <w:pPr>
        <w:pStyle w:val="80"/>
        <w:numPr>
          <w:ilvl w:val="0"/>
          <w:numId w:val="12"/>
        </w:numPr>
        <w:tabs>
          <w:tab w:val="left" w:pos="112"/>
        </w:tabs>
        <w:spacing w:before="312" w:beforeLines="100" w:after="312" w:afterLines="100"/>
        <w:rPr>
          <w:rFonts w:ascii="Times New Roman"/>
        </w:rPr>
      </w:pPr>
      <w:r>
        <w:rPr>
          <w:rFonts w:ascii="Times New Roman"/>
        </w:rPr>
        <w:t>　规范性引用文件</w:t>
      </w:r>
    </w:p>
    <w:p>
      <w:pPr>
        <w:pStyle w:val="53"/>
        <w:ind w:firstLine="420" w:firstLineChars="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p>
      <w:pPr>
        <w:pStyle w:val="53"/>
        <w:ind w:firstLine="420"/>
        <w:rPr>
          <w:rFonts w:ascii="Times New Roman"/>
        </w:rPr>
      </w:pPr>
      <w:r>
        <w:rPr>
          <w:rFonts w:ascii="Times New Roman"/>
        </w:rPr>
        <w:t>GB/T</w:t>
      </w:r>
      <w:r>
        <w:rPr>
          <w:rFonts w:hint="eastAsia" w:ascii="Times New Roman"/>
        </w:rPr>
        <w:t xml:space="preserve"> 6425-1986</w:t>
      </w:r>
      <w:r>
        <w:rPr>
          <w:rFonts w:ascii="Times New Roman"/>
        </w:rPr>
        <w:t>　热分析术语</w:t>
      </w:r>
    </w:p>
    <w:p>
      <w:pPr>
        <w:pStyle w:val="53"/>
        <w:ind w:firstLine="420"/>
        <w:rPr>
          <w:rFonts w:ascii="Times New Roman"/>
        </w:rPr>
      </w:pPr>
      <w:bookmarkStart w:id="9" w:name="OLE_LINK11"/>
      <w:bookmarkStart w:id="10" w:name="OLE_LINK9"/>
      <w:r>
        <w:rPr>
          <w:rFonts w:ascii="Times New Roman"/>
        </w:rPr>
        <w:t>GB/T</w:t>
      </w:r>
      <w:bookmarkEnd w:id="9"/>
      <w:r>
        <w:rPr>
          <w:rFonts w:ascii="Times New Roman"/>
        </w:rPr>
        <w:t xml:space="preserve"> 22232</w:t>
      </w:r>
      <w:r>
        <w:rPr>
          <w:rFonts w:hint="eastAsia" w:ascii="Times New Roman"/>
        </w:rPr>
        <w:t>-2008</w:t>
      </w:r>
      <w:r>
        <w:rPr>
          <w:rFonts w:ascii="Times New Roman"/>
        </w:rPr>
        <w:t xml:space="preserve"> 化学物质的热稳定性测定 </w:t>
      </w:r>
    </w:p>
    <w:bookmarkEnd w:id="10"/>
    <w:p>
      <w:pPr>
        <w:pStyle w:val="53"/>
        <w:ind w:firstLine="420"/>
        <w:rPr>
          <w:rFonts w:ascii="Times New Roman"/>
        </w:rPr>
      </w:pPr>
      <w:bookmarkStart w:id="11" w:name="OLE_LINK10"/>
      <w:r>
        <w:rPr>
          <w:rFonts w:ascii="Times New Roman"/>
        </w:rPr>
        <w:t>GB/T 22233-2008 化学品潜在危险性相关标准术语</w:t>
      </w:r>
    </w:p>
    <w:p>
      <w:pPr>
        <w:pStyle w:val="53"/>
        <w:ind w:firstLine="420"/>
        <w:rPr>
          <w:rFonts w:ascii="Times New Roman"/>
        </w:rPr>
      </w:pPr>
      <w:r>
        <w:rPr>
          <w:rFonts w:hint="eastAsia" w:ascii="Times New Roman"/>
        </w:rPr>
        <w:t>GB/T 13464—2008 物质热稳定性的热分析试验方法量热法</w:t>
      </w:r>
    </w:p>
    <w:bookmarkEnd w:id="11"/>
    <w:p>
      <w:pPr>
        <w:pStyle w:val="53"/>
        <w:ind w:firstLine="420"/>
        <w:rPr>
          <w:rFonts w:ascii="Times New Roman"/>
        </w:rPr>
      </w:pPr>
      <w:bookmarkStart w:id="12" w:name="OLE_LINK13"/>
      <w:bookmarkStart w:id="13" w:name="OLE_LINK12"/>
      <w:r>
        <w:rPr>
          <w:rFonts w:ascii="Times New Roman"/>
        </w:rPr>
        <w:t xml:space="preserve">GB/T 43092-2023 </w:t>
      </w:r>
      <w:bookmarkEnd w:id="12"/>
      <w:r>
        <w:rPr>
          <w:rFonts w:ascii="Times New Roman"/>
        </w:rPr>
        <w:t>锂离子电池正极材料电化学性能测试 高温性能测试方法</w:t>
      </w:r>
    </w:p>
    <w:bookmarkEnd w:id="13"/>
    <w:p>
      <w:pPr>
        <w:pStyle w:val="80"/>
        <w:numPr>
          <w:ilvl w:val="0"/>
          <w:numId w:val="12"/>
        </w:numPr>
        <w:tabs>
          <w:tab w:val="left" w:pos="112"/>
        </w:tabs>
        <w:spacing w:before="312" w:beforeLines="100" w:after="312" w:afterLines="100"/>
        <w:rPr>
          <w:rFonts w:ascii="Times New Roman"/>
        </w:rPr>
      </w:pPr>
      <w:r>
        <w:rPr>
          <w:rFonts w:ascii="Times New Roman"/>
        </w:rPr>
        <w:t>　术语和定义</w:t>
      </w:r>
    </w:p>
    <w:p>
      <w:pPr>
        <w:pStyle w:val="80"/>
        <w:numPr>
          <w:ilvl w:val="255"/>
          <w:numId w:val="0"/>
        </w:numPr>
        <w:tabs>
          <w:tab w:val="left" w:pos="112"/>
        </w:tabs>
        <w:spacing w:before="312" w:beforeLines="100" w:after="312" w:afterLines="100"/>
        <w:ind w:firstLine="420" w:firstLineChars="200"/>
        <w:rPr>
          <w:rFonts w:ascii="Times New Roman" w:eastAsia="宋体"/>
        </w:rPr>
      </w:pPr>
      <w:bookmarkStart w:id="14" w:name="OLE_LINK33"/>
      <w:r>
        <w:rPr>
          <w:rFonts w:ascii="Times New Roman" w:eastAsia="宋体"/>
        </w:rPr>
        <w:t>GB/T 22232</w:t>
      </w:r>
      <w:bookmarkEnd w:id="14"/>
      <w:r>
        <w:rPr>
          <w:rFonts w:ascii="Times New Roman" w:eastAsia="宋体"/>
        </w:rPr>
        <w:t>、GB/T 22233</w:t>
      </w:r>
      <w:r>
        <w:rPr>
          <w:rFonts w:ascii="Times New Roman" w:eastAsia="宋体"/>
          <w:szCs w:val="21"/>
        </w:rPr>
        <w:t>中界定的以及</w:t>
      </w:r>
      <w:r>
        <w:rPr>
          <w:rFonts w:ascii="Times New Roman" w:eastAsia="宋体"/>
        </w:rPr>
        <w:t>下列</w:t>
      </w:r>
      <w:r>
        <w:rPr>
          <w:rFonts w:ascii="Times New Roman" w:eastAsia="宋体"/>
          <w:szCs w:val="21"/>
        </w:rPr>
        <w:t>术语和定义</w:t>
      </w:r>
      <w:r>
        <w:rPr>
          <w:rFonts w:ascii="Times New Roman" w:eastAsia="宋体"/>
        </w:rPr>
        <w:t>适用于本文件。</w:t>
      </w:r>
    </w:p>
    <w:p>
      <w:pPr>
        <w:pStyle w:val="4"/>
        <w:spacing w:before="156" w:beforeLines="50" w:after="156" w:afterLines="50" w:line="240" w:lineRule="auto"/>
        <w:rPr>
          <w:rFonts w:eastAsia="黑体"/>
          <w:b w:val="0"/>
          <w:bCs w:val="0"/>
          <w:sz w:val="21"/>
          <w:szCs w:val="21"/>
        </w:rPr>
      </w:pPr>
      <w:r>
        <w:rPr>
          <w:rFonts w:eastAsia="黑体"/>
          <w:b w:val="0"/>
          <w:bCs w:val="0"/>
          <w:sz w:val="21"/>
          <w:szCs w:val="21"/>
        </w:rPr>
        <w:t>3.1 热稳定性thermal stability</w:t>
      </w:r>
    </w:p>
    <w:p>
      <w:pPr>
        <w:ind w:firstLine="420" w:firstLineChars="200"/>
      </w:pPr>
      <w:bookmarkStart w:id="15" w:name="OLE_LINK5"/>
      <w:r>
        <w:rPr>
          <w:rFonts w:ascii="Segoe UI" w:hAnsi="Segoe UI" w:cs="Segoe UI"/>
          <w:shd w:val="clear" w:color="auto" w:fill="FFFFFF"/>
        </w:rPr>
        <w:t>锂离子电池正极材料在</w:t>
      </w:r>
      <w:r>
        <w:rPr>
          <w:rFonts w:hint="eastAsia" w:ascii="Segoe UI" w:hAnsi="Segoe UI" w:cs="Segoe UI"/>
          <w:shd w:val="clear" w:color="auto" w:fill="FFFFFF"/>
        </w:rPr>
        <w:t>一定的加热</w:t>
      </w:r>
      <w:r>
        <w:rPr>
          <w:rFonts w:ascii="Segoe UI" w:hAnsi="Segoe UI" w:cs="Segoe UI"/>
          <w:shd w:val="clear" w:color="auto" w:fill="FFFFFF"/>
        </w:rPr>
        <w:t>条件下抵抗热分解、相变、释氧及与电解液发生副反应的能力。</w:t>
      </w:r>
      <w:bookmarkEnd w:id="15"/>
    </w:p>
    <w:p>
      <w:pPr>
        <w:pStyle w:val="80"/>
        <w:numPr>
          <w:ilvl w:val="0"/>
          <w:numId w:val="12"/>
        </w:numPr>
        <w:tabs>
          <w:tab w:val="left" w:pos="112"/>
        </w:tabs>
        <w:spacing w:before="312" w:beforeLines="100" w:after="312" w:afterLines="100"/>
        <w:rPr>
          <w:rFonts w:ascii="Times New Roman"/>
        </w:rPr>
      </w:pPr>
      <w:r>
        <w:rPr>
          <w:rFonts w:hint="eastAsia" w:ascii="Times New Roman"/>
        </w:rPr>
        <w:t xml:space="preserve">  </w:t>
      </w:r>
      <w:r>
        <w:rPr>
          <w:rFonts w:ascii="Times New Roman"/>
        </w:rPr>
        <w:t>原理</w:t>
      </w:r>
      <w:r>
        <w:rPr>
          <w:rFonts w:hint="eastAsia" w:ascii="Times New Roman"/>
        </w:rPr>
        <w:t xml:space="preserve"> </w:t>
      </w:r>
    </w:p>
    <w:p>
      <w:pPr>
        <w:ind w:firstLine="420" w:firstLineChars="200"/>
      </w:pPr>
      <w:bookmarkStart w:id="16" w:name="OLE_LINK8"/>
      <w:r>
        <w:rPr>
          <w:rFonts w:ascii="Segoe UI" w:hAnsi="Segoe UI" w:cs="Segoe UI"/>
          <w:shd w:val="clear" w:color="auto" w:fill="FFFFFF"/>
        </w:rPr>
        <w:t>在程序控温和惰性气氛条件下，通过测量正极材料与电解液混合物与参比物之间的热流差，确定其热分解、相变、释氧等过程的起始温度、峰值温度。</w:t>
      </w:r>
    </w:p>
    <w:bookmarkEnd w:id="16"/>
    <w:p>
      <w:pPr>
        <w:pStyle w:val="80"/>
        <w:numPr>
          <w:ilvl w:val="0"/>
          <w:numId w:val="12"/>
        </w:numPr>
        <w:tabs>
          <w:tab w:val="left" w:pos="112"/>
        </w:tabs>
        <w:spacing w:before="312" w:beforeLines="100" w:after="312" w:afterLines="100"/>
        <w:rPr>
          <w:rFonts w:ascii="Times New Roman"/>
        </w:rPr>
      </w:pPr>
      <w:r>
        <w:rPr>
          <w:rFonts w:hint="eastAsia" w:ascii="Times New Roman"/>
        </w:rPr>
        <w:t xml:space="preserve">  </w:t>
      </w:r>
      <w:r>
        <w:rPr>
          <w:rFonts w:ascii="Times New Roman"/>
        </w:rPr>
        <w:t>试剂和材料</w:t>
      </w:r>
    </w:p>
    <w:p>
      <w:pPr>
        <w:pStyle w:val="53"/>
        <w:ind w:firstLine="0" w:firstLineChars="0"/>
        <w:rPr>
          <w:rFonts w:ascii="Times New Roman"/>
        </w:rPr>
      </w:pPr>
      <w:r>
        <w:rPr>
          <w:rFonts w:ascii="Times New Roman"/>
        </w:rPr>
        <w:t>5.1</w:t>
      </w:r>
      <w:r>
        <w:rPr>
          <w:rFonts w:hint="eastAsia" w:ascii="Times New Roman"/>
        </w:rPr>
        <w:t xml:space="preserve"> </w:t>
      </w:r>
      <w:r>
        <w:rPr>
          <w:rFonts w:ascii="Times New Roman"/>
        </w:rPr>
        <w:t>正极片的制备</w:t>
      </w:r>
      <w:r>
        <w:rPr>
          <w:rFonts w:hint="eastAsia" w:ascii="Times New Roman"/>
        </w:rPr>
        <w:t>、</w:t>
      </w:r>
      <w:r>
        <w:rPr>
          <w:rFonts w:ascii="Times New Roman"/>
        </w:rPr>
        <w:t>电池的组装</w:t>
      </w:r>
      <w:r>
        <w:rPr>
          <w:rFonts w:hint="eastAsia" w:ascii="Times New Roman"/>
        </w:rPr>
        <w:t>所需试剂及材料</w:t>
      </w:r>
      <w:r>
        <w:rPr>
          <w:rFonts w:ascii="Times New Roman"/>
        </w:rPr>
        <w:t>按照GB/T 43092-2023的规定进行</w:t>
      </w:r>
      <w:r>
        <w:rPr>
          <w:rFonts w:hint="eastAsia" w:ascii="Times New Roman"/>
        </w:rPr>
        <w:t>。</w:t>
      </w:r>
    </w:p>
    <w:p>
      <w:pPr>
        <w:pStyle w:val="53"/>
        <w:ind w:firstLine="0" w:firstLineChars="0"/>
        <w:rPr>
          <w:rFonts w:ascii="Times New Roman"/>
        </w:rPr>
      </w:pPr>
      <w:r>
        <w:rPr>
          <w:rFonts w:ascii="Times New Roman"/>
        </w:rPr>
        <w:t>5.</w:t>
      </w:r>
      <w:r>
        <w:rPr>
          <w:rFonts w:hint="eastAsia" w:ascii="Times New Roman"/>
        </w:rPr>
        <w:t xml:space="preserve">2 </w:t>
      </w:r>
      <w:r>
        <w:rPr>
          <w:rFonts w:ascii="Times New Roman"/>
        </w:rPr>
        <w:t>碳酸二甲酯（DMC）</w:t>
      </w:r>
      <w:bookmarkStart w:id="38" w:name="_GoBack"/>
      <w:bookmarkEnd w:id="38"/>
      <w:r>
        <w:rPr>
          <w:rFonts w:ascii="Times New Roman"/>
        </w:rPr>
        <w:t>（电池级）。</w:t>
      </w:r>
    </w:p>
    <w:p>
      <w:pPr>
        <w:pStyle w:val="53"/>
        <w:ind w:firstLine="0" w:firstLineChars="0"/>
        <w:rPr>
          <w:rFonts w:ascii="Times New Roman"/>
        </w:rPr>
      </w:pPr>
      <w:r>
        <w:rPr>
          <w:rFonts w:hint="eastAsia" w:ascii="Times New Roman"/>
        </w:rPr>
        <w:t>5.3 50mL离子管。</w:t>
      </w:r>
    </w:p>
    <w:p>
      <w:pPr>
        <w:pStyle w:val="53"/>
        <w:ind w:firstLine="0" w:firstLineChars="0"/>
        <w:rPr>
          <w:rFonts w:hint="eastAsia" w:ascii="新宋体" w:hAnsi="新宋体" w:eastAsia="新宋体"/>
        </w:rPr>
      </w:pPr>
      <w:r>
        <w:rPr>
          <w:rFonts w:hint="eastAsia" w:ascii="Times New Roman"/>
        </w:rPr>
        <w:t>5.4 5.00</w:t>
      </w:r>
      <w:bookmarkStart w:id="17" w:name="OLE_LINK16"/>
      <w:r>
        <w:rPr>
          <w:rFonts w:hint="eastAsia" w:ascii="黑体" w:hAnsi="黑体" w:eastAsia="黑体" w:cs="黑体"/>
        </w:rPr>
        <w:t>μ</w:t>
      </w:r>
      <w:bookmarkEnd w:id="17"/>
      <w:r>
        <w:rPr>
          <w:rFonts w:hint="eastAsia" w:ascii="Times New Roman"/>
        </w:rPr>
        <w:t>L气相微量进样针，尖头，不带活塞</w:t>
      </w:r>
      <w:r>
        <w:rPr>
          <w:rFonts w:hint="eastAsia" w:ascii="新宋体" w:hAnsi="新宋体" w:eastAsia="新宋体"/>
        </w:rPr>
        <w:t>。</w:t>
      </w:r>
    </w:p>
    <w:p>
      <w:pPr>
        <w:rPr>
          <w:kern w:val="0"/>
          <w:szCs w:val="20"/>
        </w:rPr>
      </w:pPr>
      <w:r>
        <w:rPr>
          <w:rFonts w:hint="eastAsia"/>
        </w:rPr>
        <w:t>5.5</w:t>
      </w:r>
      <w:r>
        <w:rPr>
          <w:kern w:val="0"/>
          <w:szCs w:val="20"/>
        </w:rPr>
        <w:t xml:space="preserve"> </w:t>
      </w:r>
      <w:r>
        <w:rPr>
          <w:rFonts w:hint="eastAsia"/>
          <w:kern w:val="0"/>
          <w:szCs w:val="20"/>
        </w:rPr>
        <w:t>30</w:t>
      </w:r>
      <w:r>
        <w:rPr>
          <w:kern w:val="0"/>
          <w:szCs w:val="20"/>
        </w:rPr>
        <w:t>μL镀金高压坩埚。</w:t>
      </w:r>
    </w:p>
    <w:p>
      <w:pPr>
        <w:rPr>
          <w:kern w:val="0"/>
          <w:szCs w:val="20"/>
        </w:rPr>
      </w:pPr>
      <w:r>
        <w:rPr>
          <w:rFonts w:hint="eastAsia"/>
          <w:kern w:val="0"/>
          <w:szCs w:val="20"/>
        </w:rPr>
        <w:t>5.6 镀金垫片</w:t>
      </w:r>
    </w:p>
    <w:p>
      <w:pPr>
        <w:pStyle w:val="80"/>
        <w:keepNext/>
        <w:keepLines/>
        <w:numPr>
          <w:ilvl w:val="255"/>
          <w:numId w:val="0"/>
        </w:numPr>
        <w:spacing w:before="156" w:after="156"/>
        <w:rPr>
          <w:rFonts w:ascii="Times New Roman"/>
        </w:rPr>
      </w:pPr>
      <w:r>
        <w:rPr>
          <w:rFonts w:hint="eastAsia" w:ascii="Times New Roman"/>
        </w:rPr>
        <w:t>6  仪器及设备</w:t>
      </w:r>
    </w:p>
    <w:p>
      <w:pPr>
        <w:pStyle w:val="53"/>
        <w:ind w:firstLine="0" w:firstLineChars="0"/>
        <w:rPr>
          <w:rFonts w:ascii="Times New Roman"/>
        </w:rPr>
      </w:pPr>
      <w:bookmarkStart w:id="18" w:name="OLE_LINK15"/>
      <w:r>
        <w:rPr>
          <w:rFonts w:hint="eastAsia" w:ascii="Times New Roman"/>
        </w:rPr>
        <w:t>6</w:t>
      </w:r>
      <w:r>
        <w:rPr>
          <w:rFonts w:ascii="Times New Roman"/>
        </w:rPr>
        <w:t>.1</w:t>
      </w:r>
      <w:bookmarkEnd w:id="18"/>
      <w:r>
        <w:rPr>
          <w:rFonts w:ascii="Times New Roman"/>
        </w:rPr>
        <w:t xml:space="preserve"> 正极片的制备</w:t>
      </w:r>
      <w:r>
        <w:rPr>
          <w:rFonts w:hint="eastAsia" w:ascii="Times New Roman"/>
        </w:rPr>
        <w:t>、</w:t>
      </w:r>
      <w:r>
        <w:rPr>
          <w:rFonts w:ascii="Times New Roman"/>
        </w:rPr>
        <w:t>电池的组装</w:t>
      </w:r>
      <w:r>
        <w:rPr>
          <w:rFonts w:hint="eastAsia" w:ascii="Times New Roman"/>
        </w:rPr>
        <w:t>所需仪器及设备</w:t>
      </w:r>
      <w:r>
        <w:rPr>
          <w:rFonts w:ascii="Times New Roman"/>
        </w:rPr>
        <w:t>按照GB/T 43092-2023的规定进行</w:t>
      </w:r>
      <w:r>
        <w:rPr>
          <w:rFonts w:hint="eastAsia" w:ascii="Times New Roman"/>
        </w:rPr>
        <w:t>。</w:t>
      </w:r>
    </w:p>
    <w:p>
      <w:pPr>
        <w:pStyle w:val="53"/>
        <w:ind w:firstLine="0" w:firstLineChars="0"/>
        <w:rPr>
          <w:rFonts w:ascii="Times New Roman"/>
        </w:rPr>
      </w:pPr>
      <w:r>
        <w:rPr>
          <w:rFonts w:hint="eastAsia" w:ascii="Times New Roman"/>
        </w:rPr>
        <w:t>6</w:t>
      </w:r>
      <w:r>
        <w:rPr>
          <w:rFonts w:ascii="Times New Roman"/>
        </w:rPr>
        <w:t>.</w:t>
      </w:r>
      <w:r>
        <w:rPr>
          <w:rFonts w:hint="eastAsia" w:ascii="Times New Roman"/>
        </w:rPr>
        <w:t xml:space="preserve">2 </w:t>
      </w:r>
      <w:r>
        <w:rPr>
          <w:rFonts w:ascii="Times New Roman"/>
        </w:rPr>
        <w:t>电子天平：精确到0.000</w:t>
      </w:r>
      <w:r>
        <w:rPr>
          <w:rFonts w:hint="eastAsia" w:ascii="Times New Roman"/>
        </w:rPr>
        <w:t>0</w:t>
      </w:r>
      <w:r>
        <w:rPr>
          <w:rFonts w:ascii="Times New Roman"/>
        </w:rPr>
        <w:t>1g。</w:t>
      </w:r>
    </w:p>
    <w:p>
      <w:pPr>
        <w:rPr>
          <w:kern w:val="0"/>
          <w:szCs w:val="20"/>
        </w:rPr>
      </w:pPr>
      <w:r>
        <w:rPr>
          <w:rFonts w:hint="eastAsia"/>
        </w:rPr>
        <w:t xml:space="preserve">6.3 </w:t>
      </w:r>
      <w:r>
        <w:rPr>
          <w:kern w:val="0"/>
          <w:szCs w:val="20"/>
        </w:rPr>
        <w:t>斜口钳。</w:t>
      </w:r>
    </w:p>
    <w:p>
      <w:pPr>
        <w:rPr>
          <w:kern w:val="0"/>
          <w:szCs w:val="20"/>
        </w:rPr>
      </w:pPr>
      <w:r>
        <w:rPr>
          <w:rFonts w:hint="eastAsia"/>
        </w:rPr>
        <w:t xml:space="preserve">6.4 </w:t>
      </w:r>
      <w:r>
        <w:rPr>
          <w:kern w:val="0"/>
          <w:szCs w:val="20"/>
        </w:rPr>
        <w:t>绝缘镊子。</w:t>
      </w:r>
    </w:p>
    <w:p>
      <w:pPr>
        <w:rPr>
          <w:kern w:val="0"/>
          <w:szCs w:val="20"/>
        </w:rPr>
      </w:pPr>
      <w:r>
        <w:rPr>
          <w:rFonts w:hint="eastAsia"/>
        </w:rPr>
        <w:t>6.5</w:t>
      </w:r>
      <w:r>
        <w:rPr>
          <w:rFonts w:hint="eastAsia"/>
          <w:kern w:val="0"/>
          <w:szCs w:val="20"/>
        </w:rPr>
        <w:t xml:space="preserve"> </w:t>
      </w:r>
      <w:bookmarkStart w:id="19" w:name="OLE_LINK21"/>
      <w:r>
        <w:rPr>
          <w:rFonts w:hint="eastAsia"/>
          <w:kern w:val="0"/>
          <w:szCs w:val="20"/>
        </w:rPr>
        <w:t>PVC单孔打孔机</w:t>
      </w:r>
      <w:bookmarkEnd w:id="19"/>
      <w:r>
        <w:rPr>
          <w:rFonts w:hint="eastAsia"/>
          <w:kern w:val="0"/>
          <w:szCs w:val="20"/>
        </w:rPr>
        <w:t>，圆孔直径需小于镀金高压坩埚直径</w:t>
      </w:r>
      <w:r>
        <w:rPr>
          <w:kern w:val="0"/>
          <w:szCs w:val="20"/>
        </w:rPr>
        <w:t>。</w:t>
      </w:r>
    </w:p>
    <w:p>
      <w:pPr>
        <w:rPr>
          <w:kern w:val="0"/>
          <w:szCs w:val="20"/>
        </w:rPr>
      </w:pPr>
      <w:r>
        <w:rPr>
          <w:rFonts w:hint="eastAsia"/>
        </w:rPr>
        <w:t>6.6</w:t>
      </w:r>
      <w:bookmarkStart w:id="20" w:name="OLE_LINK14"/>
      <w:r>
        <w:rPr>
          <w:kern w:val="0"/>
          <w:szCs w:val="20"/>
        </w:rPr>
        <w:t>差示扫描量热仪</w:t>
      </w:r>
      <w:bookmarkEnd w:id="20"/>
      <w:r>
        <w:rPr>
          <w:rFonts w:hint="eastAsia"/>
          <w:kern w:val="0"/>
          <w:szCs w:val="20"/>
        </w:rPr>
        <w:t>，量热精度±0.05℃，量热灵敏度1</w:t>
      </w:r>
      <w:r>
        <w:rPr>
          <w:rFonts w:hint="eastAsia" w:ascii="黑体" w:hAnsi="黑体" w:eastAsia="黑体" w:cs="黑体"/>
          <w:kern w:val="0"/>
          <w:szCs w:val="20"/>
        </w:rPr>
        <w:t>μW</w:t>
      </w:r>
      <w:r>
        <w:rPr>
          <w:kern w:val="0"/>
          <w:szCs w:val="20"/>
        </w:rPr>
        <w:t>。</w:t>
      </w:r>
    </w:p>
    <w:p>
      <w:pPr>
        <w:rPr>
          <w:kern w:val="0"/>
          <w:szCs w:val="20"/>
        </w:rPr>
      </w:pPr>
      <w:r>
        <w:rPr>
          <w:rFonts w:hint="eastAsia"/>
          <w:kern w:val="0"/>
          <w:szCs w:val="20"/>
        </w:rPr>
        <w:t>6.7高压坩埚密封工具。</w:t>
      </w:r>
    </w:p>
    <w:p>
      <w:pPr>
        <w:rPr>
          <w:kern w:val="0"/>
          <w:szCs w:val="20"/>
        </w:rPr>
      </w:pPr>
      <w:r>
        <w:rPr>
          <w:rFonts w:hint="eastAsia"/>
          <w:kern w:val="0"/>
          <w:szCs w:val="20"/>
        </w:rPr>
        <w:t>6.8 手套箱，惰性气体氛围，水氧含量均小于10ppm。</w:t>
      </w:r>
    </w:p>
    <w:p>
      <w:pPr>
        <w:pStyle w:val="80"/>
        <w:keepNext/>
        <w:keepLines/>
        <w:numPr>
          <w:ilvl w:val="255"/>
          <w:numId w:val="0"/>
        </w:numPr>
        <w:spacing w:before="156" w:after="156"/>
        <w:rPr>
          <w:rFonts w:ascii="Times New Roman"/>
        </w:rPr>
      </w:pPr>
      <w:bookmarkStart w:id="21" w:name="OLE_LINK3"/>
      <w:r>
        <w:rPr>
          <w:rFonts w:hint="eastAsia" w:ascii="Times New Roman"/>
        </w:rPr>
        <w:t>7</w:t>
      </w:r>
      <w:r>
        <w:rPr>
          <w:rFonts w:ascii="Times New Roman"/>
        </w:rPr>
        <w:t xml:space="preserve"> </w:t>
      </w:r>
      <w:r>
        <w:rPr>
          <w:rFonts w:hint="eastAsia" w:ascii="Times New Roman"/>
        </w:rPr>
        <w:t>样品制备</w:t>
      </w:r>
    </w:p>
    <w:bookmarkEnd w:id="21"/>
    <w:p>
      <w:pPr>
        <w:pStyle w:val="53"/>
        <w:ind w:firstLine="0" w:firstLineChars="0"/>
        <w:rPr>
          <w:rFonts w:ascii="Times New Roman"/>
        </w:rPr>
      </w:pPr>
      <w:bookmarkStart w:id="22" w:name="OLE_LINK4"/>
      <w:r>
        <w:rPr>
          <w:rFonts w:hint="eastAsia" w:ascii="Times New Roman"/>
        </w:rPr>
        <w:t xml:space="preserve">7.1 </w:t>
      </w:r>
      <w:r>
        <w:rPr>
          <w:rFonts w:ascii="Times New Roman"/>
        </w:rPr>
        <w:t>扣式电池制作</w:t>
      </w:r>
      <w:r>
        <w:rPr>
          <w:rFonts w:hint="eastAsia" w:ascii="Times New Roman"/>
        </w:rPr>
        <w:t>及测试</w:t>
      </w:r>
    </w:p>
    <w:p>
      <w:pPr>
        <w:pStyle w:val="53"/>
        <w:keepNext w:val="0"/>
        <w:keepLines w:val="0"/>
        <w:pageBreakBefore w:val="0"/>
        <w:widowControl/>
        <w:numPr>
          <w:ilvl w:val="0"/>
          <w:numId w:val="0"/>
        </w:numPr>
        <w:kinsoku/>
        <w:wordWrap/>
        <w:overflowPunct/>
        <w:topLinePunct w:val="0"/>
        <w:autoSpaceDE w:val="0"/>
        <w:autoSpaceDN w:val="0"/>
        <w:bidi w:val="0"/>
        <w:adjustRightInd/>
        <w:snapToGrid/>
        <w:ind w:left="0" w:leftChars="0" w:firstLine="420" w:firstLineChars="200"/>
        <w:textAlignment w:val="auto"/>
        <w:rPr>
          <w:rFonts w:hint="eastAsia" w:ascii="Times New Roman" w:hAnsi="Times New Roman" w:eastAsia="宋体" w:cs="Times New Roman"/>
          <w:kern w:val="2"/>
          <w:sz w:val="21"/>
          <w:szCs w:val="24"/>
          <w:lang w:val="en-US" w:eastAsia="zh-CN" w:bidi="ar-SA"/>
        </w:rPr>
      </w:pPr>
      <w:bookmarkStart w:id="23" w:name="OLE_LINK2"/>
      <w:bookmarkStart w:id="24" w:name="OLE_LINK1"/>
      <w:r>
        <w:rPr>
          <w:rFonts w:hint="eastAsia" w:ascii="Times New Roman" w:hAnsi="Times New Roman" w:eastAsia="宋体" w:cs="Times New Roman"/>
          <w:kern w:val="2"/>
          <w:sz w:val="21"/>
          <w:szCs w:val="24"/>
          <w:lang w:val="en-US" w:eastAsia="zh-CN" w:bidi="ar-SA"/>
        </w:rPr>
        <w:t>正极片的制备、电池的组装</w:t>
      </w:r>
      <w:r>
        <w:rPr>
          <w:rFonts w:hint="eastAsia" w:ascii="Times New Roman" w:cs="Times New Roman"/>
          <w:kern w:val="2"/>
          <w:sz w:val="21"/>
          <w:szCs w:val="24"/>
          <w:lang w:val="en-US" w:eastAsia="zh-CN" w:bidi="ar-SA"/>
        </w:rPr>
        <w:t>、充放电截止电压</w:t>
      </w:r>
      <w:r>
        <w:rPr>
          <w:rFonts w:hint="eastAsia" w:ascii="Times New Roman" w:hAnsi="Times New Roman" w:eastAsia="宋体" w:cs="Times New Roman"/>
          <w:kern w:val="2"/>
          <w:sz w:val="21"/>
          <w:szCs w:val="24"/>
          <w:lang w:val="en-US" w:eastAsia="zh-CN" w:bidi="ar-SA"/>
        </w:rPr>
        <w:t>按照GB/T 43092-2023的规定进行。</w:t>
      </w:r>
      <w:bookmarkEnd w:id="23"/>
      <w:bookmarkEnd w:id="24"/>
      <w:r>
        <w:rPr>
          <w:rFonts w:hint="eastAsia" w:ascii="Times New Roman" w:hAnsi="Times New Roman" w:eastAsia="宋体" w:cs="Times New Roman"/>
          <w:kern w:val="2"/>
          <w:sz w:val="21"/>
          <w:szCs w:val="24"/>
          <w:lang w:val="en-US" w:eastAsia="zh-CN" w:bidi="ar-SA"/>
        </w:rPr>
        <w:t>将电池置于25℃±1℃环境，用锂离子电池电化学性能测试仪进行充放电测试，可参考下述流程进行充放电测试。</w:t>
      </w:r>
    </w:p>
    <w:p>
      <w:pPr>
        <w:pStyle w:val="53"/>
        <w:numPr>
          <w:ilvl w:val="1"/>
          <w:numId w:val="13"/>
        </w:numPr>
        <w:ind w:firstLineChars="0"/>
        <w:rPr>
          <w:rFonts w:hint="default" w:ascii="Times New Roman"/>
          <w:lang w:val="en-US" w:eastAsia="zh-CN"/>
        </w:rPr>
      </w:pPr>
      <w:r>
        <w:rPr>
          <w:rFonts w:hint="eastAsia" w:ascii="Times New Roman"/>
          <w:lang w:val="en-US" w:eastAsia="zh-CN"/>
        </w:rPr>
        <w:t>静置2h</w:t>
      </w:r>
    </w:p>
    <w:p>
      <w:pPr>
        <w:pStyle w:val="53"/>
        <w:numPr>
          <w:ilvl w:val="1"/>
          <w:numId w:val="13"/>
        </w:numPr>
        <w:ind w:firstLineChars="0"/>
        <w:rPr>
          <w:rFonts w:ascii="Times New Roman"/>
        </w:rPr>
      </w:pPr>
      <w:bookmarkStart w:id="25" w:name="OLE_LINK17"/>
      <w:r>
        <w:rPr>
          <w:rFonts w:hint="eastAsia" w:ascii="Times New Roman"/>
        </w:rPr>
        <w:t>恒流充电：电流0.2C,恒流充电至限制电压。</w:t>
      </w:r>
    </w:p>
    <w:p>
      <w:pPr>
        <w:pStyle w:val="53"/>
        <w:numPr>
          <w:ilvl w:val="1"/>
          <w:numId w:val="13"/>
        </w:numPr>
        <w:ind w:firstLineChars="0"/>
        <w:rPr>
          <w:rFonts w:ascii="Times New Roman"/>
        </w:rPr>
      </w:pPr>
      <w:r>
        <w:rPr>
          <w:rFonts w:hint="eastAsia" w:ascii="Times New Roman"/>
        </w:rPr>
        <w:t>恒压充电：截止电流0.01C。</w:t>
      </w:r>
    </w:p>
    <w:bookmarkEnd w:id="25"/>
    <w:p>
      <w:pPr>
        <w:pStyle w:val="53"/>
        <w:numPr>
          <w:ilvl w:val="1"/>
          <w:numId w:val="13"/>
        </w:numPr>
        <w:ind w:firstLineChars="0"/>
        <w:rPr>
          <w:rFonts w:ascii="Times New Roman"/>
        </w:rPr>
      </w:pPr>
      <w:r>
        <w:rPr>
          <w:rFonts w:hint="eastAsia" w:ascii="Times New Roman"/>
        </w:rPr>
        <w:t>静置：10min。</w:t>
      </w:r>
    </w:p>
    <w:p>
      <w:pPr>
        <w:pStyle w:val="53"/>
        <w:numPr>
          <w:ilvl w:val="1"/>
          <w:numId w:val="13"/>
        </w:numPr>
        <w:ind w:firstLineChars="0"/>
        <w:rPr>
          <w:rFonts w:ascii="Times New Roman"/>
        </w:rPr>
      </w:pPr>
      <w:r>
        <w:rPr>
          <w:rFonts w:hint="eastAsia" w:ascii="Times New Roman"/>
        </w:rPr>
        <w:t>恒流放电：电流0.2C。</w:t>
      </w:r>
    </w:p>
    <w:p>
      <w:pPr>
        <w:pStyle w:val="53"/>
        <w:numPr>
          <w:ilvl w:val="1"/>
          <w:numId w:val="13"/>
        </w:numPr>
        <w:ind w:firstLineChars="0"/>
        <w:rPr>
          <w:rFonts w:ascii="Times New Roman"/>
        </w:rPr>
      </w:pPr>
      <w:r>
        <w:rPr>
          <w:rFonts w:hint="eastAsia" w:ascii="Times New Roman"/>
        </w:rPr>
        <w:t>静置10min。</w:t>
      </w:r>
    </w:p>
    <w:p>
      <w:pPr>
        <w:pStyle w:val="53"/>
        <w:numPr>
          <w:ilvl w:val="1"/>
          <w:numId w:val="13"/>
        </w:numPr>
        <w:ind w:firstLineChars="0"/>
        <w:rPr>
          <w:rFonts w:ascii="Times New Roman"/>
        </w:rPr>
      </w:pPr>
      <w:r>
        <w:rPr>
          <w:rFonts w:hint="eastAsia" w:ascii="Times New Roman"/>
        </w:rPr>
        <w:t>恒流充电：电流0.2C,恒流充电至限制电压。</w:t>
      </w:r>
    </w:p>
    <w:p>
      <w:pPr>
        <w:pStyle w:val="53"/>
        <w:numPr>
          <w:ilvl w:val="1"/>
          <w:numId w:val="13"/>
        </w:numPr>
        <w:ind w:firstLineChars="0"/>
        <w:rPr>
          <w:rFonts w:ascii="Times New Roman"/>
        </w:rPr>
      </w:pPr>
      <w:r>
        <w:rPr>
          <w:rFonts w:hint="eastAsia" w:ascii="Times New Roman"/>
        </w:rPr>
        <w:t>恒压充电：截止电流0.01C。</w:t>
      </w:r>
    </w:p>
    <w:p>
      <w:pPr>
        <w:pStyle w:val="53"/>
        <w:numPr>
          <w:ilvl w:val="1"/>
          <w:numId w:val="13"/>
        </w:numPr>
        <w:ind w:firstLineChars="0"/>
        <w:rPr>
          <w:rFonts w:ascii="Times New Roman"/>
        </w:rPr>
      </w:pPr>
      <w:r>
        <w:rPr>
          <w:rFonts w:hint="eastAsia" w:ascii="Times New Roman"/>
        </w:rPr>
        <w:t>静置：10min。</w:t>
      </w:r>
    </w:p>
    <w:p>
      <w:pPr>
        <w:pStyle w:val="53"/>
        <w:numPr>
          <w:ilvl w:val="1"/>
          <w:numId w:val="13"/>
        </w:numPr>
        <w:ind w:firstLineChars="0"/>
        <w:rPr>
          <w:rFonts w:ascii="Times New Roman"/>
        </w:rPr>
      </w:pPr>
      <w:r>
        <w:rPr>
          <w:rFonts w:hint="eastAsia" w:ascii="Times New Roman"/>
        </w:rPr>
        <w:t>恒流放电：电流0.2C。</w:t>
      </w:r>
    </w:p>
    <w:p>
      <w:pPr>
        <w:pStyle w:val="53"/>
        <w:numPr>
          <w:ilvl w:val="1"/>
          <w:numId w:val="13"/>
        </w:numPr>
        <w:ind w:firstLineChars="0"/>
        <w:rPr>
          <w:rFonts w:ascii="Times New Roman"/>
        </w:rPr>
      </w:pPr>
      <w:r>
        <w:rPr>
          <w:rFonts w:hint="eastAsia" w:ascii="Times New Roman"/>
        </w:rPr>
        <w:t>静置：10min。</w:t>
      </w:r>
    </w:p>
    <w:p>
      <w:pPr>
        <w:pStyle w:val="53"/>
        <w:numPr>
          <w:ilvl w:val="1"/>
          <w:numId w:val="13"/>
        </w:numPr>
        <w:ind w:firstLineChars="0"/>
        <w:rPr>
          <w:rFonts w:ascii="Times New Roman"/>
        </w:rPr>
      </w:pPr>
      <w:r>
        <w:rPr>
          <w:rFonts w:hint="eastAsia" w:ascii="Times New Roman"/>
        </w:rPr>
        <w:t>恒流充电：电流0.2C,恒流充电至限制电压。</w:t>
      </w:r>
    </w:p>
    <w:p>
      <w:pPr>
        <w:pStyle w:val="53"/>
        <w:numPr>
          <w:ilvl w:val="1"/>
          <w:numId w:val="13"/>
        </w:numPr>
        <w:ind w:firstLineChars="0"/>
        <w:rPr>
          <w:rFonts w:ascii="Times New Roman"/>
        </w:rPr>
      </w:pPr>
      <w:r>
        <w:rPr>
          <w:rFonts w:hint="eastAsia" w:ascii="Times New Roman"/>
        </w:rPr>
        <w:t>恒压充电：截止电流0.01C。</w:t>
      </w:r>
    </w:p>
    <w:p>
      <w:pPr>
        <w:rPr>
          <w:kern w:val="0"/>
          <w:szCs w:val="20"/>
        </w:rPr>
      </w:pPr>
      <w:r>
        <w:rPr>
          <w:rFonts w:hint="eastAsia"/>
        </w:rPr>
        <w:t>7.2</w:t>
      </w:r>
      <w:r>
        <w:rPr>
          <w:kern w:val="0"/>
          <w:szCs w:val="20"/>
        </w:rPr>
        <w:t>电池SOC状态确认</w:t>
      </w:r>
    </w:p>
    <w:p>
      <w:pPr>
        <w:pStyle w:val="53"/>
        <w:ind w:firstLine="420"/>
        <w:rPr>
          <w:rFonts w:ascii="Times New Roman"/>
        </w:rPr>
      </w:pPr>
      <w:r>
        <w:rPr>
          <w:rFonts w:ascii="Times New Roman"/>
        </w:rPr>
        <w:t>用电压测量仪表确定电池的充放电状态</w:t>
      </w:r>
      <w:r>
        <w:rPr>
          <w:rFonts w:hint="eastAsia" w:ascii="Times New Roman"/>
        </w:rPr>
        <w:t>，需要控制测量电压在</w:t>
      </w:r>
      <w:r>
        <w:rPr>
          <w:rFonts w:hint="eastAsia" w:ascii="Times New Roman"/>
          <w:lang w:val="en-US" w:eastAsia="zh-CN"/>
        </w:rPr>
        <w:t>不低于</w:t>
      </w:r>
      <w:r>
        <w:rPr>
          <w:rFonts w:hint="eastAsia" w:ascii="Times New Roman"/>
        </w:rPr>
        <w:t>限制电压</w:t>
      </w:r>
      <w:r>
        <w:rPr>
          <w:rFonts w:hint="eastAsia" w:ascii="Times New Roman"/>
          <w:lang w:val="en-US" w:eastAsia="zh-CN"/>
        </w:rPr>
        <w:t>0.03</w:t>
      </w:r>
      <w:r>
        <w:rPr>
          <w:rFonts w:hint="eastAsia" w:ascii="Times New Roman"/>
        </w:rPr>
        <w:t>V，若不满足需要按照（7.1）进行充电程序进行补电</w:t>
      </w:r>
      <w:r>
        <w:rPr>
          <w:rFonts w:ascii="Times New Roman"/>
        </w:rPr>
        <w:t>。</w:t>
      </w:r>
    </w:p>
    <w:p>
      <w:pPr>
        <w:rPr>
          <w:rFonts w:hint="default" w:eastAsia="宋体"/>
          <w:kern w:val="0"/>
          <w:szCs w:val="20"/>
          <w:lang w:val="en-US" w:eastAsia="zh-CN"/>
        </w:rPr>
      </w:pPr>
      <w:r>
        <w:rPr>
          <w:rFonts w:hint="eastAsia"/>
        </w:rPr>
        <w:t>7.3</w:t>
      </w:r>
      <w:r>
        <w:rPr>
          <w:rFonts w:hint="eastAsia"/>
          <w:kern w:val="0"/>
          <w:szCs w:val="20"/>
        </w:rPr>
        <w:t xml:space="preserve"> </w:t>
      </w:r>
      <w:r>
        <w:rPr>
          <w:rFonts w:hint="eastAsia"/>
          <w:kern w:val="0"/>
          <w:szCs w:val="20"/>
          <w:lang w:val="en-US" w:eastAsia="zh-CN"/>
        </w:rPr>
        <w:t>DSC样品制备</w:t>
      </w:r>
    </w:p>
    <w:p>
      <w:pPr>
        <w:widowControl/>
        <w:shd w:val="clear" w:color="auto" w:fill="FFFFFF"/>
        <w:ind w:firstLine="420" w:firstLineChars="200"/>
        <w:jc w:val="left"/>
      </w:pPr>
      <w:bookmarkStart w:id="26" w:name="OLE_LINK26"/>
      <w:r>
        <w:rPr>
          <w:rFonts w:hint="eastAsia"/>
        </w:rPr>
        <w:t>将扣式电池拆解后，取正极片置于</w:t>
      </w:r>
      <w:bookmarkStart w:id="27" w:name="OLE_LINK20"/>
      <w:r>
        <w:rPr>
          <w:rFonts w:hint="eastAsia"/>
          <w:kern w:val="0"/>
          <w:szCs w:val="20"/>
        </w:rPr>
        <w:t>20~30mL</w:t>
      </w:r>
      <w:r>
        <w:rPr>
          <w:kern w:val="0"/>
          <w:szCs w:val="20"/>
        </w:rPr>
        <w:t>碳酸二甲酯(</w:t>
      </w:r>
      <w:r>
        <w:rPr>
          <w:rFonts w:hint="eastAsia"/>
        </w:rPr>
        <w:t>5.2</w:t>
      </w:r>
      <w:r>
        <w:rPr>
          <w:kern w:val="0"/>
          <w:szCs w:val="20"/>
        </w:rPr>
        <w:t>)</w:t>
      </w:r>
      <w:r>
        <w:rPr>
          <w:rFonts w:hint="eastAsia"/>
          <w:kern w:val="0"/>
          <w:szCs w:val="20"/>
        </w:rPr>
        <w:t>浸泡</w:t>
      </w:r>
      <w:r>
        <w:rPr>
          <w:rFonts w:hint="eastAsia"/>
        </w:rPr>
        <w:t>1</w:t>
      </w:r>
      <w:r>
        <w:rPr>
          <w:rFonts w:hint="eastAsia"/>
          <w:kern w:val="0"/>
          <w:szCs w:val="20"/>
        </w:rPr>
        <w:t>min后</w:t>
      </w:r>
      <w:r>
        <w:rPr>
          <w:rFonts w:hint="eastAsia"/>
        </w:rPr>
        <w:t>取出</w:t>
      </w:r>
      <w:bookmarkEnd w:id="27"/>
      <w:r>
        <w:rPr>
          <w:rFonts w:hint="eastAsia"/>
        </w:rPr>
        <w:t>，置于</w:t>
      </w:r>
      <w:r>
        <w:rPr>
          <w:rFonts w:hint="eastAsia"/>
          <w:kern w:val="0"/>
          <w:szCs w:val="20"/>
        </w:rPr>
        <w:t>20~30mL</w:t>
      </w:r>
      <w:r>
        <w:rPr>
          <w:rFonts w:hint="eastAsia"/>
          <w:kern w:val="0"/>
          <w:szCs w:val="20"/>
          <w:lang w:val="en-US" w:eastAsia="zh-CN"/>
        </w:rPr>
        <w:t>新鲜</w:t>
      </w:r>
      <w:r>
        <w:rPr>
          <w:kern w:val="0"/>
          <w:szCs w:val="20"/>
        </w:rPr>
        <w:t>碳酸二甲酯(</w:t>
      </w:r>
      <w:r>
        <w:rPr>
          <w:rFonts w:hint="eastAsia"/>
          <w:kern w:val="0"/>
          <w:szCs w:val="20"/>
        </w:rPr>
        <w:t>5.</w:t>
      </w:r>
      <w:r>
        <w:rPr>
          <w:rFonts w:hint="eastAsia"/>
        </w:rPr>
        <w:t>2</w:t>
      </w:r>
      <w:r>
        <w:rPr>
          <w:kern w:val="0"/>
          <w:szCs w:val="20"/>
        </w:rPr>
        <w:t>)</w:t>
      </w:r>
      <w:r>
        <w:rPr>
          <w:rFonts w:hint="eastAsia"/>
          <w:kern w:val="0"/>
          <w:szCs w:val="20"/>
        </w:rPr>
        <w:t>浸泡</w:t>
      </w:r>
      <w:r>
        <w:rPr>
          <w:rFonts w:hint="eastAsia"/>
        </w:rPr>
        <w:t>一段时间</w:t>
      </w:r>
      <w:r>
        <w:rPr>
          <w:rFonts w:hint="eastAsia"/>
          <w:kern w:val="0"/>
          <w:szCs w:val="20"/>
        </w:rPr>
        <w:t>后</w:t>
      </w:r>
      <w:r>
        <w:rPr>
          <w:rFonts w:hint="eastAsia"/>
        </w:rPr>
        <w:t>取出晾干，其中浸泡时间不小于15min,晾干时间不小于</w:t>
      </w:r>
      <w:r>
        <w:rPr>
          <w:rFonts w:hint="eastAsia"/>
          <w:lang w:val="en-US" w:eastAsia="zh-CN"/>
        </w:rPr>
        <w:t>5</w:t>
      </w:r>
      <w:r>
        <w:rPr>
          <w:rFonts w:hint="eastAsia"/>
        </w:rPr>
        <w:t>min,。</w:t>
      </w:r>
      <w:bookmarkEnd w:id="22"/>
      <w:bookmarkEnd w:id="26"/>
      <w:r>
        <w:t>使用PVC单孔打孔机（6.5）将处理后的极片冲裁为3个圆片试样，置于镀金高压坩埚（5.5）中，用电子天平（6.2）精确称量3个圆片的总质量，记为m。使用微量进样针（5.4）定量注入电解液，加入镀金垫片后密封坩埚待测。</w:t>
      </w:r>
    </w:p>
    <w:p>
      <w:pPr>
        <w:widowControl/>
        <w:shd w:val="clear" w:color="auto" w:fill="FFFFFF"/>
        <w:jc w:val="left"/>
      </w:pPr>
      <w:r>
        <w:rPr>
          <w:rFonts w:hint="eastAsia"/>
        </w:rPr>
        <w:t>正极活性物质质量按照公式（1）计算</w:t>
      </w:r>
    </w:p>
    <w:p>
      <w:pPr>
        <w:pStyle w:val="53"/>
        <w:ind w:firstLine="420"/>
        <w:rPr>
          <w:rFonts w:ascii="Times New Roman"/>
        </w:rPr>
      </w:pPr>
      <w:r>
        <w:rPr>
          <w:rFonts w:hint="eastAsia"/>
        </w:rPr>
        <w:t xml:space="preserve">                                  </w:t>
      </w:r>
      <w:r>
        <w:rPr>
          <w:rFonts w:hint="eastAsia"/>
          <w:sz w:val="24"/>
          <w:szCs w:val="24"/>
        </w:rPr>
        <w:t xml:space="preserve"> m</w:t>
      </w:r>
      <w:r>
        <w:rPr>
          <w:rFonts w:hint="eastAsia"/>
          <w:sz w:val="24"/>
          <w:szCs w:val="24"/>
          <w:vertAlign w:val="subscript"/>
        </w:rPr>
        <w:t>c</w:t>
      </w:r>
      <w:r>
        <w:rPr>
          <w:rFonts w:hint="eastAsia"/>
          <w:sz w:val="24"/>
          <w:szCs w:val="24"/>
        </w:rPr>
        <w:t>= (m-m</w:t>
      </w:r>
      <w:r>
        <w:rPr>
          <w:rFonts w:hint="eastAsia"/>
          <w:sz w:val="24"/>
          <w:szCs w:val="24"/>
          <w:vertAlign w:val="subscript"/>
        </w:rPr>
        <w:t>Al</w:t>
      </w:r>
      <w:r>
        <w:rPr>
          <w:rFonts w:hint="eastAsia"/>
          <w:sz w:val="24"/>
          <w:szCs w:val="24"/>
        </w:rPr>
        <w:t>)*</w:t>
      </w:r>
      <w:r>
        <w:rPr>
          <w:rFonts w:ascii="Times New Roman"/>
          <w:sz w:val="24"/>
          <w:szCs w:val="24"/>
        </w:rPr>
        <w:t>χ</w:t>
      </w:r>
      <w:r>
        <w:rPr>
          <w:rFonts w:hint="eastAsia"/>
          <w:sz w:val="24"/>
          <w:szCs w:val="24"/>
        </w:rPr>
        <w:t xml:space="preserve">       </w:t>
      </w:r>
      <w:r>
        <w:rPr>
          <w:rFonts w:hint="eastAsia"/>
        </w:rPr>
        <w:t xml:space="preserve">             </w:t>
      </w:r>
      <w:bookmarkStart w:id="28" w:name="OLE_LINK28"/>
      <w:r>
        <w:rPr>
          <w:rFonts w:hint="eastAsia"/>
        </w:rPr>
        <w:t xml:space="preserve"> ----------（1）</w:t>
      </w:r>
      <w:bookmarkEnd w:id="28"/>
      <w:r>
        <w:rPr>
          <w:rFonts w:hint="eastAsia" w:ascii="Times New Roman"/>
        </w:rPr>
        <w:t xml:space="preserve"> </w:t>
      </w:r>
    </w:p>
    <w:p>
      <w:r>
        <w:rPr>
          <w:rFonts w:hint="eastAsia"/>
        </w:rPr>
        <w:t>m</w:t>
      </w:r>
      <w:r>
        <w:rPr>
          <w:rFonts w:hint="eastAsia"/>
          <w:vertAlign w:val="subscript"/>
        </w:rPr>
        <w:t>c</w:t>
      </w:r>
      <w:r>
        <w:rPr>
          <w:rFonts w:hint="eastAsia"/>
        </w:rPr>
        <w:t>-----------正极活性物质质量，单位为mg。</w:t>
      </w:r>
    </w:p>
    <w:p>
      <w:bookmarkStart w:id="29" w:name="OLE_LINK30"/>
      <w:r>
        <w:rPr>
          <w:rFonts w:hint="eastAsia"/>
        </w:rPr>
        <w:t>m</w:t>
      </w:r>
      <w:r>
        <w:rPr>
          <w:rFonts w:hint="eastAsia"/>
          <w:vertAlign w:val="subscript"/>
        </w:rPr>
        <w:t>A</w:t>
      </w:r>
      <w:bookmarkStart w:id="30" w:name="OLE_LINK27"/>
      <w:r>
        <w:rPr>
          <w:rFonts w:hint="eastAsia"/>
          <w:vertAlign w:val="subscript"/>
        </w:rPr>
        <w:t>l</w:t>
      </w:r>
      <w:r>
        <w:rPr>
          <w:rFonts w:hint="eastAsia"/>
        </w:rPr>
        <w:t xml:space="preserve">---------- </w:t>
      </w:r>
      <w:bookmarkEnd w:id="30"/>
      <w:r>
        <w:rPr>
          <w:rFonts w:hint="eastAsia"/>
          <w:lang w:val="en-US" w:eastAsia="zh-CN"/>
        </w:rPr>
        <w:t>3张空白铝箔的质量</w:t>
      </w:r>
      <w:r>
        <w:t>，</w:t>
      </w:r>
      <w:r>
        <w:rPr>
          <w:rFonts w:hint="eastAsia"/>
        </w:rPr>
        <w:t>单位为mg。</w:t>
      </w:r>
    </w:p>
    <w:bookmarkEnd w:id="29"/>
    <w:p>
      <w:pPr>
        <w:pStyle w:val="53"/>
        <w:ind w:firstLine="0" w:firstLineChars="0"/>
        <w:rPr>
          <w:rFonts w:ascii="Times New Roman"/>
        </w:rPr>
      </w:pPr>
      <w:r>
        <w:rPr>
          <w:rFonts w:ascii="Times New Roman"/>
        </w:rPr>
        <w:t>χ</w:t>
      </w:r>
      <w:r>
        <w:rPr>
          <w:rFonts w:hint="eastAsia"/>
        </w:rPr>
        <w:t>-------------正极活性物质占比，单位为%。</w:t>
      </w:r>
    </w:p>
    <w:p>
      <w:pPr>
        <w:widowControl/>
        <w:shd w:val="clear" w:color="auto" w:fill="FFFFFF"/>
        <w:jc w:val="left"/>
      </w:pPr>
      <w:r>
        <w:rPr>
          <w:rFonts w:hint="eastAsia"/>
        </w:rPr>
        <w:t>电解液注入量按照公式（2）计算。</w:t>
      </w:r>
    </w:p>
    <w:p>
      <w:pPr>
        <w:pStyle w:val="53"/>
        <w:ind w:firstLine="420"/>
      </w:pPr>
    </w:p>
    <w:p>
      <w:pPr>
        <w:pStyle w:val="53"/>
        <w:ind w:firstLine="420"/>
      </w:pPr>
      <w:r>
        <w:rPr>
          <w:rFonts w:ascii="Times New Roman"/>
        </w:rPr>
        <w:t xml:space="preserve">                      </w:t>
      </w:r>
      <w:r>
        <w:rPr>
          <w:rFonts w:hint="eastAsia"/>
        </w:rPr>
        <w:t xml:space="preserve">         </w:t>
      </w:r>
      <w:r>
        <w:rPr>
          <w:rFonts w:hint="eastAsia"/>
          <w:sz w:val="24"/>
          <w:szCs w:val="24"/>
        </w:rPr>
        <w:t xml:space="preserve">    V</w:t>
      </w:r>
      <w:r>
        <w:rPr>
          <w:rFonts w:ascii="Times New Roman"/>
          <w:sz w:val="24"/>
          <w:szCs w:val="24"/>
        </w:rPr>
        <w:t>=</w:t>
      </w:r>
      <w:r>
        <w:rPr>
          <w:rFonts w:hint="eastAsia" w:ascii="Times New Roman"/>
          <w:sz w:val="24"/>
          <w:szCs w:val="24"/>
        </w:rPr>
        <w:t>α</w:t>
      </w:r>
      <w:r>
        <w:rPr>
          <w:rFonts w:hint="eastAsia"/>
          <w:sz w:val="24"/>
          <w:szCs w:val="24"/>
        </w:rPr>
        <w:t>*</w:t>
      </w:r>
      <w:r>
        <w:rPr>
          <w:rFonts w:hint="eastAsia" w:ascii="Times New Roman"/>
          <w:sz w:val="24"/>
          <w:szCs w:val="24"/>
        </w:rPr>
        <w:t xml:space="preserve"> </w:t>
      </w:r>
      <w:r>
        <w:rPr>
          <w:rFonts w:hint="eastAsia"/>
          <w:sz w:val="24"/>
          <w:szCs w:val="24"/>
        </w:rPr>
        <w:t>m</w:t>
      </w:r>
      <w:r>
        <w:rPr>
          <w:rFonts w:hint="eastAsia"/>
          <w:sz w:val="24"/>
          <w:szCs w:val="24"/>
          <w:vertAlign w:val="subscript"/>
        </w:rPr>
        <w:t>c</w:t>
      </w:r>
      <w:r>
        <w:rPr>
          <w:rFonts w:hint="eastAsia" w:ascii="Times New Roman"/>
          <w:sz w:val="24"/>
          <w:szCs w:val="24"/>
        </w:rPr>
        <w:t xml:space="preserve"> </w:t>
      </w:r>
      <w:r>
        <w:rPr>
          <w:rFonts w:hint="eastAsia" w:ascii="Times New Roman"/>
        </w:rPr>
        <w:t xml:space="preserve">       </w:t>
      </w:r>
      <w:r>
        <w:rPr>
          <w:rFonts w:hint="eastAsia"/>
          <w:vertAlign w:val="subscript"/>
        </w:rPr>
        <w:t xml:space="preserve"> </w:t>
      </w:r>
      <w:r>
        <w:rPr>
          <w:rFonts w:hint="eastAsia"/>
        </w:rPr>
        <w:t xml:space="preserve">                 ----------（2）        </w:t>
      </w:r>
    </w:p>
    <w:p>
      <w:r>
        <w:rPr>
          <w:rFonts w:hint="eastAsia"/>
        </w:rPr>
        <w:t>α------------电解液添加系数，单位为</w:t>
      </w:r>
      <w:bookmarkStart w:id="31" w:name="OLE_LINK25"/>
      <w:r>
        <w:rPr>
          <w:rFonts w:hint="eastAsia" w:ascii="黑体" w:hAnsi="黑体" w:eastAsia="黑体" w:cs="黑体"/>
          <w:kern w:val="0"/>
          <w:szCs w:val="20"/>
        </w:rPr>
        <w:t>μ</w:t>
      </w:r>
      <w:r>
        <w:rPr>
          <w:rFonts w:hint="eastAsia"/>
          <w:kern w:val="0"/>
          <w:szCs w:val="20"/>
        </w:rPr>
        <w:t>L/mg</w:t>
      </w:r>
      <w:bookmarkEnd w:id="31"/>
      <w:r>
        <w:rPr>
          <w:rFonts w:hint="eastAsia"/>
          <w:kern w:val="0"/>
          <w:szCs w:val="20"/>
        </w:rPr>
        <w:t>，推荐</w:t>
      </w:r>
      <w:r>
        <w:rPr>
          <w:rFonts w:hint="eastAsia"/>
          <w:kern w:val="0"/>
          <w:szCs w:val="20"/>
          <w:lang w:val="en-US" w:eastAsia="zh-CN"/>
        </w:rPr>
        <w:t>0.40uL/mg</w:t>
      </w:r>
      <w:r>
        <w:rPr>
          <w:rFonts w:hint="eastAsia"/>
        </w:rPr>
        <w:t>。</w:t>
      </w:r>
    </w:p>
    <w:p>
      <w:r>
        <w:rPr>
          <w:rFonts w:hint="eastAsia"/>
        </w:rPr>
        <w:t>V--------------电解液的添加量，单位为</w:t>
      </w:r>
      <w:r>
        <w:rPr>
          <w:rFonts w:hint="eastAsia" w:ascii="黑体" w:hAnsi="黑体" w:eastAsia="黑体" w:cs="黑体"/>
          <w:kern w:val="0"/>
          <w:szCs w:val="20"/>
        </w:rPr>
        <w:t>μ</w:t>
      </w:r>
      <w:r>
        <w:rPr>
          <w:rFonts w:hint="eastAsia"/>
          <w:kern w:val="0"/>
          <w:szCs w:val="20"/>
        </w:rPr>
        <w:t>L</w:t>
      </w:r>
      <w:r>
        <w:rPr>
          <w:rFonts w:hint="eastAsia"/>
        </w:rPr>
        <w:t>。</w:t>
      </w:r>
    </w:p>
    <w:p>
      <w:pPr>
        <w:pStyle w:val="120"/>
        <w:spacing w:before="156" w:beforeLines="50" w:after="156" w:afterLines="50"/>
        <w:ind w:firstLine="0" w:firstLineChars="0"/>
        <w:outlineLvl w:val="1"/>
        <w:rPr>
          <w:rFonts w:hint="eastAsia" w:ascii="黑体" w:hAnsi="黑体" w:eastAsia="黑体" w:cs="黑体"/>
          <w:kern w:val="0"/>
          <w:szCs w:val="20"/>
        </w:rPr>
      </w:pPr>
      <w:r>
        <w:rPr>
          <w:rFonts w:hint="eastAsia" w:ascii="黑体" w:hAnsi="黑体" w:eastAsia="黑体" w:cs="黑体"/>
          <w:kern w:val="0"/>
          <w:szCs w:val="20"/>
        </w:rPr>
        <w:t>8  测试步骤</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按以下步骤操作：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a) 按照GB/T 13464—2008</w:t>
      </w:r>
      <w:r>
        <w:rPr>
          <w:rFonts w:asciiTheme="minorEastAsia" w:hAnsiTheme="minorEastAsia" w:eastAsiaTheme="minorEastAsia" w:cstheme="minorEastAsia"/>
        </w:rPr>
        <w:t>对试验仪器进行温度校准，校准温度信号的精度至</w:t>
      </w:r>
      <w:r>
        <w:rPr>
          <w:rFonts w:hint="eastAsia" w:asciiTheme="minorEastAsia" w:hAnsiTheme="minorEastAsia" w:eastAsiaTheme="minorEastAsia" w:cstheme="minorEastAsia"/>
        </w:rPr>
        <w:t>±0.5</w:t>
      </w:r>
      <w:r>
        <w:rPr>
          <w:rFonts w:asciiTheme="minorEastAsia" w:hAnsiTheme="minorEastAsia" w:eastAsiaTheme="minorEastAsia" w:cstheme="minorEastAsia"/>
        </w:rPr>
        <w:t>℃。</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b）将参比坩埚与样品坩埚放入同步热分析仪的加热腔内，并使之与热传感元件紧密接触。</w:t>
      </w:r>
    </w:p>
    <w:p>
      <w:pPr>
        <w:rPr>
          <w:rFonts w:hint="eastAsia" w:asciiTheme="minorEastAsia" w:hAnsiTheme="minorEastAsia" w:eastAsiaTheme="minorEastAsia" w:cstheme="minorEastAsia"/>
        </w:rPr>
      </w:pPr>
      <w:bookmarkStart w:id="32" w:name="OLE_LINK29"/>
      <w:r>
        <w:rPr>
          <w:rFonts w:hint="eastAsia" w:asciiTheme="minorEastAsia" w:hAnsiTheme="minorEastAsia" w:eastAsiaTheme="minorEastAsia" w:cstheme="minorEastAsia"/>
        </w:rPr>
        <w:t>c) 设置测试程序，按以下步骤操作：</w:t>
      </w:r>
    </w:p>
    <w:bookmarkEnd w:id="32"/>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1）选择坩埚类型；</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2）输入7.3中正极活性物质质量；</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3）根据样品性质及同步热分析仪工作温度区间，设置测量温度区间及升温速率；</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4）设置保护气、吹扫气及其流量；</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5）设置文件保存路径。</w:t>
      </w:r>
    </w:p>
    <w:p>
      <w:pPr>
        <w:ind w:firstLine="42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rPr>
        <w:t>相关参数推荐值如表1所示。</w:t>
      </w:r>
    </w:p>
    <w:p>
      <w:pPr>
        <w:jc w:val="center"/>
        <w:rPr>
          <w:rFonts w:hint="eastAsia" w:ascii="黑体" w:hAnsi="黑体" w:eastAsia="黑体" w:cstheme="minorEastAsia"/>
        </w:rPr>
      </w:pPr>
      <w:r>
        <w:rPr>
          <w:rFonts w:hint="eastAsia" w:ascii="黑体" w:hAnsi="黑体" w:eastAsia="黑体" w:cstheme="minorEastAsia"/>
        </w:rPr>
        <w:t>表1 同步热分析仪测试参数设置</w:t>
      </w:r>
    </w:p>
    <w:tbl>
      <w:tblPr>
        <w:tblStyle w:val="34"/>
        <w:tblW w:w="75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61"/>
        <w:gridCol w:w="3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061" w:type="dxa"/>
          </w:tcPr>
          <w:p>
            <w:pPr>
              <w:jc w:val="center"/>
            </w:pPr>
            <w:r>
              <w:t>项目</w:t>
            </w:r>
          </w:p>
        </w:tc>
        <w:tc>
          <w:tcPr>
            <w:tcW w:w="3482" w:type="dxa"/>
          </w:tcPr>
          <w:p>
            <w:pPr>
              <w:jc w:val="center"/>
            </w:pPr>
            <w:r>
              <w:rPr>
                <w:rFonts w:hint="eastAsia"/>
                <w:kern w:val="0"/>
                <w:szCs w:val="20"/>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061" w:type="dxa"/>
          </w:tcPr>
          <w:p>
            <w:pPr>
              <w:jc w:val="center"/>
            </w:pPr>
            <w:r>
              <w:t>温度</w:t>
            </w:r>
          </w:p>
        </w:tc>
        <w:tc>
          <w:tcPr>
            <w:tcW w:w="3482" w:type="dxa"/>
          </w:tcPr>
          <w:p>
            <w:pPr>
              <w:jc w:val="center"/>
            </w:pPr>
            <w:r>
              <w:t>3</w:t>
            </w:r>
            <w:r>
              <w:rPr>
                <w:rFonts w:hint="eastAsia"/>
              </w:rPr>
              <w:t>0</w:t>
            </w:r>
            <w:r>
              <w:t>-</w:t>
            </w:r>
            <w:r>
              <w:rPr>
                <w:rFonts w:hint="eastAsia"/>
              </w:rPr>
              <w:t>350</w:t>
            </w: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061" w:type="dxa"/>
            <w:vAlign w:val="center"/>
          </w:tcPr>
          <w:p>
            <w:pPr>
              <w:jc w:val="center"/>
            </w:pPr>
            <w:r>
              <w:rPr>
                <w:rFonts w:hint="eastAsia" w:asciiTheme="minorEastAsia" w:hAnsiTheme="minorEastAsia" w:eastAsiaTheme="minorEastAsia" w:cstheme="minorEastAsia"/>
              </w:rPr>
              <w:t>保护仪器关键部件气体</w:t>
            </w:r>
          </w:p>
        </w:tc>
        <w:tc>
          <w:tcPr>
            <w:tcW w:w="3482" w:type="dxa"/>
            <w:vAlign w:val="center"/>
          </w:tcPr>
          <w:p>
            <w:pPr>
              <w:jc w:val="center"/>
            </w:pPr>
            <w:r>
              <w:t>N</w:t>
            </w:r>
            <w:r>
              <w:rPr>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061" w:type="dxa"/>
            <w:vAlign w:val="center"/>
          </w:tcPr>
          <w:p>
            <w:pPr>
              <w:jc w:val="center"/>
            </w:pPr>
            <w:r>
              <w:t>气体流量</w:t>
            </w:r>
          </w:p>
        </w:tc>
        <w:tc>
          <w:tcPr>
            <w:tcW w:w="3482" w:type="dxa"/>
          </w:tcPr>
          <w:p>
            <w:pPr>
              <w:jc w:val="center"/>
            </w:pPr>
            <w:r>
              <w:rPr>
                <w:rFonts w:hint="eastAsia"/>
              </w:rPr>
              <w:t>40</w:t>
            </w:r>
            <w:r>
              <w:t>-</w:t>
            </w:r>
            <w:r>
              <w:rPr>
                <w:rFonts w:hint="eastAsia"/>
              </w:rPr>
              <w:t>60</w:t>
            </w:r>
            <w:r>
              <w:t>mL/min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4061" w:type="dxa"/>
            <w:vAlign w:val="center"/>
          </w:tcPr>
          <w:p>
            <w:pPr>
              <w:jc w:val="center"/>
            </w:pPr>
            <w:r>
              <w:t>升温速率</w:t>
            </w:r>
          </w:p>
        </w:tc>
        <w:tc>
          <w:tcPr>
            <w:tcW w:w="3482" w:type="dxa"/>
          </w:tcPr>
          <w:p>
            <w:pPr>
              <w:jc w:val="center"/>
            </w:pPr>
            <w:r>
              <w:rPr>
                <w:rFonts w:hint="eastAsia"/>
              </w:rPr>
              <w:t>5</w:t>
            </w:r>
            <w:r>
              <w:t>℃/min</w:t>
            </w:r>
          </w:p>
        </w:tc>
      </w:tr>
    </w:tbl>
    <w:p>
      <w:pPr>
        <w:rPr>
          <w:rFonts w:hint="eastAsia" w:ascii="黑体" w:hAnsi="黑体" w:eastAsia="黑体"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d) 点击“开始”，启动测试程序，设备自动记录热流差与温度</w:t>
      </w:r>
      <w:r>
        <w:rPr>
          <w:rFonts w:asciiTheme="minorEastAsia" w:hAnsiTheme="minorEastAsia" w:eastAsiaTheme="minorEastAsia" w:cstheme="minorEastAsia"/>
          <w:i/>
          <w:iCs/>
        </w:rPr>
        <w:t>T</w:t>
      </w:r>
      <w:r>
        <w:rPr>
          <w:rFonts w:hint="eastAsia" w:asciiTheme="minorEastAsia" w:hAnsiTheme="minorEastAsia" w:eastAsiaTheme="minorEastAsia" w:cstheme="minorEastAsia"/>
        </w:rPr>
        <w:t>的关系曲线，即</w:t>
      </w:r>
      <w:r>
        <w:rPr>
          <w:rFonts w:asciiTheme="minorEastAsia" w:hAnsiTheme="minorEastAsia" w:eastAsiaTheme="minorEastAsia" w:cstheme="minorEastAsia"/>
        </w:rPr>
        <w:t>DSC</w:t>
      </w:r>
      <w:r>
        <w:rPr>
          <w:rFonts w:hint="eastAsia" w:asciiTheme="minorEastAsia" w:hAnsiTheme="minorEastAsia" w:eastAsiaTheme="minorEastAsia" w:cstheme="minorEastAsia"/>
        </w:rPr>
        <w:t>曲线；</w:t>
      </w:r>
    </w:p>
    <w:p>
      <w:pPr>
        <w:pStyle w:val="120"/>
        <w:spacing w:before="156" w:beforeLines="50" w:after="156" w:afterLines="50"/>
        <w:ind w:firstLine="0" w:firstLineChars="0"/>
        <w:outlineLvl w:val="1"/>
        <w:rPr>
          <w:rFonts w:hint="eastAsia" w:ascii="黑体" w:hAnsi="黑体" w:eastAsia="黑体" w:cs="黑体"/>
          <w:kern w:val="0"/>
          <w:szCs w:val="20"/>
        </w:rPr>
      </w:pPr>
      <w:r>
        <w:rPr>
          <w:rFonts w:hint="eastAsia" w:ascii="黑体" w:hAnsi="黑体" w:eastAsia="黑体" w:cs="黑体"/>
          <w:kern w:val="0"/>
          <w:szCs w:val="20"/>
        </w:rPr>
        <w:t>9  数据处理</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数据处理过程通过同步热分析仪自带的数据分析软件进行，按以下步骤操作</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1）按照</w:t>
      </w:r>
      <w:bookmarkStart w:id="33" w:name="OLE_LINK31"/>
      <w:r>
        <w:rPr>
          <w:rFonts w:hint="eastAsia" w:asciiTheme="minorEastAsia" w:hAnsiTheme="minorEastAsia" w:eastAsiaTheme="minorEastAsia" w:cstheme="minorEastAsia"/>
          <w:color w:val="000000" w:themeColor="text1"/>
          <w14:textFill>
            <w14:solidFill>
              <w14:schemeClr w14:val="tx1"/>
            </w14:solidFill>
          </w14:textFill>
        </w:rPr>
        <w:t>GB/T 13464—2008</w:t>
      </w:r>
      <w:bookmarkEnd w:id="33"/>
      <w:r>
        <w:rPr>
          <w:rFonts w:hint="eastAsia" w:asciiTheme="minorEastAsia" w:hAnsiTheme="minorEastAsia" w:eastAsiaTheme="minorEastAsia" w:cstheme="minorEastAsia"/>
          <w:color w:val="000000" w:themeColor="text1"/>
          <w14:textFill>
            <w14:solidFill>
              <w14:schemeClr w14:val="tx1"/>
            </w14:solidFill>
          </w14:textFill>
        </w:rPr>
        <w:t>规定的方法</w:t>
      </w:r>
      <w:r>
        <w:rPr>
          <w:rFonts w:hint="eastAsia" w:asciiTheme="minorEastAsia" w:hAnsiTheme="minorEastAsia" w:eastAsiaTheme="minorEastAsia" w:cstheme="minorEastAsia"/>
        </w:rPr>
        <w:t>在数据分析软件中分析反应峰的起始温度、峰值温度。</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2）起始温度，第一个反应峰前缘上斜率最大的一点做切线与外延基线的交点对应的温度；</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3）峰值温度，反应峰峰顶对应的温度，出现多个反应峰时，对应着多个峰值温度；</w:t>
      </w:r>
    </w:p>
    <w:bookmarkEnd w:id="8"/>
    <w:p>
      <w:pPr>
        <w:pStyle w:val="53"/>
        <w:spacing w:before="312" w:beforeLines="100" w:after="312" w:afterLines="100"/>
        <w:ind w:firstLine="0" w:firstLineChars="0"/>
        <w:jc w:val="left"/>
        <w:rPr>
          <w:rFonts w:ascii="Times New Roman" w:eastAsia="黑体"/>
        </w:rPr>
      </w:pPr>
      <w:r>
        <w:rPr>
          <w:rStyle w:val="126"/>
          <w:rFonts w:hint="eastAsia" w:ascii="Times New Roman"/>
        </w:rPr>
        <w:t xml:space="preserve">10  </w:t>
      </w:r>
      <w:r>
        <w:rPr>
          <w:rStyle w:val="126"/>
          <w:rFonts w:ascii="Times New Roman"/>
        </w:rPr>
        <w:t>试验报告</w:t>
      </w:r>
    </w:p>
    <w:p>
      <w:pPr>
        <w:pStyle w:val="53"/>
        <w:ind w:firstLine="420"/>
        <w:jc w:val="left"/>
        <w:rPr>
          <w:rFonts w:ascii="Times New Roman"/>
        </w:rPr>
      </w:pPr>
      <w:r>
        <w:rPr>
          <w:rFonts w:ascii="Times New Roman"/>
        </w:rPr>
        <w:t>试验报告应包含以下几个方面的内容：</w:t>
      </w:r>
    </w:p>
    <w:p>
      <w:pPr>
        <w:widowControl/>
        <w:autoSpaceDE w:val="0"/>
        <w:autoSpaceDN w:val="0"/>
        <w:ind w:firstLine="420" w:firstLineChars="200"/>
        <w:rPr>
          <w:kern w:val="0"/>
          <w:szCs w:val="20"/>
        </w:rPr>
      </w:pPr>
      <w:r>
        <w:rPr>
          <w:kern w:val="0"/>
          <w:szCs w:val="20"/>
        </w:rPr>
        <w:t>——试验对象；</w:t>
      </w:r>
    </w:p>
    <w:p>
      <w:pPr>
        <w:widowControl/>
        <w:autoSpaceDE w:val="0"/>
        <w:autoSpaceDN w:val="0"/>
        <w:ind w:firstLine="420" w:firstLineChars="200"/>
        <w:rPr>
          <w:kern w:val="0"/>
          <w:szCs w:val="20"/>
        </w:rPr>
      </w:pPr>
      <w:r>
        <w:rPr>
          <w:kern w:val="0"/>
          <w:szCs w:val="20"/>
        </w:rPr>
        <w:t>——</w:t>
      </w:r>
      <w:bookmarkStart w:id="34" w:name="OLE_LINK78"/>
      <w:bookmarkStart w:id="35" w:name="OLE_LINK79"/>
      <w:r>
        <w:rPr>
          <w:kern w:val="0"/>
          <w:szCs w:val="20"/>
        </w:rPr>
        <w:t>本文件编号</w:t>
      </w:r>
      <w:bookmarkEnd w:id="34"/>
      <w:bookmarkEnd w:id="35"/>
      <w:r>
        <w:rPr>
          <w:kern w:val="0"/>
          <w:szCs w:val="20"/>
        </w:rPr>
        <w:t>；</w:t>
      </w:r>
    </w:p>
    <w:p>
      <w:pPr>
        <w:widowControl/>
        <w:autoSpaceDE w:val="0"/>
        <w:autoSpaceDN w:val="0"/>
        <w:ind w:firstLine="420" w:firstLineChars="200"/>
        <w:rPr>
          <w:kern w:val="0"/>
          <w:szCs w:val="20"/>
        </w:rPr>
      </w:pPr>
      <w:r>
        <w:rPr>
          <w:kern w:val="0"/>
          <w:szCs w:val="20"/>
        </w:rPr>
        <w:t>——使用的方法；</w:t>
      </w:r>
    </w:p>
    <w:p>
      <w:pPr>
        <w:widowControl/>
        <w:autoSpaceDE w:val="0"/>
        <w:autoSpaceDN w:val="0"/>
        <w:ind w:firstLine="420" w:firstLineChars="200"/>
        <w:rPr>
          <w:kern w:val="0"/>
          <w:szCs w:val="20"/>
        </w:rPr>
      </w:pPr>
      <w:r>
        <w:rPr>
          <w:kern w:val="0"/>
          <w:szCs w:val="20"/>
        </w:rPr>
        <w:t>——试验结果；</w:t>
      </w:r>
    </w:p>
    <w:p>
      <w:pPr>
        <w:widowControl/>
        <w:autoSpaceDE w:val="0"/>
        <w:autoSpaceDN w:val="0"/>
        <w:ind w:firstLine="420" w:firstLineChars="200"/>
        <w:rPr>
          <w:kern w:val="0"/>
          <w:szCs w:val="20"/>
        </w:rPr>
      </w:pPr>
      <w:r>
        <w:rPr>
          <w:kern w:val="0"/>
          <w:szCs w:val="20"/>
        </w:rPr>
        <w:t>——观察到的异常现象；</w:t>
      </w:r>
    </w:p>
    <w:p>
      <w:pPr>
        <w:widowControl/>
        <w:autoSpaceDE w:val="0"/>
        <w:autoSpaceDN w:val="0"/>
        <w:ind w:firstLine="420" w:firstLineChars="200"/>
        <w:rPr>
          <w:kern w:val="0"/>
          <w:szCs w:val="20"/>
        </w:rPr>
      </w:pPr>
      <w:r>
        <w:rPr>
          <w:kern w:val="0"/>
          <w:szCs w:val="20"/>
        </w:rPr>
        <w:t>——试验日期；</w:t>
      </w:r>
    </w:p>
    <w:p>
      <w:pPr>
        <w:widowControl/>
        <w:autoSpaceDE w:val="0"/>
        <w:autoSpaceDN w:val="0"/>
        <w:ind w:firstLine="420" w:firstLineChars="200"/>
      </w:pPr>
      <w:r>
        <w:rPr>
          <w:kern w:val="0"/>
          <w:szCs w:val="20"/>
        </w:rPr>
        <w:t>——其他与本文件规定步骤的差异或本文件中未规定的要求。</w:t>
      </w:r>
    </w:p>
    <w:p>
      <w:pPr>
        <w:widowControl/>
        <w:jc w:val="left"/>
      </w:pPr>
      <w:r>
        <mc:AlternateContent>
          <mc:Choice Requires="wps">
            <w:drawing>
              <wp:anchor distT="0" distB="0" distL="114300" distR="114300" simplePos="0" relativeHeight="251671552" behindDoc="0" locked="0" layoutInCell="1" allowOverlap="1">
                <wp:simplePos x="0" y="0"/>
                <wp:positionH relativeFrom="column">
                  <wp:posOffset>2325370</wp:posOffset>
                </wp:positionH>
                <wp:positionV relativeFrom="paragraph">
                  <wp:posOffset>198755</wp:posOffset>
                </wp:positionV>
                <wp:extent cx="1600200" cy="0"/>
                <wp:effectExtent l="0" t="0" r="19050" b="19050"/>
                <wp:wrapSquare wrapText="bothSides"/>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19050">
                          <a:solidFill>
                            <a:srgbClr val="000000"/>
                          </a:solidFill>
                          <a:round/>
                        </a:ln>
                      </wps:spPr>
                      <wps:bodyPr/>
                    </wps:wsp>
                  </a:graphicData>
                </a:graphic>
              </wp:anchor>
            </w:drawing>
          </mc:Choice>
          <mc:Fallback>
            <w:pict>
              <v:line id="_x0000_s1026" o:spid="_x0000_s1026" o:spt="20" style="position:absolute;left:0pt;margin-left:183.1pt;margin-top:15.65pt;height:0pt;width:126pt;mso-wrap-distance-bottom:0pt;mso-wrap-distance-left:9pt;mso-wrap-distance-right:9pt;mso-wrap-distance-top:0pt;z-index:251671552;mso-width-relative:page;mso-height-relative:page;" filled="f" stroked="t" coordsize="21600,21600" o:gfxdata="UEsDBAoAAAAAAIdO4kAAAAAAAAAAAAAAAAAEAAAAZHJzL1BLAwQUAAAACACHTuJA0ZcazNUAAAAJ&#10;AQAADwAAAGRycy9kb3ducmV2LnhtbE2PQU/DMAyF70j8h8hI3FjaDarSNZ3EJC67USbgmDVeW5E4&#10;VZN167/HiAO72e89PX8uNxdnxYRj6D0pSBcJCKTGm55aBfv314ccRIiajLaeUMGMATbV7U2pC+PP&#10;9IZTHVvBJRQKraCLcSikDE2HToeFH5DYO/rR6cjr2Eoz6jOXOyuXSZJJp3viC50ecNth812fHLc8&#10;feYvO53v59nWX8+P24/dRE6p+7s0WYOIeIn/YfjFZ3SomOngT2SCsApWWbbkKA/pCgQHsjRn4fAn&#10;yKqU1x9UP1BLAwQUAAAACACHTuJA4kv2DuMBAACrAwAADgAAAGRycy9lMm9Eb2MueG1srVPBbhMx&#10;EL0j8Q+W72Q3rahglU0PicqlQKSWD5h4vVkL22PZTnbzE/wAEjc4ceTO37R8BmNvEkq59MAeLI9n&#10;5s28N7Ozy8FotpM+KLQ1n05KzqQV2Ci7qfmH26sXrzgLEWwDGq2s+V4Gfjl//mzWu0qeYYe6kZ4R&#10;iA1V72rexeiqogiikwbCBJ205GzRG4hk+k3ReOgJ3ejirCwvih594zwKGQK9LkcnPyD6pwBi2yoh&#10;lyi2Rto4onqpIRKl0CkX+Dx327ZSxPdtG2RkuubENOaTitB9nc5iPoNq48F1ShxagKe08IiTAWWp&#10;6AlqCRHY1qt/oIwSHgO2cSLQFCORrAixmJaPtLnpwMnMhaQO7iR6+H+w4t1u5Zlqan7OmQVDA7//&#10;/OPu09dfP7/Qef/9GztPIvUuVBS7sCufaIrB3rhrFB8Ds7jowG5kbvZ27whhmjKKv1KSERyVWvdv&#10;saEY2EbMig2tNwmStGBDHsz+NBg5RCbocXpRlrQ7nImjr4DqmOh8iG8kGpYuNdfKJs2ggt11iKkR&#10;qI4h6dnildI6z11b1hP46/JlmTMCatUkb4oLfrNeaM92kFYnf5kWeR6GedzaZqyi7YF1IjpKtsZm&#10;v/JHNWiGuZ3DvqUleWjn7D//2P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0ZcazNUAAAAJAQAA&#10;DwAAAAAAAAABACAAAAAiAAAAZHJzL2Rvd25yZXYueG1sUEsBAhQAFAAAAAgAh07iQOJL9g7jAQAA&#10;qwMAAA4AAAAAAAAAAQAgAAAAJAEAAGRycy9lMm9Eb2MueG1sUEsFBgAAAAAGAAYAWQEAAHkFAAAA&#10;AA==&#10;">
                <v:fill on="f" focussize="0,0"/>
                <v:stroke weight="1.5pt" color="#000000" joinstyle="round"/>
                <v:imagedata o:title=""/>
                <o:lock v:ext="edit" aspectratio="f"/>
                <w10:wrap type="square"/>
              </v:line>
            </w:pict>
          </mc:Fallback>
        </mc:AlternateContent>
      </w:r>
    </w:p>
    <w:sectPr>
      <w:headerReference r:id="rId9" w:type="default"/>
      <w:footerReference r:id="rId11" w:type="default"/>
      <w:headerReference r:id="rId10" w:type="even"/>
      <w:footerReference r:id="rId12" w:type="even"/>
      <w:pgSz w:w="11907" w:h="16839"/>
      <w:pgMar w:top="1418" w:right="1134" w:bottom="1134" w:left="1418" w:header="1418" w:footer="85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6"/>
      <w:rPr>
        <w:rStyle w:val="37"/>
      </w:rPr>
    </w:pPr>
    <w:r>
      <w:rPr>
        <w:sz w:val="18"/>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6"/>
                          </w:pPr>
                          <w:r>
                            <w:fldChar w:fldCharType="begin"/>
                          </w:r>
                          <w:r>
                            <w:rPr>
                              <w:rStyle w:val="37"/>
                            </w:rPr>
                            <w:instrText xml:space="preserve">PAGE  </w:instrText>
                          </w:r>
                          <w:r>
                            <w:fldChar w:fldCharType="separate"/>
                          </w:r>
                          <w:r>
                            <w:rPr>
                              <w:rStyle w:val="37"/>
                            </w:rP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6"/>
                    </w:pPr>
                    <w:r>
                      <w:fldChar w:fldCharType="begin"/>
                    </w:r>
                    <w:r>
                      <w:rPr>
                        <w:rStyle w:val="37"/>
                      </w:rPr>
                      <w:instrText xml:space="preserve">PAGE  </w:instrText>
                    </w:r>
                    <w:r>
                      <w:fldChar w:fldCharType="separate"/>
                    </w:r>
                    <w:r>
                      <w:rPr>
                        <w:rStyle w:val="37"/>
                      </w:rPr>
                      <w:t>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Style w:val="37"/>
      </w:rPr>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1"/>
                          </w:pPr>
                          <w:r>
                            <w:fldChar w:fldCharType="begin"/>
                          </w:r>
                          <w:r>
                            <w:rPr>
                              <w:rStyle w:val="37"/>
                            </w:rPr>
                            <w:instrText xml:space="preserve">PAGE  </w:instrText>
                          </w:r>
                          <w:r>
                            <w:fldChar w:fldCharType="separate"/>
                          </w:r>
                          <w:r>
                            <w:rPr>
                              <w:rStyle w:val="37"/>
                            </w:rPr>
                            <w:t>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1"/>
                    </w:pPr>
                    <w:r>
                      <w:fldChar w:fldCharType="begin"/>
                    </w:r>
                    <w:r>
                      <w:rPr>
                        <w:rStyle w:val="37"/>
                      </w:rPr>
                      <w:instrText xml:space="preserve">PAGE  </w:instrText>
                    </w:r>
                    <w:r>
                      <w:fldChar w:fldCharType="separate"/>
                    </w:r>
                    <w:r>
                      <w:rPr>
                        <w:rStyle w:val="37"/>
                      </w:rPr>
                      <w:t>II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6"/>
      <w:rPr>
        <w:rStyle w:val="37"/>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6"/>
                          </w:pPr>
                          <w:r>
                            <w:fldChar w:fldCharType="begin"/>
                          </w:r>
                          <w:r>
                            <w:rPr>
                              <w:rStyle w:val="37"/>
                            </w:rPr>
                            <w:instrText xml:space="preserve">PAGE  </w:instrText>
                          </w:r>
                          <w:r>
                            <w:fldChar w:fldCharType="separate"/>
                          </w:r>
                          <w:r>
                            <w:rPr>
                              <w:rStyle w:val="37"/>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76"/>
                    </w:pPr>
                    <w:r>
                      <w:fldChar w:fldCharType="begin"/>
                    </w:r>
                    <w:r>
                      <w:rPr>
                        <w:rStyle w:val="37"/>
                      </w:rPr>
                      <w:instrText xml:space="preserve">PAGE  </w:instrText>
                    </w:r>
                    <w:r>
                      <w:fldChar w:fldCharType="separate"/>
                    </w:r>
                    <w:r>
                      <w:rPr>
                        <w:rStyle w:val="37"/>
                      </w:rPr>
                      <w:t>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rPr>
        <w:rStyle w:val="37"/>
      </w:rPr>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1"/>
                          </w:pPr>
                          <w:r>
                            <w:fldChar w:fldCharType="begin"/>
                          </w:r>
                          <w:r>
                            <w:rPr>
                              <w:rStyle w:val="37"/>
                            </w:rPr>
                            <w:instrText xml:space="preserve">PAGE  </w:instrText>
                          </w:r>
                          <w:r>
                            <w:fldChar w:fldCharType="separate"/>
                          </w:r>
                          <w:r>
                            <w:rPr>
                              <w:rStyle w:val="37"/>
                            </w:rPr>
                            <w:t>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1"/>
                    </w:pPr>
                    <w:r>
                      <w:fldChar w:fldCharType="begin"/>
                    </w:r>
                    <w:r>
                      <w:rPr>
                        <w:rStyle w:val="37"/>
                      </w:rPr>
                      <w:instrText xml:space="preserve">PAGE  </w:instrText>
                    </w:r>
                    <w:r>
                      <w:fldChar w:fldCharType="separate"/>
                    </w:r>
                    <w:r>
                      <w:rPr>
                        <w:rStyle w:val="37"/>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pPr>
    <w:r>
      <w:t>GB/T ××××—200×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6"/>
    </w:pPr>
    <w:r>
      <w:t>GB/T ××××—200×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7"/>
      <w:spacing w:after="0"/>
      <w:rPr>
        <w:rFonts w:hint="eastAsia" w:ascii="黑体" w:hAnsi="黑体" w:eastAsia="黑体"/>
      </w:rPr>
    </w:pPr>
    <w:r>
      <w:rPr>
        <w:rFonts w:ascii="黑体" w:hAnsi="黑体" w:eastAsia="黑体"/>
      </w:rPr>
      <w:t>GB/T XXXX—202X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6"/>
      <w:spacing w:after="0"/>
      <w:rPr>
        <w:rFonts w:hint="eastAsia" w:ascii="黑体" w:hAnsi="黑体" w:eastAsia="黑体"/>
      </w:rPr>
    </w:pPr>
    <w:r>
      <w:rPr>
        <w:rFonts w:ascii="黑体" w:hAnsi="黑体" w:eastAsia="黑体"/>
      </w:rPr>
      <w:t>GB/T XXXX—202X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54C74D"/>
    <w:multiLevelType w:val="multilevel"/>
    <w:tmpl w:val="A054C74D"/>
    <w:lvl w:ilvl="0" w:tentative="0">
      <w:start w:val="1"/>
      <w:numFmt w:val="decimal"/>
      <w:lvlText w:val="%1"/>
      <w:lvlJc w:val="left"/>
      <w:pPr>
        <w:tabs>
          <w:tab w:val="left" w:pos="360"/>
        </w:tabs>
        <w:ind w:left="360" w:hanging="360"/>
      </w:pPr>
      <w:rPr>
        <w:rFonts w:hint="default"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E90852AD"/>
    <w:multiLevelType w:val="multilevel"/>
    <w:tmpl w:val="E90852AD"/>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130"/>
      <w:suff w:val="nothing"/>
      <w:lvlText w:val="%1.%2　"/>
      <w:lvlJc w:val="left"/>
      <w:pPr>
        <w:tabs>
          <w:tab w:val="left" w:pos="0"/>
        </w:tabs>
        <w:ind w:left="0" w:firstLine="0"/>
      </w:pPr>
      <w:rPr>
        <w:rFonts w:hint="default" w:ascii="黑体" w:hAnsi="Times New Roman" w:eastAsia="黑体"/>
        <w:b w:val="0"/>
        <w:i w:val="0"/>
        <w:snapToGrid/>
        <w:spacing w:val="0"/>
        <w:w w:val="100"/>
        <w:kern w:val="21"/>
        <w:sz w:val="21"/>
      </w:rPr>
    </w:lvl>
    <w:lvl w:ilvl="2" w:tentative="0">
      <w:start w:val="1"/>
      <w:numFmt w:val="decimal"/>
      <w:pStyle w:val="129"/>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A.7.%4"/>
      <w:lvlJc w:val="left"/>
      <w:pPr>
        <w:tabs>
          <w:tab w:val="left" w:pos="0"/>
        </w:tabs>
        <w:ind w:left="0" w:firstLine="0"/>
      </w:pPr>
      <w:rPr>
        <w:rFonts w:hint="default" w:ascii="黑体" w:hAnsi="黑体" w:eastAsia="黑体" w:cs="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4"/>
      <w:suff w:val="nothing"/>
      <w:lvlText w:val="%1%2.%3　"/>
      <w:lvlJc w:val="left"/>
      <w:pPr>
        <w:ind w:left="0" w:firstLine="0"/>
      </w:pPr>
      <w:rPr>
        <w:rFonts w:hint="eastAsia" w:ascii="黑体" w:hAnsi="Times New Roman" w:eastAsia="黑体"/>
        <w:b w:val="0"/>
        <w:i w:val="0"/>
        <w:sz w:val="21"/>
      </w:rPr>
    </w:lvl>
    <w:lvl w:ilvl="3" w:tentative="0">
      <w:start w:val="1"/>
      <w:numFmt w:val="decimal"/>
      <w:pStyle w:val="91"/>
      <w:suff w:val="nothing"/>
      <w:lvlText w:val="%1%2.%3.%4　"/>
      <w:lvlJc w:val="left"/>
      <w:pPr>
        <w:ind w:left="0" w:firstLine="0"/>
      </w:pPr>
      <w:rPr>
        <w:rFonts w:hint="eastAsia" w:ascii="黑体" w:hAnsi="Times New Roman" w:eastAsia="黑体"/>
        <w:b w:val="0"/>
        <w:i w:val="0"/>
        <w:sz w:val="21"/>
      </w:rPr>
    </w:lvl>
    <w:lvl w:ilvl="4" w:tentative="0">
      <w:start w:val="1"/>
      <w:numFmt w:val="decimal"/>
      <w:pStyle w:val="112"/>
      <w:suff w:val="nothing"/>
      <w:lvlText w:val="%1%2.%3.%4.%5　"/>
      <w:lvlJc w:val="left"/>
      <w:pPr>
        <w:ind w:left="0" w:firstLine="0"/>
      </w:pPr>
      <w:rPr>
        <w:rFonts w:hint="eastAsia" w:ascii="黑体" w:hAnsi="Times New Roman" w:eastAsia="黑体"/>
        <w:b w:val="0"/>
        <w:i w:val="0"/>
        <w:sz w:val="21"/>
      </w:rPr>
    </w:lvl>
    <w:lvl w:ilvl="5" w:tentative="0">
      <w:start w:val="1"/>
      <w:numFmt w:val="decimal"/>
      <w:pStyle w:val="99"/>
      <w:suff w:val="nothing"/>
      <w:lvlText w:val="%1%2.%3.%4.%5.%6　"/>
      <w:lvlJc w:val="left"/>
      <w:pPr>
        <w:ind w:left="0" w:firstLine="0"/>
      </w:pPr>
      <w:rPr>
        <w:rFonts w:hint="eastAsia" w:ascii="黑体" w:hAnsi="Times New Roman" w:eastAsia="黑体"/>
        <w:b w:val="0"/>
        <w:i w:val="0"/>
        <w:sz w:val="21"/>
      </w:rPr>
    </w:lvl>
    <w:lvl w:ilvl="6" w:tentative="0">
      <w:start w:val="1"/>
      <w:numFmt w:val="decimal"/>
      <w:pStyle w:val="11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AE367E9"/>
    <w:multiLevelType w:val="multilevel"/>
    <w:tmpl w:val="0AE367E9"/>
    <w:lvl w:ilvl="0" w:tentative="0">
      <w:start w:val="1"/>
      <w:numFmt w:val="none"/>
      <w:pStyle w:val="96"/>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07E65F9"/>
    <w:multiLevelType w:val="multilevel"/>
    <w:tmpl w:val="407E65F9"/>
    <w:lvl w:ilvl="0" w:tentative="0">
      <w:start w:val="1"/>
      <w:numFmt w:val="none"/>
      <w:pStyle w:val="102"/>
      <w:lvlText w:val="%1·　"/>
      <w:lvlJc w:val="left"/>
      <w:pPr>
        <w:tabs>
          <w:tab w:val="left" w:pos="1140"/>
        </w:tabs>
        <w:ind w:left="737" w:hanging="317"/>
      </w:pPr>
      <w:rPr>
        <w:rFonts w:hint="eastAsia" w:ascii="宋体" w:hAnsi="Times New Roman" w:eastAsia="宋体"/>
        <w:b w:val="0"/>
        <w:i w:val="0"/>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496E4D7B"/>
    <w:multiLevelType w:val="multilevel"/>
    <w:tmpl w:val="496E4D7B"/>
    <w:lvl w:ilvl="0" w:tentative="0">
      <w:start w:val="1"/>
      <w:numFmt w:val="none"/>
      <w:pStyle w:val="73"/>
      <w:lvlText w:val="%1注"/>
      <w:lvlJc w:val="left"/>
      <w:pPr>
        <w:tabs>
          <w:tab w:val="left" w:pos="900"/>
        </w:tabs>
        <w:ind w:left="900" w:hanging="50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557C2AF5"/>
    <w:multiLevelType w:val="multilevel"/>
    <w:tmpl w:val="557C2AF5"/>
    <w:lvl w:ilvl="0" w:tentative="0">
      <w:start w:val="1"/>
      <w:numFmt w:val="decimal"/>
      <w:pStyle w:val="108"/>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646260FA"/>
    <w:multiLevelType w:val="multilevel"/>
    <w:tmpl w:val="646260FA"/>
    <w:lvl w:ilvl="0" w:tentative="0">
      <w:start w:val="1"/>
      <w:numFmt w:val="decimal"/>
      <w:pStyle w:val="93"/>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657D3FBC"/>
    <w:multiLevelType w:val="multilevel"/>
    <w:tmpl w:val="657D3FBC"/>
    <w:lvl w:ilvl="0" w:tentative="0">
      <w:start w:val="1"/>
      <w:numFmt w:val="upperLetter"/>
      <w:pStyle w:val="116"/>
      <w:suff w:val="nothing"/>
      <w:lvlText w:val="附　录　%1"/>
      <w:lvlJc w:val="left"/>
      <w:pPr>
        <w:ind w:left="0" w:firstLine="0"/>
      </w:pPr>
      <w:rPr>
        <w:rFonts w:hint="eastAsia" w:ascii="黑体" w:hAnsi="Times New Roman" w:eastAsia="黑体"/>
        <w:b w:val="0"/>
        <w:i w:val="0"/>
        <w:sz w:val="21"/>
      </w:rPr>
    </w:lvl>
    <w:lvl w:ilvl="1" w:tentative="0">
      <w:start w:val="1"/>
      <w:numFmt w:val="decimal"/>
      <w:pStyle w:val="6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65"/>
      <w:suff w:val="nothing"/>
      <w:lvlText w:val="%1.%2.%3　"/>
      <w:lvlJc w:val="left"/>
      <w:pPr>
        <w:ind w:left="0" w:firstLine="0"/>
      </w:pPr>
      <w:rPr>
        <w:rFonts w:hint="eastAsia" w:ascii="黑体" w:hAnsi="Times New Roman" w:eastAsia="黑体"/>
        <w:b w:val="0"/>
        <w:i w:val="0"/>
        <w:sz w:val="21"/>
      </w:rPr>
    </w:lvl>
    <w:lvl w:ilvl="3" w:tentative="0">
      <w:start w:val="1"/>
      <w:numFmt w:val="decimal"/>
      <w:pStyle w:val="64"/>
      <w:suff w:val="nothing"/>
      <w:lvlText w:val="%1.%2.%3.%4　"/>
      <w:lvlJc w:val="left"/>
      <w:pPr>
        <w:ind w:left="0" w:firstLine="0"/>
      </w:pPr>
      <w:rPr>
        <w:rFonts w:hint="eastAsia" w:ascii="黑体" w:hAnsi="Times New Roman" w:eastAsia="黑体"/>
        <w:b w:val="0"/>
        <w:i w:val="0"/>
        <w:sz w:val="21"/>
      </w:rPr>
    </w:lvl>
    <w:lvl w:ilvl="4" w:tentative="0">
      <w:start w:val="1"/>
      <w:numFmt w:val="decimal"/>
      <w:pStyle w:val="72"/>
      <w:suff w:val="nothing"/>
      <w:lvlText w:val="%1.%2.%3.%4.%5　"/>
      <w:lvlJc w:val="left"/>
      <w:pPr>
        <w:ind w:left="0" w:firstLine="0"/>
      </w:pPr>
      <w:rPr>
        <w:rFonts w:hint="eastAsia" w:ascii="黑体" w:hAnsi="Times New Roman" w:eastAsia="黑体"/>
        <w:b w:val="0"/>
        <w:i w:val="0"/>
        <w:sz w:val="21"/>
      </w:rPr>
    </w:lvl>
    <w:lvl w:ilvl="5" w:tentative="0">
      <w:start w:val="1"/>
      <w:numFmt w:val="decimal"/>
      <w:pStyle w:val="71"/>
      <w:suff w:val="nothing"/>
      <w:lvlText w:val="%1.%2.%3.%4.%5.%6　"/>
      <w:lvlJc w:val="left"/>
      <w:pPr>
        <w:ind w:left="0" w:firstLine="0"/>
      </w:pPr>
      <w:rPr>
        <w:rFonts w:hint="eastAsia" w:ascii="黑体" w:hAnsi="Times New Roman" w:eastAsia="黑体"/>
        <w:b w:val="0"/>
        <w:i w:val="0"/>
        <w:sz w:val="21"/>
      </w:rPr>
    </w:lvl>
    <w:lvl w:ilvl="6" w:tentative="0">
      <w:start w:val="1"/>
      <w:numFmt w:val="decimal"/>
      <w:pStyle w:val="103"/>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6BE73FFC"/>
    <w:multiLevelType w:val="multilevel"/>
    <w:tmpl w:val="6BE73FFC"/>
    <w:lvl w:ilvl="0" w:tentative="0">
      <w:start w:val="1"/>
      <w:numFmt w:val="decimal"/>
      <w:lvlText w:val="%1"/>
      <w:lvlJc w:val="left"/>
      <w:pPr>
        <w:tabs>
          <w:tab w:val="left" w:pos="360"/>
        </w:tabs>
        <w:ind w:left="360" w:hanging="360"/>
      </w:pPr>
      <w:rPr>
        <w:rFonts w:hint="default"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6CEA2025"/>
    <w:multiLevelType w:val="multilevel"/>
    <w:tmpl w:val="6CEA2025"/>
    <w:lvl w:ilvl="0" w:tentative="0">
      <w:start w:val="1"/>
      <w:numFmt w:val="none"/>
      <w:pStyle w:val="79"/>
      <w:suff w:val="nothing"/>
      <w:lvlText w:val="%1"/>
      <w:lvlJc w:val="left"/>
      <w:pPr>
        <w:ind w:left="0" w:firstLine="0"/>
      </w:pPr>
      <w:rPr>
        <w:rFonts w:hint="default" w:ascii="Times New Roman" w:hAnsi="Times New Roman"/>
        <w:b/>
        <w:i w:val="0"/>
        <w:sz w:val="21"/>
      </w:rPr>
    </w:lvl>
    <w:lvl w:ilvl="1" w:tentative="0">
      <w:start w:val="1"/>
      <w:numFmt w:val="decimal"/>
      <w:pStyle w:val="80"/>
      <w:suff w:val="nothing"/>
      <w:lvlText w:val="%1%2　"/>
      <w:lvlJc w:val="left"/>
      <w:pPr>
        <w:ind w:left="210" w:firstLine="0"/>
      </w:pPr>
      <w:rPr>
        <w:rFonts w:hint="eastAsia" w:ascii="黑体" w:hAnsi="Times New Roman" w:eastAsia="黑体"/>
        <w:b w:val="0"/>
        <w:i w:val="0"/>
        <w:sz w:val="21"/>
      </w:rPr>
    </w:lvl>
    <w:lvl w:ilvl="2" w:tentative="0">
      <w:start w:val="1"/>
      <w:numFmt w:val="decimal"/>
      <w:suff w:val="nothing"/>
      <w:lvlText w:val="%1%2.%3　"/>
      <w:lvlJc w:val="left"/>
      <w:pPr>
        <w:ind w:left="210" w:firstLine="0"/>
      </w:pPr>
      <w:rPr>
        <w:rFonts w:hint="eastAsia" w:ascii="黑体" w:hAnsi="Times New Roman" w:eastAsia="黑体"/>
        <w:b w:val="0"/>
        <w:i w:val="0"/>
        <w:sz w:val="21"/>
      </w:rPr>
    </w:lvl>
    <w:lvl w:ilvl="3" w:tentative="0">
      <w:start w:val="1"/>
      <w:numFmt w:val="decimal"/>
      <w:suff w:val="nothing"/>
      <w:lvlText w:val="%1%2.%3.%4　"/>
      <w:lvlJc w:val="left"/>
      <w:pPr>
        <w:ind w:left="73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6DBF04F4"/>
    <w:multiLevelType w:val="multilevel"/>
    <w:tmpl w:val="6DBF04F4"/>
    <w:lvl w:ilvl="0" w:tentative="0">
      <w:start w:val="1"/>
      <w:numFmt w:val="none"/>
      <w:pStyle w:val="75"/>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76933334"/>
    <w:multiLevelType w:val="multilevel"/>
    <w:tmpl w:val="76933334"/>
    <w:lvl w:ilvl="0" w:tentative="0">
      <w:start w:val="1"/>
      <w:numFmt w:val="none"/>
      <w:pStyle w:val="95"/>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5"/>
  </w:num>
  <w:num w:numId="3">
    <w:abstractNumId w:val="11"/>
  </w:num>
  <w:num w:numId="4">
    <w:abstractNumId w:val="10"/>
  </w:num>
  <w:num w:numId="5">
    <w:abstractNumId w:val="2"/>
  </w:num>
  <w:num w:numId="6">
    <w:abstractNumId w:val="7"/>
  </w:num>
  <w:num w:numId="7">
    <w:abstractNumId w:val="12"/>
  </w:num>
  <w:num w:numId="8">
    <w:abstractNumId w:val="3"/>
  </w:num>
  <w:num w:numId="9">
    <w:abstractNumId w:val="4"/>
  </w:num>
  <w:num w:numId="10">
    <w:abstractNumId w:val="6"/>
  </w:num>
  <w:num w:numId="11">
    <w:abstractNumId w:val="1"/>
  </w:num>
  <w:num w:numId="12">
    <w:abstractNumId w:val="9"/>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42"/>
  <w:drawingGridVerticalSpacing w:val="156"/>
  <w:noPunctuationKerning w:val="1"/>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Q4ZTZiYmUxNjgyYmVmMDM3YzM3OTA5NDgwODhiZjAifQ=="/>
  </w:docVars>
  <w:rsids>
    <w:rsidRoot w:val="00172A27"/>
    <w:rsid w:val="00000F9B"/>
    <w:rsid w:val="00002610"/>
    <w:rsid w:val="0000344F"/>
    <w:rsid w:val="00005240"/>
    <w:rsid w:val="00006637"/>
    <w:rsid w:val="00006808"/>
    <w:rsid w:val="00010DD4"/>
    <w:rsid w:val="000120D5"/>
    <w:rsid w:val="00014739"/>
    <w:rsid w:val="00023099"/>
    <w:rsid w:val="00026D24"/>
    <w:rsid w:val="00031E13"/>
    <w:rsid w:val="000325A2"/>
    <w:rsid w:val="000365E4"/>
    <w:rsid w:val="000453C5"/>
    <w:rsid w:val="00050BC5"/>
    <w:rsid w:val="00051966"/>
    <w:rsid w:val="00052595"/>
    <w:rsid w:val="00053F77"/>
    <w:rsid w:val="00054F92"/>
    <w:rsid w:val="0005546F"/>
    <w:rsid w:val="00057184"/>
    <w:rsid w:val="0006798F"/>
    <w:rsid w:val="00072C0B"/>
    <w:rsid w:val="00077F3F"/>
    <w:rsid w:val="000851A7"/>
    <w:rsid w:val="00085B2B"/>
    <w:rsid w:val="000B3B88"/>
    <w:rsid w:val="000B6052"/>
    <w:rsid w:val="000B68CE"/>
    <w:rsid w:val="000C0E23"/>
    <w:rsid w:val="000C4341"/>
    <w:rsid w:val="000C4DD3"/>
    <w:rsid w:val="000C700F"/>
    <w:rsid w:val="000C7A03"/>
    <w:rsid w:val="000D3A7A"/>
    <w:rsid w:val="000D6133"/>
    <w:rsid w:val="000E1842"/>
    <w:rsid w:val="000E2F46"/>
    <w:rsid w:val="000E45EE"/>
    <w:rsid w:val="000F2B8D"/>
    <w:rsid w:val="000F3718"/>
    <w:rsid w:val="000F4658"/>
    <w:rsid w:val="000F4D50"/>
    <w:rsid w:val="000F7E42"/>
    <w:rsid w:val="00104D9F"/>
    <w:rsid w:val="00104E6D"/>
    <w:rsid w:val="00107780"/>
    <w:rsid w:val="00107891"/>
    <w:rsid w:val="00110FD7"/>
    <w:rsid w:val="00113D86"/>
    <w:rsid w:val="00124CE5"/>
    <w:rsid w:val="001266A3"/>
    <w:rsid w:val="00130B78"/>
    <w:rsid w:val="00137C3F"/>
    <w:rsid w:val="00141917"/>
    <w:rsid w:val="00141EB1"/>
    <w:rsid w:val="0015158E"/>
    <w:rsid w:val="00155929"/>
    <w:rsid w:val="0016744F"/>
    <w:rsid w:val="00167C46"/>
    <w:rsid w:val="00167E30"/>
    <w:rsid w:val="00167EDE"/>
    <w:rsid w:val="001706F0"/>
    <w:rsid w:val="00170EC5"/>
    <w:rsid w:val="00172A27"/>
    <w:rsid w:val="00175F26"/>
    <w:rsid w:val="001820CD"/>
    <w:rsid w:val="00183043"/>
    <w:rsid w:val="00186889"/>
    <w:rsid w:val="0018793E"/>
    <w:rsid w:val="00190EF5"/>
    <w:rsid w:val="001A1245"/>
    <w:rsid w:val="001A12B6"/>
    <w:rsid w:val="001A305E"/>
    <w:rsid w:val="001A501E"/>
    <w:rsid w:val="001A739B"/>
    <w:rsid w:val="001A73D0"/>
    <w:rsid w:val="001A7479"/>
    <w:rsid w:val="001B3C18"/>
    <w:rsid w:val="001D241E"/>
    <w:rsid w:val="001D2F28"/>
    <w:rsid w:val="001D720C"/>
    <w:rsid w:val="001E2171"/>
    <w:rsid w:val="001E272B"/>
    <w:rsid w:val="001E473E"/>
    <w:rsid w:val="001E697D"/>
    <w:rsid w:val="001F5842"/>
    <w:rsid w:val="001F63E7"/>
    <w:rsid w:val="0020151E"/>
    <w:rsid w:val="002030FF"/>
    <w:rsid w:val="00205161"/>
    <w:rsid w:val="00205424"/>
    <w:rsid w:val="00207958"/>
    <w:rsid w:val="00211DA8"/>
    <w:rsid w:val="00214B0D"/>
    <w:rsid w:val="002217F4"/>
    <w:rsid w:val="00230428"/>
    <w:rsid w:val="002350C0"/>
    <w:rsid w:val="002374C4"/>
    <w:rsid w:val="00237B03"/>
    <w:rsid w:val="002412C5"/>
    <w:rsid w:val="0024638D"/>
    <w:rsid w:val="00246E93"/>
    <w:rsid w:val="00247081"/>
    <w:rsid w:val="00247556"/>
    <w:rsid w:val="0025020D"/>
    <w:rsid w:val="002519E4"/>
    <w:rsid w:val="00252249"/>
    <w:rsid w:val="0025275C"/>
    <w:rsid w:val="00256AE2"/>
    <w:rsid w:val="0026180E"/>
    <w:rsid w:val="00261F97"/>
    <w:rsid w:val="00262018"/>
    <w:rsid w:val="00264601"/>
    <w:rsid w:val="002702F9"/>
    <w:rsid w:val="00272AFA"/>
    <w:rsid w:val="00274085"/>
    <w:rsid w:val="0028381C"/>
    <w:rsid w:val="00284876"/>
    <w:rsid w:val="00284F26"/>
    <w:rsid w:val="00287FD1"/>
    <w:rsid w:val="00291190"/>
    <w:rsid w:val="002931DC"/>
    <w:rsid w:val="002972EC"/>
    <w:rsid w:val="002A6472"/>
    <w:rsid w:val="002A687E"/>
    <w:rsid w:val="002C2ADD"/>
    <w:rsid w:val="002C7CC8"/>
    <w:rsid w:val="002D0692"/>
    <w:rsid w:val="002D54FB"/>
    <w:rsid w:val="002F04F9"/>
    <w:rsid w:val="002F3385"/>
    <w:rsid w:val="002F33BD"/>
    <w:rsid w:val="002F6208"/>
    <w:rsid w:val="003026AB"/>
    <w:rsid w:val="0030573C"/>
    <w:rsid w:val="003119D4"/>
    <w:rsid w:val="00315FF9"/>
    <w:rsid w:val="00320263"/>
    <w:rsid w:val="00322888"/>
    <w:rsid w:val="00323663"/>
    <w:rsid w:val="00344BE8"/>
    <w:rsid w:val="003538D0"/>
    <w:rsid w:val="00355187"/>
    <w:rsid w:val="00356BB4"/>
    <w:rsid w:val="00360B74"/>
    <w:rsid w:val="00361572"/>
    <w:rsid w:val="00361FAA"/>
    <w:rsid w:val="003676D6"/>
    <w:rsid w:val="003721DF"/>
    <w:rsid w:val="003721F7"/>
    <w:rsid w:val="00373CAB"/>
    <w:rsid w:val="00373FB7"/>
    <w:rsid w:val="00377C23"/>
    <w:rsid w:val="00385B77"/>
    <w:rsid w:val="00391805"/>
    <w:rsid w:val="00392F61"/>
    <w:rsid w:val="00394D3D"/>
    <w:rsid w:val="0039612B"/>
    <w:rsid w:val="003A0401"/>
    <w:rsid w:val="003A1377"/>
    <w:rsid w:val="003A64F1"/>
    <w:rsid w:val="003B0D6A"/>
    <w:rsid w:val="003C2AD7"/>
    <w:rsid w:val="003C4055"/>
    <w:rsid w:val="003C5009"/>
    <w:rsid w:val="003C6262"/>
    <w:rsid w:val="003D0447"/>
    <w:rsid w:val="003D0751"/>
    <w:rsid w:val="003D2ED5"/>
    <w:rsid w:val="003E1FE6"/>
    <w:rsid w:val="003E24C6"/>
    <w:rsid w:val="003E374D"/>
    <w:rsid w:val="003F416A"/>
    <w:rsid w:val="003F5B0E"/>
    <w:rsid w:val="003F7E93"/>
    <w:rsid w:val="0040450D"/>
    <w:rsid w:val="0040570A"/>
    <w:rsid w:val="00407CF0"/>
    <w:rsid w:val="00415E4E"/>
    <w:rsid w:val="00422292"/>
    <w:rsid w:val="00422E92"/>
    <w:rsid w:val="00422FF6"/>
    <w:rsid w:val="0042736B"/>
    <w:rsid w:val="00427B74"/>
    <w:rsid w:val="004305EC"/>
    <w:rsid w:val="00431D08"/>
    <w:rsid w:val="0044118E"/>
    <w:rsid w:val="0045211B"/>
    <w:rsid w:val="00454066"/>
    <w:rsid w:val="00455C94"/>
    <w:rsid w:val="00456E51"/>
    <w:rsid w:val="00457265"/>
    <w:rsid w:val="00460FEF"/>
    <w:rsid w:val="0046470E"/>
    <w:rsid w:val="004676BA"/>
    <w:rsid w:val="00474055"/>
    <w:rsid w:val="00480415"/>
    <w:rsid w:val="004875B5"/>
    <w:rsid w:val="00490AFF"/>
    <w:rsid w:val="00494988"/>
    <w:rsid w:val="00497141"/>
    <w:rsid w:val="00497F56"/>
    <w:rsid w:val="004A0D2E"/>
    <w:rsid w:val="004A1F38"/>
    <w:rsid w:val="004A20BC"/>
    <w:rsid w:val="004A4B00"/>
    <w:rsid w:val="004A7F30"/>
    <w:rsid w:val="004B0FBE"/>
    <w:rsid w:val="004B2895"/>
    <w:rsid w:val="004B3C64"/>
    <w:rsid w:val="004B3DDE"/>
    <w:rsid w:val="004B5937"/>
    <w:rsid w:val="004B5F26"/>
    <w:rsid w:val="004C55A3"/>
    <w:rsid w:val="004C77D5"/>
    <w:rsid w:val="004D127D"/>
    <w:rsid w:val="004D40FF"/>
    <w:rsid w:val="004D50E4"/>
    <w:rsid w:val="004D6B6D"/>
    <w:rsid w:val="004E1629"/>
    <w:rsid w:val="004E18E7"/>
    <w:rsid w:val="004E35CE"/>
    <w:rsid w:val="004E5327"/>
    <w:rsid w:val="004E711D"/>
    <w:rsid w:val="004E795C"/>
    <w:rsid w:val="004F2E14"/>
    <w:rsid w:val="004F378F"/>
    <w:rsid w:val="004F4143"/>
    <w:rsid w:val="004F5448"/>
    <w:rsid w:val="00504E87"/>
    <w:rsid w:val="005055F0"/>
    <w:rsid w:val="00505F45"/>
    <w:rsid w:val="00506313"/>
    <w:rsid w:val="00521432"/>
    <w:rsid w:val="00522AEE"/>
    <w:rsid w:val="005247F2"/>
    <w:rsid w:val="00524BF5"/>
    <w:rsid w:val="00526A44"/>
    <w:rsid w:val="005271E7"/>
    <w:rsid w:val="00527F29"/>
    <w:rsid w:val="00542AFE"/>
    <w:rsid w:val="0054496F"/>
    <w:rsid w:val="00547C01"/>
    <w:rsid w:val="00551884"/>
    <w:rsid w:val="00554E66"/>
    <w:rsid w:val="00563695"/>
    <w:rsid w:val="00565F26"/>
    <w:rsid w:val="00566228"/>
    <w:rsid w:val="005679C3"/>
    <w:rsid w:val="005748E3"/>
    <w:rsid w:val="00574C5F"/>
    <w:rsid w:val="00582458"/>
    <w:rsid w:val="00586781"/>
    <w:rsid w:val="005903DB"/>
    <w:rsid w:val="005922A8"/>
    <w:rsid w:val="0059772F"/>
    <w:rsid w:val="005A0F20"/>
    <w:rsid w:val="005A3F42"/>
    <w:rsid w:val="005A3FC9"/>
    <w:rsid w:val="005A648C"/>
    <w:rsid w:val="005B0C36"/>
    <w:rsid w:val="005B7330"/>
    <w:rsid w:val="005C02EC"/>
    <w:rsid w:val="005C546C"/>
    <w:rsid w:val="005D21AF"/>
    <w:rsid w:val="005D2BF3"/>
    <w:rsid w:val="005D46C6"/>
    <w:rsid w:val="005D4E07"/>
    <w:rsid w:val="005D6A93"/>
    <w:rsid w:val="005E21C7"/>
    <w:rsid w:val="005E5677"/>
    <w:rsid w:val="005E6069"/>
    <w:rsid w:val="005E660A"/>
    <w:rsid w:val="005F055D"/>
    <w:rsid w:val="005F5E9F"/>
    <w:rsid w:val="005F6B2B"/>
    <w:rsid w:val="00607440"/>
    <w:rsid w:val="00610070"/>
    <w:rsid w:val="0062560B"/>
    <w:rsid w:val="00626943"/>
    <w:rsid w:val="00630A97"/>
    <w:rsid w:val="00630F1C"/>
    <w:rsid w:val="00631A49"/>
    <w:rsid w:val="00632DE1"/>
    <w:rsid w:val="00634B6B"/>
    <w:rsid w:val="006417D4"/>
    <w:rsid w:val="006475D5"/>
    <w:rsid w:val="00650485"/>
    <w:rsid w:val="006533B2"/>
    <w:rsid w:val="00656D13"/>
    <w:rsid w:val="00661A03"/>
    <w:rsid w:val="00664FD1"/>
    <w:rsid w:val="006665CB"/>
    <w:rsid w:val="00670B3E"/>
    <w:rsid w:val="006728BE"/>
    <w:rsid w:val="00673DD1"/>
    <w:rsid w:val="006758AE"/>
    <w:rsid w:val="00676DAF"/>
    <w:rsid w:val="00683F0E"/>
    <w:rsid w:val="00684287"/>
    <w:rsid w:val="0069309D"/>
    <w:rsid w:val="006A6467"/>
    <w:rsid w:val="006A68EC"/>
    <w:rsid w:val="006B26AF"/>
    <w:rsid w:val="006B2844"/>
    <w:rsid w:val="006C1939"/>
    <w:rsid w:val="006C559D"/>
    <w:rsid w:val="006C7067"/>
    <w:rsid w:val="006C7FB3"/>
    <w:rsid w:val="006D16E8"/>
    <w:rsid w:val="006D1909"/>
    <w:rsid w:val="006D2DB7"/>
    <w:rsid w:val="006D5B27"/>
    <w:rsid w:val="006D5E7C"/>
    <w:rsid w:val="006F6361"/>
    <w:rsid w:val="006F71C7"/>
    <w:rsid w:val="00702A97"/>
    <w:rsid w:val="00702DB6"/>
    <w:rsid w:val="007051D3"/>
    <w:rsid w:val="00706CEB"/>
    <w:rsid w:val="0070742C"/>
    <w:rsid w:val="007100BC"/>
    <w:rsid w:val="00712CEE"/>
    <w:rsid w:val="00715D33"/>
    <w:rsid w:val="00717838"/>
    <w:rsid w:val="00722701"/>
    <w:rsid w:val="00723725"/>
    <w:rsid w:val="007262CC"/>
    <w:rsid w:val="0072799F"/>
    <w:rsid w:val="00727F75"/>
    <w:rsid w:val="007358FF"/>
    <w:rsid w:val="00735A77"/>
    <w:rsid w:val="007434E2"/>
    <w:rsid w:val="007551AC"/>
    <w:rsid w:val="00755392"/>
    <w:rsid w:val="00764F1E"/>
    <w:rsid w:val="00774693"/>
    <w:rsid w:val="007747BC"/>
    <w:rsid w:val="0077603E"/>
    <w:rsid w:val="00776464"/>
    <w:rsid w:val="0077687C"/>
    <w:rsid w:val="00776E92"/>
    <w:rsid w:val="007815C6"/>
    <w:rsid w:val="00783CD6"/>
    <w:rsid w:val="00785233"/>
    <w:rsid w:val="00791040"/>
    <w:rsid w:val="00792614"/>
    <w:rsid w:val="0079432C"/>
    <w:rsid w:val="00795D48"/>
    <w:rsid w:val="007A6D2F"/>
    <w:rsid w:val="007B0AAF"/>
    <w:rsid w:val="007B1630"/>
    <w:rsid w:val="007B2330"/>
    <w:rsid w:val="007B338C"/>
    <w:rsid w:val="007B4333"/>
    <w:rsid w:val="007B5D8C"/>
    <w:rsid w:val="007B63E2"/>
    <w:rsid w:val="007C25BD"/>
    <w:rsid w:val="007C63A5"/>
    <w:rsid w:val="007C6BCB"/>
    <w:rsid w:val="007C6FBB"/>
    <w:rsid w:val="007D51D0"/>
    <w:rsid w:val="007D7704"/>
    <w:rsid w:val="007E0739"/>
    <w:rsid w:val="007F16F9"/>
    <w:rsid w:val="007F3FA0"/>
    <w:rsid w:val="007F7BB1"/>
    <w:rsid w:val="007F7C1F"/>
    <w:rsid w:val="00810700"/>
    <w:rsid w:val="00811364"/>
    <w:rsid w:val="00811378"/>
    <w:rsid w:val="00812A88"/>
    <w:rsid w:val="00812E90"/>
    <w:rsid w:val="00813137"/>
    <w:rsid w:val="00823BB3"/>
    <w:rsid w:val="0082461F"/>
    <w:rsid w:val="00825DF1"/>
    <w:rsid w:val="008320D0"/>
    <w:rsid w:val="00832819"/>
    <w:rsid w:val="00835BE5"/>
    <w:rsid w:val="00836DA0"/>
    <w:rsid w:val="008376F8"/>
    <w:rsid w:val="00837BD3"/>
    <w:rsid w:val="00837DAD"/>
    <w:rsid w:val="00841088"/>
    <w:rsid w:val="008425A7"/>
    <w:rsid w:val="00845CEE"/>
    <w:rsid w:val="00846726"/>
    <w:rsid w:val="00851BA3"/>
    <w:rsid w:val="00852BB4"/>
    <w:rsid w:val="00854181"/>
    <w:rsid w:val="00856884"/>
    <w:rsid w:val="00857E6D"/>
    <w:rsid w:val="008614E3"/>
    <w:rsid w:val="00861EF9"/>
    <w:rsid w:val="00863AD9"/>
    <w:rsid w:val="00867FD1"/>
    <w:rsid w:val="00871359"/>
    <w:rsid w:val="008714F9"/>
    <w:rsid w:val="008752D3"/>
    <w:rsid w:val="00882036"/>
    <w:rsid w:val="00882545"/>
    <w:rsid w:val="00883D55"/>
    <w:rsid w:val="008929CD"/>
    <w:rsid w:val="00895991"/>
    <w:rsid w:val="008978AF"/>
    <w:rsid w:val="008A1061"/>
    <w:rsid w:val="008A36C7"/>
    <w:rsid w:val="008A379B"/>
    <w:rsid w:val="008A4F6A"/>
    <w:rsid w:val="008A50AA"/>
    <w:rsid w:val="008B2931"/>
    <w:rsid w:val="008B386B"/>
    <w:rsid w:val="008B4B1F"/>
    <w:rsid w:val="008C0B96"/>
    <w:rsid w:val="008C7C59"/>
    <w:rsid w:val="008D123C"/>
    <w:rsid w:val="008D6579"/>
    <w:rsid w:val="008D68FF"/>
    <w:rsid w:val="008D7F47"/>
    <w:rsid w:val="008E1E11"/>
    <w:rsid w:val="008E2CE4"/>
    <w:rsid w:val="008E34FA"/>
    <w:rsid w:val="008E3A49"/>
    <w:rsid w:val="008E5523"/>
    <w:rsid w:val="008E6414"/>
    <w:rsid w:val="008F357B"/>
    <w:rsid w:val="008F5811"/>
    <w:rsid w:val="00901DFE"/>
    <w:rsid w:val="00904D44"/>
    <w:rsid w:val="00906D73"/>
    <w:rsid w:val="0090722C"/>
    <w:rsid w:val="0091034B"/>
    <w:rsid w:val="0091236D"/>
    <w:rsid w:val="00913EE6"/>
    <w:rsid w:val="009231CE"/>
    <w:rsid w:val="00923284"/>
    <w:rsid w:val="009312A8"/>
    <w:rsid w:val="009333ED"/>
    <w:rsid w:val="00935104"/>
    <w:rsid w:val="00943A83"/>
    <w:rsid w:val="00945A50"/>
    <w:rsid w:val="00954B2A"/>
    <w:rsid w:val="009677B5"/>
    <w:rsid w:val="009754BD"/>
    <w:rsid w:val="00976BEC"/>
    <w:rsid w:val="009806D1"/>
    <w:rsid w:val="00982278"/>
    <w:rsid w:val="00984F1D"/>
    <w:rsid w:val="0098540A"/>
    <w:rsid w:val="0098714C"/>
    <w:rsid w:val="00992E7F"/>
    <w:rsid w:val="009962D3"/>
    <w:rsid w:val="00996482"/>
    <w:rsid w:val="00996EF0"/>
    <w:rsid w:val="009A452A"/>
    <w:rsid w:val="009A5ACA"/>
    <w:rsid w:val="009A7641"/>
    <w:rsid w:val="009B728A"/>
    <w:rsid w:val="009C2E7D"/>
    <w:rsid w:val="009D0547"/>
    <w:rsid w:val="009D2028"/>
    <w:rsid w:val="009D38C7"/>
    <w:rsid w:val="009E1020"/>
    <w:rsid w:val="009E3C46"/>
    <w:rsid w:val="009E4552"/>
    <w:rsid w:val="009F3B02"/>
    <w:rsid w:val="00A0005A"/>
    <w:rsid w:val="00A02471"/>
    <w:rsid w:val="00A0543D"/>
    <w:rsid w:val="00A0673F"/>
    <w:rsid w:val="00A07B42"/>
    <w:rsid w:val="00A10887"/>
    <w:rsid w:val="00A10E86"/>
    <w:rsid w:val="00A118E1"/>
    <w:rsid w:val="00A12F01"/>
    <w:rsid w:val="00A14DB5"/>
    <w:rsid w:val="00A160C0"/>
    <w:rsid w:val="00A172E1"/>
    <w:rsid w:val="00A21BE9"/>
    <w:rsid w:val="00A2284F"/>
    <w:rsid w:val="00A27D3D"/>
    <w:rsid w:val="00A3013A"/>
    <w:rsid w:val="00A325CA"/>
    <w:rsid w:val="00A3265D"/>
    <w:rsid w:val="00A4571D"/>
    <w:rsid w:val="00A52751"/>
    <w:rsid w:val="00A54DE1"/>
    <w:rsid w:val="00A603DC"/>
    <w:rsid w:val="00A609EA"/>
    <w:rsid w:val="00A6326D"/>
    <w:rsid w:val="00A638D7"/>
    <w:rsid w:val="00A648DF"/>
    <w:rsid w:val="00A66CD4"/>
    <w:rsid w:val="00A71D85"/>
    <w:rsid w:val="00A76F8E"/>
    <w:rsid w:val="00A77C64"/>
    <w:rsid w:val="00A77EED"/>
    <w:rsid w:val="00A81FB6"/>
    <w:rsid w:val="00A82420"/>
    <w:rsid w:val="00A852B7"/>
    <w:rsid w:val="00A86AF7"/>
    <w:rsid w:val="00A925F0"/>
    <w:rsid w:val="00A9495A"/>
    <w:rsid w:val="00AA2166"/>
    <w:rsid w:val="00AA3A62"/>
    <w:rsid w:val="00AA48EC"/>
    <w:rsid w:val="00AA7068"/>
    <w:rsid w:val="00AA7472"/>
    <w:rsid w:val="00AB4660"/>
    <w:rsid w:val="00AB5B46"/>
    <w:rsid w:val="00AC309C"/>
    <w:rsid w:val="00AC6372"/>
    <w:rsid w:val="00AC7EE8"/>
    <w:rsid w:val="00AD0400"/>
    <w:rsid w:val="00AD195C"/>
    <w:rsid w:val="00AD3362"/>
    <w:rsid w:val="00AD37B6"/>
    <w:rsid w:val="00AD4440"/>
    <w:rsid w:val="00AD45FF"/>
    <w:rsid w:val="00AD5B45"/>
    <w:rsid w:val="00AD7D0A"/>
    <w:rsid w:val="00AE29C1"/>
    <w:rsid w:val="00AE4435"/>
    <w:rsid w:val="00AF2943"/>
    <w:rsid w:val="00AF5014"/>
    <w:rsid w:val="00AF61CD"/>
    <w:rsid w:val="00B002B0"/>
    <w:rsid w:val="00B04494"/>
    <w:rsid w:val="00B06EC3"/>
    <w:rsid w:val="00B105C4"/>
    <w:rsid w:val="00B10C97"/>
    <w:rsid w:val="00B142A9"/>
    <w:rsid w:val="00B20482"/>
    <w:rsid w:val="00B217A4"/>
    <w:rsid w:val="00B223CD"/>
    <w:rsid w:val="00B227C4"/>
    <w:rsid w:val="00B25A7F"/>
    <w:rsid w:val="00B25C11"/>
    <w:rsid w:val="00B30A0D"/>
    <w:rsid w:val="00B35B0C"/>
    <w:rsid w:val="00B35B52"/>
    <w:rsid w:val="00B3661B"/>
    <w:rsid w:val="00B377FD"/>
    <w:rsid w:val="00B41B11"/>
    <w:rsid w:val="00B4378D"/>
    <w:rsid w:val="00B440A5"/>
    <w:rsid w:val="00B47C8B"/>
    <w:rsid w:val="00B55D36"/>
    <w:rsid w:val="00B60EF0"/>
    <w:rsid w:val="00B824D9"/>
    <w:rsid w:val="00B8252E"/>
    <w:rsid w:val="00B8459A"/>
    <w:rsid w:val="00B85C77"/>
    <w:rsid w:val="00B93985"/>
    <w:rsid w:val="00B9443C"/>
    <w:rsid w:val="00B94FA8"/>
    <w:rsid w:val="00BA126A"/>
    <w:rsid w:val="00BA20F1"/>
    <w:rsid w:val="00BA2F32"/>
    <w:rsid w:val="00BA3A86"/>
    <w:rsid w:val="00BB11B7"/>
    <w:rsid w:val="00BB7D3F"/>
    <w:rsid w:val="00BC50CE"/>
    <w:rsid w:val="00BC69EE"/>
    <w:rsid w:val="00BD28EA"/>
    <w:rsid w:val="00BD775F"/>
    <w:rsid w:val="00BE05EA"/>
    <w:rsid w:val="00BE3BCB"/>
    <w:rsid w:val="00BE50A3"/>
    <w:rsid w:val="00BE6377"/>
    <w:rsid w:val="00BE6C61"/>
    <w:rsid w:val="00BE7D7C"/>
    <w:rsid w:val="00BF1053"/>
    <w:rsid w:val="00BF1151"/>
    <w:rsid w:val="00BF2738"/>
    <w:rsid w:val="00C028A9"/>
    <w:rsid w:val="00C03D11"/>
    <w:rsid w:val="00C06708"/>
    <w:rsid w:val="00C157FF"/>
    <w:rsid w:val="00C160D6"/>
    <w:rsid w:val="00C2235F"/>
    <w:rsid w:val="00C23078"/>
    <w:rsid w:val="00C30693"/>
    <w:rsid w:val="00C35832"/>
    <w:rsid w:val="00C36046"/>
    <w:rsid w:val="00C4409D"/>
    <w:rsid w:val="00C5084A"/>
    <w:rsid w:val="00C513CD"/>
    <w:rsid w:val="00C52194"/>
    <w:rsid w:val="00C52BA0"/>
    <w:rsid w:val="00C64682"/>
    <w:rsid w:val="00C652CC"/>
    <w:rsid w:val="00C65BED"/>
    <w:rsid w:val="00C6722A"/>
    <w:rsid w:val="00C73A4B"/>
    <w:rsid w:val="00C73ABB"/>
    <w:rsid w:val="00C74FC4"/>
    <w:rsid w:val="00C756C4"/>
    <w:rsid w:val="00C808D7"/>
    <w:rsid w:val="00C84984"/>
    <w:rsid w:val="00C84A9B"/>
    <w:rsid w:val="00C853E1"/>
    <w:rsid w:val="00C936A2"/>
    <w:rsid w:val="00CA1959"/>
    <w:rsid w:val="00CA5A15"/>
    <w:rsid w:val="00CA714B"/>
    <w:rsid w:val="00CB06B0"/>
    <w:rsid w:val="00CB3241"/>
    <w:rsid w:val="00CB3690"/>
    <w:rsid w:val="00CB3B56"/>
    <w:rsid w:val="00CB5F61"/>
    <w:rsid w:val="00CB729D"/>
    <w:rsid w:val="00CC1FA2"/>
    <w:rsid w:val="00CD2C0A"/>
    <w:rsid w:val="00CD3599"/>
    <w:rsid w:val="00CD3AF6"/>
    <w:rsid w:val="00CD6B9F"/>
    <w:rsid w:val="00CE5529"/>
    <w:rsid w:val="00CE60E8"/>
    <w:rsid w:val="00CE712D"/>
    <w:rsid w:val="00CF0CF2"/>
    <w:rsid w:val="00CF1AC7"/>
    <w:rsid w:val="00CF22BE"/>
    <w:rsid w:val="00CF2EC3"/>
    <w:rsid w:val="00CF4C1D"/>
    <w:rsid w:val="00CF5A79"/>
    <w:rsid w:val="00CF6322"/>
    <w:rsid w:val="00CF79D5"/>
    <w:rsid w:val="00D008FD"/>
    <w:rsid w:val="00D01217"/>
    <w:rsid w:val="00D037D9"/>
    <w:rsid w:val="00D10B9F"/>
    <w:rsid w:val="00D11129"/>
    <w:rsid w:val="00D12F8B"/>
    <w:rsid w:val="00D15E99"/>
    <w:rsid w:val="00D15FDC"/>
    <w:rsid w:val="00D1764C"/>
    <w:rsid w:val="00D21260"/>
    <w:rsid w:val="00D21EB5"/>
    <w:rsid w:val="00D2683A"/>
    <w:rsid w:val="00D27F69"/>
    <w:rsid w:val="00D34C82"/>
    <w:rsid w:val="00D356A8"/>
    <w:rsid w:val="00D36FB7"/>
    <w:rsid w:val="00D377B4"/>
    <w:rsid w:val="00D4021A"/>
    <w:rsid w:val="00D40EBE"/>
    <w:rsid w:val="00D44BDD"/>
    <w:rsid w:val="00D47C57"/>
    <w:rsid w:val="00D51C55"/>
    <w:rsid w:val="00D534CB"/>
    <w:rsid w:val="00D56052"/>
    <w:rsid w:val="00D64DE4"/>
    <w:rsid w:val="00D67464"/>
    <w:rsid w:val="00D70128"/>
    <w:rsid w:val="00D779F7"/>
    <w:rsid w:val="00D77F13"/>
    <w:rsid w:val="00D83D78"/>
    <w:rsid w:val="00D83F54"/>
    <w:rsid w:val="00D850F7"/>
    <w:rsid w:val="00D85E93"/>
    <w:rsid w:val="00D92A6F"/>
    <w:rsid w:val="00D939B6"/>
    <w:rsid w:val="00D9561B"/>
    <w:rsid w:val="00D95D26"/>
    <w:rsid w:val="00DA2875"/>
    <w:rsid w:val="00DB4790"/>
    <w:rsid w:val="00DB519E"/>
    <w:rsid w:val="00DB59B5"/>
    <w:rsid w:val="00DC1B8D"/>
    <w:rsid w:val="00DC2590"/>
    <w:rsid w:val="00DD0F46"/>
    <w:rsid w:val="00DD4D22"/>
    <w:rsid w:val="00DE1125"/>
    <w:rsid w:val="00DE11C3"/>
    <w:rsid w:val="00DE15F4"/>
    <w:rsid w:val="00DE4B1A"/>
    <w:rsid w:val="00DF511D"/>
    <w:rsid w:val="00DF6E0D"/>
    <w:rsid w:val="00DF70A6"/>
    <w:rsid w:val="00E03DF1"/>
    <w:rsid w:val="00E050C4"/>
    <w:rsid w:val="00E07A71"/>
    <w:rsid w:val="00E120FE"/>
    <w:rsid w:val="00E16338"/>
    <w:rsid w:val="00E227D8"/>
    <w:rsid w:val="00E2547B"/>
    <w:rsid w:val="00E2753E"/>
    <w:rsid w:val="00E27BBD"/>
    <w:rsid w:val="00E375FF"/>
    <w:rsid w:val="00E40345"/>
    <w:rsid w:val="00E42A57"/>
    <w:rsid w:val="00E46241"/>
    <w:rsid w:val="00E472D7"/>
    <w:rsid w:val="00E47AED"/>
    <w:rsid w:val="00E51750"/>
    <w:rsid w:val="00E52AAD"/>
    <w:rsid w:val="00E535C7"/>
    <w:rsid w:val="00E56D5D"/>
    <w:rsid w:val="00E57413"/>
    <w:rsid w:val="00E577AD"/>
    <w:rsid w:val="00E61E32"/>
    <w:rsid w:val="00E62095"/>
    <w:rsid w:val="00E64E25"/>
    <w:rsid w:val="00E67C3E"/>
    <w:rsid w:val="00E8000F"/>
    <w:rsid w:val="00E82C61"/>
    <w:rsid w:val="00E873F5"/>
    <w:rsid w:val="00E94595"/>
    <w:rsid w:val="00E954F0"/>
    <w:rsid w:val="00E96103"/>
    <w:rsid w:val="00E9762D"/>
    <w:rsid w:val="00EA5FF5"/>
    <w:rsid w:val="00EB57F1"/>
    <w:rsid w:val="00EB6EF0"/>
    <w:rsid w:val="00EB7194"/>
    <w:rsid w:val="00EC23A2"/>
    <w:rsid w:val="00EC2952"/>
    <w:rsid w:val="00EC7C05"/>
    <w:rsid w:val="00ED23DF"/>
    <w:rsid w:val="00ED3113"/>
    <w:rsid w:val="00ED5AFF"/>
    <w:rsid w:val="00EE126C"/>
    <w:rsid w:val="00EE1E5D"/>
    <w:rsid w:val="00EE5E19"/>
    <w:rsid w:val="00EE7C18"/>
    <w:rsid w:val="00EF3FAF"/>
    <w:rsid w:val="00EF4DCF"/>
    <w:rsid w:val="00F00045"/>
    <w:rsid w:val="00F05E42"/>
    <w:rsid w:val="00F1031A"/>
    <w:rsid w:val="00F10A0B"/>
    <w:rsid w:val="00F1467B"/>
    <w:rsid w:val="00F17B66"/>
    <w:rsid w:val="00F23515"/>
    <w:rsid w:val="00F23AAE"/>
    <w:rsid w:val="00F33DF4"/>
    <w:rsid w:val="00F345E1"/>
    <w:rsid w:val="00F34A70"/>
    <w:rsid w:val="00F355E3"/>
    <w:rsid w:val="00F36E57"/>
    <w:rsid w:val="00F373FA"/>
    <w:rsid w:val="00F40146"/>
    <w:rsid w:val="00F42683"/>
    <w:rsid w:val="00F46509"/>
    <w:rsid w:val="00F51177"/>
    <w:rsid w:val="00F5129F"/>
    <w:rsid w:val="00F53C23"/>
    <w:rsid w:val="00F63534"/>
    <w:rsid w:val="00F72E84"/>
    <w:rsid w:val="00F73CA7"/>
    <w:rsid w:val="00F74778"/>
    <w:rsid w:val="00F749B0"/>
    <w:rsid w:val="00F80C14"/>
    <w:rsid w:val="00F8511B"/>
    <w:rsid w:val="00F85487"/>
    <w:rsid w:val="00F94CA7"/>
    <w:rsid w:val="00F97020"/>
    <w:rsid w:val="00FA105A"/>
    <w:rsid w:val="00FA6C69"/>
    <w:rsid w:val="00FB0ED7"/>
    <w:rsid w:val="00FB431E"/>
    <w:rsid w:val="00FB6B90"/>
    <w:rsid w:val="00FB7993"/>
    <w:rsid w:val="00FC2F03"/>
    <w:rsid w:val="00FD0BA3"/>
    <w:rsid w:val="00FD5EF6"/>
    <w:rsid w:val="00FE25ED"/>
    <w:rsid w:val="00FE3F6A"/>
    <w:rsid w:val="00FE5F72"/>
    <w:rsid w:val="00FE761B"/>
    <w:rsid w:val="012F49F1"/>
    <w:rsid w:val="01A909C3"/>
    <w:rsid w:val="01FE5971"/>
    <w:rsid w:val="0284231A"/>
    <w:rsid w:val="02C86511"/>
    <w:rsid w:val="02FF5E45"/>
    <w:rsid w:val="03130A11"/>
    <w:rsid w:val="033151CC"/>
    <w:rsid w:val="034E3CFA"/>
    <w:rsid w:val="03624213"/>
    <w:rsid w:val="03C03A81"/>
    <w:rsid w:val="04022EE3"/>
    <w:rsid w:val="045126D0"/>
    <w:rsid w:val="04B06F7E"/>
    <w:rsid w:val="04D478DD"/>
    <w:rsid w:val="053A63E8"/>
    <w:rsid w:val="055958D4"/>
    <w:rsid w:val="058645FB"/>
    <w:rsid w:val="070A7384"/>
    <w:rsid w:val="075A39BB"/>
    <w:rsid w:val="07DD5238"/>
    <w:rsid w:val="07E13D6B"/>
    <w:rsid w:val="085253DE"/>
    <w:rsid w:val="08B9458B"/>
    <w:rsid w:val="08F54642"/>
    <w:rsid w:val="0A0C2682"/>
    <w:rsid w:val="0A245A06"/>
    <w:rsid w:val="0A2E0071"/>
    <w:rsid w:val="0A4860CC"/>
    <w:rsid w:val="0A5B477B"/>
    <w:rsid w:val="0AA3245D"/>
    <w:rsid w:val="0AA32563"/>
    <w:rsid w:val="0B000DC4"/>
    <w:rsid w:val="0B11222D"/>
    <w:rsid w:val="0BAD28E2"/>
    <w:rsid w:val="0BCD2AA3"/>
    <w:rsid w:val="0BDE2A9B"/>
    <w:rsid w:val="0D183D8B"/>
    <w:rsid w:val="0D911039"/>
    <w:rsid w:val="0D9A270D"/>
    <w:rsid w:val="0DE23C94"/>
    <w:rsid w:val="0DFB62F4"/>
    <w:rsid w:val="0E7715C8"/>
    <w:rsid w:val="0F8525C7"/>
    <w:rsid w:val="0F8E1F32"/>
    <w:rsid w:val="0FA86370"/>
    <w:rsid w:val="0FAD1102"/>
    <w:rsid w:val="0FCE263A"/>
    <w:rsid w:val="0FFD0285"/>
    <w:rsid w:val="105E23FD"/>
    <w:rsid w:val="10C14D88"/>
    <w:rsid w:val="11742175"/>
    <w:rsid w:val="1210719E"/>
    <w:rsid w:val="12534B7F"/>
    <w:rsid w:val="13572805"/>
    <w:rsid w:val="1371484A"/>
    <w:rsid w:val="13DD5B51"/>
    <w:rsid w:val="144E242F"/>
    <w:rsid w:val="15E74C42"/>
    <w:rsid w:val="15F108C0"/>
    <w:rsid w:val="16427A63"/>
    <w:rsid w:val="168F16E1"/>
    <w:rsid w:val="16D61D13"/>
    <w:rsid w:val="16F44CA1"/>
    <w:rsid w:val="17C0471D"/>
    <w:rsid w:val="17E22AF6"/>
    <w:rsid w:val="18641CC8"/>
    <w:rsid w:val="1882587C"/>
    <w:rsid w:val="188B3FAB"/>
    <w:rsid w:val="188B3FDD"/>
    <w:rsid w:val="19854D49"/>
    <w:rsid w:val="198C6EB9"/>
    <w:rsid w:val="199A353D"/>
    <w:rsid w:val="199A3EEC"/>
    <w:rsid w:val="1A03119D"/>
    <w:rsid w:val="1A163D48"/>
    <w:rsid w:val="1A871AF0"/>
    <w:rsid w:val="1AFD67FA"/>
    <w:rsid w:val="1B191A97"/>
    <w:rsid w:val="1B683762"/>
    <w:rsid w:val="1B6F510E"/>
    <w:rsid w:val="1B782406"/>
    <w:rsid w:val="1BC35DD7"/>
    <w:rsid w:val="1C7D3C0B"/>
    <w:rsid w:val="1E513FF3"/>
    <w:rsid w:val="1E58492F"/>
    <w:rsid w:val="1E6C2189"/>
    <w:rsid w:val="1E9E4C6F"/>
    <w:rsid w:val="1F0B19A2"/>
    <w:rsid w:val="1F0B7BF4"/>
    <w:rsid w:val="1F3103CD"/>
    <w:rsid w:val="1F414E24"/>
    <w:rsid w:val="1FA6038F"/>
    <w:rsid w:val="1FDE32AE"/>
    <w:rsid w:val="20581851"/>
    <w:rsid w:val="209440AA"/>
    <w:rsid w:val="20A47CE5"/>
    <w:rsid w:val="21957C48"/>
    <w:rsid w:val="22B41B6C"/>
    <w:rsid w:val="23121493"/>
    <w:rsid w:val="23EE2DA2"/>
    <w:rsid w:val="24CB09E4"/>
    <w:rsid w:val="24D35B51"/>
    <w:rsid w:val="255351D2"/>
    <w:rsid w:val="25680762"/>
    <w:rsid w:val="26381B09"/>
    <w:rsid w:val="27223D2C"/>
    <w:rsid w:val="274A023D"/>
    <w:rsid w:val="279B274F"/>
    <w:rsid w:val="27EF2DD0"/>
    <w:rsid w:val="27F35DC7"/>
    <w:rsid w:val="28786A7C"/>
    <w:rsid w:val="2A2878AC"/>
    <w:rsid w:val="2A4027B6"/>
    <w:rsid w:val="2B02634F"/>
    <w:rsid w:val="2B086ABE"/>
    <w:rsid w:val="2B366200"/>
    <w:rsid w:val="2B80490E"/>
    <w:rsid w:val="2B917593"/>
    <w:rsid w:val="2BF950DA"/>
    <w:rsid w:val="2C9605CD"/>
    <w:rsid w:val="2D580A36"/>
    <w:rsid w:val="2E50117F"/>
    <w:rsid w:val="2FBF3CD4"/>
    <w:rsid w:val="3052239C"/>
    <w:rsid w:val="307849BD"/>
    <w:rsid w:val="31425049"/>
    <w:rsid w:val="3143321D"/>
    <w:rsid w:val="31A11CF2"/>
    <w:rsid w:val="31E3055C"/>
    <w:rsid w:val="327F0285"/>
    <w:rsid w:val="32B5139A"/>
    <w:rsid w:val="32F63AD0"/>
    <w:rsid w:val="33641D7E"/>
    <w:rsid w:val="339C6263"/>
    <w:rsid w:val="352769B2"/>
    <w:rsid w:val="353C4AB3"/>
    <w:rsid w:val="35AE518D"/>
    <w:rsid w:val="367C70FA"/>
    <w:rsid w:val="373B5FD7"/>
    <w:rsid w:val="37525D90"/>
    <w:rsid w:val="376711B7"/>
    <w:rsid w:val="387274C6"/>
    <w:rsid w:val="38DC4A54"/>
    <w:rsid w:val="38F04F73"/>
    <w:rsid w:val="39262466"/>
    <w:rsid w:val="399121BC"/>
    <w:rsid w:val="3A753164"/>
    <w:rsid w:val="3AAE2C3B"/>
    <w:rsid w:val="3AF50B4B"/>
    <w:rsid w:val="3B854432"/>
    <w:rsid w:val="3C1D7713"/>
    <w:rsid w:val="3C44256E"/>
    <w:rsid w:val="3C4F6F1A"/>
    <w:rsid w:val="3DE03BA2"/>
    <w:rsid w:val="407D1B7C"/>
    <w:rsid w:val="40D6419C"/>
    <w:rsid w:val="40DA5B0B"/>
    <w:rsid w:val="410E65D0"/>
    <w:rsid w:val="41197AF6"/>
    <w:rsid w:val="414B67C3"/>
    <w:rsid w:val="4205655B"/>
    <w:rsid w:val="43CD51C7"/>
    <w:rsid w:val="443458D0"/>
    <w:rsid w:val="45170B21"/>
    <w:rsid w:val="45314B7C"/>
    <w:rsid w:val="46074774"/>
    <w:rsid w:val="47481D38"/>
    <w:rsid w:val="47AC3472"/>
    <w:rsid w:val="47B415DA"/>
    <w:rsid w:val="47CF7161"/>
    <w:rsid w:val="48303B74"/>
    <w:rsid w:val="48D72771"/>
    <w:rsid w:val="499A379E"/>
    <w:rsid w:val="49EA57FA"/>
    <w:rsid w:val="4B285C9E"/>
    <w:rsid w:val="4BBE3774"/>
    <w:rsid w:val="4C1E179B"/>
    <w:rsid w:val="4C8E2698"/>
    <w:rsid w:val="4CD244A8"/>
    <w:rsid w:val="4CF114C9"/>
    <w:rsid w:val="4D38643A"/>
    <w:rsid w:val="4DDF048D"/>
    <w:rsid w:val="4F826A34"/>
    <w:rsid w:val="503652CC"/>
    <w:rsid w:val="50495E61"/>
    <w:rsid w:val="51051E45"/>
    <w:rsid w:val="515F0512"/>
    <w:rsid w:val="525F5585"/>
    <w:rsid w:val="52732E4A"/>
    <w:rsid w:val="52C620F8"/>
    <w:rsid w:val="532C6003"/>
    <w:rsid w:val="53F02939"/>
    <w:rsid w:val="53FA141E"/>
    <w:rsid w:val="54B020C8"/>
    <w:rsid w:val="54F039E5"/>
    <w:rsid w:val="56310FE7"/>
    <w:rsid w:val="56384123"/>
    <w:rsid w:val="573F75D0"/>
    <w:rsid w:val="57DA1460"/>
    <w:rsid w:val="582165A1"/>
    <w:rsid w:val="584E2691"/>
    <w:rsid w:val="585E72A6"/>
    <w:rsid w:val="586C6306"/>
    <w:rsid w:val="588C0756"/>
    <w:rsid w:val="58F93D73"/>
    <w:rsid w:val="590F039F"/>
    <w:rsid w:val="59103135"/>
    <w:rsid w:val="59756D30"/>
    <w:rsid w:val="59A728E8"/>
    <w:rsid w:val="59C503C4"/>
    <w:rsid w:val="59CF724C"/>
    <w:rsid w:val="59D55136"/>
    <w:rsid w:val="5A020A23"/>
    <w:rsid w:val="5A24333C"/>
    <w:rsid w:val="5A2A7328"/>
    <w:rsid w:val="5A957839"/>
    <w:rsid w:val="5B1E5956"/>
    <w:rsid w:val="5B57504B"/>
    <w:rsid w:val="5B6C5E29"/>
    <w:rsid w:val="5B79353B"/>
    <w:rsid w:val="5BED4A53"/>
    <w:rsid w:val="5C0E40DB"/>
    <w:rsid w:val="5C2547AE"/>
    <w:rsid w:val="5C725A0E"/>
    <w:rsid w:val="5CE66BD5"/>
    <w:rsid w:val="5E4813D2"/>
    <w:rsid w:val="5EF66ECF"/>
    <w:rsid w:val="601F6096"/>
    <w:rsid w:val="6064416E"/>
    <w:rsid w:val="6077727E"/>
    <w:rsid w:val="60864C74"/>
    <w:rsid w:val="609F4139"/>
    <w:rsid w:val="61811074"/>
    <w:rsid w:val="618F19E3"/>
    <w:rsid w:val="622A2D57"/>
    <w:rsid w:val="625405BD"/>
    <w:rsid w:val="629B6995"/>
    <w:rsid w:val="62DD2D4B"/>
    <w:rsid w:val="62F615EE"/>
    <w:rsid w:val="637B2EF8"/>
    <w:rsid w:val="639808F7"/>
    <w:rsid w:val="64CA1511"/>
    <w:rsid w:val="64EE729B"/>
    <w:rsid w:val="657D531C"/>
    <w:rsid w:val="66AC2E4B"/>
    <w:rsid w:val="66E841A8"/>
    <w:rsid w:val="671C0E1D"/>
    <w:rsid w:val="67D41F95"/>
    <w:rsid w:val="67DD4B2A"/>
    <w:rsid w:val="67E26EC2"/>
    <w:rsid w:val="67F62241"/>
    <w:rsid w:val="689E165F"/>
    <w:rsid w:val="68DD2925"/>
    <w:rsid w:val="69F06D97"/>
    <w:rsid w:val="6A0445F0"/>
    <w:rsid w:val="6A46375F"/>
    <w:rsid w:val="6A7A68BC"/>
    <w:rsid w:val="6A8A6E36"/>
    <w:rsid w:val="6AFC23DB"/>
    <w:rsid w:val="6C554F5B"/>
    <w:rsid w:val="6C691001"/>
    <w:rsid w:val="6C9003BD"/>
    <w:rsid w:val="6CB57B39"/>
    <w:rsid w:val="6CC6493B"/>
    <w:rsid w:val="6CCE0EE6"/>
    <w:rsid w:val="6CED2E22"/>
    <w:rsid w:val="6DA62B86"/>
    <w:rsid w:val="6DB303A1"/>
    <w:rsid w:val="6F6F486B"/>
    <w:rsid w:val="70587444"/>
    <w:rsid w:val="710D6480"/>
    <w:rsid w:val="72663448"/>
    <w:rsid w:val="7271188A"/>
    <w:rsid w:val="728E2BEA"/>
    <w:rsid w:val="72F24D0E"/>
    <w:rsid w:val="735E44B4"/>
    <w:rsid w:val="73663B80"/>
    <w:rsid w:val="73DA4E09"/>
    <w:rsid w:val="741C4C2C"/>
    <w:rsid w:val="749136B6"/>
    <w:rsid w:val="74F952B1"/>
    <w:rsid w:val="74FC3819"/>
    <w:rsid w:val="75095CAE"/>
    <w:rsid w:val="751F6782"/>
    <w:rsid w:val="759A0127"/>
    <w:rsid w:val="76A60DB6"/>
    <w:rsid w:val="76BD3C36"/>
    <w:rsid w:val="77543075"/>
    <w:rsid w:val="7775693D"/>
    <w:rsid w:val="77957B2F"/>
    <w:rsid w:val="77B5517C"/>
    <w:rsid w:val="77F27954"/>
    <w:rsid w:val="782724DB"/>
    <w:rsid w:val="784A3412"/>
    <w:rsid w:val="786727A1"/>
    <w:rsid w:val="79144124"/>
    <w:rsid w:val="79397309"/>
    <w:rsid w:val="795F1843"/>
    <w:rsid w:val="79BF6786"/>
    <w:rsid w:val="79D815F5"/>
    <w:rsid w:val="79F006ED"/>
    <w:rsid w:val="7A1F0F66"/>
    <w:rsid w:val="7A636667"/>
    <w:rsid w:val="7A6B246A"/>
    <w:rsid w:val="7A77441B"/>
    <w:rsid w:val="7B444965"/>
    <w:rsid w:val="7B476A33"/>
    <w:rsid w:val="7C3E0167"/>
    <w:rsid w:val="7CBE210E"/>
    <w:rsid w:val="7CEF7B97"/>
    <w:rsid w:val="7DCB394B"/>
    <w:rsid w:val="7DFC50DA"/>
    <w:rsid w:val="7E817AC0"/>
    <w:rsid w:val="7E98627B"/>
    <w:rsid w:val="7EC42148"/>
    <w:rsid w:val="7ECE7C95"/>
    <w:rsid w:val="7F254D4C"/>
    <w:rsid w:val="7F480FCB"/>
    <w:rsid w:val="7F725360"/>
    <w:rsid w:val="7FC743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8">
    <w:name w:val="heading 7"/>
    <w:basedOn w:val="1"/>
    <w:next w:val="1"/>
    <w:qFormat/>
    <w:uiPriority w:val="0"/>
    <w:pPr>
      <w:keepNext/>
      <w:keepLines/>
      <w:spacing w:before="240" w:after="64" w:line="320" w:lineRule="auto"/>
      <w:outlineLvl w:val="6"/>
    </w:pPr>
    <w:rPr>
      <w:b/>
      <w:bCs/>
      <w:sz w:val="24"/>
    </w:rPr>
  </w:style>
  <w:style w:type="paragraph" w:styleId="9">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0">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35">
    <w:name w:val="Default Paragraph Font"/>
    <w:semiHidden/>
    <w:unhideWhenUsed/>
    <w:uiPriority w:val="1"/>
  </w:style>
  <w:style w:type="table" w:default="1" w:styleId="33">
    <w:name w:val="Normal Table"/>
    <w:semiHidden/>
    <w:unhideWhenUsed/>
    <w:uiPriority w:val="99"/>
    <w:tblPr>
      <w:tblCellMar>
        <w:top w:w="0" w:type="dxa"/>
        <w:left w:w="108" w:type="dxa"/>
        <w:bottom w:w="0" w:type="dxa"/>
        <w:right w:w="108" w:type="dxa"/>
      </w:tblCellMar>
    </w:tblPr>
  </w:style>
  <w:style w:type="paragraph" w:styleId="11">
    <w:name w:val="toc 7"/>
    <w:basedOn w:val="12"/>
    <w:next w:val="1"/>
    <w:semiHidden/>
    <w:qFormat/>
    <w:uiPriority w:val="0"/>
  </w:style>
  <w:style w:type="paragraph" w:styleId="12">
    <w:name w:val="toc 6"/>
    <w:basedOn w:val="13"/>
    <w:next w:val="1"/>
    <w:semiHidden/>
    <w:qFormat/>
    <w:uiPriority w:val="0"/>
  </w:style>
  <w:style w:type="paragraph" w:styleId="13">
    <w:name w:val="toc 5"/>
    <w:basedOn w:val="14"/>
    <w:next w:val="1"/>
    <w:semiHidden/>
    <w:qFormat/>
    <w:uiPriority w:val="0"/>
  </w:style>
  <w:style w:type="paragraph" w:styleId="14">
    <w:name w:val="toc 4"/>
    <w:basedOn w:val="15"/>
    <w:next w:val="1"/>
    <w:semiHidden/>
    <w:qFormat/>
    <w:uiPriority w:val="0"/>
  </w:style>
  <w:style w:type="paragraph" w:styleId="15">
    <w:name w:val="toc 3"/>
    <w:basedOn w:val="16"/>
    <w:next w:val="1"/>
    <w:semiHidden/>
    <w:qFormat/>
    <w:uiPriority w:val="0"/>
  </w:style>
  <w:style w:type="paragraph" w:styleId="16">
    <w:name w:val="toc 2"/>
    <w:basedOn w:val="17"/>
    <w:next w:val="1"/>
    <w:semiHidden/>
    <w:qFormat/>
    <w:uiPriority w:val="0"/>
  </w:style>
  <w:style w:type="paragraph" w:styleId="17">
    <w:name w:val="toc 1"/>
    <w:next w:val="1"/>
    <w:semiHidden/>
    <w:qFormat/>
    <w:uiPriority w:val="0"/>
    <w:pPr>
      <w:jc w:val="both"/>
    </w:pPr>
    <w:rPr>
      <w:rFonts w:ascii="宋体" w:hAnsi="Times New Roman" w:eastAsia="宋体" w:cs="Times New Roman"/>
      <w:sz w:val="21"/>
      <w:lang w:val="en-US" w:eastAsia="zh-CN" w:bidi="ar-SA"/>
    </w:rPr>
  </w:style>
  <w:style w:type="paragraph" w:styleId="18">
    <w:name w:val="Normal Indent"/>
    <w:basedOn w:val="1"/>
    <w:unhideWhenUsed/>
    <w:qFormat/>
    <w:uiPriority w:val="99"/>
    <w:pPr>
      <w:ind w:firstLine="420" w:firstLineChars="200"/>
    </w:pPr>
  </w:style>
  <w:style w:type="paragraph" w:styleId="19">
    <w:name w:val="Document Map"/>
    <w:basedOn w:val="1"/>
    <w:semiHidden/>
    <w:qFormat/>
    <w:uiPriority w:val="0"/>
    <w:pPr>
      <w:shd w:val="clear" w:color="auto" w:fill="000080"/>
    </w:pPr>
  </w:style>
  <w:style w:type="paragraph" w:styleId="20">
    <w:name w:val="annotation text"/>
    <w:basedOn w:val="1"/>
    <w:qFormat/>
    <w:uiPriority w:val="0"/>
    <w:pPr>
      <w:jc w:val="left"/>
    </w:pPr>
  </w:style>
  <w:style w:type="paragraph" w:styleId="21">
    <w:name w:val="HTML Address"/>
    <w:basedOn w:val="1"/>
    <w:qFormat/>
    <w:uiPriority w:val="0"/>
    <w:rPr>
      <w:i/>
      <w:iCs/>
    </w:rPr>
  </w:style>
  <w:style w:type="paragraph" w:styleId="22">
    <w:name w:val="Plain Text"/>
    <w:basedOn w:val="1"/>
    <w:qFormat/>
    <w:uiPriority w:val="0"/>
    <w:rPr>
      <w:rFonts w:ascii="宋体" w:hAnsi="Courier New"/>
      <w:szCs w:val="20"/>
    </w:rPr>
  </w:style>
  <w:style w:type="paragraph" w:styleId="23">
    <w:name w:val="toc 8"/>
    <w:basedOn w:val="11"/>
    <w:next w:val="1"/>
    <w:semiHidden/>
    <w:qFormat/>
    <w:uiPriority w:val="0"/>
  </w:style>
  <w:style w:type="paragraph" w:styleId="24">
    <w:name w:val="Date"/>
    <w:basedOn w:val="1"/>
    <w:next w:val="1"/>
    <w:qFormat/>
    <w:uiPriority w:val="0"/>
    <w:pPr>
      <w:ind w:left="100" w:leftChars="2500"/>
    </w:pPr>
  </w:style>
  <w:style w:type="paragraph" w:styleId="25">
    <w:name w:val="endnote text"/>
    <w:basedOn w:val="1"/>
    <w:semiHidden/>
    <w:qFormat/>
    <w:uiPriority w:val="0"/>
    <w:pPr>
      <w:snapToGrid w:val="0"/>
      <w:jc w:val="left"/>
    </w:pPr>
  </w:style>
  <w:style w:type="paragraph" w:styleId="26">
    <w:name w:val="Balloon Text"/>
    <w:basedOn w:val="1"/>
    <w:semiHidden/>
    <w:qFormat/>
    <w:uiPriority w:val="0"/>
    <w:rPr>
      <w:sz w:val="18"/>
      <w:szCs w:val="18"/>
    </w:rPr>
  </w:style>
  <w:style w:type="paragraph" w:styleId="27">
    <w:name w:val="footer"/>
    <w:basedOn w:val="1"/>
    <w:qFormat/>
    <w:uiPriority w:val="0"/>
    <w:pPr>
      <w:tabs>
        <w:tab w:val="center" w:pos="4153"/>
        <w:tab w:val="right" w:pos="8306"/>
      </w:tabs>
      <w:snapToGrid w:val="0"/>
      <w:ind w:right="210" w:rightChars="100"/>
      <w:jc w:val="righ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footnote text"/>
    <w:basedOn w:val="1"/>
    <w:semiHidden/>
    <w:qFormat/>
    <w:uiPriority w:val="0"/>
    <w:pPr>
      <w:snapToGrid w:val="0"/>
      <w:jc w:val="left"/>
    </w:pPr>
    <w:rPr>
      <w:sz w:val="18"/>
      <w:szCs w:val="18"/>
    </w:rPr>
  </w:style>
  <w:style w:type="paragraph" w:styleId="30">
    <w:name w:val="toc 9"/>
    <w:basedOn w:val="23"/>
    <w:next w:val="1"/>
    <w:semiHidden/>
    <w:qFormat/>
    <w:uiPriority w:val="0"/>
  </w:style>
  <w:style w:type="paragraph" w:styleId="3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2">
    <w:name w:val="Title"/>
    <w:basedOn w:val="1"/>
    <w:qFormat/>
    <w:uiPriority w:val="0"/>
    <w:pPr>
      <w:spacing w:before="240" w:after="60"/>
      <w:jc w:val="center"/>
      <w:outlineLvl w:val="0"/>
    </w:pPr>
    <w:rPr>
      <w:rFonts w:ascii="Arial" w:hAnsi="Arial" w:cs="Arial"/>
      <w:b/>
      <w:bCs/>
      <w:sz w:val="32"/>
      <w:szCs w:val="32"/>
    </w:rPr>
  </w:style>
  <w:style w:type="table" w:styleId="34">
    <w:name w:val="Table Grid"/>
    <w:basedOn w:val="3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bCs/>
    </w:rPr>
  </w:style>
  <w:style w:type="character" w:styleId="37">
    <w:name w:val="page number"/>
    <w:qFormat/>
    <w:uiPriority w:val="0"/>
    <w:rPr>
      <w:rFonts w:ascii="Times New Roman" w:hAnsi="Times New Roman" w:eastAsia="宋体"/>
      <w:sz w:val="18"/>
    </w:rPr>
  </w:style>
  <w:style w:type="character" w:styleId="38">
    <w:name w:val="FollowedHyperlink"/>
    <w:basedOn w:val="35"/>
    <w:qFormat/>
    <w:uiPriority w:val="0"/>
    <w:rPr>
      <w:color w:val="338DE6"/>
      <w:u w:val="none"/>
    </w:rPr>
  </w:style>
  <w:style w:type="character" w:styleId="39">
    <w:name w:val="Emphasis"/>
    <w:basedOn w:val="35"/>
    <w:qFormat/>
    <w:uiPriority w:val="0"/>
  </w:style>
  <w:style w:type="character" w:styleId="40">
    <w:name w:val="HTML Definition"/>
    <w:qFormat/>
    <w:uiPriority w:val="0"/>
    <w:rPr>
      <w:i/>
      <w:iCs/>
    </w:rPr>
  </w:style>
  <w:style w:type="character" w:styleId="41">
    <w:name w:val="HTML Typewriter"/>
    <w:qFormat/>
    <w:uiPriority w:val="0"/>
    <w:rPr>
      <w:rFonts w:ascii="Courier New" w:hAnsi="Courier New"/>
      <w:sz w:val="20"/>
      <w:szCs w:val="20"/>
    </w:rPr>
  </w:style>
  <w:style w:type="character" w:styleId="42">
    <w:name w:val="HTML Acronym"/>
    <w:basedOn w:val="35"/>
    <w:qFormat/>
    <w:uiPriority w:val="0"/>
  </w:style>
  <w:style w:type="character" w:styleId="43">
    <w:name w:val="HTML Variable"/>
    <w:qFormat/>
    <w:uiPriority w:val="0"/>
    <w:rPr>
      <w:i/>
      <w:iCs/>
    </w:rPr>
  </w:style>
  <w:style w:type="character" w:styleId="44">
    <w:name w:val="Hyperlink"/>
    <w:qFormat/>
    <w:uiPriority w:val="0"/>
    <w:rPr>
      <w:rFonts w:ascii="Times New Roman" w:hAnsi="Times New Roman" w:eastAsia="宋体"/>
      <w:color w:val="auto"/>
      <w:spacing w:val="0"/>
      <w:w w:val="100"/>
      <w:position w:val="0"/>
      <w:sz w:val="21"/>
      <w:u w:val="none"/>
      <w:vertAlign w:val="baseline"/>
    </w:rPr>
  </w:style>
  <w:style w:type="character" w:styleId="45">
    <w:name w:val="HTML Code"/>
    <w:basedOn w:val="35"/>
    <w:qFormat/>
    <w:uiPriority w:val="0"/>
    <w:rPr>
      <w:rFonts w:hint="default" w:ascii="serif" w:hAnsi="serif" w:eastAsia="serif" w:cs="serif"/>
      <w:sz w:val="21"/>
      <w:szCs w:val="21"/>
    </w:rPr>
  </w:style>
  <w:style w:type="character" w:styleId="46">
    <w:name w:val="HTML Cite"/>
    <w:basedOn w:val="35"/>
    <w:qFormat/>
    <w:uiPriority w:val="0"/>
  </w:style>
  <w:style w:type="character" w:styleId="47">
    <w:name w:val="footnote reference"/>
    <w:semiHidden/>
    <w:qFormat/>
    <w:uiPriority w:val="0"/>
    <w:rPr>
      <w:vertAlign w:val="superscript"/>
    </w:rPr>
  </w:style>
  <w:style w:type="character" w:styleId="48">
    <w:name w:val="HTML Keyboard"/>
    <w:qFormat/>
    <w:uiPriority w:val="0"/>
    <w:rPr>
      <w:rFonts w:ascii="Courier New" w:hAnsi="Courier New"/>
      <w:sz w:val="20"/>
      <w:szCs w:val="20"/>
    </w:rPr>
  </w:style>
  <w:style w:type="character" w:styleId="49">
    <w:name w:val="HTML Sample"/>
    <w:qFormat/>
    <w:uiPriority w:val="0"/>
    <w:rPr>
      <w:rFonts w:ascii="Courier New" w:hAnsi="Courier New"/>
    </w:rPr>
  </w:style>
  <w:style w:type="character" w:customStyle="1" w:styleId="50">
    <w:name w:val="HTML 站点"/>
    <w:qFormat/>
    <w:uiPriority w:val="0"/>
    <w:rPr>
      <w:i/>
      <w:iCs/>
    </w:rPr>
  </w:style>
  <w:style w:type="character" w:customStyle="1" w:styleId="51">
    <w:name w:val="个人答复风格"/>
    <w:qFormat/>
    <w:uiPriority w:val="0"/>
    <w:rPr>
      <w:rFonts w:ascii="Arial" w:hAnsi="Arial" w:eastAsia="宋体" w:cs="Arial"/>
      <w:color w:val="auto"/>
      <w:sz w:val="20"/>
    </w:rPr>
  </w:style>
  <w:style w:type="character" w:customStyle="1" w:styleId="52">
    <w:name w:val="段 Char"/>
    <w:link w:val="53"/>
    <w:qFormat/>
    <w:uiPriority w:val="0"/>
    <w:rPr>
      <w:rFonts w:ascii="宋体"/>
      <w:sz w:val="21"/>
      <w:lang w:val="en-US" w:eastAsia="zh-CN" w:bidi="ar-SA"/>
    </w:rPr>
  </w:style>
  <w:style w:type="paragraph" w:customStyle="1" w:styleId="53">
    <w:name w:val="段"/>
    <w:link w:val="52"/>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54">
    <w:name w:val="个人撰写风格"/>
    <w:qFormat/>
    <w:uiPriority w:val="0"/>
    <w:rPr>
      <w:rFonts w:ascii="Arial" w:hAnsi="Arial" w:eastAsia="宋体" w:cs="Arial"/>
      <w:color w:val="auto"/>
      <w:sz w:val="20"/>
    </w:rPr>
  </w:style>
  <w:style w:type="character" w:customStyle="1" w:styleId="55">
    <w:name w:val="high-light-bg4"/>
    <w:qFormat/>
    <w:uiPriority w:val="0"/>
  </w:style>
  <w:style w:type="character" w:customStyle="1" w:styleId="56">
    <w:name w:val="HTML 编码"/>
    <w:qFormat/>
    <w:uiPriority w:val="0"/>
    <w:rPr>
      <w:rFonts w:ascii="Courier New" w:hAnsi="Courier New"/>
      <w:sz w:val="20"/>
      <w:szCs w:val="20"/>
    </w:rPr>
  </w:style>
  <w:style w:type="character" w:customStyle="1" w:styleId="57">
    <w:name w:val="发布"/>
    <w:qFormat/>
    <w:uiPriority w:val="0"/>
    <w:rPr>
      <w:rFonts w:ascii="黑体" w:eastAsia="黑体"/>
      <w:spacing w:val="22"/>
      <w:w w:val="100"/>
      <w:position w:val="3"/>
      <w:sz w:val="28"/>
    </w:rPr>
  </w:style>
  <w:style w:type="paragraph" w:customStyle="1" w:styleId="58">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59">
    <w:name w:val="封面标准号2"/>
    <w:basedOn w:val="58"/>
    <w:qFormat/>
    <w:uiPriority w:val="0"/>
    <w:pPr>
      <w:framePr w:w="9138" w:h="1244" w:hRule="exact" w:wrap="around" w:vAnchor="page" w:hAnchor="margin" w:y="2908"/>
      <w:adjustRightInd w:val="0"/>
      <w:spacing w:before="357" w:line="280" w:lineRule="exact"/>
    </w:pPr>
  </w:style>
  <w:style w:type="paragraph" w:customStyle="1" w:styleId="60">
    <w:name w:val="标准书眉一"/>
    <w:qFormat/>
    <w:uiPriority w:val="0"/>
    <w:pPr>
      <w:jc w:val="both"/>
    </w:pPr>
    <w:rPr>
      <w:rFonts w:ascii="Times New Roman" w:hAnsi="Times New Roman" w:eastAsia="宋体" w:cs="Times New Roman"/>
      <w:lang w:val="en-US" w:eastAsia="zh-CN" w:bidi="ar-SA"/>
    </w:rPr>
  </w:style>
  <w:style w:type="paragraph" w:customStyle="1" w:styleId="6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62">
    <w:name w:val="字母编号列项（一级）"/>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63">
    <w:name w:val="附录图标题"/>
    <w:next w:val="53"/>
    <w:qFormat/>
    <w:uiPriority w:val="0"/>
    <w:pPr>
      <w:jc w:val="center"/>
    </w:pPr>
    <w:rPr>
      <w:rFonts w:ascii="黑体" w:hAnsi="Times New Roman" w:eastAsia="黑体" w:cs="Times New Roman"/>
      <w:sz w:val="21"/>
      <w:lang w:val="en-US" w:eastAsia="zh-CN" w:bidi="ar-SA"/>
    </w:rPr>
  </w:style>
  <w:style w:type="paragraph" w:customStyle="1" w:styleId="64">
    <w:name w:val="附录二级条标题"/>
    <w:basedOn w:val="65"/>
    <w:next w:val="53"/>
    <w:qFormat/>
    <w:uiPriority w:val="0"/>
    <w:pPr>
      <w:numPr>
        <w:ilvl w:val="3"/>
      </w:numPr>
      <w:outlineLvl w:val="3"/>
    </w:pPr>
  </w:style>
  <w:style w:type="paragraph" w:customStyle="1" w:styleId="65">
    <w:name w:val="附录一级条标题"/>
    <w:basedOn w:val="66"/>
    <w:next w:val="53"/>
    <w:qFormat/>
    <w:uiPriority w:val="0"/>
    <w:pPr>
      <w:numPr>
        <w:ilvl w:val="2"/>
      </w:numPr>
      <w:autoSpaceDN w:val="0"/>
      <w:spacing w:before="0" w:beforeLines="0" w:after="0" w:afterLines="0"/>
      <w:outlineLvl w:val="2"/>
    </w:pPr>
  </w:style>
  <w:style w:type="paragraph" w:customStyle="1" w:styleId="66">
    <w:name w:val="附录章标题"/>
    <w:next w:val="53"/>
    <w:qFormat/>
    <w:uiPriority w:val="0"/>
    <w:pPr>
      <w:numPr>
        <w:ilvl w:val="1"/>
        <w:numId w:val="1"/>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67">
    <w:name w:val="实施日期"/>
    <w:basedOn w:val="68"/>
    <w:qFormat/>
    <w:uiPriority w:val="0"/>
    <w:pPr>
      <w:framePr w:hSpace="0" w:wrap="around" w:xAlign="right"/>
      <w:jc w:val="right"/>
    </w:pPr>
  </w:style>
  <w:style w:type="paragraph" w:customStyle="1" w:styleId="6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69">
    <w:name w:val="封面正文"/>
    <w:qFormat/>
    <w:uiPriority w:val="0"/>
    <w:pPr>
      <w:jc w:val="both"/>
    </w:pPr>
    <w:rPr>
      <w:rFonts w:ascii="Times New Roman" w:hAnsi="Times New Roman" w:eastAsia="宋体" w:cs="Times New Roman"/>
      <w:lang w:val="en-US" w:eastAsia="zh-CN" w:bidi="ar-SA"/>
    </w:rPr>
  </w:style>
  <w:style w:type="paragraph" w:customStyle="1" w:styleId="7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71">
    <w:name w:val="附录四级条标题"/>
    <w:basedOn w:val="72"/>
    <w:next w:val="53"/>
    <w:qFormat/>
    <w:uiPriority w:val="0"/>
    <w:pPr>
      <w:numPr>
        <w:ilvl w:val="5"/>
      </w:numPr>
      <w:outlineLvl w:val="5"/>
    </w:pPr>
  </w:style>
  <w:style w:type="paragraph" w:customStyle="1" w:styleId="72">
    <w:name w:val="附录三级条标题"/>
    <w:basedOn w:val="64"/>
    <w:next w:val="53"/>
    <w:qFormat/>
    <w:uiPriority w:val="0"/>
    <w:pPr>
      <w:numPr>
        <w:ilvl w:val="4"/>
      </w:numPr>
      <w:outlineLvl w:val="4"/>
    </w:pPr>
  </w:style>
  <w:style w:type="paragraph" w:customStyle="1" w:styleId="73">
    <w:name w:val="注×："/>
    <w:qFormat/>
    <w:uiPriority w:val="0"/>
    <w:pPr>
      <w:widowControl w:val="0"/>
      <w:numPr>
        <w:ilvl w:val="0"/>
        <w:numId w:val="2"/>
      </w:numPr>
      <w:tabs>
        <w:tab w:val="left" w:pos="630"/>
        <w:tab w:val="clear" w:pos="900"/>
      </w:tabs>
      <w:autoSpaceDE w:val="0"/>
      <w:autoSpaceDN w:val="0"/>
      <w:jc w:val="both"/>
    </w:pPr>
    <w:rPr>
      <w:rFonts w:ascii="宋体" w:hAnsi="Times New Roman" w:eastAsia="宋体" w:cs="Times New Roman"/>
      <w:sz w:val="18"/>
      <w:lang w:val="en-US" w:eastAsia="zh-CN" w:bidi="ar-SA"/>
    </w:rPr>
  </w:style>
  <w:style w:type="paragraph" w:customStyle="1" w:styleId="74">
    <w:name w:val="条文脚注"/>
    <w:basedOn w:val="29"/>
    <w:qFormat/>
    <w:uiPriority w:val="0"/>
    <w:pPr>
      <w:ind w:left="780" w:leftChars="200" w:hanging="360" w:hangingChars="200"/>
      <w:jc w:val="both"/>
    </w:pPr>
    <w:rPr>
      <w:rFonts w:ascii="宋体"/>
    </w:rPr>
  </w:style>
  <w:style w:type="paragraph" w:customStyle="1" w:styleId="75">
    <w:name w:val="注："/>
    <w:next w:val="53"/>
    <w:qFormat/>
    <w:uiPriority w:val="0"/>
    <w:pPr>
      <w:widowControl w:val="0"/>
      <w:numPr>
        <w:ilvl w:val="0"/>
        <w:numId w:val="3"/>
      </w:numPr>
      <w:tabs>
        <w:tab w:val="clear" w:pos="1140"/>
      </w:tabs>
      <w:autoSpaceDE w:val="0"/>
      <w:autoSpaceDN w:val="0"/>
      <w:jc w:val="both"/>
    </w:pPr>
    <w:rPr>
      <w:rFonts w:ascii="宋体" w:hAnsi="Times New Roman" w:eastAsia="宋体" w:cs="Times New Roman"/>
      <w:sz w:val="18"/>
      <w:lang w:val="en-US" w:eastAsia="zh-CN" w:bidi="ar-SA"/>
    </w:rPr>
  </w:style>
  <w:style w:type="paragraph" w:customStyle="1" w:styleId="76">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77">
    <w:name w:val="发布部门"/>
    <w:next w:val="53"/>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paragraph" w:customStyle="1" w:styleId="78">
    <w:name w:val="参考文献、索引标题"/>
    <w:basedOn w:val="79"/>
    <w:next w:val="1"/>
    <w:qFormat/>
    <w:uiPriority w:val="0"/>
    <w:pPr>
      <w:numPr>
        <w:numId w:val="0"/>
      </w:numPr>
      <w:spacing w:after="200"/>
    </w:pPr>
    <w:rPr>
      <w:sz w:val="21"/>
    </w:rPr>
  </w:style>
  <w:style w:type="paragraph" w:customStyle="1" w:styleId="79">
    <w:name w:val="前言、引言标题"/>
    <w:next w:val="1"/>
    <w:qFormat/>
    <w:uiPriority w:val="0"/>
    <w:pPr>
      <w:numPr>
        <w:ilvl w:val="0"/>
        <w:numId w:val="4"/>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0">
    <w:name w:val="章标题"/>
    <w:next w:val="53"/>
    <w:link w:val="126"/>
    <w:qFormat/>
    <w:uiPriority w:val="0"/>
    <w:pPr>
      <w:numPr>
        <w:ilvl w:val="1"/>
        <w:numId w:val="4"/>
      </w:numPr>
      <w:spacing w:before="50" w:beforeLines="50" w:after="50" w:afterLines="50"/>
      <w:jc w:val="both"/>
      <w:outlineLvl w:val="1"/>
    </w:pPr>
    <w:rPr>
      <w:rFonts w:ascii="黑体" w:hAnsi="Times New Roman" w:eastAsia="黑体" w:cs="Times New Roman"/>
      <w:sz w:val="21"/>
      <w:lang w:val="en-US" w:eastAsia="zh-CN" w:bidi="ar-SA"/>
    </w:rPr>
  </w:style>
  <w:style w:type="paragraph" w:customStyle="1" w:styleId="8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82">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83">
    <w:name w:val="五级条标题"/>
    <w:basedOn w:val="84"/>
    <w:next w:val="53"/>
    <w:qFormat/>
    <w:uiPriority w:val="0"/>
    <w:pPr>
      <w:numPr>
        <w:ilvl w:val="6"/>
      </w:numPr>
      <w:outlineLvl w:val="6"/>
    </w:pPr>
  </w:style>
  <w:style w:type="paragraph" w:customStyle="1" w:styleId="84">
    <w:name w:val="四级条标题"/>
    <w:basedOn w:val="85"/>
    <w:next w:val="53"/>
    <w:qFormat/>
    <w:uiPriority w:val="0"/>
    <w:pPr>
      <w:numPr>
        <w:ilvl w:val="5"/>
      </w:numPr>
      <w:outlineLvl w:val="5"/>
    </w:pPr>
  </w:style>
  <w:style w:type="paragraph" w:customStyle="1" w:styleId="85">
    <w:name w:val="三级条标题"/>
    <w:basedOn w:val="86"/>
    <w:next w:val="53"/>
    <w:qFormat/>
    <w:uiPriority w:val="0"/>
    <w:pPr>
      <w:numPr>
        <w:ilvl w:val="4"/>
      </w:numPr>
      <w:outlineLvl w:val="4"/>
    </w:pPr>
  </w:style>
  <w:style w:type="paragraph" w:customStyle="1" w:styleId="86">
    <w:name w:val="二级条标题"/>
    <w:basedOn w:val="87"/>
    <w:next w:val="53"/>
    <w:qFormat/>
    <w:uiPriority w:val="0"/>
    <w:pPr>
      <w:numPr>
        <w:ilvl w:val="3"/>
      </w:numPr>
      <w:outlineLvl w:val="3"/>
    </w:pPr>
  </w:style>
  <w:style w:type="paragraph" w:customStyle="1" w:styleId="87">
    <w:name w:val="一级条标题"/>
    <w:basedOn w:val="80"/>
    <w:next w:val="53"/>
    <w:qFormat/>
    <w:uiPriority w:val="0"/>
    <w:pPr>
      <w:numPr>
        <w:ilvl w:val="2"/>
        <w:numId w:val="0"/>
      </w:numPr>
      <w:spacing w:before="0" w:beforeLines="0" w:after="0" w:afterLines="0"/>
      <w:outlineLvl w:val="2"/>
    </w:pPr>
  </w:style>
  <w:style w:type="paragraph" w:customStyle="1" w:styleId="88">
    <w:name w:val="ordinary-output"/>
    <w:basedOn w:val="1"/>
    <w:qFormat/>
    <w:uiPriority w:val="0"/>
    <w:pPr>
      <w:widowControl/>
      <w:spacing w:before="100" w:beforeAutospacing="1" w:after="75" w:line="330" w:lineRule="atLeast"/>
      <w:jc w:val="left"/>
    </w:pPr>
    <w:rPr>
      <w:rFonts w:ascii="宋体" w:hAnsi="宋体" w:cs="宋体"/>
      <w:color w:val="333333"/>
      <w:kern w:val="0"/>
      <w:sz w:val="27"/>
      <w:szCs w:val="27"/>
    </w:rPr>
  </w:style>
  <w:style w:type="paragraph" w:customStyle="1" w:styleId="89">
    <w:name w:val="无标题条"/>
    <w:next w:val="53"/>
    <w:qFormat/>
    <w:uiPriority w:val="0"/>
    <w:pPr>
      <w:jc w:val="both"/>
    </w:pPr>
    <w:rPr>
      <w:rFonts w:ascii="Times New Roman" w:hAnsi="Times New Roman" w:eastAsia="宋体" w:cs="Times New Roman"/>
      <w:sz w:val="21"/>
      <w:lang w:val="en-US" w:eastAsia="zh-CN" w:bidi="ar-SA"/>
    </w:rPr>
  </w:style>
  <w:style w:type="paragraph" w:customStyle="1" w:styleId="90">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91">
    <w:name w:val="二级无标题条"/>
    <w:basedOn w:val="1"/>
    <w:qFormat/>
    <w:uiPriority w:val="0"/>
    <w:pPr>
      <w:numPr>
        <w:ilvl w:val="3"/>
        <w:numId w:val="5"/>
      </w:numPr>
    </w:pPr>
  </w:style>
  <w:style w:type="paragraph" w:customStyle="1" w:styleId="92">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93">
    <w:name w:val="正文表标题"/>
    <w:next w:val="53"/>
    <w:qFormat/>
    <w:uiPriority w:val="0"/>
    <w:pPr>
      <w:numPr>
        <w:ilvl w:val="0"/>
        <w:numId w:val="6"/>
      </w:numPr>
      <w:jc w:val="center"/>
    </w:pPr>
    <w:rPr>
      <w:rFonts w:ascii="黑体" w:hAnsi="Times New Roman" w:eastAsia="黑体" w:cs="Times New Roman"/>
      <w:sz w:val="21"/>
      <w:lang w:val="en-US" w:eastAsia="zh-CN" w:bidi="ar-SA"/>
    </w:rPr>
  </w:style>
  <w:style w:type="paragraph" w:customStyle="1" w:styleId="94">
    <w:name w:val="一级无标题条"/>
    <w:basedOn w:val="1"/>
    <w:qFormat/>
    <w:uiPriority w:val="0"/>
    <w:pPr>
      <w:numPr>
        <w:ilvl w:val="2"/>
        <w:numId w:val="5"/>
      </w:numPr>
    </w:pPr>
  </w:style>
  <w:style w:type="paragraph" w:customStyle="1" w:styleId="95">
    <w:name w:val="列项——"/>
    <w:qFormat/>
    <w:uiPriority w:val="0"/>
    <w:pPr>
      <w:widowControl w:val="0"/>
      <w:numPr>
        <w:ilvl w:val="0"/>
        <w:numId w:val="7"/>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96">
    <w:name w:val="示例"/>
    <w:next w:val="53"/>
    <w:qFormat/>
    <w:uiPriority w:val="0"/>
    <w:pPr>
      <w:numPr>
        <w:ilvl w:val="0"/>
        <w:numId w:val="8"/>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97">
    <w:name w:val="数字编号列项（二级）"/>
    <w:qFormat/>
    <w:uiPriority w:val="0"/>
    <w:pPr>
      <w:ind w:left="1260" w:leftChars="400" w:hanging="420" w:hangingChars="200"/>
      <w:jc w:val="both"/>
    </w:pPr>
    <w:rPr>
      <w:rFonts w:ascii="宋体" w:hAnsi="Times New Roman" w:eastAsia="宋体" w:cs="Times New Roman"/>
      <w:sz w:val="21"/>
      <w:lang w:val="en-US" w:eastAsia="zh-CN" w:bidi="ar-SA"/>
    </w:rPr>
  </w:style>
  <w:style w:type="paragraph" w:customStyle="1" w:styleId="98">
    <w:name w:val="附录表标题"/>
    <w:next w:val="53"/>
    <w:qFormat/>
    <w:uiPriority w:val="0"/>
    <w:pPr>
      <w:jc w:val="center"/>
      <w:textAlignment w:val="baseline"/>
    </w:pPr>
    <w:rPr>
      <w:rFonts w:ascii="黑体" w:hAnsi="Times New Roman" w:eastAsia="黑体" w:cs="Times New Roman"/>
      <w:kern w:val="21"/>
      <w:sz w:val="21"/>
      <w:lang w:val="en-US" w:eastAsia="zh-CN" w:bidi="ar-SA"/>
    </w:rPr>
  </w:style>
  <w:style w:type="paragraph" w:customStyle="1" w:styleId="99">
    <w:name w:val="四级无标题条"/>
    <w:basedOn w:val="1"/>
    <w:qFormat/>
    <w:uiPriority w:val="0"/>
    <w:pPr>
      <w:numPr>
        <w:ilvl w:val="5"/>
        <w:numId w:val="5"/>
      </w:numPr>
    </w:pPr>
  </w:style>
  <w:style w:type="paragraph" w:customStyle="1" w:styleId="100">
    <w:name w:val="封面标准代替信息"/>
    <w:basedOn w:val="59"/>
    <w:qFormat/>
    <w:uiPriority w:val="0"/>
    <w:pPr>
      <w:framePr w:wrap="around"/>
      <w:spacing w:before="57"/>
    </w:pPr>
    <w:rPr>
      <w:rFonts w:ascii="宋体"/>
      <w:sz w:val="21"/>
    </w:rPr>
  </w:style>
  <w:style w:type="paragraph" w:customStyle="1" w:styleId="101">
    <w:name w:val="封面标准英文名称"/>
    <w:qFormat/>
    <w:uiPriority w:val="99"/>
    <w:pPr>
      <w:widowControl w:val="0"/>
      <w:spacing w:before="370" w:line="400" w:lineRule="exact"/>
      <w:jc w:val="center"/>
    </w:pPr>
    <w:rPr>
      <w:rFonts w:ascii="Times New Roman" w:hAnsi="Times New Roman" w:eastAsia="宋体" w:cs="Times New Roman"/>
      <w:sz w:val="28"/>
      <w:lang w:val="en-US" w:eastAsia="zh-CN" w:bidi="ar-SA"/>
    </w:rPr>
  </w:style>
  <w:style w:type="paragraph" w:customStyle="1" w:styleId="102">
    <w:name w:val="列项·"/>
    <w:qFormat/>
    <w:uiPriority w:val="0"/>
    <w:pPr>
      <w:numPr>
        <w:ilvl w:val="0"/>
        <w:numId w:val="9"/>
      </w:numPr>
      <w:tabs>
        <w:tab w:val="left" w:pos="840"/>
        <w:tab w:val="clear" w:pos="1140"/>
      </w:tabs>
      <w:ind w:left="840" w:leftChars="200" w:hanging="420" w:hangingChars="200"/>
      <w:jc w:val="both"/>
    </w:pPr>
    <w:rPr>
      <w:rFonts w:ascii="宋体" w:hAnsi="Times New Roman" w:eastAsia="宋体" w:cs="Times New Roman"/>
      <w:sz w:val="21"/>
      <w:lang w:val="en-US" w:eastAsia="zh-CN" w:bidi="ar-SA"/>
    </w:rPr>
  </w:style>
  <w:style w:type="paragraph" w:customStyle="1" w:styleId="103">
    <w:name w:val="附录五级条标题"/>
    <w:basedOn w:val="71"/>
    <w:next w:val="53"/>
    <w:qFormat/>
    <w:uiPriority w:val="0"/>
    <w:pPr>
      <w:numPr>
        <w:ilvl w:val="6"/>
      </w:numPr>
      <w:outlineLvl w:val="6"/>
    </w:pPr>
  </w:style>
  <w:style w:type="paragraph" w:customStyle="1" w:styleId="104">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05">
    <w:name w:val="HTML 预先格式化"/>
    <w:basedOn w:val="1"/>
    <w:qFormat/>
    <w:uiPriority w:val="0"/>
    <w:rPr>
      <w:rFonts w:ascii="Courier New" w:hAnsi="Courier New" w:cs="楷体_GB2312"/>
      <w:sz w:val="20"/>
      <w:szCs w:val="20"/>
    </w:rPr>
  </w:style>
  <w:style w:type="paragraph" w:customStyle="1" w:styleId="106">
    <w:name w:val="标准书眉_偶数页"/>
    <w:basedOn w:val="107"/>
    <w:next w:val="1"/>
    <w:qFormat/>
    <w:uiPriority w:val="0"/>
    <w:pPr>
      <w:tabs>
        <w:tab w:val="center" w:pos="4154"/>
        <w:tab w:val="right" w:pos="8306"/>
      </w:tabs>
      <w:jc w:val="left"/>
    </w:pPr>
  </w:style>
  <w:style w:type="paragraph" w:customStyle="1" w:styleId="107">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08">
    <w:name w:val="正文图标题"/>
    <w:next w:val="53"/>
    <w:qFormat/>
    <w:uiPriority w:val="0"/>
    <w:pPr>
      <w:numPr>
        <w:ilvl w:val="0"/>
        <w:numId w:val="10"/>
      </w:numPr>
      <w:jc w:val="center"/>
    </w:pPr>
    <w:rPr>
      <w:rFonts w:ascii="黑体" w:hAnsi="Times New Roman" w:eastAsia="黑体" w:cs="Times New Roman"/>
      <w:sz w:val="21"/>
      <w:lang w:val="en-US" w:eastAsia="zh-CN" w:bidi="ar-SA"/>
    </w:rPr>
  </w:style>
  <w:style w:type="paragraph" w:customStyle="1" w:styleId="109">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110">
    <w:name w:val="五级无标题条"/>
    <w:basedOn w:val="1"/>
    <w:qFormat/>
    <w:uiPriority w:val="0"/>
    <w:pPr>
      <w:numPr>
        <w:ilvl w:val="6"/>
        <w:numId w:val="5"/>
      </w:numPr>
    </w:pPr>
  </w:style>
  <w:style w:type="paragraph" w:customStyle="1" w:styleId="111">
    <w:name w:val="其他发布部门"/>
    <w:basedOn w:val="77"/>
    <w:qFormat/>
    <w:uiPriority w:val="0"/>
    <w:pPr>
      <w:framePr w:wrap="around"/>
      <w:spacing w:line="0" w:lineRule="atLeast"/>
    </w:pPr>
    <w:rPr>
      <w:rFonts w:ascii="黑体" w:eastAsia="黑体"/>
      <w:b w:val="0"/>
    </w:rPr>
  </w:style>
  <w:style w:type="paragraph" w:customStyle="1" w:styleId="112">
    <w:name w:val="三级无标题条"/>
    <w:basedOn w:val="1"/>
    <w:qFormat/>
    <w:uiPriority w:val="0"/>
    <w:pPr>
      <w:numPr>
        <w:ilvl w:val="4"/>
        <w:numId w:val="5"/>
      </w:numPr>
    </w:pPr>
  </w:style>
  <w:style w:type="paragraph" w:customStyle="1" w:styleId="113">
    <w:name w:val="标准"/>
    <w:basedOn w:val="1"/>
    <w:qFormat/>
    <w:uiPriority w:val="0"/>
    <w:pPr>
      <w:adjustRightInd w:val="0"/>
      <w:spacing w:line="312" w:lineRule="atLeast"/>
      <w:jc w:val="center"/>
      <w:textAlignment w:val="baseline"/>
    </w:pPr>
    <w:rPr>
      <w:kern w:val="0"/>
      <w:szCs w:val="20"/>
    </w:rPr>
  </w:style>
  <w:style w:type="paragraph" w:customStyle="1" w:styleId="114">
    <w:name w:val="目次、标准名称标题"/>
    <w:basedOn w:val="79"/>
    <w:next w:val="53"/>
    <w:qFormat/>
    <w:uiPriority w:val="0"/>
    <w:pPr>
      <w:numPr>
        <w:numId w:val="0"/>
      </w:numPr>
      <w:spacing w:line="460" w:lineRule="exact"/>
    </w:pPr>
  </w:style>
  <w:style w:type="paragraph" w:customStyle="1" w:styleId="115">
    <w:name w:val="图表脚注"/>
    <w:next w:val="53"/>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116">
    <w:name w:val="附录标识"/>
    <w:basedOn w:val="79"/>
    <w:qFormat/>
    <w:uiPriority w:val="0"/>
    <w:pPr>
      <w:numPr>
        <w:ilvl w:val="0"/>
        <w:numId w:val="1"/>
      </w:numPr>
      <w:tabs>
        <w:tab w:val="left" w:pos="6405"/>
      </w:tabs>
      <w:spacing w:after="200"/>
    </w:pPr>
    <w:rPr>
      <w:sz w:val="21"/>
    </w:rPr>
  </w:style>
  <w:style w:type="paragraph" w:customStyle="1" w:styleId="11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18">
    <w:name w:val="封面一致性程度标识"/>
    <w:qFormat/>
    <w:uiPriority w:val="0"/>
    <w:pPr>
      <w:spacing w:before="440" w:line="400" w:lineRule="exact"/>
      <w:jc w:val="center"/>
    </w:pPr>
    <w:rPr>
      <w:rFonts w:ascii="宋体" w:hAnsi="Times New Roman" w:eastAsia="宋体" w:cs="Times New Roman"/>
      <w:sz w:val="28"/>
      <w:lang w:val="en-US" w:eastAsia="zh-CN" w:bidi="ar-SA"/>
    </w:rPr>
  </w:style>
  <w:style w:type="table" w:customStyle="1" w:styleId="119">
    <w:name w:val="网格型1"/>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0">
    <w:name w:val="List Paragraph"/>
    <w:basedOn w:val="1"/>
    <w:qFormat/>
    <w:uiPriority w:val="34"/>
    <w:pPr>
      <w:ind w:firstLine="420" w:firstLineChars="200"/>
    </w:pPr>
  </w:style>
  <w:style w:type="character" w:styleId="121">
    <w:name w:val="Placeholder Text"/>
    <w:basedOn w:val="35"/>
    <w:unhideWhenUsed/>
    <w:qFormat/>
    <w:uiPriority w:val="99"/>
    <w:rPr>
      <w:color w:val="808080"/>
    </w:rPr>
  </w:style>
  <w:style w:type="character" w:customStyle="1" w:styleId="122">
    <w:name w:val="fontborder"/>
    <w:basedOn w:val="35"/>
    <w:qFormat/>
    <w:uiPriority w:val="0"/>
    <w:rPr>
      <w:bdr w:val="single" w:color="000000" w:sz="6" w:space="0"/>
    </w:rPr>
  </w:style>
  <w:style w:type="character" w:customStyle="1" w:styleId="123">
    <w:name w:val="fontstrikethrough"/>
    <w:basedOn w:val="35"/>
    <w:qFormat/>
    <w:uiPriority w:val="0"/>
    <w:rPr>
      <w:strike/>
    </w:rPr>
  </w:style>
  <w:style w:type="character" w:customStyle="1" w:styleId="124">
    <w:name w:val="font01"/>
    <w:qFormat/>
    <w:uiPriority w:val="0"/>
    <w:rPr>
      <w:rFonts w:hint="default" w:ascii="Times New Roman" w:hAnsi="Times New Roman" w:cs="Times New Roman"/>
      <w:color w:val="000000"/>
      <w:sz w:val="24"/>
      <w:szCs w:val="24"/>
      <w:u w:val="none"/>
    </w:rPr>
  </w:style>
  <w:style w:type="character" w:customStyle="1" w:styleId="125">
    <w:name w:val="font11"/>
    <w:basedOn w:val="35"/>
    <w:qFormat/>
    <w:uiPriority w:val="0"/>
    <w:rPr>
      <w:rFonts w:hint="eastAsia" w:ascii="宋体" w:hAnsi="宋体" w:eastAsia="宋体" w:cs="宋体"/>
      <w:color w:val="000000"/>
      <w:sz w:val="24"/>
      <w:szCs w:val="24"/>
      <w:u w:val="none"/>
    </w:rPr>
  </w:style>
  <w:style w:type="character" w:customStyle="1" w:styleId="126">
    <w:name w:val="章标题 Char"/>
    <w:link w:val="80"/>
    <w:qFormat/>
    <w:uiPriority w:val="0"/>
    <w:rPr>
      <w:rFonts w:ascii="黑体" w:hAnsi="Times New Roman" w:eastAsia="黑体" w:cs="Times New Roman"/>
      <w:sz w:val="21"/>
      <w:lang w:val="en-US" w:eastAsia="zh-CN" w:bidi="ar-SA"/>
    </w:rPr>
  </w:style>
  <w:style w:type="paragraph" w:customStyle="1" w:styleId="127">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8">
    <w:name w:val="标准文件_附录二级无标题"/>
    <w:basedOn w:val="129"/>
    <w:qFormat/>
    <w:uiPriority w:val="0"/>
    <w:pPr>
      <w:tabs>
        <w:tab w:val="left" w:pos="0"/>
      </w:tabs>
      <w:spacing w:before="0" w:beforeLines="0" w:after="0" w:afterLines="0" w:line="276" w:lineRule="auto"/>
      <w:outlineLvl w:val="9"/>
    </w:pPr>
    <w:rPr>
      <w:rFonts w:ascii="宋体" w:eastAsia="宋体"/>
    </w:rPr>
  </w:style>
  <w:style w:type="paragraph" w:customStyle="1" w:styleId="129">
    <w:name w:val="标准文件_附录二级条标题"/>
    <w:basedOn w:val="130"/>
    <w:next w:val="127"/>
    <w:qFormat/>
    <w:uiPriority w:val="0"/>
    <w:pPr>
      <w:widowControl/>
      <w:numPr>
        <w:ilvl w:val="2"/>
      </w:numPr>
      <w:tabs>
        <w:tab w:val="left" w:pos="0"/>
      </w:tabs>
      <w:wordWrap w:val="0"/>
      <w:overflowPunct w:val="0"/>
      <w:autoSpaceDE w:val="0"/>
      <w:autoSpaceDN w:val="0"/>
      <w:textAlignment w:val="baseline"/>
      <w:outlineLvl w:val="3"/>
    </w:pPr>
  </w:style>
  <w:style w:type="paragraph" w:customStyle="1" w:styleId="130">
    <w:name w:val="标准文件_附录一级条标题"/>
    <w:next w:val="127"/>
    <w:qFormat/>
    <w:uiPriority w:val="0"/>
    <w:pPr>
      <w:widowControl w:val="0"/>
      <w:numPr>
        <w:ilvl w:val="1"/>
        <w:numId w:val="11"/>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3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132">
    <w:name w:val="qk-md-text"/>
    <w:basedOn w:val="3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F31C6-04A7-4BA6-B89D-0CF04D764175}">
  <ds:schemaRefs/>
</ds:datastoreItem>
</file>

<file path=docProps/app.xml><?xml version="1.0" encoding="utf-8"?>
<Properties xmlns="http://schemas.openxmlformats.org/officeDocument/2006/extended-properties" xmlns:vt="http://schemas.openxmlformats.org/officeDocument/2006/docPropsVTypes">
  <Template>Normal.dotm</Template>
  <Company>中国标准研究中心</Company>
  <Pages>6</Pages>
  <Words>1355</Words>
  <Characters>1667</Characters>
  <Lines>104</Lines>
  <Paragraphs>104</Paragraphs>
  <TotalTime>24</TotalTime>
  <ScaleCrop>false</ScaleCrop>
  <LinksUpToDate>false</LinksUpToDate>
  <CharactersWithSpaces>2918</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2021-09-28T08:14:00Z</dcterms:created>
  <dc:creator>南方稀土高技术股份有限公司</dc:creator>
  <cp:lastModifiedBy>王玉娇</cp:lastModifiedBy>
  <cp:lastPrinted>2022-02-15T07:36:00Z</cp:lastPrinted>
  <dcterms:modified xsi:type="dcterms:W3CDTF">2026-06-29T01:00:25Z</dcterms:modified>
  <dc:title>前    言</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66F82FD29F8144F4B4C358EEAB139A53_13</vt:lpwstr>
  </property>
</Properties>
</file>