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5C7E3">
      <w:pPr>
        <w:spacing w:after="0" w:line="240" w:lineRule="auto"/>
        <w:jc w:val="center"/>
        <w:rPr>
          <w:rFonts w:hint="eastAsia" w:ascii="黑体" w:hAnsi="Times New Roman" w:eastAsia="黑体"/>
          <w:b/>
          <w:sz w:val="32"/>
          <w:szCs w:val="32"/>
          <w14:ligatures w14:val="none"/>
        </w:rPr>
      </w:pPr>
      <w:bookmarkStart w:id="0" w:name="_Toc111022813"/>
      <w:bookmarkStart w:id="1" w:name="_Hlk97110149"/>
    </w:p>
    <w:p w14:paraId="6968732B">
      <w:pPr>
        <w:spacing w:after="0" w:line="240" w:lineRule="auto"/>
        <w:jc w:val="center"/>
        <w:rPr>
          <w:rFonts w:hint="eastAsia" w:ascii="黑体" w:hAnsi="Times New Roman" w:eastAsia="黑体"/>
          <w:b/>
          <w:sz w:val="32"/>
          <w:szCs w:val="32"/>
          <w14:ligatures w14:val="none"/>
        </w:rPr>
      </w:pPr>
    </w:p>
    <w:p w14:paraId="029C008E">
      <w:pPr>
        <w:spacing w:after="0" w:line="240" w:lineRule="auto"/>
        <w:jc w:val="center"/>
        <w:rPr>
          <w:rFonts w:hint="eastAsia" w:ascii="黑体" w:hAnsi="Times New Roman" w:eastAsia="黑体"/>
          <w:b/>
          <w:sz w:val="32"/>
          <w:szCs w:val="32"/>
          <w14:ligatures w14:val="none"/>
        </w:rPr>
      </w:pPr>
    </w:p>
    <w:p w14:paraId="166EFFBE">
      <w:pPr>
        <w:spacing w:after="0" w:line="240" w:lineRule="auto"/>
        <w:jc w:val="center"/>
        <w:rPr>
          <w:rFonts w:hint="eastAsia" w:ascii="黑体" w:hAnsi="Times New Roman" w:eastAsia="黑体"/>
          <w:b/>
          <w:sz w:val="44"/>
          <w:szCs w:val="44"/>
          <w14:ligatures w14:val="none"/>
        </w:rPr>
      </w:pPr>
      <w:r>
        <w:rPr>
          <w:rFonts w:hint="eastAsia" w:ascii="黑体" w:hAnsi="Times New Roman" w:eastAsia="黑体"/>
          <w:b/>
          <w:sz w:val="44"/>
          <w:szCs w:val="44"/>
          <w14:ligatures w14:val="none"/>
        </w:rPr>
        <w:t>《精炼镍取样方法》编制说明</w:t>
      </w:r>
    </w:p>
    <w:p w14:paraId="01EE985A">
      <w:pPr>
        <w:spacing w:after="0" w:line="240" w:lineRule="auto"/>
        <w:jc w:val="center"/>
        <w:rPr>
          <w:rFonts w:hint="eastAsia" w:ascii="黑体" w:hAnsi="Times New Roman" w:eastAsia="黑体"/>
          <w:b/>
          <w:sz w:val="44"/>
          <w:szCs w:val="44"/>
          <w14:ligatures w14:val="none"/>
        </w:rPr>
      </w:pPr>
      <w:r>
        <w:rPr>
          <w:rFonts w:hint="eastAsia" w:ascii="黑体" w:hAnsi="Times New Roman" w:eastAsia="黑体"/>
          <w:b/>
          <w:sz w:val="44"/>
          <w:szCs w:val="44"/>
          <w14:ligatures w14:val="none"/>
        </w:rPr>
        <w:t>（</w:t>
      </w:r>
      <w:r>
        <w:rPr>
          <w:rFonts w:hint="eastAsia" w:ascii="黑体" w:hAnsi="Times New Roman" w:eastAsia="黑体"/>
          <w:b/>
          <w:sz w:val="44"/>
          <w:szCs w:val="44"/>
          <w:lang w:val="en-US" w:eastAsia="zh-CN"/>
          <w14:ligatures w14:val="none"/>
        </w:rPr>
        <w:t>征求意见稿</w:t>
      </w:r>
      <w:r>
        <w:rPr>
          <w:rFonts w:hint="eastAsia" w:ascii="黑体" w:hAnsi="Times New Roman" w:eastAsia="黑体"/>
          <w:b/>
          <w:sz w:val="44"/>
          <w:szCs w:val="44"/>
          <w14:ligatures w14:val="none"/>
        </w:rPr>
        <w:t>）</w:t>
      </w:r>
    </w:p>
    <w:p w14:paraId="7A8BAF19">
      <w:pPr>
        <w:spacing w:after="0" w:line="240" w:lineRule="auto"/>
        <w:jc w:val="center"/>
        <w:rPr>
          <w:rFonts w:hint="eastAsia" w:ascii="黑体" w:hAnsi="Times New Roman" w:eastAsia="黑体"/>
          <w:b/>
          <w:sz w:val="32"/>
          <w:szCs w:val="32"/>
          <w14:ligatures w14:val="none"/>
        </w:rPr>
      </w:pPr>
    </w:p>
    <w:p w14:paraId="5E8D8906">
      <w:pPr>
        <w:pStyle w:val="25"/>
        <w:rPr>
          <w:rFonts w:hint="eastAsia" w:ascii="黑体" w:hAnsi="Times New Roman" w:eastAsia="黑体"/>
          <w:b/>
          <w:sz w:val="32"/>
          <w:szCs w:val="32"/>
          <w14:ligatures w14:val="none"/>
        </w:rPr>
      </w:pPr>
    </w:p>
    <w:p w14:paraId="3D86BEFE">
      <w:pPr>
        <w:pStyle w:val="25"/>
        <w:rPr>
          <w:rFonts w:hint="eastAsia" w:ascii="黑体" w:hAnsi="Times New Roman" w:eastAsia="黑体"/>
          <w:b/>
          <w:sz w:val="32"/>
          <w:szCs w:val="32"/>
          <w14:ligatures w14:val="none"/>
        </w:rPr>
      </w:pPr>
    </w:p>
    <w:p w14:paraId="13A3E362">
      <w:pPr>
        <w:pStyle w:val="25"/>
        <w:rPr>
          <w:rFonts w:hint="eastAsia" w:ascii="黑体" w:hAnsi="Times New Roman" w:eastAsia="黑体"/>
          <w:b/>
          <w:sz w:val="32"/>
          <w:szCs w:val="32"/>
          <w14:ligatures w14:val="none"/>
        </w:rPr>
      </w:pPr>
    </w:p>
    <w:p w14:paraId="014720FE">
      <w:pPr>
        <w:pStyle w:val="25"/>
        <w:ind w:left="0" w:leftChars="0" w:firstLine="0" w:firstLineChars="0"/>
        <w:rPr>
          <w:rFonts w:hint="eastAsia" w:ascii="黑体" w:hAnsi="Times New Roman" w:eastAsia="黑体"/>
          <w:b/>
          <w:sz w:val="32"/>
          <w:szCs w:val="32"/>
          <w14:ligatures w14:val="none"/>
        </w:rPr>
      </w:pPr>
    </w:p>
    <w:p w14:paraId="3C4E7304">
      <w:pPr>
        <w:pStyle w:val="25"/>
        <w:rPr>
          <w:rFonts w:hint="eastAsia" w:ascii="黑体" w:hAnsi="Times New Roman" w:eastAsia="黑体"/>
          <w:b/>
          <w:sz w:val="32"/>
          <w:szCs w:val="32"/>
          <w14:ligatures w14:val="none"/>
        </w:rPr>
      </w:pPr>
    </w:p>
    <w:p w14:paraId="30D733E7">
      <w:pPr>
        <w:pStyle w:val="25"/>
        <w:rPr>
          <w:rFonts w:hint="eastAsia" w:ascii="黑体" w:hAnsi="Times New Roman" w:eastAsia="黑体"/>
          <w:b/>
          <w:sz w:val="32"/>
          <w:szCs w:val="32"/>
          <w14:ligatures w14:val="none"/>
        </w:rPr>
      </w:pPr>
    </w:p>
    <w:p w14:paraId="572EFF8E">
      <w:pPr>
        <w:pStyle w:val="25"/>
        <w:rPr>
          <w:rFonts w:hint="eastAsia" w:ascii="黑体" w:hAnsi="Times New Roman" w:eastAsia="黑体"/>
          <w:b/>
          <w:sz w:val="32"/>
          <w:szCs w:val="32"/>
          <w14:ligatures w14:val="none"/>
        </w:rPr>
      </w:pPr>
    </w:p>
    <w:p w14:paraId="01E1FA62">
      <w:pPr>
        <w:pStyle w:val="25"/>
        <w:rPr>
          <w:rFonts w:hint="eastAsia" w:ascii="黑体" w:hAnsi="Times New Roman" w:eastAsia="黑体"/>
          <w:b/>
          <w:sz w:val="32"/>
          <w:szCs w:val="32"/>
          <w14:ligatures w14:val="none"/>
        </w:rPr>
      </w:pPr>
    </w:p>
    <w:p w14:paraId="36970C3E">
      <w:pPr>
        <w:pStyle w:val="25"/>
        <w:rPr>
          <w:rFonts w:hint="eastAsia" w:ascii="黑体" w:hAnsi="Times New Roman" w:eastAsia="黑体"/>
          <w:b/>
          <w:sz w:val="32"/>
          <w:szCs w:val="32"/>
          <w14:ligatures w14:val="none"/>
        </w:rPr>
      </w:pPr>
    </w:p>
    <w:p w14:paraId="0F78BB6E">
      <w:pPr>
        <w:spacing w:after="0" w:line="240" w:lineRule="auto"/>
        <w:jc w:val="center"/>
        <w:rPr>
          <w:rFonts w:hint="eastAsia" w:ascii="黑体" w:hAnsi="Times New Roman" w:eastAsia="黑体"/>
          <w:b/>
          <w:sz w:val="28"/>
          <w:szCs w:val="28"/>
          <w:lang w:val="en-US" w:eastAsia="zh-CN"/>
          <w14:ligatures w14:val="none"/>
        </w:rPr>
      </w:pPr>
      <w:r>
        <w:rPr>
          <w:rFonts w:hint="eastAsia" w:ascii="黑体" w:hAnsi="Times New Roman" w:eastAsia="黑体"/>
          <w:b/>
          <w:sz w:val="28"/>
          <w:szCs w:val="28"/>
          <w:lang w:val="en-US" w:eastAsia="zh-CN"/>
          <w14:ligatures w14:val="none"/>
        </w:rPr>
        <w:t>《精炼镍取样方法》标准编制组</w:t>
      </w:r>
    </w:p>
    <w:p w14:paraId="037B621D">
      <w:pPr>
        <w:spacing w:after="0" w:line="240" w:lineRule="auto"/>
        <w:jc w:val="center"/>
        <w:rPr>
          <w:rFonts w:hint="default" w:ascii="黑体" w:hAnsi="Times New Roman" w:eastAsia="黑体"/>
          <w:b/>
          <w:sz w:val="28"/>
          <w:szCs w:val="28"/>
          <w:lang w:val="en-US" w:eastAsia="zh-CN"/>
          <w14:ligatures w14:val="none"/>
        </w:rPr>
      </w:pPr>
      <w:r>
        <w:rPr>
          <w:rFonts w:hint="eastAsia" w:ascii="黑体" w:hAnsi="Times New Roman" w:eastAsia="黑体"/>
          <w:b/>
          <w:sz w:val="28"/>
          <w:szCs w:val="28"/>
          <w:lang w:val="en-US" w:eastAsia="zh-CN"/>
          <w14:ligatures w14:val="none"/>
        </w:rPr>
        <w:t>2026年</w:t>
      </w:r>
      <w:r>
        <w:rPr>
          <w:rFonts w:hint="eastAsia" w:ascii="黑体" w:eastAsia="黑体"/>
          <w:b/>
          <w:sz w:val="28"/>
          <w:szCs w:val="28"/>
          <w:lang w:val="en-US" w:eastAsia="zh-CN"/>
          <w14:ligatures w14:val="none"/>
        </w:rPr>
        <w:t>6</w:t>
      </w:r>
      <w:r>
        <w:rPr>
          <w:rFonts w:hint="eastAsia" w:ascii="黑体" w:hAnsi="Times New Roman" w:eastAsia="黑体"/>
          <w:b/>
          <w:sz w:val="28"/>
          <w:szCs w:val="28"/>
          <w:lang w:val="en-US" w:eastAsia="zh-CN"/>
          <w14:ligatures w14:val="none"/>
        </w:rPr>
        <w:t>月</w:t>
      </w:r>
      <w:r>
        <w:rPr>
          <w:rFonts w:hint="eastAsia" w:ascii="黑体" w:eastAsia="黑体"/>
          <w:b/>
          <w:sz w:val="28"/>
          <w:szCs w:val="28"/>
          <w:lang w:val="en-US" w:eastAsia="zh-CN"/>
          <w14:ligatures w14:val="none"/>
        </w:rPr>
        <w:t>6</w:t>
      </w:r>
      <w:r>
        <w:rPr>
          <w:rFonts w:hint="eastAsia" w:ascii="黑体" w:hAnsi="Times New Roman" w:eastAsia="黑体"/>
          <w:b/>
          <w:sz w:val="28"/>
          <w:szCs w:val="28"/>
          <w:lang w:val="en-US" w:eastAsia="zh-CN"/>
          <w14:ligatures w14:val="none"/>
        </w:rPr>
        <w:t>日</w:t>
      </w:r>
    </w:p>
    <w:p w14:paraId="589AD2C1">
      <w:pPr>
        <w:spacing w:after="0" w:line="240" w:lineRule="auto"/>
        <w:jc w:val="left"/>
        <w:rPr>
          <w:rFonts w:hint="eastAsia" w:ascii="黑体" w:hAnsi="Times New Roman" w:eastAsia="黑体"/>
          <w:b/>
          <w:sz w:val="32"/>
          <w:szCs w:val="32"/>
          <w14:ligatures w14:val="none"/>
        </w:rPr>
      </w:pPr>
    </w:p>
    <w:p w14:paraId="5905339B">
      <w:pPr>
        <w:spacing w:after="0" w:line="240" w:lineRule="auto"/>
        <w:jc w:val="center"/>
        <w:rPr>
          <w:rFonts w:hint="eastAsia" w:ascii="黑体" w:hAnsi="Times New Roman" w:eastAsia="黑体"/>
          <w:b/>
          <w:sz w:val="32"/>
          <w:szCs w:val="32"/>
          <w14:ligatures w14:val="none"/>
        </w:rPr>
      </w:pPr>
    </w:p>
    <w:p w14:paraId="3459E981">
      <w:pPr>
        <w:spacing w:after="0" w:line="240" w:lineRule="auto"/>
        <w:jc w:val="center"/>
        <w:rPr>
          <w:rFonts w:hint="eastAsia" w:ascii="黑体" w:hAnsi="Times New Roman" w:eastAsia="黑体"/>
          <w:b/>
          <w:sz w:val="32"/>
          <w:szCs w:val="32"/>
          <w14:ligatures w14:val="none"/>
        </w:rPr>
      </w:pPr>
    </w:p>
    <w:p w14:paraId="2FFA44F7">
      <w:pPr>
        <w:spacing w:after="0" w:line="240" w:lineRule="auto"/>
        <w:jc w:val="center"/>
        <w:rPr>
          <w:rFonts w:hint="eastAsia" w:ascii="黑体" w:hAnsi="Times New Roman" w:eastAsia="黑体"/>
          <w:b/>
          <w:sz w:val="32"/>
          <w:szCs w:val="32"/>
          <w14:ligatures w14:val="none"/>
        </w:rPr>
      </w:pPr>
    </w:p>
    <w:p w14:paraId="4C48FC1C">
      <w:pPr>
        <w:spacing w:after="0" w:line="240" w:lineRule="auto"/>
        <w:jc w:val="both"/>
        <w:rPr>
          <w:rFonts w:hint="eastAsia" w:ascii="黑体" w:hAnsi="Times New Roman" w:eastAsia="黑体"/>
          <w:b/>
          <w:sz w:val="32"/>
          <w:szCs w:val="32"/>
          <w14:ligatures w14:val="none"/>
        </w:rPr>
      </w:pPr>
    </w:p>
    <w:p w14:paraId="409A3C29">
      <w:pPr>
        <w:spacing w:after="0" w:line="240" w:lineRule="auto"/>
        <w:jc w:val="center"/>
        <w:rPr>
          <w:rFonts w:hint="eastAsia" w:ascii="黑体" w:hAnsi="Times New Roman" w:eastAsia="黑体"/>
          <w:b/>
          <w:sz w:val="32"/>
          <w:szCs w:val="32"/>
          <w14:ligatures w14:val="none"/>
        </w:rPr>
      </w:pPr>
      <w:r>
        <w:rPr>
          <w:rFonts w:hint="eastAsia" w:ascii="黑体" w:hAnsi="Times New Roman" w:eastAsia="黑体"/>
          <w:b/>
          <w:sz w:val="32"/>
          <w:szCs w:val="32"/>
          <w14:ligatures w14:val="none"/>
        </w:rPr>
        <w:t>《精炼镍取样方法》编制说明</w:t>
      </w:r>
    </w:p>
    <w:p w14:paraId="274C405C">
      <w:pPr>
        <w:spacing w:after="0" w:line="240" w:lineRule="auto"/>
        <w:jc w:val="center"/>
        <w:rPr>
          <w:rFonts w:hint="eastAsia" w:ascii="黑体" w:hAnsi="Times New Roman" w:eastAsia="黑体"/>
          <w:b/>
          <w:sz w:val="32"/>
          <w:szCs w:val="32"/>
          <w14:ligatures w14:val="none"/>
        </w:rPr>
      </w:pPr>
      <w:r>
        <w:rPr>
          <w:rFonts w:hint="eastAsia" w:ascii="黑体" w:hAnsi="Times New Roman" w:eastAsia="黑体"/>
          <w:b/>
          <w:sz w:val="32"/>
          <w:szCs w:val="32"/>
          <w14:ligatures w14:val="none"/>
        </w:rPr>
        <w:t>（</w:t>
      </w:r>
      <w:r>
        <w:rPr>
          <w:rFonts w:hint="eastAsia" w:ascii="黑体" w:hAnsi="Times New Roman" w:eastAsia="黑体"/>
          <w:b/>
          <w:sz w:val="32"/>
          <w:szCs w:val="32"/>
          <w:lang w:val="en-US" w:eastAsia="zh-CN"/>
          <w14:ligatures w14:val="none"/>
        </w:rPr>
        <w:t>征求意见稿</w:t>
      </w:r>
      <w:r>
        <w:rPr>
          <w:rFonts w:hint="eastAsia" w:ascii="黑体" w:hAnsi="Times New Roman" w:eastAsia="黑体"/>
          <w:b/>
          <w:sz w:val="32"/>
          <w:szCs w:val="32"/>
          <w14:ligatures w14:val="none"/>
        </w:rPr>
        <w:t>）</w:t>
      </w:r>
    </w:p>
    <w:p w14:paraId="2225F1B8">
      <w:pPr>
        <w:spacing w:line="360" w:lineRule="auto"/>
        <w:outlineLvl w:val="0"/>
        <w:rPr>
          <w:rFonts w:eastAsia="黑体"/>
          <w:sz w:val="24"/>
        </w:rPr>
      </w:pPr>
      <w:r>
        <w:rPr>
          <w:rFonts w:hint="eastAsia" w:eastAsia="黑体"/>
          <w:sz w:val="24"/>
        </w:rPr>
        <w:t xml:space="preserve">一 </w:t>
      </w:r>
      <w:r>
        <w:rPr>
          <w:rFonts w:hint="default" w:eastAsia="黑体"/>
          <w:sz w:val="24"/>
          <w:woUserID w:val="1"/>
        </w:rPr>
        <w:t>、</w:t>
      </w:r>
      <w:r>
        <w:rPr>
          <w:rFonts w:eastAsia="黑体"/>
          <w:sz w:val="24"/>
        </w:rPr>
        <w:t>工作简况</w:t>
      </w:r>
      <w:bookmarkEnd w:id="0"/>
    </w:p>
    <w:p w14:paraId="16EE060E">
      <w:pPr>
        <w:pStyle w:val="44"/>
        <w:spacing w:line="360" w:lineRule="auto"/>
        <w:ind w:firstLine="0" w:firstLineChars="0"/>
        <w:outlineLvl w:val="0"/>
        <w:rPr>
          <w:rFonts w:eastAsiaTheme="minorEastAsia"/>
          <w:b/>
          <w:bCs/>
          <w:szCs w:val="21"/>
        </w:rPr>
      </w:pPr>
      <w:bookmarkStart w:id="2" w:name="_Toc111022814"/>
      <w:r>
        <w:rPr>
          <w:rFonts w:hint="eastAsia" w:hAnsiTheme="minorEastAsia" w:eastAsiaTheme="minorEastAsia"/>
          <w:b/>
          <w:bCs/>
          <w:szCs w:val="21"/>
          <w:lang w:val="en-US" w:eastAsia="zh-CN"/>
        </w:rPr>
        <w:t>1.1</w:t>
      </w:r>
      <w:r>
        <w:rPr>
          <w:rFonts w:hAnsiTheme="minorEastAsia" w:eastAsiaTheme="minorEastAsia"/>
          <w:b/>
          <w:bCs/>
          <w:szCs w:val="21"/>
        </w:rPr>
        <w:t>任务来源</w:t>
      </w:r>
      <w:bookmarkEnd w:id="2"/>
    </w:p>
    <w:bookmarkEnd w:id="1"/>
    <w:p w14:paraId="1568628C">
      <w:pPr>
        <w:tabs>
          <w:tab w:val="left" w:pos="720"/>
        </w:tabs>
        <w:spacing w:line="360" w:lineRule="auto"/>
        <w:ind w:left="0" w:leftChars="0" w:firstLine="420" w:firstLineChars="200"/>
        <w:rPr>
          <w:rFonts w:hint="eastAsia" w:hAnsiTheme="minorEastAsia" w:eastAsiaTheme="minorEastAsia"/>
          <w:color w:val="auto"/>
          <w:szCs w:val="21"/>
          <w:lang w:val="en-US" w:eastAsia="zh-CN"/>
        </w:rPr>
      </w:pPr>
      <w:bookmarkStart w:id="3" w:name="_Hlk97110444"/>
      <w:r>
        <w:rPr>
          <w:rFonts w:hint="eastAsia" w:hAnsiTheme="minorEastAsia" w:eastAsiaTheme="minorEastAsia"/>
          <w:color w:val="auto"/>
          <w:szCs w:val="21"/>
          <w:lang w:val="en-US" w:eastAsia="zh-CN"/>
        </w:rPr>
        <w:t>根据《关于下发的2025 年第七批推荐性国家标准计划及相关标准外文版计划的通知》（国标委发</w:t>
      </w:r>
      <w:r>
        <w:rPr>
          <w:rFonts w:hint="eastAsia" w:ascii="宋体" w:hAnsi="宋体" w:eastAsia="宋体" w:cs="宋体"/>
          <w:color w:val="auto"/>
          <w:szCs w:val="21"/>
          <w:lang w:val="en-US" w:eastAsia="zh-CN"/>
        </w:rPr>
        <w:t>[2025]43号</w:t>
      </w:r>
      <w:r>
        <w:rPr>
          <w:rFonts w:hint="eastAsia" w:hAnsiTheme="minorEastAsia" w:eastAsiaTheme="minorEastAsia"/>
          <w:color w:val="auto"/>
          <w:szCs w:val="21"/>
          <w:lang w:val="en-US" w:eastAsia="zh-CN"/>
        </w:rPr>
        <w:t>）的要求，对国家标准GB/T26022-2010《精炼镍取样方法》进行修订，修订后标准名为《精炼镍 取样方法》，</w:t>
      </w:r>
      <w:r>
        <w:rPr>
          <w:rFonts w:hint="eastAsia" w:hAnsiTheme="minorEastAsia" w:eastAsiaTheme="minorEastAsia"/>
          <w:color w:val="auto"/>
          <w:szCs w:val="21"/>
        </w:rPr>
        <w:t>计划编号为20253800-T-610，</w:t>
      </w:r>
      <w:r>
        <w:rPr>
          <w:rFonts w:hint="eastAsia" w:hAnsiTheme="minorEastAsia" w:eastAsiaTheme="minorEastAsia"/>
          <w:color w:val="auto"/>
          <w:szCs w:val="21"/>
          <w:lang w:val="en-US" w:eastAsia="zh-CN"/>
        </w:rPr>
        <w:t>项目截止日期为2026年8月，由</w:t>
      </w:r>
      <w:r>
        <w:rPr>
          <w:rFonts w:hint="eastAsia" w:hAnsiTheme="minorEastAsia" w:eastAsiaTheme="minorEastAsia"/>
          <w:color w:val="auto"/>
          <w:szCs w:val="21"/>
        </w:rPr>
        <w:t>金川集团</w:t>
      </w:r>
      <w:r>
        <w:rPr>
          <w:rFonts w:hint="eastAsia" w:hAnsiTheme="minorEastAsia" w:eastAsiaTheme="minorEastAsia"/>
          <w:color w:val="auto"/>
          <w:szCs w:val="21"/>
          <w:lang w:val="en-US" w:eastAsia="zh-CN"/>
        </w:rPr>
        <w:t>股份</w:t>
      </w:r>
      <w:r>
        <w:rPr>
          <w:rFonts w:hint="eastAsia" w:hAnsiTheme="minorEastAsia" w:eastAsiaTheme="minorEastAsia"/>
          <w:color w:val="auto"/>
          <w:szCs w:val="21"/>
        </w:rPr>
        <w:t>有限公司</w:t>
      </w:r>
      <w:r>
        <w:rPr>
          <w:rFonts w:hint="eastAsia" w:hAnsiTheme="minorEastAsia" w:eastAsiaTheme="minorEastAsia"/>
          <w:color w:val="auto"/>
          <w:szCs w:val="21"/>
          <w:lang w:val="en-US" w:eastAsia="zh-CN"/>
        </w:rPr>
        <w:t>牵头、有色金属技术经济研究院有限责任公司、金川集团镍钴股份有限公司、北矿检测技术股份有限公司、吉林吉恩镍业股份有限公司、格林美股份有限公司、衢州华友钴新材料有限公司参与起草。</w:t>
      </w:r>
    </w:p>
    <w:p w14:paraId="493BE91E">
      <w:pPr>
        <w:pStyle w:val="44"/>
        <w:spacing w:line="360" w:lineRule="auto"/>
        <w:ind w:firstLine="0" w:firstLineChars="0"/>
        <w:outlineLvl w:val="0"/>
        <w:rPr>
          <w:rFonts w:hint="eastAsia" w:hAnsiTheme="minorEastAsia" w:eastAsiaTheme="minorEastAsia"/>
          <w:b/>
          <w:bCs/>
          <w:szCs w:val="21"/>
          <w:lang w:val="en-US" w:eastAsia="zh-CN"/>
        </w:rPr>
      </w:pPr>
      <w:r>
        <w:rPr>
          <w:rFonts w:hint="eastAsia" w:hAnsiTheme="minorEastAsia" w:eastAsiaTheme="minorEastAsia"/>
          <w:b/>
          <w:bCs/>
          <w:szCs w:val="21"/>
          <w:lang w:val="en-US" w:eastAsia="zh-CN"/>
        </w:rPr>
        <w:t>1.2立项目的和意义</w:t>
      </w:r>
    </w:p>
    <w:p w14:paraId="754B06A1">
      <w:pPr>
        <w:tabs>
          <w:tab w:val="left" w:pos="720"/>
        </w:tabs>
        <w:spacing w:line="360" w:lineRule="auto"/>
        <w:ind w:left="0" w:leftChars="0" w:firstLine="420" w:firstLineChars="200"/>
        <w:rPr>
          <w:rFonts w:hint="eastAsia" w:hAnsiTheme="minorEastAsia" w:eastAsiaTheme="minorEastAsia"/>
          <w:color w:val="auto"/>
          <w:szCs w:val="21"/>
          <w:lang w:val="en-US" w:eastAsia="zh-CN"/>
        </w:rPr>
      </w:pPr>
      <w:bookmarkStart w:id="4" w:name="OLE_LINK53"/>
      <w:bookmarkStart w:id="5" w:name="OLE_LINK7"/>
      <w:bookmarkStart w:id="6" w:name="OLE_LINK6"/>
      <w:bookmarkStart w:id="7" w:name="OLE_LINK27"/>
      <w:r>
        <w:rPr>
          <w:rFonts w:hint="eastAsia" w:hAnsiTheme="minorEastAsia" w:eastAsiaTheme="minorEastAsia"/>
          <w:color w:val="auto"/>
          <w:szCs w:val="21"/>
          <w:lang w:val="en-US" w:eastAsia="zh-CN"/>
        </w:rPr>
        <w:t>精炼镍是重要的有色金属基础原材料，其化学成分分析结果的准确性，直接影响产品质量控制、生产应用及贸易结算的公正性。取样方法是确保化学成分分析结果具有代表性、准确性与一致性的关键技术环节。现行 GB/T 26022-2010《精炼镍取样方法》自实施以来，在规范取样操作、保证分析质量、维护贸易公平等方面发挥了重要作用。随着我国精炼镍生产技术不断进步、产品形式日益多样化，以及国际贸易对取样方法一致性、规范性要求持续提高，现行标准在术语定义、取样程序、批次划分与取样要求等方面已不能完全满足当前生产、检验和贸易的实际需要。同时，对应的国际标准已由 ISO 7156:1991 更新为 ISO 23163:2019，技术内容更加完善、科学。为使我国精炼镍取样方法与国际先进标准接轨，提升标准的适用性、先进性和通用性，更好满足产业高质量发展和国际贸易需求，亟需对 GB/T 26022—2010 进行修订。</w:t>
      </w:r>
    </w:p>
    <w:bookmarkEnd w:id="4"/>
    <w:bookmarkEnd w:id="5"/>
    <w:bookmarkEnd w:id="6"/>
    <w:bookmarkEnd w:id="7"/>
    <w:p w14:paraId="7190CA8F">
      <w:pPr>
        <w:tabs>
          <w:tab w:val="left" w:pos="720"/>
        </w:tabs>
        <w:spacing w:line="360" w:lineRule="auto"/>
        <w:ind w:left="0" w:leftChars="0" w:firstLine="420" w:firstLineChars="200"/>
        <w:rPr>
          <w:rFonts w:hint="eastAsia" w:hAnsiTheme="minorEastAsia" w:eastAsiaTheme="minorEastAsia"/>
          <w:color w:val="auto"/>
          <w:szCs w:val="21"/>
          <w:lang w:val="en-US" w:eastAsia="zh-CN"/>
        </w:rPr>
      </w:pPr>
      <w:r>
        <w:rPr>
          <w:rFonts w:hint="eastAsia" w:hAnsiTheme="minorEastAsia" w:eastAsiaTheme="minorEastAsia"/>
          <w:color w:val="auto"/>
          <w:szCs w:val="21"/>
          <w:lang w:val="en-US" w:eastAsia="zh-CN"/>
        </w:rPr>
        <w:t>国内主要精炼镍生产企业（如金川集团</w:t>
      </w:r>
      <w:r>
        <w:rPr>
          <w:rFonts w:hint="default" w:hAnsiTheme="minorEastAsia" w:eastAsiaTheme="minorEastAsia"/>
          <w:color w:val="auto"/>
          <w:szCs w:val="21"/>
          <w:lang w:val="en-US" w:eastAsia="zh-CN"/>
        </w:rPr>
        <w:t>股份</w:t>
      </w:r>
      <w:r>
        <w:rPr>
          <w:rFonts w:hint="eastAsia" w:hAnsiTheme="minorEastAsia" w:eastAsiaTheme="minorEastAsia"/>
          <w:color w:val="auto"/>
          <w:szCs w:val="21"/>
          <w:lang w:val="en-US" w:eastAsia="zh-CN"/>
        </w:rPr>
        <w:t>有限公司等）在长期生产实践中积累了成熟的取样技术与应用经验，具备完善的检验检测条件和较强的技术研发能力。本标准编制组由生产企业、科研院所、检验检测机构等多方单位共同组成，技术力量覆盖全产业链，可为标准修订提供充分的技术支持与试验验证保障。</w:t>
      </w:r>
    </w:p>
    <w:bookmarkEnd w:id="3"/>
    <w:p w14:paraId="2F4DAEA3">
      <w:pPr>
        <w:pStyle w:val="44"/>
        <w:spacing w:line="360" w:lineRule="auto"/>
        <w:ind w:firstLine="0" w:firstLineChars="0"/>
        <w:outlineLvl w:val="0"/>
        <w:rPr>
          <w:b/>
          <w:bCs/>
          <w:color w:val="auto"/>
          <w:szCs w:val="21"/>
        </w:rPr>
      </w:pPr>
      <w:bookmarkStart w:id="8" w:name="_Toc111022815"/>
      <w:r>
        <w:rPr>
          <w:rFonts w:hint="eastAsia"/>
          <w:b/>
          <w:bCs/>
          <w:color w:val="auto"/>
          <w:szCs w:val="21"/>
          <w:lang w:val="en-US" w:eastAsia="zh-CN"/>
        </w:rPr>
        <w:t>1.3</w:t>
      </w:r>
      <w:r>
        <w:rPr>
          <w:b/>
          <w:bCs/>
          <w:color w:val="auto"/>
          <w:szCs w:val="21"/>
        </w:rPr>
        <w:t>主要参加单位和工作组成员及其所做的工作</w:t>
      </w:r>
      <w:bookmarkEnd w:id="8"/>
    </w:p>
    <w:p w14:paraId="086338A0">
      <w:pPr>
        <w:tabs>
          <w:tab w:val="left" w:pos="720"/>
        </w:tabs>
        <w:spacing w:line="360" w:lineRule="auto"/>
        <w:rPr>
          <w:rFonts w:hint="eastAsia" w:hAnsiTheme="minorEastAsia" w:eastAsiaTheme="minorEastAsia"/>
          <w:color w:val="auto"/>
          <w:szCs w:val="21"/>
          <w:lang w:val="en-US" w:eastAsia="zh-CN"/>
        </w:rPr>
      </w:pPr>
      <w:r>
        <w:rPr>
          <w:rFonts w:hint="eastAsia" w:hAnsiTheme="minorEastAsia" w:eastAsiaTheme="minorEastAsia"/>
          <w:color w:val="auto"/>
          <w:szCs w:val="21"/>
          <w:lang w:val="en-US" w:eastAsia="zh-CN"/>
        </w:rPr>
        <w:t>1.3.1主要参加单位情况：</w:t>
      </w:r>
    </w:p>
    <w:p w14:paraId="5AAEF92A">
      <w:pPr>
        <w:tabs>
          <w:tab w:val="left" w:pos="720"/>
        </w:tabs>
        <w:spacing w:line="360" w:lineRule="auto"/>
        <w:ind w:left="0" w:leftChars="0" w:firstLine="420" w:firstLineChars="200"/>
        <w:rPr>
          <w:rFonts w:hint="default" w:hAnsiTheme="minorEastAsia" w:eastAsiaTheme="minorEastAsia"/>
          <w:color w:val="auto"/>
          <w:szCs w:val="21"/>
          <w:lang w:val="en-US" w:eastAsia="zh-CN"/>
        </w:rPr>
      </w:pPr>
      <w:r>
        <w:rPr>
          <w:rFonts w:hint="eastAsia" w:hAnsiTheme="minorEastAsia" w:eastAsiaTheme="minorEastAsia"/>
          <w:color w:val="auto"/>
          <w:szCs w:val="21"/>
          <w:lang w:val="en-US" w:eastAsia="zh-CN"/>
        </w:rPr>
        <w:t>金川集团股份有限公司组织编译修订工作组，</w:t>
      </w:r>
      <w:r>
        <w:rPr>
          <w:rFonts w:hint="eastAsia" w:hAnsiTheme="minorEastAsia" w:eastAsiaTheme="minorEastAsia"/>
          <w:color w:val="auto"/>
          <w:szCs w:val="21"/>
        </w:rPr>
        <w:t>有色金属</w:t>
      </w:r>
      <w:r>
        <w:rPr>
          <w:rFonts w:hint="eastAsia" w:hAnsiTheme="minorEastAsia" w:eastAsiaTheme="minorEastAsia"/>
          <w:color w:val="auto"/>
          <w:szCs w:val="21"/>
          <w:lang w:val="en-US" w:eastAsia="zh-CN"/>
        </w:rPr>
        <w:t>技术经济研究院有限责任公司作为参编单位对标准修订工作具有指导作用，</w:t>
      </w:r>
      <w:r>
        <w:rPr>
          <w:rFonts w:hint="eastAsia" w:ascii="Times New Roman" w:cs="Times New Roman" w:hAnsiTheme="minorEastAsia" w:eastAsiaTheme="minorEastAsia"/>
          <w:color w:val="auto"/>
          <w:szCs w:val="21"/>
          <w:lang w:val="en-US" w:eastAsia="zh-CN"/>
        </w:rPr>
        <w:t>金川集团镍钴股份有限公司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北矿检测技术股份有限公司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吉林吉恩镍业股份有限公司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格林美股份有限公司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衢州华友钴新材料有限公司作为标准重要参编单位</w:t>
      </w:r>
      <w:r>
        <w:rPr>
          <w:rFonts w:hint="eastAsia" w:cs="Times New Roman" w:hAnsiTheme="minorEastAsia" w:eastAsiaTheme="minorEastAsia"/>
          <w:color w:val="auto"/>
          <w:szCs w:val="21"/>
          <w:lang w:val="en-US" w:eastAsia="zh-CN"/>
        </w:rPr>
        <w:t>对标准应用的适用性等方面提供技术支撑、提供意见。</w:t>
      </w:r>
    </w:p>
    <w:p w14:paraId="10F0EB0D">
      <w:pPr>
        <w:widowControl/>
        <w:snapToGrid w:val="0"/>
        <w:spacing w:line="360" w:lineRule="auto"/>
        <w:jc w:val="left"/>
        <w:rPr>
          <w:rFonts w:hint="eastAsia"/>
          <w:color w:val="auto"/>
          <w:szCs w:val="21"/>
        </w:rPr>
      </w:pPr>
      <w:bookmarkStart w:id="9" w:name="_Toc111022818"/>
      <w:r>
        <w:rPr>
          <w:rFonts w:hint="eastAsia"/>
          <w:color w:val="auto"/>
          <w:szCs w:val="21"/>
          <w:lang w:val="en-US" w:eastAsia="zh-CN"/>
        </w:rPr>
        <w:t>1.3.2</w:t>
      </w:r>
      <w:r>
        <w:rPr>
          <w:rFonts w:hint="eastAsia"/>
          <w:color w:val="auto"/>
          <w:szCs w:val="21"/>
        </w:rPr>
        <w:t>主要起草人及工作职责</w:t>
      </w:r>
    </w:p>
    <w:p w14:paraId="15F9CE2A">
      <w:pPr>
        <w:widowControl/>
        <w:snapToGrid w:val="0"/>
        <w:spacing w:line="360" w:lineRule="auto"/>
        <w:jc w:val="center"/>
        <w:rPr>
          <w:rFonts w:hint="eastAsia"/>
          <w:b/>
          <w:bCs/>
          <w:color w:val="auto"/>
          <w:szCs w:val="21"/>
        </w:rPr>
      </w:pPr>
      <w:r>
        <w:rPr>
          <w:rFonts w:hint="eastAsia"/>
          <w:color w:val="auto"/>
          <w:szCs w:val="21"/>
        </w:rPr>
        <w:t>表1  主要起草</w:t>
      </w:r>
      <w:r>
        <w:rPr>
          <w:rFonts w:hint="eastAsia"/>
          <w:color w:val="auto"/>
          <w:szCs w:val="21"/>
          <w:lang w:val="en-US" w:eastAsia="zh-CN"/>
        </w:rPr>
        <w:t>单位、起草</w:t>
      </w:r>
      <w:r>
        <w:rPr>
          <w:rFonts w:hint="eastAsia"/>
          <w:color w:val="auto"/>
          <w:szCs w:val="21"/>
        </w:rPr>
        <w:t>人及工作职责</w:t>
      </w:r>
    </w:p>
    <w:tbl>
      <w:tblPr>
        <w:tblStyle w:val="19"/>
        <w:tblW w:w="9342" w:type="dxa"/>
        <w:jc w:val="center"/>
        <w:tblLayout w:type="fixed"/>
        <w:tblCellMar>
          <w:top w:w="0" w:type="dxa"/>
          <w:left w:w="108" w:type="dxa"/>
          <w:bottom w:w="0" w:type="dxa"/>
          <w:right w:w="108" w:type="dxa"/>
        </w:tblCellMar>
      </w:tblPr>
      <w:tblGrid>
        <w:gridCol w:w="857"/>
        <w:gridCol w:w="2147"/>
        <w:gridCol w:w="2294"/>
        <w:gridCol w:w="4044"/>
      </w:tblGrid>
      <w:tr w14:paraId="4540C3F2">
        <w:tblPrEx>
          <w:tblCellMar>
            <w:top w:w="0" w:type="dxa"/>
            <w:left w:w="108" w:type="dxa"/>
            <w:bottom w:w="0" w:type="dxa"/>
            <w:right w:w="108" w:type="dxa"/>
          </w:tblCellMar>
        </w:tblPrEx>
        <w:trPr>
          <w:trHeight w:val="188" w:hRule="atLeast"/>
          <w:jc w:val="center"/>
        </w:trPr>
        <w:tc>
          <w:tcPr>
            <w:tcW w:w="857" w:type="dxa"/>
            <w:tcBorders>
              <w:top w:val="single" w:color="000000" w:sz="4" w:space="0"/>
              <w:left w:val="single" w:color="000000" w:sz="4" w:space="0"/>
              <w:bottom w:val="single" w:color="auto" w:sz="4" w:space="0"/>
              <w:right w:val="single" w:color="000000" w:sz="4" w:space="0"/>
            </w:tcBorders>
            <w:noWrap/>
            <w:vAlign w:val="center"/>
          </w:tcPr>
          <w:p w14:paraId="1CF45429">
            <w:pPr>
              <w:jc w:val="center"/>
              <w:rPr>
                <w:rFonts w:hint="default" w:cs="Times New Roman"/>
                <w:b/>
                <w:bCs/>
                <w:color w:val="auto"/>
                <w:sz w:val="18"/>
                <w:szCs w:val="18"/>
                <w:lang w:val="en-US" w:eastAsia="zh-CN"/>
              </w:rPr>
            </w:pPr>
            <w:r>
              <w:rPr>
                <w:rFonts w:hint="eastAsia" w:cs="Times New Roman"/>
                <w:b/>
                <w:bCs/>
                <w:color w:val="auto"/>
                <w:sz w:val="18"/>
                <w:szCs w:val="18"/>
                <w:lang w:val="en-US" w:eastAsia="zh-CN"/>
              </w:rPr>
              <w:t>编号</w:t>
            </w:r>
          </w:p>
        </w:tc>
        <w:tc>
          <w:tcPr>
            <w:tcW w:w="2147" w:type="dxa"/>
            <w:tcBorders>
              <w:top w:val="single" w:color="000000" w:sz="4" w:space="0"/>
              <w:left w:val="single" w:color="000000" w:sz="4" w:space="0"/>
              <w:bottom w:val="single" w:color="auto" w:sz="4" w:space="0"/>
              <w:right w:val="single" w:color="000000" w:sz="4" w:space="0"/>
            </w:tcBorders>
            <w:noWrap/>
            <w:vAlign w:val="center"/>
          </w:tcPr>
          <w:p w14:paraId="2238F842">
            <w:pPr>
              <w:jc w:val="center"/>
              <w:rPr>
                <w:rFonts w:ascii="Times New Roman" w:hAnsi="Times New Roman" w:eastAsia="宋体" w:cs="Times New Roman"/>
                <w:b/>
                <w:bCs/>
                <w:color w:val="auto"/>
                <w:sz w:val="18"/>
                <w:szCs w:val="18"/>
              </w:rPr>
            </w:pPr>
            <w:r>
              <w:rPr>
                <w:rFonts w:hint="eastAsia" w:cs="Times New Roman"/>
                <w:b/>
                <w:bCs/>
                <w:color w:val="auto"/>
                <w:sz w:val="18"/>
                <w:szCs w:val="18"/>
                <w:lang w:val="en-US" w:eastAsia="zh-CN"/>
              </w:rPr>
              <w:t>主要起草</w:t>
            </w:r>
            <w:r>
              <w:rPr>
                <w:rFonts w:ascii="Times New Roman" w:hAnsi="Times New Roman" w:eastAsia="宋体" w:cs="Times New Roman"/>
                <w:b/>
                <w:bCs/>
                <w:color w:val="auto"/>
                <w:sz w:val="18"/>
                <w:szCs w:val="18"/>
              </w:rPr>
              <w:t>单位</w:t>
            </w:r>
          </w:p>
        </w:tc>
        <w:tc>
          <w:tcPr>
            <w:tcW w:w="2294" w:type="dxa"/>
            <w:tcBorders>
              <w:top w:val="single" w:color="000000" w:sz="4" w:space="0"/>
              <w:left w:val="single" w:color="000000" w:sz="4" w:space="0"/>
              <w:bottom w:val="single" w:color="auto" w:sz="4" w:space="0"/>
              <w:right w:val="single" w:color="000000" w:sz="4" w:space="0"/>
            </w:tcBorders>
            <w:noWrap/>
            <w:vAlign w:val="center"/>
          </w:tcPr>
          <w:p w14:paraId="568551A2">
            <w:pPr>
              <w:jc w:val="center"/>
              <w:rPr>
                <w:rFonts w:hint="default" w:ascii="Times New Roman" w:hAnsi="Times New Roman" w:eastAsia="宋体" w:cs="Times New Roman"/>
                <w:b/>
                <w:bCs/>
                <w:color w:val="auto"/>
                <w:sz w:val="18"/>
                <w:szCs w:val="18"/>
                <w:lang w:val="en-US" w:eastAsia="zh-CN"/>
              </w:rPr>
            </w:pPr>
            <w:r>
              <w:rPr>
                <w:rFonts w:hint="eastAsia" w:cs="Times New Roman"/>
                <w:b/>
                <w:bCs/>
                <w:color w:val="auto"/>
                <w:sz w:val="18"/>
                <w:szCs w:val="18"/>
                <w:lang w:val="en-US" w:eastAsia="zh-CN"/>
              </w:rPr>
              <w:t>起草人</w:t>
            </w:r>
          </w:p>
        </w:tc>
        <w:tc>
          <w:tcPr>
            <w:tcW w:w="4044" w:type="dxa"/>
            <w:tcBorders>
              <w:top w:val="single" w:color="000000" w:sz="4" w:space="0"/>
              <w:left w:val="single" w:color="000000" w:sz="4" w:space="0"/>
              <w:bottom w:val="single" w:color="auto" w:sz="4" w:space="0"/>
              <w:right w:val="single" w:color="000000" w:sz="4" w:space="0"/>
            </w:tcBorders>
            <w:noWrap/>
            <w:vAlign w:val="center"/>
          </w:tcPr>
          <w:p w14:paraId="0740CDE7">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z w:val="18"/>
                <w:szCs w:val="18"/>
              </w:rPr>
              <w:t>主要工作</w:t>
            </w:r>
          </w:p>
        </w:tc>
      </w:tr>
      <w:tr w14:paraId="6529020F">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0F58C7F6">
            <w:pPr>
              <w:jc w:val="center"/>
              <w:rPr>
                <w:rFonts w:hint="default" w:ascii="Times New Roman"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1</w:t>
            </w:r>
          </w:p>
        </w:tc>
        <w:tc>
          <w:tcPr>
            <w:tcW w:w="2147" w:type="dxa"/>
            <w:tcBorders>
              <w:top w:val="single" w:color="auto" w:sz="4" w:space="0"/>
              <w:left w:val="single" w:color="auto" w:sz="4" w:space="0"/>
              <w:bottom w:val="single" w:color="auto" w:sz="4" w:space="0"/>
              <w:right w:val="single" w:color="auto" w:sz="4" w:space="0"/>
            </w:tcBorders>
            <w:noWrap/>
            <w:vAlign w:val="center"/>
          </w:tcPr>
          <w:p w14:paraId="4AB6F294">
            <w:pPr>
              <w:jc w:val="center"/>
              <w:rPr>
                <w:rFonts w:ascii="Times New Roman" w:hAnsi="Times New Roman" w:eastAsia="宋体" w:cs="Times New Roman"/>
                <w:color w:val="auto"/>
                <w:sz w:val="18"/>
                <w:szCs w:val="18"/>
              </w:rPr>
            </w:pPr>
            <w:r>
              <w:rPr>
                <w:rFonts w:hint="eastAsia" w:ascii="Times New Roman" w:cs="Times New Roman" w:hAnsiTheme="minorEastAsia" w:eastAsiaTheme="minorEastAsia"/>
                <w:color w:val="auto"/>
                <w:sz w:val="18"/>
                <w:szCs w:val="18"/>
                <w:lang w:val="en-US" w:eastAsia="zh-CN"/>
              </w:rPr>
              <w:t>金川集团镍钴股份有限公司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069CCCCA">
            <w:pPr>
              <w:jc w:val="center"/>
              <w:rPr>
                <w:rFonts w:hint="default" w:ascii="Times New Roman" w:cs="Times New Roman" w:hAnsiTheme="minorEastAsia" w:eastAsiaTheme="minorEastAsia"/>
                <w:color w:val="auto"/>
                <w:sz w:val="18"/>
                <w:szCs w:val="18"/>
                <w:lang w:val="en-US" w:eastAsia="zh-CN"/>
              </w:rPr>
            </w:pPr>
            <w:r>
              <w:rPr>
                <w:rFonts w:hint="eastAsia" w:ascii="Times New Roman" w:hAnsi="Times New Roman" w:eastAsia="宋体" w:cs="Times New Roman"/>
                <w:color w:val="auto"/>
                <w:sz w:val="18"/>
                <w:szCs w:val="18"/>
                <w:lang w:val="en-US" w:eastAsia="zh-CN"/>
              </w:rPr>
              <w:t>李伟、潘梅荣、赵金莲、王 玥、张文斌、何发骏、赵有刚</w:t>
            </w:r>
          </w:p>
        </w:tc>
        <w:tc>
          <w:tcPr>
            <w:tcW w:w="4044" w:type="dxa"/>
            <w:tcBorders>
              <w:top w:val="single" w:color="auto" w:sz="4" w:space="0"/>
              <w:left w:val="single" w:color="auto" w:sz="4" w:space="0"/>
              <w:bottom w:val="single" w:color="auto" w:sz="4" w:space="0"/>
              <w:right w:val="single" w:color="auto" w:sz="4" w:space="0"/>
            </w:tcBorders>
            <w:noWrap/>
            <w:vAlign w:val="center"/>
          </w:tcPr>
          <w:p w14:paraId="0DEB5EEE">
            <w:pPr>
              <w:jc w:val="center"/>
              <w:rPr>
                <w:rFonts w:hint="default" w:ascii="Times New Roman" w:cs="Times New Roman" w:hAnsiTheme="minorEastAsia" w:eastAsiaTheme="minorEastAsia"/>
                <w:color w:val="auto"/>
                <w:sz w:val="18"/>
                <w:szCs w:val="18"/>
                <w:lang w:val="en-US" w:eastAsia="zh-CN"/>
              </w:rPr>
            </w:pPr>
            <w:r>
              <w:rPr>
                <w:rFonts w:hint="eastAsia" w:ascii="Times New Roman" w:cs="Times New Roman" w:hAnsiTheme="minorEastAsia" w:eastAsiaTheme="minorEastAsia"/>
                <w:color w:val="auto"/>
                <w:sz w:val="18"/>
                <w:szCs w:val="18"/>
                <w:lang w:val="en-US" w:eastAsia="zh-CN"/>
              </w:rPr>
              <w:t>负责牵头开展取样方法的调研工作，确保技术内容的科学性和适用性；负责标准文本和编制说明编制、修改及相关技术工作</w:t>
            </w:r>
          </w:p>
        </w:tc>
      </w:tr>
      <w:tr w14:paraId="0153BC07">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7BED19AF">
            <w:pPr>
              <w:jc w:val="center"/>
              <w:rPr>
                <w:rFonts w:hint="default" w:ascii="Times New Roman"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2</w:t>
            </w:r>
          </w:p>
        </w:tc>
        <w:tc>
          <w:tcPr>
            <w:tcW w:w="2147" w:type="dxa"/>
            <w:tcBorders>
              <w:top w:val="single" w:color="auto" w:sz="4" w:space="0"/>
              <w:left w:val="single" w:color="auto" w:sz="4" w:space="0"/>
              <w:bottom w:val="single" w:color="auto" w:sz="4" w:space="0"/>
              <w:right w:val="single" w:color="auto" w:sz="4" w:space="0"/>
            </w:tcBorders>
            <w:noWrap/>
            <w:vAlign w:val="center"/>
          </w:tcPr>
          <w:p w14:paraId="32FC64F5">
            <w:pPr>
              <w:jc w:val="center"/>
              <w:rPr>
                <w:rFonts w:ascii="Times New Roman" w:hAnsi="Times New Roman" w:eastAsia="宋体" w:cs="Times New Roman"/>
                <w:color w:val="auto"/>
                <w:sz w:val="18"/>
                <w:szCs w:val="18"/>
              </w:rPr>
            </w:pPr>
            <w:r>
              <w:rPr>
                <w:rFonts w:hint="eastAsia" w:ascii="Times New Roman" w:cs="Times New Roman" w:hAnsiTheme="minorEastAsia" w:eastAsiaTheme="minorEastAsia"/>
                <w:color w:val="auto"/>
                <w:sz w:val="18"/>
                <w:szCs w:val="18"/>
                <w:lang w:val="en-US" w:eastAsia="zh-CN"/>
              </w:rPr>
              <w:t>金川集团股份有限公司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5A699E69">
            <w:pPr>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杨述霞</w:t>
            </w:r>
          </w:p>
        </w:tc>
        <w:tc>
          <w:tcPr>
            <w:tcW w:w="4044" w:type="dxa"/>
            <w:tcBorders>
              <w:top w:val="single" w:color="auto" w:sz="4" w:space="0"/>
              <w:left w:val="single" w:color="auto" w:sz="4" w:space="0"/>
              <w:bottom w:val="single" w:color="auto" w:sz="4" w:space="0"/>
              <w:right w:val="single" w:color="auto" w:sz="4" w:space="0"/>
            </w:tcBorders>
            <w:noWrap/>
            <w:vAlign w:val="center"/>
          </w:tcPr>
          <w:p w14:paraId="5E0A7DD3">
            <w:pPr>
              <w:jc w:val="both"/>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负责标准项目统筹协调、文件修改、讨论及技术把关</w:t>
            </w:r>
          </w:p>
        </w:tc>
      </w:tr>
      <w:tr w14:paraId="53C3F70E">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2F13E442">
            <w:pPr>
              <w:jc w:val="center"/>
              <w:rPr>
                <w:rFonts w:hint="eastAsia" w:hAnsiTheme="minorEastAsia" w:eastAsiaTheme="minorEastAsia"/>
                <w:color w:val="auto"/>
                <w:sz w:val="18"/>
                <w:szCs w:val="18"/>
                <w:lang w:val="en-US" w:eastAsia="zh-CN"/>
              </w:rPr>
            </w:pPr>
            <w:r>
              <w:rPr>
                <w:rFonts w:hint="eastAsia" w:hAnsiTheme="minorEastAsia" w:eastAsiaTheme="minorEastAsia"/>
                <w:color w:val="auto"/>
                <w:sz w:val="18"/>
                <w:szCs w:val="18"/>
                <w:lang w:val="en-US" w:eastAsia="zh-CN"/>
              </w:rPr>
              <w:t>3</w:t>
            </w:r>
          </w:p>
        </w:tc>
        <w:tc>
          <w:tcPr>
            <w:tcW w:w="2147" w:type="dxa"/>
            <w:tcBorders>
              <w:top w:val="single" w:color="auto" w:sz="4" w:space="0"/>
              <w:left w:val="single" w:color="auto" w:sz="4" w:space="0"/>
              <w:bottom w:val="single" w:color="auto" w:sz="4" w:space="0"/>
              <w:right w:val="single" w:color="auto" w:sz="4" w:space="0"/>
            </w:tcBorders>
            <w:noWrap/>
            <w:vAlign w:val="center"/>
          </w:tcPr>
          <w:p w14:paraId="678485E8">
            <w:pPr>
              <w:jc w:val="center"/>
              <w:rPr>
                <w:rFonts w:ascii="Times New Roman" w:hAnsi="Times New Roman" w:eastAsia="宋体" w:cs="Times New Roman"/>
                <w:color w:val="auto"/>
                <w:sz w:val="18"/>
                <w:szCs w:val="18"/>
              </w:rPr>
            </w:pPr>
            <w:r>
              <w:rPr>
                <w:rFonts w:hint="eastAsia" w:hAnsiTheme="minorEastAsia" w:eastAsiaTheme="minorEastAsia"/>
                <w:color w:val="auto"/>
                <w:sz w:val="18"/>
                <w:szCs w:val="18"/>
              </w:rPr>
              <w:t>有色金属</w:t>
            </w:r>
            <w:r>
              <w:rPr>
                <w:rFonts w:hint="eastAsia" w:hAnsiTheme="minorEastAsia" w:eastAsiaTheme="minorEastAsia"/>
                <w:color w:val="auto"/>
                <w:sz w:val="18"/>
                <w:szCs w:val="18"/>
                <w:lang w:val="en-US" w:eastAsia="zh-CN"/>
              </w:rPr>
              <w:t>技术经济研究院有限责任公司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6CA2B232">
            <w:pPr>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val="en-US" w:eastAsia="zh-CN"/>
              </w:rPr>
              <w:t>吴帅锦</w:t>
            </w:r>
          </w:p>
        </w:tc>
        <w:tc>
          <w:tcPr>
            <w:tcW w:w="4044" w:type="dxa"/>
            <w:tcBorders>
              <w:top w:val="single" w:color="auto" w:sz="4" w:space="0"/>
              <w:left w:val="single" w:color="auto" w:sz="4" w:space="0"/>
              <w:bottom w:val="single" w:color="auto" w:sz="4" w:space="0"/>
              <w:right w:val="single" w:color="auto" w:sz="4" w:space="0"/>
            </w:tcBorders>
            <w:noWrap/>
            <w:vAlign w:val="center"/>
          </w:tcPr>
          <w:p w14:paraId="2014FEDA">
            <w:pPr>
              <w:jc w:val="both"/>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负责标准框架确定、任务落实、统筹协调、文件修改、讨论及技术把关</w:t>
            </w:r>
          </w:p>
        </w:tc>
      </w:tr>
      <w:tr w14:paraId="008CD261">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6975849F">
            <w:pPr>
              <w:jc w:val="center"/>
              <w:rPr>
                <w:rFonts w:hint="default" w:ascii="Times New Roman"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4</w:t>
            </w:r>
          </w:p>
        </w:tc>
        <w:tc>
          <w:tcPr>
            <w:tcW w:w="2147" w:type="dxa"/>
            <w:tcBorders>
              <w:top w:val="single" w:color="auto" w:sz="4" w:space="0"/>
              <w:left w:val="single" w:color="auto" w:sz="4" w:space="0"/>
              <w:bottom w:val="single" w:color="auto" w:sz="4" w:space="0"/>
              <w:right w:val="single" w:color="auto" w:sz="4" w:space="0"/>
            </w:tcBorders>
            <w:noWrap/>
            <w:vAlign w:val="center"/>
          </w:tcPr>
          <w:p w14:paraId="71BC7453">
            <w:pPr>
              <w:jc w:val="center"/>
              <w:rPr>
                <w:rFonts w:ascii="Times New Roman" w:hAnsi="Times New Roman" w:eastAsia="宋体" w:cs="Times New Roman"/>
                <w:color w:val="auto"/>
                <w:sz w:val="18"/>
                <w:szCs w:val="18"/>
              </w:rPr>
            </w:pPr>
            <w:r>
              <w:rPr>
                <w:rFonts w:hint="eastAsia" w:ascii="Times New Roman" w:cs="Times New Roman" w:hAnsiTheme="minorEastAsia" w:eastAsiaTheme="minorEastAsia"/>
                <w:color w:val="auto"/>
                <w:sz w:val="18"/>
                <w:szCs w:val="18"/>
                <w:lang w:val="en-US" w:eastAsia="zh-CN"/>
              </w:rPr>
              <w:t>北矿检测技术股份有限公司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469764DC">
            <w:pPr>
              <w:jc w:val="center"/>
              <w:rPr>
                <w:rFonts w:hint="default" w:ascii="Times New Roman" w:hAnsi="Times New Roman" w:eastAsia="宋体" w:cs="Times New Roman"/>
                <w:color w:val="auto"/>
                <w:sz w:val="18"/>
                <w:szCs w:val="18"/>
                <w:lang w:val="en-US"/>
              </w:rPr>
            </w:pPr>
            <w:r>
              <w:rPr>
                <w:rFonts w:hint="eastAsia" w:cs="Times New Roman"/>
                <w:color w:val="auto"/>
                <w:sz w:val="18"/>
                <w:szCs w:val="18"/>
                <w:lang w:val="en-US" w:eastAsia="zh-CN"/>
              </w:rPr>
              <w:t>李朋</w:t>
            </w:r>
          </w:p>
        </w:tc>
        <w:tc>
          <w:tcPr>
            <w:tcW w:w="4044" w:type="dxa"/>
            <w:tcBorders>
              <w:top w:val="single" w:color="auto" w:sz="4" w:space="0"/>
              <w:left w:val="single" w:color="auto" w:sz="4" w:space="0"/>
              <w:bottom w:val="single" w:color="auto" w:sz="4" w:space="0"/>
              <w:right w:val="single" w:color="auto" w:sz="4" w:space="0"/>
            </w:tcBorders>
            <w:noWrap/>
            <w:vAlign w:val="center"/>
          </w:tcPr>
          <w:p w14:paraId="25ABB930">
            <w:pPr>
              <w:jc w:val="both"/>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参与标准文本和编制说明的编制、讨论、提出标准起草意见</w:t>
            </w:r>
          </w:p>
        </w:tc>
      </w:tr>
      <w:tr w14:paraId="4C7A8F80">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2E3A30D7">
            <w:pPr>
              <w:jc w:val="center"/>
              <w:rPr>
                <w:rFonts w:hint="default" w:ascii="Times New Roman"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5</w:t>
            </w:r>
          </w:p>
        </w:tc>
        <w:tc>
          <w:tcPr>
            <w:tcW w:w="2147" w:type="dxa"/>
            <w:tcBorders>
              <w:top w:val="single" w:color="auto" w:sz="4" w:space="0"/>
              <w:left w:val="single" w:color="auto" w:sz="4" w:space="0"/>
              <w:bottom w:val="single" w:color="auto" w:sz="4" w:space="0"/>
              <w:right w:val="single" w:color="auto" w:sz="4" w:space="0"/>
            </w:tcBorders>
            <w:noWrap/>
            <w:vAlign w:val="center"/>
          </w:tcPr>
          <w:p w14:paraId="124A8C7F">
            <w:pPr>
              <w:jc w:val="center"/>
              <w:rPr>
                <w:rFonts w:ascii="Times New Roman" w:hAnsi="Times New Roman" w:eastAsia="宋体" w:cs="Times New Roman"/>
                <w:color w:val="auto"/>
                <w:sz w:val="18"/>
                <w:szCs w:val="18"/>
              </w:rPr>
            </w:pPr>
            <w:r>
              <w:rPr>
                <w:rFonts w:hint="eastAsia" w:ascii="Times New Roman" w:cs="Times New Roman" w:hAnsiTheme="minorEastAsia" w:eastAsiaTheme="minorEastAsia"/>
                <w:color w:val="auto"/>
                <w:sz w:val="18"/>
                <w:szCs w:val="18"/>
                <w:lang w:val="en-US" w:eastAsia="zh-CN"/>
              </w:rPr>
              <w:t>吉林吉恩镍业股份有限公司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5A2A6B0D">
            <w:pPr>
              <w:jc w:val="center"/>
              <w:rPr>
                <w:rFonts w:hint="default" w:ascii="Times New Roman" w:hAnsi="Times New Roman" w:eastAsia="宋体" w:cs="Times New Roman"/>
                <w:color w:val="auto"/>
                <w:sz w:val="18"/>
                <w:szCs w:val="18"/>
                <w:lang w:val="en-US"/>
              </w:rPr>
            </w:pPr>
            <w:r>
              <w:rPr>
                <w:rFonts w:hint="eastAsia" w:cs="Times New Roman"/>
                <w:color w:val="auto"/>
                <w:sz w:val="18"/>
                <w:szCs w:val="18"/>
                <w:lang w:val="en-US" w:eastAsia="zh-CN"/>
              </w:rPr>
              <w:t>赵超越</w:t>
            </w:r>
          </w:p>
        </w:tc>
        <w:tc>
          <w:tcPr>
            <w:tcW w:w="4044" w:type="dxa"/>
            <w:tcBorders>
              <w:top w:val="single" w:color="auto" w:sz="4" w:space="0"/>
              <w:left w:val="single" w:color="auto" w:sz="4" w:space="0"/>
              <w:bottom w:val="single" w:color="auto" w:sz="4" w:space="0"/>
              <w:right w:val="single" w:color="auto" w:sz="4" w:space="0"/>
            </w:tcBorders>
            <w:noWrap/>
            <w:vAlign w:val="center"/>
          </w:tcPr>
          <w:p w14:paraId="45D07DFC">
            <w:pPr>
              <w:jc w:val="both"/>
              <w:rPr>
                <w:rFonts w:ascii="Times New Roman" w:hAnsi="Times New Roman" w:eastAsia="宋体" w:cs="Times New Roman"/>
                <w:color w:val="auto"/>
                <w:sz w:val="18"/>
                <w:szCs w:val="18"/>
              </w:rPr>
            </w:pPr>
            <w:r>
              <w:rPr>
                <w:rFonts w:hint="eastAsia" w:cs="Times New Roman"/>
                <w:color w:val="auto"/>
                <w:sz w:val="18"/>
                <w:szCs w:val="18"/>
                <w:lang w:val="en-US" w:eastAsia="zh-CN"/>
              </w:rPr>
              <w:t>参与标准文本和编制说明的编制、讨论、提出标准起草意见</w:t>
            </w:r>
          </w:p>
        </w:tc>
      </w:tr>
      <w:tr w14:paraId="60403E06">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5DB4791A">
            <w:pPr>
              <w:jc w:val="center"/>
              <w:rPr>
                <w:rFonts w:hint="default" w:ascii="Times New Roman"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6</w:t>
            </w:r>
          </w:p>
        </w:tc>
        <w:tc>
          <w:tcPr>
            <w:tcW w:w="2147" w:type="dxa"/>
            <w:tcBorders>
              <w:top w:val="single" w:color="auto" w:sz="4" w:space="0"/>
              <w:left w:val="single" w:color="auto" w:sz="4" w:space="0"/>
              <w:bottom w:val="single" w:color="auto" w:sz="4" w:space="0"/>
              <w:right w:val="single" w:color="auto" w:sz="4" w:space="0"/>
            </w:tcBorders>
            <w:noWrap/>
            <w:vAlign w:val="center"/>
          </w:tcPr>
          <w:p w14:paraId="1C798871">
            <w:pPr>
              <w:jc w:val="center"/>
              <w:rPr>
                <w:rFonts w:ascii="Times New Roman" w:hAnsi="Times New Roman" w:eastAsia="宋体" w:cs="Times New Roman"/>
                <w:color w:val="auto"/>
                <w:sz w:val="18"/>
                <w:szCs w:val="18"/>
              </w:rPr>
            </w:pPr>
            <w:r>
              <w:rPr>
                <w:rFonts w:hint="eastAsia" w:ascii="Times New Roman" w:cs="Times New Roman" w:hAnsiTheme="minorEastAsia" w:eastAsiaTheme="minorEastAsia"/>
                <w:color w:val="auto"/>
                <w:sz w:val="18"/>
                <w:szCs w:val="18"/>
                <w:lang w:val="en-US" w:eastAsia="zh-CN"/>
              </w:rPr>
              <w:t>格林美股份有限公司</w:t>
            </w:r>
          </w:p>
        </w:tc>
        <w:tc>
          <w:tcPr>
            <w:tcW w:w="2294" w:type="dxa"/>
            <w:tcBorders>
              <w:top w:val="single" w:color="auto" w:sz="4" w:space="0"/>
              <w:left w:val="single" w:color="auto" w:sz="4" w:space="0"/>
              <w:bottom w:val="single" w:color="auto" w:sz="4" w:space="0"/>
              <w:right w:val="single" w:color="auto" w:sz="4" w:space="0"/>
            </w:tcBorders>
            <w:noWrap/>
            <w:vAlign w:val="center"/>
          </w:tcPr>
          <w:p w14:paraId="5DC7CA94">
            <w:pPr>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lang w:val="en-US" w:eastAsia="zh-CN"/>
              </w:rPr>
              <w:t>王</w:t>
            </w:r>
            <w:r>
              <w:rPr>
                <w:rFonts w:hint="eastAsia"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慧</w:t>
            </w:r>
            <w:r>
              <w:rPr>
                <w:rFonts w:hint="eastAsia" w:cs="Times New Roman"/>
                <w:color w:val="auto"/>
                <w:sz w:val="18"/>
                <w:szCs w:val="18"/>
                <w:lang w:val="en-US" w:eastAsia="zh-CN"/>
              </w:rPr>
              <w:t>、许开华</w:t>
            </w:r>
          </w:p>
        </w:tc>
        <w:tc>
          <w:tcPr>
            <w:tcW w:w="4044" w:type="dxa"/>
            <w:tcBorders>
              <w:top w:val="single" w:color="auto" w:sz="4" w:space="0"/>
              <w:left w:val="single" w:color="auto" w:sz="4" w:space="0"/>
              <w:bottom w:val="single" w:color="auto" w:sz="4" w:space="0"/>
              <w:right w:val="single" w:color="auto" w:sz="4" w:space="0"/>
            </w:tcBorders>
            <w:noWrap/>
            <w:vAlign w:val="center"/>
          </w:tcPr>
          <w:p w14:paraId="48FF29AC">
            <w:pPr>
              <w:jc w:val="both"/>
              <w:rPr>
                <w:rFonts w:ascii="Times New Roman" w:hAnsi="Times New Roman" w:eastAsia="宋体" w:cs="Times New Roman"/>
                <w:color w:val="auto"/>
                <w:sz w:val="18"/>
                <w:szCs w:val="18"/>
              </w:rPr>
            </w:pPr>
            <w:r>
              <w:rPr>
                <w:rFonts w:hint="eastAsia" w:cs="Times New Roman"/>
                <w:color w:val="auto"/>
                <w:sz w:val="18"/>
                <w:szCs w:val="18"/>
                <w:lang w:val="en-US" w:eastAsia="zh-CN"/>
              </w:rPr>
              <w:t>参与标准文本和编制说明的编制、讨论、提出标准起草意见</w:t>
            </w:r>
          </w:p>
        </w:tc>
      </w:tr>
      <w:tr w14:paraId="6710FF7B">
        <w:tblPrEx>
          <w:tblCellMar>
            <w:top w:w="0" w:type="dxa"/>
            <w:left w:w="108" w:type="dxa"/>
            <w:bottom w:w="0" w:type="dxa"/>
            <w:right w:w="108" w:type="dxa"/>
          </w:tblCellMar>
        </w:tblPrEx>
        <w:trPr>
          <w:trHeight w:val="528" w:hRule="atLeast"/>
          <w:jc w:val="center"/>
        </w:trPr>
        <w:tc>
          <w:tcPr>
            <w:tcW w:w="857" w:type="dxa"/>
            <w:tcBorders>
              <w:top w:val="single" w:color="auto" w:sz="4" w:space="0"/>
              <w:left w:val="single" w:color="auto" w:sz="4" w:space="0"/>
              <w:bottom w:val="single" w:color="auto" w:sz="4" w:space="0"/>
              <w:right w:val="single" w:color="auto" w:sz="4" w:space="0"/>
            </w:tcBorders>
            <w:noWrap/>
            <w:vAlign w:val="center"/>
          </w:tcPr>
          <w:p w14:paraId="51BE5E04">
            <w:pPr>
              <w:jc w:val="center"/>
              <w:rPr>
                <w:rFonts w:hint="default" w:cs="Times New Roman" w:hAnsiTheme="minorEastAsia" w:eastAsiaTheme="minorEastAsia"/>
                <w:color w:val="auto"/>
                <w:sz w:val="18"/>
                <w:szCs w:val="18"/>
                <w:lang w:val="en-US" w:eastAsia="zh-CN"/>
              </w:rPr>
            </w:pPr>
            <w:r>
              <w:rPr>
                <w:rFonts w:hint="eastAsia" w:cs="Times New Roman" w:hAnsiTheme="minorEastAsia" w:eastAsiaTheme="minorEastAsia"/>
                <w:color w:val="auto"/>
                <w:sz w:val="18"/>
                <w:szCs w:val="18"/>
                <w:lang w:val="en-US" w:eastAsia="zh-CN"/>
              </w:rPr>
              <w:t>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E4E116">
            <w:pPr>
              <w:jc w:val="center"/>
              <w:rPr>
                <w:rFonts w:hint="eastAsia" w:ascii="Times New Roman" w:cs="Times New Roman" w:hAnsiTheme="minorEastAsia" w:eastAsiaTheme="minorEastAsia"/>
                <w:color w:val="auto"/>
                <w:kern w:val="2"/>
                <w:sz w:val="18"/>
                <w:szCs w:val="18"/>
                <w:lang w:val="en-US" w:eastAsia="zh-CN" w:bidi="ar-SA"/>
              </w:rPr>
            </w:pPr>
            <w:r>
              <w:rPr>
                <w:rFonts w:hint="eastAsia" w:ascii="Times New Roman" w:cs="Times New Roman" w:hAnsiTheme="minorEastAsia" w:eastAsiaTheme="minorEastAsia"/>
                <w:color w:val="auto"/>
                <w:sz w:val="18"/>
                <w:szCs w:val="18"/>
                <w:lang w:val="en-US" w:eastAsia="zh-CN"/>
              </w:rPr>
              <w:t>衢州华友钴新材料有限公司</w:t>
            </w:r>
          </w:p>
        </w:tc>
        <w:tc>
          <w:tcPr>
            <w:tcW w:w="22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B2289">
            <w:pPr>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lang w:val="en-US" w:eastAsia="zh-CN"/>
              </w:rPr>
              <w:t>倪建成、焦静</w:t>
            </w:r>
          </w:p>
        </w:tc>
        <w:tc>
          <w:tcPr>
            <w:tcW w:w="40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683AD">
            <w:pPr>
              <w:jc w:val="left"/>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参与标准文本和编制说明的编制、讨论、提出标准起草意见</w:t>
            </w:r>
          </w:p>
        </w:tc>
      </w:tr>
    </w:tbl>
    <w:p w14:paraId="4E408B2E">
      <w:pPr>
        <w:tabs>
          <w:tab w:val="left" w:pos="720"/>
        </w:tabs>
        <w:spacing w:line="360" w:lineRule="auto"/>
        <w:rPr>
          <w:b/>
          <w:bCs/>
          <w:szCs w:val="21"/>
        </w:rPr>
      </w:pPr>
      <w:r>
        <w:rPr>
          <w:rFonts w:hint="eastAsia"/>
          <w:b/>
          <w:bCs/>
          <w:szCs w:val="21"/>
          <w:lang w:val="en-US" w:eastAsia="zh-CN"/>
        </w:rPr>
        <w:t>1.4</w:t>
      </w:r>
      <w:r>
        <w:rPr>
          <w:b/>
          <w:bCs/>
          <w:szCs w:val="21"/>
        </w:rPr>
        <w:t>主要工作过程</w:t>
      </w:r>
      <w:bookmarkEnd w:id="9"/>
    </w:p>
    <w:p w14:paraId="0ADEED8B">
      <w:pPr>
        <w:tabs>
          <w:tab w:val="left" w:pos="720"/>
        </w:tabs>
        <w:spacing w:line="360" w:lineRule="auto"/>
        <w:rPr>
          <w:rFonts w:hint="eastAsia" w:hAnsiTheme="minorEastAsia" w:eastAsiaTheme="minorEastAsia"/>
          <w:b/>
          <w:bCs/>
          <w:szCs w:val="21"/>
          <w:lang w:val="en-US" w:eastAsia="zh-CN"/>
        </w:rPr>
      </w:pPr>
      <w:bookmarkStart w:id="10" w:name="_Toc111022819"/>
      <w:r>
        <w:rPr>
          <w:rFonts w:hint="eastAsia" w:hAnsiTheme="minorEastAsia" w:eastAsiaTheme="minorEastAsia"/>
          <w:b/>
          <w:bCs/>
          <w:szCs w:val="21"/>
          <w:lang w:val="en-US" w:eastAsia="zh-CN"/>
        </w:rPr>
        <w:t>1.4.1预研阶段</w:t>
      </w:r>
      <w:bookmarkEnd w:id="10"/>
    </w:p>
    <w:p w14:paraId="7142ADDC">
      <w:pPr>
        <w:tabs>
          <w:tab w:val="left" w:pos="720"/>
        </w:tabs>
        <w:spacing w:line="360" w:lineRule="auto"/>
        <w:ind w:left="0" w:leftChars="0" w:firstLine="380" w:firstLineChars="200"/>
        <w:rPr>
          <w:rFonts w:hint="eastAsia" w:hAnsiTheme="minorEastAsia" w:eastAsiaTheme="minorEastAsia"/>
          <w:szCs w:val="21"/>
          <w:lang w:val="en-US" w:eastAsia="zh-CN"/>
        </w:rPr>
      </w:pPr>
      <w:bookmarkStart w:id="11" w:name="_Toc111022820"/>
      <w:r>
        <w:rPr>
          <w:rFonts w:hint="eastAsia" w:ascii="宋体" w:hAnsi="宋体" w:cs="宋体"/>
          <w:color w:val="1F2329"/>
          <w:kern w:val="0"/>
          <w:sz w:val="19"/>
          <w:szCs w:val="19"/>
          <w:lang w:val="en-US" w:eastAsia="zh-CN" w:bidi="ar"/>
        </w:rPr>
        <w:t>2024年11</w:t>
      </w:r>
      <w:r>
        <w:rPr>
          <w:rFonts w:hint="eastAsia" w:hAnsiTheme="minorEastAsia" w:eastAsiaTheme="minorEastAsia"/>
          <w:szCs w:val="21"/>
          <w:lang w:val="en-US" w:eastAsia="zh-CN"/>
        </w:rPr>
        <w:t>月</w:t>
      </w:r>
      <w:r>
        <w:rPr>
          <w:rFonts w:hint="eastAsia" w:ascii="Times New Roman" w:cs="Times New Roman" w:hAnsiTheme="minorEastAsia" w:eastAsiaTheme="minorEastAsia"/>
          <w:color w:val="auto"/>
          <w:szCs w:val="21"/>
          <w:lang w:val="en-US" w:eastAsia="zh-CN"/>
        </w:rPr>
        <w:t>金川集团股份有限公司</w:t>
      </w:r>
      <w:r>
        <w:rPr>
          <w:rFonts w:hint="eastAsia" w:cs="Times New Roman" w:hAnsiTheme="minorEastAsia" w:eastAsiaTheme="minorEastAsia"/>
          <w:color w:val="auto"/>
          <w:szCs w:val="21"/>
          <w:lang w:val="en-US" w:eastAsia="zh-CN"/>
        </w:rPr>
        <w:t>根据I</w:t>
      </w:r>
      <w:r>
        <w:rPr>
          <w:rFonts w:hint="eastAsia" w:hAnsiTheme="minorEastAsia" w:eastAsiaTheme="minorEastAsia"/>
          <w:color w:val="auto"/>
          <w:szCs w:val="21"/>
          <w:lang w:val="en-US" w:eastAsia="zh-CN"/>
        </w:rPr>
        <w:t>SO 23163:2019国际</w:t>
      </w:r>
      <w:r>
        <w:rPr>
          <w:rFonts w:hint="eastAsia" w:hAnsiTheme="minorEastAsia" w:eastAsiaTheme="minorEastAsia"/>
          <w:szCs w:val="21"/>
          <w:lang w:val="en-US" w:eastAsia="zh-CN"/>
        </w:rPr>
        <w:t>标准，结合现行国家标准 GB/T 26022-2010《精炼镍 取样方法》编制了《精炼镍 取样方法》草案，后经</w:t>
      </w:r>
      <w:r>
        <w:rPr>
          <w:rFonts w:hint="eastAsia" w:hAnsiTheme="minorEastAsia" w:eastAsiaTheme="minorEastAsia"/>
          <w:color w:val="auto"/>
          <w:szCs w:val="21"/>
        </w:rPr>
        <w:t>有色金属</w:t>
      </w:r>
      <w:r>
        <w:rPr>
          <w:rFonts w:hint="eastAsia" w:hAnsiTheme="minorEastAsia" w:eastAsiaTheme="minorEastAsia"/>
          <w:color w:val="auto"/>
          <w:szCs w:val="21"/>
          <w:lang w:val="en-US" w:eastAsia="zh-CN"/>
        </w:rPr>
        <w:t>技术经济研究院有限责任公司技术人员修改，于2025年1月申报标准修订计划。</w:t>
      </w:r>
    </w:p>
    <w:p w14:paraId="58F53B75">
      <w:pPr>
        <w:spacing w:line="360" w:lineRule="auto"/>
        <w:outlineLvl w:val="2"/>
        <w:rPr>
          <w:rFonts w:eastAsiaTheme="minorEastAsia"/>
          <w:b/>
          <w:bCs/>
          <w:color w:val="000000"/>
          <w:szCs w:val="21"/>
        </w:rPr>
      </w:pPr>
      <w:r>
        <w:rPr>
          <w:rFonts w:hint="eastAsia" w:eastAsiaTheme="minorEastAsia"/>
          <w:b/>
          <w:bCs/>
          <w:color w:val="000000"/>
          <w:szCs w:val="21"/>
          <w:lang w:val="en-US" w:eastAsia="zh-CN"/>
        </w:rPr>
        <w:t>1.4.2</w:t>
      </w:r>
      <w:r>
        <w:rPr>
          <w:rFonts w:hAnsiTheme="minorEastAsia" w:eastAsiaTheme="minorEastAsia"/>
          <w:b/>
          <w:bCs/>
          <w:color w:val="000000"/>
          <w:szCs w:val="21"/>
        </w:rPr>
        <w:t>立项阶段</w:t>
      </w:r>
      <w:bookmarkEnd w:id="11"/>
    </w:p>
    <w:p w14:paraId="78445849">
      <w:pPr>
        <w:tabs>
          <w:tab w:val="left" w:pos="720"/>
        </w:tabs>
        <w:spacing w:line="360" w:lineRule="auto"/>
        <w:ind w:left="0" w:leftChars="0" w:firstLine="420" w:firstLineChars="200"/>
        <w:rPr>
          <w:rFonts w:hint="default" w:hAnsiTheme="minorEastAsia" w:eastAsiaTheme="minorEastAsia"/>
          <w:szCs w:val="21"/>
          <w:lang w:val="en-US" w:eastAsia="zh-CN"/>
        </w:rPr>
      </w:pPr>
      <w:r>
        <w:rPr>
          <w:rFonts w:hint="eastAsia" w:hAnsiTheme="minorEastAsia" w:eastAsiaTheme="minorEastAsia"/>
          <w:szCs w:val="21"/>
          <w:lang w:val="en-US" w:eastAsia="zh-CN"/>
        </w:rPr>
        <w:t>2025年8月</w:t>
      </w:r>
      <w:r>
        <w:rPr>
          <w:rFonts w:hint="eastAsia" w:hAnsiTheme="minorEastAsia" w:eastAsiaTheme="minorEastAsia"/>
          <w:color w:val="auto"/>
          <w:szCs w:val="21"/>
          <w:lang w:val="en-US" w:eastAsia="zh-CN"/>
        </w:rPr>
        <w:t>国标委发</w:t>
      </w:r>
      <w:r>
        <w:rPr>
          <w:rFonts w:hint="eastAsia" w:ascii="宋体" w:hAnsi="宋体" w:eastAsia="宋体" w:cs="宋体"/>
          <w:color w:val="auto"/>
          <w:szCs w:val="21"/>
          <w:lang w:val="en-US" w:eastAsia="zh-CN"/>
        </w:rPr>
        <w:t>[2025]43号</w:t>
      </w:r>
      <w:r>
        <w:rPr>
          <w:rFonts w:hint="eastAsia" w:hAnsiTheme="minorEastAsia" w:eastAsiaTheme="minorEastAsia"/>
          <w:color w:val="auto"/>
          <w:szCs w:val="21"/>
          <w:lang w:val="en-US" w:eastAsia="zh-CN"/>
        </w:rPr>
        <w:t>文批准标准修订计划，完成时间12个月。</w:t>
      </w:r>
    </w:p>
    <w:p w14:paraId="57A52E34">
      <w:pPr>
        <w:tabs>
          <w:tab w:val="left" w:pos="720"/>
        </w:tabs>
        <w:spacing w:line="360" w:lineRule="auto"/>
        <w:rPr>
          <w:rFonts w:hint="eastAsia"/>
          <w:b/>
          <w:bCs/>
          <w:szCs w:val="21"/>
        </w:rPr>
      </w:pPr>
      <w:bookmarkStart w:id="12" w:name="_Toc111022821"/>
      <w:r>
        <w:rPr>
          <w:rFonts w:hint="eastAsia"/>
          <w:b/>
          <w:bCs/>
          <w:szCs w:val="21"/>
          <w:lang w:val="en-US" w:eastAsia="zh-CN"/>
        </w:rPr>
        <w:t>1.4.3</w:t>
      </w:r>
      <w:r>
        <w:rPr>
          <w:rFonts w:hint="eastAsia"/>
          <w:b/>
          <w:bCs/>
          <w:szCs w:val="21"/>
        </w:rPr>
        <w:t>起草阶段</w:t>
      </w:r>
      <w:bookmarkEnd w:id="12"/>
    </w:p>
    <w:p w14:paraId="389FE9FC">
      <w:pPr>
        <w:spacing w:line="360" w:lineRule="auto"/>
        <w:ind w:firstLine="420" w:firstLineChars="200"/>
        <w:rPr>
          <w:rFonts w:hint="eastAsia"/>
          <w:szCs w:val="21"/>
          <w:lang w:val="en-US" w:eastAsia="zh-CN"/>
        </w:rPr>
      </w:pPr>
      <w:bookmarkStart w:id="13" w:name="_Toc111022825"/>
      <w:bookmarkStart w:id="14" w:name="_Hlk92446264"/>
      <w:r>
        <w:rPr>
          <w:rFonts w:hint="eastAsia"/>
          <w:szCs w:val="21"/>
          <w:lang w:val="en-US" w:eastAsia="zh-CN"/>
        </w:rPr>
        <w:t>2025 年 11 月，全国有色金属标准化技术委员会组织相关单位在杭州市召开《精炼镍 取样方法》标准修订任务落实会，</w:t>
      </w:r>
      <w:r>
        <w:rPr>
          <w:rFonts w:hint="eastAsia" w:hAnsiTheme="minorEastAsia" w:eastAsiaTheme="minorEastAsia"/>
          <w:color w:val="auto"/>
          <w:szCs w:val="21"/>
        </w:rPr>
        <w:t>有色金属</w:t>
      </w:r>
      <w:r>
        <w:rPr>
          <w:rFonts w:hint="eastAsia" w:hAnsiTheme="minorEastAsia" w:eastAsiaTheme="minorEastAsia"/>
          <w:color w:val="auto"/>
          <w:szCs w:val="21"/>
          <w:lang w:val="en-US" w:eastAsia="zh-CN"/>
        </w:rPr>
        <w:t>技术经济研究院有限责任公司、</w:t>
      </w:r>
      <w:r>
        <w:rPr>
          <w:rFonts w:hint="eastAsia" w:ascii="Times New Roman" w:cs="Times New Roman" w:hAnsiTheme="minorEastAsia" w:eastAsiaTheme="minorEastAsia"/>
          <w:color w:val="auto"/>
          <w:szCs w:val="21"/>
          <w:lang w:val="en-US" w:eastAsia="zh-CN"/>
        </w:rPr>
        <w:t>金川集团镍钴股份有限公司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北矿检测技术股份有限公司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吉林吉恩镍业股份有限公司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格林美股份有限公司</w:t>
      </w:r>
      <w:r>
        <w:rPr>
          <w:rFonts w:hint="eastAsia" w:cs="Times New Roman" w:hAnsiTheme="minorEastAsia" w:eastAsiaTheme="minorEastAsia"/>
          <w:color w:val="auto"/>
          <w:szCs w:val="21"/>
          <w:lang w:val="en-US" w:eastAsia="zh-CN"/>
        </w:rPr>
        <w:t>、</w:t>
      </w:r>
      <w:r>
        <w:rPr>
          <w:rFonts w:hint="eastAsia" w:ascii="Times New Roman" w:cs="Times New Roman" w:hAnsiTheme="minorEastAsia" w:eastAsiaTheme="minorEastAsia"/>
          <w:color w:val="auto"/>
          <w:szCs w:val="21"/>
          <w:lang w:val="en-US" w:eastAsia="zh-CN"/>
        </w:rPr>
        <w:t>衢州华友钴新材料有限公司等编制组成员单位悉数参会。会议明确了各编制组成员的具体工作分工，进一步部署了国内精炼镍行业</w:t>
      </w:r>
      <w:r>
        <w:rPr>
          <w:rFonts w:hint="eastAsia"/>
          <w:szCs w:val="21"/>
          <w:lang w:val="en-US" w:eastAsia="zh-CN"/>
        </w:rPr>
        <w:t>取样调研工作，同时规划了标准草案编制、征求意见、审查报批等各阶段的工作时间表。</w:t>
      </w:r>
    </w:p>
    <w:p w14:paraId="7B73DB57">
      <w:pPr>
        <w:spacing w:line="360" w:lineRule="auto"/>
        <w:ind w:firstLine="420" w:firstLineChars="200"/>
        <w:rPr>
          <w:rFonts w:hint="eastAsia"/>
          <w:szCs w:val="21"/>
          <w:lang w:val="en-US" w:eastAsia="zh-CN"/>
        </w:rPr>
      </w:pPr>
      <w:r>
        <w:rPr>
          <w:rFonts w:hint="eastAsia"/>
          <w:szCs w:val="21"/>
          <w:lang w:val="en-US" w:eastAsia="zh-CN"/>
        </w:rPr>
        <w:t>2025年12月，编制组结合前期调研成果与行业实际生产需求，全国有色金属标准化技术委员会组织相关单位在厦门召开《精炼镍 取样方法》标准修订讨论会，形成如下意见。（见表2）</w:t>
      </w:r>
    </w:p>
    <w:p w14:paraId="3C59116C">
      <w:pPr>
        <w:pStyle w:val="25"/>
        <w:jc w:val="center"/>
        <w:rPr>
          <w:rFonts w:hint="eastAsia" w:ascii="Times New Roman" w:hAnsi="Times New Roman" w:eastAsia="宋体" w:cs="Times New Roman"/>
          <w:kern w:val="2"/>
          <w:sz w:val="21"/>
          <w:szCs w:val="21"/>
          <w:lang w:val="en-US" w:eastAsia="zh-CN" w:bidi="ar-SA"/>
        </w:rPr>
      </w:pPr>
    </w:p>
    <w:p w14:paraId="6A06C166">
      <w:pPr>
        <w:pStyle w:val="25"/>
        <w:jc w:val="center"/>
        <w:rPr>
          <w:rFonts w:hint="eastAsia" w:ascii="Times New Roman" w:hAnsi="Times New Roman" w:eastAsia="宋体" w:cs="Times New Roman"/>
          <w:kern w:val="2"/>
          <w:sz w:val="21"/>
          <w:szCs w:val="21"/>
          <w:lang w:val="en-US" w:eastAsia="zh-CN" w:bidi="ar-SA"/>
        </w:rPr>
      </w:pPr>
    </w:p>
    <w:p w14:paraId="51FD2A5F">
      <w:pPr>
        <w:pStyle w:val="25"/>
        <w:jc w:val="center"/>
        <w:rPr>
          <w:rFonts w:hint="eastAsia" w:ascii="Times New Roman" w:hAnsi="Times New Roman" w:eastAsia="宋体" w:cs="Times New Roman"/>
          <w:kern w:val="2"/>
          <w:sz w:val="21"/>
          <w:szCs w:val="21"/>
          <w:lang w:val="en-US" w:eastAsia="zh-CN" w:bidi="ar-SA"/>
        </w:rPr>
      </w:pPr>
    </w:p>
    <w:p w14:paraId="4BC6E1CA">
      <w:pPr>
        <w:pStyle w:val="25"/>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表</w:t>
      </w:r>
      <w:r>
        <w:rPr>
          <w:rFonts w:hint="eastAsia" w:ascii="Times New Roman" w:hAnsi="Times New Roman" w:cs="Times New Roman"/>
          <w:kern w:val="2"/>
          <w:sz w:val="21"/>
          <w:szCs w:val="21"/>
          <w:lang w:val="en-US" w:eastAsia="zh-CN" w:bidi="ar-SA"/>
        </w:rPr>
        <w:t>2</w:t>
      </w:r>
      <w:r>
        <w:rPr>
          <w:rFonts w:hint="eastAsia" w:ascii="Times New Roman" w:hAnsi="Times New Roman" w:eastAsia="宋体" w:cs="Times New Roman"/>
          <w:kern w:val="2"/>
          <w:sz w:val="21"/>
          <w:szCs w:val="21"/>
          <w:lang w:val="en-US" w:eastAsia="zh-CN" w:bidi="ar-SA"/>
        </w:rPr>
        <w:t>：标准意见汇总处理表</w:t>
      </w:r>
      <w:r>
        <w:rPr>
          <w:rFonts w:hint="eastAsia" w:ascii="Times New Roman" w:hAnsi="Times New Roman" w:cs="Times New Roman"/>
          <w:kern w:val="2"/>
          <w:sz w:val="21"/>
          <w:szCs w:val="21"/>
          <w:lang w:val="en-US" w:eastAsia="zh-CN" w:bidi="ar-SA"/>
        </w:rPr>
        <w:t>（厦门会议）</w:t>
      </w:r>
    </w:p>
    <w:tbl>
      <w:tblPr>
        <w:tblStyle w:val="19"/>
        <w:tblW w:w="9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573"/>
        <w:gridCol w:w="2480"/>
        <w:gridCol w:w="1120"/>
        <w:gridCol w:w="3267"/>
        <w:gridCol w:w="467"/>
      </w:tblGrid>
      <w:tr w14:paraId="5A11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44" w:type="dxa"/>
            <w:noWrap w:val="0"/>
            <w:vAlign w:val="center"/>
          </w:tcPr>
          <w:p w14:paraId="3E1571E0">
            <w:pPr>
              <w:pStyle w:val="25"/>
              <w:tabs>
                <w:tab w:val="center" w:pos="4201"/>
                <w:tab w:val="right" w:leader="dot" w:pos="9298"/>
              </w:tabs>
              <w:adjustRightInd w:val="0"/>
              <w:snapToGrid w:val="0"/>
              <w:ind w:left="-105" w:leftChars="-50" w:right="-105" w:rightChars="-50" w:firstLine="0" w:firstLineChars="0"/>
              <w:jc w:val="center"/>
              <w:rPr>
                <w:rFonts w:ascii="Times New Roman"/>
                <w:b/>
                <w:bCs/>
                <w:szCs w:val="21"/>
              </w:rPr>
            </w:pPr>
            <w:r>
              <w:rPr>
                <w:rFonts w:ascii="Times New Roman"/>
                <w:b/>
                <w:bCs/>
                <w:szCs w:val="21"/>
              </w:rPr>
              <w:t>序号</w:t>
            </w:r>
          </w:p>
        </w:tc>
        <w:tc>
          <w:tcPr>
            <w:tcW w:w="1573" w:type="dxa"/>
            <w:noWrap w:val="0"/>
            <w:vAlign w:val="center"/>
          </w:tcPr>
          <w:p w14:paraId="52FE2A99">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章节条款</w:t>
            </w:r>
          </w:p>
        </w:tc>
        <w:tc>
          <w:tcPr>
            <w:tcW w:w="2480" w:type="dxa"/>
            <w:noWrap w:val="0"/>
            <w:vAlign w:val="center"/>
          </w:tcPr>
          <w:p w14:paraId="72F27DB2">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意见内容</w:t>
            </w:r>
          </w:p>
        </w:tc>
        <w:tc>
          <w:tcPr>
            <w:tcW w:w="1120" w:type="dxa"/>
            <w:noWrap w:val="0"/>
            <w:vAlign w:val="center"/>
          </w:tcPr>
          <w:p w14:paraId="7D12F04C">
            <w:pPr>
              <w:pStyle w:val="25"/>
              <w:tabs>
                <w:tab w:val="center" w:pos="4201"/>
                <w:tab w:val="right" w:leader="dot" w:pos="9298"/>
              </w:tabs>
              <w:adjustRightInd w:val="0"/>
              <w:snapToGrid w:val="0"/>
              <w:ind w:left="-284" w:right="-284" w:firstLine="0" w:firstLineChars="0"/>
              <w:jc w:val="center"/>
              <w:rPr>
                <w:rFonts w:ascii="Times New Roman"/>
                <w:b/>
                <w:bCs/>
                <w:szCs w:val="21"/>
              </w:rPr>
            </w:pPr>
            <w:r>
              <w:rPr>
                <w:rFonts w:ascii="Times New Roman"/>
                <w:b/>
                <w:bCs/>
                <w:szCs w:val="21"/>
              </w:rPr>
              <w:t>提出单位</w:t>
            </w:r>
          </w:p>
        </w:tc>
        <w:tc>
          <w:tcPr>
            <w:tcW w:w="3267" w:type="dxa"/>
            <w:noWrap w:val="0"/>
            <w:vAlign w:val="center"/>
          </w:tcPr>
          <w:p w14:paraId="3AE186B3">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处理意见</w:t>
            </w:r>
          </w:p>
        </w:tc>
        <w:tc>
          <w:tcPr>
            <w:tcW w:w="467" w:type="dxa"/>
            <w:noWrap w:val="0"/>
            <w:vAlign w:val="center"/>
          </w:tcPr>
          <w:p w14:paraId="20EAB7F3">
            <w:pPr>
              <w:pStyle w:val="25"/>
              <w:tabs>
                <w:tab w:val="center" w:pos="4201"/>
                <w:tab w:val="right" w:leader="dot" w:pos="9298"/>
              </w:tabs>
              <w:adjustRightInd w:val="0"/>
              <w:snapToGrid w:val="0"/>
              <w:ind w:right="-50" w:firstLine="0" w:firstLineChars="0"/>
              <w:jc w:val="center"/>
              <w:rPr>
                <w:rFonts w:ascii="Times New Roman"/>
                <w:b/>
                <w:bCs/>
                <w:szCs w:val="21"/>
              </w:rPr>
            </w:pPr>
            <w:r>
              <w:rPr>
                <w:rFonts w:ascii="Times New Roman"/>
                <w:b/>
                <w:bCs/>
                <w:szCs w:val="21"/>
              </w:rPr>
              <w:t>备注</w:t>
            </w:r>
          </w:p>
        </w:tc>
      </w:tr>
      <w:tr w14:paraId="361E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4C5D4725">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1</w:t>
            </w:r>
          </w:p>
        </w:tc>
        <w:tc>
          <w:tcPr>
            <w:tcW w:w="1573" w:type="dxa"/>
            <w:noWrap w:val="0"/>
            <w:vAlign w:val="center"/>
          </w:tcPr>
          <w:p w14:paraId="4E87EF55">
            <w:pPr>
              <w:pStyle w:val="25"/>
              <w:tabs>
                <w:tab w:val="center" w:pos="4201"/>
                <w:tab w:val="right" w:leader="dot" w:pos="9298"/>
              </w:tabs>
              <w:adjustRightInd w:val="0"/>
              <w:snapToGrid w:val="0"/>
              <w:ind w:left="-50" w:right="-50" w:firstLine="0" w:firstLineChars="0"/>
              <w:jc w:val="left"/>
              <w:rPr>
                <w:rFonts w:hint="eastAsia" w:ascii="Times New Roman"/>
                <w:sz w:val="18"/>
                <w:szCs w:val="18"/>
                <w:lang w:val="en-US" w:eastAsia="zh-CN"/>
              </w:rPr>
            </w:pPr>
            <w:r>
              <w:rPr>
                <w:rFonts w:hint="eastAsia" w:ascii="Times New Roman"/>
                <w:sz w:val="18"/>
                <w:szCs w:val="18"/>
                <w:lang w:val="en-US" w:eastAsia="zh-CN"/>
              </w:rPr>
              <w:t>2规范性引用文件</w:t>
            </w:r>
          </w:p>
          <w:p w14:paraId="4775E7DB">
            <w:pPr>
              <w:pStyle w:val="25"/>
              <w:tabs>
                <w:tab w:val="center" w:pos="4201"/>
                <w:tab w:val="right" w:leader="dot" w:pos="9298"/>
              </w:tabs>
              <w:adjustRightInd w:val="0"/>
              <w:snapToGrid w:val="0"/>
              <w:ind w:left="-50" w:right="-50" w:firstLine="0" w:firstLineChars="0"/>
              <w:jc w:val="left"/>
              <w:rPr>
                <w:rFonts w:ascii="Times New Roman"/>
                <w:sz w:val="18"/>
                <w:szCs w:val="18"/>
              </w:rPr>
            </w:pPr>
          </w:p>
        </w:tc>
        <w:tc>
          <w:tcPr>
            <w:tcW w:w="2480" w:type="dxa"/>
            <w:noWrap w:val="0"/>
            <w:vAlign w:val="center"/>
          </w:tcPr>
          <w:p w14:paraId="5E56B4F6">
            <w:pPr>
              <w:pStyle w:val="43"/>
              <w:numPr>
                <w:ilvl w:val="0"/>
                <w:numId w:val="0"/>
              </w:numPr>
              <w:rPr>
                <w:rFonts w:hint="eastAsia" w:ascii="仿宋_GB2312" w:eastAsia="仿宋_GB2312"/>
                <w:sz w:val="18"/>
                <w:szCs w:val="18"/>
              </w:rPr>
            </w:pPr>
            <w:r>
              <w:rPr>
                <w:rFonts w:hint="eastAsia" w:ascii="Times New Roman" w:hAnsi="Times New Roman" w:eastAsia="宋体" w:cs="Times New Roman"/>
                <w:kern w:val="2"/>
                <w:sz w:val="18"/>
                <w:szCs w:val="18"/>
                <w:lang w:val="en-US" w:eastAsia="zh-CN" w:bidi="ar-SA"/>
              </w:rPr>
              <w:t>规范性引用文件GB/T 25951 镍及镍合金术语和定义，是否合理，研究一下是否全面</w:t>
            </w:r>
          </w:p>
          <w:p w14:paraId="6AC3A57A">
            <w:pPr>
              <w:pStyle w:val="25"/>
              <w:widowControl w:val="0"/>
              <w:tabs>
                <w:tab w:val="center" w:pos="4201"/>
                <w:tab w:val="right" w:leader="dot" w:pos="9298"/>
              </w:tabs>
              <w:adjustRightInd w:val="0"/>
              <w:snapToGrid w:val="0"/>
              <w:ind w:firstLine="0" w:firstLineChars="0"/>
              <w:rPr>
                <w:rFonts w:hint="eastAsia" w:ascii="Times New Roman"/>
                <w:kern w:val="2"/>
                <w:sz w:val="18"/>
                <w:szCs w:val="18"/>
              </w:rPr>
            </w:pPr>
          </w:p>
        </w:tc>
        <w:tc>
          <w:tcPr>
            <w:tcW w:w="1120" w:type="dxa"/>
            <w:noWrap w:val="0"/>
            <w:vAlign w:val="center"/>
          </w:tcPr>
          <w:p w14:paraId="04EBFD03">
            <w:pPr>
              <w:pStyle w:val="25"/>
              <w:widowControl w:val="0"/>
              <w:tabs>
                <w:tab w:val="center" w:pos="4201"/>
                <w:tab w:val="right" w:leader="dot" w:pos="9298"/>
              </w:tabs>
              <w:adjustRightInd w:val="0"/>
              <w:snapToGrid w:val="0"/>
              <w:ind w:firstLine="0" w:firstLineChars="0"/>
              <w:jc w:val="center"/>
              <w:rPr>
                <w:rFonts w:ascii="Times New Roman"/>
                <w:sz w:val="18"/>
                <w:szCs w:val="18"/>
              </w:rPr>
            </w:pPr>
            <w:r>
              <w:rPr>
                <w:rFonts w:hint="eastAsia" w:ascii="Times New Roman"/>
                <w:sz w:val="18"/>
                <w:szCs w:val="18"/>
              </w:rPr>
              <w:t>评审专家</w:t>
            </w:r>
          </w:p>
        </w:tc>
        <w:tc>
          <w:tcPr>
            <w:tcW w:w="3267" w:type="dxa"/>
            <w:noWrap w:val="0"/>
            <w:vAlign w:val="center"/>
          </w:tcPr>
          <w:p w14:paraId="27F3BD8F">
            <w:pPr>
              <w:keepNext w:val="0"/>
              <w:keepLines w:val="0"/>
              <w:widowControl/>
              <w:suppressLineNumbers w:val="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采纳。GB/T 25951-2023《镍及镍合金 术语和定义》</w:t>
            </w:r>
            <w:r>
              <w:rPr>
                <w:rFonts w:hint="eastAsia" w:cs="Times New Roman"/>
                <w:color w:val="auto"/>
                <w:kern w:val="2"/>
                <w:sz w:val="18"/>
                <w:szCs w:val="18"/>
                <w:lang w:val="en-US" w:eastAsia="zh-CN" w:bidi="ar-SA"/>
              </w:rPr>
              <w:t>修改</w:t>
            </w:r>
            <w:r>
              <w:rPr>
                <w:rFonts w:hint="eastAsia" w:ascii="Times New Roman" w:hAnsi="Times New Roman" w:eastAsia="宋体" w:cs="Times New Roman"/>
                <w:kern w:val="2"/>
                <w:sz w:val="18"/>
                <w:szCs w:val="18"/>
                <w:lang w:val="en-US" w:eastAsia="zh-CN" w:bidi="ar-SA"/>
              </w:rPr>
              <w:t>采用（IDT）ISO 6372:2017《Nickel and nickel alloys — Terms and definitions》，作为镍及镍合金领域的基础术语标准，引用合理且全面。</w:t>
            </w:r>
          </w:p>
          <w:p w14:paraId="08B6B4BA">
            <w:pPr>
              <w:pStyle w:val="25"/>
              <w:widowControl w:val="0"/>
              <w:tabs>
                <w:tab w:val="center" w:pos="4201"/>
                <w:tab w:val="right" w:leader="dot" w:pos="9298"/>
              </w:tabs>
              <w:adjustRightInd w:val="0"/>
              <w:snapToGrid w:val="0"/>
              <w:ind w:firstLine="0" w:firstLineChars="0"/>
              <w:jc w:val="both"/>
              <w:rPr>
                <w:rFonts w:hint="eastAsia" w:ascii="Times New Roman" w:eastAsia="宋体"/>
                <w:sz w:val="18"/>
                <w:szCs w:val="18"/>
                <w:lang w:eastAsia="zh-CN"/>
              </w:rPr>
            </w:pPr>
          </w:p>
        </w:tc>
        <w:tc>
          <w:tcPr>
            <w:tcW w:w="467" w:type="dxa"/>
            <w:noWrap w:val="0"/>
            <w:vAlign w:val="center"/>
          </w:tcPr>
          <w:p w14:paraId="5149B384">
            <w:pPr>
              <w:pStyle w:val="25"/>
              <w:tabs>
                <w:tab w:val="center" w:pos="4201"/>
                <w:tab w:val="right" w:leader="dot" w:pos="9298"/>
              </w:tabs>
              <w:adjustRightInd w:val="0"/>
              <w:snapToGrid w:val="0"/>
              <w:ind w:left="-50" w:right="-50"/>
              <w:rPr>
                <w:rFonts w:ascii="Times New Roman"/>
                <w:szCs w:val="21"/>
              </w:rPr>
            </w:pPr>
          </w:p>
        </w:tc>
      </w:tr>
      <w:tr w14:paraId="4896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050A4832">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2</w:t>
            </w:r>
          </w:p>
        </w:tc>
        <w:tc>
          <w:tcPr>
            <w:tcW w:w="1573" w:type="dxa"/>
            <w:noWrap w:val="0"/>
            <w:vAlign w:val="center"/>
          </w:tcPr>
          <w:p w14:paraId="675C1D80">
            <w:pPr>
              <w:pStyle w:val="25"/>
              <w:tabs>
                <w:tab w:val="center" w:pos="4201"/>
                <w:tab w:val="right" w:leader="dot" w:pos="9298"/>
              </w:tabs>
              <w:adjustRightInd w:val="0"/>
              <w:snapToGrid w:val="0"/>
              <w:ind w:left="-50" w:right="-50" w:firstLine="0" w:firstLineChars="0"/>
              <w:jc w:val="left"/>
              <w:rPr>
                <w:rFonts w:ascii="黑体" w:eastAsia="黑体"/>
                <w:bCs/>
                <w:color w:val="000000"/>
                <w:sz w:val="18"/>
                <w:szCs w:val="18"/>
              </w:rPr>
            </w:pPr>
            <w:r>
              <w:rPr>
                <w:rFonts w:hint="eastAsia" w:ascii="Times New Roman"/>
                <w:sz w:val="18"/>
                <w:szCs w:val="18"/>
                <w:lang w:val="en-US" w:eastAsia="zh-CN"/>
              </w:rPr>
              <w:t>4提供的产品</w:t>
            </w:r>
          </w:p>
          <w:p w14:paraId="08D5142A">
            <w:pPr>
              <w:pStyle w:val="25"/>
              <w:tabs>
                <w:tab w:val="center" w:pos="4201"/>
                <w:tab w:val="right" w:leader="dot" w:pos="9298"/>
              </w:tabs>
              <w:adjustRightInd w:val="0"/>
              <w:snapToGrid w:val="0"/>
              <w:ind w:left="-50" w:right="-50" w:firstLine="0" w:firstLineChars="0"/>
              <w:jc w:val="left"/>
              <w:rPr>
                <w:rFonts w:ascii="Times New Roman"/>
                <w:sz w:val="18"/>
                <w:szCs w:val="18"/>
              </w:rPr>
            </w:pPr>
          </w:p>
        </w:tc>
        <w:tc>
          <w:tcPr>
            <w:tcW w:w="2480" w:type="dxa"/>
            <w:noWrap w:val="0"/>
            <w:vAlign w:val="center"/>
          </w:tcPr>
          <w:p w14:paraId="1344C2C9">
            <w:pPr>
              <w:pStyle w:val="43"/>
              <w:numPr>
                <w:ilvl w:val="0"/>
                <w:numId w:val="0"/>
              </w:numPr>
              <w:rPr>
                <w:rFonts w:hint="eastAsia" w:ascii="仿宋_GB2312" w:eastAsia="仿宋_GB2312"/>
                <w:sz w:val="18"/>
                <w:szCs w:val="18"/>
              </w:rPr>
            </w:pPr>
            <w:r>
              <w:rPr>
                <w:rFonts w:hint="eastAsia" w:ascii="Times New Roman" w:hAnsi="Times New Roman" w:eastAsia="宋体" w:cs="Times New Roman"/>
                <w:kern w:val="2"/>
                <w:sz w:val="18"/>
                <w:szCs w:val="18"/>
                <w:lang w:val="en-US" w:eastAsia="zh-CN" w:bidi="ar-SA"/>
              </w:rPr>
              <w:t>标准适用于多种形态产品，结合生产实际补充完整</w:t>
            </w:r>
          </w:p>
          <w:p w14:paraId="50691B8C">
            <w:pPr>
              <w:adjustRightInd w:val="0"/>
              <w:snapToGrid w:val="0"/>
              <w:rPr>
                <w:rFonts w:hint="eastAsia"/>
                <w:sz w:val="18"/>
                <w:szCs w:val="18"/>
              </w:rPr>
            </w:pPr>
          </w:p>
        </w:tc>
        <w:tc>
          <w:tcPr>
            <w:tcW w:w="1120" w:type="dxa"/>
            <w:noWrap w:val="0"/>
            <w:vAlign w:val="center"/>
          </w:tcPr>
          <w:p w14:paraId="393B8216">
            <w:pPr>
              <w:pStyle w:val="25"/>
              <w:tabs>
                <w:tab w:val="center" w:pos="4201"/>
                <w:tab w:val="right" w:leader="dot" w:pos="9298"/>
              </w:tabs>
              <w:adjustRightInd w:val="0"/>
              <w:snapToGrid w:val="0"/>
              <w:ind w:left="-284" w:right="-284" w:firstLine="0" w:firstLineChars="0"/>
              <w:jc w:val="center"/>
              <w:rPr>
                <w:rFonts w:hint="eastAsia" w:ascii="Times New Roman"/>
                <w:sz w:val="18"/>
                <w:szCs w:val="18"/>
              </w:rPr>
            </w:pPr>
            <w:r>
              <w:rPr>
                <w:rFonts w:hint="eastAsia" w:ascii="Times New Roman"/>
                <w:sz w:val="18"/>
                <w:szCs w:val="18"/>
              </w:rPr>
              <w:t>评审专家</w:t>
            </w:r>
          </w:p>
          <w:p w14:paraId="6E1EC97D">
            <w:pPr>
              <w:pStyle w:val="25"/>
              <w:tabs>
                <w:tab w:val="center" w:pos="4201"/>
                <w:tab w:val="right" w:leader="dot" w:pos="9298"/>
              </w:tabs>
              <w:adjustRightInd w:val="0"/>
              <w:snapToGrid w:val="0"/>
              <w:ind w:left="-284" w:right="-284" w:firstLine="0" w:firstLineChars="0"/>
              <w:jc w:val="center"/>
              <w:rPr>
                <w:rFonts w:ascii="Times New Roman"/>
                <w:sz w:val="18"/>
                <w:szCs w:val="18"/>
              </w:rPr>
            </w:pPr>
          </w:p>
        </w:tc>
        <w:tc>
          <w:tcPr>
            <w:tcW w:w="3267" w:type="dxa"/>
            <w:noWrap w:val="0"/>
            <w:vAlign w:val="center"/>
          </w:tcPr>
          <w:p w14:paraId="4FBE814B">
            <w:pPr>
              <w:keepNext w:val="0"/>
              <w:keepLines w:val="0"/>
              <w:widowControl/>
              <w:suppressLineNumbers w:val="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采纳，国际标准（ISO 23163:2019）对整张阴极板的重量仅写 “约 50 kg”；厚度范围是6 mm～12 mm，但“厚度 3 mm～15 mm、重量约 </w:t>
            </w:r>
            <w:r>
              <w:rPr>
                <w:rFonts w:hint="eastAsia"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t>0 kg～</w:t>
            </w:r>
            <w:r>
              <w:rPr>
                <w:rFonts w:hint="eastAsia" w:cs="Times New Roman"/>
                <w:kern w:val="2"/>
                <w:sz w:val="18"/>
                <w:szCs w:val="18"/>
                <w:lang w:val="en-US" w:eastAsia="zh-CN" w:bidi="ar-SA"/>
              </w:rPr>
              <w:t>100</w:t>
            </w:r>
            <w:r>
              <w:rPr>
                <w:rFonts w:hint="eastAsia" w:ascii="Times New Roman" w:hAnsi="Times New Roman" w:eastAsia="宋体" w:cs="Times New Roman"/>
                <w:kern w:val="2"/>
                <w:sz w:val="18"/>
                <w:szCs w:val="18"/>
                <w:lang w:val="en-US" w:eastAsia="zh-CN" w:bidi="ar-SA"/>
              </w:rPr>
              <w:t xml:space="preserve"> kg”，是国内生产与贸易中的常见规格</w:t>
            </w:r>
            <w:r>
              <w:rPr>
                <w:rFonts w:hint="eastAsia" w:cs="Times New Roman"/>
                <w:kern w:val="2"/>
                <w:sz w:val="18"/>
                <w:szCs w:val="18"/>
                <w:lang w:val="en-US" w:eastAsia="zh-CN" w:bidi="ar-SA"/>
              </w:rPr>
              <w:t>。</w:t>
            </w:r>
          </w:p>
          <w:p w14:paraId="10A16FBB">
            <w:pPr>
              <w:pStyle w:val="25"/>
              <w:tabs>
                <w:tab w:val="center" w:pos="4201"/>
                <w:tab w:val="right" w:leader="dot" w:pos="9298"/>
              </w:tabs>
              <w:adjustRightInd w:val="0"/>
              <w:snapToGrid w:val="0"/>
              <w:ind w:left="-50" w:right="-50" w:firstLine="0" w:firstLineChars="0"/>
              <w:jc w:val="both"/>
              <w:rPr>
                <w:rFonts w:hint="default" w:ascii="Times New Roman"/>
                <w:sz w:val="18"/>
                <w:szCs w:val="18"/>
                <w:lang w:val="en-US"/>
              </w:rPr>
            </w:pPr>
          </w:p>
        </w:tc>
        <w:tc>
          <w:tcPr>
            <w:tcW w:w="467" w:type="dxa"/>
            <w:noWrap w:val="0"/>
            <w:vAlign w:val="center"/>
          </w:tcPr>
          <w:p w14:paraId="535DA3F6">
            <w:pPr>
              <w:pStyle w:val="25"/>
              <w:tabs>
                <w:tab w:val="center" w:pos="4201"/>
                <w:tab w:val="right" w:leader="dot" w:pos="9298"/>
              </w:tabs>
              <w:adjustRightInd w:val="0"/>
              <w:snapToGrid w:val="0"/>
              <w:ind w:left="-50" w:right="-50"/>
              <w:rPr>
                <w:rFonts w:ascii="Times New Roman"/>
                <w:szCs w:val="21"/>
              </w:rPr>
            </w:pPr>
          </w:p>
        </w:tc>
      </w:tr>
      <w:tr w14:paraId="73BA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2FB3D6EC">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3</w:t>
            </w:r>
          </w:p>
        </w:tc>
        <w:tc>
          <w:tcPr>
            <w:tcW w:w="1573" w:type="dxa"/>
            <w:noWrap w:val="0"/>
            <w:vAlign w:val="center"/>
          </w:tcPr>
          <w:p w14:paraId="4E2069A5">
            <w:pPr>
              <w:pStyle w:val="25"/>
              <w:tabs>
                <w:tab w:val="center" w:pos="4201"/>
                <w:tab w:val="right" w:leader="dot" w:pos="9298"/>
              </w:tabs>
              <w:adjustRightInd w:val="0"/>
              <w:snapToGrid w:val="0"/>
              <w:ind w:left="-50" w:right="-50" w:firstLine="0" w:firstLineChars="0"/>
              <w:jc w:val="left"/>
              <w:rPr>
                <w:rFonts w:hint="eastAsia" w:ascii="Times New Roman" w:eastAsia="宋体"/>
                <w:sz w:val="18"/>
                <w:szCs w:val="18"/>
                <w:lang w:eastAsia="zh-CN"/>
              </w:rPr>
            </w:pPr>
            <w:r>
              <w:rPr>
                <w:rFonts w:hint="eastAsia" w:ascii="Times New Roman"/>
                <w:sz w:val="18"/>
                <w:szCs w:val="18"/>
                <w:lang w:val="en-US" w:eastAsia="zh-CN"/>
              </w:rPr>
              <w:t>6样品制备</w:t>
            </w:r>
          </w:p>
        </w:tc>
        <w:tc>
          <w:tcPr>
            <w:tcW w:w="2480" w:type="dxa"/>
            <w:noWrap w:val="0"/>
            <w:vAlign w:val="center"/>
          </w:tcPr>
          <w:p w14:paraId="6CEDEC44">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样品制备中，语言描述翻译痕迹较重，若无大的改动，建议使用原版语言描述。</w:t>
            </w:r>
          </w:p>
          <w:p w14:paraId="5C1DD51E">
            <w:pPr>
              <w:pStyle w:val="25"/>
              <w:tabs>
                <w:tab w:val="center" w:pos="4201"/>
                <w:tab w:val="right" w:leader="dot" w:pos="9298"/>
              </w:tabs>
              <w:adjustRightInd w:val="0"/>
              <w:snapToGrid w:val="0"/>
              <w:ind w:left="-50" w:right="-50" w:firstLine="0" w:firstLineChars="0"/>
              <w:rPr>
                <w:rFonts w:ascii="Times New Roman"/>
                <w:sz w:val="18"/>
                <w:szCs w:val="18"/>
              </w:rPr>
            </w:pPr>
          </w:p>
        </w:tc>
        <w:tc>
          <w:tcPr>
            <w:tcW w:w="1120" w:type="dxa"/>
            <w:noWrap w:val="0"/>
            <w:vAlign w:val="center"/>
          </w:tcPr>
          <w:p w14:paraId="2B10A66D">
            <w:pPr>
              <w:pStyle w:val="25"/>
              <w:tabs>
                <w:tab w:val="center" w:pos="4201"/>
                <w:tab w:val="right" w:leader="dot" w:pos="9298"/>
              </w:tabs>
              <w:adjustRightInd w:val="0"/>
              <w:snapToGrid w:val="0"/>
              <w:ind w:right="-50" w:firstLine="0" w:firstLineChars="0"/>
              <w:jc w:val="center"/>
              <w:rPr>
                <w:rFonts w:ascii="Times New Roman"/>
                <w:sz w:val="18"/>
                <w:szCs w:val="18"/>
              </w:rPr>
            </w:pPr>
            <w:r>
              <w:rPr>
                <w:rFonts w:hint="eastAsia" w:ascii="Times New Roman"/>
                <w:sz w:val="18"/>
                <w:szCs w:val="18"/>
              </w:rPr>
              <w:t>评审专家</w:t>
            </w:r>
          </w:p>
        </w:tc>
        <w:tc>
          <w:tcPr>
            <w:tcW w:w="3267" w:type="dxa"/>
            <w:noWrap w:val="0"/>
            <w:vAlign w:val="center"/>
          </w:tcPr>
          <w:p w14:paraId="4FDD2515">
            <w:pPr>
              <w:keepNext w:val="0"/>
              <w:keepLines w:val="0"/>
              <w:widowControl/>
              <w:suppressLineNumbers w:val="0"/>
              <w:jc w:val="both"/>
              <w:rPr>
                <w:rFonts w:hint="eastAsia" w:ascii="Times New Roman" w:hAnsi="宋体" w:eastAsia="宋体" w:cs="Times New Roman"/>
                <w:kern w:val="0"/>
                <w:sz w:val="18"/>
                <w:szCs w:val="18"/>
                <w:lang w:val="en-US" w:eastAsia="zh-CN" w:bidi="ar-SA"/>
              </w:rPr>
            </w:pPr>
            <w:r>
              <w:rPr>
                <w:rFonts w:hint="eastAsia" w:ascii="Times New Roman" w:hAnsi="宋体" w:eastAsia="宋体" w:cs="Times New Roman"/>
                <w:kern w:val="0"/>
                <w:sz w:val="18"/>
                <w:szCs w:val="18"/>
                <w:lang w:val="en-US" w:eastAsia="zh-CN" w:bidi="ar-SA"/>
              </w:rPr>
              <w:t>采纳，样品制备部分采用原版语言描述。</w:t>
            </w:r>
          </w:p>
          <w:p w14:paraId="036E9216">
            <w:pPr>
              <w:spacing w:before="50" w:after="50" w:line="276" w:lineRule="auto"/>
              <w:ind w:firstLine="360" w:firstLineChars="200"/>
              <w:jc w:val="both"/>
              <w:rPr>
                <w:rFonts w:hint="eastAsia" w:eastAsia="宋体"/>
                <w:sz w:val="18"/>
                <w:szCs w:val="18"/>
                <w:lang w:eastAsia="zh-CN"/>
              </w:rPr>
            </w:pPr>
          </w:p>
        </w:tc>
        <w:tc>
          <w:tcPr>
            <w:tcW w:w="467" w:type="dxa"/>
            <w:noWrap w:val="0"/>
            <w:vAlign w:val="center"/>
          </w:tcPr>
          <w:p w14:paraId="0C00A647">
            <w:pPr>
              <w:pStyle w:val="25"/>
              <w:tabs>
                <w:tab w:val="center" w:pos="4201"/>
                <w:tab w:val="right" w:leader="dot" w:pos="9298"/>
              </w:tabs>
              <w:adjustRightInd w:val="0"/>
              <w:snapToGrid w:val="0"/>
              <w:ind w:left="-50" w:right="-50"/>
              <w:rPr>
                <w:rFonts w:ascii="Times New Roman"/>
                <w:szCs w:val="21"/>
              </w:rPr>
            </w:pPr>
          </w:p>
        </w:tc>
      </w:tr>
      <w:tr w14:paraId="5AF7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4F26EE18">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4</w:t>
            </w:r>
          </w:p>
        </w:tc>
        <w:tc>
          <w:tcPr>
            <w:tcW w:w="1573" w:type="dxa"/>
            <w:noWrap w:val="0"/>
            <w:vAlign w:val="center"/>
          </w:tcPr>
          <w:p w14:paraId="6B87C204">
            <w:pPr>
              <w:pStyle w:val="25"/>
              <w:tabs>
                <w:tab w:val="center" w:pos="4201"/>
                <w:tab w:val="right" w:leader="dot" w:pos="9298"/>
              </w:tabs>
              <w:adjustRightInd w:val="0"/>
              <w:snapToGrid w:val="0"/>
              <w:ind w:left="-50" w:right="-50" w:firstLine="0" w:firstLineChars="0"/>
              <w:jc w:val="left"/>
              <w:rPr>
                <w:rFonts w:hint="eastAsia" w:ascii="Times New Roman"/>
                <w:sz w:val="18"/>
                <w:szCs w:val="18"/>
                <w:lang w:val="en-US" w:eastAsia="zh-CN"/>
              </w:rPr>
            </w:pPr>
            <w:r>
              <w:rPr>
                <w:rFonts w:hint="eastAsia" w:ascii="Times New Roman"/>
                <w:sz w:val="18"/>
                <w:szCs w:val="18"/>
                <w:lang w:val="en-US" w:eastAsia="zh-CN"/>
              </w:rPr>
              <w:t>7.3 生产批次样品取样方法</w:t>
            </w:r>
          </w:p>
          <w:p w14:paraId="5BAD88BC">
            <w:pPr>
              <w:pStyle w:val="25"/>
              <w:tabs>
                <w:tab w:val="center" w:pos="4201"/>
                <w:tab w:val="right" w:leader="dot" w:pos="9298"/>
              </w:tabs>
              <w:adjustRightInd w:val="0"/>
              <w:snapToGrid w:val="0"/>
              <w:ind w:left="-50" w:right="-50" w:firstLine="0" w:firstLineChars="0"/>
              <w:jc w:val="left"/>
              <w:rPr>
                <w:rFonts w:ascii="Times New Roman"/>
                <w:sz w:val="18"/>
                <w:szCs w:val="18"/>
              </w:rPr>
            </w:pPr>
          </w:p>
        </w:tc>
        <w:tc>
          <w:tcPr>
            <w:tcW w:w="2480" w:type="dxa"/>
            <w:noWrap w:val="0"/>
            <w:vAlign w:val="center"/>
          </w:tcPr>
          <w:p w14:paraId="3F2ACFEA">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生产批次样品使用方法中，关于取6块样板是否合适，若存在产量较少的单位，标准将无法使用。建议对样板数量进行规定，适用于全部生产过程。</w:t>
            </w:r>
          </w:p>
          <w:p w14:paraId="7DC10B3A">
            <w:pPr>
              <w:pStyle w:val="25"/>
              <w:widowControl w:val="0"/>
              <w:tabs>
                <w:tab w:val="center" w:pos="4201"/>
                <w:tab w:val="right" w:leader="dot" w:pos="9298"/>
              </w:tabs>
              <w:adjustRightInd w:val="0"/>
              <w:snapToGrid w:val="0"/>
              <w:ind w:firstLine="0" w:firstLineChars="0"/>
              <w:rPr>
                <w:rFonts w:ascii="Times New Roman"/>
                <w:sz w:val="18"/>
                <w:szCs w:val="18"/>
              </w:rPr>
            </w:pPr>
          </w:p>
        </w:tc>
        <w:tc>
          <w:tcPr>
            <w:tcW w:w="1120" w:type="dxa"/>
            <w:noWrap w:val="0"/>
            <w:vAlign w:val="center"/>
          </w:tcPr>
          <w:p w14:paraId="4C101614">
            <w:pPr>
              <w:pStyle w:val="25"/>
              <w:widowControl w:val="0"/>
              <w:tabs>
                <w:tab w:val="center" w:pos="4201"/>
                <w:tab w:val="right" w:leader="dot" w:pos="9298"/>
              </w:tabs>
              <w:adjustRightInd w:val="0"/>
              <w:snapToGrid w:val="0"/>
              <w:ind w:firstLine="0" w:firstLineChars="0"/>
              <w:jc w:val="center"/>
              <w:rPr>
                <w:rFonts w:ascii="Times New Roman"/>
                <w:sz w:val="18"/>
                <w:szCs w:val="18"/>
              </w:rPr>
            </w:pPr>
            <w:r>
              <w:rPr>
                <w:rFonts w:hint="eastAsia" w:ascii="Times New Roman"/>
                <w:sz w:val="18"/>
                <w:szCs w:val="18"/>
              </w:rPr>
              <w:t>评审专家</w:t>
            </w:r>
          </w:p>
        </w:tc>
        <w:tc>
          <w:tcPr>
            <w:tcW w:w="3267" w:type="dxa"/>
            <w:noWrap w:val="0"/>
            <w:vAlign w:val="center"/>
          </w:tcPr>
          <w:p w14:paraId="654DBAF2">
            <w:pPr>
              <w:spacing w:before="50" w:after="50" w:line="276" w:lineRule="auto"/>
              <w:jc w:val="both"/>
              <w:rPr>
                <w:rFonts w:hint="eastAsia"/>
                <w:sz w:val="18"/>
                <w:szCs w:val="18"/>
                <w:lang w:eastAsia="zh-CN"/>
              </w:rPr>
            </w:pPr>
            <w:r>
              <w:rPr>
                <w:rFonts w:hint="eastAsia"/>
                <w:sz w:val="18"/>
                <w:szCs w:val="18"/>
                <w:lang w:val="en-US" w:eastAsia="zh-CN"/>
              </w:rPr>
              <w:t>采纳，对生产批次样品取样的样板数量进行明确规定，确保其适用于全部生产过程（具体见5.4、7.3条款）。</w:t>
            </w:r>
          </w:p>
          <w:p w14:paraId="47B51431">
            <w:pPr>
              <w:pStyle w:val="25"/>
              <w:tabs>
                <w:tab w:val="center" w:pos="4201"/>
                <w:tab w:val="right" w:leader="dot" w:pos="9298"/>
              </w:tabs>
              <w:adjustRightInd w:val="0"/>
              <w:snapToGrid w:val="0"/>
              <w:ind w:left="-50" w:right="-50" w:firstLine="0" w:firstLineChars="0"/>
              <w:jc w:val="both"/>
              <w:rPr>
                <w:rFonts w:hint="eastAsia" w:ascii="Times New Roman"/>
                <w:sz w:val="18"/>
                <w:szCs w:val="18"/>
              </w:rPr>
            </w:pPr>
          </w:p>
        </w:tc>
        <w:tc>
          <w:tcPr>
            <w:tcW w:w="467" w:type="dxa"/>
            <w:noWrap w:val="0"/>
            <w:vAlign w:val="center"/>
          </w:tcPr>
          <w:p w14:paraId="06FBE60A">
            <w:pPr>
              <w:pStyle w:val="25"/>
              <w:tabs>
                <w:tab w:val="center" w:pos="4201"/>
                <w:tab w:val="right" w:leader="dot" w:pos="9298"/>
              </w:tabs>
              <w:adjustRightInd w:val="0"/>
              <w:snapToGrid w:val="0"/>
              <w:ind w:left="-50" w:right="-50"/>
              <w:rPr>
                <w:rFonts w:ascii="Times New Roman"/>
                <w:szCs w:val="21"/>
              </w:rPr>
            </w:pPr>
          </w:p>
        </w:tc>
      </w:tr>
      <w:tr w14:paraId="0ACE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544" w:type="dxa"/>
            <w:noWrap w:val="0"/>
            <w:vAlign w:val="center"/>
          </w:tcPr>
          <w:p w14:paraId="2E1F5AE5">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5</w:t>
            </w:r>
          </w:p>
        </w:tc>
        <w:tc>
          <w:tcPr>
            <w:tcW w:w="1573" w:type="dxa"/>
            <w:shd w:val="clear" w:color="auto" w:fill="auto"/>
            <w:noWrap w:val="0"/>
            <w:vAlign w:val="center"/>
          </w:tcPr>
          <w:p w14:paraId="12F17E9F">
            <w:pPr>
              <w:pStyle w:val="25"/>
              <w:tabs>
                <w:tab w:val="center" w:pos="4201"/>
                <w:tab w:val="right" w:leader="dot" w:pos="9298"/>
              </w:tabs>
              <w:adjustRightInd w:val="0"/>
              <w:snapToGrid w:val="0"/>
              <w:ind w:left="-50" w:right="-50" w:firstLine="0" w:firstLineChars="0"/>
              <w:jc w:val="left"/>
              <w:rPr>
                <w:rFonts w:hint="eastAsia" w:ascii="Times New Roman"/>
                <w:sz w:val="18"/>
                <w:szCs w:val="18"/>
                <w:lang w:val="en-US" w:eastAsia="zh-CN"/>
              </w:rPr>
            </w:pPr>
            <w:r>
              <w:rPr>
                <w:rFonts w:hint="eastAsia" w:ascii="Times New Roman"/>
                <w:sz w:val="18"/>
                <w:szCs w:val="18"/>
                <w:lang w:val="en-US" w:eastAsia="zh-CN"/>
              </w:rPr>
              <w:t>7.3 生产批次样品取样方法</w:t>
            </w:r>
          </w:p>
          <w:p w14:paraId="51C30C3B">
            <w:pPr>
              <w:pStyle w:val="25"/>
              <w:tabs>
                <w:tab w:val="center" w:pos="4201"/>
                <w:tab w:val="right" w:leader="dot" w:pos="9298"/>
              </w:tabs>
              <w:adjustRightInd w:val="0"/>
              <w:snapToGrid w:val="0"/>
              <w:ind w:left="-50" w:leftChars="0" w:right="-50" w:rightChars="0" w:firstLine="0" w:firstLineChars="0"/>
              <w:jc w:val="left"/>
              <w:rPr>
                <w:rFonts w:hint="eastAsia" w:ascii="Times New Roman" w:hAnsi="宋体" w:eastAsia="宋体" w:cs="Times New Roman"/>
                <w:sz w:val="18"/>
                <w:szCs w:val="18"/>
                <w:lang w:val="en-US" w:eastAsia="zh-CN" w:bidi="ar-SA"/>
              </w:rPr>
            </w:pPr>
          </w:p>
        </w:tc>
        <w:tc>
          <w:tcPr>
            <w:tcW w:w="2480" w:type="dxa"/>
            <w:noWrap w:val="0"/>
            <w:vAlign w:val="center"/>
          </w:tcPr>
          <w:p w14:paraId="0420A18F">
            <w:pPr>
              <w:pStyle w:val="25"/>
              <w:widowControl w:val="0"/>
              <w:tabs>
                <w:tab w:val="center" w:pos="4201"/>
                <w:tab w:val="right" w:leader="dot" w:pos="9298"/>
              </w:tabs>
              <w:adjustRightInd w:val="0"/>
              <w:snapToGrid w:val="0"/>
              <w:ind w:firstLine="0" w:firstLineChars="0"/>
              <w:rPr>
                <w:rFonts w:hint="default" w:ascii="Times New Roman"/>
                <w:sz w:val="18"/>
                <w:szCs w:val="18"/>
                <w:lang w:val="en-US"/>
              </w:rPr>
            </w:pPr>
            <w:r>
              <w:rPr>
                <w:rFonts w:hint="eastAsia" w:ascii="Times New Roman" w:hAnsi="Times New Roman" w:eastAsia="宋体" w:cs="Times New Roman"/>
                <w:kern w:val="2"/>
                <w:sz w:val="18"/>
                <w:szCs w:val="18"/>
                <w:lang w:val="en-US" w:eastAsia="zh-CN" w:bidi="ar-SA"/>
              </w:rPr>
              <w:t>生产批次样品使用方法中，关于生产取样方式的描述再精简一些，描述过于繁琐</w:t>
            </w:r>
            <w:r>
              <w:rPr>
                <w:rFonts w:hint="eastAsia" w:ascii="Times New Roman" w:hAnsi="Times New Roman" w:cs="Times New Roman"/>
                <w:kern w:val="2"/>
                <w:sz w:val="18"/>
                <w:szCs w:val="18"/>
                <w:lang w:val="en-US" w:eastAsia="zh-CN" w:bidi="ar-SA"/>
              </w:rPr>
              <w:t>。</w:t>
            </w:r>
          </w:p>
        </w:tc>
        <w:tc>
          <w:tcPr>
            <w:tcW w:w="1120" w:type="dxa"/>
            <w:noWrap w:val="0"/>
            <w:vAlign w:val="center"/>
          </w:tcPr>
          <w:p w14:paraId="726EC4C9">
            <w:pPr>
              <w:pStyle w:val="25"/>
              <w:widowControl w:val="0"/>
              <w:tabs>
                <w:tab w:val="center" w:pos="4201"/>
                <w:tab w:val="right" w:leader="dot" w:pos="9298"/>
              </w:tabs>
              <w:adjustRightInd w:val="0"/>
              <w:snapToGrid w:val="0"/>
              <w:ind w:firstLine="0" w:firstLineChars="0"/>
              <w:jc w:val="center"/>
              <w:rPr>
                <w:rFonts w:hint="eastAsia" w:ascii="Times New Roman"/>
                <w:sz w:val="18"/>
                <w:szCs w:val="18"/>
              </w:rPr>
            </w:pPr>
            <w:r>
              <w:rPr>
                <w:rFonts w:hint="eastAsia" w:ascii="Times New Roman"/>
                <w:sz w:val="18"/>
                <w:szCs w:val="18"/>
              </w:rPr>
              <w:t>评审专家</w:t>
            </w:r>
          </w:p>
        </w:tc>
        <w:tc>
          <w:tcPr>
            <w:tcW w:w="3267" w:type="dxa"/>
            <w:shd w:val="clear" w:color="auto" w:fill="auto"/>
            <w:noWrap w:val="0"/>
            <w:vAlign w:val="center"/>
          </w:tcPr>
          <w:p w14:paraId="527F7DE7">
            <w:pPr>
              <w:keepNext w:val="0"/>
              <w:keepLines w:val="0"/>
              <w:widowControl/>
              <w:suppressLineNumbers w:val="0"/>
              <w:jc w:val="both"/>
              <w:rPr>
                <w:rFonts w:hint="eastAsia" w:ascii="Times New Roman" w:hAnsi="宋体" w:eastAsia="宋体" w:cs="Times New Roman"/>
                <w:sz w:val="18"/>
                <w:szCs w:val="18"/>
                <w:lang w:val="en-US" w:eastAsia="zh-CN" w:bidi="ar-SA"/>
              </w:rPr>
            </w:pPr>
            <w:r>
              <w:rPr>
                <w:rFonts w:hint="eastAsia" w:ascii="Times New Roman" w:hAnsi="Times New Roman" w:eastAsia="宋体" w:cs="Times New Roman"/>
                <w:kern w:val="2"/>
                <w:sz w:val="18"/>
                <w:szCs w:val="18"/>
                <w:lang w:val="en-US" w:eastAsia="zh-CN" w:bidi="ar-SA"/>
              </w:rPr>
              <w:t>采纳，对7.3条款中生产批次样品取样方法的描述进行重新梳理、精简。</w:t>
            </w:r>
          </w:p>
        </w:tc>
        <w:tc>
          <w:tcPr>
            <w:tcW w:w="467" w:type="dxa"/>
            <w:noWrap w:val="0"/>
            <w:vAlign w:val="center"/>
          </w:tcPr>
          <w:p w14:paraId="44C396C3">
            <w:pPr>
              <w:pStyle w:val="25"/>
              <w:tabs>
                <w:tab w:val="center" w:pos="4201"/>
                <w:tab w:val="right" w:leader="dot" w:pos="9298"/>
              </w:tabs>
              <w:adjustRightInd w:val="0"/>
              <w:snapToGrid w:val="0"/>
              <w:ind w:left="-50" w:right="-50"/>
              <w:rPr>
                <w:rFonts w:ascii="Times New Roman"/>
                <w:szCs w:val="21"/>
              </w:rPr>
            </w:pPr>
          </w:p>
        </w:tc>
      </w:tr>
      <w:tr w14:paraId="7CCC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544" w:type="dxa"/>
            <w:noWrap w:val="0"/>
            <w:vAlign w:val="center"/>
          </w:tcPr>
          <w:p w14:paraId="083957A3">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6</w:t>
            </w:r>
          </w:p>
        </w:tc>
        <w:tc>
          <w:tcPr>
            <w:tcW w:w="1573" w:type="dxa"/>
            <w:noWrap w:val="0"/>
            <w:vAlign w:val="center"/>
          </w:tcPr>
          <w:p w14:paraId="1642C5F1">
            <w:pPr>
              <w:pStyle w:val="25"/>
              <w:tabs>
                <w:tab w:val="center" w:pos="4201"/>
                <w:tab w:val="right" w:leader="dot" w:pos="9298"/>
              </w:tabs>
              <w:adjustRightInd w:val="0"/>
              <w:snapToGrid w:val="0"/>
              <w:ind w:left="-50" w:right="-50"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标准草案</w:t>
            </w:r>
          </w:p>
        </w:tc>
        <w:tc>
          <w:tcPr>
            <w:tcW w:w="2480" w:type="dxa"/>
            <w:noWrap w:val="0"/>
            <w:vAlign w:val="center"/>
          </w:tcPr>
          <w:p w14:paraId="1E77F6F2">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通篇语言翻译痕迹较重，建议语言调整，符合中文用语习惯。若表达意思与原文无异议，建议直接使用原文描述即可。</w:t>
            </w:r>
          </w:p>
          <w:p w14:paraId="7BDC9173">
            <w:pPr>
              <w:pStyle w:val="25"/>
              <w:widowControl w:val="0"/>
              <w:tabs>
                <w:tab w:val="center" w:pos="4201"/>
                <w:tab w:val="right" w:leader="dot" w:pos="9298"/>
              </w:tabs>
              <w:adjustRightInd w:val="0"/>
              <w:snapToGrid w:val="0"/>
              <w:ind w:firstLine="0" w:firstLineChars="0"/>
              <w:rPr>
                <w:rFonts w:ascii="Times New Roman"/>
                <w:sz w:val="18"/>
                <w:szCs w:val="18"/>
              </w:rPr>
            </w:pPr>
          </w:p>
        </w:tc>
        <w:tc>
          <w:tcPr>
            <w:tcW w:w="1120" w:type="dxa"/>
            <w:noWrap w:val="0"/>
            <w:vAlign w:val="center"/>
          </w:tcPr>
          <w:p w14:paraId="5576016F">
            <w:pPr>
              <w:widowControl w:val="0"/>
              <w:adjustRightInd w:val="0"/>
              <w:snapToGrid w:val="0"/>
              <w:ind w:firstLine="0" w:firstLineChars="0"/>
              <w:jc w:val="center"/>
              <w:rPr>
                <w:rFonts w:hint="eastAsia" w:ascii="Times New Roman"/>
                <w:sz w:val="18"/>
                <w:szCs w:val="18"/>
              </w:rPr>
            </w:pPr>
            <w:r>
              <w:rPr>
                <w:rFonts w:hint="eastAsia" w:ascii="Times New Roman"/>
                <w:sz w:val="18"/>
                <w:szCs w:val="18"/>
              </w:rPr>
              <w:t>评审专家</w:t>
            </w:r>
          </w:p>
        </w:tc>
        <w:tc>
          <w:tcPr>
            <w:tcW w:w="3267" w:type="dxa"/>
            <w:noWrap w:val="0"/>
            <w:vAlign w:val="center"/>
          </w:tcPr>
          <w:p w14:paraId="11F3BC03">
            <w:pPr>
              <w:keepNext w:val="0"/>
              <w:keepLines w:val="0"/>
              <w:widowControl/>
              <w:suppressLineNumbers w:val="0"/>
              <w:jc w:val="left"/>
              <w:rPr>
                <w:sz w:val="18"/>
                <w:szCs w:val="18"/>
              </w:rPr>
            </w:pPr>
            <w:r>
              <w:rPr>
                <w:rFonts w:ascii="Times New Roman" w:hAnsi="宋体" w:eastAsia="宋体" w:cs="Times New Roman"/>
                <w:kern w:val="0"/>
                <w:sz w:val="18"/>
                <w:szCs w:val="18"/>
                <w:lang w:val="en-US" w:eastAsia="zh-CN" w:bidi="ar-SA"/>
              </w:rPr>
              <w:t>对标准草案进行全面修改，优化语言表述以符合中文用语习惯，必要时直接采用原文描述（确保与原文意思一致）</w:t>
            </w:r>
            <w:r>
              <w:rPr>
                <w:rFonts w:ascii="宋体" w:hAnsi="宋体" w:eastAsia="宋体" w:cs="宋体"/>
                <w:kern w:val="0"/>
                <w:sz w:val="18"/>
                <w:szCs w:val="18"/>
                <w:lang w:val="en-US" w:eastAsia="zh-CN" w:bidi="ar"/>
              </w:rPr>
              <w:t>。</w:t>
            </w:r>
          </w:p>
          <w:p w14:paraId="7BA5DCC9">
            <w:pPr>
              <w:pStyle w:val="25"/>
              <w:tabs>
                <w:tab w:val="center" w:pos="4201"/>
                <w:tab w:val="right" w:leader="dot" w:pos="9298"/>
              </w:tabs>
              <w:adjustRightInd w:val="0"/>
              <w:snapToGrid w:val="0"/>
              <w:ind w:left="-50" w:right="-50" w:firstLine="0" w:firstLineChars="0"/>
              <w:jc w:val="center"/>
              <w:rPr>
                <w:rFonts w:hint="default" w:ascii="Times New Roman" w:eastAsia="宋体"/>
                <w:sz w:val="18"/>
                <w:szCs w:val="18"/>
                <w:lang w:val="en-US" w:eastAsia="zh-CN"/>
              </w:rPr>
            </w:pPr>
          </w:p>
        </w:tc>
        <w:tc>
          <w:tcPr>
            <w:tcW w:w="467" w:type="dxa"/>
            <w:noWrap w:val="0"/>
            <w:vAlign w:val="center"/>
          </w:tcPr>
          <w:p w14:paraId="0B41C1E5">
            <w:pPr>
              <w:pStyle w:val="25"/>
              <w:tabs>
                <w:tab w:val="center" w:pos="4201"/>
                <w:tab w:val="right" w:leader="dot" w:pos="9298"/>
              </w:tabs>
              <w:adjustRightInd w:val="0"/>
              <w:snapToGrid w:val="0"/>
              <w:ind w:left="-50" w:right="-50"/>
              <w:rPr>
                <w:rFonts w:ascii="Times New Roman"/>
                <w:szCs w:val="21"/>
              </w:rPr>
            </w:pPr>
          </w:p>
        </w:tc>
      </w:tr>
      <w:tr w14:paraId="74C9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64F7B36A">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7</w:t>
            </w:r>
          </w:p>
        </w:tc>
        <w:tc>
          <w:tcPr>
            <w:tcW w:w="1573" w:type="dxa"/>
            <w:noWrap w:val="0"/>
            <w:vAlign w:val="center"/>
          </w:tcPr>
          <w:p w14:paraId="78072E68">
            <w:pPr>
              <w:pStyle w:val="25"/>
              <w:tabs>
                <w:tab w:val="center" w:pos="4201"/>
                <w:tab w:val="right" w:leader="dot" w:pos="9298"/>
              </w:tabs>
              <w:adjustRightInd w:val="0"/>
              <w:snapToGrid w:val="0"/>
              <w:ind w:left="-50" w:right="-50" w:firstLine="0" w:firstLineChars="0"/>
              <w:jc w:val="center"/>
              <w:rPr>
                <w:rFonts w:hint="default" w:ascii="Times New Roman" w:eastAsia="宋体"/>
                <w:sz w:val="18"/>
                <w:szCs w:val="18"/>
                <w:lang w:val="en-US" w:eastAsia="zh-CN"/>
              </w:rPr>
            </w:pPr>
            <w:r>
              <w:rPr>
                <w:rFonts w:hint="eastAsia" w:ascii="Times New Roman"/>
                <w:sz w:val="18"/>
                <w:szCs w:val="18"/>
                <w:lang w:val="en-US" w:eastAsia="zh-CN"/>
              </w:rPr>
              <w:t>前言</w:t>
            </w:r>
          </w:p>
        </w:tc>
        <w:tc>
          <w:tcPr>
            <w:tcW w:w="2480" w:type="dxa"/>
            <w:noWrap w:val="0"/>
            <w:vAlign w:val="center"/>
          </w:tcPr>
          <w:p w14:paraId="3021EF00">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建议将变化新增内容写在《编制说明》中，前言部分也需调整，有描述不到位的情况。</w:t>
            </w:r>
          </w:p>
          <w:p w14:paraId="630F7FAB">
            <w:pPr>
              <w:pStyle w:val="25"/>
              <w:widowControl w:val="0"/>
              <w:tabs>
                <w:tab w:val="center" w:pos="4201"/>
                <w:tab w:val="right" w:leader="dot" w:pos="9298"/>
              </w:tabs>
              <w:adjustRightInd w:val="0"/>
              <w:snapToGrid w:val="0"/>
              <w:ind w:firstLine="0" w:firstLineChars="0"/>
              <w:rPr>
                <w:rFonts w:ascii="Times New Roman"/>
                <w:sz w:val="18"/>
                <w:szCs w:val="18"/>
              </w:rPr>
            </w:pPr>
          </w:p>
        </w:tc>
        <w:tc>
          <w:tcPr>
            <w:tcW w:w="1120" w:type="dxa"/>
            <w:noWrap w:val="0"/>
            <w:vAlign w:val="center"/>
          </w:tcPr>
          <w:p w14:paraId="64D036B6">
            <w:pPr>
              <w:widowControl w:val="0"/>
              <w:adjustRightInd w:val="0"/>
              <w:snapToGrid w:val="0"/>
              <w:ind w:firstLine="0" w:firstLineChars="0"/>
              <w:jc w:val="center"/>
              <w:rPr>
                <w:rFonts w:hint="eastAsia" w:ascii="Times New Roman"/>
                <w:sz w:val="18"/>
                <w:szCs w:val="18"/>
              </w:rPr>
            </w:pPr>
            <w:r>
              <w:rPr>
                <w:rFonts w:hint="eastAsia" w:ascii="Times New Roman"/>
                <w:sz w:val="18"/>
                <w:szCs w:val="18"/>
              </w:rPr>
              <w:t>评审专家</w:t>
            </w:r>
          </w:p>
        </w:tc>
        <w:tc>
          <w:tcPr>
            <w:tcW w:w="3267" w:type="dxa"/>
            <w:noWrap w:val="0"/>
            <w:vAlign w:val="center"/>
          </w:tcPr>
          <w:p w14:paraId="1B065C7F">
            <w:pPr>
              <w:keepNext w:val="0"/>
              <w:keepLines w:val="0"/>
              <w:widowControl/>
              <w:suppressLineNumbers w:val="0"/>
              <w:jc w:val="left"/>
              <w:rPr>
                <w:rFonts w:ascii="Times New Roman" w:hAnsi="宋体" w:eastAsia="宋体" w:cs="Times New Roman"/>
                <w:kern w:val="0"/>
                <w:sz w:val="18"/>
                <w:szCs w:val="18"/>
                <w:lang w:val="en-US" w:eastAsia="zh-CN" w:bidi="ar-SA"/>
              </w:rPr>
            </w:pPr>
            <w:r>
              <w:rPr>
                <w:rFonts w:ascii="Times New Roman" w:hAnsi="宋体" w:eastAsia="宋体" w:cs="Times New Roman"/>
                <w:kern w:val="0"/>
                <w:sz w:val="18"/>
                <w:szCs w:val="18"/>
                <w:lang w:val="en-US" w:eastAsia="zh-CN" w:bidi="ar-SA"/>
              </w:rPr>
              <w:t>采纳，已将标准变化及新增内容整理至《编制说明》，并对前言部分进行修改完善（具体见前言）。</w:t>
            </w:r>
          </w:p>
          <w:p w14:paraId="5BAA8FCD">
            <w:pPr>
              <w:pStyle w:val="25"/>
              <w:tabs>
                <w:tab w:val="center" w:pos="4201"/>
                <w:tab w:val="right" w:leader="dot" w:pos="9298"/>
              </w:tabs>
              <w:adjustRightInd w:val="0"/>
              <w:snapToGrid w:val="0"/>
              <w:ind w:left="-50" w:right="-50" w:firstLine="0" w:firstLineChars="0"/>
              <w:jc w:val="center"/>
              <w:rPr>
                <w:rFonts w:hint="default" w:ascii="Times New Roman"/>
                <w:sz w:val="18"/>
                <w:szCs w:val="18"/>
                <w:lang w:val="en-US"/>
              </w:rPr>
            </w:pPr>
          </w:p>
        </w:tc>
        <w:tc>
          <w:tcPr>
            <w:tcW w:w="467" w:type="dxa"/>
            <w:noWrap w:val="0"/>
            <w:vAlign w:val="center"/>
          </w:tcPr>
          <w:p w14:paraId="76CA74F8">
            <w:pPr>
              <w:pStyle w:val="25"/>
              <w:tabs>
                <w:tab w:val="center" w:pos="4201"/>
                <w:tab w:val="right" w:leader="dot" w:pos="9298"/>
              </w:tabs>
              <w:adjustRightInd w:val="0"/>
              <w:snapToGrid w:val="0"/>
              <w:ind w:left="-50" w:right="-50"/>
              <w:rPr>
                <w:rFonts w:ascii="Times New Roman"/>
                <w:szCs w:val="21"/>
              </w:rPr>
            </w:pPr>
          </w:p>
        </w:tc>
      </w:tr>
    </w:tbl>
    <w:p w14:paraId="39D3C968">
      <w:pPr>
        <w:spacing w:line="360" w:lineRule="auto"/>
        <w:rPr>
          <w:rFonts w:hint="eastAsia"/>
          <w:b/>
          <w:bCs/>
          <w:szCs w:val="21"/>
          <w:lang w:val="en-US" w:eastAsia="zh-CN"/>
        </w:rPr>
      </w:pPr>
      <w:r>
        <w:rPr>
          <w:rFonts w:hint="eastAsia"/>
          <w:b/>
          <w:bCs/>
          <w:szCs w:val="21"/>
          <w:lang w:val="en-US" w:eastAsia="zh-CN"/>
        </w:rPr>
        <w:t xml:space="preserve">   </w:t>
      </w:r>
      <w:r>
        <w:rPr>
          <w:rFonts w:hint="eastAsia"/>
          <w:szCs w:val="21"/>
          <w:lang w:val="en-US" w:eastAsia="zh-CN"/>
        </w:rPr>
        <w:t>2026年3月18日，全国有色金属标准化技术委员会重金属分标委员会组织在绍兴召开本项目预审会议，来自金川集团股份有限公司、有色金属技术经济研究院有限责任公司、北矿检测技术股份有限公司、吉林吉恩镍业股份有限公司、格林美股份有限公司、衢州华友钴新材料有限公司等多个单位的13名专家参加了会议，经与会单位讨论形成如下意见。（见表3)</w:t>
      </w:r>
    </w:p>
    <w:p w14:paraId="15255EA0">
      <w:pPr>
        <w:pStyle w:val="25"/>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表</w:t>
      </w:r>
      <w:r>
        <w:rPr>
          <w:rFonts w:hint="eastAsia" w:ascii="Times New Roman" w:hAnsi="Times New Roman" w:cs="Times New Roman"/>
          <w:kern w:val="2"/>
          <w:sz w:val="21"/>
          <w:szCs w:val="21"/>
          <w:lang w:val="en-US" w:eastAsia="zh-CN" w:bidi="ar-SA"/>
        </w:rPr>
        <w:t>3</w:t>
      </w:r>
      <w:r>
        <w:rPr>
          <w:rFonts w:hint="eastAsia" w:ascii="Times New Roman" w:hAnsi="Times New Roman" w:eastAsia="宋体" w:cs="Times New Roman"/>
          <w:kern w:val="2"/>
          <w:sz w:val="21"/>
          <w:szCs w:val="21"/>
          <w:lang w:val="en-US" w:eastAsia="zh-CN" w:bidi="ar-SA"/>
        </w:rPr>
        <w:t>：标准意见汇总处理表</w:t>
      </w:r>
      <w:r>
        <w:rPr>
          <w:rFonts w:hint="eastAsia" w:ascii="Times New Roman" w:hAnsi="Times New Roman" w:cs="Times New Roman"/>
          <w:kern w:val="2"/>
          <w:sz w:val="21"/>
          <w:szCs w:val="21"/>
          <w:lang w:val="en-US" w:eastAsia="zh-CN" w:bidi="ar-SA"/>
        </w:rPr>
        <w:t>（绍兴会议）</w:t>
      </w:r>
    </w:p>
    <w:tbl>
      <w:tblPr>
        <w:tblStyle w:val="19"/>
        <w:tblW w:w="9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307"/>
        <w:gridCol w:w="2746"/>
        <w:gridCol w:w="1120"/>
        <w:gridCol w:w="3267"/>
        <w:gridCol w:w="467"/>
      </w:tblGrid>
      <w:tr w14:paraId="1702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44" w:type="dxa"/>
            <w:noWrap w:val="0"/>
            <w:vAlign w:val="center"/>
          </w:tcPr>
          <w:p w14:paraId="7FBE76A7">
            <w:pPr>
              <w:pStyle w:val="25"/>
              <w:tabs>
                <w:tab w:val="center" w:pos="4201"/>
                <w:tab w:val="right" w:leader="dot" w:pos="9298"/>
              </w:tabs>
              <w:adjustRightInd w:val="0"/>
              <w:snapToGrid w:val="0"/>
              <w:ind w:left="-105" w:leftChars="-50" w:right="-105" w:rightChars="-50" w:firstLine="0" w:firstLineChars="0"/>
              <w:jc w:val="center"/>
              <w:rPr>
                <w:rFonts w:ascii="Times New Roman"/>
                <w:b/>
                <w:bCs/>
                <w:szCs w:val="21"/>
              </w:rPr>
            </w:pPr>
            <w:r>
              <w:rPr>
                <w:rFonts w:ascii="Times New Roman"/>
                <w:b/>
                <w:bCs/>
                <w:szCs w:val="21"/>
              </w:rPr>
              <w:t>序号</w:t>
            </w:r>
          </w:p>
        </w:tc>
        <w:tc>
          <w:tcPr>
            <w:tcW w:w="1307" w:type="dxa"/>
            <w:noWrap w:val="0"/>
            <w:vAlign w:val="center"/>
          </w:tcPr>
          <w:p w14:paraId="6309B2B5">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章节条款</w:t>
            </w:r>
          </w:p>
        </w:tc>
        <w:tc>
          <w:tcPr>
            <w:tcW w:w="2746" w:type="dxa"/>
            <w:noWrap w:val="0"/>
            <w:vAlign w:val="center"/>
          </w:tcPr>
          <w:p w14:paraId="28E65980">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意见内容</w:t>
            </w:r>
          </w:p>
        </w:tc>
        <w:tc>
          <w:tcPr>
            <w:tcW w:w="1120" w:type="dxa"/>
            <w:noWrap w:val="0"/>
            <w:vAlign w:val="center"/>
          </w:tcPr>
          <w:p w14:paraId="5B39DAC4">
            <w:pPr>
              <w:pStyle w:val="25"/>
              <w:tabs>
                <w:tab w:val="center" w:pos="4201"/>
                <w:tab w:val="right" w:leader="dot" w:pos="9298"/>
              </w:tabs>
              <w:adjustRightInd w:val="0"/>
              <w:snapToGrid w:val="0"/>
              <w:ind w:left="-284" w:right="-284" w:firstLine="0" w:firstLineChars="0"/>
              <w:jc w:val="center"/>
              <w:rPr>
                <w:rFonts w:ascii="Times New Roman"/>
                <w:b/>
                <w:bCs/>
                <w:szCs w:val="21"/>
              </w:rPr>
            </w:pPr>
            <w:r>
              <w:rPr>
                <w:rFonts w:ascii="Times New Roman"/>
                <w:b/>
                <w:bCs/>
                <w:szCs w:val="21"/>
              </w:rPr>
              <w:t>提出单位</w:t>
            </w:r>
          </w:p>
        </w:tc>
        <w:tc>
          <w:tcPr>
            <w:tcW w:w="3267" w:type="dxa"/>
            <w:noWrap w:val="0"/>
            <w:vAlign w:val="center"/>
          </w:tcPr>
          <w:p w14:paraId="69E55D14">
            <w:pPr>
              <w:pStyle w:val="25"/>
              <w:tabs>
                <w:tab w:val="center" w:pos="4201"/>
                <w:tab w:val="right" w:leader="dot" w:pos="9298"/>
              </w:tabs>
              <w:adjustRightInd w:val="0"/>
              <w:snapToGrid w:val="0"/>
              <w:ind w:left="-50" w:right="-50" w:firstLine="0" w:firstLineChars="0"/>
              <w:jc w:val="center"/>
              <w:rPr>
                <w:rFonts w:ascii="Times New Roman"/>
                <w:b/>
                <w:bCs/>
                <w:szCs w:val="21"/>
              </w:rPr>
            </w:pPr>
            <w:r>
              <w:rPr>
                <w:rFonts w:ascii="Times New Roman"/>
                <w:b/>
                <w:bCs/>
                <w:szCs w:val="21"/>
              </w:rPr>
              <w:t>处理意见</w:t>
            </w:r>
          </w:p>
        </w:tc>
        <w:tc>
          <w:tcPr>
            <w:tcW w:w="467" w:type="dxa"/>
            <w:noWrap w:val="0"/>
            <w:vAlign w:val="center"/>
          </w:tcPr>
          <w:p w14:paraId="53915DAD">
            <w:pPr>
              <w:pStyle w:val="25"/>
              <w:tabs>
                <w:tab w:val="center" w:pos="4201"/>
                <w:tab w:val="right" w:leader="dot" w:pos="9298"/>
              </w:tabs>
              <w:adjustRightInd w:val="0"/>
              <w:snapToGrid w:val="0"/>
              <w:ind w:right="-50" w:firstLine="0" w:firstLineChars="0"/>
              <w:jc w:val="center"/>
              <w:rPr>
                <w:rFonts w:ascii="Times New Roman"/>
                <w:b/>
                <w:bCs/>
                <w:szCs w:val="21"/>
              </w:rPr>
            </w:pPr>
            <w:r>
              <w:rPr>
                <w:rFonts w:ascii="Times New Roman"/>
                <w:b/>
                <w:bCs/>
                <w:szCs w:val="21"/>
              </w:rPr>
              <w:t>备注</w:t>
            </w:r>
          </w:p>
        </w:tc>
      </w:tr>
      <w:tr w14:paraId="5015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01305005">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1</w:t>
            </w:r>
          </w:p>
        </w:tc>
        <w:tc>
          <w:tcPr>
            <w:tcW w:w="1307" w:type="dxa"/>
            <w:noWrap w:val="0"/>
            <w:vAlign w:val="center"/>
          </w:tcPr>
          <w:p w14:paraId="3F9F64AE">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3.1 术语和定义</w:t>
            </w:r>
          </w:p>
        </w:tc>
        <w:tc>
          <w:tcPr>
            <w:tcW w:w="2746" w:type="dxa"/>
            <w:noWrap w:val="0"/>
            <w:vAlign w:val="center"/>
          </w:tcPr>
          <w:p w14:paraId="59E5264A">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建议将“精炼镍”的表述格式由“精炼镍：通过电解、羰基分解、还原或沉淀等冶炼过程生产的镍”调整为“3.1.1 精炼镍 refined nickel：通过电解、羰基分解、还原、沉淀等冶炼过程生产的镍”。</w:t>
            </w:r>
          </w:p>
          <w:p w14:paraId="1EEA04BB">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p>
        </w:tc>
        <w:tc>
          <w:tcPr>
            <w:tcW w:w="1120" w:type="dxa"/>
            <w:noWrap w:val="0"/>
            <w:vAlign w:val="center"/>
          </w:tcPr>
          <w:p w14:paraId="6A8CEC9B">
            <w:pPr>
              <w:pStyle w:val="25"/>
              <w:widowControl w:val="0"/>
              <w:tabs>
                <w:tab w:val="center" w:pos="4201"/>
                <w:tab w:val="right" w:leader="dot" w:pos="9298"/>
              </w:tabs>
              <w:adjustRightInd w:val="0"/>
              <w:snapToGrid w:val="0"/>
              <w:ind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评审专家</w:t>
            </w:r>
          </w:p>
        </w:tc>
        <w:tc>
          <w:tcPr>
            <w:tcW w:w="3267" w:type="dxa"/>
            <w:noWrap w:val="0"/>
            <w:vAlign w:val="center"/>
          </w:tcPr>
          <w:p w14:paraId="0D9C9422">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采纳。补充术语定义有助于统一行业用语，提升标准的可操作性和执行一致性。此外，将术语定义调整为带有术语编号和英文对照的格式，使标准结构更加完整、规范，符合GB/T 1.1的编写要求。</w:t>
            </w:r>
          </w:p>
          <w:p w14:paraId="6E10EE76">
            <w:pPr>
              <w:pStyle w:val="25"/>
              <w:widowControl w:val="0"/>
              <w:tabs>
                <w:tab w:val="center" w:pos="4201"/>
                <w:tab w:val="right" w:leader="dot" w:pos="9298"/>
              </w:tabs>
              <w:adjustRightInd w:val="0"/>
              <w:snapToGrid w:val="0"/>
              <w:ind w:firstLine="0" w:firstLineChars="0"/>
              <w:jc w:val="both"/>
              <w:rPr>
                <w:rFonts w:hint="default" w:ascii="Times New Roman" w:hAnsi="Times New Roman" w:eastAsia="宋体" w:cs="Times New Roman"/>
                <w:kern w:val="2"/>
                <w:sz w:val="18"/>
                <w:szCs w:val="18"/>
                <w:lang w:val="en-US" w:eastAsia="zh-CN" w:bidi="ar-SA"/>
              </w:rPr>
            </w:pPr>
          </w:p>
        </w:tc>
        <w:tc>
          <w:tcPr>
            <w:tcW w:w="467" w:type="dxa"/>
            <w:noWrap w:val="0"/>
            <w:vAlign w:val="center"/>
          </w:tcPr>
          <w:p w14:paraId="229E0ADA">
            <w:pPr>
              <w:pStyle w:val="25"/>
              <w:tabs>
                <w:tab w:val="center" w:pos="4201"/>
                <w:tab w:val="right" w:leader="dot" w:pos="9298"/>
              </w:tabs>
              <w:adjustRightInd w:val="0"/>
              <w:snapToGrid w:val="0"/>
              <w:ind w:left="-50" w:right="-50"/>
              <w:rPr>
                <w:rFonts w:ascii="Times New Roman"/>
                <w:szCs w:val="21"/>
              </w:rPr>
            </w:pPr>
          </w:p>
        </w:tc>
      </w:tr>
      <w:tr w14:paraId="4FD3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4A6E7B0E">
            <w:pPr>
              <w:pStyle w:val="25"/>
              <w:tabs>
                <w:tab w:val="center" w:pos="4201"/>
                <w:tab w:val="right" w:leader="dot" w:pos="9298"/>
              </w:tabs>
              <w:adjustRightInd w:val="0"/>
              <w:snapToGrid w:val="0"/>
              <w:ind w:left="-105" w:leftChars="-50" w:right="-105" w:rightChars="-50" w:firstLine="0" w:firstLineChars="0"/>
              <w:jc w:val="center"/>
              <w:rPr>
                <w:rFonts w:ascii="Times New Roman"/>
                <w:sz w:val="18"/>
                <w:szCs w:val="18"/>
              </w:rPr>
            </w:pPr>
            <w:r>
              <w:rPr>
                <w:rFonts w:ascii="Times New Roman"/>
                <w:sz w:val="18"/>
                <w:szCs w:val="18"/>
              </w:rPr>
              <w:t>2</w:t>
            </w:r>
          </w:p>
        </w:tc>
        <w:tc>
          <w:tcPr>
            <w:tcW w:w="1307" w:type="dxa"/>
            <w:noWrap w:val="0"/>
            <w:vAlign w:val="center"/>
          </w:tcPr>
          <w:p w14:paraId="4FC4BFA7">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第4章 提供的产品</w:t>
            </w:r>
          </w:p>
        </w:tc>
        <w:tc>
          <w:tcPr>
            <w:tcW w:w="2746" w:type="dxa"/>
            <w:noWrap w:val="0"/>
            <w:vAlign w:val="center"/>
          </w:tcPr>
          <w:p w14:paraId="48376A85">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建议将阴极板重量范围由“约50kg～70kg”修改为“约</w:t>
            </w:r>
            <w:r>
              <w:rPr>
                <w:rFonts w:hint="eastAsia" w:cs="Times New Roman"/>
                <w:kern w:val="2"/>
                <w:sz w:val="18"/>
                <w:szCs w:val="18"/>
                <w:lang w:val="en-US" w:eastAsia="zh-CN" w:bidi="ar-SA"/>
              </w:rPr>
              <w:t>4</w:t>
            </w:r>
            <w:r>
              <w:rPr>
                <w:rFonts w:hint="eastAsia" w:ascii="Times New Roman" w:hAnsi="Times New Roman" w:eastAsia="宋体" w:cs="Times New Roman"/>
                <w:kern w:val="2"/>
                <w:sz w:val="18"/>
                <w:szCs w:val="18"/>
                <w:lang w:val="en-US" w:eastAsia="zh-CN" w:bidi="ar-SA"/>
              </w:rPr>
              <w:t>0kg～100kg”。</w:t>
            </w:r>
          </w:p>
          <w:p w14:paraId="05310E72">
            <w:pPr>
              <w:adjustRightInd w:val="0"/>
              <w:snapToGrid w:val="0"/>
              <w:rPr>
                <w:rFonts w:hint="eastAsia" w:ascii="Times New Roman" w:hAnsi="Times New Roman" w:eastAsia="宋体" w:cs="Times New Roman"/>
                <w:kern w:val="2"/>
                <w:sz w:val="18"/>
                <w:szCs w:val="18"/>
                <w:lang w:val="en-US" w:eastAsia="zh-CN" w:bidi="ar-SA"/>
              </w:rPr>
            </w:pPr>
          </w:p>
        </w:tc>
        <w:tc>
          <w:tcPr>
            <w:tcW w:w="1120" w:type="dxa"/>
            <w:noWrap w:val="0"/>
            <w:vAlign w:val="center"/>
          </w:tcPr>
          <w:p w14:paraId="3E726D77">
            <w:pPr>
              <w:pStyle w:val="25"/>
              <w:tabs>
                <w:tab w:val="center" w:pos="4201"/>
                <w:tab w:val="right" w:leader="dot" w:pos="9298"/>
              </w:tabs>
              <w:adjustRightInd w:val="0"/>
              <w:snapToGrid w:val="0"/>
              <w:ind w:left="-284" w:right="-284"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评审专家</w:t>
            </w:r>
          </w:p>
          <w:p w14:paraId="6D57697C">
            <w:pPr>
              <w:pStyle w:val="25"/>
              <w:tabs>
                <w:tab w:val="center" w:pos="4201"/>
                <w:tab w:val="right" w:leader="dot" w:pos="9298"/>
              </w:tabs>
              <w:adjustRightInd w:val="0"/>
              <w:snapToGrid w:val="0"/>
              <w:ind w:left="-284" w:right="-284" w:firstLine="0" w:firstLineChars="0"/>
              <w:jc w:val="center"/>
              <w:rPr>
                <w:rFonts w:hint="eastAsia" w:ascii="Times New Roman" w:hAnsi="Times New Roman" w:eastAsia="宋体" w:cs="Times New Roman"/>
                <w:kern w:val="2"/>
                <w:sz w:val="18"/>
                <w:szCs w:val="18"/>
                <w:lang w:val="en-US" w:eastAsia="zh-CN" w:bidi="ar-SA"/>
              </w:rPr>
            </w:pPr>
          </w:p>
        </w:tc>
        <w:tc>
          <w:tcPr>
            <w:tcW w:w="3267" w:type="dxa"/>
            <w:noWrap w:val="0"/>
            <w:vAlign w:val="center"/>
          </w:tcPr>
          <w:p w14:paraId="5708F5E6">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采纳。修改为“约</w:t>
            </w:r>
            <w:r>
              <w:rPr>
                <w:rFonts w:hint="eastAsia"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t>0kg～100kg”经调研国内部分精炼镍生产企业阴极板重量可达约</w:t>
            </w:r>
            <w:r>
              <w:rPr>
                <w:rFonts w:hint="eastAsia"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t>0kg～100kg，原规定的重量上</w:t>
            </w:r>
            <w:r>
              <w:rPr>
                <w:rFonts w:hint="eastAsia" w:cs="Times New Roman"/>
                <w:kern w:val="2"/>
                <w:sz w:val="18"/>
                <w:szCs w:val="18"/>
                <w:lang w:val="en-US" w:eastAsia="zh-CN" w:bidi="ar-SA"/>
              </w:rPr>
              <w:t>下</w:t>
            </w:r>
            <w:r>
              <w:rPr>
                <w:rFonts w:hint="eastAsia" w:ascii="Times New Roman" w:hAnsi="Times New Roman" w:eastAsia="宋体" w:cs="Times New Roman"/>
                <w:kern w:val="2"/>
                <w:sz w:val="18"/>
                <w:szCs w:val="18"/>
                <w:lang w:val="en-US" w:eastAsia="zh-CN" w:bidi="ar-SA"/>
              </w:rPr>
              <w:t>限不能完全覆盖国内产品实际规格，扩大重量范围有利于增强标准的适用性。</w:t>
            </w:r>
          </w:p>
          <w:p w14:paraId="2447881F">
            <w:pPr>
              <w:pStyle w:val="25"/>
              <w:tabs>
                <w:tab w:val="center" w:pos="4201"/>
                <w:tab w:val="right" w:leader="dot" w:pos="9298"/>
              </w:tabs>
              <w:adjustRightInd w:val="0"/>
              <w:snapToGrid w:val="0"/>
              <w:ind w:left="-50" w:right="-50" w:firstLine="0" w:firstLineChars="0"/>
              <w:jc w:val="both"/>
              <w:rPr>
                <w:rFonts w:hint="default" w:ascii="Times New Roman" w:hAnsi="Times New Roman" w:eastAsia="宋体" w:cs="Times New Roman"/>
                <w:kern w:val="2"/>
                <w:sz w:val="18"/>
                <w:szCs w:val="18"/>
                <w:lang w:val="en-US" w:eastAsia="zh-CN" w:bidi="ar-SA"/>
              </w:rPr>
            </w:pPr>
          </w:p>
        </w:tc>
        <w:tc>
          <w:tcPr>
            <w:tcW w:w="467" w:type="dxa"/>
            <w:noWrap w:val="0"/>
            <w:vAlign w:val="center"/>
          </w:tcPr>
          <w:p w14:paraId="0BCA3D74">
            <w:pPr>
              <w:pStyle w:val="25"/>
              <w:tabs>
                <w:tab w:val="center" w:pos="4201"/>
                <w:tab w:val="right" w:leader="dot" w:pos="9298"/>
              </w:tabs>
              <w:adjustRightInd w:val="0"/>
              <w:snapToGrid w:val="0"/>
              <w:ind w:left="-50" w:right="-50"/>
              <w:rPr>
                <w:rFonts w:ascii="Times New Roman"/>
                <w:szCs w:val="21"/>
              </w:rPr>
            </w:pPr>
          </w:p>
        </w:tc>
      </w:tr>
      <w:tr w14:paraId="3518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trPr>
        <w:tc>
          <w:tcPr>
            <w:tcW w:w="544" w:type="dxa"/>
            <w:noWrap w:val="0"/>
            <w:vAlign w:val="center"/>
          </w:tcPr>
          <w:p w14:paraId="31A03A19">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eastAsia="zh-CN"/>
              </w:rPr>
            </w:pPr>
            <w:r>
              <w:rPr>
                <w:rFonts w:hint="eastAsia" w:ascii="Times New Roman"/>
                <w:sz w:val="18"/>
                <w:szCs w:val="18"/>
                <w:lang w:val="en-US" w:eastAsia="zh-CN"/>
              </w:rPr>
              <w:t>3</w:t>
            </w:r>
          </w:p>
        </w:tc>
        <w:tc>
          <w:tcPr>
            <w:tcW w:w="1307" w:type="dxa"/>
            <w:noWrap w:val="0"/>
            <w:vAlign w:val="center"/>
          </w:tcPr>
          <w:p w14:paraId="221208B6">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表1</w:t>
            </w:r>
          </w:p>
        </w:tc>
        <w:tc>
          <w:tcPr>
            <w:tcW w:w="2746" w:type="dxa"/>
            <w:noWrap w:val="0"/>
            <w:vAlign w:val="center"/>
          </w:tcPr>
          <w:p w14:paraId="79218904">
            <w:pPr>
              <w:pStyle w:val="25"/>
              <w:widowControl w:val="0"/>
              <w:tabs>
                <w:tab w:val="center" w:pos="4201"/>
                <w:tab w:val="right" w:leader="dot" w:pos="9298"/>
              </w:tabs>
              <w:adjustRightInd w:val="0"/>
              <w:snapToGrid w:val="0"/>
              <w:ind w:firstLine="0" w:firstLineChars="0"/>
              <w:rPr>
                <w:rFonts w:ascii="Times New Roman"/>
                <w:sz w:val="18"/>
                <w:szCs w:val="18"/>
              </w:rPr>
            </w:pPr>
            <w:r>
              <w:rPr>
                <w:rFonts w:hint="eastAsia" w:ascii="Times New Roman" w:hAnsi="Times New Roman" w:eastAsia="宋体" w:cs="Times New Roman"/>
                <w:kern w:val="2"/>
                <w:sz w:val="18"/>
                <w:szCs w:val="18"/>
                <w:lang w:val="en-US" w:eastAsia="zh-CN" w:bidi="ar-SA"/>
              </w:rPr>
              <w:t>对表1“50kg为单位的样品选择”中的数据进行修正</w:t>
            </w:r>
            <w:r>
              <w:rPr>
                <w:rFonts w:hint="eastAsia" w:ascii="Times New Roman" w:hAnsi="Times New Roman" w:cs="Times New Roman"/>
                <w:kern w:val="2"/>
                <w:sz w:val="18"/>
                <w:szCs w:val="18"/>
                <w:lang w:val="en-US" w:eastAsia="zh-CN" w:bidi="ar-SA"/>
              </w:rPr>
              <w:t>。</w:t>
            </w:r>
          </w:p>
        </w:tc>
        <w:tc>
          <w:tcPr>
            <w:tcW w:w="1120" w:type="dxa"/>
            <w:noWrap w:val="0"/>
            <w:vAlign w:val="center"/>
          </w:tcPr>
          <w:p w14:paraId="72AD39FD">
            <w:pPr>
              <w:pStyle w:val="25"/>
              <w:widowControl w:val="0"/>
              <w:tabs>
                <w:tab w:val="center" w:pos="4201"/>
                <w:tab w:val="right" w:leader="dot" w:pos="9298"/>
              </w:tabs>
              <w:adjustRightInd w:val="0"/>
              <w:snapToGrid w:val="0"/>
              <w:ind w:firstLine="0" w:firstLineChars="0"/>
              <w:jc w:val="center"/>
              <w:rPr>
                <w:rFonts w:ascii="Times New Roman"/>
                <w:sz w:val="18"/>
                <w:szCs w:val="18"/>
              </w:rPr>
            </w:pPr>
            <w:r>
              <w:rPr>
                <w:rFonts w:hint="eastAsia" w:ascii="Times New Roman"/>
                <w:sz w:val="18"/>
                <w:szCs w:val="18"/>
              </w:rPr>
              <w:t>评审专家</w:t>
            </w:r>
          </w:p>
        </w:tc>
        <w:tc>
          <w:tcPr>
            <w:tcW w:w="3267" w:type="dxa"/>
            <w:noWrap w:val="0"/>
            <w:vAlign w:val="center"/>
          </w:tcPr>
          <w:p w14:paraId="20D59EB0">
            <w:pPr>
              <w:pStyle w:val="43"/>
              <w:numPr>
                <w:ilvl w:val="0"/>
                <w:numId w:val="0"/>
              </w:numP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将批重“2.400~3.750”修改为“3.400~3.750”，将“20.400~21.350”对应的批中单位总数“209~427”修改为“409~427”，并将“23.240~24.150”修改为“23.250~24.150”；同时，将表中所有批重范围的数据连接符统一由“-”修改为“～”。</w:t>
            </w:r>
          </w:p>
        </w:tc>
        <w:tc>
          <w:tcPr>
            <w:tcW w:w="467" w:type="dxa"/>
            <w:noWrap w:val="0"/>
            <w:vAlign w:val="center"/>
          </w:tcPr>
          <w:p w14:paraId="7DAEDA0F">
            <w:pPr>
              <w:pStyle w:val="25"/>
              <w:tabs>
                <w:tab w:val="center" w:pos="4201"/>
                <w:tab w:val="right" w:leader="dot" w:pos="9298"/>
              </w:tabs>
              <w:adjustRightInd w:val="0"/>
              <w:snapToGrid w:val="0"/>
              <w:ind w:left="-50" w:right="-50"/>
              <w:rPr>
                <w:rFonts w:ascii="Times New Roman"/>
                <w:szCs w:val="21"/>
              </w:rPr>
            </w:pPr>
          </w:p>
        </w:tc>
      </w:tr>
      <w:tr w14:paraId="5730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544" w:type="dxa"/>
            <w:noWrap w:val="0"/>
            <w:vAlign w:val="center"/>
          </w:tcPr>
          <w:p w14:paraId="1D854406">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4</w:t>
            </w:r>
          </w:p>
        </w:tc>
        <w:tc>
          <w:tcPr>
            <w:tcW w:w="1307" w:type="dxa"/>
            <w:shd w:val="clear" w:color="auto" w:fill="auto"/>
            <w:noWrap w:val="0"/>
            <w:vAlign w:val="center"/>
          </w:tcPr>
          <w:p w14:paraId="1D59EDE0">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7.2.2</w:t>
            </w:r>
          </w:p>
        </w:tc>
        <w:tc>
          <w:tcPr>
            <w:tcW w:w="2746" w:type="dxa"/>
            <w:noWrap w:val="0"/>
            <w:vAlign w:val="center"/>
          </w:tcPr>
          <w:p w14:paraId="6DAF7F12">
            <w:pPr>
              <w:pStyle w:val="25"/>
              <w:widowControl w:val="0"/>
              <w:tabs>
                <w:tab w:val="center" w:pos="4201"/>
                <w:tab w:val="right" w:leader="dot" w:pos="9298"/>
              </w:tabs>
              <w:adjustRightInd w:val="0"/>
              <w:snapToGrid w:val="0"/>
              <w:ind w:firstLine="0" w:firstLineChars="0"/>
              <w:rPr>
                <w:rFonts w:hint="default" w:ascii="Times New Roman"/>
                <w:sz w:val="18"/>
                <w:szCs w:val="18"/>
                <w:lang w:val="en-US"/>
              </w:rPr>
            </w:pPr>
            <w:r>
              <w:rPr>
                <w:rFonts w:hint="eastAsia" w:ascii="Times New Roman" w:hAnsi="Times New Roman" w:eastAsia="宋体" w:cs="Times New Roman"/>
                <w:kern w:val="2"/>
                <w:sz w:val="18"/>
                <w:szCs w:val="18"/>
                <w:lang w:val="en-US" w:eastAsia="zh-CN" w:bidi="ar-SA"/>
              </w:rPr>
              <w:t>建议增加铣取方法的补充说明。</w:t>
            </w:r>
          </w:p>
        </w:tc>
        <w:tc>
          <w:tcPr>
            <w:tcW w:w="1120" w:type="dxa"/>
            <w:noWrap w:val="0"/>
            <w:vAlign w:val="center"/>
          </w:tcPr>
          <w:p w14:paraId="13BFAD31">
            <w:pPr>
              <w:pStyle w:val="25"/>
              <w:widowControl w:val="0"/>
              <w:tabs>
                <w:tab w:val="center" w:pos="4201"/>
                <w:tab w:val="right" w:leader="dot" w:pos="9298"/>
              </w:tabs>
              <w:adjustRightInd w:val="0"/>
              <w:snapToGrid w:val="0"/>
              <w:ind w:firstLine="0" w:firstLineChars="0"/>
              <w:jc w:val="center"/>
              <w:rPr>
                <w:rFonts w:hint="eastAsia" w:ascii="Times New Roman"/>
                <w:sz w:val="18"/>
                <w:szCs w:val="18"/>
              </w:rPr>
            </w:pPr>
            <w:r>
              <w:rPr>
                <w:rFonts w:hint="eastAsia" w:ascii="Times New Roman"/>
                <w:sz w:val="18"/>
                <w:szCs w:val="18"/>
              </w:rPr>
              <w:t>评审专家</w:t>
            </w:r>
          </w:p>
        </w:tc>
        <w:tc>
          <w:tcPr>
            <w:tcW w:w="3267" w:type="dxa"/>
            <w:shd w:val="clear" w:color="auto" w:fill="auto"/>
            <w:noWrap w:val="0"/>
            <w:vAlign w:val="center"/>
          </w:tcPr>
          <w:p w14:paraId="0A638021">
            <w:pPr>
              <w:keepNext w:val="0"/>
              <w:keepLines w:val="0"/>
              <w:widowControl/>
              <w:suppressLineNumbers w:val="0"/>
              <w:jc w:val="both"/>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采纳。增加铣取方法的补充说明：“在使用某些特定设计的铣刀时，可能有必要先钻一个较小的引导孔，例如2mm～3mm。”</w:t>
            </w:r>
          </w:p>
        </w:tc>
        <w:tc>
          <w:tcPr>
            <w:tcW w:w="467" w:type="dxa"/>
            <w:noWrap w:val="0"/>
            <w:vAlign w:val="center"/>
          </w:tcPr>
          <w:p w14:paraId="0753060F">
            <w:pPr>
              <w:pStyle w:val="25"/>
              <w:tabs>
                <w:tab w:val="center" w:pos="4201"/>
                <w:tab w:val="right" w:leader="dot" w:pos="9298"/>
              </w:tabs>
              <w:adjustRightInd w:val="0"/>
              <w:snapToGrid w:val="0"/>
              <w:ind w:left="-50" w:right="-50"/>
              <w:rPr>
                <w:rFonts w:ascii="Times New Roman"/>
                <w:szCs w:val="21"/>
              </w:rPr>
            </w:pPr>
          </w:p>
        </w:tc>
      </w:tr>
      <w:tr w14:paraId="310D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544" w:type="dxa"/>
            <w:noWrap w:val="0"/>
            <w:vAlign w:val="center"/>
          </w:tcPr>
          <w:p w14:paraId="6313BD22">
            <w:pPr>
              <w:pStyle w:val="25"/>
              <w:tabs>
                <w:tab w:val="center" w:pos="4201"/>
                <w:tab w:val="right" w:leader="dot" w:pos="9298"/>
              </w:tabs>
              <w:adjustRightInd w:val="0"/>
              <w:snapToGrid w:val="0"/>
              <w:ind w:left="-105" w:leftChars="-50" w:right="-105" w:rightChars="-50" w:firstLine="0" w:firstLineChars="0"/>
              <w:jc w:val="center"/>
              <w:rPr>
                <w:rFonts w:hint="eastAsia" w:ascii="Times New Roman" w:eastAsia="宋体"/>
                <w:sz w:val="18"/>
                <w:szCs w:val="18"/>
                <w:lang w:val="en-US" w:eastAsia="zh-CN"/>
              </w:rPr>
            </w:pPr>
            <w:r>
              <w:rPr>
                <w:rFonts w:hint="eastAsia" w:ascii="Times New Roman"/>
                <w:sz w:val="18"/>
                <w:szCs w:val="18"/>
                <w:lang w:val="en-US" w:eastAsia="zh-CN"/>
              </w:rPr>
              <w:t>5</w:t>
            </w:r>
          </w:p>
        </w:tc>
        <w:tc>
          <w:tcPr>
            <w:tcW w:w="1307" w:type="dxa"/>
            <w:noWrap w:val="0"/>
            <w:vAlign w:val="center"/>
          </w:tcPr>
          <w:p w14:paraId="70BA098F">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7.2.3</w:t>
            </w:r>
          </w:p>
        </w:tc>
        <w:tc>
          <w:tcPr>
            <w:tcW w:w="2746" w:type="dxa"/>
            <w:noWrap w:val="0"/>
            <w:vAlign w:val="center"/>
          </w:tcPr>
          <w:p w14:paraId="7F95FA1F">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将7.2.3中阴极板取样点分布的表述</w:t>
            </w:r>
            <w:r>
              <w:rPr>
                <w:rFonts w:hint="eastAsia" w:ascii="Times New Roman" w:hAnsi="Times New Roman" w:cs="Times New Roman"/>
                <w:kern w:val="2"/>
                <w:sz w:val="18"/>
                <w:szCs w:val="18"/>
                <w:lang w:val="en-US" w:eastAsia="zh-CN" w:bidi="ar-SA"/>
              </w:rPr>
              <w:t>进行</w:t>
            </w:r>
            <w:r>
              <w:rPr>
                <w:rFonts w:hint="eastAsia" w:ascii="Times New Roman" w:hAnsi="Times New Roman" w:eastAsia="宋体" w:cs="Times New Roman"/>
                <w:kern w:val="2"/>
                <w:sz w:val="18"/>
                <w:szCs w:val="18"/>
                <w:lang w:val="en-US" w:eastAsia="zh-CN" w:bidi="ar-SA"/>
              </w:rPr>
              <w:t>修改</w:t>
            </w:r>
            <w:r>
              <w:rPr>
                <w:rFonts w:hint="eastAsia" w:ascii="Times New Roman" w:hAnsi="Times New Roman" w:cs="Times New Roman"/>
                <w:kern w:val="2"/>
                <w:sz w:val="18"/>
                <w:szCs w:val="18"/>
                <w:lang w:val="en-US" w:eastAsia="zh-CN" w:bidi="ar-SA"/>
              </w:rPr>
              <w:t>。</w:t>
            </w:r>
          </w:p>
          <w:p w14:paraId="04CC4F9C">
            <w:pPr>
              <w:pStyle w:val="25"/>
              <w:widowControl w:val="0"/>
              <w:tabs>
                <w:tab w:val="center" w:pos="4201"/>
                <w:tab w:val="right" w:leader="dot" w:pos="9298"/>
              </w:tabs>
              <w:adjustRightInd w:val="0"/>
              <w:snapToGrid w:val="0"/>
              <w:ind w:firstLine="0" w:firstLineChars="0"/>
              <w:rPr>
                <w:rFonts w:ascii="Times New Roman"/>
                <w:sz w:val="18"/>
                <w:szCs w:val="18"/>
              </w:rPr>
            </w:pPr>
          </w:p>
        </w:tc>
        <w:tc>
          <w:tcPr>
            <w:tcW w:w="1120" w:type="dxa"/>
            <w:noWrap w:val="0"/>
            <w:vAlign w:val="center"/>
          </w:tcPr>
          <w:p w14:paraId="634DCF38">
            <w:pPr>
              <w:widowControl w:val="0"/>
              <w:adjustRightInd w:val="0"/>
              <w:snapToGrid w:val="0"/>
              <w:ind w:firstLine="0" w:firstLineChars="0"/>
              <w:jc w:val="center"/>
              <w:rPr>
                <w:rFonts w:hint="eastAsia" w:ascii="Times New Roman"/>
                <w:sz w:val="18"/>
                <w:szCs w:val="18"/>
              </w:rPr>
            </w:pPr>
            <w:r>
              <w:rPr>
                <w:rFonts w:hint="eastAsia" w:ascii="Times New Roman"/>
                <w:sz w:val="18"/>
                <w:szCs w:val="18"/>
              </w:rPr>
              <w:t>评审专家</w:t>
            </w:r>
          </w:p>
        </w:tc>
        <w:tc>
          <w:tcPr>
            <w:tcW w:w="3267" w:type="dxa"/>
            <w:noWrap w:val="0"/>
            <w:vAlign w:val="center"/>
          </w:tcPr>
          <w:p w14:paraId="24C10C45">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采纳。将7.2.3中阴极板取样点分布的表述进行修改为：“模板的起始角应在每块阴极板上交替设置，以避免因从阴极板顶或底部开始造成偏差。”</w:t>
            </w:r>
          </w:p>
          <w:p w14:paraId="40AA6616">
            <w:pPr>
              <w:pStyle w:val="25"/>
              <w:tabs>
                <w:tab w:val="center" w:pos="4201"/>
                <w:tab w:val="right" w:leader="dot" w:pos="9298"/>
              </w:tabs>
              <w:adjustRightInd w:val="0"/>
              <w:snapToGrid w:val="0"/>
              <w:ind w:left="-50" w:right="-50" w:firstLine="0" w:firstLineChars="0"/>
              <w:jc w:val="center"/>
              <w:rPr>
                <w:rFonts w:hint="default" w:ascii="Times New Roman" w:hAnsi="Times New Roman" w:eastAsia="宋体" w:cs="Times New Roman"/>
                <w:kern w:val="2"/>
                <w:sz w:val="18"/>
                <w:szCs w:val="18"/>
                <w:lang w:val="en-US" w:eastAsia="zh-CN" w:bidi="ar-SA"/>
              </w:rPr>
            </w:pPr>
          </w:p>
        </w:tc>
        <w:tc>
          <w:tcPr>
            <w:tcW w:w="467" w:type="dxa"/>
            <w:noWrap w:val="0"/>
            <w:vAlign w:val="center"/>
          </w:tcPr>
          <w:p w14:paraId="0029F078">
            <w:pPr>
              <w:pStyle w:val="25"/>
              <w:tabs>
                <w:tab w:val="center" w:pos="4201"/>
                <w:tab w:val="right" w:leader="dot" w:pos="9298"/>
              </w:tabs>
              <w:adjustRightInd w:val="0"/>
              <w:snapToGrid w:val="0"/>
              <w:ind w:left="-50" w:right="-50"/>
              <w:rPr>
                <w:rFonts w:ascii="Times New Roman"/>
                <w:szCs w:val="21"/>
              </w:rPr>
            </w:pPr>
          </w:p>
        </w:tc>
      </w:tr>
      <w:tr w14:paraId="6FA4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152D029B">
            <w:pPr>
              <w:pStyle w:val="25"/>
              <w:tabs>
                <w:tab w:val="center" w:pos="4201"/>
                <w:tab w:val="right" w:leader="dot" w:pos="9298"/>
              </w:tabs>
              <w:adjustRightInd w:val="0"/>
              <w:snapToGrid w:val="0"/>
              <w:ind w:left="-105" w:leftChars="-50" w:right="-105" w:rightChars="-50" w:firstLine="0" w:firstLineChars="0"/>
              <w:jc w:val="center"/>
              <w:rPr>
                <w:rFonts w:hint="default" w:ascii="Times New Roman"/>
                <w:sz w:val="18"/>
                <w:szCs w:val="18"/>
                <w:lang w:val="en-US" w:eastAsia="zh-CN"/>
              </w:rPr>
            </w:pPr>
            <w:r>
              <w:rPr>
                <w:rFonts w:hint="eastAsia" w:ascii="Times New Roman"/>
                <w:sz w:val="18"/>
                <w:szCs w:val="18"/>
                <w:lang w:val="en-US" w:eastAsia="zh-CN"/>
              </w:rPr>
              <w:t>6</w:t>
            </w:r>
          </w:p>
        </w:tc>
        <w:tc>
          <w:tcPr>
            <w:tcW w:w="1307" w:type="dxa"/>
            <w:noWrap w:val="0"/>
            <w:vAlign w:val="center"/>
          </w:tcPr>
          <w:p w14:paraId="236BE055">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第10章取样报告</w:t>
            </w:r>
          </w:p>
        </w:tc>
        <w:tc>
          <w:tcPr>
            <w:tcW w:w="2746" w:type="dxa"/>
            <w:noWrap w:val="0"/>
            <w:vAlign w:val="center"/>
          </w:tcPr>
          <w:p w14:paraId="0FEA0603">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建议将第10章“取样报告”进行修改</w:t>
            </w:r>
          </w:p>
          <w:p w14:paraId="65547A7D">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p>
        </w:tc>
        <w:tc>
          <w:tcPr>
            <w:tcW w:w="1120" w:type="dxa"/>
            <w:noWrap w:val="0"/>
            <w:vAlign w:val="center"/>
          </w:tcPr>
          <w:p w14:paraId="4264F57A">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sz w:val="18"/>
                <w:szCs w:val="18"/>
              </w:rPr>
              <w:t>评审专家</w:t>
            </w:r>
          </w:p>
        </w:tc>
        <w:tc>
          <w:tcPr>
            <w:tcW w:w="3267" w:type="dxa"/>
            <w:noWrap w:val="0"/>
            <w:vAlign w:val="center"/>
          </w:tcPr>
          <w:p w14:paraId="1616254B">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采</w:t>
            </w:r>
            <w:r>
              <w:rPr>
                <w:rFonts w:hint="eastAsia" w:ascii="Times New Roman" w:hAnsi="Times New Roman" w:eastAsia="宋体" w:cs="Times New Roman"/>
                <w:kern w:val="2"/>
                <w:sz w:val="18"/>
                <w:szCs w:val="18"/>
                <w:lang w:val="en-US" w:eastAsia="zh-CN" w:bidi="ar-SA"/>
              </w:rPr>
              <w:t>纳。将c）“所使用的方法”修改为“所采用的取样方法及依据的标准条款”</w:t>
            </w:r>
            <w:r>
              <w:rPr>
                <w:rFonts w:hint="eastAsia" w:ascii="Times New Roman" w:hAnsi="Times New Roman" w:cs="Times New Roman"/>
                <w:kern w:val="2"/>
                <w:sz w:val="18"/>
                <w:szCs w:val="18"/>
                <w:lang w:val="en-US" w:eastAsia="zh-CN" w:bidi="ar-SA"/>
              </w:rPr>
              <w:t>；</w:t>
            </w:r>
            <w:r>
              <w:rPr>
                <w:rFonts w:hint="eastAsia" w:ascii="Times New Roman" w:hAnsi="Times New Roman" w:eastAsia="宋体" w:cs="Times New Roman"/>
                <w:kern w:val="2"/>
                <w:sz w:val="18"/>
                <w:szCs w:val="18"/>
                <w:lang w:val="en-US" w:eastAsia="zh-CN" w:bidi="ar-SA"/>
              </w:rPr>
              <w:t>将f）在抽样过程中发现的任何异常特征或抽样程序产生的任何偏差”修改为“在取样过程中发现的任何异常情况或偏离取样程序的情况”</w:t>
            </w:r>
            <w:r>
              <w:rPr>
                <w:rFonts w:hint="eastAsia" w:ascii="Times New Roman" w:hAnsi="Times New Roman" w:cs="Times New Roman"/>
                <w:kern w:val="2"/>
                <w:sz w:val="18"/>
                <w:szCs w:val="18"/>
                <w:lang w:val="en-US" w:eastAsia="zh-CN" w:bidi="ar-SA"/>
              </w:rPr>
              <w:t>；</w:t>
            </w:r>
          </w:p>
        </w:tc>
        <w:tc>
          <w:tcPr>
            <w:tcW w:w="467" w:type="dxa"/>
            <w:noWrap w:val="0"/>
            <w:vAlign w:val="center"/>
          </w:tcPr>
          <w:p w14:paraId="42DA6BB8">
            <w:pPr>
              <w:pStyle w:val="25"/>
              <w:tabs>
                <w:tab w:val="center" w:pos="4201"/>
                <w:tab w:val="right" w:leader="dot" w:pos="9298"/>
              </w:tabs>
              <w:adjustRightInd w:val="0"/>
              <w:snapToGrid w:val="0"/>
              <w:ind w:left="-50" w:right="-50"/>
              <w:rPr>
                <w:rFonts w:ascii="Times New Roman"/>
                <w:szCs w:val="21"/>
              </w:rPr>
            </w:pPr>
          </w:p>
        </w:tc>
      </w:tr>
      <w:tr w14:paraId="72F4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6273F9DD">
            <w:pPr>
              <w:pStyle w:val="25"/>
              <w:tabs>
                <w:tab w:val="center" w:pos="4201"/>
                <w:tab w:val="right" w:leader="dot" w:pos="9298"/>
              </w:tabs>
              <w:adjustRightInd w:val="0"/>
              <w:snapToGrid w:val="0"/>
              <w:ind w:left="-105" w:leftChars="-50" w:right="-105" w:rightChars="-50" w:firstLine="0" w:firstLineChars="0"/>
              <w:jc w:val="center"/>
              <w:rPr>
                <w:rFonts w:hint="default" w:ascii="Times New Roman"/>
                <w:sz w:val="18"/>
                <w:szCs w:val="18"/>
                <w:lang w:val="en-US" w:eastAsia="zh-CN"/>
              </w:rPr>
            </w:pPr>
            <w:r>
              <w:rPr>
                <w:rFonts w:hint="eastAsia" w:ascii="Times New Roman"/>
                <w:sz w:val="18"/>
                <w:szCs w:val="18"/>
                <w:lang w:val="en-US" w:eastAsia="zh-CN"/>
              </w:rPr>
              <w:t>7</w:t>
            </w:r>
          </w:p>
        </w:tc>
        <w:tc>
          <w:tcPr>
            <w:tcW w:w="1307" w:type="dxa"/>
            <w:noWrap w:val="0"/>
            <w:vAlign w:val="center"/>
          </w:tcPr>
          <w:p w14:paraId="3F306E44">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附录A.7</w:t>
            </w:r>
          </w:p>
        </w:tc>
        <w:tc>
          <w:tcPr>
            <w:tcW w:w="2746" w:type="dxa"/>
            <w:noWrap w:val="0"/>
            <w:vAlign w:val="center"/>
          </w:tcPr>
          <w:p w14:paraId="1DDED491">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建议对“附录A.7整张阴极板”内容修改</w:t>
            </w:r>
          </w:p>
        </w:tc>
        <w:tc>
          <w:tcPr>
            <w:tcW w:w="1120" w:type="dxa"/>
            <w:noWrap w:val="0"/>
            <w:vAlign w:val="center"/>
          </w:tcPr>
          <w:p w14:paraId="6F200168">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评审专家</w:t>
            </w:r>
          </w:p>
        </w:tc>
        <w:tc>
          <w:tcPr>
            <w:tcW w:w="3267" w:type="dxa"/>
            <w:noWrap w:val="0"/>
            <w:vAlign w:val="center"/>
          </w:tcPr>
          <w:p w14:paraId="67CD0E65">
            <w:pPr>
              <w:pStyle w:val="25"/>
              <w:widowControl w:val="0"/>
              <w:tabs>
                <w:tab w:val="center" w:pos="4201"/>
                <w:tab w:val="right" w:leader="dot" w:pos="9298"/>
              </w:tabs>
              <w:adjustRightInd w:val="0"/>
              <w:snapToGrid w:val="0"/>
              <w:ind w:firstLine="0"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采纳。将附录A.7“整张阴极板”中“每张阴极板的质量都非常接近50kg并且通常小于1000kg”修改为“每张阴极板的质量接近50kg，并且通常小于100kg”。</w:t>
            </w:r>
          </w:p>
          <w:p w14:paraId="047C7DCD">
            <w:pPr>
              <w:pStyle w:val="25"/>
              <w:widowControl w:val="0"/>
              <w:tabs>
                <w:tab w:val="center" w:pos="4201"/>
                <w:tab w:val="right" w:leader="dot" w:pos="9298"/>
              </w:tabs>
              <w:adjustRightInd w:val="0"/>
              <w:snapToGrid w:val="0"/>
              <w:ind w:firstLine="0" w:firstLineChars="0"/>
              <w:rPr>
                <w:rFonts w:hint="default" w:ascii="Times New Roman" w:hAnsi="Times New Roman" w:eastAsia="宋体" w:cs="Times New Roman"/>
                <w:kern w:val="2"/>
                <w:sz w:val="18"/>
                <w:szCs w:val="18"/>
                <w:lang w:val="en-US" w:eastAsia="zh-CN" w:bidi="ar-SA"/>
              </w:rPr>
            </w:pPr>
          </w:p>
        </w:tc>
        <w:tc>
          <w:tcPr>
            <w:tcW w:w="467" w:type="dxa"/>
            <w:noWrap w:val="0"/>
            <w:vAlign w:val="center"/>
          </w:tcPr>
          <w:p w14:paraId="25E0CF86">
            <w:pPr>
              <w:pStyle w:val="25"/>
              <w:tabs>
                <w:tab w:val="center" w:pos="4201"/>
                <w:tab w:val="right" w:leader="dot" w:pos="9298"/>
              </w:tabs>
              <w:adjustRightInd w:val="0"/>
              <w:snapToGrid w:val="0"/>
              <w:ind w:left="-50" w:right="-50"/>
              <w:rPr>
                <w:rFonts w:ascii="Times New Roman"/>
                <w:szCs w:val="21"/>
              </w:rPr>
            </w:pPr>
          </w:p>
        </w:tc>
      </w:tr>
      <w:tr w14:paraId="4916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544" w:type="dxa"/>
            <w:noWrap w:val="0"/>
            <w:vAlign w:val="center"/>
          </w:tcPr>
          <w:p w14:paraId="5F4F497E">
            <w:pPr>
              <w:pStyle w:val="25"/>
              <w:tabs>
                <w:tab w:val="center" w:pos="4201"/>
                <w:tab w:val="right" w:leader="dot" w:pos="9298"/>
              </w:tabs>
              <w:adjustRightInd w:val="0"/>
              <w:snapToGrid w:val="0"/>
              <w:ind w:left="-105" w:leftChars="-50" w:right="-105" w:rightChars="-50" w:firstLine="0" w:firstLineChars="0"/>
              <w:jc w:val="center"/>
              <w:rPr>
                <w:rFonts w:hint="default" w:ascii="Times New Roman"/>
                <w:sz w:val="18"/>
                <w:szCs w:val="18"/>
                <w:lang w:val="en-US" w:eastAsia="zh-CN"/>
              </w:rPr>
            </w:pPr>
            <w:r>
              <w:rPr>
                <w:rFonts w:hint="eastAsia" w:ascii="Times New Roman"/>
                <w:sz w:val="18"/>
                <w:szCs w:val="18"/>
                <w:lang w:val="en-US" w:eastAsia="zh-CN"/>
              </w:rPr>
              <w:t>8</w:t>
            </w:r>
          </w:p>
        </w:tc>
        <w:tc>
          <w:tcPr>
            <w:tcW w:w="1307" w:type="dxa"/>
            <w:noWrap w:val="0"/>
            <w:vAlign w:val="center"/>
          </w:tcPr>
          <w:p w14:paraId="191F8599">
            <w:pPr>
              <w:pStyle w:val="25"/>
              <w:tabs>
                <w:tab w:val="center" w:pos="4201"/>
                <w:tab w:val="right" w:leader="dot" w:pos="9298"/>
              </w:tabs>
              <w:adjustRightInd w:val="0"/>
              <w:snapToGrid w:val="0"/>
              <w:ind w:left="-105" w:leftChars="-50" w:right="-105" w:rightChars="-50" w:firstLine="0" w:firstLineChars="0"/>
              <w:jc w:val="left"/>
              <w:rPr>
                <w:rFonts w:hint="default" w:ascii="Times New Roman"/>
                <w:sz w:val="18"/>
                <w:szCs w:val="18"/>
                <w:lang w:val="en-US" w:eastAsia="zh-CN"/>
              </w:rPr>
            </w:pPr>
            <w:r>
              <w:rPr>
                <w:rFonts w:hint="eastAsia" w:ascii="Times New Roman"/>
                <w:sz w:val="18"/>
                <w:szCs w:val="18"/>
                <w:lang w:val="en-US" w:eastAsia="zh-CN"/>
              </w:rPr>
              <w:t>附录B.3.2</w:t>
            </w:r>
          </w:p>
        </w:tc>
        <w:tc>
          <w:tcPr>
            <w:tcW w:w="2746" w:type="dxa"/>
            <w:noWrap w:val="0"/>
            <w:vAlign w:val="center"/>
          </w:tcPr>
          <w:p w14:paraId="1CB8AB9E">
            <w:pPr>
              <w:pStyle w:val="25"/>
              <w:tabs>
                <w:tab w:val="center" w:pos="4201"/>
                <w:tab w:val="right" w:leader="dot" w:pos="9298"/>
              </w:tabs>
              <w:adjustRightInd w:val="0"/>
              <w:snapToGrid w:val="0"/>
              <w:ind w:left="-105" w:leftChars="-50" w:right="-105" w:rightChars="-50" w:firstLine="0" w:firstLineChars="0"/>
              <w:jc w:val="left"/>
              <w:rPr>
                <w:rFonts w:hint="default" w:ascii="Times New Roman"/>
                <w:sz w:val="18"/>
                <w:szCs w:val="18"/>
                <w:lang w:val="en-US" w:eastAsia="zh-CN"/>
              </w:rPr>
            </w:pPr>
            <w:r>
              <w:rPr>
                <w:rFonts w:hint="eastAsia" w:ascii="Times New Roman"/>
                <w:sz w:val="18"/>
                <w:szCs w:val="18"/>
                <w:lang w:val="en-US" w:eastAsia="zh-CN"/>
              </w:rPr>
              <w:t>建议对附录B.3.2内容修改</w:t>
            </w:r>
          </w:p>
        </w:tc>
        <w:tc>
          <w:tcPr>
            <w:tcW w:w="1120" w:type="dxa"/>
            <w:noWrap w:val="0"/>
            <w:vAlign w:val="center"/>
          </w:tcPr>
          <w:p w14:paraId="1D3A9B5C">
            <w:pPr>
              <w:pStyle w:val="25"/>
              <w:tabs>
                <w:tab w:val="center" w:pos="4201"/>
                <w:tab w:val="right" w:leader="dot" w:pos="9298"/>
              </w:tabs>
              <w:adjustRightInd w:val="0"/>
              <w:snapToGrid w:val="0"/>
              <w:ind w:left="-105" w:leftChars="-50" w:right="-105" w:rightChars="-50" w:firstLine="0" w:firstLineChars="0"/>
              <w:jc w:val="center"/>
              <w:rPr>
                <w:rFonts w:hint="default" w:ascii="Times New Roman"/>
                <w:sz w:val="18"/>
                <w:szCs w:val="18"/>
                <w:lang w:val="en-US" w:eastAsia="zh-CN"/>
              </w:rPr>
            </w:pPr>
            <w:r>
              <w:rPr>
                <w:rFonts w:hint="eastAsia" w:ascii="Times New Roman"/>
                <w:sz w:val="18"/>
                <w:szCs w:val="18"/>
                <w:lang w:val="en-US" w:eastAsia="zh-CN"/>
              </w:rPr>
              <w:t>评审专家</w:t>
            </w:r>
          </w:p>
        </w:tc>
        <w:tc>
          <w:tcPr>
            <w:tcW w:w="3267" w:type="dxa"/>
            <w:noWrap w:val="0"/>
            <w:vAlign w:val="center"/>
          </w:tcPr>
          <w:p w14:paraId="4B988A46">
            <w:pPr>
              <w:pStyle w:val="25"/>
              <w:tabs>
                <w:tab w:val="center" w:pos="4201"/>
                <w:tab w:val="right" w:leader="dot" w:pos="9298"/>
              </w:tabs>
              <w:adjustRightInd w:val="0"/>
              <w:snapToGrid w:val="0"/>
              <w:ind w:left="-105" w:leftChars="-50" w:right="-105" w:rightChars="-50" w:firstLine="0" w:firstLineChars="0"/>
              <w:jc w:val="center"/>
              <w:rPr>
                <w:rFonts w:hint="eastAsia" w:ascii="Times New Roman"/>
                <w:sz w:val="18"/>
                <w:szCs w:val="18"/>
                <w:lang w:val="en-US" w:eastAsia="zh-CN"/>
              </w:rPr>
            </w:pPr>
            <w:r>
              <w:rPr>
                <w:rFonts w:hint="eastAsia" w:ascii="Times New Roman"/>
                <w:sz w:val="18"/>
                <w:szCs w:val="18"/>
                <w:lang w:val="en-US" w:eastAsia="zh-CN"/>
              </w:rPr>
              <w:t>采纳。将附录B.3.2中“加工时应确保产生的热量非常少，从而使样品不会变热”修改为“加工时应注意不致使样品过热”。</w:t>
            </w:r>
          </w:p>
          <w:p w14:paraId="6A16FAA0">
            <w:pPr>
              <w:pStyle w:val="25"/>
              <w:tabs>
                <w:tab w:val="center" w:pos="4201"/>
                <w:tab w:val="right" w:leader="dot" w:pos="9298"/>
              </w:tabs>
              <w:adjustRightInd w:val="0"/>
              <w:snapToGrid w:val="0"/>
              <w:ind w:left="-105" w:leftChars="-50" w:right="-105" w:rightChars="-50" w:firstLine="0" w:firstLineChars="0"/>
              <w:jc w:val="center"/>
              <w:rPr>
                <w:rFonts w:hint="default" w:ascii="Times New Roman"/>
                <w:sz w:val="18"/>
                <w:szCs w:val="18"/>
                <w:lang w:val="en-US" w:eastAsia="zh-CN"/>
              </w:rPr>
            </w:pPr>
          </w:p>
        </w:tc>
        <w:tc>
          <w:tcPr>
            <w:tcW w:w="467" w:type="dxa"/>
            <w:noWrap w:val="0"/>
            <w:vAlign w:val="center"/>
          </w:tcPr>
          <w:p w14:paraId="569693F4">
            <w:pPr>
              <w:pStyle w:val="25"/>
              <w:tabs>
                <w:tab w:val="center" w:pos="4201"/>
                <w:tab w:val="right" w:leader="dot" w:pos="9298"/>
              </w:tabs>
              <w:adjustRightInd w:val="0"/>
              <w:snapToGrid w:val="0"/>
              <w:ind w:left="-50" w:right="-50"/>
              <w:rPr>
                <w:rFonts w:ascii="Times New Roman"/>
                <w:szCs w:val="21"/>
              </w:rPr>
            </w:pPr>
          </w:p>
        </w:tc>
      </w:tr>
    </w:tbl>
    <w:p w14:paraId="43556179">
      <w:pPr>
        <w:spacing w:line="360" w:lineRule="auto"/>
        <w:rPr>
          <w:rFonts w:hint="eastAsia"/>
          <w:b/>
          <w:bCs/>
          <w:szCs w:val="21"/>
          <w:lang w:val="en-US" w:eastAsia="zh-CN"/>
        </w:rPr>
      </w:pPr>
      <w:r>
        <w:rPr>
          <w:rFonts w:hint="eastAsia"/>
          <w:b/>
          <w:bCs/>
          <w:szCs w:val="21"/>
          <w:lang w:val="en-US" w:eastAsia="zh-CN"/>
        </w:rPr>
        <w:t>1.4.4征求意见阶段</w:t>
      </w:r>
    </w:p>
    <w:p w14:paraId="5FD808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1）公开征求意见。本标准征求意见稿及编制说明于 2026 年 3 月 27 日报送全国有色金属标准化技术委员会，由其在全国标准信息公共服务平台开展公开征求意见，公示时长符合国家标准管理有关规定。</w:t>
      </w:r>
    </w:p>
    <w:p w14:paraId="302A42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2）定向征求意见。起草组先后向金川集团、金川镍钴、北京矿冶研究总院、格林美、吉林吉恩镍业、衢州华友钴新材料有限公司等单位发函定向征求意见，为进一步拓宽意见征集范围，同步向中伟新材料、宁波力勤资源、新疆新鑫矿业、上海有色金属工业技术检测中心有限公司、福建青拓镍业有限公司等国内主流生产企业及下游用户补充征求意见。本次共计向 11 家单位发函，全部按期回函，其中2</w:t>
      </w:r>
      <w:bookmarkStart w:id="18" w:name="_GoBack"/>
      <w:bookmarkEnd w:id="18"/>
      <w:r>
        <w:rPr>
          <w:rFonts w:hint="eastAsia"/>
          <w:szCs w:val="21"/>
          <w:lang w:val="en-US" w:eastAsia="zh-CN"/>
        </w:rPr>
        <w:t>家单位提出了具体意见及建议。</w:t>
      </w:r>
    </w:p>
    <w:p w14:paraId="4B16C4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3）意见处理情况。针对收集到的全部意见，起草组逐条研讨研判，编制形成《意见汇总处理表》。对于合理意见，已全部吸纳并对标准文本进行修订完善；未采纳的意见均逐一列明原因，所有意见处置情况完整可追溯。</w:t>
      </w:r>
    </w:p>
    <w:p w14:paraId="5535C4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Cs w:val="21"/>
          <w:lang w:val="en-US" w:eastAsia="zh-CN"/>
        </w:rPr>
      </w:pPr>
      <w:r>
        <w:rPr>
          <w:rFonts w:hint="eastAsia"/>
          <w:b/>
          <w:bCs/>
          <w:szCs w:val="21"/>
          <w:lang w:val="en-US" w:eastAsia="zh-CN"/>
        </w:rPr>
        <w:t>1.4.5审查阶段</w:t>
      </w:r>
    </w:p>
    <w:p w14:paraId="32EA1AB8">
      <w:pPr>
        <w:numPr>
          <w:ilvl w:val="0"/>
          <w:numId w:val="0"/>
        </w:numPr>
        <w:spacing w:line="360" w:lineRule="auto"/>
        <w:ind w:firstLine="420" w:firstLineChars="200"/>
        <w:rPr>
          <w:rFonts w:hint="eastAsia"/>
          <w:szCs w:val="21"/>
          <w:lang w:val="en-US" w:eastAsia="zh-CN"/>
        </w:rPr>
      </w:pPr>
      <w:r>
        <w:rPr>
          <w:rFonts w:hint="eastAsia"/>
          <w:szCs w:val="21"/>
          <w:lang w:val="en-US" w:eastAsia="zh-CN"/>
        </w:rPr>
        <w:t>1）技术专家审查</w:t>
      </w:r>
    </w:p>
    <w:p w14:paraId="31434A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2026年 X 月XX~XX日在XX省XX市，由全国有色金属标准化技术委员会主持，召开了《精炼镍 取样方法》标准审定会，共有XX单位的XX名专家（详见有色金属标准审定会专家签名表）参加了会议。</w:t>
      </w:r>
    </w:p>
    <w:p w14:paraId="7825D6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与会专家对《精炼镍 取样方法》标准的送审稿进行了认真审定，提出了XX条修改意见，编制小组会后按照专家的修改意见进行了修改，完善了标准送审稿和编制说明。</w:t>
      </w:r>
    </w:p>
    <w:p w14:paraId="493BD93D">
      <w:pPr>
        <w:numPr>
          <w:ilvl w:val="0"/>
          <w:numId w:val="0"/>
        </w:numPr>
        <w:spacing w:line="360" w:lineRule="auto"/>
        <w:ind w:firstLine="420" w:firstLineChars="200"/>
        <w:rPr>
          <w:rFonts w:hint="eastAsia"/>
          <w:szCs w:val="21"/>
          <w:lang w:val="en-US" w:eastAsia="zh-CN"/>
        </w:rPr>
      </w:pPr>
      <w:r>
        <w:rPr>
          <w:rFonts w:hint="eastAsia"/>
          <w:szCs w:val="21"/>
          <w:lang w:val="en-US" w:eastAsia="zh-CN"/>
        </w:rPr>
        <w:t>2）委员审查</w:t>
      </w:r>
    </w:p>
    <w:p w14:paraId="5D6A2B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2026年 X 月XX~XX日全国有色金属标准化技术委员会在XX省XX市召开了全体委员会议。，全国有色金属标准化技术委员会重金属分技术委员会（SAC/TC243/SC2）全体委员共计66名，实际参与投票工作XX名。会议经过认真的讨论，对《精炼镍 取样方法》标准修订程序、征求意见的过程以技术内容的确定多方面进行了仔细审查。与会XX名委员全体投票通过，同意该标准《送审稿》和《送审稿编制说明》通过审查，无修改意见，表决通过率为100%。</w:t>
      </w:r>
    </w:p>
    <w:p w14:paraId="4E9F9A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val="en-US" w:eastAsia="zh-CN"/>
        </w:rPr>
      </w:pPr>
      <w:r>
        <w:rPr>
          <w:rFonts w:hint="eastAsia"/>
          <w:szCs w:val="21"/>
          <w:lang w:val="en-US" w:eastAsia="zh-CN"/>
        </w:rPr>
        <w:t>3）委员电投票</w:t>
      </w:r>
    </w:p>
    <w:p w14:paraId="728E32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Cs w:val="21"/>
          <w:lang w:val="en-US" w:eastAsia="zh-CN"/>
        </w:rPr>
      </w:pPr>
      <w:r>
        <w:rPr>
          <w:rFonts w:hint="eastAsia"/>
          <w:szCs w:val="21"/>
          <w:lang w:val="en-US" w:eastAsia="zh-CN"/>
        </w:rPr>
        <w:t xml:space="preserve"> 2026年 X 月XX至XX日，由全国有色金属标准化分技术委员会在全国专业标准化技术委员会工作平台发起了《精炼镍 取样方法》报批稿及编制说明委员投票，该委员会有委员66人，XX人投赞成票，不赞成为0，弃权票为0，其余未投票，投赞成票率为XX%。   </w:t>
      </w:r>
    </w:p>
    <w:p w14:paraId="5BA9F745">
      <w:pPr>
        <w:spacing w:line="360" w:lineRule="auto"/>
        <w:rPr>
          <w:rFonts w:hint="eastAsia"/>
          <w:b/>
          <w:bCs/>
          <w:szCs w:val="21"/>
          <w:lang w:val="en-US" w:eastAsia="zh-CN"/>
        </w:rPr>
      </w:pPr>
      <w:r>
        <w:rPr>
          <w:rFonts w:hint="eastAsia"/>
          <w:b/>
          <w:bCs/>
          <w:szCs w:val="21"/>
          <w:lang w:val="en-US" w:eastAsia="zh-CN"/>
        </w:rPr>
        <w:t>1.4.6 报批阶段</w:t>
      </w:r>
    </w:p>
    <w:p w14:paraId="7B6C7F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eastAsia="黑体"/>
          <w:color w:val="auto"/>
          <w:sz w:val="24"/>
        </w:rPr>
      </w:pPr>
      <w:r>
        <w:rPr>
          <w:rFonts w:hint="eastAsia"/>
          <w:szCs w:val="21"/>
          <w:lang w:val="en-US" w:eastAsia="zh-CN"/>
        </w:rPr>
        <w:t>标准编制组对标准文本和编制说明进行完善，形成标准报批稿报送至全国有色金属标准化技术委员会（SAC/TC243）秘书处，上报至国家标准化管理委员会审批、发布。</w:t>
      </w:r>
    </w:p>
    <w:p w14:paraId="6E3DA6D8">
      <w:pPr>
        <w:spacing w:line="360" w:lineRule="auto"/>
        <w:outlineLvl w:val="0"/>
        <w:rPr>
          <w:rFonts w:hint="eastAsia" w:eastAsia="黑体"/>
          <w:color w:val="auto"/>
          <w:sz w:val="24"/>
        </w:rPr>
      </w:pPr>
      <w:r>
        <w:rPr>
          <w:rFonts w:hint="eastAsia" w:eastAsia="黑体"/>
          <w:color w:val="auto"/>
          <w:sz w:val="24"/>
        </w:rPr>
        <w:t xml:space="preserve">二 </w:t>
      </w:r>
      <w:r>
        <w:rPr>
          <w:rFonts w:hint="eastAsia" w:eastAsia="黑体"/>
          <w:color w:val="auto"/>
          <w:sz w:val="24"/>
          <w:lang w:eastAsia="zh-CN"/>
        </w:rPr>
        <w:t>、</w:t>
      </w:r>
      <w:bookmarkEnd w:id="13"/>
      <w:r>
        <w:rPr>
          <w:rFonts w:hint="eastAsia" w:eastAsia="黑体"/>
          <w:color w:val="auto"/>
          <w:sz w:val="24"/>
        </w:rPr>
        <w:t>标准编制原则、主要内容及确定依据</w:t>
      </w:r>
    </w:p>
    <w:p w14:paraId="6B17FFBC">
      <w:pPr>
        <w:spacing w:line="360" w:lineRule="auto"/>
        <w:rPr>
          <w:rFonts w:hint="eastAsia"/>
          <w:b/>
          <w:bCs/>
          <w:color w:val="auto"/>
          <w:szCs w:val="21"/>
          <w:lang w:val="en-US" w:eastAsia="zh-CN"/>
        </w:rPr>
      </w:pPr>
      <w:bookmarkStart w:id="15" w:name="_Toc111022828"/>
      <w:r>
        <w:rPr>
          <w:rFonts w:hint="eastAsia"/>
          <w:b/>
          <w:bCs/>
          <w:color w:val="auto"/>
          <w:szCs w:val="21"/>
          <w:lang w:val="en-US" w:eastAsia="zh-CN"/>
        </w:rPr>
        <w:t>1.标准编制原则</w:t>
      </w:r>
    </w:p>
    <w:p w14:paraId="1ACF7260">
      <w:pPr>
        <w:spacing w:line="360" w:lineRule="auto"/>
        <w:ind w:firstLine="420" w:firstLineChars="200"/>
        <w:rPr>
          <w:rFonts w:hint="eastAsia"/>
          <w:color w:val="auto"/>
          <w:szCs w:val="21"/>
          <w:lang w:val="en-US" w:eastAsia="zh-CN"/>
        </w:rPr>
      </w:pPr>
      <w:r>
        <w:rPr>
          <w:rFonts w:hint="eastAsia"/>
          <w:color w:val="auto"/>
          <w:szCs w:val="21"/>
          <w:lang w:val="en-US" w:eastAsia="zh-CN"/>
        </w:rPr>
        <w:t>本标准基于精炼镍国际化发展需求和行业生产实际情况进行修订。标准的编制原则和编制依据如下：</w:t>
      </w:r>
    </w:p>
    <w:p w14:paraId="2E4B72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szCs w:val="21"/>
          <w:lang w:val="en-US" w:eastAsia="zh-CN"/>
        </w:rPr>
      </w:pPr>
      <w:r>
        <w:rPr>
          <w:rFonts w:hint="eastAsia"/>
          <w:color w:val="auto"/>
          <w:szCs w:val="21"/>
          <w:lang w:val="en-US" w:eastAsia="zh-CN"/>
        </w:rPr>
        <w:t>1）本标准按照GB/T 1.1-2020《标准化工作导则 第 1 部分：标准化文件的结构和起草规则》的规定起草；</w:t>
      </w:r>
    </w:p>
    <w:p w14:paraId="634031CA">
      <w:pPr>
        <w:numPr>
          <w:ilvl w:val="0"/>
          <w:numId w:val="0"/>
        </w:numPr>
        <w:spacing w:line="360" w:lineRule="auto"/>
        <w:ind w:firstLine="420" w:firstLineChars="200"/>
        <w:rPr>
          <w:rFonts w:hint="eastAsia"/>
          <w:color w:val="auto"/>
          <w:szCs w:val="21"/>
          <w:lang w:val="en-US" w:eastAsia="zh-CN"/>
        </w:rPr>
      </w:pPr>
      <w:r>
        <w:rPr>
          <w:rFonts w:hint="eastAsia"/>
          <w:color w:val="auto"/>
          <w:szCs w:val="21"/>
          <w:lang w:val="en-US" w:eastAsia="zh-CN"/>
        </w:rPr>
        <w:t>2）修改采用国际标准。既考虑与国际标准的接轨，又充分考虑到我国的实际情况。</w:t>
      </w:r>
    </w:p>
    <w:p w14:paraId="6A47C2DD">
      <w:pPr>
        <w:spacing w:line="360" w:lineRule="auto"/>
        <w:ind w:firstLine="420" w:firstLineChars="200"/>
        <w:rPr>
          <w:rFonts w:hint="eastAsia"/>
          <w:color w:val="auto"/>
          <w:szCs w:val="21"/>
          <w:lang w:val="en-US" w:eastAsia="zh-CN"/>
        </w:rPr>
      </w:pPr>
      <w:r>
        <w:rPr>
          <w:rFonts w:hint="eastAsia"/>
          <w:color w:val="auto"/>
          <w:szCs w:val="21"/>
          <w:lang w:val="en-US" w:eastAsia="zh-CN"/>
        </w:rPr>
        <w:t>3）本标准结合我国精炼镍生产工艺与行业现状，增补本土化技术内容，调整产品规格，适配国内生产、检验及贸易需求。</w:t>
      </w:r>
    </w:p>
    <w:p w14:paraId="6AA34AFF">
      <w:pPr>
        <w:spacing w:line="360" w:lineRule="auto"/>
        <w:ind w:firstLine="420" w:firstLineChars="200"/>
        <w:rPr>
          <w:rFonts w:hint="eastAsia"/>
          <w:color w:val="auto"/>
          <w:szCs w:val="21"/>
          <w:lang w:val="en-US" w:eastAsia="zh-CN"/>
        </w:rPr>
      </w:pPr>
      <w:r>
        <w:rPr>
          <w:rFonts w:hint="eastAsia"/>
          <w:color w:val="auto"/>
          <w:szCs w:val="21"/>
          <w:lang w:val="en-US" w:eastAsia="zh-CN"/>
        </w:rPr>
        <w:t>4）本标准与所属标准体系协调一致，规范引用现行有效标准，保证标准体例规范、逻辑清晰。</w:t>
      </w:r>
    </w:p>
    <w:p w14:paraId="5CF6EB07">
      <w:pPr>
        <w:spacing w:line="360" w:lineRule="auto"/>
        <w:rPr>
          <w:rFonts w:hint="default"/>
          <w:b/>
          <w:bCs/>
          <w:color w:val="auto"/>
          <w:szCs w:val="21"/>
          <w:lang w:val="en-US" w:eastAsia="zh-CN"/>
        </w:rPr>
      </w:pPr>
      <w:r>
        <w:rPr>
          <w:rFonts w:hint="eastAsia"/>
          <w:b/>
          <w:bCs/>
          <w:color w:val="auto"/>
          <w:szCs w:val="21"/>
          <w:lang w:val="en-US" w:eastAsia="zh-CN"/>
        </w:rPr>
        <w:t>2.标准主要技术内容的确定依据</w:t>
      </w:r>
    </w:p>
    <w:p w14:paraId="0DD7C78D">
      <w:pPr>
        <w:spacing w:line="360" w:lineRule="auto"/>
        <w:ind w:firstLine="420" w:firstLineChars="200"/>
        <w:rPr>
          <w:rFonts w:hint="default"/>
          <w:lang w:val="en-US" w:eastAsia="zh-CN"/>
        </w:rPr>
      </w:pPr>
      <w:r>
        <w:rPr>
          <w:rFonts w:hint="eastAsia"/>
          <w:color w:val="auto"/>
          <w:szCs w:val="21"/>
          <w:lang w:val="en-US" w:eastAsia="zh-CN"/>
        </w:rPr>
        <w:t>根据ISO 23163:2019 的变化对</w:t>
      </w:r>
      <w:r>
        <w:rPr>
          <w:rFonts w:hint="eastAsia" w:hAnsiTheme="minorEastAsia" w:eastAsiaTheme="minorEastAsia"/>
          <w:color w:val="auto"/>
          <w:szCs w:val="21"/>
          <w:lang w:val="en-US" w:eastAsia="zh-CN"/>
        </w:rPr>
        <w:t>国家标准GB/T26022-2010进行修订。</w:t>
      </w:r>
    </w:p>
    <w:p w14:paraId="687DA26F">
      <w:pPr>
        <w:spacing w:line="360" w:lineRule="auto"/>
        <w:jc w:val="both"/>
        <w:rPr>
          <w:rFonts w:hint="default"/>
          <w:b/>
          <w:bCs/>
          <w:color w:val="auto"/>
          <w:szCs w:val="21"/>
          <w:lang w:val="en-US" w:eastAsia="zh-CN"/>
        </w:rPr>
      </w:pPr>
      <w:r>
        <w:rPr>
          <w:rFonts w:hint="eastAsia"/>
          <w:b/>
          <w:bCs/>
          <w:color w:val="auto"/>
          <w:szCs w:val="21"/>
          <w:lang w:val="en-US" w:eastAsia="zh-CN"/>
        </w:rPr>
        <w:t>3.修订前后技术内容的对比</w:t>
      </w:r>
    </w:p>
    <w:p w14:paraId="24784E93">
      <w:pPr>
        <w:spacing w:line="360" w:lineRule="auto"/>
        <w:ind w:firstLine="420" w:firstLineChars="200"/>
        <w:jc w:val="center"/>
        <w:rPr>
          <w:rFonts w:hint="eastAsia"/>
          <w:color w:val="auto"/>
          <w:szCs w:val="21"/>
          <w:lang w:val="en-US" w:eastAsia="zh-CN"/>
        </w:rPr>
      </w:pPr>
      <w:r>
        <w:rPr>
          <w:rFonts w:hint="eastAsia"/>
          <w:color w:val="auto"/>
          <w:szCs w:val="21"/>
          <w:lang w:val="en-US" w:eastAsia="zh-CN"/>
        </w:rPr>
        <w:t>表4：标准修订前后对比表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880"/>
        <w:gridCol w:w="4546"/>
      </w:tblGrid>
      <w:tr w14:paraId="3E5B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vAlign w:val="center"/>
          </w:tcPr>
          <w:p w14:paraId="73C9365E">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ascii="宋体" w:hAnsi="宋体" w:eastAsia="宋体" w:cs="宋体"/>
                <w:b/>
                <w:bCs/>
                <w:color w:val="auto"/>
                <w:kern w:val="0"/>
                <w:sz w:val="19"/>
                <w:szCs w:val="19"/>
                <w:lang w:val="en-US" w:eastAsia="zh-CN" w:bidi="ar"/>
              </w:rPr>
              <w:t>序号</w:t>
            </w:r>
          </w:p>
        </w:tc>
        <w:tc>
          <w:tcPr>
            <w:tcW w:w="3880" w:type="dxa"/>
            <w:shd w:val="clear" w:color="auto" w:fill="auto"/>
            <w:vAlign w:val="center"/>
          </w:tcPr>
          <w:p w14:paraId="79999D1C">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ascii="宋体" w:hAnsi="宋体" w:eastAsia="宋体" w:cs="宋体"/>
                <w:b/>
                <w:bCs/>
                <w:color w:val="auto"/>
                <w:kern w:val="0"/>
                <w:sz w:val="19"/>
                <w:szCs w:val="19"/>
                <w:lang w:val="en-US" w:eastAsia="zh-CN" w:bidi="ar"/>
              </w:rPr>
              <w:t>原标准</w:t>
            </w:r>
          </w:p>
        </w:tc>
        <w:tc>
          <w:tcPr>
            <w:tcW w:w="4546" w:type="dxa"/>
            <w:shd w:val="clear" w:color="auto" w:fill="auto"/>
            <w:vAlign w:val="center"/>
          </w:tcPr>
          <w:p w14:paraId="6B02B04F">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宋体" w:hAnsi="宋体" w:cs="宋体"/>
                <w:b/>
                <w:bCs/>
                <w:color w:val="auto"/>
                <w:kern w:val="0"/>
                <w:sz w:val="19"/>
                <w:szCs w:val="19"/>
                <w:lang w:val="en-US" w:eastAsia="zh-CN" w:bidi="ar"/>
              </w:rPr>
              <w:t>新</w:t>
            </w:r>
            <w:r>
              <w:rPr>
                <w:rFonts w:ascii="宋体" w:hAnsi="宋体" w:eastAsia="宋体" w:cs="宋体"/>
                <w:b/>
                <w:bCs/>
                <w:color w:val="auto"/>
                <w:kern w:val="0"/>
                <w:sz w:val="19"/>
                <w:szCs w:val="19"/>
                <w:lang w:val="en-US" w:eastAsia="zh-CN" w:bidi="ar"/>
              </w:rPr>
              <w:t>标准</w:t>
            </w:r>
          </w:p>
        </w:tc>
      </w:tr>
      <w:tr w14:paraId="7ACA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vAlign w:val="center"/>
          </w:tcPr>
          <w:p w14:paraId="494A564F">
            <w:pPr>
              <w:keepNext w:val="0"/>
              <w:keepLines w:val="0"/>
              <w:widowControl/>
              <w:suppressLineNumbers w:val="0"/>
              <w:bidi w:val="0"/>
              <w:spacing w:before="0" w:beforeAutospacing="0" w:after="0" w:afterAutospacing="0" w:line="288" w:lineRule="atLeast"/>
              <w:ind w:left="0" w:leftChars="0" w:right="0" w:rightChars="0"/>
              <w:jc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1</w:t>
            </w:r>
          </w:p>
        </w:tc>
        <w:tc>
          <w:tcPr>
            <w:tcW w:w="3880" w:type="dxa"/>
            <w:shd w:val="clear" w:color="auto" w:fill="auto"/>
            <w:vAlign w:val="center"/>
          </w:tcPr>
          <w:p w14:paraId="0EC3B0F1">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范围</w:t>
            </w:r>
          </w:p>
        </w:tc>
        <w:tc>
          <w:tcPr>
            <w:tcW w:w="4546" w:type="dxa"/>
            <w:shd w:val="clear" w:color="auto" w:fill="auto"/>
            <w:vAlign w:val="center"/>
          </w:tcPr>
          <w:p w14:paraId="5DD3AA97">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标准保持和国际标准一致，没有适用条款</w:t>
            </w:r>
          </w:p>
        </w:tc>
      </w:tr>
      <w:tr w14:paraId="387B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vAlign w:val="center"/>
          </w:tcPr>
          <w:p w14:paraId="7D97FD52">
            <w:pPr>
              <w:keepNext w:val="0"/>
              <w:keepLines w:val="0"/>
              <w:widowControl/>
              <w:suppressLineNumbers w:val="0"/>
              <w:bidi w:val="0"/>
              <w:spacing w:before="0" w:beforeAutospacing="0" w:after="0" w:afterAutospacing="0" w:line="288" w:lineRule="atLeast"/>
              <w:ind w:left="0" w:leftChars="0" w:right="0" w:rightChars="0"/>
              <w:jc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2</w:t>
            </w:r>
          </w:p>
        </w:tc>
        <w:tc>
          <w:tcPr>
            <w:tcW w:w="3880" w:type="dxa"/>
            <w:shd w:val="clear" w:color="auto" w:fill="auto"/>
            <w:vAlign w:val="center"/>
          </w:tcPr>
          <w:p w14:paraId="1D683C60">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规范性引用文件</w:t>
            </w:r>
          </w:p>
        </w:tc>
        <w:tc>
          <w:tcPr>
            <w:tcW w:w="4546" w:type="dxa"/>
            <w:shd w:val="clear" w:color="auto" w:fill="auto"/>
            <w:vAlign w:val="center"/>
          </w:tcPr>
          <w:p w14:paraId="778CAFEC">
            <w:pP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引用了GB/T 25951 镍及镍合金术语和定义、ISO4957：2018工具钢文件</w:t>
            </w:r>
          </w:p>
        </w:tc>
      </w:tr>
      <w:tr w14:paraId="4811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51" w:type="dxa"/>
            <w:shd w:val="clear" w:color="auto" w:fill="auto"/>
            <w:vAlign w:val="center"/>
          </w:tcPr>
          <w:p w14:paraId="0DBF3BF5">
            <w:pPr>
              <w:keepNext w:val="0"/>
              <w:keepLines w:val="0"/>
              <w:widowControl/>
              <w:suppressLineNumbers w:val="0"/>
              <w:bidi w:val="0"/>
              <w:spacing w:before="0" w:beforeAutospacing="0" w:after="0" w:afterAutospacing="0" w:line="288" w:lineRule="atLeast"/>
              <w:ind w:left="0" w:leftChars="0" w:right="0" w:rightChars="0"/>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3</w:t>
            </w:r>
          </w:p>
        </w:tc>
        <w:tc>
          <w:tcPr>
            <w:tcW w:w="3880" w:type="dxa"/>
            <w:shd w:val="clear" w:color="auto" w:fill="auto"/>
            <w:vAlign w:val="center"/>
          </w:tcPr>
          <w:p w14:paraId="58EBBAF1">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术语、定义及符号：无单独章节，专业术语分散在各条文表述，符号放在第4章节，未覆盖钻铣等操作关键参数</w:t>
            </w:r>
          </w:p>
        </w:tc>
        <w:tc>
          <w:tcPr>
            <w:tcW w:w="4546" w:type="dxa"/>
            <w:shd w:val="clear" w:color="auto" w:fill="auto"/>
            <w:vAlign w:val="center"/>
          </w:tcPr>
          <w:p w14:paraId="59944020">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1.新增独立章节，引用 GB/T 25951，明确精炼镍、阴极板、等核心术语定义。（见3.1）</w:t>
            </w:r>
          </w:p>
          <w:p w14:paraId="11836BAF">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2.更改了符号，单独设条款，补充批内方差、切削工具参数、钻铣速率等取样相关符号（见3.2）</w:t>
            </w:r>
          </w:p>
        </w:tc>
      </w:tr>
      <w:tr w14:paraId="7852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51" w:type="dxa"/>
            <w:shd w:val="clear" w:color="auto" w:fill="auto"/>
            <w:vAlign w:val="center"/>
          </w:tcPr>
          <w:p w14:paraId="5A573520">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color w:val="auto"/>
                <w:kern w:val="2"/>
                <w:sz w:val="18"/>
                <w:szCs w:val="18"/>
                <w:lang w:val="en-US" w:eastAsia="zh-CN" w:bidi="ar-SA"/>
              </w:rPr>
            </w:pPr>
            <w:r>
              <w:rPr>
                <w:rFonts w:hint="eastAsia" w:ascii="宋体" w:hAnsi="宋体" w:cs="宋体"/>
                <w:color w:val="auto"/>
                <w:kern w:val="0"/>
                <w:sz w:val="18"/>
                <w:szCs w:val="18"/>
                <w:lang w:val="en-US" w:eastAsia="zh-CN" w:bidi="ar"/>
              </w:rPr>
              <w:t>4</w:t>
            </w:r>
          </w:p>
        </w:tc>
        <w:tc>
          <w:tcPr>
            <w:tcW w:w="3880" w:type="dxa"/>
            <w:shd w:val="clear" w:color="auto" w:fill="auto"/>
            <w:vAlign w:val="center"/>
          </w:tcPr>
          <w:p w14:paraId="10301E16">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提供的产品：阴极板厚度 3mm</w:t>
            </w:r>
            <w:r>
              <w:rPr>
                <w:rFonts w:hint="eastAsia"/>
                <w:color w:val="auto"/>
                <w:szCs w:val="21"/>
                <w:lang w:val="en-US" w:eastAsia="zh-CN"/>
              </w:rPr>
              <w:t>~</w:t>
            </w:r>
            <w:r>
              <w:rPr>
                <w:rFonts w:hint="eastAsia" w:ascii="宋体" w:hAnsi="宋体" w:cs="宋体"/>
                <w:color w:val="auto"/>
                <w:sz w:val="18"/>
                <w:szCs w:val="18"/>
                <w:lang w:val="en-US" w:eastAsia="zh-CN"/>
              </w:rPr>
              <w:t>15mm、重 50kg</w:t>
            </w:r>
            <w:r>
              <w:rPr>
                <w:rFonts w:hint="eastAsia"/>
                <w:color w:val="auto"/>
                <w:szCs w:val="21"/>
                <w:lang w:val="en-US" w:eastAsia="zh-CN"/>
              </w:rPr>
              <w:t>~</w:t>
            </w:r>
            <w:r>
              <w:rPr>
                <w:rFonts w:hint="eastAsia" w:ascii="宋体" w:hAnsi="宋体" w:cs="宋体"/>
                <w:color w:val="auto"/>
                <w:sz w:val="18"/>
                <w:szCs w:val="18"/>
                <w:lang w:val="en-US" w:eastAsia="zh-CN"/>
              </w:rPr>
              <w:t>70kg；桶装金属片为 25/50/100mm 方块.....</w:t>
            </w:r>
          </w:p>
          <w:p w14:paraId="55BB6B5D">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p>
        </w:tc>
        <w:tc>
          <w:tcPr>
            <w:tcW w:w="4546" w:type="dxa"/>
            <w:shd w:val="clear" w:color="auto" w:fill="auto"/>
            <w:vAlign w:val="center"/>
          </w:tcPr>
          <w:p w14:paraId="0E77B41C">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更改了阴极板重量约30kg</w:t>
            </w:r>
            <w:r>
              <w:rPr>
                <w:rFonts w:hint="eastAsia"/>
                <w:color w:val="auto"/>
                <w:szCs w:val="21"/>
                <w:lang w:val="en-US" w:eastAsia="zh-CN"/>
              </w:rPr>
              <w:t>~</w:t>
            </w:r>
            <w:r>
              <w:rPr>
                <w:rFonts w:hint="eastAsia" w:ascii="宋体" w:hAnsi="宋体" w:cs="宋体"/>
                <w:color w:val="auto"/>
                <w:sz w:val="18"/>
                <w:szCs w:val="18"/>
                <w:lang w:val="en-US" w:eastAsia="zh-CN"/>
              </w:rPr>
              <w:t>100kg，增加了桶装金属10mm规格</w:t>
            </w:r>
          </w:p>
        </w:tc>
      </w:tr>
      <w:tr w14:paraId="6D7B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51" w:type="dxa"/>
          </w:tcPr>
          <w:p w14:paraId="0E404751">
            <w:pPr>
              <w:keepNext w:val="0"/>
              <w:keepLines w:val="0"/>
              <w:widowControl/>
              <w:suppressLineNumbers w:val="0"/>
              <w:bidi w:val="0"/>
              <w:spacing w:before="0" w:beforeAutospacing="0" w:after="0" w:afterAutospacing="0" w:line="288" w:lineRule="atLeast"/>
              <w:ind w:left="0" w:leftChars="0" w:right="0" w:rightChars="0"/>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5</w:t>
            </w:r>
          </w:p>
        </w:tc>
        <w:tc>
          <w:tcPr>
            <w:tcW w:w="3880" w:type="dxa"/>
            <w:shd w:val="clear" w:color="auto" w:fill="auto"/>
            <w:vAlign w:val="top"/>
          </w:tcPr>
          <w:p w14:paraId="09C07D30">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样品制备中的预防措施原则性规定污染预防要求，明确切削工具选择方向（见5.3）。</w:t>
            </w:r>
          </w:p>
        </w:tc>
        <w:tc>
          <w:tcPr>
            <w:tcW w:w="4546" w:type="dxa"/>
            <w:shd w:val="clear" w:color="auto" w:fill="auto"/>
            <w:vAlign w:val="top"/>
          </w:tcPr>
          <w:p w14:paraId="45FB5113">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采用国际标准表述，a) 鉴于某些高纯度镍的特性，应采取极其严格的预防措施，以避免对样品造成污染。样品污染可能来自取样操作中使用的工具、器具和容器。因此，应谨慎选择和使用，以消除或最大程度地减少此类污染。</w:t>
            </w:r>
          </w:p>
          <w:p w14:paraId="5687AE09">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b) 所有机加工过程不应使用润滑剂，避免来自切削工具的污染元素如钴、铬、钼、钒和钨。经验表明，高速钢切削工具比碳化钨切削工具更加适合处理金属镍。（见6.3）</w:t>
            </w:r>
          </w:p>
        </w:tc>
      </w:tr>
      <w:tr w14:paraId="7EC6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62D2BE5">
            <w:pPr>
              <w:keepNext w:val="0"/>
              <w:keepLines w:val="0"/>
              <w:widowControl/>
              <w:suppressLineNumbers w:val="0"/>
              <w:bidi w:val="0"/>
              <w:spacing w:before="0" w:beforeAutospacing="0" w:after="0" w:afterAutospacing="0" w:line="288" w:lineRule="atLeast"/>
              <w:ind w:left="0" w:leftChars="0" w:right="0" w:rightChars="0"/>
              <w:jc w:val="center"/>
              <w:rPr>
                <w:rFonts w:hint="default"/>
                <w:color w:val="auto"/>
                <w:sz w:val="18"/>
                <w:szCs w:val="18"/>
                <w:lang w:val="en-US" w:eastAsia="zh-CN"/>
              </w:rPr>
            </w:pPr>
            <w:r>
              <w:rPr>
                <w:rFonts w:hint="eastAsia"/>
                <w:color w:val="auto"/>
                <w:sz w:val="18"/>
                <w:szCs w:val="18"/>
                <w:lang w:val="en-US" w:eastAsia="zh-CN"/>
              </w:rPr>
              <w:t>6</w:t>
            </w:r>
          </w:p>
        </w:tc>
        <w:tc>
          <w:tcPr>
            <w:tcW w:w="3880" w:type="dxa"/>
            <w:shd w:val="clear" w:color="auto" w:fill="auto"/>
            <w:vAlign w:val="top"/>
          </w:tcPr>
          <w:p w14:paraId="0D2573C9">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无取样点示意图，未明确点位确定方式。</w:t>
            </w:r>
          </w:p>
        </w:tc>
        <w:tc>
          <w:tcPr>
            <w:tcW w:w="4546" w:type="dxa"/>
            <w:shd w:val="clear" w:color="auto" w:fill="auto"/>
            <w:vAlign w:val="top"/>
          </w:tcPr>
          <w:p w14:paraId="12C5A7E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增加取样点分布示意图，规范点位确定方法，补充模板使用要求减少取样偏差（见7.2.3）</w:t>
            </w:r>
          </w:p>
        </w:tc>
      </w:tr>
      <w:tr w14:paraId="45C1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9287706">
            <w:pPr>
              <w:keepNext w:val="0"/>
              <w:keepLines w:val="0"/>
              <w:widowControl/>
              <w:suppressLineNumbers w:val="0"/>
              <w:bidi w:val="0"/>
              <w:spacing w:before="0" w:beforeAutospacing="0" w:after="0" w:afterAutospacing="0" w:line="288" w:lineRule="atLeast"/>
              <w:ind w:left="0" w:leftChars="0" w:right="0" w:rightChars="0"/>
              <w:jc w:val="center"/>
              <w:rPr>
                <w:rFonts w:hint="default"/>
                <w:color w:val="auto"/>
                <w:sz w:val="18"/>
                <w:szCs w:val="18"/>
                <w:lang w:val="en-US" w:eastAsia="zh-CN"/>
              </w:rPr>
            </w:pPr>
            <w:r>
              <w:rPr>
                <w:rFonts w:hint="eastAsia"/>
                <w:color w:val="auto"/>
                <w:sz w:val="18"/>
                <w:szCs w:val="18"/>
                <w:lang w:val="en-US" w:eastAsia="zh-CN"/>
              </w:rPr>
              <w:t>7</w:t>
            </w:r>
          </w:p>
        </w:tc>
        <w:tc>
          <w:tcPr>
            <w:tcW w:w="3880" w:type="dxa"/>
            <w:shd w:val="clear" w:color="auto" w:fill="auto"/>
            <w:vAlign w:val="top"/>
          </w:tcPr>
          <w:p w14:paraId="4510A7CC">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取样吨位阈值为大于 2.90t（n=1）。</w:t>
            </w:r>
          </w:p>
        </w:tc>
        <w:tc>
          <w:tcPr>
            <w:tcW w:w="4546" w:type="dxa"/>
            <w:shd w:val="clear" w:color="auto" w:fill="auto"/>
            <w:vAlign w:val="top"/>
          </w:tcPr>
          <w:p w14:paraId="543D977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等同采用国际标准，调整为大于 3.75 吨（n=1）。</w:t>
            </w:r>
          </w:p>
        </w:tc>
      </w:tr>
      <w:tr w14:paraId="1C9E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129AA57">
            <w:pPr>
              <w:spacing w:line="360" w:lineRule="auto"/>
              <w:jc w:val="center"/>
              <w:rPr>
                <w:rFonts w:hint="default"/>
                <w:color w:val="auto"/>
                <w:sz w:val="18"/>
                <w:szCs w:val="18"/>
                <w:vertAlign w:val="baseline"/>
                <w:lang w:val="en-US" w:eastAsia="zh-CN"/>
              </w:rPr>
            </w:pPr>
            <w:r>
              <w:rPr>
                <w:rFonts w:hint="eastAsia"/>
                <w:color w:val="auto"/>
                <w:sz w:val="18"/>
                <w:szCs w:val="18"/>
                <w:vertAlign w:val="baseline"/>
                <w:lang w:val="en-US" w:eastAsia="zh-CN"/>
              </w:rPr>
              <w:t>8</w:t>
            </w:r>
          </w:p>
        </w:tc>
        <w:tc>
          <w:tcPr>
            <w:tcW w:w="3880" w:type="dxa"/>
            <w:shd w:val="clear" w:color="auto" w:fill="auto"/>
            <w:vAlign w:val="top"/>
          </w:tcPr>
          <w:p w14:paraId="4FFAA324">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原表述存在歧义，未明确 N×n 二次份样的分布要求。</w:t>
            </w:r>
          </w:p>
        </w:tc>
        <w:tc>
          <w:tcPr>
            <w:tcW w:w="4546" w:type="dxa"/>
            <w:shd w:val="clear" w:color="auto" w:fill="auto"/>
            <w:vAlign w:val="top"/>
          </w:tcPr>
          <w:p w14:paraId="6DFEA48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优化表述，明确成对 n 值对应的 N×n 二次份样，需随机分布在 N 个初始份样中。</w:t>
            </w:r>
          </w:p>
        </w:tc>
      </w:tr>
      <w:tr w14:paraId="3807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51" w:type="dxa"/>
          </w:tcPr>
          <w:p w14:paraId="1FA76FD3">
            <w:pPr>
              <w:keepNext w:val="0"/>
              <w:keepLines w:val="0"/>
              <w:widowControl/>
              <w:suppressLineNumbers w:val="0"/>
              <w:bidi w:val="0"/>
              <w:spacing w:before="0" w:beforeAutospacing="0" w:after="0" w:afterAutospacing="0" w:line="288" w:lineRule="atLeast"/>
              <w:ind w:left="0" w:leftChars="0" w:right="0" w:rightChars="0"/>
              <w:jc w:val="center"/>
              <w:rPr>
                <w:rFonts w:hint="default"/>
                <w:color w:val="auto"/>
                <w:sz w:val="18"/>
                <w:szCs w:val="18"/>
                <w:lang w:val="en-US" w:eastAsia="zh-CN"/>
              </w:rPr>
            </w:pPr>
            <w:r>
              <w:rPr>
                <w:rFonts w:hint="eastAsia"/>
                <w:color w:val="auto"/>
                <w:sz w:val="18"/>
                <w:szCs w:val="18"/>
                <w:lang w:val="en-US" w:eastAsia="zh-CN"/>
              </w:rPr>
              <w:t>9</w:t>
            </w:r>
          </w:p>
        </w:tc>
        <w:tc>
          <w:tcPr>
            <w:tcW w:w="3880" w:type="dxa"/>
            <w:shd w:val="clear" w:color="auto" w:fill="auto"/>
            <w:vAlign w:val="top"/>
          </w:tcPr>
          <w:p w14:paraId="0896AE6D">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仅含份样选择的理论推导和数学模型。</w:t>
            </w:r>
          </w:p>
        </w:tc>
        <w:tc>
          <w:tcPr>
            <w:tcW w:w="4546" w:type="dxa"/>
            <w:shd w:val="clear" w:color="auto" w:fill="auto"/>
            <w:vAlign w:val="top"/>
          </w:tcPr>
          <w:p w14:paraId="151384FA">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保留核心内容，新增 sₑ数值举例表，直观呈现份样数量选择的核心原理。</w:t>
            </w:r>
          </w:p>
        </w:tc>
      </w:tr>
      <w:tr w14:paraId="0543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tcPr>
          <w:p w14:paraId="7C473E6F">
            <w:pPr>
              <w:keepNext w:val="0"/>
              <w:keepLines w:val="0"/>
              <w:widowControl/>
              <w:suppressLineNumbers w:val="0"/>
              <w:bidi w:val="0"/>
              <w:spacing w:before="0" w:beforeAutospacing="0" w:after="0" w:afterAutospacing="0" w:line="288" w:lineRule="atLeast"/>
              <w:ind w:left="0" w:leftChars="0" w:right="0" w:rightChars="0"/>
              <w:jc w:val="center"/>
              <w:rPr>
                <w:rFonts w:hint="default"/>
                <w:color w:val="auto"/>
                <w:sz w:val="18"/>
                <w:szCs w:val="18"/>
                <w:lang w:val="en-US" w:eastAsia="zh-CN"/>
              </w:rPr>
            </w:pPr>
            <w:r>
              <w:rPr>
                <w:rFonts w:hint="eastAsia"/>
                <w:color w:val="auto"/>
                <w:sz w:val="18"/>
                <w:szCs w:val="18"/>
                <w:lang w:val="en-US" w:eastAsia="zh-CN"/>
              </w:rPr>
              <w:t>10</w:t>
            </w:r>
          </w:p>
        </w:tc>
        <w:tc>
          <w:tcPr>
            <w:tcW w:w="3880" w:type="dxa"/>
            <w:shd w:val="clear" w:color="auto" w:fill="auto"/>
            <w:vAlign w:val="top"/>
          </w:tcPr>
          <w:p w14:paraId="1C7D7D49">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按 50/250/1000kg 划分单位，格式不统一，吨位区间与行业实际略有偏差。</w:t>
            </w:r>
          </w:p>
        </w:tc>
        <w:tc>
          <w:tcPr>
            <w:tcW w:w="4546" w:type="dxa"/>
            <w:shd w:val="clear" w:color="auto" w:fill="auto"/>
            <w:vAlign w:val="top"/>
          </w:tcPr>
          <w:p w14:paraId="6C76F5E2">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规范表格格式，优化批重区间划分，调整 N/n 取值，与 3.75t 吨位阈值保持一致</w:t>
            </w:r>
          </w:p>
        </w:tc>
      </w:tr>
      <w:tr w14:paraId="5705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tcPr>
          <w:p w14:paraId="79A1A453">
            <w:pPr>
              <w:keepNext w:val="0"/>
              <w:keepLines w:val="0"/>
              <w:widowControl/>
              <w:suppressLineNumbers w:val="0"/>
              <w:bidi w:val="0"/>
              <w:spacing w:before="0" w:beforeAutospacing="0" w:after="0" w:afterAutospacing="0" w:line="288" w:lineRule="atLeast"/>
              <w:ind w:left="0" w:leftChars="0" w:right="0" w:rightChars="0"/>
              <w:jc w:val="center"/>
              <w:rPr>
                <w:rFonts w:hint="default"/>
                <w:color w:val="auto"/>
                <w:sz w:val="18"/>
                <w:szCs w:val="18"/>
                <w:lang w:val="en-US" w:eastAsia="zh-CN"/>
              </w:rPr>
            </w:pPr>
            <w:r>
              <w:rPr>
                <w:rFonts w:hint="eastAsia"/>
                <w:color w:val="auto"/>
                <w:sz w:val="18"/>
                <w:szCs w:val="18"/>
                <w:lang w:val="en-US" w:eastAsia="zh-CN"/>
              </w:rPr>
              <w:t>11</w:t>
            </w:r>
          </w:p>
        </w:tc>
        <w:tc>
          <w:tcPr>
            <w:tcW w:w="3880" w:type="dxa"/>
            <w:shd w:val="clear" w:color="auto" w:fill="auto"/>
            <w:vAlign w:val="top"/>
          </w:tcPr>
          <w:p w14:paraId="3087A747">
            <w:pPr>
              <w:pStyle w:val="25"/>
              <w:ind w:firstLine="0" w:firstLineChars="0"/>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取样报告应包括以下内容：a）b)c)......</w:t>
            </w:r>
          </w:p>
        </w:tc>
        <w:tc>
          <w:tcPr>
            <w:tcW w:w="4546" w:type="dxa"/>
            <w:shd w:val="clear" w:color="auto" w:fill="auto"/>
            <w:vAlign w:val="top"/>
          </w:tcPr>
          <w:p w14:paraId="1253039A">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增加了取样报告的内容（见10）</w:t>
            </w:r>
          </w:p>
        </w:tc>
      </w:tr>
    </w:tbl>
    <w:p w14:paraId="5D1DEC1A">
      <w:pPr>
        <w:spacing w:line="360" w:lineRule="auto"/>
        <w:rPr>
          <w:rFonts w:hint="default"/>
          <w:b/>
          <w:bCs/>
          <w:color w:val="auto"/>
          <w:szCs w:val="21"/>
          <w:lang w:val="en-US" w:eastAsia="zh-CN"/>
        </w:rPr>
      </w:pPr>
      <w:r>
        <w:rPr>
          <w:rFonts w:hint="eastAsia"/>
          <w:b/>
          <w:bCs/>
          <w:color w:val="auto"/>
          <w:szCs w:val="21"/>
          <w:lang w:val="en-US" w:eastAsia="zh-CN"/>
        </w:rPr>
        <w:t>三、试验验证分析、综述报告、技术经济认证、预期达到的经济效益、社会效益和生态效益</w:t>
      </w:r>
    </w:p>
    <w:p w14:paraId="50D02E48">
      <w:pPr>
        <w:spacing w:line="360" w:lineRule="auto"/>
        <w:rPr>
          <w:rFonts w:hint="eastAsia"/>
          <w:b/>
          <w:bCs/>
          <w:color w:val="auto"/>
          <w:szCs w:val="21"/>
          <w:lang w:val="en-US" w:eastAsia="zh-CN"/>
        </w:rPr>
      </w:pPr>
      <w:r>
        <w:rPr>
          <w:rFonts w:hint="eastAsia"/>
          <w:b/>
          <w:bCs/>
          <w:color w:val="auto"/>
          <w:szCs w:val="21"/>
          <w:lang w:val="en-US" w:eastAsia="zh-CN"/>
        </w:rPr>
        <w:t>1.试验验证分析和综述报告</w:t>
      </w:r>
    </w:p>
    <w:p w14:paraId="25F93092">
      <w:pPr>
        <w:pStyle w:val="25"/>
        <w:ind w:left="0" w:leftChars="0" w:firstLine="0" w:firstLineChars="0"/>
        <w:rPr>
          <w:rFonts w:hint="eastAsia"/>
          <w:b/>
          <w:bCs/>
          <w:color w:val="auto"/>
          <w:szCs w:val="21"/>
          <w:lang w:val="en-US" w:eastAsia="zh-CN"/>
        </w:rPr>
      </w:pPr>
      <w:r>
        <w:rPr>
          <w:rFonts w:hint="eastAsia"/>
          <w:b/>
          <w:bCs/>
          <w:color w:val="auto"/>
          <w:szCs w:val="21"/>
          <w:lang w:val="en-US" w:eastAsia="zh-CN"/>
        </w:rPr>
        <w:t>（一）项目的必要性阐述</w:t>
      </w:r>
    </w:p>
    <w:p w14:paraId="1B505665">
      <w:pPr>
        <w:spacing w:line="360" w:lineRule="auto"/>
        <w:ind w:firstLine="420" w:firstLineChars="200"/>
        <w:rPr>
          <w:rFonts w:hint="eastAsia"/>
          <w:color w:val="auto"/>
          <w:szCs w:val="21"/>
          <w:lang w:val="en-US" w:eastAsia="zh-CN"/>
        </w:rPr>
      </w:pPr>
      <w:r>
        <w:rPr>
          <w:rFonts w:hint="eastAsia"/>
          <w:color w:val="auto"/>
          <w:szCs w:val="21"/>
          <w:lang w:val="en-US" w:eastAsia="zh-CN"/>
        </w:rPr>
        <w:t>精炼镍是有色金属核心基础原材料，取样方法直接决定其成分分析结果准确性，关乎质量管控、生产应用与贸易公平。现行 GB/T 26022-2010 已不适应行业发展：一方面国内精炼镍生产技术升级、产品形态多样化，原标准在术语、取样流程等方面无法满足生产与贸易实际需求；另一方面对应的国际标准已更新为 ISO 23163:2019，原标准与国际先进水平脱节，易造成国际贸易技术壁垒。因此，修订本标准是推动行业高质量发展、接轨国际标准、消除贸易壁垒、规范行业取样行为的迫切需求。</w:t>
      </w:r>
    </w:p>
    <w:p w14:paraId="1DB9E037">
      <w:pPr>
        <w:spacing w:line="360" w:lineRule="auto"/>
        <w:rPr>
          <w:rFonts w:hint="eastAsia"/>
          <w:b/>
          <w:bCs/>
          <w:color w:val="auto"/>
          <w:szCs w:val="21"/>
          <w:lang w:val="en-US" w:eastAsia="zh-CN"/>
        </w:rPr>
      </w:pPr>
      <w:r>
        <w:rPr>
          <w:rFonts w:hint="eastAsia"/>
          <w:b/>
          <w:bCs/>
          <w:color w:val="auto"/>
          <w:szCs w:val="21"/>
          <w:lang w:val="en-US" w:eastAsia="zh-CN"/>
        </w:rPr>
        <w:t>（二）项目的可行性阐述</w:t>
      </w:r>
    </w:p>
    <w:p w14:paraId="03BB2771">
      <w:pPr>
        <w:spacing w:line="360" w:lineRule="auto"/>
        <w:ind w:firstLine="420" w:firstLineChars="200"/>
        <w:rPr>
          <w:rFonts w:hint="eastAsia"/>
          <w:color w:val="auto"/>
          <w:szCs w:val="21"/>
          <w:lang w:val="en-US" w:eastAsia="zh-CN"/>
        </w:rPr>
      </w:pPr>
      <w:r>
        <w:rPr>
          <w:rFonts w:hint="eastAsia"/>
          <w:color w:val="auto"/>
          <w:szCs w:val="21"/>
          <w:lang w:val="en-US" w:eastAsia="zh-CN"/>
        </w:rPr>
        <w:t>本项目具备充分的实施条件，可行性显著。一是技术依据扎实，以 ISO 23163:2019 国际标准为蓝本，结合原标准多年应用实践，核心技术有可靠参考；二是行业实践支撑充足，编制组完成国内主流企业全产业链调研，本土化取样技术和实操经验为标准修订提供现实依据；三是编制团队专业多元，由生产、科研、检测领域骨干单位组成，技术能力覆盖全产业链；四是论证验证完善，经多轮行业专家研讨、企业实操试验，核心条款形成行业共识，内容科学可操作；五是体系衔接顺畅，严格遵循国标编制规范，与国内有色金属标准体系协调统一；六是实施无重大障碍，修订过程无重大分歧，不涉及专利问题，本土化调整贴合行业实际，企业接受度高，发布后可快速落地。</w:t>
      </w:r>
    </w:p>
    <w:p w14:paraId="3E61B896">
      <w:pPr>
        <w:spacing w:line="360" w:lineRule="auto"/>
        <w:rPr>
          <w:rFonts w:hint="eastAsia"/>
          <w:b/>
          <w:bCs/>
          <w:color w:val="auto"/>
          <w:szCs w:val="21"/>
          <w:lang w:val="en-US" w:eastAsia="zh-CN"/>
        </w:rPr>
      </w:pPr>
      <w:r>
        <w:rPr>
          <w:rFonts w:hint="eastAsia"/>
          <w:b/>
          <w:bCs/>
          <w:color w:val="auto"/>
          <w:szCs w:val="21"/>
          <w:lang w:val="en-US" w:eastAsia="zh-CN"/>
        </w:rPr>
        <w:t>（三）验证分析</w:t>
      </w:r>
    </w:p>
    <w:p w14:paraId="60CDE2A4">
      <w:pPr>
        <w:spacing w:line="360" w:lineRule="auto"/>
        <w:rPr>
          <w:rFonts w:hint="eastAsia"/>
          <w:color w:val="auto"/>
          <w:szCs w:val="21"/>
          <w:lang w:val="en-US" w:eastAsia="zh-CN"/>
        </w:rPr>
      </w:pPr>
      <w:r>
        <w:rPr>
          <w:rFonts w:hint="eastAsia"/>
          <w:color w:val="auto"/>
          <w:szCs w:val="21"/>
          <w:lang w:val="en-US" w:eastAsia="zh-CN"/>
        </w:rPr>
        <w:t>3.1用规范性引用的 GB/T 25951 替换了 ISO 6372。</w:t>
      </w:r>
    </w:p>
    <w:p w14:paraId="13B1A83E">
      <w:pPr>
        <w:spacing w:line="360" w:lineRule="auto"/>
        <w:ind w:firstLine="420" w:firstLineChars="200"/>
        <w:rPr>
          <w:rFonts w:hint="eastAsia"/>
          <w:color w:val="auto"/>
          <w:szCs w:val="21"/>
          <w:lang w:val="en-US" w:eastAsia="zh-CN"/>
        </w:rPr>
      </w:pPr>
      <w:r>
        <w:rPr>
          <w:rFonts w:hint="eastAsia"/>
          <w:color w:val="auto"/>
          <w:szCs w:val="21"/>
          <w:lang w:val="en-US" w:eastAsia="zh-CN"/>
        </w:rPr>
        <w:t>确定依据：用规范性引用的 GB/T 25951 替换了 ISO 6372，两个文件为等同采用关系，替换后适配我国标准体系使用习惯，便于国内企业查阅执行，提升标准理解与应用的便捷性；</w:t>
      </w:r>
    </w:p>
    <w:p w14:paraId="01433FCF">
      <w:pPr>
        <w:spacing w:line="360" w:lineRule="auto"/>
        <w:ind w:firstLine="420" w:firstLineChars="200"/>
        <w:rPr>
          <w:rFonts w:hint="eastAsia"/>
          <w:color w:val="auto"/>
          <w:szCs w:val="21"/>
          <w:lang w:val="en-US" w:eastAsia="zh-CN"/>
        </w:rPr>
      </w:pPr>
      <w:r>
        <w:rPr>
          <w:rFonts w:hint="eastAsia"/>
          <w:color w:val="auto"/>
          <w:szCs w:val="21"/>
          <w:lang w:val="en-US" w:eastAsia="zh-CN"/>
        </w:rPr>
        <w:t>验证情况：经标准体系比对验证，GB/T 25951 与 ISO 6372 的术语定义无本质差异，替换后不影响标准核心内容的执行，同时国内企业可直接引用国内标准进行术语解读，降低标准使用成本。所有技术内容均经全产业链调研、多轮试验验证、行业专家论证，以国际先进标准、国内行业实际、试验数据、标准化编制规范、行业专家共识为根本确定依据，确保内容科学、适用、可操作。</w:t>
      </w:r>
    </w:p>
    <w:p w14:paraId="774F6CB0">
      <w:pPr>
        <w:spacing w:line="360" w:lineRule="auto"/>
        <w:rPr>
          <w:rFonts w:hint="eastAsia"/>
          <w:color w:val="auto"/>
          <w:szCs w:val="21"/>
          <w:lang w:val="en-US" w:eastAsia="zh-CN"/>
        </w:rPr>
      </w:pPr>
      <w:r>
        <w:rPr>
          <w:rFonts w:hint="eastAsia"/>
          <w:color w:val="auto"/>
          <w:szCs w:val="21"/>
          <w:lang w:val="en-US" w:eastAsia="zh-CN"/>
        </w:rPr>
        <w:t>3.2补充制定精炼镍、阴极板等相关术语和定义。</w:t>
      </w:r>
    </w:p>
    <w:p w14:paraId="193160AD">
      <w:pPr>
        <w:spacing w:line="360" w:lineRule="auto"/>
        <w:ind w:firstLine="420" w:firstLineChars="200"/>
        <w:rPr>
          <w:rFonts w:hint="eastAsia"/>
          <w:color w:val="auto"/>
          <w:szCs w:val="21"/>
          <w:lang w:val="en-US" w:eastAsia="zh-CN"/>
        </w:rPr>
      </w:pPr>
      <w:r>
        <w:rPr>
          <w:rFonts w:hint="eastAsia"/>
          <w:color w:val="auto"/>
          <w:szCs w:val="21"/>
          <w:lang w:val="en-US" w:eastAsia="zh-CN"/>
        </w:rPr>
        <w:t>确定依据：原标准未单独设立术语和定义章节，相关专业术语分散表述，易造成行业执行口径不统一；结合我国精炼镍生产与取样工作实际需求，补充</w:t>
      </w:r>
      <w:commentRangeStart w:id="0"/>
      <w:r>
        <w:rPr>
          <w:rFonts w:hint="eastAsia"/>
          <w:color w:val="auto"/>
          <w:szCs w:val="21"/>
          <w:lang w:val="en-US" w:eastAsia="zh-CN"/>
        </w:rPr>
        <w:t>制定</w:t>
      </w:r>
      <w:commentRangeEnd w:id="0"/>
      <w:r>
        <w:rPr>
          <w:rFonts w:hint="eastAsia"/>
          <w:color w:val="auto"/>
          <w:szCs w:val="21"/>
          <w:lang w:val="en-US" w:eastAsia="zh-CN"/>
        </w:rPr>
        <w:commentReference w:id="0"/>
      </w:r>
      <w:r>
        <w:rPr>
          <w:rFonts w:hint="eastAsia"/>
          <w:color w:val="auto"/>
          <w:szCs w:val="21"/>
          <w:lang w:val="en-US" w:eastAsia="zh-CN"/>
        </w:rPr>
        <w:t>了精炼镍、阴极板等相关术语和定义，统一国内行业用语和执行口径；</w:t>
      </w:r>
    </w:p>
    <w:p w14:paraId="601A71F5">
      <w:pPr>
        <w:spacing w:line="360" w:lineRule="auto"/>
        <w:ind w:firstLine="420" w:firstLineChars="200"/>
        <w:rPr>
          <w:rFonts w:hint="eastAsia"/>
          <w:color w:val="auto"/>
          <w:szCs w:val="21"/>
          <w:lang w:val="en-US" w:eastAsia="zh-CN"/>
        </w:rPr>
      </w:pPr>
      <w:r>
        <w:rPr>
          <w:rFonts w:hint="eastAsia"/>
          <w:color w:val="auto"/>
          <w:szCs w:val="21"/>
          <w:lang w:val="en-US" w:eastAsia="zh-CN"/>
        </w:rPr>
        <w:t>验证情况：经国内全产业链企业调研及专家论证，所补充的术语定义既贴合我国精炼镍生产取样实操场景，又与GB/T 25951中的术语定义规范保持一致；通过标准编制过程中的多轮意见征求和实操验证，该条款无执行歧义，可有效填补原标准术语规范的空白，修改内容符合行业实际应用需求。</w:t>
      </w:r>
    </w:p>
    <w:p w14:paraId="61A0BDF4">
      <w:pPr>
        <w:spacing w:line="360" w:lineRule="auto"/>
        <w:ind w:firstLine="420" w:firstLineChars="200"/>
        <w:rPr>
          <w:rFonts w:hint="eastAsia"/>
          <w:color w:val="auto"/>
          <w:szCs w:val="21"/>
          <w:lang w:val="en-US" w:eastAsia="zh-CN"/>
        </w:rPr>
      </w:pPr>
      <w:r>
        <w:rPr>
          <w:rFonts w:hint="eastAsia"/>
          <w:color w:val="auto"/>
          <w:szCs w:val="21"/>
          <w:lang w:val="en-US" w:eastAsia="zh-CN"/>
        </w:rPr>
        <w:t>3.3更改提供产品中常规精炼镍交货尺寸。</w:t>
      </w:r>
    </w:p>
    <w:p w14:paraId="28281437">
      <w:pPr>
        <w:spacing w:line="360" w:lineRule="auto"/>
        <w:ind w:firstLine="420" w:firstLineChars="200"/>
        <w:rPr>
          <w:rFonts w:hint="eastAsia"/>
          <w:color w:val="auto"/>
          <w:szCs w:val="21"/>
          <w:lang w:val="en-US" w:eastAsia="zh-CN"/>
        </w:rPr>
      </w:pPr>
      <w:r>
        <w:rPr>
          <w:rFonts w:hint="eastAsia"/>
          <w:color w:val="auto"/>
          <w:szCs w:val="21"/>
          <w:lang w:val="en-US" w:eastAsia="zh-CN"/>
        </w:rPr>
        <w:t>确定依据：ISO 23163:2019 对精炼镍交货尺寸的规定为国际通用规格：阴极板厚度 6mm~12mm、单块重量约 50kg；桶装金属可采用阴极板切片，常规为边长 25mm、50mm、100mm 的方块。结合我国精炼镍行业多年发展及实际应用情况，本次标准修订将阴极板阴极板厚度调整3mm~15mm，为重量调整为 30kg~100kg，并新增桶装金属 10mm 切片规格，使标准内容更贴合国内产业实际。</w:t>
      </w:r>
    </w:p>
    <w:p w14:paraId="3ED0359D">
      <w:pPr>
        <w:spacing w:line="360" w:lineRule="auto"/>
        <w:ind w:firstLine="420" w:firstLineChars="200"/>
        <w:rPr>
          <w:rFonts w:hint="eastAsia"/>
          <w:color w:val="auto"/>
          <w:szCs w:val="21"/>
          <w:lang w:val="en-US" w:eastAsia="zh-CN"/>
        </w:rPr>
      </w:pPr>
      <w:r>
        <w:rPr>
          <w:rFonts w:hint="eastAsia"/>
          <w:color w:val="auto"/>
          <w:szCs w:val="21"/>
          <w:lang w:val="en-US" w:eastAsia="zh-CN"/>
        </w:rPr>
        <w:t>验证情况：已对金川集团股份有限公司、衢州华友钴新材料有限公司、吉林吉恩镍业股份有限公司、格林美股份有限公司、中伟新材料股份有限公司等国内主要生产企业开展调研（见表5）。调研结果显示，各企业生产的阴极板厚度在3mm~15mm，重量均在 30kg~100kg 区间内，且桶装金属切片均包含 10mm 规格，修订内容与产业现状一致。</w:t>
      </w:r>
    </w:p>
    <w:p w14:paraId="4E1D930A">
      <w:pPr>
        <w:spacing w:line="360" w:lineRule="auto"/>
        <w:ind w:firstLine="420" w:firstLineChars="200"/>
        <w:jc w:val="center"/>
        <w:rPr>
          <w:rFonts w:hint="eastAsia"/>
          <w:color w:val="auto"/>
          <w:szCs w:val="21"/>
          <w:lang w:val="en-US" w:eastAsia="zh-CN"/>
        </w:rPr>
      </w:pPr>
      <w:r>
        <w:rPr>
          <w:rFonts w:hint="eastAsia"/>
          <w:color w:val="auto"/>
          <w:szCs w:val="21"/>
          <w:lang w:val="en-US" w:eastAsia="zh-CN"/>
        </w:rPr>
        <w:t>表5：国家标准《精炼镍取样方法》企业调研表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137"/>
        <w:gridCol w:w="1101"/>
        <w:gridCol w:w="1059"/>
        <w:gridCol w:w="973"/>
        <w:gridCol w:w="1720"/>
        <w:gridCol w:w="1454"/>
        <w:gridCol w:w="1306"/>
      </w:tblGrid>
      <w:tr w14:paraId="2CF1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shd w:val="clear" w:color="auto" w:fill="auto"/>
            <w:vAlign w:val="center"/>
          </w:tcPr>
          <w:p w14:paraId="4EC95212">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调研编号</w:t>
            </w:r>
          </w:p>
        </w:tc>
        <w:tc>
          <w:tcPr>
            <w:tcW w:w="1137" w:type="dxa"/>
            <w:shd w:val="clear" w:color="auto" w:fill="auto"/>
            <w:vAlign w:val="center"/>
          </w:tcPr>
          <w:p w14:paraId="3EB3CDA0">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企业名称</w:t>
            </w:r>
          </w:p>
        </w:tc>
        <w:tc>
          <w:tcPr>
            <w:tcW w:w="1101" w:type="dxa"/>
            <w:shd w:val="clear" w:color="auto" w:fill="auto"/>
            <w:vAlign w:val="center"/>
          </w:tcPr>
          <w:p w14:paraId="6CCD46FD">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统一社会信用代码</w:t>
            </w:r>
          </w:p>
        </w:tc>
        <w:tc>
          <w:tcPr>
            <w:tcW w:w="1059" w:type="dxa"/>
            <w:shd w:val="clear" w:color="auto" w:fill="auto"/>
            <w:vAlign w:val="center"/>
          </w:tcPr>
          <w:p w14:paraId="1CBA6A70">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生产地址</w:t>
            </w:r>
          </w:p>
        </w:tc>
        <w:tc>
          <w:tcPr>
            <w:tcW w:w="973" w:type="dxa"/>
            <w:shd w:val="clear" w:color="auto" w:fill="auto"/>
            <w:vAlign w:val="center"/>
          </w:tcPr>
          <w:p w14:paraId="653AFAAB">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2025年产量（万吨）</w:t>
            </w:r>
          </w:p>
        </w:tc>
        <w:tc>
          <w:tcPr>
            <w:tcW w:w="1720" w:type="dxa"/>
            <w:shd w:val="clear" w:color="auto" w:fill="auto"/>
            <w:vAlign w:val="center"/>
          </w:tcPr>
          <w:p w14:paraId="1588F92A">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主要产品类型</w:t>
            </w:r>
          </w:p>
        </w:tc>
        <w:tc>
          <w:tcPr>
            <w:tcW w:w="1454" w:type="dxa"/>
            <w:shd w:val="clear" w:color="auto" w:fill="auto"/>
            <w:vAlign w:val="center"/>
          </w:tcPr>
          <w:p w14:paraId="744BC646">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阴极板规格(厚度/重量)</w:t>
            </w:r>
          </w:p>
        </w:tc>
        <w:tc>
          <w:tcPr>
            <w:tcW w:w="1306" w:type="dxa"/>
            <w:shd w:val="clear" w:color="auto" w:fill="auto"/>
            <w:vAlign w:val="center"/>
          </w:tcPr>
          <w:p w14:paraId="51F07735">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b/>
                <w:bCs/>
                <w:color w:val="auto"/>
                <w:kern w:val="2"/>
                <w:sz w:val="18"/>
                <w:szCs w:val="18"/>
                <w:lang w:val="en-US" w:eastAsia="zh-CN" w:bidi="ar-SA"/>
              </w:rPr>
            </w:pPr>
            <w:r>
              <w:rPr>
                <w:rFonts w:hint="eastAsia" w:ascii="宋体" w:hAnsi="宋体" w:eastAsia="宋体" w:cs="宋体"/>
                <w:b/>
                <w:bCs/>
                <w:color w:val="auto"/>
                <w:kern w:val="2"/>
                <w:sz w:val="18"/>
                <w:szCs w:val="18"/>
                <w:lang w:val="en-US" w:eastAsia="zh-CN" w:bidi="ar-SA"/>
              </w:rPr>
              <w:t>其他形态规格</w:t>
            </w:r>
          </w:p>
        </w:tc>
      </w:tr>
      <w:tr w14:paraId="1D91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727" w:type="dxa"/>
            <w:shd w:val="clear" w:color="auto" w:fill="auto"/>
            <w:vAlign w:val="center"/>
          </w:tcPr>
          <w:p w14:paraId="3DF4CAF3">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GB-2025-001</w:t>
            </w:r>
          </w:p>
        </w:tc>
        <w:tc>
          <w:tcPr>
            <w:tcW w:w="1137" w:type="dxa"/>
            <w:shd w:val="clear" w:color="auto" w:fill="auto"/>
            <w:vAlign w:val="center"/>
          </w:tcPr>
          <w:p w14:paraId="0A56D268">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金川集团股份有限公司</w:t>
            </w:r>
          </w:p>
        </w:tc>
        <w:tc>
          <w:tcPr>
            <w:tcW w:w="1101" w:type="dxa"/>
            <w:shd w:val="clear" w:color="auto" w:fill="auto"/>
            <w:vAlign w:val="center"/>
          </w:tcPr>
          <w:p w14:paraId="5323881D">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91620300224690949Q</w:t>
            </w:r>
          </w:p>
        </w:tc>
        <w:tc>
          <w:tcPr>
            <w:tcW w:w="1059" w:type="dxa"/>
            <w:shd w:val="clear" w:color="auto" w:fill="auto"/>
            <w:vAlign w:val="center"/>
          </w:tcPr>
          <w:p w14:paraId="4F91ABC8">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甘肃省金昌市金川区金川路 98 号</w:t>
            </w:r>
          </w:p>
        </w:tc>
        <w:tc>
          <w:tcPr>
            <w:tcW w:w="973" w:type="dxa"/>
            <w:shd w:val="clear" w:color="auto" w:fill="auto"/>
            <w:vAlign w:val="center"/>
          </w:tcPr>
          <w:p w14:paraId="70389B25">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23.08</w:t>
            </w:r>
          </w:p>
        </w:tc>
        <w:tc>
          <w:tcPr>
            <w:tcW w:w="1720" w:type="dxa"/>
            <w:shd w:val="clear" w:color="auto" w:fill="auto"/>
            <w:vAlign w:val="center"/>
          </w:tcPr>
          <w:p w14:paraId="619FAD4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1.阴极板（电解镍、电积镍）为主（占比约 70%），2.桶装金属切片(占比约 20%)；3.球粒、粉末等形态(占比约 10%)</w:t>
            </w:r>
          </w:p>
        </w:tc>
        <w:tc>
          <w:tcPr>
            <w:tcW w:w="1454" w:type="dxa"/>
            <w:shd w:val="clear" w:color="auto" w:fill="auto"/>
            <w:vAlign w:val="center"/>
          </w:tcPr>
          <w:p w14:paraId="3B43770D">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阴极板：常见规格为厚度 3mm</w:t>
            </w:r>
            <w:r>
              <w:rPr>
                <w:rFonts w:hint="eastAsia"/>
                <w:color w:val="auto"/>
                <w:szCs w:val="21"/>
                <w:lang w:val="en-US" w:eastAsia="zh-CN"/>
              </w:rPr>
              <w:t>~</w:t>
            </w:r>
            <w:r>
              <w:rPr>
                <w:rFonts w:hint="eastAsia" w:ascii="宋体" w:hAnsi="宋体" w:eastAsia="宋体" w:cs="宋体"/>
                <w:color w:val="auto"/>
                <w:sz w:val="18"/>
                <w:szCs w:val="18"/>
                <w:lang w:val="en-US" w:eastAsia="zh-CN"/>
              </w:rPr>
              <w:t>15mm、重量 50kg</w:t>
            </w:r>
            <w:r>
              <w:rPr>
                <w:rFonts w:hint="eastAsia"/>
                <w:color w:val="auto"/>
                <w:szCs w:val="21"/>
                <w:lang w:val="en-US" w:eastAsia="zh-CN"/>
              </w:rPr>
              <w:t>~</w:t>
            </w:r>
            <w:r>
              <w:rPr>
                <w:rFonts w:hint="eastAsia" w:ascii="宋体" w:hAnsi="宋体" w:cs="宋体"/>
                <w:color w:val="auto"/>
                <w:sz w:val="18"/>
                <w:szCs w:val="18"/>
                <w:lang w:val="en-US" w:eastAsia="zh-CN"/>
              </w:rPr>
              <w:t>70</w:t>
            </w:r>
            <w:r>
              <w:rPr>
                <w:rFonts w:hint="eastAsia" w:ascii="宋体" w:hAnsi="宋体" w:eastAsia="宋体" w:cs="宋体"/>
                <w:color w:val="auto"/>
                <w:sz w:val="18"/>
                <w:szCs w:val="18"/>
                <w:lang w:val="en-US" w:eastAsia="zh-CN"/>
              </w:rPr>
              <w:t>kg；</w:t>
            </w:r>
          </w:p>
        </w:tc>
        <w:tc>
          <w:tcPr>
            <w:tcW w:w="1306" w:type="dxa"/>
            <w:shd w:val="clear" w:color="auto" w:fill="auto"/>
            <w:vAlign w:val="center"/>
          </w:tcPr>
          <w:p w14:paraId="7F86B470">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1.桶装金属切片（含 10mm、25mm、50mm、100mm 方块）；2.球粒、粉末等形态。</w:t>
            </w:r>
          </w:p>
        </w:tc>
      </w:tr>
      <w:tr w14:paraId="4963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727" w:type="dxa"/>
            <w:shd w:val="clear" w:color="auto" w:fill="auto"/>
            <w:vAlign w:val="center"/>
          </w:tcPr>
          <w:p w14:paraId="52F0151F">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GB-2025-002</w:t>
            </w:r>
          </w:p>
        </w:tc>
        <w:tc>
          <w:tcPr>
            <w:tcW w:w="1137" w:type="dxa"/>
            <w:shd w:val="clear" w:color="auto" w:fill="auto"/>
            <w:vAlign w:val="center"/>
          </w:tcPr>
          <w:p w14:paraId="09F781F8">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衢州华友钴新材料有限公司</w:t>
            </w:r>
          </w:p>
        </w:tc>
        <w:tc>
          <w:tcPr>
            <w:tcW w:w="1101" w:type="dxa"/>
            <w:shd w:val="clear" w:color="auto" w:fill="auto"/>
            <w:vAlign w:val="center"/>
          </w:tcPr>
          <w:p w14:paraId="62FACBF6">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91330800575349959F</w:t>
            </w:r>
          </w:p>
        </w:tc>
        <w:tc>
          <w:tcPr>
            <w:tcW w:w="1059" w:type="dxa"/>
            <w:shd w:val="clear" w:color="auto" w:fill="auto"/>
            <w:vAlign w:val="center"/>
          </w:tcPr>
          <w:p w14:paraId="6CFB2FFE">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浙江省衢州高新技术产业园区（二期）廿新路18号</w:t>
            </w:r>
          </w:p>
        </w:tc>
        <w:tc>
          <w:tcPr>
            <w:tcW w:w="973" w:type="dxa"/>
            <w:shd w:val="clear" w:color="auto" w:fill="auto"/>
            <w:vAlign w:val="center"/>
          </w:tcPr>
          <w:p w14:paraId="7B763AD7">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w:t>
            </w:r>
          </w:p>
        </w:tc>
        <w:tc>
          <w:tcPr>
            <w:tcW w:w="1720" w:type="dxa"/>
            <w:shd w:val="clear" w:color="auto" w:fill="auto"/>
            <w:vAlign w:val="center"/>
          </w:tcPr>
          <w:p w14:paraId="60D797F6">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阴极板（电积镍）</w:t>
            </w:r>
          </w:p>
        </w:tc>
        <w:tc>
          <w:tcPr>
            <w:tcW w:w="1454" w:type="dxa"/>
            <w:shd w:val="clear" w:color="auto" w:fill="auto"/>
            <w:vAlign w:val="center"/>
          </w:tcPr>
          <w:p w14:paraId="36F2F97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阴极板：常见规格为厚度 3mm</w:t>
            </w:r>
            <w:r>
              <w:rPr>
                <w:rFonts w:hint="eastAsia"/>
                <w:color w:val="auto"/>
                <w:szCs w:val="21"/>
                <w:lang w:val="en-US" w:eastAsia="zh-CN"/>
              </w:rPr>
              <w:t>~</w:t>
            </w:r>
            <w:r>
              <w:rPr>
                <w:rFonts w:hint="eastAsia" w:ascii="宋体" w:hAnsi="宋体" w:eastAsia="宋体" w:cs="宋体"/>
                <w:color w:val="auto"/>
                <w:sz w:val="18"/>
                <w:szCs w:val="18"/>
                <w:lang w:val="en-US" w:eastAsia="zh-CN"/>
              </w:rPr>
              <w:t xml:space="preserve">15mm、重量 </w:t>
            </w:r>
            <w:r>
              <w:rPr>
                <w:rFonts w:hint="eastAsia" w:ascii="宋体" w:hAnsi="宋体" w:cs="宋体"/>
                <w:color w:val="auto"/>
                <w:sz w:val="18"/>
                <w:szCs w:val="18"/>
                <w:lang w:val="en-US" w:eastAsia="zh-CN"/>
              </w:rPr>
              <w:t>40</w:t>
            </w:r>
            <w:r>
              <w:rPr>
                <w:rFonts w:hint="eastAsia" w:ascii="宋体" w:hAnsi="宋体" w:eastAsia="宋体" w:cs="宋体"/>
                <w:color w:val="auto"/>
                <w:sz w:val="18"/>
                <w:szCs w:val="18"/>
                <w:lang w:val="en-US" w:eastAsia="zh-CN"/>
              </w:rPr>
              <w:t>kg</w:t>
            </w:r>
            <w:r>
              <w:rPr>
                <w:rFonts w:hint="eastAsia"/>
                <w:color w:val="auto"/>
                <w:szCs w:val="21"/>
                <w:lang w:val="en-US" w:eastAsia="zh-CN"/>
              </w:rPr>
              <w:t>~</w:t>
            </w:r>
            <w:r>
              <w:rPr>
                <w:rFonts w:hint="eastAsia" w:ascii="宋体" w:hAnsi="宋体" w:eastAsia="宋体" w:cs="宋体"/>
                <w:color w:val="auto"/>
                <w:sz w:val="18"/>
                <w:szCs w:val="18"/>
                <w:lang w:val="en-US" w:eastAsia="zh-CN"/>
              </w:rPr>
              <w:t>55kg</w:t>
            </w:r>
          </w:p>
        </w:tc>
        <w:tc>
          <w:tcPr>
            <w:tcW w:w="1306" w:type="dxa"/>
            <w:shd w:val="clear" w:color="auto" w:fill="auto"/>
            <w:vAlign w:val="center"/>
          </w:tcPr>
          <w:p w14:paraId="3C483895">
            <w:pPr>
              <w:keepNext w:val="0"/>
              <w:keepLines w:val="0"/>
              <w:widowControl/>
              <w:suppressLineNumbers w:val="0"/>
              <w:bidi w:val="0"/>
              <w:spacing w:before="0" w:beforeAutospacing="0" w:after="0" w:afterAutospacing="0" w:line="288" w:lineRule="atLeast"/>
              <w:ind w:left="0" w:leftChars="0" w:right="0" w:rightChars="0" w:firstLine="518" w:firstLine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w:t>
            </w:r>
          </w:p>
        </w:tc>
      </w:tr>
      <w:tr w14:paraId="593C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27" w:type="dxa"/>
            <w:shd w:val="clear" w:color="auto" w:fill="auto"/>
            <w:vAlign w:val="center"/>
          </w:tcPr>
          <w:p w14:paraId="794A268C">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GB-2025-003</w:t>
            </w:r>
          </w:p>
        </w:tc>
        <w:tc>
          <w:tcPr>
            <w:tcW w:w="1137" w:type="dxa"/>
            <w:shd w:val="clear" w:color="auto" w:fill="auto"/>
            <w:vAlign w:val="center"/>
          </w:tcPr>
          <w:p w14:paraId="00BE6FC5">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格林美股份有限公司</w:t>
            </w:r>
          </w:p>
          <w:p w14:paraId="1B9AA5EA">
            <w:pPr>
              <w:keepNext w:val="0"/>
              <w:keepLines w:val="0"/>
              <w:widowControl/>
              <w:suppressLineNumbers w:val="0"/>
              <w:jc w:val="left"/>
              <w:textAlignment w:val="center"/>
              <w:rPr>
                <w:rFonts w:hint="eastAsia" w:ascii="宋体" w:hAnsi="宋体" w:eastAsia="宋体" w:cs="宋体"/>
                <w:color w:val="auto"/>
                <w:sz w:val="18"/>
                <w:szCs w:val="18"/>
                <w:lang w:val="en-US" w:eastAsia="zh-CN"/>
              </w:rPr>
            </w:pPr>
          </w:p>
        </w:tc>
        <w:tc>
          <w:tcPr>
            <w:tcW w:w="1101" w:type="dxa"/>
            <w:shd w:val="clear" w:color="auto" w:fill="auto"/>
            <w:vAlign w:val="center"/>
          </w:tcPr>
          <w:p w14:paraId="18EE9FBD">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914403007341643035</w:t>
            </w:r>
          </w:p>
        </w:tc>
        <w:tc>
          <w:tcPr>
            <w:tcW w:w="1059" w:type="dxa"/>
            <w:shd w:val="clear" w:color="auto" w:fill="auto"/>
            <w:vAlign w:val="center"/>
          </w:tcPr>
          <w:p w14:paraId="5BA0724D">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湖北省荆门市高新区掇刀区迎春大道3号</w:t>
            </w:r>
          </w:p>
        </w:tc>
        <w:tc>
          <w:tcPr>
            <w:tcW w:w="973" w:type="dxa"/>
            <w:shd w:val="clear" w:color="auto" w:fill="auto"/>
            <w:vAlign w:val="center"/>
          </w:tcPr>
          <w:p w14:paraId="7049252A">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6.78</w:t>
            </w:r>
          </w:p>
        </w:tc>
        <w:tc>
          <w:tcPr>
            <w:tcW w:w="1720" w:type="dxa"/>
            <w:shd w:val="clear" w:color="auto" w:fill="auto"/>
            <w:vAlign w:val="center"/>
          </w:tcPr>
          <w:p w14:paraId="08EFAC41">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1.硫酸镍晶体（占比约为75%），2、阴极板（电积镍）为主（占比约25%）</w:t>
            </w:r>
          </w:p>
        </w:tc>
        <w:tc>
          <w:tcPr>
            <w:tcW w:w="1454" w:type="dxa"/>
            <w:shd w:val="clear" w:color="auto" w:fill="auto"/>
            <w:vAlign w:val="center"/>
          </w:tcPr>
          <w:p w14:paraId="268B31CF">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阴极板：常见规格为厚度 3mm</w:t>
            </w:r>
            <w:r>
              <w:rPr>
                <w:rFonts w:hint="eastAsia"/>
                <w:color w:val="auto"/>
                <w:szCs w:val="21"/>
                <w:lang w:val="en-US" w:eastAsia="zh-CN"/>
              </w:rPr>
              <w:t>~</w:t>
            </w:r>
            <w:r>
              <w:rPr>
                <w:rFonts w:hint="eastAsia" w:ascii="宋体" w:hAnsi="宋体" w:eastAsia="宋体" w:cs="宋体"/>
                <w:color w:val="auto"/>
                <w:sz w:val="18"/>
                <w:szCs w:val="18"/>
                <w:lang w:val="en-US" w:eastAsia="zh-CN"/>
              </w:rPr>
              <w:t>12mm、重量 30kg</w:t>
            </w:r>
            <w:r>
              <w:rPr>
                <w:rFonts w:hint="eastAsia"/>
                <w:color w:val="auto"/>
                <w:szCs w:val="21"/>
                <w:lang w:val="en-US" w:eastAsia="zh-CN"/>
              </w:rPr>
              <w:t>~</w:t>
            </w:r>
            <w:r>
              <w:rPr>
                <w:rFonts w:hint="eastAsia" w:ascii="宋体" w:hAnsi="宋体" w:eastAsia="宋体" w:cs="宋体"/>
                <w:color w:val="auto"/>
                <w:sz w:val="18"/>
                <w:szCs w:val="18"/>
                <w:lang w:val="en-US" w:eastAsia="zh-CN"/>
              </w:rPr>
              <w:t>35kg/47kg</w:t>
            </w:r>
            <w:r>
              <w:rPr>
                <w:rFonts w:hint="eastAsia"/>
                <w:color w:val="auto"/>
                <w:szCs w:val="21"/>
                <w:lang w:val="en-US" w:eastAsia="zh-CN"/>
              </w:rPr>
              <w:t>~</w:t>
            </w:r>
            <w:r>
              <w:rPr>
                <w:rFonts w:hint="eastAsia" w:ascii="宋体" w:hAnsi="宋体" w:eastAsia="宋体" w:cs="宋体"/>
                <w:color w:val="auto"/>
                <w:sz w:val="18"/>
                <w:szCs w:val="18"/>
                <w:lang w:val="en-US" w:eastAsia="zh-CN"/>
              </w:rPr>
              <w:t>52kg；</w:t>
            </w:r>
          </w:p>
        </w:tc>
        <w:tc>
          <w:tcPr>
            <w:tcW w:w="1306" w:type="dxa"/>
            <w:shd w:val="clear" w:color="auto" w:fill="auto"/>
            <w:vAlign w:val="center"/>
          </w:tcPr>
          <w:p w14:paraId="02C47BFB">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硫酸镍晶体</w:t>
            </w:r>
          </w:p>
        </w:tc>
      </w:tr>
      <w:tr w14:paraId="35EF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727" w:type="dxa"/>
            <w:shd w:val="clear" w:color="auto" w:fill="auto"/>
            <w:vAlign w:val="center"/>
          </w:tcPr>
          <w:p w14:paraId="4E0375DF">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GB-2025-004</w:t>
            </w:r>
          </w:p>
        </w:tc>
        <w:tc>
          <w:tcPr>
            <w:tcW w:w="1137" w:type="dxa"/>
            <w:shd w:val="clear" w:color="auto" w:fill="auto"/>
            <w:vAlign w:val="center"/>
          </w:tcPr>
          <w:p w14:paraId="3C18F68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吉林吉恩镍业股份有限公司</w:t>
            </w:r>
          </w:p>
        </w:tc>
        <w:tc>
          <w:tcPr>
            <w:tcW w:w="1101" w:type="dxa"/>
            <w:shd w:val="clear" w:color="auto" w:fill="auto"/>
            <w:vAlign w:val="center"/>
          </w:tcPr>
          <w:p w14:paraId="03EAFAC5">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9122020172673322X1</w:t>
            </w:r>
          </w:p>
        </w:tc>
        <w:tc>
          <w:tcPr>
            <w:tcW w:w="1059" w:type="dxa"/>
            <w:shd w:val="clear" w:color="auto" w:fill="auto"/>
            <w:vAlign w:val="center"/>
          </w:tcPr>
          <w:p w14:paraId="6DB43FA4">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吉林省磐石市红旗岭镇</w:t>
            </w:r>
          </w:p>
        </w:tc>
        <w:tc>
          <w:tcPr>
            <w:tcW w:w="973" w:type="dxa"/>
            <w:shd w:val="clear" w:color="auto" w:fill="auto"/>
            <w:vAlign w:val="center"/>
          </w:tcPr>
          <w:p w14:paraId="3CC6C5A3">
            <w:pPr>
              <w:keepNext w:val="0"/>
              <w:keepLines w:val="0"/>
              <w:widowControl/>
              <w:suppressLineNumbers w:val="0"/>
              <w:bidi w:val="0"/>
              <w:spacing w:before="0" w:beforeAutospacing="0" w:after="0" w:afterAutospacing="0" w:line="288" w:lineRule="atLeast"/>
              <w:ind w:left="0" w:leftChars="0" w:right="0" w:right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0.80</w:t>
            </w:r>
          </w:p>
        </w:tc>
        <w:tc>
          <w:tcPr>
            <w:tcW w:w="1720" w:type="dxa"/>
            <w:shd w:val="clear" w:color="auto" w:fill="auto"/>
            <w:vAlign w:val="center"/>
          </w:tcPr>
          <w:p w14:paraId="47048C3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1.阴极板（电解镍）为主（占比约 75%），2.桶装金属切片(占比约 25%)</w:t>
            </w:r>
          </w:p>
        </w:tc>
        <w:tc>
          <w:tcPr>
            <w:tcW w:w="1454" w:type="dxa"/>
            <w:shd w:val="clear" w:color="auto" w:fill="auto"/>
            <w:vAlign w:val="center"/>
          </w:tcPr>
          <w:p w14:paraId="7C5FCC0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阴极板：常见规格为厚度 10mm</w:t>
            </w:r>
            <w:r>
              <w:rPr>
                <w:rFonts w:hint="eastAsia"/>
                <w:color w:val="auto"/>
                <w:szCs w:val="21"/>
                <w:lang w:val="en-US" w:eastAsia="zh-CN"/>
              </w:rPr>
              <w:t>~</w:t>
            </w:r>
            <w:r>
              <w:rPr>
                <w:rFonts w:hint="eastAsia" w:ascii="宋体" w:hAnsi="宋体" w:eastAsia="宋体" w:cs="宋体"/>
                <w:color w:val="auto"/>
                <w:sz w:val="18"/>
                <w:szCs w:val="18"/>
                <w:lang w:val="en-US" w:eastAsia="zh-CN"/>
              </w:rPr>
              <w:t>15mm、重90kg</w:t>
            </w:r>
            <w:r>
              <w:rPr>
                <w:rFonts w:hint="eastAsia"/>
                <w:color w:val="auto"/>
                <w:szCs w:val="21"/>
                <w:lang w:val="en-US" w:eastAsia="zh-CN"/>
              </w:rPr>
              <w:t>~</w:t>
            </w:r>
            <w:r>
              <w:rPr>
                <w:rFonts w:hint="eastAsia" w:ascii="宋体" w:hAnsi="宋体" w:eastAsia="宋体" w:cs="宋体"/>
                <w:color w:val="auto"/>
                <w:sz w:val="18"/>
                <w:szCs w:val="18"/>
                <w:lang w:val="en-US" w:eastAsia="zh-CN"/>
              </w:rPr>
              <w:t>100kg；</w:t>
            </w:r>
          </w:p>
        </w:tc>
        <w:tc>
          <w:tcPr>
            <w:tcW w:w="1306" w:type="dxa"/>
            <w:shd w:val="clear" w:color="auto" w:fill="auto"/>
            <w:vAlign w:val="center"/>
          </w:tcPr>
          <w:p w14:paraId="321A729A">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桶装金属切片（含 25mm、100mm 方块）</w:t>
            </w:r>
          </w:p>
        </w:tc>
      </w:tr>
      <w:tr w14:paraId="7420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27" w:type="dxa"/>
            <w:vAlign w:val="center"/>
          </w:tcPr>
          <w:p w14:paraId="5962E561">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GB-2025-005</w:t>
            </w:r>
          </w:p>
        </w:tc>
        <w:tc>
          <w:tcPr>
            <w:tcW w:w="1137" w:type="dxa"/>
            <w:shd w:val="clear" w:color="auto" w:fill="auto"/>
            <w:vAlign w:val="center"/>
          </w:tcPr>
          <w:p w14:paraId="3AC73A7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中伟新材料股份有限公司</w:t>
            </w:r>
          </w:p>
        </w:tc>
        <w:tc>
          <w:tcPr>
            <w:tcW w:w="1101" w:type="dxa"/>
            <w:shd w:val="clear" w:color="auto" w:fill="auto"/>
            <w:vAlign w:val="top"/>
          </w:tcPr>
          <w:p w14:paraId="76A2FCF4">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915206903314383681D</w:t>
            </w:r>
          </w:p>
        </w:tc>
        <w:tc>
          <w:tcPr>
            <w:tcW w:w="1059" w:type="dxa"/>
            <w:shd w:val="clear" w:color="auto" w:fill="auto"/>
            <w:vAlign w:val="top"/>
          </w:tcPr>
          <w:p w14:paraId="44FE3C70">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广西钦州钦南区第8大街</w:t>
            </w:r>
          </w:p>
        </w:tc>
        <w:tc>
          <w:tcPr>
            <w:tcW w:w="973" w:type="dxa"/>
            <w:shd w:val="clear" w:color="auto" w:fill="auto"/>
            <w:vAlign w:val="center"/>
          </w:tcPr>
          <w:p w14:paraId="6766F7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3.28</w:t>
            </w:r>
          </w:p>
        </w:tc>
        <w:tc>
          <w:tcPr>
            <w:tcW w:w="1720" w:type="dxa"/>
            <w:shd w:val="clear" w:color="auto" w:fill="auto"/>
            <w:vAlign w:val="center"/>
          </w:tcPr>
          <w:p w14:paraId="2E1618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auto"/>
                <w:sz w:val="18"/>
                <w:szCs w:val="18"/>
                <w:lang w:val="en-US" w:eastAsia="zh-CN"/>
              </w:rPr>
              <w:t>1.阴极板（电解镍、电积镍）2.桶装金属切片</w:t>
            </w:r>
          </w:p>
        </w:tc>
        <w:tc>
          <w:tcPr>
            <w:tcW w:w="1454" w:type="dxa"/>
            <w:shd w:val="clear" w:color="auto" w:fill="auto"/>
            <w:vAlign w:val="top"/>
          </w:tcPr>
          <w:p w14:paraId="6DEF62FD">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阴极板：常见规格为厚度</w:t>
            </w:r>
            <w:r>
              <w:rPr>
                <w:rFonts w:hint="default" w:ascii="Arial" w:hAnsi="Arial" w:eastAsia="宋体" w:cs="Arial"/>
                <w:color w:val="auto"/>
                <w:sz w:val="18"/>
                <w:szCs w:val="18"/>
                <w:lang w:val="en-US" w:eastAsia="zh-CN"/>
              </w:rPr>
              <w:t>≥</w:t>
            </w:r>
            <w:r>
              <w:rPr>
                <w:rFonts w:hint="eastAsia" w:ascii="宋体" w:hAnsi="宋体" w:cs="宋体"/>
                <w:color w:val="auto"/>
                <w:sz w:val="18"/>
                <w:szCs w:val="18"/>
                <w:lang w:val="en-US" w:eastAsia="zh-CN"/>
              </w:rPr>
              <w:t>3</w:t>
            </w:r>
            <w:r>
              <w:rPr>
                <w:rFonts w:hint="eastAsia" w:ascii="宋体" w:hAnsi="宋体" w:eastAsia="宋体" w:cs="宋体"/>
                <w:color w:val="auto"/>
                <w:sz w:val="18"/>
                <w:szCs w:val="18"/>
                <w:lang w:val="en-US" w:eastAsia="zh-CN"/>
              </w:rPr>
              <w:t>mm</w:t>
            </w:r>
          </w:p>
        </w:tc>
        <w:tc>
          <w:tcPr>
            <w:tcW w:w="1306" w:type="dxa"/>
            <w:shd w:val="clear" w:color="auto" w:fill="auto"/>
            <w:vAlign w:val="top"/>
          </w:tcPr>
          <w:p w14:paraId="4C3AD0D1">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桶装金属切片（100mm 方块）。</w:t>
            </w:r>
          </w:p>
        </w:tc>
      </w:tr>
    </w:tbl>
    <w:p w14:paraId="3A22AB25">
      <w:pPr>
        <w:spacing w:line="360" w:lineRule="auto"/>
        <w:rPr>
          <w:rFonts w:hint="eastAsia"/>
          <w:color w:val="auto"/>
          <w:szCs w:val="21"/>
          <w:lang w:val="en-US" w:eastAsia="zh-CN"/>
        </w:rPr>
      </w:pPr>
      <w:r>
        <w:rPr>
          <w:rFonts w:hint="eastAsia"/>
          <w:color w:val="auto"/>
          <w:szCs w:val="21"/>
          <w:lang w:val="en-US" w:eastAsia="zh-CN"/>
        </w:rPr>
        <w:t>3.4不增加生产批次样品取样方法</w:t>
      </w:r>
    </w:p>
    <w:p w14:paraId="6F2D3EEC">
      <w:pPr>
        <w:spacing w:line="360" w:lineRule="auto"/>
        <w:ind w:firstLine="420" w:firstLineChars="200"/>
        <w:rPr>
          <w:rFonts w:hint="eastAsia"/>
          <w:color w:val="auto"/>
          <w:szCs w:val="21"/>
          <w:lang w:val="en-US" w:eastAsia="zh-CN"/>
        </w:rPr>
      </w:pPr>
      <w:r>
        <w:rPr>
          <w:rFonts w:hint="eastAsia"/>
          <w:color w:val="auto"/>
          <w:szCs w:val="21"/>
          <w:lang w:val="en-US" w:eastAsia="zh-CN"/>
        </w:rPr>
        <w:t>确定依据：标准预审稿曾在样品选择章节增设生产批样品相关规定，并配套拟定生产批次样品取样方法，以期适配我国生产过程取样的实际需求。</w:t>
      </w:r>
    </w:p>
    <w:p w14:paraId="6600E71D">
      <w:pPr>
        <w:spacing w:line="360" w:lineRule="auto"/>
        <w:ind w:firstLine="420" w:firstLineChars="200"/>
        <w:rPr>
          <w:rFonts w:hint="eastAsia"/>
          <w:color w:val="auto"/>
          <w:szCs w:val="21"/>
          <w:lang w:val="en-US" w:eastAsia="zh-CN"/>
        </w:rPr>
      </w:pPr>
      <w:r>
        <w:rPr>
          <w:rFonts w:hint="eastAsia"/>
          <w:color w:val="auto"/>
          <w:szCs w:val="21"/>
          <w:lang w:val="en-US" w:eastAsia="zh-CN"/>
        </w:rPr>
        <w:t>验证情况：已对金川集团股份有限公司、衢州华友钴新材料有限公司、吉林吉恩镍业股份有限公司、格林美股份有限公司、中伟新材料股份有限公司等国内主要生产企业开展调研（见表 6）。调研结果表明，各企业因产量、质量控制水平存在差异，阴极板生产批取样方法各不相同；同时企业普遍认为，生产批取样属于生产过程质量控制环节，而本标准主要适用于产品交付及仲裁检验取样，二者在取样目的、程序和要求上存在明显区别。为保证标准的聚焦性与严谨性，本次修订暂不将生产批取样相关内容纳入本标准。</w:t>
      </w:r>
    </w:p>
    <w:p w14:paraId="3624D4A5">
      <w:pPr>
        <w:spacing w:line="360" w:lineRule="auto"/>
        <w:ind w:firstLine="420" w:firstLineChars="200"/>
        <w:jc w:val="center"/>
        <w:rPr>
          <w:rFonts w:hint="eastAsia"/>
          <w:color w:val="auto"/>
          <w:szCs w:val="21"/>
          <w:lang w:val="en-US" w:eastAsia="zh-CN"/>
        </w:rPr>
      </w:pPr>
      <w:r>
        <w:rPr>
          <w:rFonts w:hint="eastAsia"/>
          <w:color w:val="auto"/>
          <w:szCs w:val="21"/>
          <w:lang w:val="en-US" w:eastAsia="zh-CN"/>
        </w:rPr>
        <w:t>表6：国家标准《精炼镍取样方法》企业调研表</w:t>
      </w:r>
    </w:p>
    <w:tbl>
      <w:tblPr>
        <w:tblStyle w:val="20"/>
        <w:tblW w:w="94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187"/>
        <w:gridCol w:w="1800"/>
        <w:gridCol w:w="1227"/>
        <w:gridCol w:w="1800"/>
        <w:gridCol w:w="2693"/>
      </w:tblGrid>
      <w:tr w14:paraId="1437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shd w:val="clear" w:color="auto" w:fill="auto"/>
            <w:vAlign w:val="center"/>
          </w:tcPr>
          <w:p w14:paraId="3356B1F8">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Times New Roman" w:hAnsi="Times New Roman" w:eastAsia="宋体" w:cs="Times New Roman"/>
                <w:b/>
                <w:bCs/>
                <w:color w:val="auto"/>
                <w:kern w:val="2"/>
                <w:sz w:val="19"/>
                <w:szCs w:val="19"/>
                <w:lang w:val="en-US" w:eastAsia="zh-CN" w:bidi="ar-SA"/>
              </w:rPr>
              <w:t>调研编号</w:t>
            </w:r>
          </w:p>
        </w:tc>
        <w:tc>
          <w:tcPr>
            <w:tcW w:w="1187" w:type="dxa"/>
            <w:shd w:val="clear" w:color="auto" w:fill="auto"/>
            <w:vAlign w:val="center"/>
          </w:tcPr>
          <w:p w14:paraId="515B5175">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Times New Roman" w:hAnsi="Times New Roman" w:eastAsia="宋体" w:cs="Times New Roman"/>
                <w:b/>
                <w:bCs/>
                <w:color w:val="auto"/>
                <w:kern w:val="2"/>
                <w:sz w:val="19"/>
                <w:szCs w:val="19"/>
                <w:lang w:val="en-US" w:eastAsia="zh-CN" w:bidi="ar-SA"/>
              </w:rPr>
              <w:t>企业名称</w:t>
            </w:r>
          </w:p>
        </w:tc>
        <w:tc>
          <w:tcPr>
            <w:tcW w:w="1800" w:type="dxa"/>
            <w:shd w:val="clear" w:color="auto" w:fill="auto"/>
            <w:vAlign w:val="center"/>
          </w:tcPr>
          <w:p w14:paraId="1296849E">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宋体" w:hAnsi="宋体" w:eastAsia="宋体" w:cs="宋体"/>
                <w:b/>
                <w:bCs/>
                <w:color w:val="auto"/>
                <w:kern w:val="2"/>
                <w:sz w:val="18"/>
                <w:szCs w:val="18"/>
                <w:lang w:val="en-US" w:eastAsia="zh-CN" w:bidi="ar-SA"/>
              </w:rPr>
              <w:t>主要产品类型</w:t>
            </w:r>
          </w:p>
        </w:tc>
        <w:tc>
          <w:tcPr>
            <w:tcW w:w="1227" w:type="dxa"/>
            <w:shd w:val="clear" w:color="auto" w:fill="auto"/>
            <w:vAlign w:val="center"/>
          </w:tcPr>
          <w:p w14:paraId="7733EB91">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Times New Roman" w:hAnsi="Times New Roman" w:eastAsia="宋体" w:cs="Times New Roman"/>
                <w:b/>
                <w:bCs/>
                <w:color w:val="auto"/>
                <w:kern w:val="2"/>
                <w:sz w:val="19"/>
                <w:szCs w:val="19"/>
                <w:lang w:val="en-US" w:eastAsia="zh-CN" w:bidi="ar-SA"/>
              </w:rPr>
              <w:t>2025年产量（万吨）</w:t>
            </w:r>
          </w:p>
        </w:tc>
        <w:tc>
          <w:tcPr>
            <w:tcW w:w="1800" w:type="dxa"/>
            <w:shd w:val="clear" w:color="auto" w:fill="auto"/>
            <w:vAlign w:val="center"/>
          </w:tcPr>
          <w:p w14:paraId="68613416">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Times New Roman" w:hAnsi="Times New Roman" w:eastAsia="宋体" w:cs="Times New Roman"/>
                <w:b/>
                <w:bCs/>
                <w:color w:val="auto"/>
                <w:kern w:val="2"/>
                <w:sz w:val="19"/>
                <w:szCs w:val="19"/>
                <w:lang w:val="en-US" w:eastAsia="zh-CN" w:bidi="ar-SA"/>
              </w:rPr>
              <w:t>最大和最小批量（吨）</w:t>
            </w:r>
          </w:p>
        </w:tc>
        <w:tc>
          <w:tcPr>
            <w:tcW w:w="2693" w:type="dxa"/>
            <w:shd w:val="clear" w:color="auto" w:fill="auto"/>
            <w:vAlign w:val="center"/>
          </w:tcPr>
          <w:p w14:paraId="0F6806D6">
            <w:pPr>
              <w:keepNext w:val="0"/>
              <w:keepLines w:val="0"/>
              <w:widowControl/>
              <w:suppressLineNumbers w:val="0"/>
              <w:bidi w:val="0"/>
              <w:spacing w:before="0" w:beforeAutospacing="0" w:after="0" w:afterAutospacing="0" w:line="288" w:lineRule="atLeast"/>
              <w:ind w:left="0" w:leftChars="0" w:right="0" w:rightChars="0"/>
              <w:jc w:val="center"/>
              <w:rPr>
                <w:rFonts w:hint="eastAsia" w:ascii="Times New Roman" w:hAnsi="Times New Roman" w:eastAsia="宋体" w:cs="Times New Roman"/>
                <w:b/>
                <w:bCs/>
                <w:color w:val="auto"/>
                <w:kern w:val="2"/>
                <w:sz w:val="19"/>
                <w:szCs w:val="19"/>
                <w:lang w:val="en-US" w:eastAsia="zh-CN" w:bidi="ar-SA"/>
              </w:rPr>
            </w:pPr>
            <w:r>
              <w:rPr>
                <w:rFonts w:hint="eastAsia" w:ascii="Times New Roman" w:hAnsi="Times New Roman" w:eastAsia="宋体" w:cs="Times New Roman"/>
                <w:b/>
                <w:bCs/>
                <w:color w:val="auto"/>
                <w:kern w:val="2"/>
                <w:sz w:val="19"/>
                <w:szCs w:val="19"/>
                <w:lang w:val="en-US" w:eastAsia="zh-CN" w:bidi="ar-SA"/>
              </w:rPr>
              <w:t>阴极板</w:t>
            </w:r>
            <w:r>
              <w:rPr>
                <w:rFonts w:hint="eastAsia" w:cs="Times New Roman"/>
                <w:b/>
                <w:bCs/>
                <w:color w:val="auto"/>
                <w:kern w:val="2"/>
                <w:sz w:val="19"/>
                <w:szCs w:val="19"/>
                <w:lang w:val="en-US" w:eastAsia="zh-CN" w:bidi="ar-SA"/>
              </w:rPr>
              <w:t>生产批</w:t>
            </w:r>
            <w:r>
              <w:rPr>
                <w:rFonts w:hint="eastAsia" w:ascii="Times New Roman" w:hAnsi="Times New Roman" w:eastAsia="宋体" w:cs="Times New Roman"/>
                <w:b/>
                <w:bCs/>
                <w:color w:val="auto"/>
                <w:kern w:val="2"/>
                <w:sz w:val="19"/>
                <w:szCs w:val="19"/>
                <w:lang w:val="en-US" w:eastAsia="zh-CN" w:bidi="ar-SA"/>
              </w:rPr>
              <w:t>取样方法</w:t>
            </w:r>
          </w:p>
        </w:tc>
      </w:tr>
      <w:tr w14:paraId="58B4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717" w:type="dxa"/>
            <w:shd w:val="clear" w:color="auto" w:fill="auto"/>
            <w:vAlign w:val="center"/>
          </w:tcPr>
          <w:p w14:paraId="594761D4">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GB-2025-001</w:t>
            </w:r>
          </w:p>
        </w:tc>
        <w:tc>
          <w:tcPr>
            <w:tcW w:w="1187" w:type="dxa"/>
            <w:shd w:val="clear" w:color="auto" w:fill="auto"/>
            <w:vAlign w:val="center"/>
          </w:tcPr>
          <w:p w14:paraId="33D300EE">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金川集团股份有限公司</w:t>
            </w:r>
          </w:p>
        </w:tc>
        <w:tc>
          <w:tcPr>
            <w:tcW w:w="1800" w:type="dxa"/>
            <w:shd w:val="clear" w:color="auto" w:fill="auto"/>
            <w:vAlign w:val="center"/>
          </w:tcPr>
          <w:p w14:paraId="2D1B6AD1">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1.阴极板（电解镍、电积镍）为主（占比约 70%），2.桶装金属切片(占比约 20%)；3.球粒、粉末等形态(占比约 10%)</w:t>
            </w:r>
          </w:p>
        </w:tc>
        <w:tc>
          <w:tcPr>
            <w:tcW w:w="1227" w:type="dxa"/>
            <w:shd w:val="clear" w:color="auto" w:fill="auto"/>
            <w:vAlign w:val="center"/>
          </w:tcPr>
          <w:p w14:paraId="58FA5233">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23.08</w:t>
            </w:r>
          </w:p>
        </w:tc>
        <w:tc>
          <w:tcPr>
            <w:tcW w:w="1800" w:type="dxa"/>
            <w:shd w:val="clear" w:color="auto" w:fill="auto"/>
            <w:vAlign w:val="center"/>
          </w:tcPr>
          <w:p w14:paraId="7E0A620D">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最大批量：152吨/最小批量34.2吨</w:t>
            </w:r>
          </w:p>
        </w:tc>
        <w:tc>
          <w:tcPr>
            <w:tcW w:w="2693" w:type="dxa"/>
            <w:shd w:val="clear" w:color="auto" w:fill="auto"/>
            <w:vAlign w:val="center"/>
          </w:tcPr>
          <w:p w14:paraId="1A659C48">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1.仲裁取样：执行GB/T 26022；2.生产批取样：执行内部企业标准，按生产批实际槽数不大于6槽，每槽随机抽取1块；槽数大于6槽，随机抽取6槽，每槽随机抽取1块。2.用15mm-25mm的钻头钻取试样，第一块样板钻样位置1选取在距离一角25~30mm处，从位置1到中心距离分成四等分分别为位置2、3、4、5进行样品钻取操作。随后进行第二块样板钻取操作，钻样位置在第一块样板布点的顺时针方向相邻对角线上，布点距离和钻样要求同第一块样板。</w:t>
            </w:r>
          </w:p>
        </w:tc>
      </w:tr>
      <w:tr w14:paraId="1BD2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trPr>
        <w:tc>
          <w:tcPr>
            <w:tcW w:w="717" w:type="dxa"/>
            <w:shd w:val="clear" w:color="auto" w:fill="auto"/>
            <w:vAlign w:val="center"/>
          </w:tcPr>
          <w:p w14:paraId="36622953">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GB-2025-002</w:t>
            </w:r>
          </w:p>
        </w:tc>
        <w:tc>
          <w:tcPr>
            <w:tcW w:w="1187" w:type="dxa"/>
            <w:shd w:val="clear" w:color="auto" w:fill="auto"/>
            <w:vAlign w:val="center"/>
          </w:tcPr>
          <w:p w14:paraId="61A650EF">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衢州华友钴新材料有限公司</w:t>
            </w:r>
          </w:p>
        </w:tc>
        <w:tc>
          <w:tcPr>
            <w:tcW w:w="1800" w:type="dxa"/>
            <w:shd w:val="clear" w:color="auto" w:fill="auto"/>
            <w:vAlign w:val="center"/>
          </w:tcPr>
          <w:p w14:paraId="6756FFC4">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阴极板（电积镍）</w:t>
            </w:r>
          </w:p>
        </w:tc>
        <w:tc>
          <w:tcPr>
            <w:tcW w:w="1227" w:type="dxa"/>
            <w:shd w:val="clear" w:color="auto" w:fill="auto"/>
            <w:vAlign w:val="center"/>
          </w:tcPr>
          <w:p w14:paraId="3AEB75C6">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p>
        </w:tc>
        <w:tc>
          <w:tcPr>
            <w:tcW w:w="1800" w:type="dxa"/>
            <w:shd w:val="clear" w:color="auto" w:fill="auto"/>
            <w:vAlign w:val="center"/>
          </w:tcPr>
          <w:p w14:paraId="712858C3">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default" w:ascii="宋体" w:hAnsi="宋体" w:eastAsia="宋体" w:cs="宋体"/>
                <w:color w:val="auto"/>
                <w:sz w:val="18"/>
                <w:szCs w:val="18"/>
                <w:lang w:val="en-US" w:eastAsia="zh-CN"/>
              </w:rPr>
              <w:t>最大批量：99吨/最小批量33吨</w:t>
            </w:r>
          </w:p>
        </w:tc>
        <w:tc>
          <w:tcPr>
            <w:tcW w:w="2693" w:type="dxa"/>
            <w:shd w:val="clear" w:color="auto" w:fill="auto"/>
            <w:vAlign w:val="center"/>
          </w:tcPr>
          <w:p w14:paraId="23FC8EA8">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default" w:ascii="宋体" w:hAnsi="宋体" w:eastAsia="宋体" w:cs="宋体"/>
                <w:color w:val="auto"/>
                <w:sz w:val="18"/>
                <w:szCs w:val="18"/>
                <w:lang w:val="en-US" w:eastAsia="zh-CN"/>
              </w:rPr>
              <w:t>1.仲裁取样：执行GB/T 26022；2.生产批取样：执行内部企业标准，按生产批实际槽数不大于6槽，每槽随机抽取1块；槽数大于6槽，随机抽取6槽，每槽随机抽取1块。</w:t>
            </w:r>
          </w:p>
        </w:tc>
      </w:tr>
      <w:tr w14:paraId="6970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17" w:type="dxa"/>
            <w:shd w:val="clear" w:color="auto" w:fill="auto"/>
            <w:vAlign w:val="center"/>
          </w:tcPr>
          <w:p w14:paraId="0DF8DA2D">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GB-2025-003</w:t>
            </w:r>
          </w:p>
        </w:tc>
        <w:tc>
          <w:tcPr>
            <w:tcW w:w="1187" w:type="dxa"/>
            <w:shd w:val="clear" w:color="auto" w:fill="auto"/>
            <w:vAlign w:val="center"/>
          </w:tcPr>
          <w:p w14:paraId="10B728D3">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格林美股份有限公司</w:t>
            </w:r>
          </w:p>
          <w:p w14:paraId="17C82F4C">
            <w:pPr>
              <w:keepNext w:val="0"/>
              <w:keepLines w:val="0"/>
              <w:widowControl/>
              <w:suppressLineNumbers w:val="0"/>
              <w:jc w:val="left"/>
              <w:textAlignment w:val="center"/>
              <w:rPr>
                <w:rFonts w:hint="default" w:ascii="宋体" w:hAnsi="宋体" w:eastAsia="宋体" w:cs="宋体"/>
                <w:color w:val="auto"/>
                <w:sz w:val="18"/>
                <w:szCs w:val="18"/>
                <w:lang w:val="en-US" w:eastAsia="zh-CN"/>
              </w:rPr>
            </w:pPr>
          </w:p>
        </w:tc>
        <w:tc>
          <w:tcPr>
            <w:tcW w:w="1800" w:type="dxa"/>
            <w:shd w:val="clear" w:color="auto" w:fill="auto"/>
            <w:vAlign w:val="center"/>
          </w:tcPr>
          <w:p w14:paraId="357A4815">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eastAsia="宋体" w:cs="宋体"/>
                <w:color w:val="auto"/>
                <w:sz w:val="18"/>
                <w:szCs w:val="18"/>
                <w:lang w:val="en-US" w:eastAsia="zh-CN"/>
              </w:rPr>
            </w:pPr>
            <w:r>
              <w:rPr>
                <w:rFonts w:hint="default" w:ascii="宋体" w:hAnsi="宋体" w:eastAsia="宋体" w:cs="宋体"/>
                <w:color w:val="auto"/>
                <w:sz w:val="18"/>
                <w:szCs w:val="18"/>
                <w:lang w:val="en-US" w:eastAsia="zh-CN"/>
              </w:rPr>
              <w:t>1.硫酸镍晶体（占比约为75%），2、阴极板（电积镍）为主（占比约25%）</w:t>
            </w:r>
          </w:p>
        </w:tc>
        <w:tc>
          <w:tcPr>
            <w:tcW w:w="1227" w:type="dxa"/>
            <w:shd w:val="clear" w:color="auto" w:fill="auto"/>
            <w:vAlign w:val="center"/>
          </w:tcPr>
          <w:p w14:paraId="3CDE1B0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6.78</w:t>
            </w:r>
          </w:p>
        </w:tc>
        <w:tc>
          <w:tcPr>
            <w:tcW w:w="1800" w:type="dxa"/>
            <w:shd w:val="clear" w:color="auto" w:fill="auto"/>
            <w:vAlign w:val="center"/>
          </w:tcPr>
          <w:p w14:paraId="4C290C40">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default" w:ascii="宋体" w:hAnsi="宋体" w:eastAsia="宋体" w:cs="宋体"/>
                <w:color w:val="auto"/>
                <w:sz w:val="18"/>
                <w:szCs w:val="18"/>
                <w:lang w:val="en-US" w:eastAsia="zh-CN"/>
              </w:rPr>
              <w:t>最大批量：65吨/最小批量6.6吨</w:t>
            </w:r>
          </w:p>
        </w:tc>
        <w:tc>
          <w:tcPr>
            <w:tcW w:w="2693" w:type="dxa"/>
            <w:shd w:val="clear" w:color="auto" w:fill="auto"/>
            <w:vAlign w:val="center"/>
          </w:tcPr>
          <w:p w14:paraId="64A68536">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default" w:ascii="宋体" w:hAnsi="宋体" w:eastAsia="宋体" w:cs="宋体"/>
                <w:color w:val="auto"/>
                <w:sz w:val="18"/>
                <w:szCs w:val="18"/>
                <w:lang w:val="en-US" w:eastAsia="zh-CN"/>
              </w:rPr>
              <w:t>1.仲裁取样：执行GB/T26022；2生产批取样：执行内部企业标准，每批次取四块，托号为1，3，5，7，每托随机抽取一块，按对角均匀打孔取样</w:t>
            </w:r>
            <w:r>
              <w:rPr>
                <w:rFonts w:hint="eastAsia" w:ascii="宋体" w:hAnsi="宋体" w:cs="宋体"/>
                <w:color w:val="auto"/>
                <w:sz w:val="18"/>
                <w:szCs w:val="18"/>
                <w:lang w:val="en-US" w:eastAsia="zh-CN"/>
              </w:rPr>
              <w:t>。</w:t>
            </w:r>
          </w:p>
        </w:tc>
      </w:tr>
      <w:tr w14:paraId="78DB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717" w:type="dxa"/>
            <w:shd w:val="clear" w:color="auto" w:fill="auto"/>
            <w:vAlign w:val="center"/>
          </w:tcPr>
          <w:p w14:paraId="09DDECD5">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GB-2025-004</w:t>
            </w:r>
          </w:p>
        </w:tc>
        <w:tc>
          <w:tcPr>
            <w:tcW w:w="1187" w:type="dxa"/>
            <w:shd w:val="clear" w:color="auto" w:fill="auto"/>
            <w:vAlign w:val="center"/>
          </w:tcPr>
          <w:p w14:paraId="42704854">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吉林吉恩镍业股份有限公司</w:t>
            </w:r>
          </w:p>
        </w:tc>
        <w:tc>
          <w:tcPr>
            <w:tcW w:w="1800" w:type="dxa"/>
            <w:shd w:val="clear" w:color="auto" w:fill="auto"/>
            <w:vAlign w:val="center"/>
          </w:tcPr>
          <w:p w14:paraId="5CE45D72">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1.阴极板（电解镍）为主（占比约 75%），2.桶装金属切片(占比约 25%)</w:t>
            </w:r>
          </w:p>
        </w:tc>
        <w:tc>
          <w:tcPr>
            <w:tcW w:w="1227" w:type="dxa"/>
            <w:shd w:val="clear" w:color="auto" w:fill="auto"/>
            <w:vAlign w:val="center"/>
          </w:tcPr>
          <w:p w14:paraId="5300176A">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0.80</w:t>
            </w:r>
          </w:p>
        </w:tc>
        <w:tc>
          <w:tcPr>
            <w:tcW w:w="1800" w:type="dxa"/>
            <w:shd w:val="clear" w:color="auto" w:fill="auto"/>
            <w:vAlign w:val="center"/>
          </w:tcPr>
          <w:p w14:paraId="1CAAC89B">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最大批量：34吨/最小批量8吨</w:t>
            </w:r>
          </w:p>
        </w:tc>
        <w:tc>
          <w:tcPr>
            <w:tcW w:w="2693" w:type="dxa"/>
            <w:shd w:val="clear" w:color="auto" w:fill="auto"/>
            <w:vAlign w:val="center"/>
          </w:tcPr>
          <w:p w14:paraId="0D9D4D5D">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1.仲裁取样：执行GB/T 26022；2.生产批取样：执行内部企业标准，每批电解镍中随机取出3块。用直径15mm—25mm的钻头。每块板取5点，五个几何位置规定在整张板的对角线上，位置1在离一角25mm-30mm处，然后从位置1至板中心的距离分为五等份定为位置2~5。</w:t>
            </w:r>
          </w:p>
        </w:tc>
      </w:tr>
      <w:tr w14:paraId="41AE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717" w:type="dxa"/>
            <w:shd w:val="clear" w:color="auto" w:fill="auto"/>
            <w:vAlign w:val="center"/>
          </w:tcPr>
          <w:p w14:paraId="6013D24A">
            <w:pPr>
              <w:keepNext w:val="0"/>
              <w:keepLines w:val="0"/>
              <w:widowControl/>
              <w:suppressLineNumbers w:val="0"/>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GB-2025-005</w:t>
            </w:r>
          </w:p>
        </w:tc>
        <w:tc>
          <w:tcPr>
            <w:tcW w:w="1187" w:type="dxa"/>
            <w:shd w:val="clear" w:color="auto" w:fill="auto"/>
            <w:vAlign w:val="center"/>
          </w:tcPr>
          <w:p w14:paraId="2F9F5597">
            <w:pPr>
              <w:keepNext w:val="0"/>
              <w:keepLines w:val="0"/>
              <w:widowControl/>
              <w:suppressLineNumbers w:val="0"/>
              <w:jc w:val="left"/>
              <w:textAlignment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中伟新材料股份有限公司</w:t>
            </w:r>
          </w:p>
        </w:tc>
        <w:tc>
          <w:tcPr>
            <w:tcW w:w="1800" w:type="dxa"/>
            <w:shd w:val="clear" w:color="auto" w:fill="auto"/>
            <w:vAlign w:val="center"/>
          </w:tcPr>
          <w:p w14:paraId="1F383121">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1.阴极板（电解镍、电积镍）2.桶装金属切片</w:t>
            </w:r>
          </w:p>
        </w:tc>
        <w:tc>
          <w:tcPr>
            <w:tcW w:w="1227" w:type="dxa"/>
            <w:shd w:val="clear" w:color="auto" w:fill="auto"/>
            <w:vAlign w:val="center"/>
          </w:tcPr>
          <w:p w14:paraId="7F3B4E87">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i w:val="0"/>
                <w:iCs w:val="0"/>
                <w:color w:val="000000"/>
                <w:kern w:val="0"/>
                <w:sz w:val="20"/>
                <w:szCs w:val="20"/>
                <w:u w:val="none"/>
                <w:lang w:val="en-US" w:eastAsia="zh-CN" w:bidi="ar"/>
              </w:rPr>
              <w:t>3.28</w:t>
            </w:r>
          </w:p>
        </w:tc>
        <w:tc>
          <w:tcPr>
            <w:tcW w:w="1800" w:type="dxa"/>
            <w:shd w:val="clear" w:color="auto" w:fill="auto"/>
            <w:vAlign w:val="center"/>
          </w:tcPr>
          <w:p w14:paraId="3E77535A">
            <w:pPr>
              <w:keepNext w:val="0"/>
              <w:keepLines w:val="0"/>
              <w:widowControl/>
              <w:suppressLineNumbers w:val="0"/>
              <w:jc w:val="left"/>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最大批量：</w:t>
            </w:r>
            <w:r>
              <w:rPr>
                <w:rFonts w:hint="eastAsia" w:ascii="宋体" w:hAnsi="宋体" w:cs="宋体"/>
                <w:color w:val="auto"/>
                <w:sz w:val="18"/>
                <w:szCs w:val="18"/>
                <w:lang w:val="en-US" w:eastAsia="zh-CN"/>
              </w:rPr>
              <w:t>136</w:t>
            </w:r>
            <w:r>
              <w:rPr>
                <w:rFonts w:hint="eastAsia" w:ascii="宋体" w:hAnsi="宋体" w:eastAsia="宋体" w:cs="宋体"/>
                <w:color w:val="auto"/>
                <w:sz w:val="18"/>
                <w:szCs w:val="18"/>
                <w:lang w:val="en-US" w:eastAsia="zh-CN"/>
              </w:rPr>
              <w:t>吨/最小批量</w:t>
            </w:r>
            <w:r>
              <w:rPr>
                <w:rFonts w:hint="eastAsia" w:ascii="宋体" w:hAnsi="宋体" w:cs="宋体"/>
                <w:color w:val="auto"/>
                <w:sz w:val="18"/>
                <w:szCs w:val="18"/>
                <w:lang w:val="en-US" w:eastAsia="zh-CN"/>
              </w:rPr>
              <w:t>33</w:t>
            </w:r>
            <w:r>
              <w:rPr>
                <w:rFonts w:hint="eastAsia" w:ascii="宋体" w:hAnsi="宋体" w:eastAsia="宋体" w:cs="宋体"/>
                <w:color w:val="auto"/>
                <w:sz w:val="18"/>
                <w:szCs w:val="18"/>
                <w:lang w:val="en-US" w:eastAsia="zh-CN"/>
              </w:rPr>
              <w:t>吨</w:t>
            </w:r>
          </w:p>
        </w:tc>
        <w:tc>
          <w:tcPr>
            <w:tcW w:w="2693" w:type="dxa"/>
            <w:shd w:val="clear" w:color="auto" w:fill="auto"/>
            <w:vAlign w:val="center"/>
          </w:tcPr>
          <w:p w14:paraId="6AD9FE37">
            <w:pPr>
              <w:keepNext w:val="0"/>
              <w:keepLines w:val="0"/>
              <w:widowControl/>
              <w:suppressLineNumbers w:val="0"/>
              <w:jc w:val="left"/>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1.仲裁取样：执行GB/T 26022；2.生产批取样：执行内部企业标准，随机</w:t>
            </w:r>
            <w:r>
              <w:rPr>
                <w:rFonts w:hint="eastAsia" w:ascii="宋体" w:hAnsi="宋体" w:cs="宋体"/>
                <w:color w:val="auto"/>
                <w:sz w:val="18"/>
                <w:szCs w:val="18"/>
                <w:lang w:val="en-US" w:eastAsia="zh-CN"/>
              </w:rPr>
              <w:t>抽</w:t>
            </w:r>
            <w:r>
              <w:rPr>
                <w:rFonts w:hint="eastAsia" w:ascii="宋体" w:hAnsi="宋体" w:eastAsia="宋体" w:cs="宋体"/>
                <w:color w:val="auto"/>
                <w:sz w:val="18"/>
                <w:szCs w:val="18"/>
                <w:lang w:val="en-US" w:eastAsia="zh-CN"/>
              </w:rPr>
              <w:t>取</w:t>
            </w:r>
            <w:r>
              <w:rPr>
                <w:rFonts w:hint="eastAsia" w:ascii="宋体" w:hAnsi="宋体" w:cs="宋体"/>
                <w:color w:val="auto"/>
                <w:sz w:val="18"/>
                <w:szCs w:val="18"/>
                <w:lang w:val="en-US" w:eastAsia="zh-CN"/>
              </w:rPr>
              <w:t>批块数的2%，应不少于2</w:t>
            </w:r>
            <w:r>
              <w:rPr>
                <w:rFonts w:hint="eastAsia" w:ascii="宋体" w:hAnsi="宋体" w:eastAsia="宋体" w:cs="宋体"/>
                <w:color w:val="auto"/>
                <w:sz w:val="18"/>
                <w:szCs w:val="18"/>
                <w:lang w:val="en-US" w:eastAsia="zh-CN"/>
              </w:rPr>
              <w:t>块</w:t>
            </w:r>
            <w:r>
              <w:rPr>
                <w:rFonts w:hint="eastAsia" w:ascii="宋体" w:hAnsi="宋体" w:cs="宋体"/>
                <w:color w:val="auto"/>
                <w:sz w:val="18"/>
                <w:szCs w:val="18"/>
                <w:lang w:val="en-US" w:eastAsia="zh-CN"/>
              </w:rPr>
              <w:t>，进行钻取样，在四边距镍板边缘30mm的矩形中，以棋盘行列均布9点。</w:t>
            </w:r>
          </w:p>
        </w:tc>
      </w:tr>
    </w:tbl>
    <w:p w14:paraId="40F49D74">
      <w:pPr>
        <w:pStyle w:val="25"/>
        <w:ind w:left="0" w:leftChars="0" w:firstLine="0" w:firstLineChars="0"/>
        <w:rPr>
          <w:rFonts w:hint="default"/>
          <w:b/>
          <w:bCs/>
          <w:color w:val="auto"/>
          <w:szCs w:val="21"/>
          <w:lang w:val="en-US" w:eastAsia="zh-CN"/>
        </w:rPr>
      </w:pPr>
      <w:r>
        <w:rPr>
          <w:rFonts w:hint="eastAsia"/>
          <w:b/>
          <w:bCs/>
          <w:color w:val="auto"/>
          <w:szCs w:val="21"/>
          <w:lang w:val="en-US" w:eastAsia="zh-CN"/>
        </w:rPr>
        <w:t>（四）标准的先进性、创新性、标准实施后预期产生的经济效益和社会效益</w:t>
      </w:r>
    </w:p>
    <w:bookmarkEnd w:id="15"/>
    <w:p w14:paraId="61B370D8">
      <w:pPr>
        <w:numPr>
          <w:ilvl w:val="0"/>
          <w:numId w:val="0"/>
        </w:numPr>
        <w:spacing w:line="360" w:lineRule="auto"/>
        <w:ind w:firstLine="420" w:firstLineChars="200"/>
        <w:rPr>
          <w:rFonts w:hint="eastAsia"/>
          <w:color w:val="auto"/>
          <w:szCs w:val="21"/>
          <w:lang w:val="en-US" w:eastAsia="zh-CN"/>
        </w:rPr>
      </w:pPr>
      <w:r>
        <w:rPr>
          <w:rFonts w:hint="eastAsia"/>
          <w:color w:val="auto"/>
          <w:szCs w:val="21"/>
          <w:lang w:val="en-US" w:eastAsia="zh-CN"/>
        </w:rPr>
        <w:t>4.1先进性与创新性：本标准修改采用 ISO 23163:2019 国际先进标准，核心技术与国际接轨，统一取样关键指标，消除国际贸易技术壁垒，提升产品国际认可度；结合国内产品规格、实操习惯完成本土化调整，进一步提升标准适用性与可操作性。</w:t>
      </w:r>
    </w:p>
    <w:p w14:paraId="245EC449">
      <w:pPr>
        <w:numPr>
          <w:ilvl w:val="0"/>
          <w:numId w:val="0"/>
        </w:numPr>
        <w:spacing w:line="360" w:lineRule="auto"/>
        <w:ind w:firstLine="420" w:firstLineChars="200"/>
        <w:rPr>
          <w:rFonts w:hint="eastAsia"/>
          <w:color w:val="auto"/>
          <w:szCs w:val="21"/>
          <w:lang w:val="en-US" w:eastAsia="zh-CN"/>
        </w:rPr>
      </w:pPr>
      <w:r>
        <w:rPr>
          <w:rFonts w:hint="eastAsia"/>
          <w:color w:val="auto"/>
          <w:szCs w:val="21"/>
          <w:lang w:val="en-US" w:eastAsia="zh-CN"/>
        </w:rPr>
        <w:t>4.2经济效益：统一取样方法减少企业重复取样、多标准并行的资源浪费，降低质量控制和贸易沟通成本。生产批取样可实时监控生产质量，及时调整工艺偏差，提高产品合格率、减少废品损失，提升企业生产效率与经济效益。</w:t>
      </w:r>
    </w:p>
    <w:p w14:paraId="7A15073A">
      <w:pPr>
        <w:numPr>
          <w:ilvl w:val="0"/>
          <w:numId w:val="0"/>
        </w:numPr>
        <w:spacing w:line="360" w:lineRule="auto"/>
        <w:ind w:firstLine="420" w:firstLineChars="200"/>
        <w:rPr>
          <w:rFonts w:hint="eastAsia"/>
          <w:color w:val="auto"/>
          <w:szCs w:val="21"/>
          <w:lang w:val="en-US" w:eastAsia="zh-CN"/>
        </w:rPr>
      </w:pPr>
      <w:r>
        <w:rPr>
          <w:rFonts w:hint="eastAsia"/>
          <w:color w:val="auto"/>
          <w:szCs w:val="21"/>
          <w:lang w:val="en-US" w:eastAsia="zh-CN"/>
        </w:rPr>
        <w:t>4.3社会效益：规范行业取样行为，统一取样、制样及质量判定依据，保障成分分析结果准确，减少贸易争议与质量纠纷，维护市场公平。提升我国精炼镍产品质量信誉和行业标准化水平，推动有色金属行业规范发展，为产业质量提升和升级奠定基础。</w:t>
      </w:r>
    </w:p>
    <w:p w14:paraId="59E68D21">
      <w:pPr>
        <w:numPr>
          <w:ilvl w:val="0"/>
          <w:numId w:val="0"/>
        </w:numPr>
        <w:spacing w:line="360" w:lineRule="auto"/>
        <w:ind w:firstLine="420" w:firstLineChars="200"/>
        <w:rPr>
          <w:rFonts w:hint="eastAsia"/>
          <w:color w:val="auto"/>
          <w:szCs w:val="21"/>
          <w:lang w:val="en-US" w:eastAsia="zh-CN"/>
        </w:rPr>
      </w:pPr>
      <w:r>
        <w:rPr>
          <w:rFonts w:hint="eastAsia"/>
          <w:color w:val="auto"/>
          <w:szCs w:val="21"/>
          <w:lang w:val="en-US" w:eastAsia="zh-CN"/>
        </w:rPr>
        <w:t>4.4生态效益：标准实施契合《有色金属工业发展规划》核心要求，以标准化规范生产流程、提升质量管控能力，助力有色金属行业实现高质量发展。</w:t>
      </w:r>
    </w:p>
    <w:p w14:paraId="74C34E65">
      <w:pPr>
        <w:numPr>
          <w:ilvl w:val="0"/>
          <w:numId w:val="0"/>
        </w:numPr>
        <w:spacing w:line="360" w:lineRule="auto"/>
        <w:rPr>
          <w:rFonts w:hint="eastAsia"/>
          <w:b/>
          <w:bCs/>
          <w:color w:val="auto"/>
          <w:szCs w:val="21"/>
          <w:lang w:val="en-US" w:eastAsia="zh-CN"/>
        </w:rPr>
      </w:pPr>
      <w:r>
        <w:rPr>
          <w:rFonts w:hint="eastAsia"/>
          <w:b/>
          <w:bCs/>
          <w:color w:val="auto"/>
          <w:szCs w:val="21"/>
          <w:lang w:val="en-US" w:eastAsia="zh-CN"/>
        </w:rPr>
        <w:t>四、与国际标准和国外先进标准技术内容的对比</w:t>
      </w:r>
    </w:p>
    <w:p w14:paraId="2CF90F65">
      <w:pPr>
        <w:numPr>
          <w:ilvl w:val="0"/>
          <w:numId w:val="0"/>
        </w:numPr>
        <w:spacing w:line="360" w:lineRule="auto"/>
        <w:ind w:firstLine="420" w:firstLineChars="200"/>
        <w:outlineLvl w:val="9"/>
        <w:rPr>
          <w:rFonts w:hint="eastAsia"/>
          <w:color w:val="auto"/>
          <w:szCs w:val="21"/>
          <w:lang w:val="en-US" w:eastAsia="zh-CN"/>
        </w:rPr>
      </w:pPr>
      <w:r>
        <w:rPr>
          <w:rFonts w:hint="eastAsia"/>
          <w:color w:val="auto"/>
          <w:szCs w:val="21"/>
          <w:lang w:val="en-US" w:eastAsia="zh-CN"/>
        </w:rPr>
        <w:t>本标准修改采用ISO 23163:2019《镍及镍合金 精炼镍 取样方法》，与ISO 23163相比在保持国际标准核心技术要求一致性的基础上，结合我国行业实际进行本土化调整，确保标准的先进性和适用性。</w:t>
      </w:r>
    </w:p>
    <w:p w14:paraId="303328B4">
      <w:pPr>
        <w:numPr>
          <w:ilvl w:val="0"/>
          <w:numId w:val="0"/>
        </w:numPr>
        <w:spacing w:line="360" w:lineRule="auto"/>
        <w:ind w:firstLine="420" w:firstLineChars="200"/>
        <w:rPr>
          <w:rFonts w:hint="eastAsia"/>
          <w:szCs w:val="21"/>
          <w:lang w:val="en-US" w:eastAsia="zh-CN"/>
        </w:rPr>
      </w:pPr>
      <w:r>
        <w:rPr>
          <w:rFonts w:hint="eastAsia"/>
          <w:szCs w:val="21"/>
          <w:lang w:val="en-US" w:eastAsia="zh-CN"/>
        </w:rPr>
        <w:t>本标准与 ISO 23163:2019 的差异主要体现在结构调整和技术性适配两方面，未改变国际标准的核心取样原理和技术框架，具体见表4：</w:t>
      </w:r>
    </w:p>
    <w:p w14:paraId="793F2B99">
      <w:pPr>
        <w:pStyle w:val="25"/>
        <w:jc w:val="center"/>
        <w:rPr>
          <w:rFonts w:hint="default"/>
          <w:lang w:val="en-US" w:eastAsia="zh-CN"/>
        </w:rPr>
      </w:pPr>
      <w:r>
        <w:rPr>
          <w:rFonts w:hint="eastAsia"/>
          <w:szCs w:val="21"/>
          <w:lang w:val="en-US" w:eastAsia="zh-CN"/>
        </w:rPr>
        <w:t>表5：标准与 ISO 23163:2019 的差异表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2400"/>
        <w:gridCol w:w="6334"/>
      </w:tblGrid>
      <w:tr w14:paraId="44B5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shd w:val="clear" w:color="auto" w:fill="auto"/>
            <w:vAlign w:val="center"/>
          </w:tcPr>
          <w:p w14:paraId="58EE6675">
            <w:pPr>
              <w:numPr>
                <w:ilvl w:val="0"/>
                <w:numId w:val="0"/>
              </w:numPr>
              <w:spacing w:line="360" w:lineRule="auto"/>
              <w:ind w:left="0" w:leftChars="0" w:firstLine="0" w:firstLineChars="0"/>
              <w:jc w:val="center"/>
              <w:rPr>
                <w:rFonts w:hint="eastAsia" w:ascii="Times New Roman" w:hAnsi="Times New Roman" w:eastAsia="宋体" w:cs="Times New Roman"/>
                <w:b/>
                <w:bCs/>
                <w:kern w:val="2"/>
                <w:sz w:val="21"/>
                <w:szCs w:val="21"/>
                <w:lang w:val="en-US" w:eastAsia="zh-CN" w:bidi="ar-SA"/>
              </w:rPr>
            </w:pPr>
            <w:r>
              <w:rPr>
                <w:rFonts w:hint="eastAsia"/>
                <w:b/>
                <w:bCs/>
                <w:szCs w:val="21"/>
                <w:lang w:val="en-US" w:eastAsia="zh-CN"/>
              </w:rPr>
              <w:t>序号</w:t>
            </w:r>
          </w:p>
        </w:tc>
        <w:tc>
          <w:tcPr>
            <w:tcW w:w="2400" w:type="dxa"/>
            <w:shd w:val="clear" w:color="auto" w:fill="auto"/>
            <w:vAlign w:val="center"/>
          </w:tcPr>
          <w:p w14:paraId="59ADAADA">
            <w:pPr>
              <w:numPr>
                <w:ilvl w:val="0"/>
                <w:numId w:val="0"/>
              </w:numPr>
              <w:spacing w:line="360" w:lineRule="auto"/>
              <w:ind w:left="0" w:leftChars="0" w:firstLine="420" w:firstLineChars="200"/>
              <w:jc w:val="center"/>
              <w:rPr>
                <w:rFonts w:hint="eastAsia" w:ascii="Times New Roman" w:hAnsi="Times New Roman" w:eastAsia="宋体" w:cs="Times New Roman"/>
                <w:b/>
                <w:bCs/>
                <w:kern w:val="2"/>
                <w:sz w:val="21"/>
                <w:szCs w:val="21"/>
                <w:lang w:val="en-US" w:eastAsia="zh-CN" w:bidi="ar-SA"/>
              </w:rPr>
            </w:pPr>
            <w:r>
              <w:rPr>
                <w:rFonts w:hint="eastAsia"/>
                <w:b/>
                <w:bCs/>
                <w:szCs w:val="21"/>
                <w:lang w:val="en-US" w:eastAsia="zh-CN"/>
              </w:rPr>
              <w:t>差异内容</w:t>
            </w:r>
          </w:p>
        </w:tc>
        <w:tc>
          <w:tcPr>
            <w:tcW w:w="6334" w:type="dxa"/>
            <w:shd w:val="clear" w:color="auto" w:fill="auto"/>
            <w:vAlign w:val="center"/>
          </w:tcPr>
          <w:p w14:paraId="55DE0C0D">
            <w:pPr>
              <w:numPr>
                <w:ilvl w:val="0"/>
                <w:numId w:val="0"/>
              </w:numPr>
              <w:spacing w:line="360" w:lineRule="auto"/>
              <w:ind w:left="0" w:leftChars="0" w:firstLine="420" w:firstLineChars="200"/>
              <w:jc w:val="center"/>
              <w:rPr>
                <w:rFonts w:hint="eastAsia" w:ascii="Times New Roman" w:hAnsi="Times New Roman" w:eastAsia="宋体" w:cs="Times New Roman"/>
                <w:b/>
                <w:bCs/>
                <w:kern w:val="2"/>
                <w:sz w:val="21"/>
                <w:szCs w:val="21"/>
                <w:lang w:val="en-US" w:eastAsia="zh-CN" w:bidi="ar-SA"/>
              </w:rPr>
            </w:pPr>
            <w:r>
              <w:rPr>
                <w:rFonts w:hint="eastAsia"/>
                <w:b/>
                <w:bCs/>
                <w:szCs w:val="21"/>
                <w:lang w:val="en-US" w:eastAsia="zh-CN"/>
              </w:rPr>
              <w:t>差异原因</w:t>
            </w:r>
          </w:p>
        </w:tc>
      </w:tr>
      <w:tr w14:paraId="5D03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837" w:type="dxa"/>
            <w:shd w:val="clear" w:color="auto" w:fill="auto"/>
            <w:vAlign w:val="center"/>
          </w:tcPr>
          <w:p w14:paraId="7D472495">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1</w:t>
            </w:r>
          </w:p>
        </w:tc>
        <w:tc>
          <w:tcPr>
            <w:tcW w:w="2400" w:type="dxa"/>
            <w:shd w:val="clear" w:color="auto" w:fill="auto"/>
            <w:vAlign w:val="center"/>
          </w:tcPr>
          <w:p w14:paraId="22B0051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用规范性引用的 GB/T 25951 替换了 ISO 6372</w:t>
            </w:r>
          </w:p>
        </w:tc>
        <w:tc>
          <w:tcPr>
            <w:tcW w:w="6334" w:type="dxa"/>
            <w:shd w:val="clear" w:color="auto" w:fill="auto"/>
            <w:vAlign w:val="center"/>
          </w:tcPr>
          <w:p w14:paraId="0BDFAFB6">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用规范性引用的 GB/T 25951 替换了 ISO 6372，两个文件为等同采用关系，替换后适配我国标准体系使用习惯，便于国内企业查阅执行，提升标准理解与应用的便捷性；</w:t>
            </w:r>
          </w:p>
        </w:tc>
      </w:tr>
      <w:tr w14:paraId="5115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837" w:type="dxa"/>
            <w:shd w:val="clear" w:color="auto" w:fill="auto"/>
            <w:vAlign w:val="center"/>
          </w:tcPr>
          <w:p w14:paraId="01884953">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2</w:t>
            </w:r>
          </w:p>
        </w:tc>
        <w:tc>
          <w:tcPr>
            <w:tcW w:w="2400" w:type="dxa"/>
            <w:shd w:val="clear" w:color="auto" w:fill="auto"/>
            <w:vAlign w:val="center"/>
          </w:tcPr>
          <w:p w14:paraId="566C672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补充制定了精炼镍、阴极板等相关术语和定义</w:t>
            </w:r>
          </w:p>
        </w:tc>
        <w:tc>
          <w:tcPr>
            <w:tcW w:w="6334" w:type="dxa"/>
            <w:shd w:val="clear" w:color="auto" w:fill="auto"/>
            <w:vAlign w:val="center"/>
          </w:tcPr>
          <w:p w14:paraId="57F39F99">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结合我国精炼镍生产与取样工作实际需求，补充制定了精炼镍、阴极板等相关术语和定义，统一国内行业用语和执行口径；</w:t>
            </w:r>
          </w:p>
        </w:tc>
      </w:tr>
      <w:tr w14:paraId="2713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837" w:type="dxa"/>
            <w:shd w:val="clear" w:color="auto" w:fill="auto"/>
            <w:vAlign w:val="center"/>
          </w:tcPr>
          <w:p w14:paraId="4B6B0444">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3</w:t>
            </w:r>
          </w:p>
        </w:tc>
        <w:tc>
          <w:tcPr>
            <w:tcW w:w="2400" w:type="dxa"/>
            <w:shd w:val="clear" w:color="auto" w:fill="auto"/>
            <w:vAlign w:val="center"/>
          </w:tcPr>
          <w:p w14:paraId="169927DB">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更改了阴极板厚度3mm~15mm、重量约30kg~100kg，增加了桶装金属10mm规格</w:t>
            </w:r>
          </w:p>
        </w:tc>
        <w:tc>
          <w:tcPr>
            <w:tcW w:w="6334" w:type="dxa"/>
            <w:shd w:val="clear" w:color="auto" w:fill="auto"/>
            <w:vAlign w:val="center"/>
          </w:tcPr>
          <w:p w14:paraId="4A480CA0">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对提供的产品形式，按国内产品生产现状修改为“厚度在3mm~15mm”“重量约30kg~100kg”，增加了桶装金属 10mm 规格，使标准内容更贴合国内产业实际应用场景；</w:t>
            </w:r>
          </w:p>
        </w:tc>
      </w:tr>
      <w:tr w14:paraId="64C5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837" w:type="dxa"/>
            <w:shd w:val="clear" w:color="auto" w:fill="auto"/>
            <w:vAlign w:val="center"/>
          </w:tcPr>
          <w:p w14:paraId="124A5123">
            <w:pPr>
              <w:keepNext w:val="0"/>
              <w:keepLines w:val="0"/>
              <w:widowControl/>
              <w:suppressLineNumbers w:val="0"/>
              <w:bidi w:val="0"/>
              <w:spacing w:before="0" w:beforeAutospacing="0" w:after="0" w:afterAutospacing="0" w:line="288" w:lineRule="atLeast"/>
              <w:ind w:left="0" w:leftChars="0" w:right="0" w:rightChars="0"/>
              <w:jc w:val="both"/>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4</w:t>
            </w:r>
          </w:p>
        </w:tc>
        <w:tc>
          <w:tcPr>
            <w:tcW w:w="2400" w:type="dxa"/>
            <w:shd w:val="clear" w:color="auto" w:fill="auto"/>
            <w:vAlign w:val="center"/>
          </w:tcPr>
          <w:p w14:paraId="71AD9780">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增加了阴极板取样点分布示意图（见图1）</w:t>
            </w:r>
          </w:p>
        </w:tc>
        <w:tc>
          <w:tcPr>
            <w:tcW w:w="6334" w:type="dxa"/>
            <w:shd w:val="clear" w:color="auto" w:fill="auto"/>
            <w:vAlign w:val="center"/>
          </w:tcPr>
          <w:p w14:paraId="5CF5A771">
            <w:pPr>
              <w:keepNext w:val="0"/>
              <w:keepLines w:val="0"/>
              <w:widowControl/>
              <w:suppressLineNumbers w:val="0"/>
              <w:bidi w:val="0"/>
              <w:spacing w:before="0" w:beforeAutospacing="0" w:after="0" w:afterAutospacing="0" w:line="288" w:lineRule="atLeast"/>
              <w:ind w:left="0" w:leftChars="0" w:right="0" w:rightChars="0"/>
              <w:jc w:val="both"/>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增加取样点分布示意图，规范点位确定方法，减少取样偏差（见7.2.3）。</w:t>
            </w:r>
          </w:p>
        </w:tc>
      </w:tr>
    </w:tbl>
    <w:p w14:paraId="1149649C">
      <w:pPr>
        <w:numPr>
          <w:ilvl w:val="0"/>
          <w:numId w:val="0"/>
        </w:numPr>
        <w:spacing w:line="360" w:lineRule="auto"/>
        <w:outlineLvl w:val="9"/>
        <w:rPr>
          <w:rFonts w:hint="eastAsia" w:eastAsia="黑体"/>
          <w:sz w:val="24"/>
          <w:lang w:val="en-US" w:eastAsia="zh-CN"/>
        </w:rPr>
      </w:pPr>
      <w:r>
        <w:rPr>
          <w:rFonts w:hint="eastAsia" w:eastAsia="黑体"/>
          <w:sz w:val="24"/>
          <w:lang w:val="en-US" w:eastAsia="zh-CN"/>
        </w:rPr>
        <w:t>五、以国际标准为基础的起草情况以及是否合规采用国际国外标准、未采用国际标准的原因</w:t>
      </w:r>
    </w:p>
    <w:p w14:paraId="2E578DED">
      <w:pPr>
        <w:pStyle w:val="25"/>
        <w:numPr>
          <w:ilvl w:val="0"/>
          <w:numId w:val="0"/>
        </w:numPr>
        <w:ind w:firstLine="42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本标准修改采用ISO 23163:2019</w:t>
      </w:r>
    </w:p>
    <w:p w14:paraId="3BB19FB9">
      <w:pPr>
        <w:pStyle w:val="25"/>
        <w:numPr>
          <w:ilvl w:val="0"/>
          <w:numId w:val="0"/>
        </w:numPr>
        <w:rPr>
          <w:rFonts w:hint="eastAsia"/>
          <w:b/>
          <w:bCs/>
          <w:szCs w:val="21"/>
          <w:lang w:val="en-US" w:eastAsia="zh-CN"/>
        </w:rPr>
      </w:pPr>
      <w:r>
        <w:rPr>
          <w:rFonts w:hint="eastAsia"/>
          <w:b/>
          <w:bCs/>
          <w:szCs w:val="21"/>
          <w:lang w:val="en-US" w:eastAsia="zh-CN"/>
        </w:rPr>
        <w:t>六、</w:t>
      </w:r>
      <w:r>
        <w:rPr>
          <w:rFonts w:hint="eastAsia" w:ascii="Times New Roman" w:hAnsi="Times New Roman" w:eastAsia="宋体" w:cs="Times New Roman"/>
          <w:b/>
          <w:bCs/>
          <w:color w:val="auto"/>
          <w:kern w:val="2"/>
          <w:sz w:val="21"/>
          <w:szCs w:val="21"/>
          <w:lang w:val="en-US" w:eastAsia="zh-CN" w:bidi="ar-SA"/>
        </w:rPr>
        <w:t>与有关法律、行政法规及相关标准的关系</w:t>
      </w:r>
    </w:p>
    <w:p w14:paraId="2A773DE2">
      <w:pPr>
        <w:pStyle w:val="25"/>
        <w:numPr>
          <w:ilvl w:val="0"/>
          <w:numId w:val="0"/>
        </w:numPr>
        <w:rPr>
          <w:rFonts w:hint="default" w:ascii="Times New Roman" w:hAnsi="Times New Roman" w:eastAsia="宋体" w:cs="Times New Roman"/>
          <w:kern w:val="2"/>
          <w:sz w:val="21"/>
          <w:szCs w:val="21"/>
          <w:lang w:val="en-US" w:eastAsia="zh-CN" w:bidi="ar-SA"/>
        </w:rPr>
      </w:pPr>
      <w:r>
        <w:rPr>
          <w:rFonts w:hint="eastAsia"/>
          <w:szCs w:val="21"/>
          <w:lang w:val="en-US" w:eastAsia="zh-CN"/>
        </w:rPr>
        <w:t xml:space="preserve">    </w:t>
      </w:r>
      <w:r>
        <w:rPr>
          <w:rFonts w:hint="eastAsia" w:ascii="Times New Roman" w:hAnsi="Times New Roman" w:eastAsia="宋体" w:cs="Times New Roman"/>
          <w:kern w:val="2"/>
          <w:sz w:val="21"/>
          <w:szCs w:val="21"/>
          <w:lang w:val="en-US" w:eastAsia="zh-CN" w:bidi="ar-SA"/>
        </w:rPr>
        <w:t>本标准符合现行法律、法规要求，并与其他同类国家标准、国家</w:t>
      </w:r>
      <w:r>
        <w:rPr>
          <w:rFonts w:hint="eastAsia" w:ascii="Times New Roman" w:hAnsi="Times New Roman" w:cs="Times New Roman"/>
          <w:kern w:val="2"/>
          <w:sz w:val="21"/>
          <w:szCs w:val="21"/>
          <w:lang w:val="en-US" w:eastAsia="zh-CN" w:bidi="ar-SA"/>
        </w:rPr>
        <w:t>军</w:t>
      </w:r>
      <w:r>
        <w:rPr>
          <w:rFonts w:hint="eastAsia" w:ascii="Times New Roman" w:hAnsi="Times New Roman" w:eastAsia="宋体" w:cs="Times New Roman"/>
          <w:kern w:val="2"/>
          <w:sz w:val="21"/>
          <w:szCs w:val="21"/>
          <w:lang w:val="en-US" w:eastAsia="zh-CN" w:bidi="ar-SA"/>
        </w:rPr>
        <w:t>用标准、行业标准无冲突、重叠和不协调之处</w:t>
      </w:r>
    </w:p>
    <w:p w14:paraId="3F54654B">
      <w:pPr>
        <w:numPr>
          <w:ilvl w:val="0"/>
          <w:numId w:val="0"/>
        </w:numPr>
        <w:spacing w:line="360" w:lineRule="auto"/>
        <w:outlineLvl w:val="3"/>
        <w:rPr>
          <w:rFonts w:hint="eastAsia" w:eastAsia="黑体"/>
          <w:sz w:val="24"/>
        </w:rPr>
      </w:pPr>
      <w:r>
        <w:rPr>
          <w:rFonts w:hint="eastAsia" w:eastAsia="黑体"/>
          <w:sz w:val="24"/>
          <w:lang w:val="en-US" w:eastAsia="zh-CN"/>
        </w:rPr>
        <w:t>七、重大分歧意见的处理经过和依据</w:t>
      </w:r>
    </w:p>
    <w:p w14:paraId="0A0CCC95">
      <w:pPr>
        <w:numPr>
          <w:ilvl w:val="0"/>
          <w:numId w:val="0"/>
        </w:numPr>
        <w:spacing w:line="360" w:lineRule="auto"/>
        <w:ind w:firstLine="420" w:firstLineChars="200"/>
        <w:rPr>
          <w:rFonts w:hint="eastAsia"/>
          <w:szCs w:val="21"/>
          <w:lang w:val="en-US" w:eastAsia="zh-CN"/>
        </w:rPr>
      </w:pPr>
      <w:r>
        <w:rPr>
          <w:rFonts w:hint="eastAsia"/>
          <w:szCs w:val="21"/>
          <w:lang w:val="en-US" w:eastAsia="zh-CN"/>
        </w:rPr>
        <w:t>在标准征求意见和审查过程中，未出现重大分歧意见。</w:t>
      </w:r>
    </w:p>
    <w:p w14:paraId="0EC84D6C">
      <w:pPr>
        <w:numPr>
          <w:ilvl w:val="0"/>
          <w:numId w:val="0"/>
        </w:numPr>
        <w:spacing w:line="360" w:lineRule="auto"/>
        <w:outlineLvl w:val="3"/>
        <w:rPr>
          <w:rFonts w:hint="eastAsia" w:eastAsia="黑体"/>
          <w:sz w:val="24"/>
          <w:lang w:val="en-US" w:eastAsia="zh-CN"/>
        </w:rPr>
      </w:pPr>
      <w:r>
        <w:rPr>
          <w:rFonts w:hint="eastAsia" w:eastAsia="黑体"/>
          <w:sz w:val="24"/>
          <w:lang w:val="en-US" w:eastAsia="zh-CN"/>
        </w:rPr>
        <w:t>八、涉及专利的有关说明</w:t>
      </w:r>
    </w:p>
    <w:p w14:paraId="54510572">
      <w:pPr>
        <w:numPr>
          <w:ilvl w:val="0"/>
          <w:numId w:val="0"/>
        </w:numPr>
        <w:spacing w:line="360" w:lineRule="auto"/>
        <w:ind w:firstLine="420" w:firstLineChars="200"/>
        <w:outlineLvl w:val="9"/>
        <w:rPr>
          <w:rFonts w:hint="eastAsia" w:eastAsia="黑体"/>
          <w:sz w:val="24"/>
          <w:lang w:val="en-US" w:eastAsia="zh-CN"/>
        </w:rPr>
      </w:pPr>
      <w:r>
        <w:rPr>
          <w:rFonts w:hint="eastAsia"/>
          <w:szCs w:val="21"/>
          <w:lang w:val="en-US" w:eastAsia="zh-CN"/>
        </w:rPr>
        <w:t>本标准不涉及专利问题。</w:t>
      </w:r>
    </w:p>
    <w:p w14:paraId="7DC13574">
      <w:pPr>
        <w:keepNext w:val="0"/>
        <w:keepLines w:val="0"/>
        <w:pageBreakBefore w:val="0"/>
        <w:numPr>
          <w:ilvl w:val="0"/>
          <w:numId w:val="1"/>
        </w:numPr>
        <w:kinsoku/>
        <w:wordWrap/>
        <w:overflowPunct/>
        <w:topLinePunct w:val="0"/>
        <w:bidi w:val="0"/>
        <w:adjustRightInd/>
        <w:snapToGrid/>
        <w:spacing w:line="360" w:lineRule="auto"/>
        <w:ind w:firstLine="480" w:firstLineChars="200"/>
        <w:textAlignment w:val="auto"/>
        <w:outlineLvl w:val="3"/>
        <w:rPr>
          <w:rFonts w:hint="eastAsia" w:eastAsia="黑体"/>
          <w:sz w:val="24"/>
          <w:lang w:val="en-US" w:eastAsia="zh-CN"/>
        </w:rPr>
      </w:pPr>
      <w:r>
        <w:rPr>
          <w:rFonts w:hint="eastAsia" w:eastAsia="黑体"/>
          <w:sz w:val="24"/>
          <w:lang w:val="en-US" w:eastAsia="zh-CN"/>
        </w:rPr>
        <w:t>实施国家标准的要求以及组织措施、技术措施、过渡期和实施日期的建议等措施建议</w:t>
      </w:r>
    </w:p>
    <w:p w14:paraId="6F78DCAB">
      <w:pPr>
        <w:keepNext w:val="0"/>
        <w:keepLines w:val="0"/>
        <w:pageBreakBefore w:val="0"/>
        <w:numPr>
          <w:ilvl w:val="0"/>
          <w:numId w:val="0"/>
        </w:numPr>
        <w:kinsoku/>
        <w:wordWrap/>
        <w:overflowPunct/>
        <w:topLinePunct w:val="0"/>
        <w:bidi w:val="0"/>
        <w:adjustRightInd/>
        <w:snapToGrid/>
        <w:spacing w:line="360" w:lineRule="auto"/>
        <w:ind w:firstLine="420" w:firstLineChars="200"/>
        <w:textAlignment w:val="auto"/>
        <w:outlineLvl w:val="3"/>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本标准建议作为推荐性国家标准发布。</w:t>
      </w:r>
    </w:p>
    <w:p w14:paraId="6B605C56">
      <w:pPr>
        <w:keepNext w:val="0"/>
        <w:keepLines w:val="0"/>
        <w:pageBreakBefore w:val="0"/>
        <w:numPr>
          <w:ilvl w:val="0"/>
          <w:numId w:val="0"/>
        </w:numPr>
        <w:kinsoku/>
        <w:wordWrap/>
        <w:overflowPunct/>
        <w:topLinePunct w:val="0"/>
        <w:bidi w:val="0"/>
        <w:adjustRightInd/>
        <w:snapToGrid/>
        <w:spacing w:line="360" w:lineRule="auto"/>
        <w:ind w:firstLine="420" w:firstLineChars="200"/>
        <w:textAlignment w:val="auto"/>
        <w:outlineLvl w:val="3"/>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建议发布后即实施。</w:t>
      </w:r>
    </w:p>
    <w:p w14:paraId="14F82835">
      <w:pPr>
        <w:pStyle w:val="25"/>
        <w:keepNext w:val="0"/>
        <w:keepLines w:val="0"/>
        <w:pageBreakBefore w:val="0"/>
        <w:widowControl/>
        <w:numPr>
          <w:ilvl w:val="0"/>
          <w:numId w:val="0"/>
        </w:numPr>
        <w:kinsoku/>
        <w:wordWrap/>
        <w:overflowPunct/>
        <w:topLinePunct w:val="0"/>
        <w:autoSpaceDE w:val="0"/>
        <w:autoSpaceDN w:val="0"/>
        <w:bidi w:val="0"/>
        <w:adjustRightInd/>
        <w:snapToGrid/>
        <w:ind w:firstLine="420" w:firstLineChars="200"/>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 xml:space="preserve">本标准发布实施之日起GB/T26022-2010《精炼镍取样方法》废止。   </w:t>
      </w:r>
    </w:p>
    <w:p w14:paraId="7BAAF497">
      <w:pPr>
        <w:numPr>
          <w:ilvl w:val="0"/>
          <w:numId w:val="0"/>
        </w:numPr>
        <w:spacing w:line="360" w:lineRule="auto"/>
        <w:outlineLvl w:val="3"/>
        <w:rPr>
          <w:rFonts w:hint="eastAsia" w:eastAsia="黑体"/>
          <w:sz w:val="24"/>
        </w:rPr>
      </w:pPr>
      <w:r>
        <w:rPr>
          <w:rFonts w:hint="eastAsia" w:eastAsia="黑体"/>
          <w:sz w:val="24"/>
          <w:lang w:val="en-US" w:eastAsia="zh-CN"/>
        </w:rPr>
        <w:t>十、</w:t>
      </w:r>
      <w:r>
        <w:rPr>
          <w:rFonts w:hint="eastAsia" w:eastAsia="黑体"/>
          <w:sz w:val="24"/>
        </w:rPr>
        <w:t>公平竞争审查条例</w:t>
      </w:r>
    </w:p>
    <w:p w14:paraId="4E44019E">
      <w:pPr>
        <w:tabs>
          <w:tab w:val="left" w:pos="720"/>
        </w:tabs>
        <w:spacing w:line="360" w:lineRule="auto"/>
        <w:ind w:left="0" w:leftChars="0" w:firstLine="420" w:firstLineChars="200"/>
        <w:rPr>
          <w:rFonts w:hint="eastAsia" w:hAnsiTheme="minorEastAsia" w:eastAsiaTheme="minorEastAsia"/>
          <w:szCs w:val="21"/>
          <w:lang w:val="en-US" w:eastAsia="zh-CN"/>
        </w:rPr>
      </w:pPr>
      <w:bookmarkStart w:id="16" w:name="_Toc15170"/>
      <w:r>
        <w:rPr>
          <w:rFonts w:hint="eastAsia" w:hAnsiTheme="minorEastAsia" w:eastAsiaTheme="minorEastAsia"/>
          <w:szCs w:val="21"/>
          <w:lang w:val="en-US" w:eastAsia="zh-CN"/>
        </w:rPr>
        <w:t>依照《公平竞争审查条例》规定开展公平竞争审查，本标准不存在“限制或者变相限制市场准入和退出”、“限制或者变相限制商品要素自由流动”、“影响经营者生产经营成本”、“影响经营者生产经营行为”等情况，也不适用《公平竞争审查条例》第十二条的规定。</w:t>
      </w:r>
      <w:bookmarkEnd w:id="16"/>
    </w:p>
    <w:p w14:paraId="26878794">
      <w:pPr>
        <w:tabs>
          <w:tab w:val="left" w:pos="720"/>
        </w:tabs>
        <w:spacing w:line="360" w:lineRule="auto"/>
        <w:ind w:left="0" w:leftChars="0" w:firstLine="420" w:firstLineChars="200"/>
        <w:rPr>
          <w:rFonts w:hint="eastAsia" w:hAnsiTheme="minorEastAsia" w:eastAsiaTheme="minorEastAsia"/>
          <w:szCs w:val="21"/>
          <w:lang w:val="en-US" w:eastAsia="zh-CN"/>
        </w:rPr>
      </w:pPr>
      <w:bookmarkStart w:id="17" w:name="_Toc6311"/>
      <w:r>
        <w:rPr>
          <w:rFonts w:hint="eastAsia" w:hAnsiTheme="minorEastAsia" w:eastAsiaTheme="minorEastAsia"/>
          <w:szCs w:val="21"/>
          <w:lang w:val="en-US" w:eastAsia="zh-CN"/>
        </w:rPr>
        <w:t>本标准审查结论为“不影响”。</w:t>
      </w:r>
      <w:bookmarkEnd w:id="17"/>
    </w:p>
    <w:p w14:paraId="23AFC665">
      <w:pPr>
        <w:numPr>
          <w:ilvl w:val="0"/>
          <w:numId w:val="0"/>
        </w:numPr>
        <w:spacing w:line="360" w:lineRule="auto"/>
        <w:outlineLvl w:val="3"/>
        <w:rPr>
          <w:rFonts w:hint="eastAsia" w:eastAsia="黑体"/>
          <w:sz w:val="24"/>
        </w:rPr>
      </w:pPr>
      <w:r>
        <w:rPr>
          <w:rFonts w:hint="eastAsia" w:eastAsia="黑体"/>
          <w:sz w:val="24"/>
          <w:lang w:val="en-US" w:eastAsia="zh-CN"/>
        </w:rPr>
        <w:t>十一、</w:t>
      </w:r>
      <w:r>
        <w:rPr>
          <w:rFonts w:hint="eastAsia" w:eastAsia="黑体"/>
          <w:sz w:val="24"/>
        </w:rPr>
        <w:t>其他应予说明的事项</w:t>
      </w:r>
    </w:p>
    <w:p w14:paraId="1075DBFE">
      <w:pPr>
        <w:tabs>
          <w:tab w:val="left" w:pos="720"/>
        </w:tabs>
        <w:spacing w:line="360" w:lineRule="auto"/>
        <w:ind w:left="0" w:leftChars="0" w:firstLine="420" w:firstLineChars="200"/>
        <w:rPr>
          <w:rFonts w:hint="eastAsia" w:hAnsiTheme="minorEastAsia" w:eastAsiaTheme="minorEastAsia"/>
          <w:szCs w:val="21"/>
          <w:lang w:val="en-US" w:eastAsia="zh-CN"/>
        </w:rPr>
      </w:pPr>
      <w:r>
        <w:rPr>
          <w:rFonts w:hint="eastAsia" w:hAnsiTheme="minorEastAsia" w:eastAsiaTheme="minorEastAsia"/>
          <w:szCs w:val="21"/>
          <w:lang w:val="en-US" w:eastAsia="zh-CN"/>
        </w:rPr>
        <w:t>本文件不存在侵犯相关国际、国外、国内机构版权的情况。</w:t>
      </w:r>
    </w:p>
    <w:p w14:paraId="3609538A"/>
    <w:p w14:paraId="2239E9E3">
      <w:pPr>
        <w:numPr>
          <w:ilvl w:val="0"/>
          <w:numId w:val="0"/>
        </w:numPr>
        <w:spacing w:line="360" w:lineRule="auto"/>
        <w:outlineLvl w:val="3"/>
        <w:rPr>
          <w:rFonts w:hint="eastAsia" w:eastAsia="黑体"/>
          <w:sz w:val="24"/>
          <w:lang w:val="en-US" w:eastAsia="zh-CN"/>
        </w:rPr>
      </w:pPr>
    </w:p>
    <w:p w14:paraId="13F70024">
      <w:pPr>
        <w:numPr>
          <w:ilvl w:val="0"/>
          <w:numId w:val="0"/>
        </w:numPr>
        <w:spacing w:line="360" w:lineRule="auto"/>
        <w:outlineLvl w:val="3"/>
        <w:rPr>
          <w:rFonts w:hint="eastAsia" w:eastAsia="黑体"/>
          <w:sz w:val="24"/>
          <w:lang w:val="en-US" w:eastAsia="zh-CN"/>
        </w:rPr>
      </w:pPr>
    </w:p>
    <w:bookmarkEnd w:id="14"/>
    <w:p w14:paraId="763EF0B3">
      <w:pPr>
        <w:numPr>
          <w:ilvl w:val="0"/>
          <w:numId w:val="0"/>
        </w:numPr>
        <w:spacing w:line="360" w:lineRule="auto"/>
        <w:ind w:firstLine="560" w:firstLineChars="200"/>
        <w:rPr>
          <w:sz w:val="28"/>
          <w:szCs w:val="28"/>
        </w:rPr>
      </w:pPr>
    </w:p>
    <w:p w14:paraId="1428F8F9">
      <w:pPr>
        <w:numPr>
          <w:ilvl w:val="0"/>
          <w:numId w:val="0"/>
        </w:numPr>
        <w:spacing w:line="360" w:lineRule="auto"/>
        <w:ind w:firstLine="5880" w:firstLineChars="2800"/>
        <w:rPr>
          <w:rFonts w:hint="eastAsia"/>
          <w:szCs w:val="21"/>
          <w:lang w:val="en-US" w:eastAsia="zh-CN"/>
        </w:rPr>
      </w:pPr>
      <w:r>
        <w:rPr>
          <w:rFonts w:hint="eastAsia"/>
          <w:szCs w:val="21"/>
          <w:lang w:val="en-US" w:eastAsia="zh-CN"/>
        </w:rPr>
        <w:t>《精炼镍取样方法》标准编制组</w:t>
      </w:r>
    </w:p>
    <w:p w14:paraId="438EC643">
      <w:pPr>
        <w:numPr>
          <w:ilvl w:val="0"/>
          <w:numId w:val="0"/>
        </w:numPr>
        <w:spacing w:line="360" w:lineRule="auto"/>
        <w:ind w:firstLine="7140" w:firstLineChars="3400"/>
        <w:rPr>
          <w:rFonts w:hint="default"/>
          <w:szCs w:val="21"/>
          <w:lang w:val="en-US" w:eastAsia="zh-CN"/>
        </w:rPr>
      </w:pPr>
      <w:r>
        <w:rPr>
          <w:rFonts w:hint="eastAsia"/>
          <w:szCs w:val="21"/>
          <w:lang w:val="en-US" w:eastAsia="zh-CN"/>
        </w:rPr>
        <w:t>2026年6月6日</w:t>
      </w:r>
    </w:p>
    <w:sectPr>
      <w:footerReference r:id="rId6" w:type="first"/>
      <w:footerReference r:id="rId5" w:type="default"/>
      <w:pgSz w:w="11907" w:h="16840"/>
      <w:pgMar w:top="1418" w:right="1134" w:bottom="1134" w:left="1418" w:header="851" w:footer="567" w:gutter="0"/>
      <w:pgNumType w:fmt="decimal" w:start="0"/>
      <w:cols w:space="720" w:num="1"/>
      <w:docGrid w:type="linesAndChars" w:linePitch="324"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李朋" w:date="2026-03-24T10:21:00Z" w:initials="">
    <w:p w14:paraId="2E814997">
      <w:pPr>
        <w:pStyle w:val="6"/>
        <w:rPr>
          <w:rFonts w:hint="default" w:eastAsia="宋体"/>
          <w:lang w:val="en-US" w:eastAsia="zh-CN"/>
        </w:rPr>
      </w:pPr>
      <w:r>
        <w:rPr>
          <w:rFonts w:hint="eastAsia"/>
          <w:lang w:val="en-US" w:eastAsia="zh-CN"/>
        </w:rPr>
        <w:t>是否为制定？还是引用？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E81499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18BB7">
    <w:pPr>
      <w:pStyle w:val="1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FD10C7D">
                <w:pPr>
                  <w:pStyle w:val="14"/>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05626"/>
    </w:sdtPr>
    <w:sdtContent>
      <w:p w14:paraId="0E96CB11">
        <w:pPr>
          <w:pStyle w:val="14"/>
          <w:jc w:val="center"/>
        </w:pPr>
        <w:r>
          <w:fldChar w:fldCharType="begin"/>
        </w:r>
        <w:r>
          <w:instrText xml:space="preserve">PAGE   \* MERGEFORMAT</w:instrText>
        </w:r>
        <w:r>
          <w:fldChar w:fldCharType="separate"/>
        </w:r>
        <w:r>
          <w:rPr>
            <w:lang w:val="zh-CN"/>
          </w:rPr>
          <w:t>2</w:t>
        </w:r>
        <w:r>
          <w:rPr>
            <w:lang w:val="zh-CN"/>
          </w:rPr>
          <w:fldChar w:fldCharType="end"/>
        </w:r>
      </w:p>
    </w:sdtContent>
  </w:sdt>
  <w:p w14:paraId="634DEE67">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B8ECE"/>
    <w:multiLevelType w:val="singleLevel"/>
    <w:tmpl w:val="DF3B8ECE"/>
    <w:lvl w:ilvl="0" w:tentative="0">
      <w:start w:val="9"/>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朋">
    <w15:presenceInfo w15:providerId="WPS Office" w15:userId="4220707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62"/>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76AE4"/>
    <w:rsid w:val="000006CE"/>
    <w:rsid w:val="00003ADD"/>
    <w:rsid w:val="000041CF"/>
    <w:rsid w:val="00004420"/>
    <w:rsid w:val="0000548B"/>
    <w:rsid w:val="0001098F"/>
    <w:rsid w:val="000135F1"/>
    <w:rsid w:val="00015788"/>
    <w:rsid w:val="000174F0"/>
    <w:rsid w:val="00021470"/>
    <w:rsid w:val="000229EB"/>
    <w:rsid w:val="000236E8"/>
    <w:rsid w:val="00024B93"/>
    <w:rsid w:val="00025563"/>
    <w:rsid w:val="00025ADA"/>
    <w:rsid w:val="00026387"/>
    <w:rsid w:val="0002673C"/>
    <w:rsid w:val="000269C1"/>
    <w:rsid w:val="00026F1A"/>
    <w:rsid w:val="00030158"/>
    <w:rsid w:val="000329AB"/>
    <w:rsid w:val="00032F22"/>
    <w:rsid w:val="00034C1F"/>
    <w:rsid w:val="000358FB"/>
    <w:rsid w:val="00040DD9"/>
    <w:rsid w:val="00041139"/>
    <w:rsid w:val="0004153F"/>
    <w:rsid w:val="00042A51"/>
    <w:rsid w:val="00043091"/>
    <w:rsid w:val="000465A0"/>
    <w:rsid w:val="00046A52"/>
    <w:rsid w:val="0005734B"/>
    <w:rsid w:val="0006149D"/>
    <w:rsid w:val="000616C8"/>
    <w:rsid w:val="00061EBB"/>
    <w:rsid w:val="000621C9"/>
    <w:rsid w:val="00062DBB"/>
    <w:rsid w:val="000641EC"/>
    <w:rsid w:val="00064392"/>
    <w:rsid w:val="00064A3D"/>
    <w:rsid w:val="00065B12"/>
    <w:rsid w:val="00067246"/>
    <w:rsid w:val="00070530"/>
    <w:rsid w:val="00072074"/>
    <w:rsid w:val="000742AD"/>
    <w:rsid w:val="00075BF6"/>
    <w:rsid w:val="00076C7D"/>
    <w:rsid w:val="00077178"/>
    <w:rsid w:val="00077464"/>
    <w:rsid w:val="00077E15"/>
    <w:rsid w:val="00082A04"/>
    <w:rsid w:val="000838EB"/>
    <w:rsid w:val="000841F3"/>
    <w:rsid w:val="00090204"/>
    <w:rsid w:val="00093281"/>
    <w:rsid w:val="00093324"/>
    <w:rsid w:val="00093910"/>
    <w:rsid w:val="00094F04"/>
    <w:rsid w:val="000963EB"/>
    <w:rsid w:val="000A230E"/>
    <w:rsid w:val="000A4B10"/>
    <w:rsid w:val="000A4EEA"/>
    <w:rsid w:val="000B08FB"/>
    <w:rsid w:val="000B1FF7"/>
    <w:rsid w:val="000B5248"/>
    <w:rsid w:val="000B70BA"/>
    <w:rsid w:val="000B7340"/>
    <w:rsid w:val="000C0194"/>
    <w:rsid w:val="000C13A0"/>
    <w:rsid w:val="000C1C3C"/>
    <w:rsid w:val="000C1E0F"/>
    <w:rsid w:val="000D0EDF"/>
    <w:rsid w:val="000D17B3"/>
    <w:rsid w:val="000D34F8"/>
    <w:rsid w:val="000D47AA"/>
    <w:rsid w:val="000E7A7F"/>
    <w:rsid w:val="000F00F4"/>
    <w:rsid w:val="000F0A86"/>
    <w:rsid w:val="000F2B19"/>
    <w:rsid w:val="000F307F"/>
    <w:rsid w:val="000F4344"/>
    <w:rsid w:val="000F599D"/>
    <w:rsid w:val="000F62D3"/>
    <w:rsid w:val="000F7838"/>
    <w:rsid w:val="00100192"/>
    <w:rsid w:val="001004BF"/>
    <w:rsid w:val="00101CCB"/>
    <w:rsid w:val="00106771"/>
    <w:rsid w:val="00106A87"/>
    <w:rsid w:val="00107176"/>
    <w:rsid w:val="001130BB"/>
    <w:rsid w:val="00114D04"/>
    <w:rsid w:val="00121A12"/>
    <w:rsid w:val="001221AD"/>
    <w:rsid w:val="001228F8"/>
    <w:rsid w:val="00123D55"/>
    <w:rsid w:val="00124060"/>
    <w:rsid w:val="00125671"/>
    <w:rsid w:val="00130E3B"/>
    <w:rsid w:val="00131776"/>
    <w:rsid w:val="001320AE"/>
    <w:rsid w:val="0013390B"/>
    <w:rsid w:val="00133F8B"/>
    <w:rsid w:val="001341B8"/>
    <w:rsid w:val="00134BA7"/>
    <w:rsid w:val="0014189A"/>
    <w:rsid w:val="00141C02"/>
    <w:rsid w:val="00144AC9"/>
    <w:rsid w:val="001453F8"/>
    <w:rsid w:val="00154ED7"/>
    <w:rsid w:val="00157883"/>
    <w:rsid w:val="0016057C"/>
    <w:rsid w:val="001620AF"/>
    <w:rsid w:val="00163DAF"/>
    <w:rsid w:val="001646C9"/>
    <w:rsid w:val="00164C14"/>
    <w:rsid w:val="00170C56"/>
    <w:rsid w:val="00172FAE"/>
    <w:rsid w:val="00175CEB"/>
    <w:rsid w:val="00176CD4"/>
    <w:rsid w:val="00177E67"/>
    <w:rsid w:val="00181666"/>
    <w:rsid w:val="00187248"/>
    <w:rsid w:val="0019109D"/>
    <w:rsid w:val="00191CC2"/>
    <w:rsid w:val="0019227A"/>
    <w:rsid w:val="00193730"/>
    <w:rsid w:val="00194B67"/>
    <w:rsid w:val="00195343"/>
    <w:rsid w:val="0019574E"/>
    <w:rsid w:val="00196508"/>
    <w:rsid w:val="00196D02"/>
    <w:rsid w:val="001972DA"/>
    <w:rsid w:val="00197B0A"/>
    <w:rsid w:val="001A2622"/>
    <w:rsid w:val="001A2A7A"/>
    <w:rsid w:val="001A305E"/>
    <w:rsid w:val="001A4A1D"/>
    <w:rsid w:val="001A4A93"/>
    <w:rsid w:val="001A61EC"/>
    <w:rsid w:val="001A65CB"/>
    <w:rsid w:val="001B10ED"/>
    <w:rsid w:val="001B4509"/>
    <w:rsid w:val="001B4C79"/>
    <w:rsid w:val="001B587E"/>
    <w:rsid w:val="001B5913"/>
    <w:rsid w:val="001C4960"/>
    <w:rsid w:val="001D0368"/>
    <w:rsid w:val="001D3A7C"/>
    <w:rsid w:val="001D5F84"/>
    <w:rsid w:val="001D639E"/>
    <w:rsid w:val="001D6923"/>
    <w:rsid w:val="001E2250"/>
    <w:rsid w:val="001E2777"/>
    <w:rsid w:val="001E2D7D"/>
    <w:rsid w:val="001E4F77"/>
    <w:rsid w:val="001E735D"/>
    <w:rsid w:val="001F06E3"/>
    <w:rsid w:val="001F1FD6"/>
    <w:rsid w:val="001F3D30"/>
    <w:rsid w:val="001F55EE"/>
    <w:rsid w:val="002001DA"/>
    <w:rsid w:val="00203B39"/>
    <w:rsid w:val="002106C0"/>
    <w:rsid w:val="00210BE4"/>
    <w:rsid w:val="002117C5"/>
    <w:rsid w:val="00212DC5"/>
    <w:rsid w:val="0021487A"/>
    <w:rsid w:val="00215658"/>
    <w:rsid w:val="00216300"/>
    <w:rsid w:val="00216B60"/>
    <w:rsid w:val="002223CC"/>
    <w:rsid w:val="00222B4B"/>
    <w:rsid w:val="00225BEB"/>
    <w:rsid w:val="0023077C"/>
    <w:rsid w:val="002308A4"/>
    <w:rsid w:val="00231032"/>
    <w:rsid w:val="002311BB"/>
    <w:rsid w:val="00231237"/>
    <w:rsid w:val="00231319"/>
    <w:rsid w:val="00234515"/>
    <w:rsid w:val="002361BD"/>
    <w:rsid w:val="00240A91"/>
    <w:rsid w:val="00243021"/>
    <w:rsid w:val="00244120"/>
    <w:rsid w:val="002457D3"/>
    <w:rsid w:val="002473EB"/>
    <w:rsid w:val="002513D5"/>
    <w:rsid w:val="00255561"/>
    <w:rsid w:val="0025739D"/>
    <w:rsid w:val="00261A9C"/>
    <w:rsid w:val="002623DB"/>
    <w:rsid w:val="00266BDB"/>
    <w:rsid w:val="00267491"/>
    <w:rsid w:val="00267F49"/>
    <w:rsid w:val="0027014B"/>
    <w:rsid w:val="00272513"/>
    <w:rsid w:val="00275738"/>
    <w:rsid w:val="00277C57"/>
    <w:rsid w:val="00280527"/>
    <w:rsid w:val="002817E9"/>
    <w:rsid w:val="00281BC4"/>
    <w:rsid w:val="0028214D"/>
    <w:rsid w:val="00283397"/>
    <w:rsid w:val="00283E96"/>
    <w:rsid w:val="0028416C"/>
    <w:rsid w:val="00287ADF"/>
    <w:rsid w:val="0029105F"/>
    <w:rsid w:val="00295F7B"/>
    <w:rsid w:val="00297A9F"/>
    <w:rsid w:val="00297FF9"/>
    <w:rsid w:val="002A1721"/>
    <w:rsid w:val="002A22A9"/>
    <w:rsid w:val="002A286B"/>
    <w:rsid w:val="002A3038"/>
    <w:rsid w:val="002A3D37"/>
    <w:rsid w:val="002A43E0"/>
    <w:rsid w:val="002A5137"/>
    <w:rsid w:val="002A5EB8"/>
    <w:rsid w:val="002A6F78"/>
    <w:rsid w:val="002B1437"/>
    <w:rsid w:val="002B32DC"/>
    <w:rsid w:val="002B372E"/>
    <w:rsid w:val="002B3E66"/>
    <w:rsid w:val="002C213D"/>
    <w:rsid w:val="002C21ED"/>
    <w:rsid w:val="002C3D1D"/>
    <w:rsid w:val="002C516F"/>
    <w:rsid w:val="002C647D"/>
    <w:rsid w:val="002C6504"/>
    <w:rsid w:val="002C6FE4"/>
    <w:rsid w:val="002C7A58"/>
    <w:rsid w:val="002D0B5B"/>
    <w:rsid w:val="002D0EFD"/>
    <w:rsid w:val="002D227B"/>
    <w:rsid w:val="002D343A"/>
    <w:rsid w:val="002D7DC9"/>
    <w:rsid w:val="002E2ABE"/>
    <w:rsid w:val="002E2D92"/>
    <w:rsid w:val="002E34A3"/>
    <w:rsid w:val="002F0142"/>
    <w:rsid w:val="002F092F"/>
    <w:rsid w:val="002F39A9"/>
    <w:rsid w:val="002F3C73"/>
    <w:rsid w:val="002F4A8A"/>
    <w:rsid w:val="002F4C4A"/>
    <w:rsid w:val="002F52E0"/>
    <w:rsid w:val="002F6968"/>
    <w:rsid w:val="00301407"/>
    <w:rsid w:val="003040B0"/>
    <w:rsid w:val="00312098"/>
    <w:rsid w:val="00313015"/>
    <w:rsid w:val="0031306D"/>
    <w:rsid w:val="00315184"/>
    <w:rsid w:val="0031527A"/>
    <w:rsid w:val="00315709"/>
    <w:rsid w:val="003176E6"/>
    <w:rsid w:val="003205FD"/>
    <w:rsid w:val="00320E58"/>
    <w:rsid w:val="00320E86"/>
    <w:rsid w:val="0032151F"/>
    <w:rsid w:val="003240BF"/>
    <w:rsid w:val="00324312"/>
    <w:rsid w:val="00324325"/>
    <w:rsid w:val="003253C9"/>
    <w:rsid w:val="00326701"/>
    <w:rsid w:val="003275CE"/>
    <w:rsid w:val="00327F40"/>
    <w:rsid w:val="00333625"/>
    <w:rsid w:val="00333676"/>
    <w:rsid w:val="00342CB6"/>
    <w:rsid w:val="003449A6"/>
    <w:rsid w:val="0034617C"/>
    <w:rsid w:val="00346FA8"/>
    <w:rsid w:val="00347F75"/>
    <w:rsid w:val="0035174A"/>
    <w:rsid w:val="00352B53"/>
    <w:rsid w:val="00354118"/>
    <w:rsid w:val="003542D0"/>
    <w:rsid w:val="00354DB0"/>
    <w:rsid w:val="00354DB2"/>
    <w:rsid w:val="00357405"/>
    <w:rsid w:val="003644F1"/>
    <w:rsid w:val="00364D1B"/>
    <w:rsid w:val="00365A11"/>
    <w:rsid w:val="003722DE"/>
    <w:rsid w:val="00372B2D"/>
    <w:rsid w:val="00372D0B"/>
    <w:rsid w:val="00372E66"/>
    <w:rsid w:val="003816A1"/>
    <w:rsid w:val="003820E9"/>
    <w:rsid w:val="0038211F"/>
    <w:rsid w:val="00383A45"/>
    <w:rsid w:val="00383DD1"/>
    <w:rsid w:val="0038662A"/>
    <w:rsid w:val="003871C5"/>
    <w:rsid w:val="00387DE5"/>
    <w:rsid w:val="00392B39"/>
    <w:rsid w:val="003935C2"/>
    <w:rsid w:val="00396CBB"/>
    <w:rsid w:val="003A0118"/>
    <w:rsid w:val="003A02F4"/>
    <w:rsid w:val="003A1448"/>
    <w:rsid w:val="003A1CB7"/>
    <w:rsid w:val="003A24A4"/>
    <w:rsid w:val="003A3FF4"/>
    <w:rsid w:val="003A552B"/>
    <w:rsid w:val="003A568D"/>
    <w:rsid w:val="003A708C"/>
    <w:rsid w:val="003B4638"/>
    <w:rsid w:val="003B4881"/>
    <w:rsid w:val="003B5F72"/>
    <w:rsid w:val="003B7698"/>
    <w:rsid w:val="003C16D7"/>
    <w:rsid w:val="003C4C01"/>
    <w:rsid w:val="003C5103"/>
    <w:rsid w:val="003C51E0"/>
    <w:rsid w:val="003C73E1"/>
    <w:rsid w:val="003D0E16"/>
    <w:rsid w:val="003D3938"/>
    <w:rsid w:val="003D447C"/>
    <w:rsid w:val="003D622B"/>
    <w:rsid w:val="003D72E1"/>
    <w:rsid w:val="003D7AF0"/>
    <w:rsid w:val="003E0A27"/>
    <w:rsid w:val="003E1FE8"/>
    <w:rsid w:val="003E3F6F"/>
    <w:rsid w:val="003E6EE4"/>
    <w:rsid w:val="003E7416"/>
    <w:rsid w:val="003F0C20"/>
    <w:rsid w:val="003F14CE"/>
    <w:rsid w:val="003F3411"/>
    <w:rsid w:val="003F64A4"/>
    <w:rsid w:val="003F6E71"/>
    <w:rsid w:val="0040020B"/>
    <w:rsid w:val="00401B4D"/>
    <w:rsid w:val="00401C66"/>
    <w:rsid w:val="00403B9E"/>
    <w:rsid w:val="004043B0"/>
    <w:rsid w:val="00405414"/>
    <w:rsid w:val="00405695"/>
    <w:rsid w:val="00411C21"/>
    <w:rsid w:val="004130A2"/>
    <w:rsid w:val="00413907"/>
    <w:rsid w:val="00415088"/>
    <w:rsid w:val="0041685C"/>
    <w:rsid w:val="004200D0"/>
    <w:rsid w:val="0042257B"/>
    <w:rsid w:val="00423BBF"/>
    <w:rsid w:val="004265B9"/>
    <w:rsid w:val="00430D7E"/>
    <w:rsid w:val="004327C3"/>
    <w:rsid w:val="00433B55"/>
    <w:rsid w:val="00434BBD"/>
    <w:rsid w:val="004352DE"/>
    <w:rsid w:val="004354C1"/>
    <w:rsid w:val="00440979"/>
    <w:rsid w:val="004417CC"/>
    <w:rsid w:val="00443535"/>
    <w:rsid w:val="004446BB"/>
    <w:rsid w:val="004451F1"/>
    <w:rsid w:val="00447BD9"/>
    <w:rsid w:val="00450225"/>
    <w:rsid w:val="00452085"/>
    <w:rsid w:val="00454113"/>
    <w:rsid w:val="00455025"/>
    <w:rsid w:val="004562D4"/>
    <w:rsid w:val="00456ABD"/>
    <w:rsid w:val="00460067"/>
    <w:rsid w:val="004600D1"/>
    <w:rsid w:val="00463308"/>
    <w:rsid w:val="0046454A"/>
    <w:rsid w:val="00465DBF"/>
    <w:rsid w:val="004674C1"/>
    <w:rsid w:val="004679BF"/>
    <w:rsid w:val="004705C9"/>
    <w:rsid w:val="0047249A"/>
    <w:rsid w:val="00473277"/>
    <w:rsid w:val="00473C19"/>
    <w:rsid w:val="004747D5"/>
    <w:rsid w:val="004747E7"/>
    <w:rsid w:val="004747FC"/>
    <w:rsid w:val="0047549C"/>
    <w:rsid w:val="00477661"/>
    <w:rsid w:val="00477865"/>
    <w:rsid w:val="00477A0C"/>
    <w:rsid w:val="004808CA"/>
    <w:rsid w:val="004809A7"/>
    <w:rsid w:val="00481BFB"/>
    <w:rsid w:val="00482547"/>
    <w:rsid w:val="004846AB"/>
    <w:rsid w:val="00490871"/>
    <w:rsid w:val="00490B9B"/>
    <w:rsid w:val="00493A12"/>
    <w:rsid w:val="00493E9A"/>
    <w:rsid w:val="004946ED"/>
    <w:rsid w:val="004953E1"/>
    <w:rsid w:val="004960CF"/>
    <w:rsid w:val="004973D5"/>
    <w:rsid w:val="004A16DB"/>
    <w:rsid w:val="004A2DA9"/>
    <w:rsid w:val="004A50FE"/>
    <w:rsid w:val="004A6AA2"/>
    <w:rsid w:val="004A6D5B"/>
    <w:rsid w:val="004B0D87"/>
    <w:rsid w:val="004B121D"/>
    <w:rsid w:val="004B48F6"/>
    <w:rsid w:val="004B513F"/>
    <w:rsid w:val="004B5AAA"/>
    <w:rsid w:val="004B6F82"/>
    <w:rsid w:val="004C00AB"/>
    <w:rsid w:val="004C2CC3"/>
    <w:rsid w:val="004C45AE"/>
    <w:rsid w:val="004C5457"/>
    <w:rsid w:val="004C7943"/>
    <w:rsid w:val="004D3884"/>
    <w:rsid w:val="004D4469"/>
    <w:rsid w:val="004D4ED7"/>
    <w:rsid w:val="004D5C7C"/>
    <w:rsid w:val="004D6607"/>
    <w:rsid w:val="004E385A"/>
    <w:rsid w:val="004E4BB0"/>
    <w:rsid w:val="004F06C8"/>
    <w:rsid w:val="004F3F01"/>
    <w:rsid w:val="00500DF8"/>
    <w:rsid w:val="00501017"/>
    <w:rsid w:val="00502AC2"/>
    <w:rsid w:val="00504EA3"/>
    <w:rsid w:val="00512069"/>
    <w:rsid w:val="005130C5"/>
    <w:rsid w:val="00513166"/>
    <w:rsid w:val="00515796"/>
    <w:rsid w:val="00517643"/>
    <w:rsid w:val="00520DF0"/>
    <w:rsid w:val="0052112F"/>
    <w:rsid w:val="005212D4"/>
    <w:rsid w:val="00524131"/>
    <w:rsid w:val="00525035"/>
    <w:rsid w:val="00525BB2"/>
    <w:rsid w:val="00526DEA"/>
    <w:rsid w:val="0052738C"/>
    <w:rsid w:val="00527498"/>
    <w:rsid w:val="0053036C"/>
    <w:rsid w:val="005312E2"/>
    <w:rsid w:val="00532631"/>
    <w:rsid w:val="0053290F"/>
    <w:rsid w:val="005338AA"/>
    <w:rsid w:val="00534477"/>
    <w:rsid w:val="005374CC"/>
    <w:rsid w:val="0054179D"/>
    <w:rsid w:val="00541FAF"/>
    <w:rsid w:val="005445BA"/>
    <w:rsid w:val="00545628"/>
    <w:rsid w:val="00547493"/>
    <w:rsid w:val="00550EE6"/>
    <w:rsid w:val="005518BE"/>
    <w:rsid w:val="00552C53"/>
    <w:rsid w:val="00555D98"/>
    <w:rsid w:val="005615A5"/>
    <w:rsid w:val="0056197B"/>
    <w:rsid w:val="00563A55"/>
    <w:rsid w:val="00565086"/>
    <w:rsid w:val="005673AB"/>
    <w:rsid w:val="00567515"/>
    <w:rsid w:val="00570043"/>
    <w:rsid w:val="005705F1"/>
    <w:rsid w:val="00572389"/>
    <w:rsid w:val="00576FC0"/>
    <w:rsid w:val="005836D1"/>
    <w:rsid w:val="005848B1"/>
    <w:rsid w:val="00585160"/>
    <w:rsid w:val="00585A6C"/>
    <w:rsid w:val="00585FF8"/>
    <w:rsid w:val="005866B7"/>
    <w:rsid w:val="00591250"/>
    <w:rsid w:val="00591C9A"/>
    <w:rsid w:val="00592478"/>
    <w:rsid w:val="00592FED"/>
    <w:rsid w:val="00593EE1"/>
    <w:rsid w:val="00594AA0"/>
    <w:rsid w:val="005964FD"/>
    <w:rsid w:val="005A02D1"/>
    <w:rsid w:val="005A0B20"/>
    <w:rsid w:val="005A2227"/>
    <w:rsid w:val="005A2692"/>
    <w:rsid w:val="005A3E0D"/>
    <w:rsid w:val="005A4940"/>
    <w:rsid w:val="005A4D26"/>
    <w:rsid w:val="005A632A"/>
    <w:rsid w:val="005A691A"/>
    <w:rsid w:val="005A7771"/>
    <w:rsid w:val="005B02F6"/>
    <w:rsid w:val="005B0F90"/>
    <w:rsid w:val="005B1A4F"/>
    <w:rsid w:val="005B217C"/>
    <w:rsid w:val="005B2834"/>
    <w:rsid w:val="005B36B4"/>
    <w:rsid w:val="005B668B"/>
    <w:rsid w:val="005C05EC"/>
    <w:rsid w:val="005C10A8"/>
    <w:rsid w:val="005C1763"/>
    <w:rsid w:val="005C1DFA"/>
    <w:rsid w:val="005C3F14"/>
    <w:rsid w:val="005C7914"/>
    <w:rsid w:val="005C7CE5"/>
    <w:rsid w:val="005D05C2"/>
    <w:rsid w:val="005D285C"/>
    <w:rsid w:val="005D3D5B"/>
    <w:rsid w:val="005D5B79"/>
    <w:rsid w:val="005D62E0"/>
    <w:rsid w:val="005D6A3C"/>
    <w:rsid w:val="005E320C"/>
    <w:rsid w:val="005E58C4"/>
    <w:rsid w:val="005E6824"/>
    <w:rsid w:val="005E6C91"/>
    <w:rsid w:val="005F19C3"/>
    <w:rsid w:val="005F44DA"/>
    <w:rsid w:val="005F72C5"/>
    <w:rsid w:val="006003FD"/>
    <w:rsid w:val="00601C7C"/>
    <w:rsid w:val="006023B2"/>
    <w:rsid w:val="00605326"/>
    <w:rsid w:val="00611A5D"/>
    <w:rsid w:val="00612113"/>
    <w:rsid w:val="006152D2"/>
    <w:rsid w:val="00621AED"/>
    <w:rsid w:val="00621D54"/>
    <w:rsid w:val="00632231"/>
    <w:rsid w:val="00634068"/>
    <w:rsid w:val="00634B2C"/>
    <w:rsid w:val="0063608C"/>
    <w:rsid w:val="006437C5"/>
    <w:rsid w:val="00646375"/>
    <w:rsid w:val="00646B12"/>
    <w:rsid w:val="00646C16"/>
    <w:rsid w:val="00651498"/>
    <w:rsid w:val="00651C31"/>
    <w:rsid w:val="00653D6B"/>
    <w:rsid w:val="00654A29"/>
    <w:rsid w:val="00656254"/>
    <w:rsid w:val="00656A2C"/>
    <w:rsid w:val="00656D6F"/>
    <w:rsid w:val="00656D90"/>
    <w:rsid w:val="00662A16"/>
    <w:rsid w:val="00663E67"/>
    <w:rsid w:val="00665F5B"/>
    <w:rsid w:val="0066731B"/>
    <w:rsid w:val="00670DF1"/>
    <w:rsid w:val="00673EF9"/>
    <w:rsid w:val="00675E55"/>
    <w:rsid w:val="00675EA9"/>
    <w:rsid w:val="00676AE4"/>
    <w:rsid w:val="006772F4"/>
    <w:rsid w:val="00677BB7"/>
    <w:rsid w:val="006807F6"/>
    <w:rsid w:val="00680BE2"/>
    <w:rsid w:val="00680F19"/>
    <w:rsid w:val="0068177D"/>
    <w:rsid w:val="00682020"/>
    <w:rsid w:val="00684AF6"/>
    <w:rsid w:val="00685717"/>
    <w:rsid w:val="00686DEC"/>
    <w:rsid w:val="006874F6"/>
    <w:rsid w:val="00694F14"/>
    <w:rsid w:val="00695308"/>
    <w:rsid w:val="006955A7"/>
    <w:rsid w:val="00697813"/>
    <w:rsid w:val="006A0A2D"/>
    <w:rsid w:val="006A1208"/>
    <w:rsid w:val="006A24ED"/>
    <w:rsid w:val="006A2A23"/>
    <w:rsid w:val="006A2B54"/>
    <w:rsid w:val="006A4339"/>
    <w:rsid w:val="006A45DD"/>
    <w:rsid w:val="006A5D10"/>
    <w:rsid w:val="006A649C"/>
    <w:rsid w:val="006A69D5"/>
    <w:rsid w:val="006A6E2A"/>
    <w:rsid w:val="006B387D"/>
    <w:rsid w:val="006B3E09"/>
    <w:rsid w:val="006C3056"/>
    <w:rsid w:val="006C3F6A"/>
    <w:rsid w:val="006C5450"/>
    <w:rsid w:val="006C61C8"/>
    <w:rsid w:val="006C6300"/>
    <w:rsid w:val="006C64B4"/>
    <w:rsid w:val="006C7110"/>
    <w:rsid w:val="006C742C"/>
    <w:rsid w:val="006D2853"/>
    <w:rsid w:val="006D32C8"/>
    <w:rsid w:val="006D4E2A"/>
    <w:rsid w:val="006D745B"/>
    <w:rsid w:val="006D7665"/>
    <w:rsid w:val="006E04C5"/>
    <w:rsid w:val="006E1249"/>
    <w:rsid w:val="006E1C04"/>
    <w:rsid w:val="006F0278"/>
    <w:rsid w:val="006F0939"/>
    <w:rsid w:val="006F3100"/>
    <w:rsid w:val="006F46D5"/>
    <w:rsid w:val="006F62F0"/>
    <w:rsid w:val="007000B8"/>
    <w:rsid w:val="007003A0"/>
    <w:rsid w:val="007028D9"/>
    <w:rsid w:val="0071289D"/>
    <w:rsid w:val="00714CBD"/>
    <w:rsid w:val="007150D1"/>
    <w:rsid w:val="0071523F"/>
    <w:rsid w:val="0071793E"/>
    <w:rsid w:val="00721714"/>
    <w:rsid w:val="00724886"/>
    <w:rsid w:val="007253AB"/>
    <w:rsid w:val="00726E3A"/>
    <w:rsid w:val="00734E26"/>
    <w:rsid w:val="007405FB"/>
    <w:rsid w:val="00741A2B"/>
    <w:rsid w:val="00741ABC"/>
    <w:rsid w:val="00742E27"/>
    <w:rsid w:val="00743C9C"/>
    <w:rsid w:val="00750245"/>
    <w:rsid w:val="00751DEA"/>
    <w:rsid w:val="00752A9C"/>
    <w:rsid w:val="007563F2"/>
    <w:rsid w:val="0076187A"/>
    <w:rsid w:val="00761A5E"/>
    <w:rsid w:val="00762040"/>
    <w:rsid w:val="00763725"/>
    <w:rsid w:val="00763794"/>
    <w:rsid w:val="007646BB"/>
    <w:rsid w:val="007664F4"/>
    <w:rsid w:val="007706F9"/>
    <w:rsid w:val="0077250D"/>
    <w:rsid w:val="00772EA6"/>
    <w:rsid w:val="00774CF4"/>
    <w:rsid w:val="00774FE7"/>
    <w:rsid w:val="00782C59"/>
    <w:rsid w:val="007847F2"/>
    <w:rsid w:val="00784C3C"/>
    <w:rsid w:val="007859BD"/>
    <w:rsid w:val="0079066C"/>
    <w:rsid w:val="00791239"/>
    <w:rsid w:val="00791520"/>
    <w:rsid w:val="00792BAA"/>
    <w:rsid w:val="007A3E3A"/>
    <w:rsid w:val="007A4E8A"/>
    <w:rsid w:val="007A75F8"/>
    <w:rsid w:val="007A79AA"/>
    <w:rsid w:val="007B3477"/>
    <w:rsid w:val="007B5712"/>
    <w:rsid w:val="007B68B7"/>
    <w:rsid w:val="007B7848"/>
    <w:rsid w:val="007C4AA3"/>
    <w:rsid w:val="007C55D4"/>
    <w:rsid w:val="007C5966"/>
    <w:rsid w:val="007C71EA"/>
    <w:rsid w:val="007C78CB"/>
    <w:rsid w:val="007D0B41"/>
    <w:rsid w:val="007D1245"/>
    <w:rsid w:val="007D268C"/>
    <w:rsid w:val="007D2A12"/>
    <w:rsid w:val="007D4147"/>
    <w:rsid w:val="007D5490"/>
    <w:rsid w:val="007D67C6"/>
    <w:rsid w:val="007E08E6"/>
    <w:rsid w:val="007E254D"/>
    <w:rsid w:val="007E294E"/>
    <w:rsid w:val="007E3ED9"/>
    <w:rsid w:val="007E3F36"/>
    <w:rsid w:val="007F2C88"/>
    <w:rsid w:val="007F54FA"/>
    <w:rsid w:val="007F5E00"/>
    <w:rsid w:val="007F70C7"/>
    <w:rsid w:val="007F75DD"/>
    <w:rsid w:val="0080037D"/>
    <w:rsid w:val="008005C6"/>
    <w:rsid w:val="00803785"/>
    <w:rsid w:val="00806393"/>
    <w:rsid w:val="00810748"/>
    <w:rsid w:val="00810BA5"/>
    <w:rsid w:val="008125D8"/>
    <w:rsid w:val="00812DD1"/>
    <w:rsid w:val="00814775"/>
    <w:rsid w:val="00817AD3"/>
    <w:rsid w:val="00821A60"/>
    <w:rsid w:val="008229FA"/>
    <w:rsid w:val="00823458"/>
    <w:rsid w:val="00830DDB"/>
    <w:rsid w:val="0083156F"/>
    <w:rsid w:val="00831BE0"/>
    <w:rsid w:val="00831FCA"/>
    <w:rsid w:val="00832369"/>
    <w:rsid w:val="00832E3C"/>
    <w:rsid w:val="00833467"/>
    <w:rsid w:val="00833583"/>
    <w:rsid w:val="00833DD0"/>
    <w:rsid w:val="00836181"/>
    <w:rsid w:val="00836274"/>
    <w:rsid w:val="0084176B"/>
    <w:rsid w:val="00841C29"/>
    <w:rsid w:val="00843B68"/>
    <w:rsid w:val="00851F09"/>
    <w:rsid w:val="00857050"/>
    <w:rsid w:val="008637C3"/>
    <w:rsid w:val="00867631"/>
    <w:rsid w:val="00871D11"/>
    <w:rsid w:val="00873009"/>
    <w:rsid w:val="00874368"/>
    <w:rsid w:val="0087501C"/>
    <w:rsid w:val="008751CC"/>
    <w:rsid w:val="0087525C"/>
    <w:rsid w:val="0088342E"/>
    <w:rsid w:val="00884FF1"/>
    <w:rsid w:val="008853DA"/>
    <w:rsid w:val="008859AA"/>
    <w:rsid w:val="008863A6"/>
    <w:rsid w:val="00890FE9"/>
    <w:rsid w:val="00894DCD"/>
    <w:rsid w:val="008A3EEB"/>
    <w:rsid w:val="008A414B"/>
    <w:rsid w:val="008A477A"/>
    <w:rsid w:val="008A6153"/>
    <w:rsid w:val="008A7F74"/>
    <w:rsid w:val="008B2380"/>
    <w:rsid w:val="008B39D3"/>
    <w:rsid w:val="008B49E3"/>
    <w:rsid w:val="008B53FA"/>
    <w:rsid w:val="008B55E6"/>
    <w:rsid w:val="008B7761"/>
    <w:rsid w:val="008C093F"/>
    <w:rsid w:val="008C128A"/>
    <w:rsid w:val="008C35D3"/>
    <w:rsid w:val="008C385D"/>
    <w:rsid w:val="008C4440"/>
    <w:rsid w:val="008C546B"/>
    <w:rsid w:val="008C79CF"/>
    <w:rsid w:val="008D04F9"/>
    <w:rsid w:val="008D099A"/>
    <w:rsid w:val="008D140A"/>
    <w:rsid w:val="008D461A"/>
    <w:rsid w:val="008D472C"/>
    <w:rsid w:val="008D5B81"/>
    <w:rsid w:val="008D5BF0"/>
    <w:rsid w:val="008D612A"/>
    <w:rsid w:val="008D7127"/>
    <w:rsid w:val="008E0044"/>
    <w:rsid w:val="008E1391"/>
    <w:rsid w:val="008E2931"/>
    <w:rsid w:val="008E32EE"/>
    <w:rsid w:val="008E55EF"/>
    <w:rsid w:val="008E6CC7"/>
    <w:rsid w:val="008F13F6"/>
    <w:rsid w:val="008F474D"/>
    <w:rsid w:val="008F6793"/>
    <w:rsid w:val="0090095C"/>
    <w:rsid w:val="00900C60"/>
    <w:rsid w:val="00900ED0"/>
    <w:rsid w:val="00902711"/>
    <w:rsid w:val="00904EA6"/>
    <w:rsid w:val="00905205"/>
    <w:rsid w:val="00906E23"/>
    <w:rsid w:val="00910553"/>
    <w:rsid w:val="00910880"/>
    <w:rsid w:val="009125A8"/>
    <w:rsid w:val="00914101"/>
    <w:rsid w:val="00914265"/>
    <w:rsid w:val="00915E5B"/>
    <w:rsid w:val="00916C10"/>
    <w:rsid w:val="009179B5"/>
    <w:rsid w:val="00921A9F"/>
    <w:rsid w:val="00922970"/>
    <w:rsid w:val="00923937"/>
    <w:rsid w:val="0092481F"/>
    <w:rsid w:val="00924FA4"/>
    <w:rsid w:val="00925D4D"/>
    <w:rsid w:val="00926821"/>
    <w:rsid w:val="009270B8"/>
    <w:rsid w:val="009278A9"/>
    <w:rsid w:val="00931A6B"/>
    <w:rsid w:val="00931A6C"/>
    <w:rsid w:val="0093330E"/>
    <w:rsid w:val="00933FCF"/>
    <w:rsid w:val="0093640F"/>
    <w:rsid w:val="00936921"/>
    <w:rsid w:val="00937587"/>
    <w:rsid w:val="0093778E"/>
    <w:rsid w:val="00937F92"/>
    <w:rsid w:val="0094159D"/>
    <w:rsid w:val="00943986"/>
    <w:rsid w:val="0094624C"/>
    <w:rsid w:val="0094648A"/>
    <w:rsid w:val="00947291"/>
    <w:rsid w:val="009510F3"/>
    <w:rsid w:val="009513CB"/>
    <w:rsid w:val="0095447E"/>
    <w:rsid w:val="00955346"/>
    <w:rsid w:val="0095551F"/>
    <w:rsid w:val="009557BB"/>
    <w:rsid w:val="0096187B"/>
    <w:rsid w:val="00961AED"/>
    <w:rsid w:val="00965652"/>
    <w:rsid w:val="00966152"/>
    <w:rsid w:val="00966E16"/>
    <w:rsid w:val="0097040D"/>
    <w:rsid w:val="00973044"/>
    <w:rsid w:val="009741A8"/>
    <w:rsid w:val="00975630"/>
    <w:rsid w:val="009770BA"/>
    <w:rsid w:val="009803C4"/>
    <w:rsid w:val="00980B8F"/>
    <w:rsid w:val="009835A4"/>
    <w:rsid w:val="00983C56"/>
    <w:rsid w:val="00983E09"/>
    <w:rsid w:val="00983E78"/>
    <w:rsid w:val="00984A56"/>
    <w:rsid w:val="00987893"/>
    <w:rsid w:val="0099024F"/>
    <w:rsid w:val="009920D1"/>
    <w:rsid w:val="009A6A10"/>
    <w:rsid w:val="009A6EF3"/>
    <w:rsid w:val="009B0095"/>
    <w:rsid w:val="009B1DC0"/>
    <w:rsid w:val="009B1F19"/>
    <w:rsid w:val="009B300A"/>
    <w:rsid w:val="009B62D5"/>
    <w:rsid w:val="009C17D9"/>
    <w:rsid w:val="009C2864"/>
    <w:rsid w:val="009C32AC"/>
    <w:rsid w:val="009C41B4"/>
    <w:rsid w:val="009D0A76"/>
    <w:rsid w:val="009D104A"/>
    <w:rsid w:val="009D2272"/>
    <w:rsid w:val="009D2A91"/>
    <w:rsid w:val="009D2DC3"/>
    <w:rsid w:val="009D35A8"/>
    <w:rsid w:val="009D4F71"/>
    <w:rsid w:val="009E0061"/>
    <w:rsid w:val="009E4142"/>
    <w:rsid w:val="009E45F8"/>
    <w:rsid w:val="009F11BF"/>
    <w:rsid w:val="009F2301"/>
    <w:rsid w:val="009F28D2"/>
    <w:rsid w:val="009F6F42"/>
    <w:rsid w:val="00A07C2C"/>
    <w:rsid w:val="00A15150"/>
    <w:rsid w:val="00A15936"/>
    <w:rsid w:val="00A15FE2"/>
    <w:rsid w:val="00A1715B"/>
    <w:rsid w:val="00A17D4C"/>
    <w:rsid w:val="00A2331B"/>
    <w:rsid w:val="00A235DE"/>
    <w:rsid w:val="00A24E40"/>
    <w:rsid w:val="00A2502F"/>
    <w:rsid w:val="00A267E4"/>
    <w:rsid w:val="00A27F6F"/>
    <w:rsid w:val="00A318FF"/>
    <w:rsid w:val="00A32A12"/>
    <w:rsid w:val="00A32FA6"/>
    <w:rsid w:val="00A3382C"/>
    <w:rsid w:val="00A35F0C"/>
    <w:rsid w:val="00A3622E"/>
    <w:rsid w:val="00A41042"/>
    <w:rsid w:val="00A413C8"/>
    <w:rsid w:val="00A41804"/>
    <w:rsid w:val="00A42849"/>
    <w:rsid w:val="00A43452"/>
    <w:rsid w:val="00A44769"/>
    <w:rsid w:val="00A44B4D"/>
    <w:rsid w:val="00A461F7"/>
    <w:rsid w:val="00A475BC"/>
    <w:rsid w:val="00A47880"/>
    <w:rsid w:val="00A479C5"/>
    <w:rsid w:val="00A50BAF"/>
    <w:rsid w:val="00A51F32"/>
    <w:rsid w:val="00A54BEF"/>
    <w:rsid w:val="00A55E7D"/>
    <w:rsid w:val="00A5631D"/>
    <w:rsid w:val="00A56981"/>
    <w:rsid w:val="00A603DC"/>
    <w:rsid w:val="00A607A0"/>
    <w:rsid w:val="00A6165F"/>
    <w:rsid w:val="00A6342C"/>
    <w:rsid w:val="00A6378F"/>
    <w:rsid w:val="00A64A32"/>
    <w:rsid w:val="00A71733"/>
    <w:rsid w:val="00A75FC4"/>
    <w:rsid w:val="00A82358"/>
    <w:rsid w:val="00A82648"/>
    <w:rsid w:val="00A84FBA"/>
    <w:rsid w:val="00A8538D"/>
    <w:rsid w:val="00A91475"/>
    <w:rsid w:val="00A93E45"/>
    <w:rsid w:val="00A9594D"/>
    <w:rsid w:val="00A96781"/>
    <w:rsid w:val="00A96CAF"/>
    <w:rsid w:val="00A96E39"/>
    <w:rsid w:val="00A975B5"/>
    <w:rsid w:val="00AA1773"/>
    <w:rsid w:val="00AA2147"/>
    <w:rsid w:val="00AA2FCC"/>
    <w:rsid w:val="00AA5E29"/>
    <w:rsid w:val="00AA72F0"/>
    <w:rsid w:val="00AB1BC4"/>
    <w:rsid w:val="00AB4050"/>
    <w:rsid w:val="00AB625F"/>
    <w:rsid w:val="00AB6EAE"/>
    <w:rsid w:val="00AC0345"/>
    <w:rsid w:val="00AC0BAF"/>
    <w:rsid w:val="00AC24C4"/>
    <w:rsid w:val="00AC38F0"/>
    <w:rsid w:val="00AC595B"/>
    <w:rsid w:val="00AC6BA3"/>
    <w:rsid w:val="00AD451A"/>
    <w:rsid w:val="00AD4D36"/>
    <w:rsid w:val="00AE28C6"/>
    <w:rsid w:val="00AE3025"/>
    <w:rsid w:val="00AE42D8"/>
    <w:rsid w:val="00AE70C9"/>
    <w:rsid w:val="00AE7A77"/>
    <w:rsid w:val="00AF4292"/>
    <w:rsid w:val="00AF4336"/>
    <w:rsid w:val="00AF477A"/>
    <w:rsid w:val="00AF60B4"/>
    <w:rsid w:val="00B01DC5"/>
    <w:rsid w:val="00B03025"/>
    <w:rsid w:val="00B052C3"/>
    <w:rsid w:val="00B10012"/>
    <w:rsid w:val="00B10768"/>
    <w:rsid w:val="00B11418"/>
    <w:rsid w:val="00B1449D"/>
    <w:rsid w:val="00B14E36"/>
    <w:rsid w:val="00B16128"/>
    <w:rsid w:val="00B219DB"/>
    <w:rsid w:val="00B2319E"/>
    <w:rsid w:val="00B24819"/>
    <w:rsid w:val="00B257D7"/>
    <w:rsid w:val="00B301B8"/>
    <w:rsid w:val="00B30C04"/>
    <w:rsid w:val="00B3256C"/>
    <w:rsid w:val="00B32752"/>
    <w:rsid w:val="00B3292B"/>
    <w:rsid w:val="00B33996"/>
    <w:rsid w:val="00B34447"/>
    <w:rsid w:val="00B35C91"/>
    <w:rsid w:val="00B401F1"/>
    <w:rsid w:val="00B419C3"/>
    <w:rsid w:val="00B4574F"/>
    <w:rsid w:val="00B4613F"/>
    <w:rsid w:val="00B469DF"/>
    <w:rsid w:val="00B52F0F"/>
    <w:rsid w:val="00B5366F"/>
    <w:rsid w:val="00B53BEE"/>
    <w:rsid w:val="00B54D67"/>
    <w:rsid w:val="00B62A3A"/>
    <w:rsid w:val="00B630D4"/>
    <w:rsid w:val="00B635EB"/>
    <w:rsid w:val="00B6468A"/>
    <w:rsid w:val="00B64D68"/>
    <w:rsid w:val="00B662D6"/>
    <w:rsid w:val="00B75581"/>
    <w:rsid w:val="00B77651"/>
    <w:rsid w:val="00B80C7E"/>
    <w:rsid w:val="00B81EF1"/>
    <w:rsid w:val="00B82227"/>
    <w:rsid w:val="00B833AD"/>
    <w:rsid w:val="00B91B10"/>
    <w:rsid w:val="00B959FA"/>
    <w:rsid w:val="00BA0934"/>
    <w:rsid w:val="00BA1057"/>
    <w:rsid w:val="00BA17A7"/>
    <w:rsid w:val="00BA4A6A"/>
    <w:rsid w:val="00BA631E"/>
    <w:rsid w:val="00BA790F"/>
    <w:rsid w:val="00BB05F9"/>
    <w:rsid w:val="00BB269D"/>
    <w:rsid w:val="00BB3043"/>
    <w:rsid w:val="00BB366B"/>
    <w:rsid w:val="00BB5257"/>
    <w:rsid w:val="00BB6A8A"/>
    <w:rsid w:val="00BC1AD8"/>
    <w:rsid w:val="00BC201B"/>
    <w:rsid w:val="00BD00FD"/>
    <w:rsid w:val="00BD0712"/>
    <w:rsid w:val="00BD0F98"/>
    <w:rsid w:val="00BD1F90"/>
    <w:rsid w:val="00BD2A2C"/>
    <w:rsid w:val="00BD6D3F"/>
    <w:rsid w:val="00BE1B7A"/>
    <w:rsid w:val="00BE25A3"/>
    <w:rsid w:val="00BF1C43"/>
    <w:rsid w:val="00BF28A8"/>
    <w:rsid w:val="00BF4A2B"/>
    <w:rsid w:val="00BF6BDE"/>
    <w:rsid w:val="00BF7739"/>
    <w:rsid w:val="00C02A66"/>
    <w:rsid w:val="00C02F8D"/>
    <w:rsid w:val="00C02FC8"/>
    <w:rsid w:val="00C047EF"/>
    <w:rsid w:val="00C04C48"/>
    <w:rsid w:val="00C06544"/>
    <w:rsid w:val="00C07137"/>
    <w:rsid w:val="00C076BF"/>
    <w:rsid w:val="00C100FA"/>
    <w:rsid w:val="00C1056F"/>
    <w:rsid w:val="00C135A6"/>
    <w:rsid w:val="00C13AF9"/>
    <w:rsid w:val="00C14D81"/>
    <w:rsid w:val="00C253EE"/>
    <w:rsid w:val="00C25AEE"/>
    <w:rsid w:val="00C26FF9"/>
    <w:rsid w:val="00C324FA"/>
    <w:rsid w:val="00C34B84"/>
    <w:rsid w:val="00C36939"/>
    <w:rsid w:val="00C37D90"/>
    <w:rsid w:val="00C40B19"/>
    <w:rsid w:val="00C42688"/>
    <w:rsid w:val="00C43D0F"/>
    <w:rsid w:val="00C47DE5"/>
    <w:rsid w:val="00C53735"/>
    <w:rsid w:val="00C53EE9"/>
    <w:rsid w:val="00C553EB"/>
    <w:rsid w:val="00C62DE9"/>
    <w:rsid w:val="00C65903"/>
    <w:rsid w:val="00C66445"/>
    <w:rsid w:val="00C73FEF"/>
    <w:rsid w:val="00C742E6"/>
    <w:rsid w:val="00C747F7"/>
    <w:rsid w:val="00C748D8"/>
    <w:rsid w:val="00C80FEF"/>
    <w:rsid w:val="00C82ACA"/>
    <w:rsid w:val="00C836BC"/>
    <w:rsid w:val="00C84756"/>
    <w:rsid w:val="00C900EA"/>
    <w:rsid w:val="00C928E4"/>
    <w:rsid w:val="00C93B40"/>
    <w:rsid w:val="00C94D4C"/>
    <w:rsid w:val="00C97113"/>
    <w:rsid w:val="00C97F0D"/>
    <w:rsid w:val="00CA0513"/>
    <w:rsid w:val="00CA171F"/>
    <w:rsid w:val="00CA559E"/>
    <w:rsid w:val="00CB0F5C"/>
    <w:rsid w:val="00CB1A4D"/>
    <w:rsid w:val="00CB2774"/>
    <w:rsid w:val="00CB4CF9"/>
    <w:rsid w:val="00CB5B5D"/>
    <w:rsid w:val="00CC1212"/>
    <w:rsid w:val="00CC1508"/>
    <w:rsid w:val="00CC17EE"/>
    <w:rsid w:val="00CC272E"/>
    <w:rsid w:val="00CC29FF"/>
    <w:rsid w:val="00CC53F1"/>
    <w:rsid w:val="00CC5FDF"/>
    <w:rsid w:val="00CD1CD2"/>
    <w:rsid w:val="00CD5D2E"/>
    <w:rsid w:val="00CD62E4"/>
    <w:rsid w:val="00CE01BE"/>
    <w:rsid w:val="00CE055F"/>
    <w:rsid w:val="00CE5804"/>
    <w:rsid w:val="00CE67D2"/>
    <w:rsid w:val="00CE6C77"/>
    <w:rsid w:val="00CE702D"/>
    <w:rsid w:val="00CE76AD"/>
    <w:rsid w:val="00CF0056"/>
    <w:rsid w:val="00CF16CB"/>
    <w:rsid w:val="00CF1E33"/>
    <w:rsid w:val="00CF21E1"/>
    <w:rsid w:val="00CF326B"/>
    <w:rsid w:val="00CF5920"/>
    <w:rsid w:val="00CF6600"/>
    <w:rsid w:val="00CF7BA5"/>
    <w:rsid w:val="00D02773"/>
    <w:rsid w:val="00D028A8"/>
    <w:rsid w:val="00D029D7"/>
    <w:rsid w:val="00D04716"/>
    <w:rsid w:val="00D047F4"/>
    <w:rsid w:val="00D0589A"/>
    <w:rsid w:val="00D068F6"/>
    <w:rsid w:val="00D11E49"/>
    <w:rsid w:val="00D14253"/>
    <w:rsid w:val="00D154F5"/>
    <w:rsid w:val="00D177CA"/>
    <w:rsid w:val="00D2117F"/>
    <w:rsid w:val="00D21704"/>
    <w:rsid w:val="00D21BDF"/>
    <w:rsid w:val="00D23F4E"/>
    <w:rsid w:val="00D27EA0"/>
    <w:rsid w:val="00D33DA0"/>
    <w:rsid w:val="00D3495F"/>
    <w:rsid w:val="00D37078"/>
    <w:rsid w:val="00D477F1"/>
    <w:rsid w:val="00D52970"/>
    <w:rsid w:val="00D55069"/>
    <w:rsid w:val="00D578A2"/>
    <w:rsid w:val="00D6241B"/>
    <w:rsid w:val="00D6687B"/>
    <w:rsid w:val="00D66B9A"/>
    <w:rsid w:val="00D7277F"/>
    <w:rsid w:val="00D72D38"/>
    <w:rsid w:val="00D73949"/>
    <w:rsid w:val="00D7503F"/>
    <w:rsid w:val="00D7542A"/>
    <w:rsid w:val="00D766EC"/>
    <w:rsid w:val="00D808F3"/>
    <w:rsid w:val="00D812B2"/>
    <w:rsid w:val="00D840F7"/>
    <w:rsid w:val="00D87536"/>
    <w:rsid w:val="00D87DB9"/>
    <w:rsid w:val="00D9118E"/>
    <w:rsid w:val="00D917D9"/>
    <w:rsid w:val="00D93B9F"/>
    <w:rsid w:val="00D93BBC"/>
    <w:rsid w:val="00D93DA3"/>
    <w:rsid w:val="00D956C0"/>
    <w:rsid w:val="00D95BB4"/>
    <w:rsid w:val="00D95BF0"/>
    <w:rsid w:val="00D97B81"/>
    <w:rsid w:val="00DA0144"/>
    <w:rsid w:val="00DA033D"/>
    <w:rsid w:val="00DA1884"/>
    <w:rsid w:val="00DA238E"/>
    <w:rsid w:val="00DA3C52"/>
    <w:rsid w:val="00DA4BD6"/>
    <w:rsid w:val="00DA665C"/>
    <w:rsid w:val="00DA72C0"/>
    <w:rsid w:val="00DB1131"/>
    <w:rsid w:val="00DB6FF7"/>
    <w:rsid w:val="00DB71B0"/>
    <w:rsid w:val="00DB7BD1"/>
    <w:rsid w:val="00DC08C6"/>
    <w:rsid w:val="00DC1900"/>
    <w:rsid w:val="00DC3829"/>
    <w:rsid w:val="00DC4AE5"/>
    <w:rsid w:val="00DC4CB6"/>
    <w:rsid w:val="00DC5696"/>
    <w:rsid w:val="00DC5B88"/>
    <w:rsid w:val="00DC6E38"/>
    <w:rsid w:val="00DC72A3"/>
    <w:rsid w:val="00DC7C42"/>
    <w:rsid w:val="00DD4AE0"/>
    <w:rsid w:val="00DD6425"/>
    <w:rsid w:val="00DE02C7"/>
    <w:rsid w:val="00DE02F0"/>
    <w:rsid w:val="00DE05BB"/>
    <w:rsid w:val="00DE226C"/>
    <w:rsid w:val="00DE3732"/>
    <w:rsid w:val="00DE5FF8"/>
    <w:rsid w:val="00DE672C"/>
    <w:rsid w:val="00DE6EC5"/>
    <w:rsid w:val="00DF283A"/>
    <w:rsid w:val="00DF498A"/>
    <w:rsid w:val="00E02A69"/>
    <w:rsid w:val="00E06D63"/>
    <w:rsid w:val="00E11051"/>
    <w:rsid w:val="00E126FB"/>
    <w:rsid w:val="00E139A7"/>
    <w:rsid w:val="00E16541"/>
    <w:rsid w:val="00E207C8"/>
    <w:rsid w:val="00E215BE"/>
    <w:rsid w:val="00E224E0"/>
    <w:rsid w:val="00E234B0"/>
    <w:rsid w:val="00E24A10"/>
    <w:rsid w:val="00E26081"/>
    <w:rsid w:val="00E264FE"/>
    <w:rsid w:val="00E344A5"/>
    <w:rsid w:val="00E36BB7"/>
    <w:rsid w:val="00E41A44"/>
    <w:rsid w:val="00E431C0"/>
    <w:rsid w:val="00E44A9B"/>
    <w:rsid w:val="00E527A4"/>
    <w:rsid w:val="00E539D5"/>
    <w:rsid w:val="00E54C1F"/>
    <w:rsid w:val="00E561AD"/>
    <w:rsid w:val="00E57A52"/>
    <w:rsid w:val="00E612FF"/>
    <w:rsid w:val="00E621B0"/>
    <w:rsid w:val="00E62EAD"/>
    <w:rsid w:val="00E6317C"/>
    <w:rsid w:val="00E63276"/>
    <w:rsid w:val="00E63324"/>
    <w:rsid w:val="00E637C5"/>
    <w:rsid w:val="00E65141"/>
    <w:rsid w:val="00E65C40"/>
    <w:rsid w:val="00E67B7F"/>
    <w:rsid w:val="00E70D6E"/>
    <w:rsid w:val="00E719B7"/>
    <w:rsid w:val="00E807B8"/>
    <w:rsid w:val="00E80F23"/>
    <w:rsid w:val="00E8129E"/>
    <w:rsid w:val="00E83441"/>
    <w:rsid w:val="00E85CF1"/>
    <w:rsid w:val="00E865EF"/>
    <w:rsid w:val="00E86C49"/>
    <w:rsid w:val="00E90826"/>
    <w:rsid w:val="00E91109"/>
    <w:rsid w:val="00E91349"/>
    <w:rsid w:val="00E91410"/>
    <w:rsid w:val="00EA0CBC"/>
    <w:rsid w:val="00EA34CB"/>
    <w:rsid w:val="00EA59FB"/>
    <w:rsid w:val="00EA738B"/>
    <w:rsid w:val="00EB2D3F"/>
    <w:rsid w:val="00EB3236"/>
    <w:rsid w:val="00EB396B"/>
    <w:rsid w:val="00EB4501"/>
    <w:rsid w:val="00EB4B70"/>
    <w:rsid w:val="00EB53D7"/>
    <w:rsid w:val="00EB633B"/>
    <w:rsid w:val="00EB64F3"/>
    <w:rsid w:val="00EB6861"/>
    <w:rsid w:val="00EB7C9C"/>
    <w:rsid w:val="00EC0C1E"/>
    <w:rsid w:val="00EC4686"/>
    <w:rsid w:val="00EC482C"/>
    <w:rsid w:val="00EC55D6"/>
    <w:rsid w:val="00ED2063"/>
    <w:rsid w:val="00ED4491"/>
    <w:rsid w:val="00ED6E74"/>
    <w:rsid w:val="00EE0FB3"/>
    <w:rsid w:val="00EE395F"/>
    <w:rsid w:val="00EE6397"/>
    <w:rsid w:val="00EF3836"/>
    <w:rsid w:val="00EF7451"/>
    <w:rsid w:val="00F009AC"/>
    <w:rsid w:val="00F00B08"/>
    <w:rsid w:val="00F00DA7"/>
    <w:rsid w:val="00F02E3D"/>
    <w:rsid w:val="00F03D9B"/>
    <w:rsid w:val="00F1324F"/>
    <w:rsid w:val="00F1482D"/>
    <w:rsid w:val="00F14D17"/>
    <w:rsid w:val="00F15334"/>
    <w:rsid w:val="00F16D15"/>
    <w:rsid w:val="00F16DFE"/>
    <w:rsid w:val="00F17C22"/>
    <w:rsid w:val="00F21F9B"/>
    <w:rsid w:val="00F22F8C"/>
    <w:rsid w:val="00F232F1"/>
    <w:rsid w:val="00F23361"/>
    <w:rsid w:val="00F2490E"/>
    <w:rsid w:val="00F2578E"/>
    <w:rsid w:val="00F26794"/>
    <w:rsid w:val="00F275D7"/>
    <w:rsid w:val="00F31209"/>
    <w:rsid w:val="00F32982"/>
    <w:rsid w:val="00F33418"/>
    <w:rsid w:val="00F365F0"/>
    <w:rsid w:val="00F37767"/>
    <w:rsid w:val="00F37C3D"/>
    <w:rsid w:val="00F402C0"/>
    <w:rsid w:val="00F414E3"/>
    <w:rsid w:val="00F46331"/>
    <w:rsid w:val="00F525B0"/>
    <w:rsid w:val="00F53812"/>
    <w:rsid w:val="00F55E3A"/>
    <w:rsid w:val="00F5658C"/>
    <w:rsid w:val="00F571C1"/>
    <w:rsid w:val="00F577EE"/>
    <w:rsid w:val="00F60108"/>
    <w:rsid w:val="00F60ABC"/>
    <w:rsid w:val="00F616C2"/>
    <w:rsid w:val="00F63CCD"/>
    <w:rsid w:val="00F64D61"/>
    <w:rsid w:val="00F66222"/>
    <w:rsid w:val="00F7217A"/>
    <w:rsid w:val="00F72595"/>
    <w:rsid w:val="00F74001"/>
    <w:rsid w:val="00F74C61"/>
    <w:rsid w:val="00F76041"/>
    <w:rsid w:val="00F775E5"/>
    <w:rsid w:val="00F804A0"/>
    <w:rsid w:val="00F814A4"/>
    <w:rsid w:val="00F864D1"/>
    <w:rsid w:val="00F87147"/>
    <w:rsid w:val="00F871B4"/>
    <w:rsid w:val="00F918E4"/>
    <w:rsid w:val="00F94EF1"/>
    <w:rsid w:val="00F9578B"/>
    <w:rsid w:val="00F95D5D"/>
    <w:rsid w:val="00F96185"/>
    <w:rsid w:val="00F9738F"/>
    <w:rsid w:val="00F975EF"/>
    <w:rsid w:val="00FA1095"/>
    <w:rsid w:val="00FA1720"/>
    <w:rsid w:val="00FA212E"/>
    <w:rsid w:val="00FA3E3B"/>
    <w:rsid w:val="00FA5C20"/>
    <w:rsid w:val="00FA6A5A"/>
    <w:rsid w:val="00FA78CA"/>
    <w:rsid w:val="00FA7C76"/>
    <w:rsid w:val="00FB525E"/>
    <w:rsid w:val="00FB71E4"/>
    <w:rsid w:val="00FC0C07"/>
    <w:rsid w:val="00FC0D82"/>
    <w:rsid w:val="00FC0DBC"/>
    <w:rsid w:val="00FC3973"/>
    <w:rsid w:val="00FC4BA2"/>
    <w:rsid w:val="00FD0FE9"/>
    <w:rsid w:val="00FD1770"/>
    <w:rsid w:val="00FD1B9B"/>
    <w:rsid w:val="00FD1DA3"/>
    <w:rsid w:val="00FD463D"/>
    <w:rsid w:val="00FD5601"/>
    <w:rsid w:val="00FE055C"/>
    <w:rsid w:val="00FE4167"/>
    <w:rsid w:val="00FE4A90"/>
    <w:rsid w:val="00FE62D5"/>
    <w:rsid w:val="00FE7624"/>
    <w:rsid w:val="00FF0B4C"/>
    <w:rsid w:val="00FF1206"/>
    <w:rsid w:val="00FF2347"/>
    <w:rsid w:val="00FF4304"/>
    <w:rsid w:val="00FF5A28"/>
    <w:rsid w:val="00FF5B18"/>
    <w:rsid w:val="00FF5BB8"/>
    <w:rsid w:val="00FF7ABB"/>
    <w:rsid w:val="00FF7D3C"/>
    <w:rsid w:val="021000F7"/>
    <w:rsid w:val="04A226AA"/>
    <w:rsid w:val="06850DD5"/>
    <w:rsid w:val="07AC57FA"/>
    <w:rsid w:val="095A2B86"/>
    <w:rsid w:val="0AC05EBA"/>
    <w:rsid w:val="0B470447"/>
    <w:rsid w:val="0CE95936"/>
    <w:rsid w:val="0D5472F7"/>
    <w:rsid w:val="0EF636FE"/>
    <w:rsid w:val="0F49376A"/>
    <w:rsid w:val="0FB95D86"/>
    <w:rsid w:val="0FC574D8"/>
    <w:rsid w:val="11564E71"/>
    <w:rsid w:val="12C744E4"/>
    <w:rsid w:val="13613584"/>
    <w:rsid w:val="143F0C8B"/>
    <w:rsid w:val="1460372F"/>
    <w:rsid w:val="14BF2FD0"/>
    <w:rsid w:val="161C2A72"/>
    <w:rsid w:val="1640178A"/>
    <w:rsid w:val="16595A5C"/>
    <w:rsid w:val="16B57006"/>
    <w:rsid w:val="17DF01AA"/>
    <w:rsid w:val="18B057C0"/>
    <w:rsid w:val="1A625A23"/>
    <w:rsid w:val="1B9F22FB"/>
    <w:rsid w:val="1D807987"/>
    <w:rsid w:val="1ED0445A"/>
    <w:rsid w:val="1F1837FB"/>
    <w:rsid w:val="1FFA62FE"/>
    <w:rsid w:val="226C7E37"/>
    <w:rsid w:val="23215388"/>
    <w:rsid w:val="237E40CA"/>
    <w:rsid w:val="23A9638D"/>
    <w:rsid w:val="23AE026B"/>
    <w:rsid w:val="243C6048"/>
    <w:rsid w:val="24632506"/>
    <w:rsid w:val="247133AD"/>
    <w:rsid w:val="24A01F70"/>
    <w:rsid w:val="255312C4"/>
    <w:rsid w:val="25F453D0"/>
    <w:rsid w:val="26525864"/>
    <w:rsid w:val="26791CB2"/>
    <w:rsid w:val="26997893"/>
    <w:rsid w:val="27261BE9"/>
    <w:rsid w:val="27473793"/>
    <w:rsid w:val="2813525D"/>
    <w:rsid w:val="2B2B5065"/>
    <w:rsid w:val="2BA90FB2"/>
    <w:rsid w:val="2D8C06FE"/>
    <w:rsid w:val="2DD1772E"/>
    <w:rsid w:val="2FF85908"/>
    <w:rsid w:val="31045488"/>
    <w:rsid w:val="314D09F6"/>
    <w:rsid w:val="322C4317"/>
    <w:rsid w:val="32634AF4"/>
    <w:rsid w:val="32E257ED"/>
    <w:rsid w:val="342509B8"/>
    <w:rsid w:val="34255A9B"/>
    <w:rsid w:val="358B1D48"/>
    <w:rsid w:val="37B44C6D"/>
    <w:rsid w:val="39932F34"/>
    <w:rsid w:val="3A0318D8"/>
    <w:rsid w:val="3A1965BC"/>
    <w:rsid w:val="3A7E0E22"/>
    <w:rsid w:val="3ADB0022"/>
    <w:rsid w:val="3BFD3296"/>
    <w:rsid w:val="3C7B6ECA"/>
    <w:rsid w:val="3DDB5494"/>
    <w:rsid w:val="3DE44CCD"/>
    <w:rsid w:val="3DED132A"/>
    <w:rsid w:val="3E470E76"/>
    <w:rsid w:val="3EDF42D0"/>
    <w:rsid w:val="3EE73116"/>
    <w:rsid w:val="3FF15702"/>
    <w:rsid w:val="40701511"/>
    <w:rsid w:val="437B05A5"/>
    <w:rsid w:val="454B3FF6"/>
    <w:rsid w:val="45890177"/>
    <w:rsid w:val="474C7B0B"/>
    <w:rsid w:val="47DE19D7"/>
    <w:rsid w:val="47F6ECC7"/>
    <w:rsid w:val="4A875C66"/>
    <w:rsid w:val="4B1843BC"/>
    <w:rsid w:val="4BA05CED"/>
    <w:rsid w:val="4C6D6D15"/>
    <w:rsid w:val="4CD60F17"/>
    <w:rsid w:val="4CF66F64"/>
    <w:rsid w:val="4E12027C"/>
    <w:rsid w:val="4EA64711"/>
    <w:rsid w:val="50D1155F"/>
    <w:rsid w:val="52A122EE"/>
    <w:rsid w:val="52A54DB9"/>
    <w:rsid w:val="52E63C2F"/>
    <w:rsid w:val="54360081"/>
    <w:rsid w:val="54C618EB"/>
    <w:rsid w:val="55530A4B"/>
    <w:rsid w:val="559D5862"/>
    <w:rsid w:val="5636012C"/>
    <w:rsid w:val="57814760"/>
    <w:rsid w:val="59C365DB"/>
    <w:rsid w:val="5A985463"/>
    <w:rsid w:val="5AED75AB"/>
    <w:rsid w:val="5AFB43D1"/>
    <w:rsid w:val="5C510E85"/>
    <w:rsid w:val="5C5578F9"/>
    <w:rsid w:val="5CED6F49"/>
    <w:rsid w:val="5D1D08B1"/>
    <w:rsid w:val="5ED749F0"/>
    <w:rsid w:val="5F563868"/>
    <w:rsid w:val="5F7D263E"/>
    <w:rsid w:val="624A2644"/>
    <w:rsid w:val="628F2E3B"/>
    <w:rsid w:val="63E91F48"/>
    <w:rsid w:val="642A0293"/>
    <w:rsid w:val="660C5D78"/>
    <w:rsid w:val="66C537B1"/>
    <w:rsid w:val="6A331379"/>
    <w:rsid w:val="6A6A5EAB"/>
    <w:rsid w:val="6AC71421"/>
    <w:rsid w:val="6C12308B"/>
    <w:rsid w:val="6CAF0778"/>
    <w:rsid w:val="6D0D01AE"/>
    <w:rsid w:val="6D5E3ABA"/>
    <w:rsid w:val="6D70115F"/>
    <w:rsid w:val="6F6FCF28"/>
    <w:rsid w:val="716879A2"/>
    <w:rsid w:val="721815DC"/>
    <w:rsid w:val="723B77F7"/>
    <w:rsid w:val="73836046"/>
    <w:rsid w:val="73FD497E"/>
    <w:rsid w:val="77E666E0"/>
    <w:rsid w:val="78960182"/>
    <w:rsid w:val="79E36AFF"/>
    <w:rsid w:val="7A5019AD"/>
    <w:rsid w:val="7B097902"/>
    <w:rsid w:val="7B313927"/>
    <w:rsid w:val="7C9E6B26"/>
    <w:rsid w:val="7CBA06C4"/>
    <w:rsid w:val="7DC65426"/>
    <w:rsid w:val="7E1F6031"/>
    <w:rsid w:val="7EBA7F2F"/>
    <w:rsid w:val="7F5A5F72"/>
    <w:rsid w:val="AFFE60C3"/>
    <w:rsid w:val="B6BD689D"/>
    <w:rsid w:val="EE3D45E1"/>
    <w:rsid w:val="F7FD3E41"/>
    <w:rsid w:val="FDF83917"/>
    <w:rsid w:val="FF2AB397"/>
    <w:rsid w:val="FF7BD06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qFormat="1" w:uiPriority="99"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annotation text"/>
    <w:basedOn w:val="1"/>
    <w:semiHidden/>
    <w:unhideWhenUsed/>
    <w:qFormat/>
    <w:uiPriority w:val="0"/>
    <w:pPr>
      <w:jc w:val="left"/>
    </w:pPr>
  </w:style>
  <w:style w:type="paragraph" w:styleId="7">
    <w:name w:val="Body Text"/>
    <w:basedOn w:val="1"/>
    <w:link w:val="54"/>
    <w:qFormat/>
    <w:uiPriority w:val="0"/>
    <w:pPr>
      <w:spacing w:after="120"/>
    </w:pPr>
  </w:style>
  <w:style w:type="paragraph" w:styleId="8">
    <w:name w:val="Body Text Indent"/>
    <w:basedOn w:val="1"/>
    <w:link w:val="49"/>
    <w:qFormat/>
    <w:uiPriority w:val="0"/>
    <w:pPr>
      <w:spacing w:line="240" w:lineRule="atLeast"/>
      <w:ind w:firstLine="560" w:firstLineChars="200"/>
    </w:pPr>
    <w:rPr>
      <w:rFonts w:ascii="宋体" w:hAnsi="宋体"/>
      <w:sz w:val="28"/>
      <w:szCs w:val="28"/>
    </w:rPr>
  </w:style>
  <w:style w:type="paragraph" w:styleId="9">
    <w:name w:val="toc 3"/>
    <w:basedOn w:val="1"/>
    <w:next w:val="1"/>
    <w:unhideWhenUsed/>
    <w:qFormat/>
    <w:uiPriority w:val="39"/>
    <w:pPr>
      <w:ind w:left="840" w:leftChars="400"/>
    </w:pPr>
  </w:style>
  <w:style w:type="paragraph" w:styleId="10">
    <w:name w:val="Date"/>
    <w:basedOn w:val="1"/>
    <w:next w:val="1"/>
    <w:link w:val="29"/>
    <w:qFormat/>
    <w:uiPriority w:val="0"/>
    <w:pPr>
      <w:ind w:left="100" w:leftChars="2500"/>
    </w:pPr>
  </w:style>
  <w:style w:type="paragraph" w:styleId="11">
    <w:name w:val="Body Text Indent 2"/>
    <w:basedOn w:val="1"/>
    <w:link w:val="50"/>
    <w:qFormat/>
    <w:uiPriority w:val="0"/>
    <w:pPr>
      <w:spacing w:after="120" w:line="480" w:lineRule="auto"/>
      <w:ind w:left="420" w:leftChars="200"/>
    </w:pPr>
  </w:style>
  <w:style w:type="paragraph" w:styleId="12">
    <w:name w:val="endnote text"/>
    <w:basedOn w:val="1"/>
    <w:unhideWhenUsed/>
    <w:qFormat/>
    <w:uiPriority w:val="99"/>
    <w:pPr>
      <w:snapToGrid w:val="0"/>
    </w:pPr>
    <w:rPr>
      <w:rFonts w:ascii="Calibri" w:hAnsi="Calibri"/>
    </w:rPr>
  </w:style>
  <w:style w:type="paragraph" w:styleId="13">
    <w:name w:val="Balloon Text"/>
    <w:basedOn w:val="1"/>
    <w:link w:val="26"/>
    <w:qFormat/>
    <w:uiPriority w:val="0"/>
    <w:rPr>
      <w:sz w:val="18"/>
      <w:szCs w:val="18"/>
    </w:rPr>
  </w:style>
  <w:style w:type="paragraph" w:styleId="14">
    <w:name w:val="footer"/>
    <w:basedOn w:val="1"/>
    <w:link w:val="32"/>
    <w:qFormat/>
    <w:uiPriority w:val="0"/>
    <w:pPr>
      <w:tabs>
        <w:tab w:val="center" w:pos="4153"/>
        <w:tab w:val="right" w:pos="8306"/>
      </w:tabs>
      <w:snapToGrid w:val="0"/>
      <w:ind w:right="210" w:rightChars="100"/>
      <w:jc w:val="right"/>
    </w:pPr>
    <w:rPr>
      <w:sz w:val="18"/>
      <w:szCs w:val="18"/>
    </w:rPr>
  </w:style>
  <w:style w:type="paragraph" w:styleId="15">
    <w:name w:val="header"/>
    <w:basedOn w:val="1"/>
    <w:link w:val="27"/>
    <w:qFormat/>
    <w:uiPriority w:val="0"/>
    <w:pP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left" w:pos="840"/>
        <w:tab w:val="right" w:leader="dot" w:pos="9345"/>
      </w:tabs>
      <w:spacing w:line="300" w:lineRule="auto"/>
    </w:pPr>
    <w:rPr>
      <w:rFonts w:ascii="黑体" w:hAnsi="宋体" w:eastAsia="黑体"/>
      <w:sz w:val="24"/>
    </w:rPr>
  </w:style>
  <w:style w:type="paragraph" w:styleId="17">
    <w:name w:val="toc 2"/>
    <w:basedOn w:val="1"/>
    <w:next w:val="1"/>
    <w:unhideWhenUsed/>
    <w:qFormat/>
    <w:uiPriority w:val="39"/>
    <w:pPr>
      <w:ind w:left="420" w:leftChars="200"/>
    </w:pPr>
  </w:style>
  <w:style w:type="paragraph" w:styleId="18">
    <w:name w:val="Normal (Web)"/>
    <w:basedOn w:val="1"/>
    <w:qFormat/>
    <w:uiPriority w:val="0"/>
    <w:pPr>
      <w:spacing w:beforeAutospacing="1" w:afterAutospacing="1"/>
      <w:jc w:val="left"/>
    </w:pPr>
    <w:rPr>
      <w:kern w:val="0"/>
      <w:sz w:val="24"/>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qFormat/>
    <w:uiPriority w:val="0"/>
    <w:rPr>
      <w:rFonts w:ascii="Times New Roman" w:hAnsi="Times New Roman" w:eastAsia="宋体"/>
      <w:sz w:val="18"/>
    </w:rPr>
  </w:style>
  <w:style w:type="character" w:styleId="24">
    <w:name w:val="Hyperlink"/>
    <w:basedOn w:val="21"/>
    <w:unhideWhenUsed/>
    <w:qFormat/>
    <w:uiPriority w:val="0"/>
    <w:rPr>
      <w:color w:val="0000FF" w:themeColor="hyperlink"/>
      <w:u w:val="single"/>
    </w:rPr>
  </w:style>
  <w:style w:type="paragraph" w:customStyle="1" w:styleId="25">
    <w:name w:val="段"/>
    <w:link w:val="28"/>
    <w:qFormat/>
    <w:uiPriority w:val="0"/>
    <w:pPr>
      <w:autoSpaceDE w:val="0"/>
      <w:autoSpaceDN w:val="0"/>
      <w:ind w:firstLine="200" w:firstLineChars="200"/>
      <w:jc w:val="both"/>
    </w:pPr>
    <w:rPr>
      <w:rFonts w:ascii="宋体" w:hAnsi="宋体" w:eastAsia="宋体" w:cs="Times New Roman"/>
      <w:sz w:val="21"/>
      <w:lang w:val="en-US" w:eastAsia="zh-CN" w:bidi="ar-SA"/>
    </w:rPr>
  </w:style>
  <w:style w:type="character" w:customStyle="1" w:styleId="26">
    <w:name w:val="批注框文本 Char"/>
    <w:link w:val="13"/>
    <w:qFormat/>
    <w:uiPriority w:val="0"/>
    <w:rPr>
      <w:kern w:val="2"/>
      <w:sz w:val="18"/>
      <w:szCs w:val="18"/>
    </w:rPr>
  </w:style>
  <w:style w:type="character" w:customStyle="1" w:styleId="27">
    <w:name w:val="页眉 Char"/>
    <w:link w:val="15"/>
    <w:qFormat/>
    <w:locked/>
    <w:uiPriority w:val="0"/>
    <w:rPr>
      <w:kern w:val="2"/>
      <w:sz w:val="18"/>
      <w:szCs w:val="18"/>
    </w:rPr>
  </w:style>
  <w:style w:type="character" w:customStyle="1" w:styleId="28">
    <w:name w:val="段 Char Char"/>
    <w:link w:val="25"/>
    <w:qFormat/>
    <w:uiPriority w:val="0"/>
    <w:rPr>
      <w:rFonts w:ascii="宋体" w:hAnsi="宋体"/>
      <w:sz w:val="21"/>
      <w:lang w:val="en-US" w:eastAsia="zh-CN" w:bidi="ar-SA"/>
    </w:rPr>
  </w:style>
  <w:style w:type="character" w:customStyle="1" w:styleId="29">
    <w:name w:val="日期 Char"/>
    <w:link w:val="10"/>
    <w:qFormat/>
    <w:uiPriority w:val="0"/>
    <w:rPr>
      <w:kern w:val="2"/>
      <w:sz w:val="21"/>
      <w:szCs w:val="24"/>
    </w:rPr>
  </w:style>
  <w:style w:type="character" w:customStyle="1" w:styleId="30">
    <w:name w:val="段 Char"/>
    <w:qFormat/>
    <w:locked/>
    <w:uiPriority w:val="0"/>
    <w:rPr>
      <w:rFonts w:ascii="宋体"/>
      <w:sz w:val="21"/>
      <w:lang w:val="en-US" w:eastAsia="zh-CN" w:bidi="ar-SA"/>
    </w:rPr>
  </w:style>
  <w:style w:type="character" w:customStyle="1" w:styleId="31">
    <w:name w:val="font11"/>
    <w:qFormat/>
    <w:uiPriority w:val="0"/>
    <w:rPr>
      <w:rFonts w:hint="eastAsia" w:ascii="宋体" w:hAnsi="宋体" w:eastAsia="宋体"/>
      <w:color w:val="000000"/>
      <w:sz w:val="21"/>
      <w:szCs w:val="21"/>
      <w:u w:val="none"/>
    </w:rPr>
  </w:style>
  <w:style w:type="character" w:customStyle="1" w:styleId="32">
    <w:name w:val="页脚 Char"/>
    <w:link w:val="14"/>
    <w:qFormat/>
    <w:locked/>
    <w:uiPriority w:val="0"/>
    <w:rPr>
      <w:kern w:val="2"/>
      <w:sz w:val="18"/>
      <w:szCs w:val="18"/>
    </w:rPr>
  </w:style>
  <w:style w:type="character" w:customStyle="1" w:styleId="33">
    <w:name w:val="font21"/>
    <w:qFormat/>
    <w:uiPriority w:val="0"/>
    <w:rPr>
      <w:rFonts w:hint="default" w:ascii="Times New Roman" w:hAnsi="Times New Roman" w:cs="Times New Roman"/>
      <w:color w:val="000000"/>
      <w:sz w:val="21"/>
      <w:szCs w:val="21"/>
      <w:u w:val="none"/>
    </w:rPr>
  </w:style>
  <w:style w:type="paragraph" w:customStyle="1" w:styleId="34">
    <w:name w:val="样式1"/>
    <w:basedOn w:val="1"/>
    <w:qFormat/>
    <w:uiPriority w:val="0"/>
    <w:pPr>
      <w:tabs>
        <w:tab w:val="left" w:pos="525"/>
      </w:tabs>
    </w:pPr>
    <w:rPr>
      <w:rFonts w:ascii="宋体" w:hAnsi="宋体"/>
      <w:szCs w:val="21"/>
    </w:rPr>
  </w:style>
  <w:style w:type="paragraph" w:customStyle="1" w:styleId="3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6">
    <w:name w:val="列出段落1"/>
    <w:basedOn w:val="1"/>
    <w:qFormat/>
    <w:uiPriority w:val="0"/>
    <w:pPr>
      <w:ind w:firstLine="420" w:firstLineChars="200"/>
    </w:pPr>
    <w:rPr>
      <w:b/>
      <w:bCs/>
      <w:kern w:val="44"/>
      <w:sz w:val="32"/>
      <w:szCs w:val="32"/>
    </w:rPr>
  </w:style>
  <w:style w:type="paragraph" w:customStyle="1" w:styleId="37">
    <w:name w:val="列出段落2"/>
    <w:basedOn w:val="1"/>
    <w:qFormat/>
    <w:uiPriority w:val="0"/>
    <w:pPr>
      <w:ind w:firstLine="420" w:firstLineChars="200"/>
    </w:pPr>
  </w:style>
  <w:style w:type="paragraph" w:customStyle="1" w:styleId="38">
    <w:name w:val="彩色列表 - 强调文字颜色 11"/>
    <w:basedOn w:val="1"/>
    <w:qFormat/>
    <w:uiPriority w:val="34"/>
    <w:pPr>
      <w:ind w:firstLine="420" w:firstLineChars="200"/>
    </w:pPr>
    <w:rPr>
      <w:rFonts w:ascii="Calibri" w:hAnsi="Calibri"/>
      <w:szCs w:val="22"/>
    </w:rPr>
  </w:style>
  <w:style w:type="paragraph" w:customStyle="1" w:styleId="39">
    <w:name w:val="Char Char Char1 Char Char Char Char Char Char 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4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1">
    <w:name w:val="章标题"/>
    <w:next w:val="1"/>
    <w:qFormat/>
    <w:uiPriority w:val="0"/>
    <w:pPr>
      <w:tabs>
        <w:tab w:val="left" w:pos="675"/>
      </w:tabs>
      <w:spacing w:beforeLines="100" w:afterLines="100"/>
      <w:ind w:left="675" w:hanging="360"/>
      <w:jc w:val="both"/>
      <w:outlineLvl w:val="1"/>
    </w:pPr>
    <w:rPr>
      <w:rFonts w:ascii="黑体" w:hAnsi="Times New Roman" w:eastAsia="黑体" w:cs="Times New Roman"/>
      <w:sz w:val="21"/>
      <w:szCs w:val="22"/>
      <w:lang w:val="en-US" w:eastAsia="zh-CN" w:bidi="ar-SA"/>
    </w:rPr>
  </w:style>
  <w:style w:type="paragraph" w:customStyle="1" w:styleId="4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styleId="43">
    <w:name w:val="List Paragraph"/>
    <w:basedOn w:val="1"/>
    <w:unhideWhenUsed/>
    <w:qFormat/>
    <w:uiPriority w:val="99"/>
    <w:pPr>
      <w:ind w:firstLine="420" w:firstLineChars="200"/>
    </w:pPr>
  </w:style>
  <w:style w:type="paragraph" w:customStyle="1" w:styleId="44">
    <w:name w:val="List Paragraph1"/>
    <w:basedOn w:val="1"/>
    <w:qFormat/>
    <w:uiPriority w:val="99"/>
    <w:pPr>
      <w:ind w:firstLine="420" w:firstLineChars="200"/>
    </w:pPr>
    <w:rPr>
      <w:szCs w:val="22"/>
    </w:rPr>
  </w:style>
  <w:style w:type="table" w:customStyle="1" w:styleId="45">
    <w:name w:val="网格型2"/>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6">
    <w:name w:val="No Spacing"/>
    <w:qFormat/>
    <w:uiPriority w:val="1"/>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customStyle="1" w:styleId="47">
    <w:name w:val="标题 1 Char"/>
    <w:basedOn w:val="21"/>
    <w:link w:val="2"/>
    <w:qFormat/>
    <w:uiPriority w:val="0"/>
    <w:rPr>
      <w:b/>
      <w:bCs/>
      <w:kern w:val="44"/>
      <w:sz w:val="44"/>
      <w:szCs w:val="44"/>
    </w:rPr>
  </w:style>
  <w:style w:type="paragraph" w:customStyle="1" w:styleId="4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49">
    <w:name w:val="正文文本缩进 Char"/>
    <w:basedOn w:val="21"/>
    <w:link w:val="8"/>
    <w:qFormat/>
    <w:uiPriority w:val="0"/>
    <w:rPr>
      <w:rFonts w:ascii="宋体" w:hAnsi="宋体"/>
      <w:kern w:val="2"/>
      <w:sz w:val="28"/>
      <w:szCs w:val="28"/>
    </w:rPr>
  </w:style>
  <w:style w:type="character" w:customStyle="1" w:styleId="50">
    <w:name w:val="正文文本缩进 2 Char"/>
    <w:basedOn w:val="21"/>
    <w:link w:val="11"/>
    <w:qFormat/>
    <w:uiPriority w:val="0"/>
    <w:rPr>
      <w:kern w:val="2"/>
      <w:sz w:val="21"/>
      <w:szCs w:val="24"/>
    </w:rPr>
  </w:style>
  <w:style w:type="character" w:customStyle="1" w:styleId="51">
    <w:name w:val="font31"/>
    <w:basedOn w:val="21"/>
    <w:qFormat/>
    <w:uiPriority w:val="0"/>
    <w:rPr>
      <w:rFonts w:hint="eastAsia" w:ascii="宋体" w:hAnsi="宋体" w:eastAsia="宋体" w:cs="宋体"/>
      <w:color w:val="000000"/>
      <w:sz w:val="21"/>
      <w:szCs w:val="21"/>
      <w:u w:val="none"/>
    </w:rPr>
  </w:style>
  <w:style w:type="character" w:customStyle="1" w:styleId="52">
    <w:name w:val="font41"/>
    <w:basedOn w:val="21"/>
    <w:qFormat/>
    <w:uiPriority w:val="0"/>
    <w:rPr>
      <w:rFonts w:hint="default" w:ascii="Times New Roman" w:hAnsi="Times New Roman" w:cs="Times New Roman"/>
      <w:color w:val="000000"/>
      <w:sz w:val="21"/>
      <w:szCs w:val="21"/>
      <w:u w:val="none"/>
    </w:rPr>
  </w:style>
  <w:style w:type="character" w:customStyle="1" w:styleId="53">
    <w:name w:val="font51"/>
    <w:basedOn w:val="21"/>
    <w:qFormat/>
    <w:uiPriority w:val="0"/>
    <w:rPr>
      <w:rFonts w:hint="default" w:ascii="Times New Roman" w:hAnsi="Times New Roman" w:cs="Times New Roman"/>
      <w:color w:val="000000"/>
      <w:sz w:val="21"/>
      <w:szCs w:val="21"/>
      <w:u w:val="none"/>
    </w:rPr>
  </w:style>
  <w:style w:type="character" w:customStyle="1" w:styleId="54">
    <w:name w:val="正文文本 Char"/>
    <w:basedOn w:val="21"/>
    <w:link w:val="7"/>
    <w:qFormat/>
    <w:uiPriority w:val="0"/>
    <w:rPr>
      <w:kern w:val="2"/>
      <w:sz w:val="21"/>
      <w:szCs w:val="24"/>
    </w:rPr>
  </w:style>
  <w:style w:type="paragraph" w:customStyle="1" w:styleId="55">
    <w:name w:val="1"/>
    <w:basedOn w:val="7"/>
    <w:next w:val="7"/>
    <w:qFormat/>
    <w:uiPriority w:val="0"/>
    <w:pPr>
      <w:widowControl/>
      <w:spacing w:before="60" w:after="160"/>
      <w:ind w:left="794"/>
    </w:pPr>
    <w:rPr>
      <w:rFonts w:ascii="Arial" w:hAnsi="Arial" w:cs="Verdana"/>
      <w:color w:val="000000"/>
      <w:kern w:val="0"/>
      <w:sz w:val="22"/>
      <w:lang w:val="en-GB"/>
    </w:rPr>
  </w:style>
  <w:style w:type="character" w:customStyle="1" w:styleId="56">
    <w:name w:val="15"/>
    <w:basedOn w:val="21"/>
    <w:qFormat/>
    <w:uiPriority w:val="0"/>
    <w:rPr>
      <w:rFonts w:hint="default" w:ascii="Times New Roman" w:hAnsi="Times New Roman" w:cs="Times New Roman"/>
    </w:rPr>
  </w:style>
  <w:style w:type="character" w:customStyle="1" w:styleId="57">
    <w:name w:val="10"/>
    <w:basedOn w:val="21"/>
    <w:qFormat/>
    <w:uiPriority w:val="0"/>
    <w:rPr>
      <w:rFonts w:hint="default" w:ascii="Times New Roman" w:hAnsi="Times New Roman" w:cs="Times New Roman"/>
    </w:rPr>
  </w:style>
  <w:style w:type="character" w:customStyle="1" w:styleId="58">
    <w:name w:val="font81"/>
    <w:basedOn w:val="21"/>
    <w:qFormat/>
    <w:uiPriority w:val="0"/>
    <w:rPr>
      <w:rFonts w:hint="eastAsia" w:ascii="宋体" w:hAnsi="宋体" w:eastAsia="宋体" w:cs="宋体"/>
      <w:color w:val="000000"/>
      <w:sz w:val="21"/>
      <w:szCs w:val="21"/>
      <w:u w:val="none"/>
    </w:rPr>
  </w:style>
  <w:style w:type="character" w:customStyle="1" w:styleId="59">
    <w:name w:val="font91"/>
    <w:basedOn w:val="21"/>
    <w:qFormat/>
    <w:uiPriority w:val="0"/>
    <w:rPr>
      <w:rFonts w:hint="eastAsia" w:ascii="宋体" w:hAnsi="宋体" w:eastAsia="宋体" w:cs="宋体"/>
      <w:b/>
      <w:bCs/>
      <w:color w:val="000000"/>
      <w:sz w:val="21"/>
      <w:szCs w:val="21"/>
      <w:u w:val="none"/>
    </w:rPr>
  </w:style>
  <w:style w:type="character" w:customStyle="1" w:styleId="60">
    <w:name w:val="font61"/>
    <w:basedOn w:val="21"/>
    <w:qFormat/>
    <w:uiPriority w:val="0"/>
    <w:rPr>
      <w:rFonts w:hint="eastAsia" w:ascii="宋体" w:hAnsi="宋体" w:eastAsia="宋体" w:cs="宋体"/>
      <w:color w:val="000000"/>
      <w:sz w:val="21"/>
      <w:szCs w:val="21"/>
      <w:u w:val="none"/>
    </w:rPr>
  </w:style>
  <w:style w:type="character" w:customStyle="1" w:styleId="61">
    <w:name w:val="font71"/>
    <w:basedOn w:val="21"/>
    <w:qFormat/>
    <w:uiPriority w:val="0"/>
    <w:rPr>
      <w:rFonts w:hint="eastAsia" w:ascii="宋体" w:hAnsi="宋体" w:eastAsia="宋体" w:cs="宋体"/>
      <w:b/>
      <w:bCs/>
      <w:color w:val="000000"/>
      <w:sz w:val="21"/>
      <w:szCs w:val="21"/>
      <w:u w:val="none"/>
    </w:rPr>
  </w:style>
  <w:style w:type="character" w:customStyle="1" w:styleId="62">
    <w:name w:val="font01"/>
    <w:basedOn w:val="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3.xml><?xml version="1.0" encoding="utf-8"?>
<relations xmlns="http://www.yonyou.com/relation"/>
</file>

<file path=customXml/item4.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80FF1D-23DC-4094-94D6-14B0F3A823E0}">
  <ds:schemaRefs/>
</ds:datastoreItem>
</file>

<file path=customXml/itemProps3.xml><?xml version="1.0" encoding="utf-8"?>
<ds:datastoreItem xmlns:ds="http://schemas.openxmlformats.org/officeDocument/2006/customXml" ds:itemID="{D981E255-4CDD-4723-912B-4352D74EABCD}">
  <ds:schemaRefs/>
</ds:datastoreItem>
</file>

<file path=customXml/itemProps4.xml><?xml version="1.0" encoding="utf-8"?>
<ds:datastoreItem xmlns:ds="http://schemas.openxmlformats.org/officeDocument/2006/customXml" ds:itemID="{FA99FEFA-ED56-48D2-8127-947FD359F5AB}">
  <ds:schemaRefs/>
</ds:datastoreItem>
</file>

<file path=docProps/app.xml><?xml version="1.0" encoding="utf-8"?>
<Properties xmlns="http://schemas.openxmlformats.org/officeDocument/2006/extended-properties" xmlns:vt="http://schemas.openxmlformats.org/officeDocument/2006/docPropsVTypes">
  <Company>DEEPIN</Company>
  <Pages>13</Pages>
  <Words>4810</Words>
  <Characters>5361</Characters>
  <Lines>96</Lines>
  <Paragraphs>27</Paragraphs>
  <TotalTime>0</TotalTime>
  <ScaleCrop>false</ScaleCrop>
  <LinksUpToDate>false</LinksUpToDate>
  <CharactersWithSpaces>5454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2025-08-10T09:32:00Z</dcterms:created>
  <dc:creator>冯振华</dc:creator>
  <cp:lastModifiedBy>心莲花（潘梅荣）</cp:lastModifiedBy>
  <cp:lastPrinted>2022-07-12T14:52:00Z</cp:lastPrinted>
  <dcterms:modified xsi:type="dcterms:W3CDTF">2026-06-15T00:48:48Z</dcterms:modified>
  <dc:title>锡铅焊料化学分析方法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eyJoZGlkIjoiZmQ5Mjg3YTEzZjdmNGQwZWU0Nzk0NmM4NDkxZWFiODQiLCJ1c2VySWQiOiI3NjQ3MTc5NTYifQ==</vt:lpwstr>
  </property>
  <property fmtid="{D5CDD505-2E9C-101B-9397-08002B2CF9AE}" pid="4" name="ICV">
    <vt:lpwstr>8745B0DD5D0342DA8C5075F8CA15861B_12</vt:lpwstr>
  </property>
</Properties>
</file>