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B04D6">
      <w:pPr>
        <w:keepNext w:val="0"/>
        <w:keepLines w:val="0"/>
        <w:pageBreakBefore w:val="0"/>
        <w:kinsoku/>
        <w:wordWrap/>
        <w:overflowPunct/>
        <w:topLinePunct w:val="0"/>
        <w:bidi w:val="0"/>
        <w:spacing w:beforeAutospacing="0" w:afterAutospacing="0"/>
        <w:jc w:val="center"/>
        <w:rPr>
          <w:rFonts w:ascii="宋体"/>
          <w:color w:val="auto"/>
          <w:sz w:val="28"/>
          <w:szCs w:val="28"/>
          <w:lang w:val="de-DE"/>
        </w:rPr>
      </w:pPr>
      <w:bookmarkStart w:id="22" w:name="_GoBack"/>
      <w:r>
        <w:rPr>
          <w:rFonts w:hint="eastAsia" w:eastAsia="黑体"/>
          <w:color w:val="auto"/>
          <w:sz w:val="28"/>
          <w:szCs w:val="28"/>
        </w:rPr>
        <w:t>散装重有色金属浮选精矿取样、制样方法—编制说明</w:t>
      </w:r>
    </w:p>
    <w:bookmarkEnd w:id="22"/>
    <w:p w14:paraId="43354402">
      <w:pPr>
        <w:pStyle w:val="9"/>
        <w:keepNext w:val="0"/>
        <w:keepLines w:val="0"/>
        <w:pageBreakBefore w:val="0"/>
        <w:kinsoku/>
        <w:wordWrap/>
        <w:overflowPunct/>
        <w:topLinePunct w:val="0"/>
        <w:bidi w:val="0"/>
        <w:spacing w:before="0" w:beforeAutospacing="0" w:after="0" w:afterAutospacing="0" w:line="440" w:lineRule="exact"/>
        <w:jc w:val="both"/>
        <w:rPr>
          <w:rFonts w:ascii="黑体" w:eastAsia="黑体" w:cs="Arial"/>
          <w:color w:val="auto"/>
          <w:sz w:val="21"/>
          <w:szCs w:val="21"/>
        </w:rPr>
      </w:pPr>
      <w:r>
        <w:rPr>
          <w:rFonts w:hint="eastAsia" w:ascii="黑体" w:eastAsia="黑体" w:cs="Arial"/>
          <w:color w:val="auto"/>
          <w:sz w:val="21"/>
          <w:szCs w:val="21"/>
        </w:rPr>
        <w:t>一、工作简况</w:t>
      </w:r>
    </w:p>
    <w:p w14:paraId="6D7ED864">
      <w:pPr>
        <w:pStyle w:val="9"/>
        <w:keepNext w:val="0"/>
        <w:keepLines w:val="0"/>
        <w:pageBreakBefore w:val="0"/>
        <w:kinsoku/>
        <w:wordWrap/>
        <w:overflowPunct/>
        <w:topLinePunct w:val="0"/>
        <w:bidi w:val="0"/>
        <w:spacing w:before="0" w:beforeAutospacing="0" w:after="0" w:afterAutospacing="0" w:line="440" w:lineRule="exact"/>
        <w:jc w:val="both"/>
        <w:rPr>
          <w:rFonts w:ascii="黑体" w:eastAsia="黑体" w:cs="Arial"/>
          <w:color w:val="auto"/>
          <w:sz w:val="21"/>
          <w:szCs w:val="21"/>
        </w:rPr>
      </w:pPr>
      <w:r>
        <w:rPr>
          <w:rFonts w:hint="eastAsia" w:ascii="黑体" w:eastAsia="黑体" w:cs="Arial"/>
          <w:color w:val="auto"/>
          <w:sz w:val="21"/>
          <w:szCs w:val="21"/>
        </w:rPr>
        <w:t>1.1</w:t>
      </w:r>
      <w:r>
        <w:rPr>
          <w:rFonts w:hint="eastAsia" w:ascii="黑体" w:eastAsia="黑体" w:cs="Arial"/>
          <w:color w:val="auto"/>
          <w:sz w:val="21"/>
          <w:szCs w:val="21"/>
          <w:lang w:val="en-US" w:eastAsia="zh-CN"/>
        </w:rPr>
        <w:t xml:space="preserve">  </w:t>
      </w:r>
      <w:r>
        <w:rPr>
          <w:rFonts w:hint="eastAsia" w:ascii="黑体" w:eastAsia="黑体" w:cs="Arial"/>
          <w:color w:val="auto"/>
          <w:sz w:val="21"/>
          <w:szCs w:val="21"/>
        </w:rPr>
        <w:t>任务来源</w:t>
      </w:r>
    </w:p>
    <w:p w14:paraId="62F1502B">
      <w:pPr>
        <w:keepNext w:val="0"/>
        <w:keepLines w:val="0"/>
        <w:pageBreakBefore w:val="0"/>
        <w:kinsoku/>
        <w:wordWrap/>
        <w:overflowPunct/>
        <w:topLinePunct w:val="0"/>
        <w:bidi w:val="0"/>
        <w:spacing w:beforeAutospacing="0" w:afterAutospacing="0" w:line="240" w:lineRule="auto"/>
        <w:ind w:firstLine="420" w:firstLineChars="200"/>
        <w:rPr>
          <w:rFonts w:hint="default" w:ascii="宋体" w:hAnsi="宋体" w:eastAsiaTheme="minorEastAsia"/>
          <w:color w:val="auto"/>
          <w:szCs w:val="21"/>
          <w:lang w:val="en-US" w:eastAsia="zh-CN"/>
        </w:rPr>
      </w:pPr>
      <w:r>
        <w:rPr>
          <w:rFonts w:hint="eastAsia" w:ascii="宋体" w:hAnsi="宋体"/>
          <w:color w:val="auto"/>
          <w:szCs w:val="21"/>
        </w:rPr>
        <w:t>根据202</w:t>
      </w:r>
      <w:r>
        <w:rPr>
          <w:rFonts w:hint="eastAsia" w:ascii="宋体" w:hAnsi="宋体"/>
          <w:color w:val="auto"/>
          <w:szCs w:val="21"/>
          <w:lang w:val="en-US" w:eastAsia="zh-CN"/>
        </w:rPr>
        <w:t>5</w:t>
      </w:r>
      <w:r>
        <w:rPr>
          <w:rFonts w:hint="eastAsia" w:ascii="宋体" w:hAnsi="宋体"/>
          <w:color w:val="auto"/>
          <w:szCs w:val="21"/>
        </w:rPr>
        <w:t>年</w:t>
      </w:r>
      <w:r>
        <w:rPr>
          <w:rFonts w:hint="eastAsia" w:ascii="宋体" w:hAnsi="宋体"/>
          <w:color w:val="auto"/>
          <w:szCs w:val="21"/>
          <w:lang w:val="en-US" w:eastAsia="zh-CN"/>
        </w:rPr>
        <w:t>8</w:t>
      </w:r>
      <w:r>
        <w:rPr>
          <w:rFonts w:hint="eastAsia" w:ascii="宋体" w:hAnsi="宋体"/>
          <w:color w:val="auto"/>
          <w:szCs w:val="21"/>
        </w:rPr>
        <w:t>月国标委下发的202</w:t>
      </w:r>
      <w:r>
        <w:rPr>
          <w:rFonts w:hint="eastAsia" w:ascii="宋体" w:hAnsi="宋体"/>
          <w:color w:val="auto"/>
          <w:szCs w:val="21"/>
          <w:lang w:val="en-US" w:eastAsia="zh-CN"/>
        </w:rPr>
        <w:t>5</w:t>
      </w:r>
      <w:r>
        <w:rPr>
          <w:rFonts w:hint="eastAsia" w:ascii="宋体" w:hAnsi="宋体"/>
          <w:color w:val="auto"/>
          <w:szCs w:val="21"/>
        </w:rPr>
        <w:t>年推荐性国家标准修订计划及相关标准外文版计划的通知</w:t>
      </w:r>
      <w:r>
        <w:rPr>
          <w:rFonts w:hint="eastAsia" w:ascii="宋体" w:hAnsi="宋体"/>
          <w:color w:val="auto"/>
          <w:szCs w:val="21"/>
          <w:lang w:eastAsia="zh-CN"/>
        </w:rPr>
        <w:t>（</w:t>
      </w:r>
      <w:r>
        <w:rPr>
          <w:rFonts w:hint="eastAsia" w:ascii="宋体" w:hAnsi="宋体" w:eastAsia="宋体" w:cs="宋体"/>
          <w:color w:val="auto"/>
          <w:shd w:val="clear" w:fill="FFFFFF"/>
          <w:lang w:eastAsia="zh-CN"/>
        </w:rPr>
        <w:t>国标委发〔2025〕43号</w:t>
      </w:r>
      <w:r>
        <w:rPr>
          <w:rFonts w:hint="eastAsia" w:ascii="宋体" w:hAnsi="宋体"/>
          <w:color w:val="auto"/>
          <w:szCs w:val="21"/>
          <w:lang w:eastAsia="zh-CN"/>
        </w:rPr>
        <w:t>）</w:t>
      </w:r>
      <w:r>
        <w:rPr>
          <w:rFonts w:hint="eastAsia" w:ascii="宋体" w:hAnsi="宋体"/>
          <w:color w:val="auto"/>
          <w:szCs w:val="21"/>
        </w:rPr>
        <w:t>，《散装重有色金属浮选精矿取样、制样方法》项目计划号</w:t>
      </w:r>
      <w:r>
        <w:rPr>
          <w:rFonts w:hint="eastAsia" w:ascii="宋体" w:hAnsi="宋体"/>
          <w:color w:val="auto"/>
          <w:szCs w:val="21"/>
          <w:lang w:val="en-US" w:eastAsia="zh-CN"/>
        </w:rPr>
        <w:t>20253595-T-610</w:t>
      </w:r>
      <w:r>
        <w:rPr>
          <w:rFonts w:hint="eastAsia" w:ascii="宋体" w:hAnsi="宋体"/>
          <w:color w:val="auto"/>
          <w:szCs w:val="21"/>
        </w:rPr>
        <w:t>，由有色金属技术经济研究院有限责任公司牵头起草，</w:t>
      </w:r>
      <w:r>
        <w:rPr>
          <w:rFonts w:hint="eastAsia" w:ascii="宋体" w:hAnsi="宋体"/>
          <w:color w:val="auto"/>
          <w:szCs w:val="21"/>
          <w:lang w:val="en-US" w:eastAsia="zh-CN"/>
        </w:rPr>
        <w:t>非等效采标ISO 12743:2021，</w:t>
      </w:r>
      <w:r>
        <w:rPr>
          <w:rFonts w:hint="eastAsia" w:ascii="宋体" w:hAnsi="宋体"/>
          <w:color w:val="auto"/>
          <w:szCs w:val="21"/>
        </w:rPr>
        <w:t>计划完成期限202</w:t>
      </w:r>
      <w:r>
        <w:rPr>
          <w:rFonts w:hint="eastAsia" w:ascii="宋体" w:hAnsi="宋体"/>
          <w:color w:val="auto"/>
          <w:szCs w:val="21"/>
          <w:lang w:val="en-US" w:eastAsia="zh-CN"/>
        </w:rPr>
        <w:t>5</w:t>
      </w:r>
      <w:r>
        <w:rPr>
          <w:rFonts w:hint="eastAsia" w:ascii="宋体" w:hAnsi="宋体"/>
          <w:color w:val="auto"/>
          <w:szCs w:val="21"/>
        </w:rPr>
        <w:t>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val="en-US" w:eastAsia="zh-CN"/>
        </w:rPr>
        <w:t>6</w:t>
      </w:r>
      <w:r>
        <w:rPr>
          <w:rFonts w:hint="eastAsia" w:ascii="宋体" w:hAnsi="宋体"/>
          <w:color w:val="auto"/>
          <w:szCs w:val="21"/>
        </w:rPr>
        <w:t>日。</w:t>
      </w:r>
      <w:r>
        <w:rPr>
          <w:rFonts w:hint="eastAsia" w:ascii="宋体" w:hAnsi="宋体"/>
          <w:color w:val="auto"/>
          <w:szCs w:val="21"/>
          <w:lang w:val="en-US" w:eastAsia="zh-CN"/>
        </w:rPr>
        <w:t>项目是对</w:t>
      </w:r>
      <w:r>
        <w:rPr>
          <w:rFonts w:hint="eastAsia" w:ascii="宋体" w:hAnsi="宋体"/>
          <w:color w:val="auto"/>
          <w:szCs w:val="21"/>
        </w:rPr>
        <w:t>GB/T 14260-2010</w:t>
      </w:r>
      <w:r>
        <w:rPr>
          <w:rFonts w:hint="eastAsia" w:ascii="宋体" w:hAnsi="宋体"/>
          <w:color w:val="auto"/>
          <w:szCs w:val="21"/>
          <w:lang w:eastAsia="zh-CN"/>
        </w:rPr>
        <w:t>《</w:t>
      </w:r>
      <w:r>
        <w:rPr>
          <w:rFonts w:hint="eastAsia" w:ascii="宋体" w:hAnsi="宋体"/>
          <w:color w:val="auto"/>
          <w:szCs w:val="21"/>
        </w:rPr>
        <w:t>散装重有色金属浮选精矿取样、制样通则</w:t>
      </w:r>
      <w:r>
        <w:rPr>
          <w:rFonts w:hint="eastAsia" w:ascii="宋体" w:hAnsi="宋体"/>
          <w:color w:val="auto"/>
          <w:szCs w:val="21"/>
          <w:lang w:eastAsia="zh-CN"/>
        </w:rPr>
        <w:t>》</w:t>
      </w:r>
      <w:r>
        <w:rPr>
          <w:rFonts w:hint="eastAsia" w:ascii="宋体" w:hAnsi="宋体"/>
          <w:color w:val="auto"/>
          <w:szCs w:val="21"/>
        </w:rPr>
        <w:t>,GB/T 14261-2010</w:t>
      </w:r>
      <w:r>
        <w:rPr>
          <w:rFonts w:hint="eastAsia" w:ascii="宋体" w:hAnsi="宋体"/>
          <w:color w:val="auto"/>
          <w:szCs w:val="21"/>
          <w:lang w:eastAsia="zh-CN"/>
        </w:rPr>
        <w:t>《</w:t>
      </w:r>
      <w:r>
        <w:rPr>
          <w:rFonts w:hint="eastAsia" w:ascii="宋体" w:hAnsi="宋体"/>
          <w:color w:val="auto"/>
          <w:szCs w:val="21"/>
        </w:rPr>
        <w:t>散装浮选锌精矿取样、制样方法</w:t>
      </w:r>
      <w:r>
        <w:rPr>
          <w:rFonts w:hint="eastAsia" w:ascii="宋体" w:hAnsi="宋体"/>
          <w:color w:val="auto"/>
          <w:szCs w:val="21"/>
          <w:lang w:eastAsia="zh-CN"/>
        </w:rPr>
        <w:t>》</w:t>
      </w:r>
      <w:r>
        <w:rPr>
          <w:rFonts w:hint="eastAsia" w:ascii="宋体" w:hAnsi="宋体"/>
          <w:color w:val="auto"/>
          <w:szCs w:val="21"/>
        </w:rPr>
        <w:t>,GB/T 14262-2010</w:t>
      </w:r>
      <w:r>
        <w:rPr>
          <w:rFonts w:hint="eastAsia" w:ascii="宋体" w:hAnsi="宋体"/>
          <w:color w:val="auto"/>
          <w:szCs w:val="21"/>
          <w:lang w:eastAsia="zh-CN"/>
        </w:rPr>
        <w:t>《</w:t>
      </w:r>
      <w:r>
        <w:rPr>
          <w:rFonts w:hint="eastAsia" w:ascii="宋体" w:hAnsi="宋体"/>
          <w:color w:val="auto"/>
          <w:szCs w:val="21"/>
        </w:rPr>
        <w:t>散装浮选铅精矿取样、制样方法</w:t>
      </w:r>
      <w:r>
        <w:rPr>
          <w:rFonts w:hint="eastAsia" w:ascii="宋体" w:hAnsi="宋体"/>
          <w:color w:val="auto"/>
          <w:szCs w:val="21"/>
          <w:lang w:eastAsia="zh-CN"/>
        </w:rPr>
        <w:t>》</w:t>
      </w:r>
      <w:r>
        <w:rPr>
          <w:rFonts w:hint="eastAsia" w:ascii="宋体" w:hAnsi="宋体"/>
          <w:color w:val="auto"/>
          <w:szCs w:val="21"/>
        </w:rPr>
        <w:t>,GB/T 14263-2010</w:t>
      </w:r>
      <w:r>
        <w:rPr>
          <w:rFonts w:hint="eastAsia" w:ascii="宋体" w:hAnsi="宋体"/>
          <w:color w:val="auto"/>
          <w:szCs w:val="21"/>
          <w:lang w:eastAsia="zh-CN"/>
        </w:rPr>
        <w:t>《</w:t>
      </w:r>
      <w:r>
        <w:rPr>
          <w:rFonts w:hint="eastAsia" w:ascii="宋体" w:hAnsi="宋体"/>
          <w:color w:val="auto"/>
          <w:szCs w:val="21"/>
        </w:rPr>
        <w:t>散装浮选铜精矿取样、制样方法</w:t>
      </w:r>
      <w:r>
        <w:rPr>
          <w:rFonts w:hint="eastAsia" w:ascii="宋体" w:hAnsi="宋体"/>
          <w:color w:val="auto"/>
          <w:szCs w:val="21"/>
          <w:lang w:eastAsia="zh-CN"/>
        </w:rPr>
        <w:t>》</w:t>
      </w:r>
      <w:r>
        <w:rPr>
          <w:rFonts w:hint="eastAsia" w:ascii="宋体" w:hAnsi="宋体"/>
          <w:color w:val="auto"/>
          <w:szCs w:val="21"/>
        </w:rPr>
        <w:t>,GB/T 25952-2010</w:t>
      </w:r>
      <w:r>
        <w:rPr>
          <w:rFonts w:hint="eastAsia" w:ascii="宋体" w:hAnsi="宋体"/>
          <w:color w:val="auto"/>
          <w:szCs w:val="21"/>
          <w:lang w:eastAsia="zh-CN"/>
        </w:rPr>
        <w:t>《</w:t>
      </w:r>
      <w:r>
        <w:rPr>
          <w:rFonts w:hint="eastAsia" w:ascii="宋体" w:hAnsi="宋体"/>
          <w:color w:val="auto"/>
          <w:szCs w:val="21"/>
        </w:rPr>
        <w:t>散装浮选镍精矿取样、制样方法</w:t>
      </w:r>
      <w:r>
        <w:rPr>
          <w:rFonts w:hint="eastAsia" w:ascii="宋体" w:hAnsi="宋体"/>
          <w:color w:val="auto"/>
          <w:szCs w:val="21"/>
          <w:lang w:eastAsia="zh-CN"/>
        </w:rPr>
        <w:t>》</w:t>
      </w:r>
      <w:r>
        <w:rPr>
          <w:rFonts w:hint="eastAsia" w:ascii="宋体" w:hAnsi="宋体"/>
          <w:color w:val="auto"/>
          <w:szCs w:val="21"/>
          <w:lang w:val="en-US" w:eastAsia="zh-CN"/>
        </w:rPr>
        <w:t>的整合修订。</w:t>
      </w:r>
    </w:p>
    <w:p w14:paraId="7CC9E8F7">
      <w:pPr>
        <w:keepNext w:val="0"/>
        <w:keepLines w:val="0"/>
        <w:pageBreakBefore w:val="0"/>
        <w:kinsoku/>
        <w:wordWrap/>
        <w:overflowPunct/>
        <w:topLinePunct w:val="0"/>
        <w:bidi w:val="0"/>
        <w:spacing w:beforeAutospacing="0" w:afterAutospacing="0" w:line="240" w:lineRule="auto"/>
        <w:ind w:firstLine="420" w:firstLineChars="200"/>
        <w:rPr>
          <w:rFonts w:ascii="宋体" w:hAnsi="宋体"/>
          <w:color w:val="auto"/>
          <w:szCs w:val="21"/>
        </w:rPr>
      </w:pPr>
      <w:r>
        <w:rPr>
          <w:rFonts w:hint="eastAsia" w:ascii="宋体" w:hAnsi="宋体"/>
          <w:color w:val="0000FF"/>
          <w:szCs w:val="21"/>
        </w:rPr>
        <w:t>本项目涉及5个部分的整合，由有色金属技术经济研究院有限责任公司牵头，除铅精矿外原标准各部分金属品种牵头单位仍的主要负责该金属品种金属平衡内容的修订和汇总工作，其中铅精矿部分改为河南豫光金铅股份有限公司负责。新增锑精矿验证部分由锡矿山闪星锑业有限责任公司负责。在项目研制过程中，</w:t>
      </w:r>
      <w:r>
        <w:rPr>
          <w:rFonts w:hint="eastAsia" w:ascii="宋体" w:hAnsi="宋体"/>
          <w:color w:val="0000FF"/>
          <w:szCs w:val="21"/>
          <w:lang w:val="en-US" w:eastAsia="zh-CN"/>
        </w:rPr>
        <w:t>还</w:t>
      </w:r>
      <w:r>
        <w:rPr>
          <w:rFonts w:hint="eastAsia" w:ascii="宋体" w:hAnsi="宋体"/>
          <w:color w:val="0000FF"/>
          <w:szCs w:val="21"/>
        </w:rPr>
        <w:t>吸纳了铜陵有色金属集团控股有限公</w:t>
      </w:r>
      <w:r>
        <w:rPr>
          <w:rFonts w:hint="eastAsia" w:ascii="宋体" w:hAnsi="宋体"/>
          <w:color w:val="0000FF"/>
          <w:szCs w:val="21"/>
          <w:lang w:val="en-US" w:eastAsia="zh-CN"/>
        </w:rPr>
        <w:t>司</w:t>
      </w:r>
      <w:r>
        <w:rPr>
          <w:rFonts w:hint="eastAsia" w:ascii="宋体" w:hAnsi="宋体"/>
          <w:color w:val="0000FF"/>
          <w:szCs w:val="21"/>
        </w:rPr>
        <w:t>、株洲冶炼集团股份有限公司、江西铜业股份有限公司、</w:t>
      </w:r>
      <w:r>
        <w:rPr>
          <w:rFonts w:hint="eastAsia" w:ascii="宋体" w:hAnsi="宋体"/>
          <w:color w:val="0000FF"/>
          <w:szCs w:val="21"/>
          <w:highlight w:val="yellow"/>
        </w:rPr>
        <w:t>紫金矿业集团股份有限公司</w:t>
      </w:r>
      <w:r>
        <w:rPr>
          <w:rFonts w:hint="eastAsia" w:ascii="宋体" w:hAnsi="宋体"/>
          <w:color w:val="0000FF"/>
          <w:szCs w:val="21"/>
        </w:rPr>
        <w:t>、</w:t>
      </w:r>
      <w:r>
        <w:rPr>
          <w:rFonts w:hint="eastAsia" w:ascii="宋体" w:hAnsi="宋体"/>
          <w:color w:val="0000FF"/>
          <w:szCs w:val="21"/>
          <w:highlight w:val="yellow"/>
        </w:rPr>
        <w:t>金川集团股份有限公司、深圳市中金岭南有色金属股份有限公司、</w:t>
      </w:r>
      <w:r>
        <w:rPr>
          <w:rFonts w:hint="eastAsia" w:ascii="宋体" w:hAnsi="宋体"/>
          <w:color w:val="0000FF"/>
          <w:szCs w:val="21"/>
        </w:rPr>
        <w:t>云南铜业股份有限公司西南铜业分公司、水口山有色金属有限责任公司、北方铜业股份有限公司、中国检验认证集团广西有限公司、南京海关工业产品检测中心、湖南华星有色控股集团有限公司、湖南安化渣滓溪矿业有限公司、贵州东峰锑业股份有限公司、云南驰宏锌锗股份有限公司、云南云铜锌业股份有限公司、南丹县南方有色金属有限责任公司等其他相关精矿生产、销售和使用单位。</w:t>
      </w:r>
    </w:p>
    <w:p w14:paraId="5F0036F7">
      <w:pPr>
        <w:pStyle w:val="17"/>
        <w:keepNext w:val="0"/>
        <w:keepLines w:val="0"/>
        <w:pageBreakBefore w:val="0"/>
        <w:kinsoku/>
        <w:wordWrap/>
        <w:overflowPunct/>
        <w:topLinePunct w:val="0"/>
        <w:bidi w:val="0"/>
        <w:spacing w:beforeLines="0" w:beforeAutospacing="0" w:afterLines="0" w:afterAutospacing="0" w:line="440" w:lineRule="exact"/>
        <w:outlineLvl w:val="9"/>
        <w:rPr>
          <w:rFonts w:hAnsi="黑体" w:cs="黑体"/>
          <w:color w:val="auto"/>
          <w:szCs w:val="21"/>
        </w:rPr>
      </w:pPr>
      <w:r>
        <w:rPr>
          <w:rFonts w:hint="eastAsia" w:hAnsi="黑体" w:cs="黑体"/>
          <w:color w:val="auto"/>
          <w:szCs w:val="21"/>
        </w:rPr>
        <w:t>1.2</w:t>
      </w:r>
      <w:r>
        <w:rPr>
          <w:rFonts w:hint="eastAsia" w:hAnsi="黑体" w:cs="黑体"/>
          <w:color w:val="auto"/>
          <w:szCs w:val="21"/>
          <w:lang w:val="en-US" w:eastAsia="zh-CN"/>
        </w:rPr>
        <w:t xml:space="preserve">  </w:t>
      </w:r>
      <w:r>
        <w:rPr>
          <w:rFonts w:hint="eastAsia" w:hAnsi="黑体" w:cs="黑体"/>
          <w:color w:val="auto"/>
          <w:szCs w:val="21"/>
        </w:rPr>
        <w:t>制定背景</w:t>
      </w:r>
    </w:p>
    <w:p w14:paraId="15EC1914">
      <w:pPr>
        <w:pStyle w:val="3"/>
        <w:keepNext w:val="0"/>
        <w:keepLines w:val="0"/>
        <w:pageBreakBefore w:val="0"/>
        <w:kinsoku/>
        <w:wordWrap/>
        <w:overflowPunct/>
        <w:topLinePunct w:val="0"/>
        <w:bidi w:val="0"/>
        <w:spacing w:beforeAutospacing="0" w:after="0" w:afterAutospacing="0"/>
        <w:rPr>
          <w:rFonts w:hint="eastAsia" w:ascii="黑体" w:hAnsi="宋体" w:eastAsia="黑体" w:cs="宋体"/>
          <w:bCs/>
          <w:color w:val="auto"/>
          <w:szCs w:val="21"/>
        </w:rPr>
      </w:pPr>
      <w:r>
        <w:rPr>
          <w:rFonts w:hint="eastAsia" w:ascii="黑体" w:hAnsi="宋体" w:eastAsia="黑体" w:cs="宋体"/>
          <w:bCs/>
          <w:color w:val="auto"/>
          <w:szCs w:val="21"/>
        </w:rPr>
        <w:t>1</w:t>
      </w:r>
      <w:r>
        <w:rPr>
          <w:rFonts w:ascii="黑体" w:hAnsi="宋体" w:eastAsia="黑体" w:cs="宋体"/>
          <w:bCs/>
          <w:color w:val="auto"/>
          <w:szCs w:val="21"/>
        </w:rPr>
        <w:t>.2.1</w:t>
      </w:r>
      <w:r>
        <w:rPr>
          <w:rFonts w:hint="eastAsia" w:ascii="黑体" w:hAnsi="宋体" w:eastAsia="黑体" w:cs="宋体"/>
          <w:bCs/>
          <w:color w:val="auto"/>
          <w:szCs w:val="21"/>
          <w:lang w:val="en-US" w:eastAsia="zh-CN"/>
        </w:rPr>
        <w:t xml:space="preserve">  </w:t>
      </w:r>
      <w:r>
        <w:rPr>
          <w:rFonts w:hint="eastAsia" w:ascii="黑体" w:hAnsi="宋体" w:eastAsia="黑体" w:cs="宋体"/>
          <w:bCs/>
          <w:color w:val="auto"/>
          <w:szCs w:val="21"/>
        </w:rPr>
        <w:t>目的和意义</w:t>
      </w:r>
    </w:p>
    <w:p w14:paraId="3565C8AB">
      <w:pPr>
        <w:pStyle w:val="3"/>
        <w:keepNext w:val="0"/>
        <w:keepLines w:val="0"/>
        <w:pageBreakBefore w:val="0"/>
        <w:kinsoku/>
        <w:wordWrap/>
        <w:overflowPunct/>
        <w:topLinePunct w:val="0"/>
        <w:bidi w:val="0"/>
        <w:spacing w:beforeAutospacing="0" w:after="0" w:afterAutospacing="0"/>
        <w:ind w:firstLine="420" w:firstLineChars="200"/>
        <w:rPr>
          <w:rFonts w:hint="eastAsia" w:ascii="Times New Roman" w:hAnsi="Times New Roman" w:cs="Times New Roman" w:eastAsiaTheme="minorEastAsia"/>
          <w:bCs w:val="0"/>
          <w:color w:val="auto"/>
          <w:szCs w:val="21"/>
          <w:lang w:val="en-US" w:eastAsia="zh-CN"/>
        </w:rPr>
      </w:pPr>
      <w:r>
        <w:rPr>
          <w:rFonts w:hint="default" w:ascii="Times New Roman" w:hAnsi="Times New Roman" w:cs="Times New Roman" w:eastAsiaTheme="minorEastAsia"/>
          <w:bCs w:val="0"/>
          <w:color w:val="auto"/>
          <w:szCs w:val="21"/>
          <w:lang w:val="en-US" w:eastAsia="zh-CN"/>
        </w:rPr>
        <w:t>我国是有色金属生产大国，也是消费大国。</w:t>
      </w:r>
      <w:r>
        <w:rPr>
          <w:rFonts w:hint="eastAsia" w:ascii="Times New Roman" w:hAnsi="Times New Roman" w:cs="Times New Roman" w:eastAsiaTheme="minorEastAsia"/>
          <w:bCs w:val="0"/>
          <w:color w:val="auto"/>
          <w:szCs w:val="21"/>
          <w:lang w:val="en-US" w:eastAsia="zh-CN"/>
        </w:rPr>
        <w:t>根据中国有色金属工业协会数据显示，2023年我国十种有色金属产品产量首次突破7000万吨大关，达到7469.8万吨。2023年，我国铜精矿产量162.2万吨，占全球产量45.7%；铅精矿产量196.0万吨，占全球产量43.6%；锌精矿产量406.0万吨，占全球产量33.1%；镍矿产量11.3万吨，占全球产量3%。从精矿进口量来看，2023年中国进口铜精矿、铅精矿、锌精矿、镍矿实物量分别</w:t>
      </w:r>
      <w:r>
        <w:rPr>
          <w:rFonts w:hint="eastAsia" w:ascii="Times New Roman" w:hAnsi="Times New Roman" w:cs="Times New Roman" w:eastAsiaTheme="minorEastAsia"/>
          <w:color w:val="auto"/>
          <w:szCs w:val="21"/>
        </w:rPr>
        <w:t>2753.6万吨</w:t>
      </w:r>
      <w:r>
        <w:rPr>
          <w:rFonts w:hint="eastAsia" w:ascii="Times New Roman" w:hAnsi="Times New Roman" w:cs="Times New Roman" w:eastAsiaTheme="minorEastAsia"/>
          <w:bCs w:val="0"/>
          <w:color w:val="auto"/>
          <w:szCs w:val="21"/>
          <w:lang w:val="en-US" w:eastAsia="zh-CN"/>
        </w:rPr>
        <w:t>、114万吨、471.3万吨和4446.6万吨实物量，</w:t>
      </w:r>
      <w:r>
        <w:rPr>
          <w:rFonts w:hint="eastAsia" w:ascii="Times New Roman" w:hAnsi="Times New Roman" w:cs="Times New Roman" w:eastAsiaTheme="minorEastAsia"/>
          <w:color w:val="auto"/>
          <w:szCs w:val="21"/>
        </w:rPr>
        <w:t>我国已成为全球铜、铅、锌、镍精矿最大的进口国，且进口量也在逐年增高，尤其是铜精矿、镍精矿对外依存度高的局面长期存在。</w:t>
      </w:r>
      <w:r>
        <w:rPr>
          <w:rFonts w:hint="eastAsia" w:ascii="Times New Roman" w:hAnsi="Times New Roman" w:cs="Times New Roman" w:eastAsiaTheme="minorEastAsia"/>
          <w:bCs w:val="0"/>
          <w:color w:val="auto"/>
          <w:szCs w:val="21"/>
          <w:lang w:val="en-US" w:eastAsia="zh-CN"/>
        </w:rPr>
        <w:t>整体而言，由于在产矿山品位日益贫化，开采深度越来越深，出矿品位、精矿品位呈总体下降的态势，但同时，一些大型重金属精矿采选冶炼企业也在积极进行改扩建，提升技术水平。</w:t>
      </w:r>
    </w:p>
    <w:p w14:paraId="6C0DED4A">
      <w:pPr>
        <w:pStyle w:val="3"/>
        <w:keepNext w:val="0"/>
        <w:keepLines w:val="0"/>
        <w:pageBreakBefore w:val="0"/>
        <w:kinsoku/>
        <w:wordWrap/>
        <w:overflowPunct/>
        <w:topLinePunct w:val="0"/>
        <w:bidi w:val="0"/>
        <w:spacing w:beforeAutospacing="0" w:after="0" w:afterAutospacing="0"/>
        <w:ind w:firstLine="420" w:firstLineChars="200"/>
        <w:rPr>
          <w:rFonts w:hint="default" w:ascii="Times New Roman" w:hAnsi="Times New Roman" w:cs="Times New Roman" w:eastAsiaTheme="minorEastAsia"/>
          <w:bCs w:val="0"/>
          <w:color w:val="auto"/>
          <w:szCs w:val="21"/>
          <w:lang w:val="en-US" w:eastAsia="zh-CN"/>
        </w:rPr>
      </w:pPr>
      <w:r>
        <w:rPr>
          <w:rFonts w:hint="default" w:ascii="Times New Roman" w:hAnsi="Times New Roman" w:cs="Times New Roman" w:eastAsiaTheme="minorEastAsia"/>
          <w:color w:val="auto"/>
          <w:szCs w:val="21"/>
        </w:rPr>
        <w:t>精矿使用之前从国内外矿山至国内冶炼厂需经过若干个复杂环节和过程，某个环节或某一过程出现偏差将会给企业造成巨大损失，精矿的检验包括重量检验和品质检验，它是买卖双方合同中最主要的条款之一，而品质检验的主要误差来源于取样、制样环节。故提升取样、制样检验过程标准化和检验质量整体水平，适应自动化、智能化发展，结合国内实际发展水平和用户需求，及时修订相关浮选精矿取样、制样方法标准非常必要。</w:t>
      </w:r>
    </w:p>
    <w:p w14:paraId="28AB5CFC">
      <w:pPr>
        <w:pStyle w:val="3"/>
        <w:keepNext w:val="0"/>
        <w:keepLines w:val="0"/>
        <w:pageBreakBefore w:val="0"/>
        <w:kinsoku/>
        <w:wordWrap/>
        <w:overflowPunct/>
        <w:topLinePunct w:val="0"/>
        <w:bidi w:val="0"/>
        <w:spacing w:beforeAutospacing="0" w:after="0" w:afterAutospacing="0"/>
        <w:rPr>
          <w:rFonts w:ascii="黑体" w:hAnsi="宋体" w:eastAsia="黑体" w:cs="宋体"/>
          <w:bCs/>
          <w:color w:val="auto"/>
          <w:szCs w:val="21"/>
        </w:rPr>
      </w:pPr>
      <w:r>
        <w:rPr>
          <w:rFonts w:ascii="黑体" w:hAnsi="宋体" w:eastAsia="黑体" w:cs="宋体"/>
          <w:bCs/>
          <w:color w:val="auto"/>
          <w:szCs w:val="21"/>
        </w:rPr>
        <w:t>1.2.2</w:t>
      </w:r>
      <w:r>
        <w:rPr>
          <w:rFonts w:hint="eastAsia" w:ascii="黑体" w:hAnsi="宋体" w:eastAsia="黑体" w:cs="宋体"/>
          <w:bCs/>
          <w:color w:val="auto"/>
          <w:szCs w:val="21"/>
          <w:lang w:val="en-US" w:eastAsia="zh-CN"/>
        </w:rPr>
        <w:t xml:space="preserve">  </w:t>
      </w:r>
      <w:r>
        <w:rPr>
          <w:rFonts w:hint="eastAsia" w:ascii="黑体" w:hAnsi="宋体" w:eastAsia="黑体" w:cs="宋体"/>
          <w:bCs/>
          <w:color w:val="auto"/>
          <w:szCs w:val="21"/>
        </w:rPr>
        <w:t>项目的必要性阐述</w:t>
      </w:r>
    </w:p>
    <w:p w14:paraId="323A581F">
      <w:pPr>
        <w:pStyle w:val="3"/>
        <w:keepNext w:val="0"/>
        <w:keepLines w:val="0"/>
        <w:pageBreakBefore w:val="0"/>
        <w:kinsoku/>
        <w:wordWrap/>
        <w:overflowPunct/>
        <w:topLinePunct w:val="0"/>
        <w:bidi w:val="0"/>
        <w:spacing w:beforeAutospacing="0" w:after="0" w:afterAutospacing="0"/>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我国重有色金属冶炼行业飞速发展，铜、铅、锌、镍的产量占全球一半以上，但储量只占全球的20%左右，这就需要大量的国内贸易以及更多的国际贸易来满足生产需求，其中诞生了大量的取样、制样、分析等工作，而检验检测的主要误差来源便是取样、制样环节，原有的国家标准GB/T 14260-2010《散装重有色金属浮选精矿取样、制样通则》、GB/T 14261-2010《散装浮选锌精矿取样、制样方法》、GB/T 14262-2010《散装浮选铅精矿取样、制样方法》、GB/T 14263-2010《散装浮选铜精矿取样、制样方法》、GB/T 25952-2010《散装浮选镍精矿取样、制样方法》</w:t>
      </w:r>
      <w:r>
        <w:rPr>
          <w:rFonts w:hint="eastAsia" w:ascii="Times New Roman" w:hAnsi="Times New Roman" w:cs="Times New Roman" w:eastAsiaTheme="minorEastAsia"/>
          <w:color w:val="auto"/>
          <w:szCs w:val="21"/>
          <w:lang w:val="en-US" w:eastAsia="zh-CN"/>
        </w:rPr>
        <w:t>5</w:t>
      </w:r>
      <w:r>
        <w:rPr>
          <w:rFonts w:hint="default" w:ascii="Times New Roman" w:hAnsi="Times New Roman" w:cs="Times New Roman" w:eastAsiaTheme="minorEastAsia"/>
          <w:color w:val="auto"/>
          <w:szCs w:val="21"/>
        </w:rPr>
        <w:t>个标准已经使用了</w:t>
      </w:r>
      <w:r>
        <w:rPr>
          <w:rFonts w:hint="eastAsia" w:ascii="Times New Roman" w:hAnsi="Times New Roman" w:cs="Times New Roman" w:eastAsiaTheme="minorEastAsia"/>
          <w:color w:val="auto"/>
          <w:szCs w:val="21"/>
          <w:lang w:val="en-US" w:eastAsia="zh-CN"/>
        </w:rPr>
        <w:t>十余</w:t>
      </w:r>
      <w:r>
        <w:rPr>
          <w:rFonts w:hint="default" w:ascii="Times New Roman" w:hAnsi="Times New Roman" w:cs="Times New Roman" w:eastAsiaTheme="minorEastAsia"/>
          <w:color w:val="auto"/>
          <w:szCs w:val="21"/>
        </w:rPr>
        <w:t>年，</w:t>
      </w:r>
      <w:r>
        <w:rPr>
          <w:rFonts w:hint="eastAsia" w:ascii="Times New Roman" w:hAnsi="Times New Roman" w:cs="Times New Roman" w:eastAsiaTheme="minorEastAsia"/>
          <w:color w:val="auto"/>
          <w:szCs w:val="21"/>
          <w:lang w:val="en-US" w:eastAsia="zh-CN"/>
        </w:rPr>
        <w:t>个别环节细节的不完善、不更新在实际应用中会</w:t>
      </w:r>
      <w:r>
        <w:rPr>
          <w:rFonts w:hint="default" w:ascii="Times New Roman" w:hAnsi="Times New Roman" w:cs="Times New Roman" w:eastAsiaTheme="minorEastAsia"/>
          <w:color w:val="auto"/>
          <w:szCs w:val="21"/>
        </w:rPr>
        <w:t>导致贸易双方</w:t>
      </w:r>
      <w:r>
        <w:rPr>
          <w:rFonts w:hint="eastAsia" w:ascii="Times New Roman" w:hAnsi="Times New Roman" w:cs="Times New Roman" w:eastAsiaTheme="minorEastAsia"/>
          <w:color w:val="auto"/>
          <w:szCs w:val="21"/>
          <w:lang w:val="en-US" w:eastAsia="zh-CN"/>
        </w:rPr>
        <w:t>的</w:t>
      </w:r>
      <w:r>
        <w:rPr>
          <w:rFonts w:hint="default" w:ascii="Times New Roman" w:hAnsi="Times New Roman" w:cs="Times New Roman" w:eastAsiaTheme="minorEastAsia"/>
          <w:color w:val="auto"/>
          <w:szCs w:val="21"/>
        </w:rPr>
        <w:t>争端。且GB/T 14260-2010</w:t>
      </w:r>
      <w:r>
        <w:rPr>
          <w:rFonts w:hint="eastAsia" w:ascii="Times New Roman" w:hAnsi="Times New Roman" w:cs="Times New Roman" w:eastAsiaTheme="minorEastAsia"/>
          <w:color w:val="auto"/>
          <w:szCs w:val="21"/>
          <w:lang w:val="en-US" w:eastAsia="zh-CN"/>
        </w:rPr>
        <w:t>是非等效采标</w:t>
      </w:r>
      <w:r>
        <w:rPr>
          <w:rFonts w:hint="eastAsia" w:ascii="Times New Roman" w:hAnsi="Times New Roman" w:cs="Times New Roman" w:eastAsiaTheme="minorEastAsia"/>
          <w:color w:val="auto"/>
          <w:szCs w:val="21"/>
        </w:rPr>
        <w:t>ISO 12743:2006</w:t>
      </w:r>
      <w:r>
        <w:rPr>
          <w:rFonts w:hint="eastAsia" w:ascii="Times New Roman" w:hAnsi="Times New Roman" w:cs="Times New Roman" w:eastAsiaTheme="minorEastAsia"/>
          <w:color w:val="auto"/>
          <w:szCs w:val="21"/>
          <w:lang w:eastAsia="zh-CN"/>
        </w:rPr>
        <w:t>《</w:t>
      </w:r>
      <w:r>
        <w:rPr>
          <w:rFonts w:hint="eastAsia" w:ascii="Times New Roman" w:hAnsi="Times New Roman" w:cs="Times New Roman" w:eastAsiaTheme="minorEastAsia"/>
          <w:color w:val="auto"/>
          <w:szCs w:val="21"/>
        </w:rPr>
        <w:t>铜、铅、锌和镍精矿测定金属和水分含量的取样方法</w:t>
      </w:r>
      <w:r>
        <w:rPr>
          <w:rFonts w:hint="eastAsia" w:ascii="Times New Roman" w:hAnsi="Times New Roman" w:cs="Times New Roman" w:eastAsiaTheme="minorEastAsia"/>
          <w:color w:val="auto"/>
          <w:szCs w:val="21"/>
          <w:lang w:eastAsia="zh-CN"/>
        </w:rPr>
        <w:t>》，</w:t>
      </w:r>
      <w:r>
        <w:rPr>
          <w:rFonts w:hint="eastAsia" w:ascii="Times New Roman" w:hAnsi="Times New Roman" w:cs="Times New Roman" w:eastAsiaTheme="minorEastAsia"/>
          <w:color w:val="auto"/>
          <w:szCs w:val="21"/>
          <w:lang w:val="en-US" w:eastAsia="zh-CN"/>
        </w:rPr>
        <w:t>该</w:t>
      </w:r>
      <w:r>
        <w:rPr>
          <w:rFonts w:hint="default" w:ascii="Times New Roman" w:hAnsi="Times New Roman" w:cs="Times New Roman" w:eastAsiaTheme="minorEastAsia"/>
          <w:color w:val="auto"/>
          <w:szCs w:val="21"/>
        </w:rPr>
        <w:t>国际标准</w:t>
      </w:r>
      <w:r>
        <w:rPr>
          <w:rFonts w:hint="eastAsia" w:ascii="Times New Roman" w:hAnsi="Times New Roman" w:cs="Times New Roman" w:eastAsiaTheme="minorEastAsia"/>
          <w:color w:val="auto"/>
          <w:szCs w:val="21"/>
          <w:lang w:val="en-US" w:eastAsia="zh-CN"/>
        </w:rPr>
        <w:t>已经修订更新为</w:t>
      </w:r>
      <w:r>
        <w:rPr>
          <w:rFonts w:hint="default" w:ascii="Times New Roman" w:hAnsi="Times New Roman" w:cs="Times New Roman" w:eastAsiaTheme="minorEastAsia"/>
          <w:color w:val="auto"/>
          <w:szCs w:val="21"/>
        </w:rPr>
        <w:t>ISO 12743:2021(E)</w:t>
      </w:r>
      <w:r>
        <w:rPr>
          <w:rFonts w:hint="eastAsia" w:ascii="Times New Roman" w:hAnsi="Times New Roman" w:cs="Times New Roman" w:eastAsiaTheme="minorEastAsia"/>
          <w:color w:val="auto"/>
          <w:szCs w:val="21"/>
          <w:lang w:eastAsia="zh-CN"/>
        </w:rPr>
        <w:t>《</w:t>
      </w:r>
      <w:r>
        <w:rPr>
          <w:rFonts w:hint="default" w:ascii="Times New Roman" w:hAnsi="Times New Roman" w:cs="Times New Roman" w:eastAsiaTheme="minorEastAsia"/>
          <w:color w:val="auto"/>
          <w:szCs w:val="21"/>
        </w:rPr>
        <w:t>铜、铅、锌和镍精矿金属和水分含量测定的取样方法</w:t>
      </w:r>
      <w:r>
        <w:rPr>
          <w:rFonts w:hint="eastAsia" w:ascii="Times New Roman" w:hAnsi="Times New Roman" w:cs="Times New Roman" w:eastAsiaTheme="minorEastAsia"/>
          <w:color w:val="auto"/>
          <w:szCs w:val="21"/>
          <w:lang w:eastAsia="zh-CN"/>
        </w:rPr>
        <w:t>》。</w:t>
      </w:r>
      <w:r>
        <w:rPr>
          <w:rFonts w:hint="default" w:ascii="Times New Roman" w:hAnsi="Times New Roman" w:cs="Times New Roman" w:eastAsiaTheme="minorEastAsia"/>
          <w:color w:val="auto"/>
          <w:szCs w:val="21"/>
        </w:rPr>
        <w:t>目前，国家标准从多向精发展，以上5个标准在内容上具有高度的统一性</w:t>
      </w:r>
      <w:r>
        <w:rPr>
          <w:rFonts w:hint="eastAsia" w:ascii="Times New Roman" w:hAnsi="Times New Roman" w:cs="Times New Roman" w:eastAsiaTheme="minorEastAsia"/>
          <w:color w:val="auto"/>
          <w:szCs w:val="21"/>
          <w:lang w:eastAsia="zh-CN"/>
        </w:rPr>
        <w:t>。</w:t>
      </w:r>
      <w:r>
        <w:rPr>
          <w:rFonts w:hint="eastAsia" w:ascii="Times New Roman" w:hAnsi="Times New Roman" w:cs="Times New Roman" w:eastAsiaTheme="minorEastAsia"/>
          <w:color w:val="auto"/>
          <w:szCs w:val="21"/>
          <w:lang w:val="en-US" w:eastAsia="zh-CN"/>
        </w:rPr>
        <w:t>因此</w:t>
      </w:r>
      <w:r>
        <w:rPr>
          <w:rFonts w:hint="default" w:ascii="Times New Roman" w:hAnsi="Times New Roman" w:cs="Times New Roman" w:eastAsiaTheme="minorEastAsia"/>
          <w:color w:val="auto"/>
          <w:szCs w:val="21"/>
        </w:rPr>
        <w:t>为落实“国家标准化发展纲要”，深化标准化改革创新，优化存量标准结构，以着力提升标准质量效益，并统筹标准制定与实施，与国际标准</w:t>
      </w:r>
      <w:r>
        <w:rPr>
          <w:rFonts w:hint="eastAsia" w:ascii="Times New Roman" w:hAnsi="Times New Roman" w:cs="Times New Roman" w:eastAsiaTheme="minorEastAsia"/>
          <w:color w:val="auto"/>
          <w:szCs w:val="21"/>
          <w:lang w:val="en-US" w:eastAsia="zh-CN"/>
        </w:rPr>
        <w:t>进一步</w:t>
      </w:r>
      <w:r>
        <w:rPr>
          <w:rFonts w:hint="default" w:ascii="Times New Roman" w:hAnsi="Times New Roman" w:cs="Times New Roman" w:eastAsiaTheme="minorEastAsia"/>
          <w:color w:val="auto"/>
          <w:szCs w:val="21"/>
        </w:rPr>
        <w:t>接轨，拟对以上标准进行整合修订。</w:t>
      </w:r>
    </w:p>
    <w:p w14:paraId="548DA403">
      <w:pPr>
        <w:pStyle w:val="3"/>
        <w:keepNext w:val="0"/>
        <w:keepLines w:val="0"/>
        <w:pageBreakBefore w:val="0"/>
        <w:kinsoku/>
        <w:wordWrap/>
        <w:overflowPunct/>
        <w:topLinePunct w:val="0"/>
        <w:bidi w:val="0"/>
        <w:spacing w:beforeAutospacing="0" w:after="0" w:afterAutospacing="0"/>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通过本次</w:t>
      </w:r>
      <w:r>
        <w:rPr>
          <w:rFonts w:hint="eastAsia" w:ascii="Times New Roman" w:hAnsi="Times New Roman" w:cs="Times New Roman" w:eastAsiaTheme="minorEastAsia"/>
          <w:color w:val="auto"/>
          <w:szCs w:val="21"/>
          <w:lang w:val="en-US" w:eastAsia="zh-CN"/>
        </w:rPr>
        <w:t>整合</w:t>
      </w:r>
      <w:r>
        <w:rPr>
          <w:rFonts w:hint="default" w:ascii="Times New Roman" w:hAnsi="Times New Roman" w:cs="Times New Roman" w:eastAsiaTheme="minorEastAsia"/>
          <w:color w:val="auto"/>
          <w:szCs w:val="21"/>
        </w:rPr>
        <w:t>修订，可更科学有效地</w:t>
      </w:r>
      <w:r>
        <w:rPr>
          <w:rFonts w:hint="eastAsia" w:ascii="Times New Roman" w:hAnsi="Times New Roman" w:cs="Times New Roman" w:eastAsiaTheme="minorEastAsia"/>
          <w:color w:val="auto"/>
          <w:szCs w:val="21"/>
          <w:lang w:val="en-US" w:eastAsia="zh-CN"/>
        </w:rPr>
        <w:t>规范铜、铅、锌和镍</w:t>
      </w:r>
      <w:r>
        <w:rPr>
          <w:rFonts w:hint="default" w:ascii="Times New Roman" w:hAnsi="Times New Roman" w:cs="Times New Roman" w:eastAsiaTheme="minorEastAsia"/>
          <w:color w:val="auto"/>
          <w:szCs w:val="21"/>
        </w:rPr>
        <w:t>精矿</w:t>
      </w:r>
      <w:r>
        <w:rPr>
          <w:rFonts w:hint="eastAsia" w:ascii="Times New Roman" w:hAnsi="Times New Roman" w:cs="Times New Roman" w:eastAsiaTheme="minorEastAsia"/>
          <w:color w:val="auto"/>
          <w:szCs w:val="21"/>
          <w:lang w:val="en-US" w:eastAsia="zh-CN"/>
        </w:rPr>
        <w:t>的取制样过程</w:t>
      </w:r>
      <w:r>
        <w:rPr>
          <w:rFonts w:hint="default" w:ascii="Times New Roman" w:hAnsi="Times New Roman" w:cs="Times New Roman" w:eastAsiaTheme="minorEastAsia"/>
          <w:color w:val="auto"/>
          <w:szCs w:val="21"/>
        </w:rPr>
        <w:t>，保证精矿</w:t>
      </w:r>
      <w:r>
        <w:rPr>
          <w:rFonts w:hint="eastAsia" w:ascii="Times New Roman" w:hAnsi="Times New Roman" w:cs="Times New Roman" w:eastAsiaTheme="minorEastAsia"/>
          <w:color w:val="auto"/>
          <w:szCs w:val="21"/>
          <w:lang w:val="en-US" w:eastAsia="zh-CN"/>
        </w:rPr>
        <w:t>取制样在生产、使用、进口、贸易等各环节的规范性、系统性和可操作性</w:t>
      </w:r>
      <w:r>
        <w:rPr>
          <w:rFonts w:hint="default" w:ascii="Times New Roman" w:hAnsi="Times New Roman" w:cs="Times New Roman" w:eastAsiaTheme="minorEastAsia"/>
          <w:color w:val="auto"/>
          <w:szCs w:val="21"/>
        </w:rPr>
        <w:t>，促进</w:t>
      </w:r>
      <w:r>
        <w:rPr>
          <w:rFonts w:hint="eastAsia" w:ascii="Times New Roman" w:hAnsi="Times New Roman" w:cs="Times New Roman" w:eastAsiaTheme="minorEastAsia"/>
          <w:color w:val="auto"/>
          <w:szCs w:val="21"/>
          <w:lang w:val="en-US" w:eastAsia="zh-CN"/>
        </w:rPr>
        <w:t>重金属</w:t>
      </w:r>
      <w:r>
        <w:rPr>
          <w:rFonts w:hint="default" w:ascii="Times New Roman" w:hAnsi="Times New Roman" w:cs="Times New Roman" w:eastAsiaTheme="minorEastAsia"/>
          <w:color w:val="auto"/>
          <w:szCs w:val="21"/>
        </w:rPr>
        <w:t>冶炼行业的健康和</w:t>
      </w:r>
      <w:r>
        <w:rPr>
          <w:rFonts w:hint="eastAsia" w:ascii="Times New Roman" w:hAnsi="Times New Roman" w:cs="Times New Roman" w:eastAsiaTheme="minorEastAsia"/>
          <w:color w:val="auto"/>
          <w:szCs w:val="21"/>
          <w:lang w:val="en-US" w:eastAsia="zh-CN"/>
        </w:rPr>
        <w:t>高质量</w:t>
      </w:r>
      <w:r>
        <w:rPr>
          <w:rFonts w:hint="default" w:ascii="Times New Roman" w:hAnsi="Times New Roman" w:cs="Times New Roman" w:eastAsiaTheme="minorEastAsia"/>
          <w:color w:val="auto"/>
          <w:szCs w:val="21"/>
        </w:rPr>
        <w:t>发展。</w:t>
      </w:r>
    </w:p>
    <w:p w14:paraId="14F09064">
      <w:pPr>
        <w:pStyle w:val="3"/>
        <w:keepNext w:val="0"/>
        <w:keepLines w:val="0"/>
        <w:pageBreakBefore w:val="0"/>
        <w:kinsoku/>
        <w:wordWrap/>
        <w:overflowPunct/>
        <w:topLinePunct w:val="0"/>
        <w:bidi w:val="0"/>
        <w:spacing w:beforeAutospacing="0" w:after="0" w:afterAutospacing="0"/>
        <w:rPr>
          <w:rFonts w:ascii="黑体" w:hAnsi="宋体" w:eastAsia="黑体" w:cs="宋体"/>
          <w:bCs/>
          <w:color w:val="auto"/>
          <w:szCs w:val="21"/>
        </w:rPr>
      </w:pPr>
      <w:r>
        <w:rPr>
          <w:rFonts w:hint="eastAsia" w:ascii="黑体" w:hAnsi="宋体" w:eastAsia="黑体" w:cs="宋体"/>
          <w:bCs/>
          <w:color w:val="auto"/>
          <w:szCs w:val="21"/>
        </w:rPr>
        <w:t>1</w:t>
      </w:r>
      <w:r>
        <w:rPr>
          <w:rFonts w:ascii="黑体" w:hAnsi="宋体" w:eastAsia="黑体" w:cs="宋体"/>
          <w:bCs/>
          <w:color w:val="auto"/>
          <w:szCs w:val="21"/>
        </w:rPr>
        <w:t>.2.3</w:t>
      </w:r>
      <w:r>
        <w:rPr>
          <w:rFonts w:hint="eastAsia" w:ascii="黑体" w:hAnsi="宋体" w:eastAsia="黑体" w:cs="宋体"/>
          <w:bCs/>
          <w:color w:val="auto"/>
          <w:szCs w:val="21"/>
          <w:lang w:val="en-US" w:eastAsia="zh-CN"/>
        </w:rPr>
        <w:t xml:space="preserve">  </w:t>
      </w:r>
      <w:r>
        <w:rPr>
          <w:rFonts w:hint="eastAsia" w:ascii="黑体" w:hAnsi="宋体" w:eastAsia="黑体" w:cs="宋体"/>
          <w:bCs/>
          <w:color w:val="auto"/>
          <w:szCs w:val="21"/>
        </w:rPr>
        <w:t>项目的可行性阐述</w:t>
      </w:r>
    </w:p>
    <w:p w14:paraId="4802204B">
      <w:pPr>
        <w:pStyle w:val="3"/>
        <w:keepNext w:val="0"/>
        <w:keepLines w:val="0"/>
        <w:pageBreakBefore w:val="0"/>
        <w:kinsoku/>
        <w:wordWrap/>
        <w:overflowPunct/>
        <w:topLinePunct w:val="0"/>
        <w:bidi w:val="0"/>
        <w:spacing w:beforeAutospacing="0" w:after="0" w:afterAutospacing="0"/>
        <w:ind w:firstLine="420" w:firstLineChars="200"/>
        <w:rPr>
          <w:rFonts w:hint="eastAsia" w:ascii="宋体" w:hAnsi="宋体" w:eastAsiaTheme="minorEastAsia"/>
          <w:color w:val="auto"/>
          <w:szCs w:val="21"/>
        </w:rPr>
      </w:pPr>
      <w:r>
        <w:rPr>
          <w:rFonts w:hint="eastAsia" w:ascii="宋体" w:hAnsi="宋体" w:eastAsiaTheme="minorEastAsia"/>
          <w:color w:val="auto"/>
          <w:szCs w:val="21"/>
        </w:rPr>
        <w:t>目前重有色金属冶炼行业之间的</w:t>
      </w:r>
      <w:r>
        <w:rPr>
          <w:rFonts w:hint="eastAsia" w:ascii="宋体" w:hAnsi="宋体" w:eastAsiaTheme="minorEastAsia"/>
          <w:color w:val="auto"/>
          <w:szCs w:val="21"/>
          <w:lang w:val="en-US" w:eastAsia="zh-CN"/>
        </w:rPr>
        <w:t>取制样</w:t>
      </w:r>
      <w:r>
        <w:rPr>
          <w:rFonts w:hint="eastAsia" w:ascii="宋体" w:hAnsi="宋体" w:eastAsiaTheme="minorEastAsia"/>
          <w:color w:val="auto"/>
          <w:szCs w:val="21"/>
        </w:rPr>
        <w:t>仍然还是以人工为主，但涉及到一些皮带运输上的矿物（如火车到厂、货轮到港），人工取样存在劳动强度大、动作频次高、作业环境差、取样空间小等诸多因素限制，存在较大的安全隐患。而采用机械取样可以有效规避上述问题，且能实现降本增效，消除安全隐患，如皮带自动取样机，目前规模较大的重有色金属冶炼厂基本都采用了这种自动化取样方式，技术的先进性和经济性是得到了验证的</w:t>
      </w:r>
      <w:r>
        <w:rPr>
          <w:rFonts w:hint="eastAsia" w:ascii="宋体" w:hAnsi="宋体" w:eastAsiaTheme="minorEastAsia"/>
          <w:color w:val="auto"/>
          <w:szCs w:val="21"/>
          <w:lang w:eastAsia="zh-CN"/>
        </w:rPr>
        <w:t>。</w:t>
      </w:r>
      <w:r>
        <w:rPr>
          <w:rFonts w:hint="eastAsia" w:ascii="宋体" w:hAnsi="宋体" w:eastAsiaTheme="minorEastAsia"/>
          <w:color w:val="auto"/>
          <w:szCs w:val="21"/>
        </w:rPr>
        <w:t>其次在制样环节，由于品质分析样对样品加工粒度要求较高，化验分析结果不仅影响贸易双方的品质交换，还影响企业的金属平衡工作。原有标准中只是要求制样后的粒度100%通过100微米（1</w:t>
      </w:r>
      <w:r>
        <w:rPr>
          <w:rFonts w:hint="eastAsia" w:ascii="宋体" w:hAnsi="宋体" w:eastAsiaTheme="minorEastAsia"/>
          <w:color w:val="auto"/>
          <w:szCs w:val="21"/>
          <w:lang w:val="en-US" w:eastAsia="zh-CN"/>
        </w:rPr>
        <w:t>50</w:t>
      </w:r>
      <w:r>
        <w:rPr>
          <w:rFonts w:hint="eastAsia" w:ascii="宋体" w:hAnsi="宋体" w:eastAsiaTheme="minorEastAsia"/>
          <w:color w:val="auto"/>
          <w:szCs w:val="21"/>
        </w:rPr>
        <w:t>目），但金银分析要求样品粒度小于88微米（180目），传统的制样机制样无法满足此项粒度要求，且研磨容易发热引发矿样的品质波动，而目前冶炼企业大多采用棒磨机制样，粒度更加均匀，粒度能够保证通过180目筛，保证了化验分析结果的准确性、一致性。相关技术成熟度高，可行性强，且棒磨机研磨后的样品可以直接装袋进行品质化验，这大大提高工作效率，改善现场作业环境，为企业降本增效提供了可能性。</w:t>
      </w:r>
    </w:p>
    <w:p w14:paraId="6F831A44">
      <w:pPr>
        <w:pStyle w:val="17"/>
        <w:keepNext w:val="0"/>
        <w:keepLines w:val="0"/>
        <w:pageBreakBefore w:val="0"/>
        <w:kinsoku/>
        <w:wordWrap/>
        <w:overflowPunct/>
        <w:topLinePunct w:val="0"/>
        <w:bidi w:val="0"/>
        <w:spacing w:beforeLines="0" w:beforeAutospacing="0" w:afterLines="0" w:afterAutospacing="0" w:line="440" w:lineRule="exact"/>
        <w:outlineLvl w:val="9"/>
        <w:rPr>
          <w:rFonts w:hAnsi="黑体" w:cs="黑体"/>
          <w:color w:val="auto"/>
          <w:szCs w:val="21"/>
        </w:rPr>
      </w:pPr>
      <w:r>
        <w:rPr>
          <w:rFonts w:hint="eastAsia" w:hAnsi="黑体" w:cs="黑体"/>
          <w:color w:val="auto"/>
          <w:szCs w:val="21"/>
        </w:rPr>
        <w:t>1.3</w:t>
      </w:r>
      <w:r>
        <w:rPr>
          <w:rFonts w:hint="eastAsia" w:hAnsi="黑体" w:cs="黑体"/>
          <w:color w:val="auto"/>
          <w:szCs w:val="21"/>
          <w:lang w:val="en-US" w:eastAsia="zh-CN"/>
        </w:rPr>
        <w:t xml:space="preserve">  </w:t>
      </w:r>
      <w:r>
        <w:rPr>
          <w:rFonts w:hint="eastAsia" w:hAnsi="黑体" w:cs="黑体"/>
          <w:color w:val="auto"/>
          <w:szCs w:val="21"/>
        </w:rPr>
        <w:t>主要参加单位和工作成员所作的工作</w:t>
      </w:r>
    </w:p>
    <w:p w14:paraId="1DA4DF7D">
      <w:pPr>
        <w:keepNext w:val="0"/>
        <w:keepLines w:val="0"/>
        <w:pageBreakBefore w:val="0"/>
        <w:kinsoku/>
        <w:wordWrap/>
        <w:overflowPunct/>
        <w:topLinePunct w:val="0"/>
        <w:bidi w:val="0"/>
        <w:spacing w:beforeAutospacing="0" w:afterAutospacing="0"/>
        <w:ind w:firstLine="420" w:firstLineChars="200"/>
        <w:rPr>
          <w:rFonts w:hint="eastAsia" w:hAnsi="黑体" w:cs="黑体"/>
          <w:color w:val="0000FF"/>
          <w:szCs w:val="21"/>
        </w:rPr>
      </w:pPr>
      <w:r>
        <w:rPr>
          <w:rFonts w:hint="eastAsia" w:hAnsi="黑体" w:cs="黑体"/>
          <w:color w:val="0000FF"/>
          <w:szCs w:val="21"/>
        </w:rPr>
        <w:t>本项目涉及5个部分的整合，由有色金属技术经济研究院有限责任公司牵头、</w:t>
      </w:r>
      <w:r>
        <w:rPr>
          <w:rFonts w:hint="eastAsia" w:hAnsi="黑体" w:cs="黑体"/>
          <w:color w:val="0000FF"/>
          <w:szCs w:val="21"/>
          <w:lang w:val="en-US" w:eastAsia="zh-CN"/>
        </w:rPr>
        <w:t>除铅精矿外其他</w:t>
      </w:r>
      <w:r>
        <w:rPr>
          <w:rFonts w:hint="eastAsia" w:hAnsi="黑体" w:cs="黑体"/>
          <w:color w:val="0000FF"/>
          <w:szCs w:val="21"/>
        </w:rPr>
        <w:t>原标准各部分金属品种牵头单位仍的主要负责该金属品种金属平衡内容的修订和汇总工作。</w:t>
      </w:r>
      <w:r>
        <w:rPr>
          <w:rFonts w:hint="eastAsia" w:hAnsi="黑体" w:cs="黑体"/>
          <w:color w:val="0000FF"/>
          <w:szCs w:val="21"/>
          <w:lang w:val="en-US" w:eastAsia="zh-CN"/>
        </w:rPr>
        <w:t>其中铅精矿部分改为河南豫光金铅股份有限公司负责。新增锑精矿验证部分由锡矿山闪星锑业有限责任公司负责</w:t>
      </w:r>
      <w:r>
        <w:rPr>
          <w:rFonts w:hint="eastAsia" w:hAnsi="黑体" w:cs="黑体"/>
          <w:color w:val="0000FF"/>
          <w:szCs w:val="21"/>
        </w:rPr>
        <w:t>具体如下表1。</w:t>
      </w:r>
    </w:p>
    <w:p w14:paraId="73470EB2">
      <w:pPr>
        <w:keepNext w:val="0"/>
        <w:keepLines w:val="0"/>
        <w:pageBreakBefore w:val="0"/>
        <w:kinsoku/>
        <w:wordWrap/>
        <w:overflowPunct/>
        <w:topLinePunct w:val="0"/>
        <w:bidi w:val="0"/>
        <w:adjustRightInd w:val="0"/>
        <w:snapToGrid w:val="0"/>
        <w:spacing w:beforeAutospacing="0" w:afterAutospacing="0"/>
        <w:jc w:val="center"/>
        <w:rPr>
          <w:rFonts w:ascii="Times New Roman" w:hAnsi="Times New Roman" w:eastAsia="黑体" w:cs="Times New Roman"/>
          <w:color w:val="0000FF"/>
          <w:szCs w:val="21"/>
        </w:rPr>
      </w:pPr>
      <w:r>
        <w:rPr>
          <w:rFonts w:hint="eastAsia" w:ascii="Times New Roman" w:hAnsi="Times New Roman" w:eastAsia="黑体" w:cs="Times New Roman"/>
          <w:color w:val="0000FF"/>
          <w:szCs w:val="21"/>
        </w:rPr>
        <w:t>表1</w:t>
      </w:r>
      <w:r>
        <w:rPr>
          <w:rFonts w:ascii="Times New Roman" w:hAnsi="Times New Roman" w:eastAsia="黑体" w:cs="Times New Roman"/>
          <w:color w:val="0000FF"/>
          <w:szCs w:val="21"/>
        </w:rPr>
        <w:t xml:space="preserve"> </w:t>
      </w:r>
      <w:r>
        <w:rPr>
          <w:rFonts w:hint="eastAsia" w:ascii="Times New Roman" w:hAnsi="Times New Roman" w:eastAsia="黑体" w:cs="Times New Roman"/>
          <w:color w:val="0000FF"/>
          <w:szCs w:val="21"/>
        </w:rPr>
        <w:t>主要起草单位、起草人及工作职责</w:t>
      </w:r>
    </w:p>
    <w:tbl>
      <w:tblPr>
        <w:tblStyle w:val="10"/>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2983"/>
        <w:gridCol w:w="1916"/>
        <w:gridCol w:w="3178"/>
      </w:tblGrid>
      <w:tr w14:paraId="2EA0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 w:type="dxa"/>
            <w:vAlign w:val="center"/>
          </w:tcPr>
          <w:p w14:paraId="4E967FC4">
            <w:pPr>
              <w:keepNext w:val="0"/>
              <w:keepLines w:val="0"/>
              <w:pageBreakBefore w:val="0"/>
              <w:kinsoku/>
              <w:wordWrap/>
              <w:overflowPunct/>
              <w:topLinePunct w:val="0"/>
              <w:bidi w:val="0"/>
              <w:spacing w:beforeAutospacing="0" w:afterAutospacing="0" w:line="240" w:lineRule="auto"/>
              <w:jc w:val="center"/>
              <w:rPr>
                <w:rFonts w:ascii="宋体" w:hAnsi="宋体" w:eastAsia="宋体" w:cs="宋体"/>
                <w:color w:val="0000FF"/>
                <w:sz w:val="18"/>
                <w:szCs w:val="18"/>
              </w:rPr>
            </w:pPr>
            <w:r>
              <w:rPr>
                <w:rFonts w:hint="eastAsia" w:ascii="宋体" w:hAnsi="宋体" w:eastAsia="宋体" w:cs="宋体"/>
                <w:color w:val="0000FF"/>
                <w:sz w:val="18"/>
                <w:szCs w:val="18"/>
              </w:rPr>
              <w:t>编号</w:t>
            </w:r>
          </w:p>
        </w:tc>
        <w:tc>
          <w:tcPr>
            <w:tcW w:w="2983" w:type="dxa"/>
            <w:vAlign w:val="center"/>
          </w:tcPr>
          <w:p w14:paraId="4BE6FBEB">
            <w:pPr>
              <w:keepNext w:val="0"/>
              <w:keepLines w:val="0"/>
              <w:pageBreakBefore w:val="0"/>
              <w:kinsoku/>
              <w:wordWrap/>
              <w:overflowPunct/>
              <w:topLinePunct w:val="0"/>
              <w:bidi w:val="0"/>
              <w:spacing w:beforeAutospacing="0" w:afterAutospacing="0" w:line="240" w:lineRule="auto"/>
              <w:jc w:val="center"/>
              <w:rPr>
                <w:rFonts w:ascii="宋体" w:hAnsi="宋体" w:eastAsia="宋体" w:cs="宋体"/>
                <w:color w:val="0000FF"/>
                <w:sz w:val="18"/>
                <w:szCs w:val="18"/>
              </w:rPr>
            </w:pPr>
            <w:r>
              <w:rPr>
                <w:rFonts w:hint="eastAsia" w:ascii="宋体" w:hAnsi="宋体" w:eastAsia="宋体" w:cs="宋体"/>
                <w:color w:val="0000FF"/>
                <w:sz w:val="18"/>
                <w:szCs w:val="18"/>
              </w:rPr>
              <w:t>起草单位</w:t>
            </w:r>
          </w:p>
        </w:tc>
        <w:tc>
          <w:tcPr>
            <w:tcW w:w="1916" w:type="dxa"/>
            <w:vAlign w:val="center"/>
          </w:tcPr>
          <w:p w14:paraId="14A7D64F">
            <w:pPr>
              <w:keepNext w:val="0"/>
              <w:keepLines w:val="0"/>
              <w:pageBreakBefore w:val="0"/>
              <w:kinsoku/>
              <w:wordWrap/>
              <w:overflowPunct/>
              <w:topLinePunct w:val="0"/>
              <w:bidi w:val="0"/>
              <w:spacing w:beforeAutospacing="0" w:afterAutospacing="0" w:line="240" w:lineRule="auto"/>
              <w:jc w:val="center"/>
              <w:rPr>
                <w:rFonts w:ascii="宋体" w:hAnsi="宋体" w:eastAsia="宋体" w:cs="宋体"/>
                <w:color w:val="0000FF"/>
                <w:sz w:val="18"/>
                <w:szCs w:val="18"/>
              </w:rPr>
            </w:pPr>
            <w:r>
              <w:rPr>
                <w:rFonts w:hint="eastAsia" w:ascii="宋体" w:hAnsi="宋体" w:eastAsia="宋体" w:cs="宋体"/>
                <w:color w:val="0000FF"/>
                <w:sz w:val="18"/>
                <w:szCs w:val="18"/>
              </w:rPr>
              <w:t>起草人</w:t>
            </w:r>
          </w:p>
        </w:tc>
        <w:tc>
          <w:tcPr>
            <w:tcW w:w="3178" w:type="dxa"/>
            <w:vAlign w:val="center"/>
          </w:tcPr>
          <w:p w14:paraId="3DDB2BF9">
            <w:pPr>
              <w:keepNext w:val="0"/>
              <w:keepLines w:val="0"/>
              <w:pageBreakBefore w:val="0"/>
              <w:kinsoku/>
              <w:wordWrap/>
              <w:overflowPunct/>
              <w:topLinePunct w:val="0"/>
              <w:bidi w:val="0"/>
              <w:spacing w:beforeAutospacing="0" w:afterAutospacing="0" w:line="240" w:lineRule="auto"/>
              <w:ind w:firstLine="360" w:firstLineChars="200"/>
              <w:jc w:val="center"/>
              <w:rPr>
                <w:rFonts w:ascii="宋体" w:hAnsi="宋体" w:eastAsia="宋体" w:cs="宋体"/>
                <w:color w:val="0000FF"/>
                <w:sz w:val="18"/>
                <w:szCs w:val="18"/>
              </w:rPr>
            </w:pPr>
            <w:r>
              <w:rPr>
                <w:rFonts w:hint="eastAsia" w:ascii="宋体" w:hAnsi="宋体" w:eastAsia="宋体" w:cs="宋体"/>
                <w:color w:val="0000FF"/>
                <w:sz w:val="18"/>
                <w:szCs w:val="18"/>
              </w:rPr>
              <w:t>工作职责</w:t>
            </w:r>
          </w:p>
        </w:tc>
      </w:tr>
      <w:tr w14:paraId="0738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43" w:type="dxa"/>
            <w:vAlign w:val="center"/>
          </w:tcPr>
          <w:p w14:paraId="7F3613B3">
            <w:pPr>
              <w:pStyle w:val="9"/>
              <w:keepNext w:val="0"/>
              <w:keepLines w:val="0"/>
              <w:pageBreakBefore w:val="0"/>
              <w:kinsoku/>
              <w:wordWrap/>
              <w:overflowPunct/>
              <w:topLinePunct w:val="0"/>
              <w:bidi w:val="0"/>
              <w:adjustRightInd w:val="0"/>
              <w:snapToGrid w:val="0"/>
              <w:spacing w:before="0" w:beforeAutospacing="0" w:after="0" w:afterAutospacing="0" w:line="240" w:lineRule="auto"/>
              <w:jc w:val="center"/>
              <w:rPr>
                <w:rFonts w:ascii="Times New Roman" w:hAnsi="Times New Roman" w:cs="Times New Roman"/>
                <w:color w:val="0000FF"/>
                <w:kern w:val="2"/>
                <w:sz w:val="18"/>
                <w:szCs w:val="18"/>
              </w:rPr>
            </w:pPr>
            <w:r>
              <w:rPr>
                <w:rFonts w:ascii="Times New Roman" w:hAnsi="Times New Roman" w:cs="Times New Roman"/>
                <w:color w:val="0000FF"/>
                <w:kern w:val="2"/>
                <w:sz w:val="18"/>
                <w:szCs w:val="18"/>
              </w:rPr>
              <w:t>1</w:t>
            </w:r>
          </w:p>
        </w:tc>
        <w:tc>
          <w:tcPr>
            <w:tcW w:w="2983" w:type="dxa"/>
            <w:vAlign w:val="center"/>
          </w:tcPr>
          <w:p w14:paraId="51BB9781">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ascii="Times New Roman" w:hAnsi="Times New Roman" w:cs="Times New Roman"/>
                <w:color w:val="0000FF"/>
                <w:kern w:val="2"/>
                <w:sz w:val="18"/>
                <w:szCs w:val="18"/>
              </w:rPr>
            </w:pPr>
            <w:r>
              <w:rPr>
                <w:rFonts w:hint="eastAsia" w:ascii="Times New Roman" w:hAnsi="Times New Roman" w:cs="Times New Roman"/>
                <w:color w:val="0000FF"/>
                <w:kern w:val="2"/>
                <w:sz w:val="18"/>
                <w:szCs w:val="18"/>
              </w:rPr>
              <w:t>有色金属技术经济研究院有限责任公司</w:t>
            </w:r>
          </w:p>
        </w:tc>
        <w:tc>
          <w:tcPr>
            <w:tcW w:w="1916" w:type="dxa"/>
            <w:vAlign w:val="center"/>
          </w:tcPr>
          <w:p w14:paraId="3B440647">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eastAsia="宋体"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吴帅锦、林若虚</w:t>
            </w:r>
          </w:p>
        </w:tc>
        <w:tc>
          <w:tcPr>
            <w:tcW w:w="3178" w:type="dxa"/>
            <w:vAlign w:val="center"/>
          </w:tcPr>
          <w:p w14:paraId="4F80CC47">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ascii="Times New Roman" w:hAnsi="Times New Roman" w:cs="Times New Roman"/>
                <w:color w:val="0000FF"/>
                <w:kern w:val="2"/>
                <w:sz w:val="18"/>
                <w:szCs w:val="18"/>
              </w:rPr>
            </w:pPr>
            <w:r>
              <w:rPr>
                <w:rFonts w:hint="eastAsia" w:ascii="Times New Roman" w:hAnsi="Times New Roman" w:cs="Times New Roman"/>
                <w:color w:val="0000FF"/>
                <w:kern w:val="2"/>
                <w:sz w:val="18"/>
                <w:szCs w:val="18"/>
              </w:rPr>
              <w:t>统筹协调，整合汇总</w:t>
            </w:r>
          </w:p>
        </w:tc>
      </w:tr>
      <w:tr w14:paraId="5E3D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43" w:type="dxa"/>
            <w:vAlign w:val="center"/>
          </w:tcPr>
          <w:p w14:paraId="532AAE58">
            <w:pPr>
              <w:pStyle w:val="9"/>
              <w:keepNext w:val="0"/>
              <w:keepLines w:val="0"/>
              <w:pageBreakBefore w:val="0"/>
              <w:kinsoku/>
              <w:wordWrap/>
              <w:overflowPunct/>
              <w:topLinePunct w:val="0"/>
              <w:bidi w:val="0"/>
              <w:adjustRightInd w:val="0"/>
              <w:snapToGrid w:val="0"/>
              <w:spacing w:before="0" w:beforeAutospacing="0" w:after="0" w:afterAutospacing="0" w:line="240" w:lineRule="auto"/>
              <w:jc w:val="center"/>
              <w:rPr>
                <w:rFonts w:ascii="Times New Roman" w:hAnsi="Times New Roman" w:cs="Times New Roman"/>
                <w:color w:val="0000FF"/>
                <w:kern w:val="2"/>
                <w:sz w:val="18"/>
                <w:szCs w:val="18"/>
              </w:rPr>
            </w:pPr>
            <w:r>
              <w:rPr>
                <w:rFonts w:ascii="Times New Roman" w:hAnsi="Times New Roman" w:cs="Times New Roman"/>
                <w:color w:val="0000FF"/>
                <w:kern w:val="2"/>
                <w:sz w:val="18"/>
                <w:szCs w:val="18"/>
              </w:rPr>
              <w:t>2</w:t>
            </w:r>
          </w:p>
        </w:tc>
        <w:tc>
          <w:tcPr>
            <w:tcW w:w="2983" w:type="dxa"/>
            <w:vAlign w:val="center"/>
          </w:tcPr>
          <w:p w14:paraId="0F9131FC">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ascii="Times New Roman" w:hAnsi="Times New Roman" w:cs="Times New Roman" w:eastAsiaTheme="minorEastAsia"/>
                <w:color w:val="0000FF"/>
                <w:kern w:val="2"/>
                <w:sz w:val="18"/>
                <w:szCs w:val="18"/>
              </w:rPr>
            </w:pPr>
            <w:r>
              <w:rPr>
                <w:rFonts w:hint="eastAsia" w:ascii="Times New Roman" w:hAnsi="Times New Roman" w:cs="Times New Roman"/>
                <w:color w:val="0000FF"/>
                <w:kern w:val="2"/>
                <w:sz w:val="18"/>
                <w:szCs w:val="18"/>
              </w:rPr>
              <w:t>大冶有色金属有限责任公司</w:t>
            </w:r>
          </w:p>
        </w:tc>
        <w:tc>
          <w:tcPr>
            <w:tcW w:w="1916" w:type="dxa"/>
            <w:vAlign w:val="center"/>
          </w:tcPr>
          <w:p w14:paraId="5760C4DA">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eastAsia="宋体"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曾静、贾俊骐、万佳韦</w:t>
            </w:r>
          </w:p>
        </w:tc>
        <w:tc>
          <w:tcPr>
            <w:tcW w:w="3178" w:type="dxa"/>
            <w:vAlign w:val="center"/>
          </w:tcPr>
          <w:p w14:paraId="49F2AFE0">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eastAsia="宋体" w:cs="Times New Roman"/>
                <w:color w:val="0000FF"/>
                <w:kern w:val="2"/>
                <w:sz w:val="18"/>
                <w:szCs w:val="18"/>
                <w:lang w:val="en-US" w:eastAsia="zh-CN"/>
              </w:rPr>
            </w:pPr>
            <w:r>
              <w:rPr>
                <w:rFonts w:hint="eastAsia" w:ascii="Times New Roman" w:hAnsi="Times New Roman" w:cs="Times New Roman"/>
                <w:color w:val="0000FF"/>
                <w:kern w:val="2"/>
                <w:sz w:val="18"/>
                <w:szCs w:val="18"/>
              </w:rPr>
              <w:t>铜</w:t>
            </w:r>
            <w:r>
              <w:rPr>
                <w:rFonts w:hint="eastAsia" w:ascii="Times New Roman" w:hAnsi="Times New Roman" w:cs="Times New Roman"/>
                <w:color w:val="0000FF"/>
                <w:kern w:val="2"/>
                <w:sz w:val="18"/>
                <w:szCs w:val="18"/>
                <w:lang w:val="en-US" w:eastAsia="zh-CN"/>
              </w:rPr>
              <w:t>精矿</w:t>
            </w:r>
            <w:r>
              <w:rPr>
                <w:rFonts w:hint="eastAsia" w:ascii="Times New Roman" w:hAnsi="Times New Roman" w:cs="Times New Roman"/>
                <w:color w:val="0000FF"/>
                <w:kern w:val="2"/>
                <w:sz w:val="18"/>
                <w:szCs w:val="18"/>
              </w:rPr>
              <w:t>的负责单位</w:t>
            </w:r>
            <w:r>
              <w:rPr>
                <w:rFonts w:hint="eastAsia" w:ascii="Times New Roman" w:hAnsi="Times New Roman" w:cs="Times New Roman"/>
                <w:color w:val="0000FF"/>
                <w:kern w:val="2"/>
                <w:sz w:val="18"/>
                <w:szCs w:val="18"/>
                <w:lang w:eastAsia="zh-CN"/>
              </w:rPr>
              <w:t>、</w:t>
            </w:r>
            <w:r>
              <w:rPr>
                <w:rFonts w:hint="eastAsia" w:ascii="Times New Roman" w:hAnsi="Times New Roman" w:cs="Times New Roman"/>
                <w:color w:val="0000FF"/>
                <w:kern w:val="2"/>
                <w:sz w:val="18"/>
                <w:szCs w:val="18"/>
                <w:lang w:val="en-US" w:eastAsia="zh-CN"/>
              </w:rPr>
              <w:t>负责技术修订总体把关</w:t>
            </w:r>
          </w:p>
        </w:tc>
      </w:tr>
      <w:tr w14:paraId="2C6A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43" w:type="dxa"/>
            <w:vAlign w:val="center"/>
          </w:tcPr>
          <w:p w14:paraId="01E98D3A">
            <w:pPr>
              <w:pStyle w:val="9"/>
              <w:keepNext w:val="0"/>
              <w:keepLines w:val="0"/>
              <w:pageBreakBefore w:val="0"/>
              <w:kinsoku/>
              <w:wordWrap/>
              <w:overflowPunct/>
              <w:topLinePunct w:val="0"/>
              <w:bidi w:val="0"/>
              <w:adjustRightInd w:val="0"/>
              <w:snapToGrid w:val="0"/>
              <w:spacing w:before="0" w:beforeAutospacing="0" w:after="0" w:afterAutospacing="0" w:line="240" w:lineRule="auto"/>
              <w:jc w:val="center"/>
              <w:rPr>
                <w:rFonts w:ascii="Times New Roman" w:hAnsi="Times New Roman" w:cs="Times New Roman"/>
                <w:color w:val="0000FF"/>
                <w:kern w:val="2"/>
                <w:sz w:val="18"/>
                <w:szCs w:val="18"/>
              </w:rPr>
            </w:pPr>
            <w:r>
              <w:rPr>
                <w:rFonts w:ascii="Times New Roman" w:hAnsi="Times New Roman" w:cs="Times New Roman"/>
                <w:color w:val="0000FF"/>
                <w:kern w:val="2"/>
                <w:sz w:val="18"/>
                <w:szCs w:val="18"/>
              </w:rPr>
              <w:t>3</w:t>
            </w:r>
          </w:p>
        </w:tc>
        <w:tc>
          <w:tcPr>
            <w:tcW w:w="2983" w:type="dxa"/>
            <w:vAlign w:val="center"/>
          </w:tcPr>
          <w:p w14:paraId="6AFFD7F5">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eastAsia" w:ascii="Times New Roman" w:hAnsi="Times New Roman"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河南豫光金铅股份有限公司</w:t>
            </w:r>
          </w:p>
          <w:p w14:paraId="241CA686">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cs="Times New Roman"/>
                <w:color w:val="0000FF"/>
                <w:kern w:val="2"/>
                <w:sz w:val="18"/>
                <w:szCs w:val="18"/>
                <w:lang w:val="en-US" w:eastAsia="zh-CN"/>
              </w:rPr>
            </w:pPr>
          </w:p>
        </w:tc>
        <w:tc>
          <w:tcPr>
            <w:tcW w:w="1916" w:type="dxa"/>
            <w:vAlign w:val="center"/>
          </w:tcPr>
          <w:p w14:paraId="4D22D1E8">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eastAsia" w:ascii="Times New Roman" w:hAnsi="Times New Roman" w:eastAsia="宋体"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牛军民、</w:t>
            </w:r>
            <w:r>
              <w:rPr>
                <w:rFonts w:hint="eastAsia"/>
                <w:color w:val="0000FF"/>
                <w:sz w:val="18"/>
                <w:szCs w:val="18"/>
              </w:rPr>
              <w:t>原张喜</w:t>
            </w:r>
          </w:p>
        </w:tc>
        <w:tc>
          <w:tcPr>
            <w:tcW w:w="3178" w:type="dxa"/>
            <w:vAlign w:val="center"/>
          </w:tcPr>
          <w:p w14:paraId="35FE55C8">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cs="Times New Roman"/>
                <w:color w:val="0000FF"/>
                <w:kern w:val="2"/>
                <w:sz w:val="18"/>
                <w:szCs w:val="18"/>
                <w:lang w:val="en-US"/>
              </w:rPr>
            </w:pPr>
            <w:r>
              <w:rPr>
                <w:rFonts w:hint="eastAsia" w:ascii="Times New Roman" w:hAnsi="Times New Roman" w:cs="Times New Roman"/>
                <w:color w:val="0000FF"/>
                <w:kern w:val="2"/>
                <w:sz w:val="18"/>
                <w:szCs w:val="18"/>
                <w:lang w:val="en-US" w:eastAsia="zh-CN"/>
              </w:rPr>
              <w:t>铅精矿</w:t>
            </w:r>
            <w:r>
              <w:rPr>
                <w:rFonts w:hint="eastAsia" w:ascii="Times New Roman" w:hAnsi="Times New Roman" w:cs="Times New Roman"/>
                <w:color w:val="0000FF"/>
                <w:kern w:val="2"/>
                <w:sz w:val="18"/>
                <w:szCs w:val="18"/>
              </w:rPr>
              <w:t>的负责单位</w:t>
            </w:r>
            <w:r>
              <w:rPr>
                <w:rFonts w:hint="eastAsia" w:ascii="Times New Roman" w:hAnsi="Times New Roman" w:cs="Times New Roman"/>
                <w:color w:val="0000FF"/>
                <w:kern w:val="2"/>
                <w:sz w:val="18"/>
                <w:szCs w:val="18"/>
                <w:lang w:eastAsia="zh-CN"/>
              </w:rPr>
              <w:t>、</w:t>
            </w:r>
            <w:r>
              <w:rPr>
                <w:rFonts w:hint="eastAsia" w:ascii="Times New Roman" w:hAnsi="Times New Roman" w:cs="Times New Roman"/>
                <w:color w:val="0000FF"/>
                <w:kern w:val="2"/>
                <w:sz w:val="18"/>
                <w:szCs w:val="18"/>
                <w:lang w:val="en-US" w:eastAsia="zh-CN"/>
              </w:rPr>
              <w:t>负责该品种技术修订总体把关</w:t>
            </w:r>
          </w:p>
        </w:tc>
      </w:tr>
      <w:tr w14:paraId="6F35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43" w:type="dxa"/>
            <w:vAlign w:val="center"/>
          </w:tcPr>
          <w:p w14:paraId="51E712B9">
            <w:pPr>
              <w:pStyle w:val="9"/>
              <w:keepNext w:val="0"/>
              <w:keepLines w:val="0"/>
              <w:pageBreakBefore w:val="0"/>
              <w:kinsoku/>
              <w:wordWrap/>
              <w:overflowPunct/>
              <w:topLinePunct w:val="0"/>
              <w:bidi w:val="0"/>
              <w:adjustRightInd w:val="0"/>
              <w:snapToGrid w:val="0"/>
              <w:spacing w:before="0" w:beforeAutospacing="0" w:after="0" w:afterAutospacing="0" w:line="240" w:lineRule="auto"/>
              <w:jc w:val="center"/>
              <w:rPr>
                <w:rFonts w:hint="eastAsia" w:ascii="Times New Roman" w:hAnsi="Times New Roman" w:eastAsia="宋体"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4</w:t>
            </w:r>
          </w:p>
        </w:tc>
        <w:tc>
          <w:tcPr>
            <w:tcW w:w="2983" w:type="dxa"/>
            <w:shd w:val="clear" w:color="auto" w:fill="auto"/>
            <w:vAlign w:val="center"/>
          </w:tcPr>
          <w:p w14:paraId="5C21A3DA">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eastAsia="宋体" w:cs="Times New Roman"/>
                <w:color w:val="0000FF"/>
                <w:kern w:val="2"/>
                <w:sz w:val="18"/>
                <w:szCs w:val="18"/>
                <w:lang w:val="en-US" w:eastAsia="zh-CN" w:bidi="ar-SA"/>
              </w:rPr>
            </w:pPr>
            <w:r>
              <w:rPr>
                <w:rFonts w:hint="eastAsia" w:ascii="Times New Roman" w:hAnsi="Times New Roman" w:cs="Times New Roman"/>
                <w:color w:val="0000FF"/>
                <w:kern w:val="2"/>
                <w:sz w:val="18"/>
                <w:szCs w:val="18"/>
              </w:rPr>
              <w:t>葫芦岛锌业股份有限公司</w:t>
            </w:r>
          </w:p>
        </w:tc>
        <w:tc>
          <w:tcPr>
            <w:tcW w:w="1916" w:type="dxa"/>
            <w:vAlign w:val="center"/>
          </w:tcPr>
          <w:p w14:paraId="30BAA6F4">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eastAsia" w:ascii="Times New Roman" w:hAnsi="Times New Roman" w:eastAsia="宋体"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孟庆武、</w:t>
            </w:r>
            <w:r>
              <w:rPr>
                <w:rFonts w:hint="eastAsia"/>
                <w:color w:val="0000FF"/>
                <w:sz w:val="18"/>
                <w:szCs w:val="18"/>
              </w:rPr>
              <w:t>张冬明</w:t>
            </w:r>
            <w:r>
              <w:rPr>
                <w:rFonts w:hint="eastAsia"/>
                <w:color w:val="0000FF"/>
                <w:sz w:val="18"/>
                <w:szCs w:val="18"/>
                <w:lang w:eastAsia="zh-CN"/>
              </w:rPr>
              <w:t>、</w:t>
            </w:r>
          </w:p>
        </w:tc>
        <w:tc>
          <w:tcPr>
            <w:tcW w:w="3178" w:type="dxa"/>
            <w:vAlign w:val="center"/>
          </w:tcPr>
          <w:p w14:paraId="0881F595">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eastAsia" w:ascii="Times New Roman" w:hAnsi="Times New Roman"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锌精矿</w:t>
            </w:r>
            <w:r>
              <w:rPr>
                <w:rFonts w:hint="eastAsia" w:ascii="Times New Roman" w:hAnsi="Times New Roman" w:cs="Times New Roman"/>
                <w:color w:val="0000FF"/>
                <w:kern w:val="2"/>
                <w:sz w:val="18"/>
                <w:szCs w:val="18"/>
              </w:rPr>
              <w:t>的负责单位</w:t>
            </w:r>
            <w:r>
              <w:rPr>
                <w:rFonts w:hint="eastAsia" w:ascii="Times New Roman" w:hAnsi="Times New Roman" w:cs="Times New Roman"/>
                <w:color w:val="0000FF"/>
                <w:kern w:val="2"/>
                <w:sz w:val="18"/>
                <w:szCs w:val="18"/>
                <w:lang w:eastAsia="zh-CN"/>
              </w:rPr>
              <w:t>、</w:t>
            </w:r>
            <w:r>
              <w:rPr>
                <w:rFonts w:hint="eastAsia" w:ascii="Times New Roman" w:hAnsi="Times New Roman" w:cs="Times New Roman"/>
                <w:color w:val="0000FF"/>
                <w:kern w:val="2"/>
                <w:sz w:val="18"/>
                <w:szCs w:val="18"/>
                <w:lang w:val="en-US" w:eastAsia="zh-CN"/>
              </w:rPr>
              <w:t>负责该品种技术修订总体把关</w:t>
            </w:r>
          </w:p>
        </w:tc>
      </w:tr>
      <w:tr w14:paraId="6904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43" w:type="dxa"/>
            <w:vAlign w:val="center"/>
          </w:tcPr>
          <w:p w14:paraId="180C1B88">
            <w:pPr>
              <w:pStyle w:val="9"/>
              <w:keepNext w:val="0"/>
              <w:keepLines w:val="0"/>
              <w:pageBreakBefore w:val="0"/>
              <w:kinsoku/>
              <w:wordWrap/>
              <w:overflowPunct/>
              <w:topLinePunct w:val="0"/>
              <w:bidi w:val="0"/>
              <w:adjustRightInd w:val="0"/>
              <w:snapToGrid w:val="0"/>
              <w:spacing w:before="0" w:beforeAutospacing="0" w:after="0" w:afterAutospacing="0" w:line="240" w:lineRule="auto"/>
              <w:jc w:val="center"/>
              <w:rPr>
                <w:rFonts w:hint="default" w:ascii="Times New Roman" w:hAnsi="Times New Roman"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5</w:t>
            </w:r>
          </w:p>
        </w:tc>
        <w:tc>
          <w:tcPr>
            <w:tcW w:w="2983" w:type="dxa"/>
            <w:shd w:val="clear" w:color="auto" w:fill="auto"/>
            <w:vAlign w:val="center"/>
          </w:tcPr>
          <w:p w14:paraId="2687C527">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eastAsia" w:ascii="Times New Roman" w:hAnsi="Times New Roman" w:cs="Times New Roman"/>
                <w:color w:val="0000FF"/>
                <w:kern w:val="2"/>
                <w:sz w:val="18"/>
                <w:szCs w:val="18"/>
              </w:rPr>
            </w:pPr>
            <w:r>
              <w:rPr>
                <w:rFonts w:hint="eastAsia" w:ascii="Times New Roman" w:hAnsi="Times New Roman" w:cs="Times New Roman"/>
                <w:color w:val="0000FF"/>
                <w:kern w:val="2"/>
                <w:sz w:val="18"/>
                <w:szCs w:val="18"/>
              </w:rPr>
              <w:t>锡矿山闪星锑业有限责任公司</w:t>
            </w:r>
          </w:p>
        </w:tc>
        <w:tc>
          <w:tcPr>
            <w:tcW w:w="1916" w:type="dxa"/>
            <w:vAlign w:val="center"/>
          </w:tcPr>
          <w:p w14:paraId="72AEB320">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eastAsia="宋体"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刘琳、</w:t>
            </w:r>
            <w:r>
              <w:rPr>
                <w:rFonts w:hint="eastAsia"/>
                <w:color w:val="0000FF"/>
                <w:sz w:val="18"/>
                <w:szCs w:val="18"/>
              </w:rPr>
              <w:t>毛奇志</w:t>
            </w:r>
            <w:r>
              <w:rPr>
                <w:rFonts w:hint="eastAsia"/>
                <w:color w:val="0000FF"/>
                <w:sz w:val="18"/>
                <w:szCs w:val="18"/>
                <w:lang w:eastAsia="zh-CN"/>
              </w:rPr>
              <w:t>、</w:t>
            </w:r>
            <w:r>
              <w:rPr>
                <w:rFonts w:hint="eastAsia"/>
                <w:color w:val="0000FF"/>
                <w:sz w:val="18"/>
                <w:szCs w:val="18"/>
                <w:lang w:val="en-US" w:eastAsia="zh-CN"/>
              </w:rPr>
              <w:t>李加生、金贵忠</w:t>
            </w:r>
          </w:p>
        </w:tc>
        <w:tc>
          <w:tcPr>
            <w:tcW w:w="3178" w:type="dxa"/>
            <w:vAlign w:val="center"/>
          </w:tcPr>
          <w:p w14:paraId="4F171A0F">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eastAsia" w:ascii="Times New Roman" w:hAnsi="Times New Roman"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新增锑精矿</w:t>
            </w:r>
            <w:r>
              <w:rPr>
                <w:rFonts w:hint="eastAsia" w:ascii="Times New Roman" w:hAnsi="Times New Roman" w:cs="Times New Roman"/>
                <w:color w:val="0000FF"/>
                <w:kern w:val="2"/>
                <w:sz w:val="18"/>
                <w:szCs w:val="18"/>
              </w:rPr>
              <w:t>的负责单位</w:t>
            </w:r>
            <w:r>
              <w:rPr>
                <w:rFonts w:hint="eastAsia" w:ascii="Times New Roman" w:hAnsi="Times New Roman" w:cs="Times New Roman"/>
                <w:color w:val="0000FF"/>
                <w:kern w:val="2"/>
                <w:sz w:val="18"/>
                <w:szCs w:val="18"/>
                <w:lang w:eastAsia="zh-CN"/>
              </w:rPr>
              <w:t>、</w:t>
            </w:r>
            <w:r>
              <w:rPr>
                <w:rFonts w:hint="eastAsia" w:ascii="Times New Roman" w:hAnsi="Times New Roman" w:cs="Times New Roman"/>
                <w:color w:val="0000FF"/>
                <w:kern w:val="2"/>
                <w:sz w:val="18"/>
                <w:szCs w:val="18"/>
                <w:lang w:val="en-US" w:eastAsia="zh-CN"/>
              </w:rPr>
              <w:t>负责该品种技术总体把关</w:t>
            </w:r>
          </w:p>
        </w:tc>
      </w:tr>
      <w:tr w14:paraId="4CD6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43" w:type="dxa"/>
            <w:vAlign w:val="center"/>
          </w:tcPr>
          <w:p w14:paraId="28923F9B">
            <w:pPr>
              <w:pStyle w:val="9"/>
              <w:keepNext w:val="0"/>
              <w:keepLines w:val="0"/>
              <w:pageBreakBefore w:val="0"/>
              <w:kinsoku/>
              <w:wordWrap/>
              <w:overflowPunct/>
              <w:topLinePunct w:val="0"/>
              <w:bidi w:val="0"/>
              <w:adjustRightInd w:val="0"/>
              <w:snapToGrid w:val="0"/>
              <w:spacing w:before="0" w:beforeAutospacing="0" w:after="0" w:afterAutospacing="0" w:line="240" w:lineRule="auto"/>
              <w:jc w:val="center"/>
              <w:rPr>
                <w:rFonts w:hint="default" w:ascii="Times New Roman" w:hAnsi="Times New Roman"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6</w:t>
            </w:r>
          </w:p>
        </w:tc>
        <w:tc>
          <w:tcPr>
            <w:tcW w:w="2983" w:type="dxa"/>
            <w:shd w:val="clear" w:color="auto" w:fill="auto"/>
            <w:vAlign w:val="center"/>
          </w:tcPr>
          <w:p w14:paraId="53909E26">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eastAsia" w:ascii="Times New Roman" w:hAnsi="Times New Roman" w:eastAsia="宋体" w:cs="Times New Roman"/>
                <w:color w:val="0000FF"/>
                <w:kern w:val="2"/>
                <w:sz w:val="18"/>
                <w:szCs w:val="18"/>
                <w:lang w:val="en-US" w:eastAsia="zh-CN" w:bidi="ar-SA"/>
              </w:rPr>
            </w:pPr>
            <w:r>
              <w:rPr>
                <w:rFonts w:hint="eastAsia" w:ascii="Times New Roman" w:hAnsi="Times New Roman" w:cs="Times New Roman"/>
                <w:color w:val="0000FF"/>
                <w:kern w:val="2"/>
                <w:sz w:val="18"/>
                <w:szCs w:val="18"/>
              </w:rPr>
              <w:t>金川集团股份有限公司</w:t>
            </w:r>
          </w:p>
        </w:tc>
        <w:tc>
          <w:tcPr>
            <w:tcW w:w="1916" w:type="dxa"/>
            <w:vAlign w:val="center"/>
          </w:tcPr>
          <w:p w14:paraId="4BF89973">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eastAsia="宋体"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张文斌、陈斌</w:t>
            </w:r>
          </w:p>
        </w:tc>
        <w:tc>
          <w:tcPr>
            <w:tcW w:w="3178" w:type="dxa"/>
            <w:vAlign w:val="center"/>
          </w:tcPr>
          <w:p w14:paraId="1638FF4E">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镍精矿</w:t>
            </w:r>
            <w:r>
              <w:rPr>
                <w:rFonts w:hint="eastAsia" w:ascii="Times New Roman" w:hAnsi="Times New Roman" w:cs="Times New Roman"/>
                <w:color w:val="0000FF"/>
                <w:kern w:val="2"/>
                <w:sz w:val="18"/>
                <w:szCs w:val="18"/>
              </w:rPr>
              <w:t>的负责单位</w:t>
            </w:r>
            <w:r>
              <w:rPr>
                <w:rFonts w:hint="eastAsia" w:ascii="Times New Roman" w:hAnsi="Times New Roman" w:cs="Times New Roman"/>
                <w:color w:val="0000FF"/>
                <w:kern w:val="2"/>
                <w:sz w:val="18"/>
                <w:szCs w:val="18"/>
                <w:lang w:eastAsia="zh-CN"/>
              </w:rPr>
              <w:t>、</w:t>
            </w:r>
            <w:r>
              <w:rPr>
                <w:rFonts w:hint="eastAsia" w:ascii="Times New Roman" w:hAnsi="Times New Roman" w:cs="Times New Roman"/>
                <w:color w:val="0000FF"/>
                <w:kern w:val="2"/>
                <w:sz w:val="18"/>
                <w:szCs w:val="18"/>
                <w:lang w:val="en-US" w:eastAsia="zh-CN"/>
              </w:rPr>
              <w:t>负责该品种技术修订总体把关</w:t>
            </w:r>
          </w:p>
        </w:tc>
      </w:tr>
      <w:tr w14:paraId="16B7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3" w:type="dxa"/>
            <w:vAlign w:val="center"/>
          </w:tcPr>
          <w:p w14:paraId="37B98C2D">
            <w:pPr>
              <w:pStyle w:val="9"/>
              <w:keepNext w:val="0"/>
              <w:keepLines w:val="0"/>
              <w:pageBreakBefore w:val="0"/>
              <w:kinsoku/>
              <w:wordWrap/>
              <w:overflowPunct/>
              <w:topLinePunct w:val="0"/>
              <w:bidi w:val="0"/>
              <w:adjustRightInd w:val="0"/>
              <w:snapToGrid w:val="0"/>
              <w:spacing w:before="0" w:beforeAutospacing="0" w:after="0" w:afterAutospacing="0" w:line="240" w:lineRule="auto"/>
              <w:jc w:val="center"/>
              <w:rPr>
                <w:rFonts w:hint="default" w:ascii="Times New Roman" w:hAnsi="Times New Roman"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7</w:t>
            </w:r>
          </w:p>
        </w:tc>
        <w:tc>
          <w:tcPr>
            <w:tcW w:w="2983" w:type="dxa"/>
            <w:shd w:val="clear" w:color="auto" w:fill="auto"/>
            <w:vAlign w:val="center"/>
          </w:tcPr>
          <w:p w14:paraId="2C4301AE">
            <w:pPr>
              <w:keepNext w:val="0"/>
              <w:keepLines w:val="0"/>
              <w:widowControl/>
              <w:suppressLineNumbers w:val="0"/>
              <w:jc w:val="center"/>
              <w:textAlignment w:val="center"/>
              <w:rPr>
                <w:rFonts w:hint="eastAsia" w:ascii="Times New Roman" w:hAnsi="Times New Roman" w:cs="Times New Roman"/>
                <w:color w:val="0000FF"/>
                <w:kern w:val="2"/>
                <w:sz w:val="18"/>
                <w:szCs w:val="18"/>
              </w:rPr>
            </w:pPr>
            <w:r>
              <w:rPr>
                <w:rFonts w:hint="eastAsia" w:ascii="宋体" w:hAnsi="宋体" w:eastAsia="宋体" w:cs="宋体"/>
                <w:i w:val="0"/>
                <w:iCs w:val="0"/>
                <w:color w:val="0000FF"/>
                <w:kern w:val="0"/>
                <w:sz w:val="18"/>
                <w:szCs w:val="18"/>
                <w:u w:val="none"/>
                <w:lang w:val="en-US" w:eastAsia="zh-CN" w:bidi="ar"/>
              </w:rPr>
              <w:t>铜陵有色金属集团控股有限公司、株洲冶炼集团股份有限公司、江西铜业股份有限公司</w:t>
            </w:r>
            <w:r>
              <w:rPr>
                <w:rFonts w:hint="eastAsia" w:ascii="宋体" w:hAnsi="宋体" w:eastAsia="宋体" w:cs="宋体"/>
                <w:i w:val="0"/>
                <w:iCs w:val="0"/>
                <w:color w:val="0000FF"/>
                <w:kern w:val="0"/>
                <w:sz w:val="18"/>
                <w:szCs w:val="18"/>
                <w:highlight w:val="yellow"/>
                <w:u w:val="none"/>
                <w:lang w:val="en-US" w:eastAsia="zh-CN" w:bidi="ar"/>
              </w:rPr>
              <w:t>、紫金矿业集团股份有限公司</w:t>
            </w:r>
            <w:r>
              <w:rPr>
                <w:rFonts w:hint="eastAsia" w:ascii="宋体" w:hAnsi="宋体" w:eastAsia="宋体" w:cs="宋体"/>
                <w:i w:val="0"/>
                <w:iCs w:val="0"/>
                <w:color w:val="0000FF"/>
                <w:kern w:val="0"/>
                <w:sz w:val="18"/>
                <w:szCs w:val="18"/>
                <w:u w:val="none"/>
                <w:lang w:val="en-US" w:eastAsia="zh-CN" w:bidi="ar"/>
              </w:rPr>
              <w:t>、</w:t>
            </w:r>
            <w:r>
              <w:rPr>
                <w:rFonts w:hint="eastAsia" w:ascii="宋体" w:hAnsi="宋体" w:eastAsia="宋体" w:cs="宋体"/>
                <w:i w:val="0"/>
                <w:iCs w:val="0"/>
                <w:color w:val="0000FF"/>
                <w:kern w:val="0"/>
                <w:sz w:val="18"/>
                <w:szCs w:val="18"/>
                <w:highlight w:val="yellow"/>
                <w:u w:val="none"/>
                <w:lang w:val="en-US" w:eastAsia="zh-CN" w:bidi="ar"/>
              </w:rPr>
              <w:t>深圳市中金岭南有色金属股份有限公司、</w:t>
            </w:r>
            <w:r>
              <w:rPr>
                <w:rFonts w:hint="eastAsia" w:ascii="宋体" w:hAnsi="宋体" w:eastAsia="宋体" w:cs="宋体"/>
                <w:i w:val="0"/>
                <w:iCs w:val="0"/>
                <w:color w:val="0000FF"/>
                <w:kern w:val="0"/>
                <w:sz w:val="18"/>
                <w:szCs w:val="18"/>
                <w:u w:val="none"/>
                <w:lang w:val="en-US" w:eastAsia="zh-CN" w:bidi="ar"/>
              </w:rPr>
              <w:t>云南铜业股份有限公司西南铜业分公司、水口山有色金属有限责任公司、北方铜业股份有限公司、中国检验认证集团广西有限公司、南京海关工业产品检测中心、湖南华星有色控股集团有限公司、湖南安化渣滓溪矿业有限公司、贵州东峰锑业股份有限公司、云南驰宏锌锗股份有限公司、云南云铜锌业股份有限公司、南丹县南方有色金属有限责任公司</w:t>
            </w:r>
          </w:p>
        </w:tc>
        <w:tc>
          <w:tcPr>
            <w:tcW w:w="1916" w:type="dxa"/>
            <w:vAlign w:val="center"/>
          </w:tcPr>
          <w:p w14:paraId="35B364B0">
            <w:pPr>
              <w:spacing w:line="240" w:lineRule="auto"/>
              <w:rPr>
                <w:rFonts w:hint="eastAsia" w:ascii="Times New Roman" w:hAnsi="Times New Roman" w:cs="Times New Roman" w:eastAsiaTheme="minorEastAsia"/>
                <w:color w:val="0000FF"/>
                <w:kern w:val="2"/>
                <w:sz w:val="18"/>
                <w:szCs w:val="18"/>
                <w:lang w:eastAsia="zh-CN"/>
              </w:rPr>
            </w:pPr>
            <w:r>
              <w:rPr>
                <w:rFonts w:hint="eastAsia"/>
                <w:color w:val="0000FF"/>
                <w:sz w:val="18"/>
                <w:szCs w:val="18"/>
              </w:rPr>
              <w:t>彭康</w:t>
            </w:r>
            <w:r>
              <w:rPr>
                <w:rFonts w:hint="eastAsia"/>
                <w:color w:val="0000FF"/>
                <w:sz w:val="18"/>
                <w:szCs w:val="18"/>
                <w:lang w:eastAsia="zh-CN"/>
              </w:rPr>
              <w:t>、</w:t>
            </w:r>
            <w:r>
              <w:rPr>
                <w:rFonts w:hint="eastAsia"/>
                <w:color w:val="0000FF"/>
                <w:sz w:val="18"/>
                <w:szCs w:val="18"/>
              </w:rPr>
              <w:t>刘虎</w:t>
            </w:r>
            <w:r>
              <w:rPr>
                <w:rFonts w:hint="eastAsia"/>
                <w:color w:val="0000FF"/>
                <w:sz w:val="18"/>
                <w:szCs w:val="18"/>
                <w:lang w:eastAsia="zh-CN"/>
              </w:rPr>
              <w:t>、</w:t>
            </w:r>
            <w:r>
              <w:rPr>
                <w:rFonts w:hint="eastAsia"/>
                <w:color w:val="0000FF"/>
                <w:sz w:val="18"/>
                <w:szCs w:val="18"/>
              </w:rPr>
              <w:t>张鹏洲</w:t>
            </w:r>
            <w:r>
              <w:rPr>
                <w:rFonts w:hint="eastAsia"/>
                <w:color w:val="0000FF"/>
                <w:sz w:val="18"/>
                <w:szCs w:val="18"/>
                <w:lang w:eastAsia="zh-CN"/>
              </w:rPr>
              <w:t>、</w:t>
            </w:r>
            <w:r>
              <w:rPr>
                <w:rFonts w:hint="eastAsia"/>
                <w:color w:val="0000FF"/>
                <w:sz w:val="18"/>
                <w:szCs w:val="18"/>
              </w:rPr>
              <w:t>杨威</w:t>
            </w:r>
            <w:r>
              <w:rPr>
                <w:rFonts w:hint="eastAsia"/>
                <w:color w:val="0000FF"/>
                <w:sz w:val="18"/>
                <w:szCs w:val="18"/>
                <w:lang w:eastAsia="zh-CN"/>
              </w:rPr>
              <w:t>、</w:t>
            </w:r>
            <w:r>
              <w:rPr>
                <w:rFonts w:hint="eastAsia"/>
                <w:color w:val="0000FF"/>
                <w:sz w:val="18"/>
                <w:szCs w:val="18"/>
              </w:rPr>
              <w:t>梁莉芳</w:t>
            </w:r>
            <w:r>
              <w:rPr>
                <w:rFonts w:hint="eastAsia"/>
                <w:color w:val="0000FF"/>
                <w:sz w:val="18"/>
                <w:szCs w:val="18"/>
                <w:lang w:eastAsia="zh-CN"/>
              </w:rPr>
              <w:t>、</w:t>
            </w:r>
            <w:r>
              <w:rPr>
                <w:rFonts w:hint="eastAsia"/>
                <w:color w:val="0000FF"/>
                <w:sz w:val="18"/>
                <w:szCs w:val="18"/>
              </w:rPr>
              <w:t>徐东祥</w:t>
            </w:r>
            <w:r>
              <w:rPr>
                <w:rFonts w:hint="eastAsia"/>
                <w:color w:val="0000FF"/>
                <w:sz w:val="18"/>
                <w:szCs w:val="18"/>
                <w:lang w:eastAsia="zh-CN"/>
              </w:rPr>
              <w:t>、</w:t>
            </w:r>
            <w:r>
              <w:rPr>
                <w:rFonts w:hint="eastAsia"/>
                <w:color w:val="0000FF"/>
                <w:sz w:val="18"/>
                <w:szCs w:val="18"/>
                <w:highlight w:val="yellow"/>
              </w:rPr>
              <w:t>陈祝海</w:t>
            </w:r>
            <w:r>
              <w:rPr>
                <w:rFonts w:hint="eastAsia"/>
                <w:color w:val="0000FF"/>
                <w:sz w:val="18"/>
                <w:szCs w:val="18"/>
                <w:highlight w:val="yellow"/>
                <w:lang w:eastAsia="zh-CN"/>
              </w:rPr>
              <w:t>、</w:t>
            </w:r>
            <w:r>
              <w:rPr>
                <w:rFonts w:hint="eastAsia"/>
                <w:color w:val="0000FF"/>
                <w:sz w:val="18"/>
                <w:szCs w:val="18"/>
                <w:highlight w:val="yellow"/>
              </w:rPr>
              <w:t>邓福平</w:t>
            </w:r>
            <w:r>
              <w:rPr>
                <w:rFonts w:hint="eastAsia"/>
                <w:color w:val="0000FF"/>
                <w:sz w:val="18"/>
                <w:szCs w:val="18"/>
                <w:highlight w:val="yellow"/>
                <w:lang w:eastAsia="zh-CN"/>
              </w:rPr>
              <w:t>、</w:t>
            </w:r>
            <w:r>
              <w:rPr>
                <w:rFonts w:hint="eastAsia"/>
                <w:color w:val="0000FF"/>
                <w:sz w:val="18"/>
                <w:szCs w:val="18"/>
              </w:rPr>
              <w:t>班卿</w:t>
            </w:r>
            <w:r>
              <w:rPr>
                <w:rFonts w:hint="eastAsia"/>
                <w:color w:val="0000FF"/>
                <w:sz w:val="18"/>
                <w:szCs w:val="18"/>
                <w:lang w:eastAsia="zh-CN"/>
              </w:rPr>
              <w:t>、</w:t>
            </w:r>
            <w:r>
              <w:rPr>
                <w:rFonts w:hint="eastAsia"/>
                <w:color w:val="0000FF"/>
                <w:sz w:val="18"/>
                <w:szCs w:val="18"/>
              </w:rPr>
              <w:t>杨锋</w:t>
            </w:r>
            <w:r>
              <w:rPr>
                <w:rFonts w:hint="eastAsia"/>
                <w:color w:val="0000FF"/>
                <w:sz w:val="18"/>
                <w:szCs w:val="18"/>
                <w:lang w:eastAsia="zh-CN"/>
              </w:rPr>
              <w:t>、</w:t>
            </w:r>
            <w:r>
              <w:rPr>
                <w:rFonts w:hint="eastAsia"/>
                <w:color w:val="0000FF"/>
                <w:sz w:val="18"/>
                <w:szCs w:val="18"/>
              </w:rPr>
              <w:t>杨得臣</w:t>
            </w:r>
            <w:r>
              <w:rPr>
                <w:rFonts w:hint="eastAsia"/>
                <w:color w:val="0000FF"/>
                <w:sz w:val="18"/>
                <w:szCs w:val="18"/>
                <w:lang w:eastAsia="zh-CN"/>
              </w:rPr>
              <w:t>、</w:t>
            </w:r>
            <w:r>
              <w:rPr>
                <w:rFonts w:hint="eastAsia"/>
                <w:color w:val="0000FF"/>
                <w:sz w:val="18"/>
                <w:szCs w:val="18"/>
              </w:rPr>
              <w:t>黄文晴</w:t>
            </w:r>
            <w:r>
              <w:rPr>
                <w:rFonts w:hint="eastAsia"/>
                <w:color w:val="0000FF"/>
                <w:sz w:val="18"/>
                <w:szCs w:val="18"/>
                <w:lang w:eastAsia="zh-CN"/>
              </w:rPr>
              <w:t>、</w:t>
            </w:r>
            <w:r>
              <w:rPr>
                <w:rFonts w:hint="eastAsia"/>
                <w:color w:val="0000FF"/>
                <w:sz w:val="18"/>
                <w:szCs w:val="18"/>
                <w:highlight w:val="yellow"/>
              </w:rPr>
              <w:t>刘春华</w:t>
            </w:r>
            <w:r>
              <w:rPr>
                <w:rFonts w:hint="eastAsia"/>
                <w:color w:val="0000FF"/>
                <w:sz w:val="18"/>
                <w:szCs w:val="18"/>
                <w:highlight w:val="yellow"/>
                <w:lang w:eastAsia="zh-CN"/>
              </w:rPr>
              <w:t>、</w:t>
            </w:r>
            <w:r>
              <w:rPr>
                <w:rFonts w:hint="eastAsia"/>
                <w:color w:val="0000FF"/>
                <w:sz w:val="18"/>
                <w:szCs w:val="18"/>
                <w:highlight w:val="yellow"/>
              </w:rPr>
              <w:t>张广汉</w:t>
            </w:r>
            <w:r>
              <w:rPr>
                <w:rFonts w:hint="eastAsia"/>
                <w:color w:val="0000FF"/>
                <w:sz w:val="18"/>
                <w:szCs w:val="18"/>
                <w:highlight w:val="yellow"/>
                <w:lang w:eastAsia="zh-CN"/>
              </w:rPr>
              <w:t>、</w:t>
            </w:r>
            <w:r>
              <w:rPr>
                <w:rFonts w:hint="eastAsia"/>
                <w:color w:val="0000FF"/>
                <w:sz w:val="18"/>
                <w:szCs w:val="18"/>
              </w:rPr>
              <w:t>刘成涛</w:t>
            </w:r>
            <w:r>
              <w:rPr>
                <w:rFonts w:hint="eastAsia"/>
                <w:color w:val="0000FF"/>
                <w:sz w:val="18"/>
                <w:szCs w:val="18"/>
                <w:lang w:eastAsia="zh-CN"/>
              </w:rPr>
              <w:t>、</w:t>
            </w:r>
            <w:r>
              <w:rPr>
                <w:rFonts w:hint="eastAsia"/>
                <w:color w:val="0000FF"/>
                <w:sz w:val="18"/>
                <w:szCs w:val="18"/>
              </w:rPr>
              <w:t>黄华礼</w:t>
            </w:r>
            <w:r>
              <w:rPr>
                <w:rFonts w:hint="eastAsia"/>
                <w:color w:val="0000FF"/>
                <w:sz w:val="18"/>
                <w:szCs w:val="18"/>
                <w:lang w:eastAsia="zh-CN"/>
              </w:rPr>
              <w:t>、</w:t>
            </w:r>
            <w:r>
              <w:rPr>
                <w:rFonts w:hint="eastAsia"/>
                <w:color w:val="0000FF"/>
                <w:sz w:val="18"/>
                <w:szCs w:val="18"/>
              </w:rPr>
              <w:t>王冠军</w:t>
            </w:r>
            <w:r>
              <w:rPr>
                <w:rFonts w:hint="eastAsia"/>
                <w:color w:val="0000FF"/>
                <w:sz w:val="18"/>
                <w:szCs w:val="18"/>
                <w:lang w:eastAsia="zh-CN"/>
              </w:rPr>
              <w:t>、</w:t>
            </w:r>
            <w:r>
              <w:rPr>
                <w:rFonts w:hint="eastAsia"/>
                <w:color w:val="0000FF"/>
                <w:sz w:val="18"/>
                <w:szCs w:val="18"/>
              </w:rPr>
              <w:t>党政尤</w:t>
            </w:r>
            <w:r>
              <w:rPr>
                <w:rFonts w:hint="eastAsia"/>
                <w:color w:val="0000FF"/>
                <w:sz w:val="18"/>
                <w:szCs w:val="18"/>
                <w:lang w:eastAsia="zh-CN"/>
              </w:rPr>
              <w:t>、</w:t>
            </w:r>
            <w:r>
              <w:rPr>
                <w:rFonts w:hint="eastAsia"/>
                <w:color w:val="0000FF"/>
                <w:sz w:val="18"/>
                <w:szCs w:val="18"/>
              </w:rPr>
              <w:t>赵伟</w:t>
            </w:r>
            <w:r>
              <w:rPr>
                <w:rFonts w:hint="eastAsia"/>
                <w:color w:val="0000FF"/>
                <w:sz w:val="18"/>
                <w:szCs w:val="18"/>
                <w:lang w:eastAsia="zh-CN"/>
              </w:rPr>
              <w:t>、</w:t>
            </w:r>
            <w:r>
              <w:rPr>
                <w:rFonts w:hint="eastAsia"/>
                <w:color w:val="0000FF"/>
                <w:sz w:val="18"/>
                <w:szCs w:val="18"/>
              </w:rPr>
              <w:t>封亚辉</w:t>
            </w:r>
            <w:r>
              <w:rPr>
                <w:rFonts w:hint="eastAsia"/>
                <w:color w:val="0000FF"/>
                <w:sz w:val="18"/>
                <w:szCs w:val="18"/>
                <w:lang w:eastAsia="zh-CN"/>
              </w:rPr>
              <w:t>、</w:t>
            </w:r>
            <w:r>
              <w:rPr>
                <w:rFonts w:hint="eastAsia"/>
                <w:color w:val="0000FF"/>
                <w:sz w:val="18"/>
                <w:szCs w:val="18"/>
              </w:rPr>
              <w:t>龚文</w:t>
            </w:r>
            <w:r>
              <w:rPr>
                <w:rFonts w:hint="eastAsia"/>
                <w:color w:val="0000FF"/>
                <w:sz w:val="18"/>
                <w:szCs w:val="18"/>
                <w:lang w:eastAsia="zh-CN"/>
              </w:rPr>
              <w:t>、</w:t>
            </w:r>
            <w:r>
              <w:rPr>
                <w:rFonts w:hint="eastAsia"/>
                <w:color w:val="0000FF"/>
                <w:sz w:val="18"/>
                <w:szCs w:val="18"/>
              </w:rPr>
              <w:t>龚中田</w:t>
            </w:r>
            <w:r>
              <w:rPr>
                <w:rFonts w:hint="eastAsia"/>
                <w:color w:val="0000FF"/>
                <w:sz w:val="18"/>
                <w:szCs w:val="18"/>
                <w:lang w:eastAsia="zh-CN"/>
              </w:rPr>
              <w:t>、</w:t>
            </w:r>
            <w:r>
              <w:rPr>
                <w:rFonts w:hint="eastAsia"/>
                <w:color w:val="0000FF"/>
                <w:sz w:val="18"/>
                <w:szCs w:val="18"/>
              </w:rPr>
              <w:t>吴少波</w:t>
            </w:r>
            <w:r>
              <w:rPr>
                <w:rFonts w:hint="eastAsia"/>
                <w:color w:val="0000FF"/>
                <w:sz w:val="18"/>
                <w:szCs w:val="18"/>
                <w:lang w:eastAsia="zh-CN"/>
              </w:rPr>
              <w:t>、</w:t>
            </w:r>
            <w:r>
              <w:rPr>
                <w:rFonts w:hint="eastAsia"/>
                <w:color w:val="0000FF"/>
                <w:sz w:val="18"/>
                <w:szCs w:val="18"/>
              </w:rPr>
              <w:t>张敏</w:t>
            </w:r>
            <w:r>
              <w:rPr>
                <w:rFonts w:hint="eastAsia"/>
                <w:color w:val="0000FF"/>
                <w:sz w:val="18"/>
                <w:szCs w:val="18"/>
                <w:lang w:eastAsia="zh-CN"/>
              </w:rPr>
              <w:t>、</w:t>
            </w:r>
            <w:r>
              <w:rPr>
                <w:rFonts w:hint="eastAsia"/>
                <w:color w:val="0000FF"/>
                <w:sz w:val="18"/>
                <w:szCs w:val="18"/>
              </w:rPr>
              <w:t>覃事敦</w:t>
            </w:r>
            <w:r>
              <w:rPr>
                <w:rFonts w:hint="eastAsia"/>
                <w:color w:val="0000FF"/>
                <w:sz w:val="18"/>
                <w:szCs w:val="18"/>
                <w:lang w:eastAsia="zh-CN"/>
              </w:rPr>
              <w:t>、</w:t>
            </w:r>
            <w:r>
              <w:rPr>
                <w:rFonts w:hint="eastAsia"/>
                <w:color w:val="0000FF"/>
                <w:sz w:val="18"/>
                <w:szCs w:val="18"/>
              </w:rPr>
              <w:t>廖平昌</w:t>
            </w:r>
            <w:r>
              <w:rPr>
                <w:rFonts w:hint="eastAsia"/>
                <w:color w:val="0000FF"/>
                <w:sz w:val="18"/>
                <w:szCs w:val="18"/>
                <w:lang w:eastAsia="zh-CN"/>
              </w:rPr>
              <w:t>、</w:t>
            </w:r>
            <w:r>
              <w:rPr>
                <w:rFonts w:hint="eastAsia"/>
                <w:color w:val="0000FF"/>
                <w:sz w:val="18"/>
                <w:szCs w:val="18"/>
              </w:rPr>
              <w:t>马静</w:t>
            </w:r>
            <w:r>
              <w:rPr>
                <w:rFonts w:hint="eastAsia"/>
                <w:color w:val="0000FF"/>
                <w:sz w:val="18"/>
                <w:szCs w:val="18"/>
                <w:lang w:eastAsia="zh-CN"/>
              </w:rPr>
              <w:t>、</w:t>
            </w:r>
            <w:r>
              <w:rPr>
                <w:rFonts w:hint="eastAsia"/>
                <w:color w:val="0000FF"/>
                <w:sz w:val="18"/>
                <w:szCs w:val="18"/>
              </w:rPr>
              <w:t>韩峰</w:t>
            </w:r>
            <w:r>
              <w:rPr>
                <w:rFonts w:hint="eastAsia"/>
                <w:color w:val="0000FF"/>
                <w:sz w:val="18"/>
                <w:szCs w:val="18"/>
                <w:lang w:eastAsia="zh-CN"/>
              </w:rPr>
              <w:t>、</w:t>
            </w:r>
            <w:r>
              <w:rPr>
                <w:rFonts w:hint="eastAsia"/>
                <w:color w:val="0000FF"/>
                <w:sz w:val="18"/>
                <w:szCs w:val="18"/>
              </w:rPr>
              <w:t>艾显文</w:t>
            </w:r>
            <w:r>
              <w:rPr>
                <w:rFonts w:hint="eastAsia"/>
                <w:color w:val="0000FF"/>
                <w:sz w:val="18"/>
                <w:szCs w:val="18"/>
                <w:lang w:eastAsia="zh-CN"/>
              </w:rPr>
              <w:t>、</w:t>
            </w:r>
            <w:r>
              <w:rPr>
                <w:rFonts w:hint="eastAsia"/>
                <w:color w:val="0000FF"/>
                <w:sz w:val="18"/>
                <w:szCs w:val="18"/>
              </w:rPr>
              <w:t>汤令</w:t>
            </w:r>
            <w:r>
              <w:rPr>
                <w:rFonts w:hint="eastAsia"/>
                <w:color w:val="0000FF"/>
                <w:sz w:val="18"/>
                <w:szCs w:val="18"/>
                <w:lang w:eastAsia="zh-CN"/>
              </w:rPr>
              <w:t>、</w:t>
            </w:r>
            <w:r>
              <w:rPr>
                <w:rFonts w:hint="eastAsia"/>
                <w:color w:val="0000FF"/>
                <w:sz w:val="18"/>
                <w:szCs w:val="18"/>
              </w:rPr>
              <w:t>韦永保</w:t>
            </w:r>
            <w:r>
              <w:rPr>
                <w:rFonts w:hint="eastAsia"/>
                <w:color w:val="0000FF"/>
                <w:sz w:val="18"/>
                <w:szCs w:val="18"/>
                <w:lang w:eastAsia="zh-CN"/>
              </w:rPr>
              <w:t>、</w:t>
            </w:r>
            <w:r>
              <w:rPr>
                <w:rFonts w:hint="eastAsia"/>
                <w:color w:val="0000FF"/>
                <w:sz w:val="18"/>
                <w:szCs w:val="18"/>
              </w:rPr>
              <w:t>覃加仁</w:t>
            </w:r>
            <w:r>
              <w:rPr>
                <w:rFonts w:hint="eastAsia"/>
                <w:color w:val="0000FF"/>
                <w:sz w:val="18"/>
                <w:szCs w:val="18"/>
                <w:lang w:eastAsia="zh-CN"/>
              </w:rPr>
              <w:t>、</w:t>
            </w:r>
            <w:r>
              <w:rPr>
                <w:rFonts w:hint="eastAsia"/>
                <w:color w:val="0000FF"/>
                <w:sz w:val="18"/>
                <w:szCs w:val="18"/>
              </w:rPr>
              <w:t>刘扬</w:t>
            </w:r>
            <w:r>
              <w:rPr>
                <w:rFonts w:hint="eastAsia"/>
                <w:color w:val="0000FF"/>
                <w:sz w:val="18"/>
                <w:szCs w:val="18"/>
                <w:lang w:eastAsia="zh-CN"/>
              </w:rPr>
              <w:t>、</w:t>
            </w:r>
            <w:r>
              <w:rPr>
                <w:rFonts w:hint="eastAsia"/>
                <w:color w:val="0000FF"/>
                <w:sz w:val="18"/>
                <w:szCs w:val="18"/>
                <w:highlight w:val="yellow"/>
                <w:lang w:eastAsia="zh-CN"/>
              </w:rPr>
              <w:t>刘仁杰</w:t>
            </w:r>
          </w:p>
        </w:tc>
        <w:tc>
          <w:tcPr>
            <w:tcW w:w="3178" w:type="dxa"/>
            <w:vAlign w:val="center"/>
          </w:tcPr>
          <w:p w14:paraId="0106F55D">
            <w:pPr>
              <w:pStyle w:val="9"/>
              <w:keepNext w:val="0"/>
              <w:keepLines w:val="0"/>
              <w:pageBreakBefore w:val="0"/>
              <w:kinsoku/>
              <w:wordWrap/>
              <w:overflowPunct/>
              <w:topLinePunct w:val="0"/>
              <w:bidi w:val="0"/>
              <w:adjustRightInd w:val="0"/>
              <w:snapToGrid w:val="0"/>
              <w:spacing w:before="0" w:beforeAutospacing="0" w:after="0" w:afterAutospacing="0" w:line="240" w:lineRule="auto"/>
              <w:jc w:val="both"/>
              <w:rPr>
                <w:rFonts w:hint="default" w:ascii="Times New Roman" w:hAnsi="Times New Roman" w:cs="Times New Roman"/>
                <w:color w:val="0000FF"/>
                <w:kern w:val="2"/>
                <w:sz w:val="18"/>
                <w:szCs w:val="18"/>
                <w:lang w:val="en-US" w:eastAsia="zh-CN"/>
              </w:rPr>
            </w:pPr>
            <w:r>
              <w:rPr>
                <w:rFonts w:hint="eastAsia" w:ascii="Times New Roman" w:hAnsi="Times New Roman" w:cs="Times New Roman"/>
                <w:color w:val="0000FF"/>
                <w:kern w:val="2"/>
                <w:sz w:val="18"/>
                <w:szCs w:val="18"/>
                <w:lang w:val="en-US" w:eastAsia="zh-CN"/>
              </w:rPr>
              <w:t>参与铜精矿、铅精矿、锌精矿、镍精矿、锑精矿等的试验验证、意见提出等工作</w:t>
            </w:r>
          </w:p>
        </w:tc>
      </w:tr>
    </w:tbl>
    <w:p w14:paraId="73A65876">
      <w:pPr>
        <w:pStyle w:val="17"/>
        <w:keepNext w:val="0"/>
        <w:keepLines w:val="0"/>
        <w:pageBreakBefore w:val="0"/>
        <w:kinsoku/>
        <w:wordWrap/>
        <w:overflowPunct/>
        <w:topLinePunct w:val="0"/>
        <w:bidi w:val="0"/>
        <w:spacing w:beforeLines="0" w:beforeAutospacing="0" w:afterLines="0" w:afterAutospacing="0" w:line="440" w:lineRule="exact"/>
        <w:outlineLvl w:val="9"/>
        <w:rPr>
          <w:rFonts w:hint="eastAsia" w:hAnsi="黑体" w:cs="黑体" w:asciiTheme="minorHAnsi" w:eastAsiaTheme="minorEastAsia"/>
          <w:color w:val="auto"/>
          <w:kern w:val="2"/>
          <w:sz w:val="21"/>
          <w:szCs w:val="21"/>
          <w:highlight w:val="yellow"/>
          <w:lang w:val="en-US" w:eastAsia="zh-CN" w:bidi="ar-SA"/>
        </w:rPr>
      </w:pPr>
      <w:r>
        <w:rPr>
          <w:rFonts w:hint="eastAsia" w:hAnsi="黑体" w:cs="黑体" w:asciiTheme="minorHAnsi" w:eastAsiaTheme="minorEastAsia"/>
          <w:color w:val="auto"/>
          <w:kern w:val="2"/>
          <w:sz w:val="21"/>
          <w:szCs w:val="21"/>
          <w:highlight w:val="yellow"/>
          <w:lang w:val="en-US" w:eastAsia="zh-CN" w:bidi="ar-SA"/>
        </w:rPr>
        <w:t>与征求意见稿署名变化：在《散装重有色金属浮选精矿取制样方法》标准整体编制工作中，1）紫金派员参加了2025年11月杭州标准会议，会上确定了紫金参加精矿取样、制样项目，提供品质波动较大的铜精矿样品数据。会后紫金收集相关样品，进行了两个多月的试验后反馈13批次铜精矿相关数据（具体详见品质波动报告），2026年1月28日向主编单位提交品质波动报告，并派员参加了2026年4月重庆会议预审，由于整体试验工作综合贡献度已超越部分前排单位，因此署名向前调整。 2） 金川集团股份有限公司作为原镍精矿取制样部分的牵头单位，虽然镍精矿试验报告提交较晚，但整体试验工作综合贡献度已超越部分前排单位，因此署名向前调整。3）中金岭南统筹韶关冶炼厂、凡口铅锌矿、山东中金岭南铜业有限公司三家下属单位全程深度参与编制工作。围绕铜精矿、铅精矿、锌精矿三类主流重有色金属浮选精矿物料，我单位完整完成大批量、小批量品质波动试验，精密度核对、取样系统误差校核等全套验证试验，试验覆盖面广、数据详实可靠，为标准方法参数制定、条款完善及现场落地应用提供了关键技术支撑。全过程中，积极参加各项研讨会议，结合矿山、冶炼、铜加工全产业链现场实际，积极建言献策，配合完成标准修订各项工作，综合工作量与技术贡献显著。本次修订阶段，中金公司参与范围更广、试验任务更重、技术贡献更为突出，综合贡献度已超越部分前排单位，因此署名向前调整，并增加参与人员刘仁杰（提供铜精矿试验报告）。</w:t>
      </w:r>
    </w:p>
    <w:p w14:paraId="605CE98B">
      <w:pPr>
        <w:pStyle w:val="17"/>
        <w:keepNext w:val="0"/>
        <w:keepLines w:val="0"/>
        <w:pageBreakBefore w:val="0"/>
        <w:kinsoku/>
        <w:wordWrap/>
        <w:overflowPunct/>
        <w:topLinePunct w:val="0"/>
        <w:bidi w:val="0"/>
        <w:spacing w:beforeLines="0" w:beforeAutospacing="0" w:afterLines="0" w:afterAutospacing="0" w:line="440" w:lineRule="exact"/>
        <w:ind w:firstLine="420" w:firstLineChars="200"/>
        <w:outlineLvl w:val="9"/>
        <w:rPr>
          <w:rFonts w:hint="eastAsia" w:ascii="宋体" w:hAnsi="宋体" w:eastAsia="宋体" w:cs="宋体"/>
          <w:b w:val="0"/>
          <w:bCs w:val="0"/>
          <w:color w:val="auto"/>
          <w:kern w:val="2"/>
          <w:sz w:val="21"/>
          <w:szCs w:val="21"/>
          <w:highlight w:val="yellow"/>
          <w:lang w:val="en-US" w:eastAsia="zh-CN" w:bidi="ar-SA"/>
        </w:rPr>
      </w:pPr>
      <w:r>
        <w:rPr>
          <w:rFonts w:hint="eastAsia" w:ascii="宋体" w:hAnsi="宋体" w:eastAsia="宋体" w:cs="宋体"/>
          <w:b w:val="0"/>
          <w:bCs w:val="0"/>
          <w:color w:val="auto"/>
          <w:kern w:val="2"/>
          <w:sz w:val="21"/>
          <w:szCs w:val="21"/>
          <w:highlight w:val="yellow"/>
          <w:lang w:val="en-US" w:eastAsia="zh-CN" w:bidi="ar-SA"/>
        </w:rPr>
        <w:t>更改后的单位署名变更为：有色金属技术经济研究院有限责任公司、大冶有色金属有限责任公司、河南豫光金铅股份有限公司、葫芦岛锌业股份有限公司、锡矿山闪星锑业有限责任公司、铜陵有色金属集团控股有限公司、株洲冶炼集团股份有限公司、江西铜业股份有限公司、紫金矿业集团股份有限公司、金川集团股份有限公司、、深圳市中金岭南有色金属股份有限公司、云南铜业股份有限公司西南铜业分公司、水口山有色金属有限责任公司、北方铜业股份有限公司、中国检验认证集团广西有限公司、南京海关工业产品检测中心、湖南华星有色控股集团有限公司、湖南安化渣滓溪矿业有限公司、贵州东峰锑业股份有限公司、云南驰宏锌锗股份有限公司、云南云铜锌业股份有限公司、南丹县南方有色金属有限责任公司。</w:t>
      </w:r>
    </w:p>
    <w:p w14:paraId="6303B8E0">
      <w:pPr>
        <w:pStyle w:val="17"/>
        <w:keepNext w:val="0"/>
        <w:keepLines w:val="0"/>
        <w:pageBreakBefore w:val="0"/>
        <w:kinsoku/>
        <w:wordWrap/>
        <w:overflowPunct/>
        <w:topLinePunct w:val="0"/>
        <w:bidi w:val="0"/>
        <w:spacing w:beforeLines="0" w:beforeAutospacing="0" w:afterLines="0" w:afterAutospacing="0" w:line="440" w:lineRule="exact"/>
        <w:ind w:firstLine="420" w:firstLineChars="200"/>
        <w:outlineLvl w:val="9"/>
        <w:rPr>
          <w:rFonts w:hint="eastAsia"/>
          <w:lang w:val="en-US" w:eastAsia="zh-CN"/>
        </w:rPr>
      </w:pPr>
      <w:r>
        <w:rPr>
          <w:rFonts w:hint="eastAsia" w:ascii="宋体" w:hAnsi="宋体" w:eastAsia="宋体" w:cs="宋体"/>
          <w:b w:val="0"/>
          <w:bCs w:val="0"/>
          <w:color w:val="auto"/>
          <w:kern w:val="2"/>
          <w:sz w:val="21"/>
          <w:szCs w:val="21"/>
          <w:highlight w:val="yellow"/>
          <w:lang w:val="en-US" w:eastAsia="zh-CN" w:bidi="ar-SA"/>
        </w:rPr>
        <w:t>更改后的人员署名变更为：吴帅锦、曾静、林若虚、贾俊骐、牛军民、孟庆武、刘琳、彭康、刘虎、张鹏洲、原张喜、张冬明、毛奇志、杨威、梁莉芳、徐东祥、万佳韦、陈祝海、邓福平、张文斌、班卿、杨锋、杨得臣、黄文晴、刘春华、张广汉、陈斌、刘成涛、黄华礼、王冠军、党政尤、赵伟、封亚辉、龚文、龚中田、吴少波、张敏、覃事敦、廖平昌、马静、韩峰、艾显文、汤令、韦永保、覃加仁、刘扬、刘仁杰、李加生、金贵忠。</w:t>
      </w:r>
    </w:p>
    <w:p w14:paraId="43F0462E">
      <w:pPr>
        <w:pStyle w:val="17"/>
        <w:keepNext w:val="0"/>
        <w:keepLines w:val="0"/>
        <w:pageBreakBefore w:val="0"/>
        <w:kinsoku/>
        <w:wordWrap/>
        <w:overflowPunct/>
        <w:topLinePunct w:val="0"/>
        <w:bidi w:val="0"/>
        <w:spacing w:beforeLines="0" w:beforeAutospacing="0" w:afterLines="0" w:afterAutospacing="0" w:line="440" w:lineRule="exact"/>
        <w:outlineLvl w:val="9"/>
        <w:rPr>
          <w:rFonts w:hAnsi="黑体" w:cs="黑体"/>
          <w:color w:val="auto"/>
          <w:szCs w:val="21"/>
        </w:rPr>
      </w:pPr>
      <w:r>
        <w:rPr>
          <w:rFonts w:hint="eastAsia" w:hAnsi="黑体" w:cs="黑体"/>
          <w:color w:val="auto"/>
          <w:szCs w:val="21"/>
        </w:rPr>
        <w:t xml:space="preserve">1.4 </w:t>
      </w:r>
      <w:r>
        <w:rPr>
          <w:rFonts w:hint="eastAsia" w:hAnsi="黑体" w:cs="黑体"/>
          <w:color w:val="auto"/>
          <w:szCs w:val="21"/>
          <w:lang w:val="en-US" w:eastAsia="zh-CN"/>
        </w:rPr>
        <w:t xml:space="preserve"> </w:t>
      </w:r>
      <w:r>
        <w:rPr>
          <w:rFonts w:hint="eastAsia" w:hAnsi="黑体" w:cs="黑体"/>
          <w:color w:val="auto"/>
          <w:szCs w:val="21"/>
        </w:rPr>
        <w:t>起草过程</w:t>
      </w:r>
    </w:p>
    <w:p w14:paraId="52924904">
      <w:pPr>
        <w:keepNext w:val="0"/>
        <w:keepLines w:val="0"/>
        <w:pageBreakBefore w:val="0"/>
        <w:kinsoku/>
        <w:wordWrap/>
        <w:overflowPunct/>
        <w:topLinePunct w:val="0"/>
        <w:bidi w:val="0"/>
        <w:spacing w:beforeAutospacing="0" w:afterAutospacing="0"/>
        <w:rPr>
          <w:rFonts w:ascii="黑体" w:hAnsi="黑体" w:eastAsia="黑体" w:cs="黑体"/>
          <w:color w:val="auto"/>
          <w:kern w:val="0"/>
          <w:szCs w:val="21"/>
        </w:rPr>
      </w:pPr>
      <w:r>
        <w:rPr>
          <w:rFonts w:hint="eastAsia" w:ascii="黑体" w:hAnsi="黑体" w:eastAsia="黑体" w:cs="黑体"/>
          <w:color w:val="auto"/>
          <w:kern w:val="0"/>
          <w:szCs w:val="21"/>
        </w:rPr>
        <w:t>1.4.1</w:t>
      </w:r>
      <w:r>
        <w:rPr>
          <w:rFonts w:hint="eastAsia" w:ascii="黑体" w:hAnsi="黑体" w:eastAsia="黑体" w:cs="黑体"/>
          <w:color w:val="auto"/>
          <w:kern w:val="0"/>
          <w:szCs w:val="21"/>
          <w:lang w:val="en-US" w:eastAsia="zh-CN"/>
        </w:rPr>
        <w:t xml:space="preserve">  </w:t>
      </w:r>
      <w:r>
        <w:rPr>
          <w:rFonts w:hint="eastAsia" w:ascii="黑体" w:hAnsi="黑体" w:eastAsia="黑体" w:cs="黑体"/>
          <w:color w:val="auto"/>
          <w:kern w:val="0"/>
          <w:szCs w:val="21"/>
        </w:rPr>
        <w:t>预研阶段</w:t>
      </w:r>
    </w:p>
    <w:p w14:paraId="27886640">
      <w:pPr>
        <w:keepNext w:val="0"/>
        <w:keepLines w:val="0"/>
        <w:pageBreakBefore w:val="0"/>
        <w:kinsoku/>
        <w:wordWrap/>
        <w:overflowPunct/>
        <w:topLinePunct w:val="0"/>
        <w:bidi w:val="0"/>
        <w:spacing w:beforeAutospacing="0" w:afterAutospacing="0"/>
        <w:ind w:firstLine="420" w:firstLineChars="200"/>
        <w:rPr>
          <w:rFonts w:hint="eastAsia" w:hAnsi="黑体" w:cs="黑体"/>
          <w:color w:val="auto"/>
          <w:szCs w:val="21"/>
        </w:rPr>
      </w:pPr>
      <w:r>
        <w:rPr>
          <w:rFonts w:hint="eastAsia" w:hAnsi="黑体" w:cs="黑体"/>
          <w:color w:val="auto"/>
          <w:szCs w:val="21"/>
          <w:lang w:val="en-US" w:eastAsia="zh-CN"/>
        </w:rPr>
        <w:t>2023年1月-9月，</w:t>
      </w:r>
      <w:r>
        <w:rPr>
          <w:rFonts w:hint="eastAsia" w:hAnsi="黑体" w:cs="黑体"/>
          <w:color w:val="auto"/>
          <w:szCs w:val="21"/>
        </w:rPr>
        <w:t>大冶有色金属有限责任公司</w:t>
      </w:r>
      <w:r>
        <w:rPr>
          <w:rFonts w:hint="eastAsia" w:hAnsi="黑体" w:cs="黑体"/>
          <w:color w:val="auto"/>
          <w:szCs w:val="21"/>
          <w:lang w:val="en-US" w:eastAsia="zh-CN"/>
        </w:rPr>
        <w:t>开展了针对</w:t>
      </w:r>
      <w:r>
        <w:rPr>
          <w:rFonts w:hint="default" w:ascii="Times New Roman" w:hAnsi="Times New Roman" w:cs="Times New Roman" w:eastAsiaTheme="minorEastAsia"/>
          <w:color w:val="auto"/>
          <w:szCs w:val="21"/>
        </w:rPr>
        <w:t>GB/T 14263-2010《散装浮选铜精矿取样、制样方法》</w:t>
      </w:r>
      <w:r>
        <w:rPr>
          <w:rFonts w:hint="eastAsia" w:hAnsi="黑体" w:cs="黑体"/>
          <w:color w:val="auto"/>
          <w:szCs w:val="21"/>
          <w:lang w:val="en-US" w:eastAsia="zh-CN"/>
        </w:rPr>
        <w:t>的修订预研工作</w:t>
      </w:r>
      <w:r>
        <w:rPr>
          <w:rFonts w:hint="eastAsia" w:hAnsi="黑体" w:cs="黑体"/>
          <w:color w:val="auto"/>
          <w:szCs w:val="21"/>
        </w:rPr>
        <w:t>。</w:t>
      </w:r>
      <w:r>
        <w:rPr>
          <w:rFonts w:hint="eastAsia" w:hAnsi="黑体" w:cs="黑体"/>
          <w:color w:val="auto"/>
          <w:szCs w:val="21"/>
          <w:lang w:val="en-US" w:eastAsia="zh-CN"/>
        </w:rPr>
        <w:t>预研过程发现，</w:t>
      </w:r>
      <w:r>
        <w:rPr>
          <w:rFonts w:hint="default" w:ascii="Times New Roman" w:hAnsi="Times New Roman" w:cs="Times New Roman" w:eastAsiaTheme="minorEastAsia"/>
          <w:color w:val="auto"/>
          <w:szCs w:val="21"/>
        </w:rPr>
        <w:t>GB/T 14263-2010</w:t>
      </w:r>
      <w:r>
        <w:rPr>
          <w:rFonts w:hint="eastAsia" w:ascii="Times New Roman" w:hAnsi="Times New Roman" w:cs="Times New Roman"/>
          <w:color w:val="auto"/>
          <w:szCs w:val="21"/>
          <w:lang w:val="en-US" w:eastAsia="zh-CN"/>
        </w:rPr>
        <w:t>在应用中</w:t>
      </w:r>
      <w:r>
        <w:rPr>
          <w:rFonts w:hint="eastAsia" w:hAnsi="黑体" w:cs="黑体"/>
          <w:color w:val="auto"/>
          <w:szCs w:val="21"/>
        </w:rPr>
        <w:t>主要问题如下：（1）检验批量间隔问题：原标准制定时车辆载重多为 20~30 吨，目前汽车载重可达 40~50 吨，使用原检验批量，则会存在单车单批检验，从而造成工作量大的问题，且目前国内铜精矿以进口铜精矿为主，多以 250 吨或 500 吨进行组批，因此建议对原来检验批量进行一定的</w:t>
      </w:r>
      <w:r>
        <w:rPr>
          <w:rFonts w:hint="eastAsia" w:hAnsi="黑体" w:cs="黑体"/>
          <w:color w:val="auto"/>
          <w:szCs w:val="21"/>
          <w:lang w:val="en-US" w:eastAsia="zh-CN"/>
        </w:rPr>
        <w:t>修订</w:t>
      </w:r>
      <w:r>
        <w:rPr>
          <w:rFonts w:hint="eastAsia" w:hAnsi="黑体" w:cs="黑体"/>
          <w:color w:val="auto"/>
          <w:szCs w:val="21"/>
        </w:rPr>
        <w:t>。（2）自动化工厂建设需求：目前截流式自动化取样方法在行业冶炼厂内已有相关的实际应用；此外，在制样环节，棒磨机自动制样在行业中也已经广泛使用，</w:t>
      </w:r>
      <w:r>
        <w:rPr>
          <w:rFonts w:hint="eastAsia" w:hAnsi="黑体" w:cs="黑体"/>
          <w:color w:val="auto"/>
          <w:szCs w:val="21"/>
          <w:lang w:val="en-US" w:eastAsia="zh-CN"/>
        </w:rPr>
        <w:t>建议修订标准纳入新的自动取样内容</w:t>
      </w:r>
      <w:r>
        <w:rPr>
          <w:rFonts w:hint="eastAsia" w:hAnsi="黑体" w:cs="黑体"/>
          <w:color w:val="auto"/>
          <w:szCs w:val="21"/>
        </w:rPr>
        <w:t>。（3）标准取制样方式方法：使用过程中一些技术问题由于没有明确规定，导致在检验过程中有争议。如是否增加预检验过程，判定该批铜原料是浮选铜精矿还是混合铜精矿等；试样破碎方法，原标准中未对试样破碎方法说明，实际上过分破碎和没有充分破碎都会影响后续的混匀缩分，包括一些元素的分析检测对粒度也有一定的要求；以上技术问题都需要进一步的明确和规范。</w:t>
      </w:r>
    </w:p>
    <w:p w14:paraId="10F6B3E7">
      <w:pPr>
        <w:keepNext w:val="0"/>
        <w:keepLines w:val="0"/>
        <w:pageBreakBefore w:val="0"/>
        <w:kinsoku/>
        <w:wordWrap/>
        <w:overflowPunct/>
        <w:topLinePunct w:val="0"/>
        <w:bidi w:val="0"/>
        <w:spacing w:beforeAutospacing="0" w:afterAutospacing="0"/>
        <w:ind w:firstLine="420" w:firstLineChars="200"/>
        <w:rPr>
          <w:rFonts w:hAnsi="黑体" w:cs="黑体"/>
          <w:color w:val="auto"/>
          <w:szCs w:val="21"/>
        </w:rPr>
      </w:pPr>
      <w:r>
        <w:rPr>
          <w:rFonts w:hint="eastAsia" w:hAnsi="黑体" w:cs="黑体"/>
          <w:color w:val="auto"/>
          <w:szCs w:val="21"/>
        </w:rPr>
        <w:t xml:space="preserve">同时，与国际标准ISO 12743-2021《铜、铅、锌和镍精矿—金属和水分含量测定的取样方法》相比， GB/T 14263-2010 </w:t>
      </w:r>
      <w:r>
        <w:rPr>
          <w:rFonts w:hint="eastAsia" w:hAnsi="黑体" w:cs="黑体"/>
          <w:color w:val="auto"/>
          <w:szCs w:val="21"/>
          <w:lang w:eastAsia="zh-CN"/>
        </w:rPr>
        <w:t>（</w:t>
      </w:r>
      <w:r>
        <w:rPr>
          <w:rFonts w:hint="eastAsia" w:hAnsi="黑体" w:cs="黑体"/>
          <w:color w:val="auto"/>
          <w:szCs w:val="21"/>
        </w:rPr>
        <w:t>ISO 12743-20</w:t>
      </w:r>
      <w:r>
        <w:rPr>
          <w:rFonts w:hint="eastAsia" w:hAnsi="黑体" w:cs="黑体"/>
          <w:color w:val="auto"/>
          <w:szCs w:val="21"/>
          <w:lang w:val="en-US" w:eastAsia="zh-CN"/>
        </w:rPr>
        <w:t>05</w:t>
      </w:r>
      <w:r>
        <w:rPr>
          <w:rFonts w:hint="eastAsia" w:hAnsi="黑体" w:cs="黑体"/>
          <w:color w:val="auto"/>
          <w:szCs w:val="21"/>
          <w:lang w:eastAsia="zh-CN"/>
        </w:rPr>
        <w:t>，</w:t>
      </w:r>
      <w:r>
        <w:rPr>
          <w:rFonts w:hint="eastAsia" w:hAnsi="黑体" w:cs="黑体"/>
          <w:color w:val="auto"/>
          <w:szCs w:val="21"/>
          <w:lang w:val="en-US" w:eastAsia="zh-CN"/>
        </w:rPr>
        <w:t>NEQ</w:t>
      </w:r>
      <w:r>
        <w:rPr>
          <w:rFonts w:hint="eastAsia" w:hAnsi="黑体" w:cs="黑体"/>
          <w:color w:val="auto"/>
          <w:szCs w:val="21"/>
          <w:lang w:eastAsia="zh-CN"/>
        </w:rPr>
        <w:t>）</w:t>
      </w:r>
      <w:r>
        <w:rPr>
          <w:rFonts w:hint="eastAsia" w:hAnsi="黑体" w:cs="黑体"/>
          <w:color w:val="auto"/>
          <w:szCs w:val="21"/>
        </w:rPr>
        <w:t>与之存在的差异主要有：（1）</w:t>
      </w:r>
      <w:r>
        <w:rPr>
          <w:rFonts w:hint="eastAsia" w:hAnsi="黑体" w:cs="黑体"/>
          <w:color w:val="auto"/>
          <w:szCs w:val="21"/>
          <w:lang w:val="en-US" w:eastAsia="zh-CN"/>
        </w:rPr>
        <w:t>国标中</w:t>
      </w:r>
      <w:r>
        <w:rPr>
          <w:rFonts w:hint="eastAsia" w:hAnsi="黑体" w:cs="黑体"/>
          <w:color w:val="auto"/>
          <w:szCs w:val="21"/>
        </w:rPr>
        <w:t>缺乏机械取样方式，国内目前基本是落地人工取样钎取样（取样代表性不够好）。（2）</w:t>
      </w:r>
      <w:r>
        <w:rPr>
          <w:rFonts w:hint="eastAsia" w:hAnsi="黑体" w:cs="黑体"/>
          <w:color w:val="auto"/>
          <w:szCs w:val="21"/>
          <w:lang w:val="en-US" w:eastAsia="zh-CN"/>
        </w:rPr>
        <w:t>国标中</w:t>
      </w:r>
      <w:r>
        <w:rPr>
          <w:rFonts w:hint="eastAsia" w:hAnsi="黑体" w:cs="黑体"/>
          <w:color w:val="auto"/>
          <w:szCs w:val="21"/>
        </w:rPr>
        <w:t>缺少试样破碎方法的描述，制样方式较为单一。如混匀缩分手段仅限圆锥四分法（该法在国际标准中不建议使用，会起到相反的效果）。（3）</w:t>
      </w:r>
      <w:r>
        <w:rPr>
          <w:rFonts w:hint="eastAsia" w:hAnsi="黑体" w:cs="黑体"/>
          <w:color w:val="auto"/>
          <w:szCs w:val="21"/>
          <w:lang w:val="en-US" w:eastAsia="zh-CN"/>
        </w:rPr>
        <w:t>国标中</w:t>
      </w:r>
      <w:r>
        <w:rPr>
          <w:rFonts w:hint="eastAsia" w:hAnsi="黑体" w:cs="黑体"/>
          <w:color w:val="auto"/>
          <w:szCs w:val="21"/>
        </w:rPr>
        <w:t>关于水分测定流程不够科学合理，如水分测定时干燥时长问题，平行水样测定误差超过 0.2%该如何处理等缺乏指导。</w:t>
      </w:r>
    </w:p>
    <w:p w14:paraId="3DC0F965">
      <w:pPr>
        <w:keepNext w:val="0"/>
        <w:keepLines w:val="0"/>
        <w:pageBreakBefore w:val="0"/>
        <w:kinsoku/>
        <w:wordWrap/>
        <w:overflowPunct/>
        <w:topLinePunct w:val="0"/>
        <w:bidi w:val="0"/>
        <w:spacing w:beforeAutospacing="0" w:afterAutospacing="0"/>
        <w:rPr>
          <w:rFonts w:ascii="黑体" w:hAnsi="黑体" w:eastAsia="黑体" w:cs="黑体"/>
          <w:color w:val="auto"/>
          <w:kern w:val="0"/>
          <w:szCs w:val="21"/>
        </w:rPr>
      </w:pPr>
      <w:r>
        <w:rPr>
          <w:rFonts w:hint="eastAsia" w:ascii="黑体" w:hAnsi="黑体" w:eastAsia="黑体" w:cs="黑体"/>
          <w:color w:val="auto"/>
          <w:kern w:val="0"/>
          <w:szCs w:val="21"/>
        </w:rPr>
        <w:t>1.4.2</w:t>
      </w:r>
      <w:r>
        <w:rPr>
          <w:rFonts w:hint="eastAsia" w:ascii="黑体" w:hAnsi="黑体" w:eastAsia="黑体" w:cs="黑体"/>
          <w:color w:val="auto"/>
          <w:kern w:val="0"/>
          <w:szCs w:val="21"/>
          <w:lang w:val="en-US" w:eastAsia="zh-CN"/>
        </w:rPr>
        <w:t xml:space="preserve">  </w:t>
      </w:r>
      <w:r>
        <w:rPr>
          <w:rFonts w:hint="eastAsia" w:ascii="黑体" w:hAnsi="黑体" w:eastAsia="黑体" w:cs="黑体"/>
          <w:color w:val="auto"/>
          <w:kern w:val="0"/>
          <w:szCs w:val="21"/>
        </w:rPr>
        <w:t>标准立项</w:t>
      </w:r>
    </w:p>
    <w:p w14:paraId="77FA5B6B">
      <w:pPr>
        <w:keepNext w:val="0"/>
        <w:keepLines w:val="0"/>
        <w:pageBreakBefore w:val="0"/>
        <w:kinsoku/>
        <w:wordWrap/>
        <w:overflowPunct/>
        <w:topLinePunct w:val="0"/>
        <w:bidi w:val="0"/>
        <w:spacing w:beforeAutospacing="0" w:afterAutospacing="0"/>
        <w:ind w:firstLine="420" w:firstLineChars="200"/>
        <w:rPr>
          <w:rFonts w:hint="eastAsia" w:hAnsi="黑体" w:cs="黑体"/>
          <w:color w:val="auto"/>
          <w:szCs w:val="21"/>
        </w:rPr>
      </w:pPr>
      <w:r>
        <w:rPr>
          <w:rFonts w:hint="eastAsia" w:hAnsi="黑体" w:cs="黑体"/>
          <w:color w:val="auto"/>
          <w:szCs w:val="21"/>
        </w:rPr>
        <w:t>202</w:t>
      </w:r>
      <w:r>
        <w:rPr>
          <w:rFonts w:hint="eastAsia" w:hAnsi="黑体" w:cs="黑体"/>
          <w:color w:val="auto"/>
          <w:szCs w:val="21"/>
          <w:lang w:val="en-US" w:eastAsia="zh-CN"/>
        </w:rPr>
        <w:t>3</w:t>
      </w:r>
      <w:r>
        <w:rPr>
          <w:rFonts w:hint="eastAsia" w:hAnsi="黑体" w:cs="黑体"/>
          <w:color w:val="auto"/>
          <w:szCs w:val="21"/>
        </w:rPr>
        <w:t>年10月大冶有色金属有限责任公司向全国有色金属标准化技术委员会重金属分标委全体委员会提交了该国家标准 GB/T 14263-2010 修订项目建议书、标准草案及标准立项可研报告等材料，全体委员会议论证结论为同意国家标准立项</w:t>
      </w:r>
      <w:r>
        <w:rPr>
          <w:rFonts w:hint="eastAsia" w:hAnsi="黑体" w:cs="黑体"/>
          <w:color w:val="auto"/>
          <w:szCs w:val="21"/>
          <w:lang w:eastAsia="zh-CN"/>
        </w:rPr>
        <w:t>，</w:t>
      </w:r>
      <w:r>
        <w:rPr>
          <w:rFonts w:hint="eastAsia" w:hAnsi="黑体" w:cs="黑体"/>
          <w:color w:val="auto"/>
          <w:szCs w:val="21"/>
          <w:lang w:val="en-US" w:eastAsia="zh-CN"/>
        </w:rPr>
        <w:t>但建议</w:t>
      </w:r>
      <w:r>
        <w:rPr>
          <w:rFonts w:hint="eastAsia" w:hAnsi="黑体" w:cs="黑体"/>
          <w:color w:val="auto"/>
          <w:szCs w:val="21"/>
        </w:rPr>
        <w:t>将铜</w:t>
      </w:r>
      <w:r>
        <w:rPr>
          <w:rFonts w:hint="eastAsia" w:hAnsi="黑体" w:cs="黑体"/>
          <w:color w:val="auto"/>
          <w:szCs w:val="21"/>
          <w:lang w:eastAsia="zh-CN"/>
        </w:rPr>
        <w:t>、</w:t>
      </w:r>
      <w:r>
        <w:rPr>
          <w:rFonts w:hint="eastAsia" w:hAnsi="黑体" w:cs="黑体"/>
          <w:color w:val="auto"/>
          <w:szCs w:val="21"/>
        </w:rPr>
        <w:t>铅</w:t>
      </w:r>
      <w:r>
        <w:rPr>
          <w:rFonts w:hint="eastAsia" w:hAnsi="黑体" w:cs="黑体"/>
          <w:color w:val="auto"/>
          <w:szCs w:val="21"/>
          <w:lang w:eastAsia="zh-CN"/>
        </w:rPr>
        <w:t>、</w:t>
      </w:r>
      <w:r>
        <w:rPr>
          <w:rFonts w:hint="eastAsia" w:hAnsi="黑体" w:cs="黑体"/>
          <w:color w:val="auto"/>
          <w:szCs w:val="21"/>
        </w:rPr>
        <w:t>锌</w:t>
      </w:r>
      <w:r>
        <w:rPr>
          <w:rFonts w:hint="eastAsia" w:hAnsi="黑体" w:cs="黑体"/>
          <w:color w:val="auto"/>
          <w:szCs w:val="21"/>
          <w:lang w:eastAsia="zh-CN"/>
        </w:rPr>
        <w:t>、</w:t>
      </w:r>
      <w:r>
        <w:rPr>
          <w:rFonts w:hint="eastAsia" w:hAnsi="黑体" w:cs="黑体"/>
          <w:color w:val="auto"/>
          <w:szCs w:val="21"/>
        </w:rPr>
        <w:t>镍</w:t>
      </w:r>
      <w:r>
        <w:rPr>
          <w:rFonts w:hint="eastAsia" w:hAnsi="黑体" w:cs="黑体"/>
          <w:color w:val="auto"/>
          <w:szCs w:val="21"/>
          <w:lang w:val="en-US" w:eastAsia="zh-CN"/>
        </w:rPr>
        <w:t>精矿取制样标准</w:t>
      </w:r>
      <w:r>
        <w:rPr>
          <w:rFonts w:hint="eastAsia" w:hAnsi="黑体" w:cs="黑体"/>
          <w:color w:val="auto"/>
          <w:szCs w:val="21"/>
        </w:rPr>
        <w:t>合并至GB/T</w:t>
      </w:r>
      <w:r>
        <w:rPr>
          <w:rFonts w:hint="eastAsia" w:hAnsi="黑体" w:cs="黑体"/>
          <w:color w:val="auto"/>
          <w:szCs w:val="21"/>
          <w:lang w:val="en-US" w:eastAsia="zh-CN"/>
        </w:rPr>
        <w:t xml:space="preserve"> </w:t>
      </w:r>
      <w:r>
        <w:rPr>
          <w:rFonts w:hint="eastAsia" w:hAnsi="黑体" w:cs="黑体"/>
          <w:color w:val="auto"/>
          <w:szCs w:val="21"/>
        </w:rPr>
        <w:t>14260通则</w:t>
      </w:r>
      <w:r>
        <w:rPr>
          <w:rFonts w:hint="eastAsia" w:hAnsi="黑体" w:cs="黑体"/>
          <w:color w:val="auto"/>
          <w:szCs w:val="21"/>
          <w:lang w:val="en-US" w:eastAsia="zh-CN"/>
        </w:rPr>
        <w:t>进行整合修订，协调牵头单位</w:t>
      </w:r>
      <w:r>
        <w:rPr>
          <w:rFonts w:hint="eastAsia" w:hAnsi="黑体" w:cs="黑体"/>
          <w:color w:val="auto"/>
          <w:szCs w:val="21"/>
        </w:rPr>
        <w:t>。</w:t>
      </w:r>
    </w:p>
    <w:p w14:paraId="2F2C7846">
      <w:pPr>
        <w:keepNext w:val="0"/>
        <w:keepLines w:val="0"/>
        <w:pageBreakBefore w:val="0"/>
        <w:kinsoku/>
        <w:wordWrap/>
        <w:overflowPunct/>
        <w:topLinePunct w:val="0"/>
        <w:bidi w:val="0"/>
        <w:spacing w:beforeAutospacing="0" w:afterAutospacing="0"/>
        <w:ind w:firstLine="420" w:firstLineChars="200"/>
        <w:rPr>
          <w:rFonts w:hAnsi="黑体" w:cs="黑体"/>
          <w:color w:val="auto"/>
          <w:szCs w:val="21"/>
        </w:rPr>
      </w:pPr>
      <w:r>
        <w:rPr>
          <w:rFonts w:hint="eastAsia" w:hAnsi="黑体" w:cs="黑体"/>
          <w:color w:val="auto"/>
          <w:szCs w:val="21"/>
          <w:lang w:val="en-US" w:eastAsia="zh-CN"/>
        </w:rPr>
        <w:t>2023年10月-2024年3月，技经院和大冶公司等联合相关国内主要精矿生产、使用单位，进一步完善了该项目的建议书、草案和立项报告。</w:t>
      </w:r>
      <w:r>
        <w:rPr>
          <w:rFonts w:hint="eastAsia" w:hAnsi="黑体" w:cs="黑体"/>
          <w:color w:val="auto"/>
          <w:szCs w:val="21"/>
        </w:rPr>
        <w:t>202</w:t>
      </w:r>
      <w:r>
        <w:rPr>
          <w:rFonts w:hint="eastAsia" w:hAnsi="黑体" w:cs="黑体"/>
          <w:color w:val="auto"/>
          <w:szCs w:val="21"/>
          <w:lang w:val="en-US" w:eastAsia="zh-CN"/>
        </w:rPr>
        <w:t>4</w:t>
      </w:r>
      <w:r>
        <w:rPr>
          <w:rFonts w:hint="eastAsia" w:hAnsi="黑体" w:cs="黑体"/>
          <w:color w:val="auto"/>
          <w:szCs w:val="21"/>
        </w:rPr>
        <w:t>年</w:t>
      </w:r>
      <w:r>
        <w:rPr>
          <w:rFonts w:hint="eastAsia" w:hAnsi="黑体" w:cs="黑体"/>
          <w:color w:val="auto"/>
          <w:szCs w:val="21"/>
          <w:lang w:val="en-US" w:eastAsia="zh-CN"/>
        </w:rPr>
        <w:t>5</w:t>
      </w:r>
      <w:r>
        <w:rPr>
          <w:rFonts w:hint="eastAsia" w:hAnsi="黑体" w:cs="黑体"/>
          <w:color w:val="auto"/>
          <w:szCs w:val="21"/>
        </w:rPr>
        <w:t>月由全国有色金属标准化技术委员会重金属分标委会秘书处组织委员投票，投票通过后转报国标委。项目计划最终于202</w:t>
      </w:r>
      <w:r>
        <w:rPr>
          <w:rFonts w:hint="eastAsia" w:hAnsi="黑体" w:cs="黑体"/>
          <w:color w:val="auto"/>
          <w:szCs w:val="21"/>
          <w:lang w:val="en-US" w:eastAsia="zh-CN"/>
        </w:rPr>
        <w:t>5</w:t>
      </w:r>
      <w:r>
        <w:rPr>
          <w:rFonts w:hint="eastAsia" w:hAnsi="黑体" w:cs="黑体"/>
          <w:color w:val="auto"/>
          <w:szCs w:val="21"/>
        </w:rPr>
        <w:t>年</w:t>
      </w:r>
      <w:r>
        <w:rPr>
          <w:rFonts w:hint="eastAsia" w:hAnsi="黑体" w:cs="黑体"/>
          <w:color w:val="auto"/>
          <w:szCs w:val="21"/>
          <w:lang w:val="en-US" w:eastAsia="zh-CN"/>
        </w:rPr>
        <w:t>8</w:t>
      </w:r>
      <w:r>
        <w:rPr>
          <w:rFonts w:hint="eastAsia" w:hAnsi="黑体" w:cs="黑体"/>
          <w:color w:val="auto"/>
          <w:szCs w:val="21"/>
        </w:rPr>
        <w:t>月下达。</w:t>
      </w:r>
    </w:p>
    <w:p w14:paraId="580EF470">
      <w:pPr>
        <w:pStyle w:val="3"/>
        <w:keepNext w:val="0"/>
        <w:keepLines w:val="0"/>
        <w:pageBreakBefore w:val="0"/>
        <w:kinsoku/>
        <w:wordWrap/>
        <w:overflowPunct/>
        <w:topLinePunct w:val="0"/>
        <w:bidi w:val="0"/>
        <w:spacing w:beforeAutospacing="0" w:after="0" w:afterAutospacing="0"/>
        <w:rPr>
          <w:rFonts w:ascii="黑体" w:hAnsi="黑体" w:eastAsia="黑体" w:cs="黑体"/>
          <w:color w:val="auto"/>
          <w:kern w:val="0"/>
          <w:szCs w:val="21"/>
        </w:rPr>
      </w:pPr>
      <w:r>
        <w:rPr>
          <w:rFonts w:hint="eastAsia" w:ascii="黑体" w:hAnsi="黑体" w:eastAsia="黑体" w:cs="黑体"/>
          <w:color w:val="auto"/>
          <w:kern w:val="0"/>
          <w:szCs w:val="21"/>
        </w:rPr>
        <w:t>1.4.3</w:t>
      </w:r>
      <w:r>
        <w:rPr>
          <w:rFonts w:hint="eastAsia" w:ascii="黑体" w:hAnsi="黑体" w:eastAsia="黑体" w:cs="黑体"/>
          <w:color w:val="auto"/>
          <w:kern w:val="0"/>
          <w:szCs w:val="21"/>
          <w:lang w:val="en-US" w:eastAsia="zh-CN"/>
        </w:rPr>
        <w:t xml:space="preserve">  </w:t>
      </w:r>
      <w:r>
        <w:rPr>
          <w:rFonts w:hint="eastAsia" w:ascii="黑体" w:hAnsi="黑体" w:eastAsia="黑体" w:cs="黑体"/>
          <w:color w:val="auto"/>
          <w:kern w:val="0"/>
          <w:szCs w:val="21"/>
        </w:rPr>
        <w:t>起草阶段</w:t>
      </w:r>
    </w:p>
    <w:p w14:paraId="27A6248C">
      <w:pPr>
        <w:keepNext w:val="0"/>
        <w:keepLines w:val="0"/>
        <w:pageBreakBefore w:val="0"/>
        <w:kinsoku/>
        <w:wordWrap/>
        <w:overflowPunct/>
        <w:topLinePunct w:val="0"/>
        <w:bidi w:val="0"/>
        <w:spacing w:beforeAutospacing="0" w:afterAutospacing="0"/>
        <w:rPr>
          <w:rFonts w:hint="eastAsia" w:ascii="黑体" w:hAnsi="黑体" w:eastAsia="黑体" w:cs="黑体"/>
          <w:color w:val="auto"/>
          <w:kern w:val="0"/>
          <w:szCs w:val="21"/>
          <w:lang w:val="en-US" w:eastAsia="zh-CN"/>
        </w:rPr>
      </w:pPr>
      <w:r>
        <w:rPr>
          <w:rFonts w:hint="eastAsia" w:ascii="黑体" w:hAnsi="黑体" w:eastAsia="黑体" w:cs="黑体"/>
          <w:color w:val="auto"/>
          <w:kern w:val="0"/>
          <w:szCs w:val="21"/>
        </w:rPr>
        <w:t>1.4.3</w:t>
      </w:r>
      <w:r>
        <w:rPr>
          <w:rFonts w:hint="eastAsia" w:ascii="黑体" w:hAnsi="黑体" w:eastAsia="黑体" w:cs="黑体"/>
          <w:color w:val="auto"/>
          <w:kern w:val="0"/>
          <w:szCs w:val="21"/>
          <w:lang w:val="en-US" w:eastAsia="zh-CN"/>
        </w:rPr>
        <w:t>.1  第一次工作会议</w:t>
      </w:r>
    </w:p>
    <w:p w14:paraId="2125DE5B">
      <w:pPr>
        <w:keepNext w:val="0"/>
        <w:keepLines w:val="0"/>
        <w:pageBreakBefore w:val="0"/>
        <w:kinsoku/>
        <w:wordWrap/>
        <w:overflowPunct/>
        <w:topLinePunct w:val="0"/>
        <w:bidi w:val="0"/>
        <w:spacing w:beforeAutospacing="0" w:afterAutospacing="0"/>
        <w:ind w:firstLine="420" w:firstLineChars="200"/>
        <w:rPr>
          <w:rFonts w:hint="eastAsia" w:hAnsi="黑体" w:cs="黑体"/>
          <w:color w:val="auto"/>
          <w:szCs w:val="21"/>
          <w:lang w:val="en-US" w:eastAsia="zh-CN"/>
        </w:rPr>
      </w:pPr>
      <w:r>
        <w:rPr>
          <w:rFonts w:hint="eastAsia" w:hAnsi="黑体" w:cs="黑体"/>
          <w:color w:val="auto"/>
          <w:szCs w:val="21"/>
          <w:lang w:val="en-US" w:eastAsia="zh-CN"/>
        </w:rPr>
        <w:t>任务下达前标准编制组首先组织开展了讨论稿材料的编制。项目于2025年3月初在安徽合肥召开了第一次工作会议。与会代表对标准草案和编制说明材料进行了讨论，本次会议会上主要意见如下：</w:t>
      </w:r>
    </w:p>
    <w:p w14:paraId="30F90B5E">
      <w:pPr>
        <w:keepNext w:val="0"/>
        <w:keepLines w:val="0"/>
        <w:pageBreakBefore w:val="0"/>
        <w:numPr>
          <w:ilvl w:val="0"/>
          <w:numId w:val="1"/>
        </w:numPr>
        <w:kinsoku/>
        <w:wordWrap/>
        <w:overflowPunct/>
        <w:topLinePunct w:val="0"/>
        <w:bidi w:val="0"/>
        <w:spacing w:beforeAutospacing="0" w:afterAutospacing="0"/>
        <w:ind w:firstLine="420" w:firstLineChars="200"/>
        <w:rPr>
          <w:rFonts w:hint="eastAsia" w:hAnsi="黑体" w:cs="黑体"/>
          <w:color w:val="auto"/>
          <w:szCs w:val="21"/>
          <w:lang w:val="en-US" w:eastAsia="zh-CN"/>
        </w:rPr>
      </w:pPr>
      <w:r>
        <w:rPr>
          <w:rFonts w:hint="eastAsia" w:hAnsi="黑体" w:cs="黑体"/>
          <w:color w:val="auto"/>
          <w:szCs w:val="21"/>
          <w:lang w:val="en-US" w:eastAsia="zh-CN"/>
        </w:rPr>
        <w:t>基本同意初稿修订的内容，主要修改内容如下:</w:t>
      </w:r>
    </w:p>
    <w:p w14:paraId="1077CD22">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default" w:hAnsi="黑体" w:cs="黑体" w:asciiTheme="minorHAnsi" w:eastAsiaTheme="minorEastAsia"/>
          <w:color w:val="auto"/>
          <w:kern w:val="2"/>
          <w:sz w:val="21"/>
          <w:szCs w:val="21"/>
          <w:lang w:val="en-US" w:eastAsia="zh-CN" w:bidi="ar-SA"/>
        </w:rPr>
      </w:pPr>
      <w:r>
        <w:rPr>
          <w:rFonts w:hint="eastAsia" w:hAnsi="黑体" w:cs="黑体" w:eastAsiaTheme="minorEastAsia"/>
          <w:color w:val="auto"/>
          <w:kern w:val="2"/>
          <w:sz w:val="21"/>
          <w:szCs w:val="21"/>
          <w:lang w:val="en-US" w:eastAsia="zh-CN" w:bidi="ar-SA"/>
        </w:rPr>
        <w:t>增加了</w:t>
      </w:r>
      <w:r>
        <w:rPr>
          <w:rFonts w:hint="eastAsia" w:hAnsi="黑体" w:cs="黑体" w:asciiTheme="minorHAnsi" w:eastAsiaTheme="minorEastAsia"/>
          <w:color w:val="auto"/>
          <w:kern w:val="2"/>
          <w:sz w:val="21"/>
          <w:szCs w:val="21"/>
          <w:lang w:val="en-US" w:eastAsia="zh-CN" w:bidi="ar-SA"/>
        </w:rPr>
        <w:t>取制样工具和水分容器的要求</w:t>
      </w:r>
    </w:p>
    <w:p w14:paraId="6DE420E0">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default" w:hAnsi="黑体" w:cs="黑体" w:asciiTheme="minorHAnsi" w:eastAsiaTheme="minorEastAsia"/>
          <w:color w:val="auto"/>
          <w:kern w:val="2"/>
          <w:sz w:val="21"/>
          <w:szCs w:val="21"/>
          <w:lang w:val="en-US" w:eastAsia="zh-CN" w:bidi="ar-SA"/>
        </w:rPr>
      </w:pPr>
      <w:r>
        <w:rPr>
          <w:rFonts w:hint="eastAsia" w:hAnsi="黑体" w:cs="黑体" w:asciiTheme="minorHAnsi" w:eastAsiaTheme="minorEastAsia"/>
          <w:color w:val="auto"/>
          <w:kern w:val="2"/>
          <w:sz w:val="21"/>
          <w:szCs w:val="21"/>
          <w:lang w:val="en-US" w:eastAsia="zh-CN" w:bidi="ar-SA"/>
        </w:rPr>
        <w:t>增加预检验的方式</w:t>
      </w:r>
    </w:p>
    <w:p w14:paraId="29955F6A">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eastAsia" w:hAnsi="黑体" w:cs="黑体" w:asciiTheme="minorHAnsi" w:eastAsiaTheme="minorEastAsia"/>
          <w:color w:val="auto"/>
          <w:kern w:val="2"/>
          <w:sz w:val="21"/>
          <w:szCs w:val="21"/>
          <w:lang w:val="en-US" w:eastAsia="zh-CN" w:bidi="ar-SA"/>
        </w:rPr>
      </w:pPr>
      <w:r>
        <w:rPr>
          <w:rFonts w:hint="eastAsia" w:hAnsi="黑体" w:cs="黑体" w:eastAsiaTheme="minorEastAsia"/>
          <w:color w:val="auto"/>
          <w:kern w:val="2"/>
          <w:sz w:val="21"/>
          <w:szCs w:val="21"/>
          <w:lang w:val="en-US" w:eastAsia="zh-CN" w:bidi="ar-SA"/>
        </w:rPr>
        <w:t>增加了</w:t>
      </w:r>
      <w:r>
        <w:rPr>
          <w:rFonts w:hint="eastAsia" w:hAnsi="黑体" w:cs="黑体" w:asciiTheme="minorHAnsi" w:eastAsiaTheme="minorEastAsia"/>
          <w:color w:val="auto"/>
          <w:kern w:val="2"/>
          <w:sz w:val="21"/>
          <w:szCs w:val="21"/>
          <w:lang w:val="en-US" w:eastAsia="zh-CN" w:bidi="ar-SA"/>
        </w:rPr>
        <w:t>水分试样的取样要求</w:t>
      </w:r>
    </w:p>
    <w:p w14:paraId="225C85D8">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eastAsia" w:hAnsi="黑体" w:cs="黑体" w:asciiTheme="minorHAnsi" w:eastAsiaTheme="minorEastAsia"/>
          <w:color w:val="auto"/>
          <w:kern w:val="2"/>
          <w:sz w:val="21"/>
          <w:szCs w:val="21"/>
          <w:lang w:val="en-US" w:eastAsia="zh-CN" w:bidi="ar-SA"/>
        </w:rPr>
      </w:pPr>
      <w:r>
        <w:rPr>
          <w:rFonts w:hint="eastAsia" w:hAnsi="黑体" w:cs="黑体" w:eastAsiaTheme="minorEastAsia"/>
          <w:color w:val="auto"/>
          <w:kern w:val="2"/>
          <w:sz w:val="21"/>
          <w:szCs w:val="21"/>
          <w:lang w:val="en-US" w:eastAsia="zh-CN" w:bidi="ar-SA"/>
        </w:rPr>
        <w:t>增加了</w:t>
      </w:r>
      <w:r>
        <w:rPr>
          <w:rFonts w:hint="eastAsia" w:hAnsi="黑体" w:cs="黑体" w:asciiTheme="minorHAnsi" w:eastAsiaTheme="minorEastAsia"/>
          <w:color w:val="auto"/>
          <w:kern w:val="2"/>
          <w:sz w:val="21"/>
          <w:szCs w:val="21"/>
          <w:lang w:val="en-US" w:eastAsia="zh-CN" w:bidi="ar-SA"/>
        </w:rPr>
        <w:t>在运输通道上精矿动态取样方式</w:t>
      </w:r>
    </w:p>
    <w:p w14:paraId="5729C6AE">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default" w:hAnsi="黑体" w:cs="黑体" w:asciiTheme="minorHAnsi" w:eastAsiaTheme="minorEastAsia"/>
          <w:color w:val="auto"/>
          <w:kern w:val="2"/>
          <w:sz w:val="21"/>
          <w:szCs w:val="21"/>
          <w:lang w:val="en-US" w:eastAsia="zh-CN" w:bidi="ar-SA"/>
        </w:rPr>
      </w:pPr>
      <w:r>
        <w:rPr>
          <w:rFonts w:hint="eastAsia" w:hAnsi="黑体" w:cs="黑体" w:asciiTheme="minorHAnsi" w:eastAsiaTheme="minorEastAsia"/>
          <w:color w:val="auto"/>
          <w:kern w:val="2"/>
          <w:sz w:val="21"/>
          <w:szCs w:val="21"/>
          <w:lang w:val="en-US" w:eastAsia="zh-CN" w:bidi="ar-SA"/>
        </w:rPr>
        <w:t>增加落地静态取样</w:t>
      </w:r>
      <w:r>
        <w:rPr>
          <w:rFonts w:hint="eastAsia" w:hAnsi="黑体" w:cs="黑体" w:eastAsiaTheme="minorEastAsia"/>
          <w:color w:val="auto"/>
          <w:kern w:val="2"/>
          <w:sz w:val="21"/>
          <w:szCs w:val="21"/>
          <w:lang w:val="en-US" w:eastAsia="zh-CN" w:bidi="ar-SA"/>
        </w:rPr>
        <w:t>对不均匀物料的混匀要求。</w:t>
      </w:r>
    </w:p>
    <w:p w14:paraId="30DE5C83">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default" w:hAnsi="黑体" w:cs="黑体" w:asciiTheme="minorHAnsi" w:eastAsiaTheme="minorEastAsia"/>
          <w:color w:val="auto"/>
          <w:kern w:val="2"/>
          <w:sz w:val="21"/>
          <w:szCs w:val="21"/>
          <w:lang w:val="en-US" w:eastAsia="zh-CN" w:bidi="ar-SA"/>
        </w:rPr>
      </w:pPr>
      <w:r>
        <w:rPr>
          <w:rFonts w:hint="eastAsia" w:hAnsi="黑体" w:cs="黑体" w:eastAsiaTheme="minorEastAsia"/>
          <w:color w:val="auto"/>
          <w:kern w:val="2"/>
          <w:sz w:val="21"/>
          <w:szCs w:val="21"/>
          <w:lang w:val="en-US" w:eastAsia="zh-CN" w:bidi="ar-SA"/>
        </w:rPr>
        <w:t>增加了</w:t>
      </w:r>
      <w:r>
        <w:rPr>
          <w:rFonts w:hint="eastAsia" w:hAnsi="黑体" w:cs="黑体" w:asciiTheme="minorHAnsi" w:eastAsiaTheme="minorEastAsia"/>
          <w:color w:val="auto"/>
          <w:kern w:val="2"/>
          <w:sz w:val="21"/>
          <w:szCs w:val="21"/>
          <w:lang w:val="en-US" w:eastAsia="zh-CN" w:bidi="ar-SA"/>
        </w:rPr>
        <w:t>特殊品质分析试样的制样要求</w:t>
      </w:r>
    </w:p>
    <w:p w14:paraId="438BFA09">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default" w:hAnsi="黑体" w:cs="黑体" w:asciiTheme="minorHAnsi" w:eastAsiaTheme="minorEastAsia"/>
          <w:color w:val="auto"/>
          <w:kern w:val="2"/>
          <w:sz w:val="21"/>
          <w:szCs w:val="21"/>
          <w:lang w:val="en-US" w:eastAsia="zh-CN" w:bidi="ar-SA"/>
        </w:rPr>
      </w:pPr>
      <w:r>
        <w:rPr>
          <w:rFonts w:hint="eastAsia" w:hAnsi="黑体" w:cs="黑体" w:asciiTheme="minorHAnsi" w:eastAsiaTheme="minorEastAsia"/>
          <w:color w:val="auto"/>
          <w:kern w:val="2"/>
          <w:sz w:val="21"/>
          <w:szCs w:val="21"/>
          <w:lang w:val="en-US" w:eastAsia="zh-CN" w:bidi="ar-SA"/>
        </w:rPr>
        <w:t>增加试样的破碎、混匀和缩分方式</w:t>
      </w:r>
    </w:p>
    <w:p w14:paraId="2A023CE1">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eastAsia" w:hAnsi="黑体" w:cs="黑体" w:asciiTheme="minorHAnsi" w:eastAsiaTheme="minorEastAsia"/>
          <w:color w:val="auto"/>
          <w:kern w:val="2"/>
          <w:sz w:val="21"/>
          <w:szCs w:val="21"/>
          <w:lang w:val="en-US" w:eastAsia="zh-CN" w:bidi="ar-SA"/>
        </w:rPr>
      </w:pPr>
      <w:r>
        <w:rPr>
          <w:rFonts w:hint="eastAsia" w:hAnsi="黑体" w:cs="黑体" w:eastAsiaTheme="minorEastAsia"/>
          <w:color w:val="auto"/>
          <w:kern w:val="2"/>
          <w:sz w:val="21"/>
          <w:szCs w:val="21"/>
          <w:lang w:val="en-US" w:eastAsia="zh-CN" w:bidi="ar-SA"/>
        </w:rPr>
        <w:t>优化了</w:t>
      </w:r>
      <w:r>
        <w:rPr>
          <w:rFonts w:hint="eastAsia" w:hAnsi="黑体" w:cs="黑体" w:asciiTheme="minorHAnsi" w:eastAsiaTheme="minorEastAsia"/>
          <w:color w:val="auto"/>
          <w:kern w:val="2"/>
          <w:sz w:val="21"/>
          <w:szCs w:val="21"/>
          <w:lang w:val="en-US" w:eastAsia="zh-CN" w:bidi="ar-SA"/>
        </w:rPr>
        <w:t>水分测定设备和工具、步骤要求</w:t>
      </w:r>
    </w:p>
    <w:p w14:paraId="511EDC03">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eastAsia" w:hAnsi="黑体" w:cs="黑体" w:asciiTheme="minorHAnsi" w:eastAsiaTheme="minorEastAsia"/>
          <w:color w:val="auto"/>
          <w:kern w:val="2"/>
          <w:sz w:val="21"/>
          <w:szCs w:val="21"/>
          <w:lang w:val="en-US" w:eastAsia="zh-CN" w:bidi="ar-SA"/>
        </w:rPr>
      </w:pPr>
      <w:r>
        <w:rPr>
          <w:rFonts w:hint="eastAsia" w:hAnsi="黑体" w:cs="黑体" w:eastAsiaTheme="minorEastAsia"/>
          <w:color w:val="auto"/>
          <w:kern w:val="2"/>
          <w:sz w:val="21"/>
          <w:szCs w:val="21"/>
          <w:lang w:val="en-US" w:eastAsia="zh-CN" w:bidi="ar-SA"/>
        </w:rPr>
        <w:t>优化了</w:t>
      </w:r>
      <w:r>
        <w:rPr>
          <w:rFonts w:hint="eastAsia" w:hAnsi="黑体" w:cs="黑体" w:asciiTheme="minorHAnsi" w:eastAsiaTheme="minorEastAsia"/>
          <w:color w:val="auto"/>
          <w:kern w:val="2"/>
          <w:sz w:val="21"/>
          <w:szCs w:val="21"/>
          <w:lang w:val="en-US" w:eastAsia="zh-CN" w:bidi="ar-SA"/>
        </w:rPr>
        <w:t>精矿的烘样时间要求</w:t>
      </w:r>
    </w:p>
    <w:p w14:paraId="0B2F5C83">
      <w:pPr>
        <w:pStyle w:val="3"/>
        <w:keepNext w:val="0"/>
        <w:keepLines w:val="0"/>
        <w:pageBreakBefore w:val="0"/>
        <w:widowControl w:val="0"/>
        <w:numPr>
          <w:ilvl w:val="0"/>
          <w:numId w:val="2"/>
        </w:numPr>
        <w:kinsoku/>
        <w:wordWrap/>
        <w:overflowPunct/>
        <w:topLinePunct w:val="0"/>
        <w:autoSpaceDE/>
        <w:autoSpaceDN/>
        <w:bidi w:val="0"/>
        <w:adjustRightInd/>
        <w:snapToGrid/>
        <w:spacing w:beforeAutospacing="0" w:after="0" w:afterAutospacing="0" w:line="240" w:lineRule="auto"/>
        <w:ind w:left="0" w:leftChars="0" w:firstLine="630" w:firstLineChars="300"/>
        <w:jc w:val="left"/>
        <w:textAlignment w:val="auto"/>
        <w:rPr>
          <w:rFonts w:hint="eastAsia" w:hAnsi="黑体" w:cs="黑体" w:asciiTheme="minorHAnsi" w:eastAsiaTheme="minorEastAsia"/>
          <w:color w:val="auto"/>
          <w:kern w:val="2"/>
          <w:sz w:val="21"/>
          <w:szCs w:val="21"/>
          <w:lang w:val="en-US" w:eastAsia="zh-CN" w:bidi="ar-SA"/>
        </w:rPr>
      </w:pPr>
      <w:r>
        <w:rPr>
          <w:rFonts w:hint="eastAsia" w:hAnsi="黑体" w:cs="黑体" w:eastAsiaTheme="minorEastAsia"/>
          <w:color w:val="auto"/>
          <w:kern w:val="2"/>
          <w:sz w:val="21"/>
          <w:szCs w:val="21"/>
          <w:lang w:val="en-US" w:eastAsia="zh-CN" w:bidi="ar-SA"/>
        </w:rPr>
        <w:t>优化了</w:t>
      </w:r>
      <w:r>
        <w:rPr>
          <w:rFonts w:hint="eastAsia" w:hAnsi="黑体" w:cs="黑体" w:asciiTheme="minorHAnsi" w:eastAsiaTheme="minorEastAsia"/>
          <w:color w:val="auto"/>
          <w:kern w:val="2"/>
          <w:sz w:val="21"/>
          <w:szCs w:val="21"/>
          <w:lang w:val="en-US" w:eastAsia="zh-CN" w:bidi="ar-SA"/>
        </w:rPr>
        <w:t>水分误差超过允差后的处理</w:t>
      </w:r>
    </w:p>
    <w:p w14:paraId="4DE13FA1">
      <w:pPr>
        <w:keepNext w:val="0"/>
        <w:keepLines w:val="0"/>
        <w:pageBreakBefore w:val="0"/>
        <w:kinsoku/>
        <w:wordWrap/>
        <w:overflowPunct/>
        <w:topLinePunct w:val="0"/>
        <w:bidi w:val="0"/>
        <w:spacing w:beforeAutospacing="0" w:afterAutospacing="0"/>
        <w:ind w:firstLine="420" w:firstLineChars="200"/>
        <w:rPr>
          <w:rFonts w:hint="default" w:hAnsi="黑体" w:cs="黑体"/>
          <w:color w:val="auto"/>
          <w:szCs w:val="21"/>
          <w:lang w:val="en-US" w:eastAsia="zh-CN"/>
        </w:rPr>
      </w:pPr>
      <w:r>
        <w:rPr>
          <w:rFonts w:hint="eastAsia" w:hAnsi="黑体" w:cs="黑体"/>
          <w:color w:val="auto"/>
          <w:szCs w:val="21"/>
          <w:lang w:val="en-US" w:eastAsia="zh-CN"/>
        </w:rPr>
        <w:t>2）继续开展试验及调研，对相关内容进行论证。</w:t>
      </w:r>
    </w:p>
    <w:p w14:paraId="5DCFF23E">
      <w:pPr>
        <w:pStyle w:val="3"/>
        <w:keepNext w:val="0"/>
        <w:keepLines w:val="0"/>
        <w:pageBreakBefore w:val="0"/>
        <w:widowControl w:val="0"/>
        <w:kinsoku/>
        <w:wordWrap/>
        <w:overflowPunct/>
        <w:topLinePunct w:val="0"/>
        <w:autoSpaceDE/>
        <w:autoSpaceDN/>
        <w:bidi w:val="0"/>
        <w:adjustRightInd/>
        <w:snapToGrid/>
        <w:spacing w:beforeAutospacing="0" w:after="0" w:afterAutospacing="0"/>
        <w:textAlignment w:val="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1.4.3.2  调研 </w:t>
      </w:r>
    </w:p>
    <w:p w14:paraId="60741D5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hAnsi="黑体" w:cs="黑体" w:eastAsiaTheme="minorEastAsia"/>
          <w:bCs w:val="0"/>
          <w:color w:val="auto"/>
          <w:szCs w:val="21"/>
          <w:u w:val="none"/>
          <w:lang w:val="en-US" w:eastAsia="zh-CN"/>
        </w:rPr>
      </w:pPr>
      <w:r>
        <w:rPr>
          <w:rFonts w:hint="eastAsia" w:hAnsi="黑体" w:cs="黑体" w:eastAsiaTheme="minorEastAsia"/>
          <w:bCs w:val="0"/>
          <w:color w:val="auto"/>
          <w:szCs w:val="21"/>
          <w:lang w:val="en-US" w:eastAsia="zh-CN"/>
        </w:rPr>
        <w:t>后期计划安排如下：a.请相关参与单位对标准草案提出文字意见建议，预计在3月底前收集整理好各单位的意见反馈；b.实地调研的工作安排，建议在今年上半年去具有自动化或者新型取制样技术的单位进行实地调研；c. 考虑</w:t>
      </w:r>
      <w:r>
        <w:rPr>
          <w:rFonts w:hint="eastAsia" w:hAnsi="黑体" w:cs="黑体" w:eastAsiaTheme="minorEastAsia"/>
          <w:bCs w:val="0"/>
          <w:color w:val="auto"/>
          <w:szCs w:val="21"/>
          <w:u w:val="none"/>
          <w:lang w:val="en-US" w:eastAsia="zh-CN"/>
        </w:rPr>
        <w:t>到是重有色金属的取制样方法标准整合，能否将钴、锡、锑等精矿的取制样也纳入，或者是否还有其他哪些地方可以完善的；d.以上工作计划在10月份的预审会议之前完成。</w:t>
      </w:r>
    </w:p>
    <w:p w14:paraId="34513C2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hAnsi="黑体" w:cs="黑体" w:eastAsiaTheme="minorEastAsia"/>
          <w:bCs w:val="0"/>
          <w:color w:val="auto"/>
          <w:szCs w:val="21"/>
          <w:u w:val="none"/>
          <w:lang w:val="en-US" w:eastAsia="zh-CN"/>
        </w:rPr>
      </w:pPr>
      <w:r>
        <w:rPr>
          <w:rFonts w:hint="eastAsia" w:hAnsi="黑体" w:cs="黑体" w:eastAsiaTheme="minorEastAsia"/>
          <w:bCs w:val="0"/>
          <w:color w:val="auto"/>
          <w:szCs w:val="21"/>
          <w:u w:val="none"/>
          <w:lang w:val="en-US" w:eastAsia="zh-CN"/>
        </w:rPr>
        <w:t>2025年6月2日-6日，前往株洲冶炼集团股份有限公司、江西铜业股份有限公司贵溪冶炼厂、金川集团股份有限公司三家公司进行实地调研，收集现行标准在生产企业实际应用过程中存在的突出问题和操作难点，听取并汇总主要企业对标准修订的具体建议与可行性意见，为标准修订工作提供来自生产一线的实践依据和坚实的技术支撑。现将调研反馈建议汇总如下：</w:t>
      </w:r>
    </w:p>
    <w:p w14:paraId="04283113">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asciiTheme="minorEastAsia" w:hAnsiTheme="minorEastAsia" w:eastAsiaTheme="minorEastAsia" w:cstheme="minorEastAsia"/>
          <w:bCs w:val="0"/>
          <w:color w:val="auto"/>
          <w:szCs w:val="21"/>
          <w:u w:val="none"/>
          <w:lang w:val="en-US" w:eastAsia="zh-CN"/>
        </w:rPr>
      </w:pPr>
      <w:r>
        <w:rPr>
          <w:rFonts w:hint="eastAsia" w:asciiTheme="minorEastAsia" w:hAnsiTheme="minorEastAsia" w:eastAsiaTheme="minorEastAsia" w:cstheme="minorEastAsia"/>
          <w:bCs w:val="0"/>
          <w:color w:val="auto"/>
          <w:szCs w:val="21"/>
          <w:u w:val="none"/>
          <w:lang w:val="en-US" w:eastAsia="zh-CN"/>
        </w:rPr>
        <w:t>（1）4.11 增加了对高Au、Ag的铜精矿的样品保存六个月，以备核查。</w:t>
      </w:r>
    </w:p>
    <w:p w14:paraId="4C84848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asciiTheme="minorEastAsia" w:hAnsiTheme="minorEastAsia" w:eastAsiaTheme="minorEastAsia" w:cstheme="minorEastAsia"/>
          <w:bCs w:val="0"/>
          <w:color w:val="auto"/>
          <w:szCs w:val="21"/>
          <w:u w:val="none"/>
          <w:lang w:val="en-US" w:eastAsia="zh-CN"/>
        </w:rPr>
      </w:pPr>
      <w:r>
        <w:rPr>
          <w:rFonts w:hint="eastAsia" w:asciiTheme="minorEastAsia" w:hAnsiTheme="minorEastAsia" w:eastAsiaTheme="minorEastAsia" w:cstheme="minorEastAsia"/>
          <w:bCs w:val="0"/>
          <w:color w:val="auto"/>
          <w:szCs w:val="21"/>
          <w:u w:val="none"/>
          <w:lang w:val="en-US" w:eastAsia="zh-CN"/>
        </w:rPr>
        <w:t>（2）5.5.3建议删除文本“</w:t>
      </w:r>
      <w:r>
        <w:rPr>
          <w:rFonts w:hint="eastAsia" w:asciiTheme="minorEastAsia" w:hAnsiTheme="minorEastAsia" w:eastAsiaTheme="minorEastAsia" w:cstheme="minorEastAsia"/>
          <w:color w:val="auto"/>
        </w:rPr>
        <w:t>扒去表层</w:t>
      </w:r>
      <w:r>
        <w:rPr>
          <w:rFonts w:hint="eastAsia" w:asciiTheme="minorEastAsia" w:hAnsiTheme="minorEastAsia" w:eastAsiaTheme="minorEastAsia" w:cstheme="minorEastAsia"/>
          <w:color w:val="auto"/>
          <w:lang w:val="en-US" w:eastAsia="zh-CN"/>
        </w:rPr>
        <w:t>30mm~50mm</w:t>
      </w:r>
      <w:r>
        <w:rPr>
          <w:rFonts w:hint="eastAsia" w:asciiTheme="minorEastAsia" w:hAnsiTheme="minorEastAsia" w:eastAsiaTheme="minorEastAsia" w:cstheme="minorEastAsia"/>
          <w:bCs w:val="0"/>
          <w:color w:val="auto"/>
          <w:szCs w:val="21"/>
          <w:u w:val="none"/>
          <w:lang w:val="en-US" w:eastAsia="zh-CN"/>
        </w:rPr>
        <w:t>”</w:t>
      </w:r>
    </w:p>
    <w:p w14:paraId="022E981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20"/>
        <w:textAlignment w:val="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bCs w:val="0"/>
          <w:color w:val="auto"/>
          <w:szCs w:val="21"/>
          <w:u w:val="none"/>
          <w:lang w:val="en-US" w:eastAsia="zh-CN"/>
        </w:rPr>
        <w:t>（3）6.4.1.2建议删除文本“</w:t>
      </w:r>
      <w:r>
        <w:rPr>
          <w:rFonts w:hint="eastAsia" w:asciiTheme="minorEastAsia" w:hAnsiTheme="minorEastAsia" w:eastAsiaTheme="minorEastAsia" w:cstheme="minorEastAsia"/>
          <w:color w:val="auto"/>
          <w:szCs w:val="21"/>
        </w:rPr>
        <w:t>建议前段转速为180 r/min，工作25min；后段转速100 r/min，工作15min。</w:t>
      </w:r>
      <w:r>
        <w:rPr>
          <w:rFonts w:hint="eastAsia" w:asciiTheme="minorEastAsia" w:hAnsiTheme="minorEastAsia" w:eastAsiaTheme="minorEastAsia" w:cstheme="minorEastAsia"/>
          <w:color w:val="auto"/>
          <w:szCs w:val="21"/>
          <w:lang w:eastAsia="zh-CN"/>
        </w:rPr>
        <w:t>”</w:t>
      </w:r>
      <w:r>
        <w:rPr>
          <w:rFonts w:hint="eastAsia" w:asciiTheme="minorEastAsia" w:hAnsiTheme="minorEastAsia" w:eastAsiaTheme="minorEastAsia" w:cstheme="minorEastAsia"/>
          <w:color w:val="auto"/>
          <w:szCs w:val="21"/>
          <w:lang w:val="en-US" w:eastAsia="zh-CN"/>
        </w:rPr>
        <w:t>增加“</w:t>
      </w:r>
      <w:r>
        <w:rPr>
          <w:rFonts w:hint="eastAsia" w:asciiTheme="minorEastAsia" w:hAnsiTheme="minorEastAsia" w:eastAsiaTheme="minorEastAsia" w:cstheme="minorEastAsia"/>
          <w:color w:val="auto"/>
          <w:szCs w:val="21"/>
        </w:rPr>
        <w:t>试样全量达到所需粒度</w:t>
      </w:r>
      <w:r>
        <w:rPr>
          <w:rFonts w:hint="eastAsia" w:asciiTheme="minorEastAsia" w:hAnsiTheme="minorEastAsia" w:eastAsiaTheme="minorEastAsia" w:cstheme="minorEastAsia"/>
          <w:color w:val="auto"/>
          <w:szCs w:val="21"/>
          <w:lang w:val="en-US" w:eastAsia="zh-CN"/>
        </w:rPr>
        <w:t>”。</w:t>
      </w:r>
    </w:p>
    <w:p w14:paraId="1862B86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20"/>
        <w:textAlignment w:val="auto"/>
        <w:rPr>
          <w:rFonts w:hint="eastAsia" w:asciiTheme="minorEastAsia" w:hAnsiTheme="minorEastAsia" w:eastAsiaTheme="minorEastAsia" w:cstheme="minorEastAsia"/>
          <w:bCs w:val="0"/>
          <w:color w:val="auto"/>
          <w:szCs w:val="21"/>
          <w:u w:val="none"/>
          <w:lang w:val="en-US" w:eastAsia="zh-CN"/>
        </w:rPr>
      </w:pPr>
      <w:r>
        <w:rPr>
          <w:rFonts w:hint="eastAsia" w:asciiTheme="minorEastAsia" w:hAnsiTheme="minorEastAsia" w:eastAsiaTheme="minorEastAsia" w:cstheme="minorEastAsia"/>
          <w:color w:val="auto"/>
          <w:szCs w:val="21"/>
          <w:lang w:val="en-US" w:eastAsia="zh-CN"/>
        </w:rPr>
        <w:t>（4）</w:t>
      </w:r>
      <w:r>
        <w:rPr>
          <w:rFonts w:hint="eastAsia" w:asciiTheme="minorEastAsia" w:hAnsiTheme="minorEastAsia" w:eastAsiaTheme="minorEastAsia" w:cstheme="minorEastAsia"/>
          <w:bCs w:val="0"/>
          <w:color w:val="auto"/>
          <w:szCs w:val="21"/>
          <w:u w:val="none"/>
          <w:lang w:val="en-US" w:eastAsia="zh-CN"/>
        </w:rPr>
        <w:t>6.4.1.3 建议删除文本“破碎时间不超过60秒”，增加“</w:t>
      </w:r>
      <w:r>
        <w:rPr>
          <w:rFonts w:hint="eastAsia" w:asciiTheme="minorEastAsia" w:hAnsiTheme="minorEastAsia" w:eastAsiaTheme="minorEastAsia" w:cstheme="minorEastAsia"/>
          <w:color w:val="auto"/>
          <w:szCs w:val="21"/>
          <w:lang w:val="en-US" w:eastAsia="zh-CN"/>
        </w:rPr>
        <w:t>试样用40目</w:t>
      </w:r>
      <w:r>
        <w:rPr>
          <w:rFonts w:hint="eastAsia" w:asciiTheme="minorEastAsia" w:hAnsiTheme="minorEastAsia" w:eastAsiaTheme="minorEastAsia" w:cstheme="minorEastAsia"/>
          <w:color w:val="auto"/>
          <w:szCs w:val="21"/>
        </w:rPr>
        <w:t>标准筛</w:t>
      </w:r>
      <w:r>
        <w:rPr>
          <w:rFonts w:hint="eastAsia" w:asciiTheme="minorEastAsia" w:hAnsiTheme="minorEastAsia" w:eastAsiaTheme="minorEastAsia" w:cstheme="minorEastAsia"/>
          <w:color w:val="auto"/>
          <w:szCs w:val="21"/>
          <w:lang w:val="en-US" w:eastAsia="zh-CN"/>
        </w:rPr>
        <w:t>混匀不少于一次。</w:t>
      </w:r>
      <w:r>
        <w:rPr>
          <w:rFonts w:hint="eastAsia" w:asciiTheme="minorEastAsia" w:hAnsiTheme="minorEastAsia" w:eastAsiaTheme="minorEastAsia" w:cstheme="minorEastAsia"/>
          <w:bCs w:val="0"/>
          <w:color w:val="auto"/>
          <w:szCs w:val="21"/>
          <w:u w:val="none"/>
          <w:lang w:val="en-US" w:eastAsia="zh-CN"/>
        </w:rPr>
        <w:t>”</w:t>
      </w:r>
    </w:p>
    <w:p w14:paraId="7B23019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asciiTheme="minorEastAsia" w:hAnsiTheme="minorEastAsia" w:eastAsiaTheme="minorEastAsia" w:cstheme="minorEastAsia"/>
          <w:bCs w:val="0"/>
          <w:color w:val="auto"/>
          <w:szCs w:val="21"/>
          <w:u w:val="none"/>
          <w:lang w:val="en-US" w:eastAsia="zh-CN"/>
        </w:rPr>
      </w:pPr>
      <w:r>
        <w:rPr>
          <w:rFonts w:hint="eastAsia" w:asciiTheme="minorEastAsia" w:hAnsiTheme="minorEastAsia" w:eastAsiaTheme="minorEastAsia" w:cstheme="minorEastAsia"/>
          <w:bCs w:val="0"/>
          <w:color w:val="auto"/>
          <w:szCs w:val="21"/>
          <w:u w:val="none"/>
          <w:lang w:val="en-US" w:eastAsia="zh-CN"/>
        </w:rPr>
        <w:t>（5）7.5.2 建议按照水分范围开展补充允差试验，并对数据的取值方式进行研讨。</w:t>
      </w:r>
    </w:p>
    <w:p w14:paraId="70515B8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textAlignment w:val="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1.4.3.3  试验情况 </w:t>
      </w:r>
    </w:p>
    <w:p w14:paraId="45D89174">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hAnsi="黑体" w:cs="黑体" w:eastAsiaTheme="minorEastAsia"/>
          <w:bCs w:val="0"/>
          <w:color w:val="auto"/>
          <w:szCs w:val="21"/>
          <w:u w:val="none"/>
          <w:lang w:val="en-US" w:eastAsia="zh-CN"/>
        </w:rPr>
      </w:pPr>
      <w:r>
        <w:rPr>
          <w:rFonts w:hint="eastAsia" w:hAnsi="黑体" w:cs="黑体" w:eastAsiaTheme="minorEastAsia"/>
          <w:bCs w:val="0"/>
          <w:color w:val="auto"/>
          <w:szCs w:val="21"/>
          <w:u w:val="none"/>
          <w:lang w:val="en-US" w:eastAsia="zh-CN"/>
        </w:rPr>
        <w:t>2025年8月开始，根据中国有色金属工业标准化技术委员会秘书处的通知。对现行国家标准GB/T14260-14264进行合并修订，为使修订后的标准更为科学合理和具可操作性，特进行了本次试验。</w:t>
      </w:r>
    </w:p>
    <w:p w14:paraId="370008F2">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hAnsi="黑体" w:cs="黑体" w:eastAsiaTheme="minorEastAsia"/>
          <w:bCs w:val="0"/>
          <w:color w:val="auto"/>
          <w:szCs w:val="21"/>
          <w:u w:val="none"/>
          <w:lang w:val="en-US" w:eastAsia="zh-CN"/>
        </w:rPr>
      </w:pPr>
      <w:r>
        <w:rPr>
          <w:rFonts w:hint="eastAsia" w:hAnsi="黑体" w:cs="黑体" w:eastAsiaTheme="minorEastAsia"/>
          <w:bCs w:val="0"/>
          <w:color w:val="auto"/>
          <w:szCs w:val="21"/>
          <w:u w:val="none"/>
          <w:lang w:val="en-US" w:eastAsia="zh-CN"/>
        </w:rPr>
        <w:t>本次试验分为铜铅锌镍四个小组，分别由大冶有色金属集团控股有限公司、河南豫光金铅股份有限公司（株洲冶炼集团股份有限公司）、葫芦岛锌业股份有限公司、金川集团股份有限公司牵头组织行业相关单位进行试验，后又增加锑组，由锡矿山闪星锑业有限责任公司牵头。</w:t>
      </w:r>
    </w:p>
    <w:p w14:paraId="0589C727">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default" w:hAnsi="黑体" w:cs="黑体" w:eastAsiaTheme="minorEastAsia"/>
          <w:bCs w:val="0"/>
          <w:color w:val="auto"/>
          <w:szCs w:val="21"/>
          <w:u w:val="none"/>
          <w:lang w:val="en-US" w:eastAsia="zh-CN"/>
        </w:rPr>
      </w:pPr>
      <w:r>
        <w:rPr>
          <w:rFonts w:hint="eastAsia" w:hAnsi="黑体" w:cs="黑体" w:eastAsiaTheme="minorEastAsia"/>
          <w:bCs w:val="0"/>
          <w:color w:val="auto"/>
          <w:szCs w:val="21"/>
          <w:u w:val="none"/>
          <w:lang w:val="en-US" w:eastAsia="zh-CN"/>
        </w:rPr>
        <w:t>试验方案按照《GB/T 14260—2010 散装重有色金属精矿取样、制样通则》中附录A、附录B和附录C的内容进行，具体试验内容见下表。</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6013"/>
      </w:tblGrid>
      <w:tr w14:paraId="30C175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19" w:type="dxa"/>
            <w:tcBorders>
              <w:bottom w:val="single" w:color="auto" w:sz="12" w:space="0"/>
            </w:tcBorders>
            <w:noWrap w:val="0"/>
            <w:vAlign w:val="center"/>
          </w:tcPr>
          <w:p w14:paraId="5EA8D39A">
            <w:pPr>
              <w:keepNext w:val="0"/>
              <w:keepLines w:val="0"/>
              <w:pageBreakBefore w:val="0"/>
              <w:kinsoku/>
              <w:wordWrap/>
              <w:overflowPunct/>
              <w:topLinePunct w:val="0"/>
              <w:bidi w:val="0"/>
              <w:spacing w:beforeAutospacing="0" w:afterAutospacing="0"/>
              <w:jc w:val="center"/>
              <w:rPr>
                <w:rFonts w:hint="default" w:ascii="Times New Roman" w:hAnsi="Times New Roman" w:cs="Times New Roman"/>
                <w:color w:val="auto"/>
              </w:rPr>
            </w:pPr>
            <w:r>
              <w:rPr>
                <w:rFonts w:hint="default" w:ascii="Times New Roman" w:hAnsi="Times New Roman" w:cs="Times New Roman"/>
                <w:color w:val="auto"/>
              </w:rPr>
              <w:t>试验</w:t>
            </w:r>
          </w:p>
          <w:p w14:paraId="53D8D4E3">
            <w:pPr>
              <w:keepNext w:val="0"/>
              <w:keepLines w:val="0"/>
              <w:pageBreakBefore w:val="0"/>
              <w:kinsoku/>
              <w:wordWrap/>
              <w:overflowPunct/>
              <w:topLinePunct w:val="0"/>
              <w:bidi w:val="0"/>
              <w:spacing w:beforeAutospacing="0" w:afterAutospacing="0"/>
              <w:jc w:val="center"/>
              <w:rPr>
                <w:rFonts w:hint="default" w:ascii="Times New Roman" w:hAnsi="Times New Roman" w:cs="Times New Roman"/>
                <w:color w:val="auto"/>
              </w:rPr>
            </w:pPr>
            <w:r>
              <w:rPr>
                <w:rFonts w:hint="default" w:ascii="Times New Roman" w:hAnsi="Times New Roman" w:cs="Times New Roman"/>
                <w:color w:val="auto"/>
              </w:rPr>
              <w:t>项目</w:t>
            </w:r>
          </w:p>
        </w:tc>
        <w:tc>
          <w:tcPr>
            <w:tcW w:w="6013" w:type="dxa"/>
            <w:tcBorders>
              <w:bottom w:val="single" w:color="auto" w:sz="12" w:space="0"/>
            </w:tcBorders>
            <w:noWrap w:val="0"/>
            <w:vAlign w:val="center"/>
          </w:tcPr>
          <w:p w14:paraId="05DD062C">
            <w:pPr>
              <w:keepNext w:val="0"/>
              <w:keepLines w:val="0"/>
              <w:pageBreakBefore w:val="0"/>
              <w:kinsoku/>
              <w:wordWrap/>
              <w:overflowPunct/>
              <w:topLinePunct w:val="0"/>
              <w:bidi w:val="0"/>
              <w:spacing w:beforeAutospacing="0" w:afterAutospacing="0"/>
              <w:jc w:val="center"/>
              <w:rPr>
                <w:rFonts w:hint="default" w:ascii="Times New Roman" w:hAnsi="Times New Roman" w:cs="Times New Roman"/>
                <w:color w:val="auto"/>
              </w:rPr>
            </w:pPr>
            <w:r>
              <w:rPr>
                <w:rFonts w:hint="default" w:ascii="Times New Roman" w:hAnsi="Times New Roman" w:cs="Times New Roman"/>
                <w:color w:val="auto"/>
              </w:rPr>
              <w:t>试验内容</w:t>
            </w:r>
          </w:p>
        </w:tc>
      </w:tr>
      <w:tr w14:paraId="1035B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19" w:type="dxa"/>
            <w:tcBorders>
              <w:top w:val="single" w:color="auto" w:sz="12" w:space="0"/>
            </w:tcBorders>
            <w:noWrap w:val="0"/>
            <w:vAlign w:val="center"/>
          </w:tcPr>
          <w:p w14:paraId="4C730FA8">
            <w:pPr>
              <w:keepNext w:val="0"/>
              <w:keepLines w:val="0"/>
              <w:pageBreakBefore w:val="0"/>
              <w:kinsoku/>
              <w:wordWrap/>
              <w:overflowPunct/>
              <w:topLinePunct w:val="0"/>
              <w:bidi w:val="0"/>
              <w:spacing w:beforeAutospacing="0" w:afterAutospacing="0"/>
              <w:jc w:val="center"/>
              <w:rPr>
                <w:rFonts w:hint="default" w:ascii="Times New Roman" w:hAnsi="Times New Roman" w:cs="Times New Roman"/>
                <w:color w:val="auto"/>
              </w:rPr>
            </w:pPr>
            <w:r>
              <w:rPr>
                <w:rFonts w:hint="default" w:ascii="Times New Roman" w:hAnsi="Times New Roman" w:cs="Times New Roman"/>
                <w:color w:val="auto"/>
              </w:rPr>
              <w:t>品质波动</w:t>
            </w:r>
          </w:p>
          <w:p w14:paraId="3FFE10E3">
            <w:pPr>
              <w:keepNext w:val="0"/>
              <w:keepLines w:val="0"/>
              <w:pageBreakBefore w:val="0"/>
              <w:kinsoku/>
              <w:wordWrap/>
              <w:overflowPunct/>
              <w:topLinePunct w:val="0"/>
              <w:bidi w:val="0"/>
              <w:spacing w:beforeAutospacing="0" w:afterAutospacing="0"/>
              <w:jc w:val="center"/>
              <w:rPr>
                <w:rFonts w:hint="default" w:ascii="Times New Roman" w:hAnsi="Times New Roman" w:cs="Times New Roman"/>
                <w:color w:val="auto"/>
              </w:rPr>
            </w:pPr>
            <w:r>
              <w:rPr>
                <w:rFonts w:hint="default" w:ascii="Times New Roman" w:hAnsi="Times New Roman" w:cs="Times New Roman"/>
                <w:color w:val="auto"/>
              </w:rPr>
              <w:t>试验</w:t>
            </w:r>
          </w:p>
        </w:tc>
        <w:tc>
          <w:tcPr>
            <w:tcW w:w="6013" w:type="dxa"/>
            <w:tcBorders>
              <w:top w:val="single" w:color="auto" w:sz="12" w:space="0"/>
            </w:tcBorders>
            <w:noWrap w:val="0"/>
            <w:vAlign w:val="center"/>
          </w:tcPr>
          <w:p w14:paraId="0B1AA404">
            <w:pPr>
              <w:keepNext w:val="0"/>
              <w:keepLines w:val="0"/>
              <w:pageBreakBefore w:val="0"/>
              <w:kinsoku/>
              <w:wordWrap/>
              <w:overflowPunct/>
              <w:topLinePunct w:val="0"/>
              <w:bidi w:val="0"/>
              <w:spacing w:beforeAutospacing="0" w:afterAutospacing="0"/>
              <w:jc w:val="both"/>
              <w:rPr>
                <w:rFonts w:hint="default" w:ascii="Times New Roman" w:hAnsi="Times New Roman" w:eastAsia="宋体" w:cs="Times New Roman"/>
                <w:color w:val="auto"/>
                <w:lang w:val="en-US" w:eastAsia="zh-CN"/>
              </w:rPr>
            </w:pPr>
            <w:r>
              <w:rPr>
                <w:rFonts w:hint="default" w:ascii="Times New Roman" w:hAnsi="Times New Roman" w:cs="Times New Roman"/>
                <w:color w:val="auto"/>
              </w:rPr>
              <w:t>（1）大批量试验：根据</w:t>
            </w:r>
            <w:r>
              <w:rPr>
                <w:rFonts w:hint="default" w:ascii="Times New Roman" w:hAnsi="Times New Roman" w:cs="Times New Roman"/>
                <w:color w:val="auto"/>
                <w:lang w:val="en-US" w:eastAsia="zh-CN"/>
              </w:rPr>
              <w:t>生产</w:t>
            </w:r>
            <w:r>
              <w:rPr>
                <w:rFonts w:hint="default" w:ascii="Times New Roman" w:hAnsi="Times New Roman" w:cs="Times New Roman"/>
                <w:color w:val="auto"/>
              </w:rPr>
              <w:t>实践经验，选择品质波动高、中、低（或品位高、中、低）三种不同类型精矿进行试验，分别计算</w:t>
            </w:r>
            <w:r>
              <w:rPr>
                <w:rFonts w:hint="default" w:ascii="Times New Roman" w:hAnsi="Times New Roman" w:cs="Times New Roman"/>
                <w:color w:val="auto"/>
                <w:position w:val="-12"/>
              </w:rPr>
              <w:object>
                <v:shape id="_x0000_i1025" o:spt="75" type="#_x0000_t75" style="height:18pt;width:18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r>
              <w:rPr>
                <w:rFonts w:hint="default" w:ascii="Times New Roman" w:hAnsi="Times New Roman" w:cs="Times New Roman"/>
                <w:color w:val="auto"/>
                <w:lang w:val="en-US" w:eastAsia="zh-CN"/>
              </w:rPr>
              <w:t>。</w:t>
            </w:r>
          </w:p>
          <w:p w14:paraId="7BE32567">
            <w:pPr>
              <w:keepNext w:val="0"/>
              <w:keepLines w:val="0"/>
              <w:pageBreakBefore w:val="0"/>
              <w:kinsoku/>
              <w:wordWrap/>
              <w:overflowPunct/>
              <w:topLinePunct w:val="0"/>
              <w:bidi w:val="0"/>
              <w:spacing w:beforeAutospacing="0" w:afterAutospacing="0" w:line="320" w:lineRule="exact"/>
              <w:jc w:val="both"/>
              <w:rPr>
                <w:rFonts w:hint="default" w:ascii="Times New Roman" w:hAnsi="Times New Roman" w:eastAsia="宋体" w:cs="Times New Roman"/>
                <w:color w:val="auto"/>
                <w:lang w:val="en-US" w:eastAsia="zh-CN"/>
              </w:rPr>
            </w:pPr>
            <w:r>
              <w:rPr>
                <w:rFonts w:hint="default" w:ascii="Times New Roman" w:hAnsi="Times New Roman" w:cs="Times New Roman"/>
                <w:color w:val="auto"/>
              </w:rPr>
              <w:t>（2）小批量试验：选择生产使用的精矿，每种精矿各5批试验</w:t>
            </w:r>
            <w:r>
              <w:rPr>
                <w:rFonts w:hint="default" w:ascii="Times New Roman" w:hAnsi="Times New Roman" w:cs="Times New Roman"/>
                <w:color w:val="auto"/>
                <w:lang w:eastAsia="zh-CN"/>
              </w:rPr>
              <w:t>，</w:t>
            </w:r>
            <w:r>
              <w:rPr>
                <w:rFonts w:hint="default" w:ascii="Times New Roman" w:hAnsi="Times New Roman" w:cs="Times New Roman"/>
                <w:color w:val="auto"/>
              </w:rPr>
              <w:t>计算各次份样间的标准偏差</w:t>
            </w:r>
            <w:r>
              <w:rPr>
                <w:rFonts w:hint="default" w:ascii="Times New Roman" w:hAnsi="Times New Roman" w:cs="Times New Roman"/>
                <w:color w:val="auto"/>
                <w:position w:val="-12"/>
              </w:rPr>
              <w:object>
                <v:shape id="_x0000_i1026" o:spt="75" type="#_x0000_t75" style="height:18pt;width:18pt;" o:ole="t" filled="f" o:preferrelative="t" stroked="f" coordsize="21600,21600">
                  <v:path/>
                  <v:fill on="f" focussize="0,0"/>
                  <v:stroke on="f"/>
                  <v:imagedata r:id="rId7" o:title=""/>
                  <o:lock v:ext="edit" aspectratio="t"/>
                  <w10:wrap type="none"/>
                  <w10:anchorlock/>
                </v:shape>
                <o:OLEObject Type="Embed" ProgID="Equation.3" ShapeID="_x0000_i1026" DrawAspect="Content" ObjectID="_1468075726" r:id="rId6">
                  <o:LockedField>false</o:LockedField>
                </o:OLEObject>
              </w:object>
            </w:r>
            <w:r>
              <w:rPr>
                <w:rFonts w:hint="default" w:ascii="Times New Roman" w:hAnsi="Times New Roman" w:cs="Times New Roman"/>
                <w:color w:val="auto"/>
              </w:rPr>
              <w:t>。</w:t>
            </w:r>
          </w:p>
        </w:tc>
      </w:tr>
      <w:tr w14:paraId="62AC4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19" w:type="dxa"/>
            <w:noWrap w:val="0"/>
            <w:vAlign w:val="center"/>
          </w:tcPr>
          <w:p w14:paraId="5B76E647">
            <w:pPr>
              <w:keepNext w:val="0"/>
              <w:keepLines w:val="0"/>
              <w:pageBreakBefore w:val="0"/>
              <w:kinsoku/>
              <w:wordWrap/>
              <w:overflowPunct/>
              <w:topLinePunct w:val="0"/>
              <w:bidi w:val="0"/>
              <w:spacing w:beforeAutospacing="0" w:afterAutospacing="0"/>
              <w:jc w:val="center"/>
              <w:rPr>
                <w:rFonts w:hint="default" w:ascii="Times New Roman" w:hAnsi="Times New Roman" w:cs="Times New Roman"/>
                <w:color w:val="auto"/>
              </w:rPr>
            </w:pPr>
            <w:r>
              <w:rPr>
                <w:rFonts w:hint="default" w:ascii="Times New Roman" w:hAnsi="Times New Roman" w:cs="Times New Roman"/>
                <w:color w:val="auto"/>
              </w:rPr>
              <w:t>精密度试验</w:t>
            </w:r>
          </w:p>
        </w:tc>
        <w:tc>
          <w:tcPr>
            <w:tcW w:w="6013" w:type="dxa"/>
            <w:noWrap w:val="0"/>
            <w:vAlign w:val="center"/>
          </w:tcPr>
          <w:p w14:paraId="15276A7B">
            <w:pPr>
              <w:keepNext w:val="0"/>
              <w:keepLines w:val="0"/>
              <w:pageBreakBefore w:val="0"/>
              <w:kinsoku/>
              <w:wordWrap/>
              <w:overflowPunct/>
              <w:topLinePunct w:val="0"/>
              <w:bidi w:val="0"/>
              <w:spacing w:beforeAutospacing="0" w:afterAutospacing="0"/>
              <w:jc w:val="both"/>
              <w:rPr>
                <w:rFonts w:hint="default" w:ascii="Times New Roman" w:hAnsi="Times New Roman" w:eastAsia="宋体" w:cs="Times New Roman"/>
                <w:color w:val="auto"/>
                <w:lang w:val="en-US" w:eastAsia="zh-CN"/>
              </w:rPr>
            </w:pPr>
            <w:r>
              <w:rPr>
                <w:rFonts w:hint="default" w:ascii="Times New Roman" w:hAnsi="Times New Roman" w:cs="Times New Roman"/>
                <w:color w:val="auto"/>
              </w:rPr>
              <w:t>选择两种不同类型的精矿进行试验，分别计算，</w:t>
            </w:r>
            <w:r>
              <w:rPr>
                <w:rFonts w:hint="default" w:ascii="Times New Roman" w:hAnsi="Times New Roman" w:cs="Times New Roman"/>
                <w:color w:val="auto"/>
                <w:position w:val="-12"/>
              </w:rPr>
              <w:object>
                <v:shape id="_x0000_i1027" o:spt="75" type="#_x0000_t75" style="height:18pt;width:15pt;" o:ole="t" filled="f" o:preferrelative="t" stroked="f" coordsize="21600,21600">
                  <v:path/>
                  <v:fill on="f" focussize="0,0"/>
                  <v:stroke on="f"/>
                  <v:imagedata r:id="rId9" o:title=""/>
                  <o:lock v:ext="edit" aspectratio="t"/>
                  <w10:wrap type="none"/>
                  <w10:anchorlock/>
                </v:shape>
                <o:OLEObject Type="Embed" ProgID="Equation.KSEE3" ShapeID="_x0000_i1027" DrawAspect="Content" ObjectID="_1468075727" r:id="rId8">
                  <o:LockedField>false</o:LockedField>
                </o:OLEObject>
              </w:object>
            </w:r>
            <w:r>
              <w:rPr>
                <w:rFonts w:hint="default" w:ascii="Times New Roman" w:hAnsi="Times New Roman" w:cs="Times New Roman"/>
                <w:color w:val="auto"/>
                <w:lang w:eastAsia="zh-CN"/>
              </w:rPr>
              <w:t>、</w:t>
            </w:r>
            <w:r>
              <w:rPr>
                <w:rFonts w:hint="default" w:ascii="Times New Roman" w:hAnsi="Times New Roman" w:cs="Times New Roman"/>
                <w:color w:val="auto"/>
                <w:position w:val="-14"/>
              </w:rPr>
              <w:object>
                <v:shape id="_x0000_i1028" o:spt="75" type="#_x0000_t75" style="height:19pt;width:16pt;" o:ole="t" filled="f" o:preferrelative="t" stroked="f" coordsize="21600,21600">
                  <v:path/>
                  <v:fill on="f" focussize="0,0"/>
                  <v:stroke on="f"/>
                  <v:imagedata r:id="rId11" o:title=""/>
                  <o:lock v:ext="edit" aspectratio="t"/>
                  <w10:wrap type="none"/>
                  <w10:anchorlock/>
                </v:shape>
                <o:OLEObject Type="Embed" ProgID="Equation.KSEE3" ShapeID="_x0000_i1028" DrawAspect="Content" ObjectID="_1468075728" r:id="rId10">
                  <o:LockedField>false</o:LockedField>
                </o:OLEObject>
              </w:object>
            </w:r>
            <w:r>
              <w:rPr>
                <w:rFonts w:hint="default" w:ascii="Times New Roman" w:hAnsi="Times New Roman" w:cs="Times New Roman"/>
                <w:color w:val="auto"/>
                <w:lang w:eastAsia="zh-CN"/>
              </w:rPr>
              <w:t>、</w:t>
            </w:r>
            <w:r>
              <w:rPr>
                <w:rFonts w:hint="default" w:ascii="Times New Roman" w:hAnsi="Times New Roman" w:cs="Times New Roman"/>
                <w:color w:val="auto"/>
                <w:position w:val="-12"/>
              </w:rPr>
              <w:object>
                <v:shape id="_x0000_i1029" o:spt="75" type="#_x0000_t75" style="height:18pt;width:53pt;" o:ole="t" filled="f" o:preferrelative="t" stroked="f" coordsize="21600,21600">
                  <v:path/>
                  <v:fill on="f" focussize="0,0"/>
                  <v:stroke on="f"/>
                  <v:imagedata r:id="rId13" o:title=""/>
                  <o:lock v:ext="edit" aspectratio="t"/>
                  <w10:wrap type="none"/>
                  <w10:anchorlock/>
                </v:shape>
                <o:OLEObject Type="Embed" ProgID="Equation.KSEE3" ShapeID="_x0000_i1029" DrawAspect="Content" ObjectID="_1468075729" r:id="rId12">
                  <o:LockedField>false</o:LockedField>
                </o:OLEObject>
              </w:object>
            </w:r>
            <w:r>
              <w:rPr>
                <w:rFonts w:hint="default" w:ascii="Times New Roman" w:hAnsi="Times New Roman" w:cs="Times New Roman"/>
                <w:color w:val="auto"/>
                <w:lang w:eastAsia="zh-CN"/>
              </w:rPr>
              <w:t>。</w:t>
            </w:r>
          </w:p>
        </w:tc>
      </w:tr>
      <w:tr w14:paraId="39853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19" w:type="dxa"/>
            <w:noWrap w:val="0"/>
            <w:vAlign w:val="center"/>
          </w:tcPr>
          <w:p w14:paraId="2FCE8F57">
            <w:pPr>
              <w:keepNext w:val="0"/>
              <w:keepLines w:val="0"/>
              <w:pageBreakBefore w:val="0"/>
              <w:kinsoku/>
              <w:wordWrap/>
              <w:overflowPunct/>
              <w:topLinePunct w:val="0"/>
              <w:bidi w:val="0"/>
              <w:spacing w:beforeAutospacing="0" w:afterAutospacing="0"/>
              <w:jc w:val="center"/>
              <w:rPr>
                <w:rFonts w:hint="default" w:ascii="Times New Roman" w:hAnsi="Times New Roman" w:cs="Times New Roman"/>
                <w:color w:val="auto"/>
              </w:rPr>
            </w:pPr>
            <w:r>
              <w:rPr>
                <w:rFonts w:hint="default" w:ascii="Times New Roman" w:hAnsi="Times New Roman" w:cs="Times New Roman"/>
                <w:color w:val="auto"/>
              </w:rPr>
              <w:t>取样系统误差校核试验</w:t>
            </w:r>
          </w:p>
        </w:tc>
        <w:tc>
          <w:tcPr>
            <w:tcW w:w="6013" w:type="dxa"/>
            <w:noWrap w:val="0"/>
            <w:vAlign w:val="center"/>
          </w:tcPr>
          <w:p w14:paraId="67BA6635">
            <w:pPr>
              <w:keepNext w:val="0"/>
              <w:keepLines w:val="0"/>
              <w:pageBreakBefore w:val="0"/>
              <w:kinsoku/>
              <w:wordWrap/>
              <w:overflowPunct/>
              <w:topLinePunct w:val="0"/>
              <w:bidi w:val="0"/>
              <w:spacing w:beforeAutospacing="0" w:afterAutospacing="0"/>
              <w:jc w:val="both"/>
              <w:rPr>
                <w:rFonts w:hint="default" w:ascii="Times New Roman" w:hAnsi="Times New Roman" w:eastAsia="宋体" w:cs="Times New Roman"/>
                <w:color w:val="auto"/>
                <w:lang w:val="en-US" w:eastAsia="zh-CN"/>
              </w:rPr>
            </w:pPr>
            <w:r>
              <w:rPr>
                <w:rFonts w:hint="default" w:ascii="Times New Roman" w:hAnsi="Times New Roman" w:cs="Times New Roman"/>
                <w:color w:val="auto"/>
              </w:rPr>
              <w:t>采用动态取样和静态取样对同一交货批精矿</w:t>
            </w:r>
            <w:r>
              <w:rPr>
                <w:rFonts w:hint="eastAsia" w:ascii="Times New Roman" w:hAnsi="Times New Roman" w:cs="Times New Roman"/>
                <w:color w:val="auto"/>
                <w:lang w:val="en-US" w:eastAsia="zh-CN"/>
              </w:rPr>
              <w:t>进行试验，</w:t>
            </w:r>
            <w:r>
              <w:rPr>
                <w:rFonts w:hint="default" w:ascii="Times New Roman" w:hAnsi="Times New Roman" w:cs="Times New Roman"/>
                <w:color w:val="auto"/>
              </w:rPr>
              <w:t>计算t。</w:t>
            </w:r>
          </w:p>
        </w:tc>
      </w:tr>
    </w:tbl>
    <w:p w14:paraId="229649E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hAnsi="黑体" w:cs="黑体"/>
          <w:b/>
          <w:bCs/>
          <w:color w:val="auto"/>
          <w:szCs w:val="21"/>
          <w:u w:val="none"/>
          <w:lang w:val="en-US" w:eastAsia="zh-CN"/>
        </w:rPr>
      </w:pPr>
      <w:r>
        <w:rPr>
          <w:rFonts w:hint="eastAsia" w:ascii="黑体" w:hAnsi="黑体" w:eastAsia="黑体" w:cs="黑体"/>
          <w:color w:val="auto"/>
          <w:kern w:val="0"/>
          <w:sz w:val="21"/>
          <w:szCs w:val="21"/>
          <w:lang w:val="en-US" w:eastAsia="zh-CN" w:bidi="ar-SA"/>
        </w:rPr>
        <w:t xml:space="preserve">1.4.3.3.1  </w:t>
      </w:r>
      <w:r>
        <w:rPr>
          <w:rFonts w:hint="eastAsia" w:hAnsi="黑体" w:cs="黑体"/>
          <w:b/>
          <w:bCs/>
          <w:color w:val="auto"/>
          <w:szCs w:val="21"/>
          <w:u w:val="none"/>
          <w:lang w:val="en-US" w:eastAsia="zh-CN"/>
        </w:rPr>
        <w:t>铜组试验情况</w:t>
      </w:r>
    </w:p>
    <w:p w14:paraId="117EE81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20" w:firstLineChars="200"/>
        <w:jc w:val="both"/>
        <w:textAlignment w:val="auto"/>
        <w:rPr>
          <w:rFonts w:hint="eastAsia" w:hAnsi="黑体" w:cs="黑体" w:eastAsiaTheme="minorEastAsia"/>
          <w:bCs w:val="0"/>
          <w:color w:val="auto"/>
          <w:szCs w:val="21"/>
          <w:u w:val="none"/>
          <w:lang w:val="en-US" w:eastAsia="zh-CN"/>
        </w:rPr>
      </w:pPr>
      <w:r>
        <w:rPr>
          <w:rFonts w:hint="eastAsia" w:hAnsi="黑体" w:cs="黑体"/>
          <w:bCs w:val="0"/>
          <w:color w:val="auto"/>
          <w:szCs w:val="21"/>
          <w:u w:val="none"/>
          <w:lang w:val="en-US" w:eastAsia="zh-CN"/>
        </w:rPr>
        <w:t>铜组试验由</w:t>
      </w:r>
      <w:r>
        <w:rPr>
          <w:rFonts w:hint="eastAsia" w:hAnsi="黑体" w:cs="黑体" w:eastAsiaTheme="minorEastAsia"/>
          <w:bCs w:val="0"/>
          <w:color w:val="auto"/>
          <w:szCs w:val="21"/>
          <w:u w:val="none"/>
          <w:lang w:val="en-US" w:eastAsia="zh-CN"/>
        </w:rPr>
        <w:t>大冶有色金属集团控股有限公司牵头负责，铜陵有色金属集团控股有限公司、江西铜业股份有限公司、山西北方铜业有限公司、山东中金岭南铜业有限责任公司等单位参加试验数据汇总如下：</w:t>
      </w:r>
    </w:p>
    <w:p w14:paraId="103BC4D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大品质波动试验数据汇总表</w:t>
      </w:r>
    </w:p>
    <w:tbl>
      <w:tblPr>
        <w:tblStyle w:val="10"/>
        <w:tblW w:w="8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19"/>
        <w:gridCol w:w="3387"/>
        <w:gridCol w:w="1656"/>
        <w:gridCol w:w="1308"/>
      </w:tblGrid>
      <w:tr w14:paraId="787D3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2" w:hRule="atLeast"/>
          <w:jc w:val="center"/>
        </w:trPr>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A25F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试验单位</w:t>
            </w:r>
          </w:p>
        </w:tc>
        <w:tc>
          <w:tcPr>
            <w:tcW w:w="3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CF0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试验对象</w:t>
            </w:r>
          </w:p>
        </w:tc>
        <w:tc>
          <w:tcPr>
            <w:tcW w:w="29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52B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试验结果</w:t>
            </w:r>
          </w:p>
        </w:tc>
      </w:tr>
      <w:tr w14:paraId="558CE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0FA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铜陵有色</w:t>
            </w:r>
          </w:p>
        </w:tc>
        <w:tc>
          <w:tcPr>
            <w:tcW w:w="33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D32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冬瓜山</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F19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0.134</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732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0.355</w:t>
            </w:r>
          </w:p>
        </w:tc>
      </w:tr>
      <w:tr w14:paraId="02613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0C59">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E547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E85D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0.430</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B21C3">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6F322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E1D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D2A4">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CDD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0.355</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954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173D0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9EC1">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2278">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4F3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0.328</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44EC">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7C07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1C9D">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B79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CF84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0.288</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74E9">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502ED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87AC">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621D">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ACD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0.485</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9C3D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21C1F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4769">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CB1BE">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米拉多铜精矿（进口）</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C4A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0.433</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9FE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0.501</w:t>
            </w:r>
          </w:p>
        </w:tc>
      </w:tr>
      <w:tr w14:paraId="74968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67D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7D3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A8AF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0.898</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5B4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39CEE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20F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469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DFE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0.288</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442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586FB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730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CD68">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DF5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0.380</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EBD1">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5395E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1AC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BC58">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3C2A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0.326</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AA6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70CB7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0FA1">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05AD">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D81C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0.419</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9489">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4CF48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106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6B3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安铜铜精矿</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4FC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0.259</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3AF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0.339</w:t>
            </w:r>
          </w:p>
        </w:tc>
      </w:tr>
      <w:tr w14:paraId="3993C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70DA">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D458">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AC0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0.591</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F69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5206C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8AB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2D2A">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2DC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0.399</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AC86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7C2D0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F17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15B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819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0.178</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A92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15B33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798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1D1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D01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0.259</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9026">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10659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538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D68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4C2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0.127</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599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021B3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BBA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DAB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沙溪铜精矿</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D1A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0.667</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658E">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0.373</w:t>
            </w:r>
          </w:p>
        </w:tc>
      </w:tr>
      <w:tr w14:paraId="2FCF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366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3426">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EAE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0.209</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E89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5445B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8F0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120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602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0.284</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295E">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681B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2278">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690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124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0.387</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1938">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46A81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B191">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240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D77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0.299</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95D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73DFC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9B3A">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1D7D">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D79F">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0.167</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8EF6">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7CCB1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B8C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3908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鑫润森(车上取样）</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70C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0.430</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1D5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0.956</w:t>
            </w:r>
          </w:p>
        </w:tc>
      </w:tr>
      <w:tr w14:paraId="1B99E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BF8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09ED">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FFB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1.170</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1B8C">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590C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A132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84E1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E8F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1.043</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3A28">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43176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5F84">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BB4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161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0.648</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E019">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510A4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6F6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899A1">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5C5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1.100</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AC0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04B0D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C28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B26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BB1F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1.102</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B55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148F9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D23C">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8F1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鑫润森(车下取样）</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3E4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2.391</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6DB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1.765</w:t>
            </w:r>
          </w:p>
        </w:tc>
      </w:tr>
      <w:tr w14:paraId="410B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D8EE">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2B5D">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820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1.925</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60A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1F135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55B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886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7EA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1.665</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09B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0DF2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618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B58A">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184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1.764</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106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6B42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A2B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2CD4">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16B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1.146</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F0C8">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79D5C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1017">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F33E">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56B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1.441</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4846">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680F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BD0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A5D6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鑫润森(优化后车下取样）</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259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0.751</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CB4E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0.647</w:t>
            </w:r>
          </w:p>
        </w:tc>
      </w:tr>
      <w:tr w14:paraId="2FB4B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A4C3">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A37A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6A0A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0.391</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496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100E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02C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195B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C39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1.070</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1D6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2C0CB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9F8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5129E">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55F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0.337</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357C">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06C13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4CF71">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C2E9D">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C0F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0.474</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C1F8">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6D760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1866">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EB92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C2F8F">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0.561</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DDA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69C5C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D8AA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CB5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冬瓜山车下取样（翻堆）</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B1C7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0.241</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FD8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0.194</w:t>
            </w:r>
          </w:p>
        </w:tc>
      </w:tr>
      <w:tr w14:paraId="305F0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397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94719">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D5D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0.211</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438D">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40ACA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602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6284">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868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0.183</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3E45">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60DCD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608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02DF">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61AC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0.150</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127B">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1F69A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6B3DD">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B3E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967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0.233</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A536">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66AA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1552">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2919">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86C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0.133</w:t>
            </w: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7430">
            <w:pPr>
              <w:keepNext w:val="0"/>
              <w:keepLines w:val="0"/>
              <w:pageBreakBefore w:val="0"/>
              <w:kinsoku/>
              <w:wordWrap/>
              <w:overflowPunct/>
              <w:topLinePunct w:val="0"/>
              <w:bidi w:val="0"/>
              <w:spacing w:beforeAutospacing="0" w:afterAutospacing="0" w:line="240" w:lineRule="auto"/>
              <w:jc w:val="center"/>
              <w:rPr>
                <w:rFonts w:hint="eastAsia" w:asciiTheme="minorEastAsia" w:hAnsiTheme="minorEastAsia" w:eastAsiaTheme="minorEastAsia" w:cstheme="minorEastAsia"/>
                <w:i w:val="0"/>
                <w:iCs w:val="0"/>
                <w:color w:val="auto"/>
                <w:sz w:val="21"/>
                <w:szCs w:val="21"/>
                <w:u w:val="none"/>
              </w:rPr>
            </w:pPr>
          </w:p>
        </w:tc>
      </w:tr>
      <w:tr w14:paraId="51960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4AF8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中金岭南</w:t>
            </w:r>
          </w:p>
        </w:tc>
        <w:tc>
          <w:tcPr>
            <w:tcW w:w="3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012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E5E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0.592</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2F0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0.592</w:t>
            </w:r>
          </w:p>
        </w:tc>
      </w:tr>
      <w:tr w14:paraId="7C874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585F09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北方铜业</w:t>
            </w:r>
          </w:p>
        </w:tc>
        <w:tc>
          <w:tcPr>
            <w:tcW w:w="338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07FB3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E4CCBE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0.73</w:t>
            </w:r>
          </w:p>
        </w:tc>
        <w:tc>
          <w:tcPr>
            <w:tcW w:w="130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C06E99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0.73</w:t>
            </w:r>
          </w:p>
        </w:tc>
      </w:tr>
      <w:tr w14:paraId="1458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8DD5D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紫金矿业</w:t>
            </w:r>
          </w:p>
        </w:tc>
        <w:tc>
          <w:tcPr>
            <w:tcW w:w="338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52532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F8AD9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1.87</w:t>
            </w:r>
          </w:p>
        </w:tc>
        <w:tc>
          <w:tcPr>
            <w:tcW w:w="13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21B909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2.37</w:t>
            </w:r>
          </w:p>
        </w:tc>
      </w:tr>
      <w:tr w14:paraId="1FA84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61F4C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E74EE3E">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6516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3.18</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D18CE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7C2E3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5B716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39595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1C99FCD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3.40</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E2001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59310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7AF0D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F9EE9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2893D35E">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1.72</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D8ECB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07DF6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EC8CD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A5D80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12B6308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2.11</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1A0A7F">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3D993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1089C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14E74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2D54625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1.71</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1F836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65F92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93817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4E503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3B41763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1.33</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3128C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5AD73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921F1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E7728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2986E2E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1.53</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AC459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677FA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59029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E84EA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52AC722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3.47</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BE765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019C9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3B9A8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660D5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2BE4D93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2.64</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D9FF1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12385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6AADD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66616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2E70076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3.85</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20F20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70F91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CA8DDE">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61FF5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76133B1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2.84</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623D2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02E47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56670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78B03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2F1AF21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1.79</w:t>
            </w:r>
          </w:p>
        </w:tc>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B7E87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r>
      <w:tr w14:paraId="2B52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EEF6C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江西铜业</w:t>
            </w:r>
          </w:p>
        </w:tc>
        <w:tc>
          <w:tcPr>
            <w:tcW w:w="3387" w:type="dxa"/>
            <w:tcBorders>
              <w:top w:val="single" w:color="auto" w:sz="4" w:space="0"/>
              <w:left w:val="single" w:color="auto" w:sz="4" w:space="0"/>
              <w:bottom w:val="single" w:color="auto" w:sz="4" w:space="0"/>
              <w:right w:val="single" w:color="auto" w:sz="4" w:space="0"/>
            </w:tcBorders>
            <w:shd w:val="clear" w:color="auto" w:fill="auto"/>
            <w:vAlign w:val="center"/>
          </w:tcPr>
          <w:p w14:paraId="49EEC6E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德兴铜矿</w:t>
            </w: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593ED50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0.17</w:t>
            </w: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4CFE6A8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0.17</w:t>
            </w:r>
          </w:p>
        </w:tc>
      </w:tr>
      <w:tr w14:paraId="077E6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21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275C3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387" w:type="dxa"/>
            <w:tcBorders>
              <w:top w:val="single" w:color="auto" w:sz="4" w:space="0"/>
              <w:left w:val="single" w:color="auto" w:sz="4" w:space="0"/>
              <w:bottom w:val="single" w:color="auto" w:sz="4" w:space="0"/>
              <w:right w:val="single" w:color="auto" w:sz="4" w:space="0"/>
            </w:tcBorders>
            <w:shd w:val="clear" w:color="auto" w:fill="auto"/>
            <w:vAlign w:val="center"/>
          </w:tcPr>
          <w:p w14:paraId="5352255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进口矿</w:t>
            </w: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14:paraId="165A0DB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0.16</w:t>
            </w: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3A44E3A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0.16</w:t>
            </w:r>
          </w:p>
        </w:tc>
      </w:tr>
    </w:tbl>
    <w:p w14:paraId="10B8BCD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小批量品质波动实验数据汇总表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8"/>
        <w:gridCol w:w="1613"/>
        <w:gridCol w:w="825"/>
        <w:gridCol w:w="827"/>
        <w:gridCol w:w="827"/>
        <w:gridCol w:w="827"/>
        <w:gridCol w:w="827"/>
        <w:gridCol w:w="842"/>
      </w:tblGrid>
      <w:tr w14:paraId="3177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48" w:type="pct"/>
            <w:vMerge w:val="restart"/>
            <w:vAlign w:val="center"/>
          </w:tcPr>
          <w:p w14:paraId="2F5C088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试验单位</w:t>
            </w:r>
          </w:p>
        </w:tc>
        <w:tc>
          <w:tcPr>
            <w:tcW w:w="967" w:type="pct"/>
            <w:vMerge w:val="restart"/>
            <w:vAlign w:val="center"/>
          </w:tcPr>
          <w:p w14:paraId="4144E99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实验对象</w:t>
            </w:r>
          </w:p>
        </w:tc>
        <w:tc>
          <w:tcPr>
            <w:tcW w:w="2984" w:type="pct"/>
            <w:gridSpan w:val="6"/>
            <w:vAlign w:val="center"/>
          </w:tcPr>
          <w:p w14:paraId="561DAB8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试验结果</w:t>
            </w:r>
            <w:r>
              <w:rPr>
                <w:rFonts w:hint="eastAsia" w:asciiTheme="minorEastAsia" w:hAnsiTheme="minorEastAsia" w:eastAsiaTheme="minorEastAsia" w:cstheme="minorEastAsia"/>
                <w:b w:val="0"/>
                <w:bCs w:val="0"/>
                <w:color w:val="auto"/>
                <w:position w:val="-12"/>
                <w:sz w:val="21"/>
                <w:szCs w:val="21"/>
              </w:rPr>
              <w:object>
                <v:shape id="_x0000_i1030" o:spt="75" type="#_x0000_t75" style="height:14.9pt;width:14.9pt;" o:ole="t" filled="f" o:preferrelative="t" stroked="f" coordsize="21600,21600">
                  <v:path/>
                  <v:fill on="f" focussize="0,0"/>
                  <v:stroke on="f" joinstyle="miter"/>
                  <v:imagedata r:id="rId15" o:title=""/>
                  <o:lock v:ext="edit" aspectratio="t"/>
                  <w10:wrap type="none"/>
                  <w10:anchorlock/>
                </v:shape>
                <o:OLEObject Type="Embed" ProgID="Equation.3" ShapeID="_x0000_i1030" DrawAspect="Content" ObjectID="_1468075730" r:id="rId14">
                  <o:LockedField>false</o:LockedField>
                </o:OLEObject>
              </w:object>
            </w:r>
          </w:p>
        </w:tc>
      </w:tr>
      <w:tr w14:paraId="0C29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48" w:type="pct"/>
            <w:vMerge w:val="continue"/>
            <w:vAlign w:val="center"/>
          </w:tcPr>
          <w:p w14:paraId="21397A5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967" w:type="pct"/>
            <w:vMerge w:val="continue"/>
            <w:vAlign w:val="center"/>
          </w:tcPr>
          <w:p w14:paraId="344CDB0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495" w:type="pct"/>
            <w:vAlign w:val="center"/>
          </w:tcPr>
          <w:p w14:paraId="7DD3E7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position w:val="-12"/>
                <w:sz w:val="21"/>
                <w:szCs w:val="21"/>
              </w:rPr>
              <w:object>
                <v:shape id="_x0000_i1031" o:spt="75" type="#_x0000_t75" style="height:20.55pt;width:17.5pt;" o:ole="t" filled="f" o:preferrelative="t" stroked="f" coordsize="21600,21600">
                  <v:path/>
                  <v:fill on="f" focussize="0,0"/>
                  <v:stroke on="f"/>
                  <v:imagedata r:id="rId17" o:title=""/>
                  <o:lock v:ext="edit" aspectratio="t"/>
                  <w10:wrap type="none"/>
                  <w10:anchorlock/>
                </v:shape>
                <o:OLEObject Type="Embed" ProgID="Equation.3" ShapeID="_x0000_i1031" DrawAspect="Content" ObjectID="_1468075731" r:id="rId16">
                  <o:LockedField>false</o:LockedField>
                </o:OLEObject>
              </w:object>
            </w:r>
          </w:p>
        </w:tc>
        <w:tc>
          <w:tcPr>
            <w:tcW w:w="496" w:type="pct"/>
            <w:vAlign w:val="center"/>
          </w:tcPr>
          <w:p w14:paraId="5B47AC7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position w:val="-12"/>
                <w:sz w:val="21"/>
                <w:szCs w:val="21"/>
              </w:rPr>
              <w:object>
                <v:shape id="_x0000_i1032" o:spt="75" type="#_x0000_t75" style="height:20.55pt;width:18.35pt;" o:ole="t" filled="f" o:preferrelative="t" stroked="f" coordsize="21600,21600">
                  <v:path/>
                  <v:fill on="f" focussize="0,0"/>
                  <v:stroke on="f"/>
                  <v:imagedata r:id="rId19" o:title=""/>
                  <o:lock v:ext="edit" aspectratio="t"/>
                  <w10:wrap type="none"/>
                  <w10:anchorlock/>
                </v:shape>
                <o:OLEObject Type="Embed" ProgID="Equation.3" ShapeID="_x0000_i1032" DrawAspect="Content" ObjectID="_1468075732" r:id="rId18">
                  <o:LockedField>false</o:LockedField>
                </o:OLEObject>
              </w:object>
            </w:r>
          </w:p>
        </w:tc>
        <w:tc>
          <w:tcPr>
            <w:tcW w:w="496" w:type="pct"/>
            <w:vAlign w:val="center"/>
          </w:tcPr>
          <w:p w14:paraId="2EA83CE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position w:val="-12"/>
                <w:sz w:val="21"/>
                <w:szCs w:val="21"/>
              </w:rPr>
              <w:object>
                <v:shape id="_x0000_i1033" o:spt="75" type="#_x0000_t75" style="height:20.55pt;width:18.35pt;" o:ole="t" filled="f" o:preferrelative="t" stroked="f" coordsize="21600,21600">
                  <v:path/>
                  <v:fill on="f" focussize="0,0"/>
                  <v:stroke on="f"/>
                  <v:imagedata r:id="rId21" o:title=""/>
                  <o:lock v:ext="edit" aspectratio="t"/>
                  <w10:wrap type="none"/>
                  <w10:anchorlock/>
                </v:shape>
                <o:OLEObject Type="Embed" ProgID="Equation.3" ShapeID="_x0000_i1033" DrawAspect="Content" ObjectID="_1468075733" r:id="rId20">
                  <o:LockedField>false</o:LockedField>
                </o:OLEObject>
              </w:object>
            </w:r>
          </w:p>
        </w:tc>
        <w:tc>
          <w:tcPr>
            <w:tcW w:w="496" w:type="pct"/>
            <w:vAlign w:val="center"/>
          </w:tcPr>
          <w:p w14:paraId="30F2E12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position w:val="-12"/>
                <w:sz w:val="21"/>
                <w:szCs w:val="21"/>
              </w:rPr>
              <w:object>
                <v:shape id="_x0000_i1034" o:spt="75" type="#_x0000_t75" style="height:20.55pt;width:18.35pt;" o:ole="t" filled="f" o:preferrelative="t" stroked="f" coordsize="21600,21600">
                  <v:path/>
                  <v:fill on="f" focussize="0,0"/>
                  <v:stroke on="f"/>
                  <v:imagedata r:id="rId23" o:title=""/>
                  <o:lock v:ext="edit" aspectratio="t"/>
                  <w10:wrap type="none"/>
                  <w10:anchorlock/>
                </v:shape>
                <o:OLEObject Type="Embed" ProgID="Equation.3" ShapeID="_x0000_i1034" DrawAspect="Content" ObjectID="_1468075734" r:id="rId22">
                  <o:LockedField>false</o:LockedField>
                </o:OLEObject>
              </w:object>
            </w:r>
          </w:p>
        </w:tc>
        <w:tc>
          <w:tcPr>
            <w:tcW w:w="496" w:type="pct"/>
            <w:vAlign w:val="center"/>
          </w:tcPr>
          <w:p w14:paraId="7F5628F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position w:val="-12"/>
                <w:sz w:val="21"/>
                <w:szCs w:val="21"/>
              </w:rPr>
              <w:object>
                <v:shape id="_x0000_i1035" o:spt="75" type="#_x0000_t75" style="height:20.55pt;width:18.35pt;" o:ole="t" filled="f" o:preferrelative="t" stroked="f" coordsize="21600,21600">
                  <v:path/>
                  <v:fill on="f" focussize="0,0"/>
                  <v:stroke on="f"/>
                  <v:imagedata r:id="rId25" o:title=""/>
                  <o:lock v:ext="edit" aspectratio="t"/>
                  <w10:wrap type="none"/>
                  <w10:anchorlock/>
                </v:shape>
                <o:OLEObject Type="Embed" ProgID="Equation.3" ShapeID="_x0000_i1035" DrawAspect="Content" ObjectID="_1468075735" r:id="rId24">
                  <o:LockedField>false</o:LockedField>
                </o:OLEObject>
              </w:object>
            </w:r>
          </w:p>
        </w:tc>
        <w:tc>
          <w:tcPr>
            <w:tcW w:w="503" w:type="pct"/>
            <w:vAlign w:val="center"/>
          </w:tcPr>
          <w:p w14:paraId="55E6B8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position w:val="-6"/>
                <w:sz w:val="21"/>
                <w:szCs w:val="21"/>
              </w:rPr>
              <w:object>
                <v:shape id="_x0000_i1036" o:spt="75" type="#_x0000_t75" style="height:17pt;width:19pt;" o:ole="t" filled="f" o:preferrelative="t" stroked="f" coordsize="21600,21600">
                  <v:path/>
                  <v:fill on="f" focussize="0,0"/>
                  <v:stroke on="f"/>
                  <v:imagedata r:id="rId27" o:title=""/>
                  <o:lock v:ext="edit" aspectratio="t"/>
                  <w10:wrap type="none"/>
                  <w10:anchorlock/>
                </v:shape>
                <o:OLEObject Type="Embed" ProgID="Equation.3" ShapeID="_x0000_i1036" DrawAspect="Content" ObjectID="_1468075736" r:id="rId26">
                  <o:LockedField>false</o:LockedField>
                </o:OLEObject>
              </w:object>
            </w:r>
          </w:p>
        </w:tc>
      </w:tr>
      <w:tr w14:paraId="6085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48" w:type="pct"/>
            <w:vMerge w:val="restart"/>
            <w:vAlign w:val="center"/>
          </w:tcPr>
          <w:p w14:paraId="30C7D4B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大冶有色</w:t>
            </w:r>
          </w:p>
        </w:tc>
        <w:tc>
          <w:tcPr>
            <w:tcW w:w="967" w:type="pct"/>
            <w:vAlign w:val="center"/>
          </w:tcPr>
          <w:p w14:paraId="26D71B8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九州矿业</w:t>
            </w:r>
          </w:p>
        </w:tc>
        <w:tc>
          <w:tcPr>
            <w:tcW w:w="495" w:type="pct"/>
            <w:vAlign w:val="center"/>
          </w:tcPr>
          <w:p w14:paraId="4421622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0.191</w:t>
            </w:r>
          </w:p>
        </w:tc>
        <w:tc>
          <w:tcPr>
            <w:tcW w:w="496" w:type="pct"/>
            <w:vAlign w:val="center"/>
          </w:tcPr>
          <w:p w14:paraId="504FE66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0.165</w:t>
            </w:r>
          </w:p>
        </w:tc>
        <w:tc>
          <w:tcPr>
            <w:tcW w:w="496" w:type="pct"/>
            <w:vAlign w:val="center"/>
          </w:tcPr>
          <w:p w14:paraId="618F3E0F">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0.110</w:t>
            </w:r>
          </w:p>
        </w:tc>
        <w:tc>
          <w:tcPr>
            <w:tcW w:w="496" w:type="pct"/>
            <w:vAlign w:val="center"/>
          </w:tcPr>
          <w:p w14:paraId="209DB5A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0.222</w:t>
            </w:r>
          </w:p>
        </w:tc>
        <w:tc>
          <w:tcPr>
            <w:tcW w:w="496" w:type="pct"/>
            <w:vAlign w:val="center"/>
          </w:tcPr>
          <w:p w14:paraId="222C542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0.365</w:t>
            </w:r>
          </w:p>
        </w:tc>
        <w:tc>
          <w:tcPr>
            <w:tcW w:w="503" w:type="pct"/>
            <w:vAlign w:val="center"/>
          </w:tcPr>
          <w:p w14:paraId="163425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0.227</w:t>
            </w:r>
          </w:p>
        </w:tc>
      </w:tr>
      <w:tr w14:paraId="343B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48" w:type="pct"/>
            <w:vMerge w:val="continue"/>
            <w:vAlign w:val="center"/>
          </w:tcPr>
          <w:p w14:paraId="0C51B54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967" w:type="pct"/>
            <w:vAlign w:val="center"/>
          </w:tcPr>
          <w:p w14:paraId="7A26D91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西班牙进口矿</w:t>
            </w:r>
          </w:p>
        </w:tc>
        <w:tc>
          <w:tcPr>
            <w:tcW w:w="495" w:type="pct"/>
            <w:vAlign w:val="center"/>
          </w:tcPr>
          <w:p w14:paraId="7472B07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0.047</w:t>
            </w:r>
          </w:p>
        </w:tc>
        <w:tc>
          <w:tcPr>
            <w:tcW w:w="496" w:type="pct"/>
            <w:vAlign w:val="center"/>
          </w:tcPr>
          <w:p w14:paraId="3D38915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0.099</w:t>
            </w:r>
          </w:p>
        </w:tc>
        <w:tc>
          <w:tcPr>
            <w:tcW w:w="496" w:type="pct"/>
            <w:vAlign w:val="center"/>
          </w:tcPr>
          <w:p w14:paraId="379BE52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0.052</w:t>
            </w:r>
          </w:p>
        </w:tc>
        <w:tc>
          <w:tcPr>
            <w:tcW w:w="496" w:type="pct"/>
            <w:vAlign w:val="center"/>
          </w:tcPr>
          <w:p w14:paraId="79F515B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0.110</w:t>
            </w:r>
          </w:p>
        </w:tc>
        <w:tc>
          <w:tcPr>
            <w:tcW w:w="496" w:type="pct"/>
            <w:vAlign w:val="center"/>
          </w:tcPr>
          <w:p w14:paraId="44E275C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0.074</w:t>
            </w:r>
          </w:p>
        </w:tc>
        <w:tc>
          <w:tcPr>
            <w:tcW w:w="503" w:type="pct"/>
            <w:vAlign w:val="center"/>
          </w:tcPr>
          <w:p w14:paraId="3F788E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0.080</w:t>
            </w:r>
          </w:p>
        </w:tc>
      </w:tr>
      <w:tr w14:paraId="386C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48" w:type="pct"/>
            <w:vMerge w:val="continue"/>
            <w:vAlign w:val="center"/>
          </w:tcPr>
          <w:p w14:paraId="43DDBB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967" w:type="pct"/>
            <w:vAlign w:val="center"/>
          </w:tcPr>
          <w:p w14:paraId="656CDC8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鄂东矿业</w:t>
            </w:r>
          </w:p>
        </w:tc>
        <w:tc>
          <w:tcPr>
            <w:tcW w:w="495" w:type="pct"/>
            <w:vAlign w:val="center"/>
          </w:tcPr>
          <w:p w14:paraId="2DE8909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0.172</w:t>
            </w:r>
          </w:p>
        </w:tc>
        <w:tc>
          <w:tcPr>
            <w:tcW w:w="496" w:type="pct"/>
            <w:vAlign w:val="center"/>
          </w:tcPr>
          <w:p w14:paraId="5CB96A9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0.055</w:t>
            </w:r>
          </w:p>
        </w:tc>
        <w:tc>
          <w:tcPr>
            <w:tcW w:w="496" w:type="pct"/>
            <w:vAlign w:val="center"/>
          </w:tcPr>
          <w:p w14:paraId="5ABBEDD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0.139</w:t>
            </w:r>
          </w:p>
        </w:tc>
        <w:tc>
          <w:tcPr>
            <w:tcW w:w="496" w:type="pct"/>
            <w:vAlign w:val="center"/>
          </w:tcPr>
          <w:p w14:paraId="2ABDF57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0.096</w:t>
            </w:r>
          </w:p>
        </w:tc>
        <w:tc>
          <w:tcPr>
            <w:tcW w:w="496" w:type="pct"/>
            <w:vAlign w:val="center"/>
          </w:tcPr>
          <w:p w14:paraId="02B35C6E">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0.108</w:t>
            </w:r>
          </w:p>
        </w:tc>
        <w:tc>
          <w:tcPr>
            <w:tcW w:w="503" w:type="pct"/>
            <w:vAlign w:val="center"/>
          </w:tcPr>
          <w:p w14:paraId="5DFB5C9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0.121</w:t>
            </w:r>
          </w:p>
        </w:tc>
      </w:tr>
      <w:tr w14:paraId="20AA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48" w:type="pct"/>
            <w:vMerge w:val="continue"/>
            <w:vAlign w:val="center"/>
          </w:tcPr>
          <w:p w14:paraId="7FB584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967" w:type="pct"/>
            <w:vAlign w:val="center"/>
          </w:tcPr>
          <w:p w14:paraId="02C2BF6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铜山口矿</w:t>
            </w:r>
          </w:p>
        </w:tc>
        <w:tc>
          <w:tcPr>
            <w:tcW w:w="495" w:type="pct"/>
            <w:vAlign w:val="center"/>
          </w:tcPr>
          <w:p w14:paraId="5AEB6FB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0.786</w:t>
            </w:r>
          </w:p>
        </w:tc>
        <w:tc>
          <w:tcPr>
            <w:tcW w:w="496" w:type="pct"/>
            <w:vAlign w:val="center"/>
          </w:tcPr>
          <w:p w14:paraId="2169112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0.436</w:t>
            </w:r>
          </w:p>
        </w:tc>
        <w:tc>
          <w:tcPr>
            <w:tcW w:w="496" w:type="pct"/>
            <w:vAlign w:val="center"/>
          </w:tcPr>
          <w:p w14:paraId="62D6F66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0.525</w:t>
            </w:r>
          </w:p>
        </w:tc>
        <w:tc>
          <w:tcPr>
            <w:tcW w:w="496" w:type="pct"/>
            <w:vAlign w:val="center"/>
          </w:tcPr>
          <w:p w14:paraId="4385CBD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0.615</w:t>
            </w:r>
          </w:p>
        </w:tc>
        <w:tc>
          <w:tcPr>
            <w:tcW w:w="496" w:type="pct"/>
            <w:vAlign w:val="center"/>
          </w:tcPr>
          <w:p w14:paraId="5CF28BF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0.386</w:t>
            </w:r>
          </w:p>
        </w:tc>
        <w:tc>
          <w:tcPr>
            <w:tcW w:w="503" w:type="pct"/>
            <w:vAlign w:val="center"/>
          </w:tcPr>
          <w:p w14:paraId="33889EE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0.568</w:t>
            </w:r>
          </w:p>
        </w:tc>
      </w:tr>
      <w:tr w14:paraId="7BC8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48" w:type="pct"/>
            <w:vMerge w:val="continue"/>
            <w:vAlign w:val="center"/>
          </w:tcPr>
          <w:p w14:paraId="576DDAE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p>
        </w:tc>
        <w:tc>
          <w:tcPr>
            <w:tcW w:w="967" w:type="pct"/>
            <w:vAlign w:val="center"/>
          </w:tcPr>
          <w:p w14:paraId="78004DA3">
            <w:pPr>
              <w:keepNext w:val="0"/>
              <w:keepLines w:val="0"/>
              <w:pageBreakBefore w:val="0"/>
              <w:widowControl w:val="0"/>
              <w:numPr>
                <w:ilvl w:val="0"/>
                <w:numId w:val="0"/>
              </w:numPr>
              <w:tabs>
                <w:tab w:val="left" w:pos="301"/>
                <w:tab w:val="center" w:pos="779"/>
              </w:tabs>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w:t>
            </w:r>
          </w:p>
        </w:tc>
        <w:tc>
          <w:tcPr>
            <w:tcW w:w="495" w:type="pct"/>
            <w:vAlign w:val="center"/>
          </w:tcPr>
          <w:p w14:paraId="4E8A6CF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 xml:space="preserve">1.246 </w:t>
            </w:r>
          </w:p>
        </w:tc>
        <w:tc>
          <w:tcPr>
            <w:tcW w:w="496" w:type="pct"/>
            <w:vAlign w:val="center"/>
          </w:tcPr>
          <w:p w14:paraId="31700A0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 xml:space="preserve">1.027 </w:t>
            </w:r>
          </w:p>
        </w:tc>
        <w:tc>
          <w:tcPr>
            <w:tcW w:w="496" w:type="pct"/>
            <w:vAlign w:val="center"/>
          </w:tcPr>
          <w:p w14:paraId="1F5BB21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 xml:space="preserve">1.808 </w:t>
            </w:r>
          </w:p>
        </w:tc>
        <w:tc>
          <w:tcPr>
            <w:tcW w:w="496" w:type="pct"/>
            <w:vAlign w:val="center"/>
          </w:tcPr>
          <w:p w14:paraId="6FBD520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 xml:space="preserve">1.515 </w:t>
            </w:r>
          </w:p>
        </w:tc>
        <w:tc>
          <w:tcPr>
            <w:tcW w:w="496" w:type="pct"/>
            <w:vAlign w:val="center"/>
          </w:tcPr>
          <w:p w14:paraId="23ECD70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 xml:space="preserve">0.649 </w:t>
            </w:r>
          </w:p>
        </w:tc>
        <w:tc>
          <w:tcPr>
            <w:tcW w:w="503" w:type="pct"/>
            <w:vAlign w:val="center"/>
          </w:tcPr>
          <w:p w14:paraId="125116B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1.31</w:t>
            </w:r>
          </w:p>
        </w:tc>
      </w:tr>
      <w:tr w14:paraId="73E6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48" w:type="pct"/>
            <w:vAlign w:val="center"/>
          </w:tcPr>
          <w:p w14:paraId="4C7F61F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中金岭南</w:t>
            </w:r>
          </w:p>
        </w:tc>
        <w:tc>
          <w:tcPr>
            <w:tcW w:w="967" w:type="pct"/>
            <w:vAlign w:val="center"/>
          </w:tcPr>
          <w:p w14:paraId="5ABEB9F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w:t>
            </w:r>
          </w:p>
        </w:tc>
        <w:tc>
          <w:tcPr>
            <w:tcW w:w="495" w:type="pct"/>
            <w:vAlign w:val="center"/>
          </w:tcPr>
          <w:p w14:paraId="528AAD7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0.222</w:t>
            </w:r>
          </w:p>
        </w:tc>
        <w:tc>
          <w:tcPr>
            <w:tcW w:w="496" w:type="pct"/>
            <w:vAlign w:val="center"/>
          </w:tcPr>
          <w:p w14:paraId="073E160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0.162</w:t>
            </w:r>
          </w:p>
        </w:tc>
        <w:tc>
          <w:tcPr>
            <w:tcW w:w="496" w:type="pct"/>
            <w:vAlign w:val="center"/>
          </w:tcPr>
          <w:p w14:paraId="3284BBB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0.157</w:t>
            </w:r>
          </w:p>
        </w:tc>
        <w:tc>
          <w:tcPr>
            <w:tcW w:w="496" w:type="pct"/>
            <w:vAlign w:val="center"/>
          </w:tcPr>
          <w:p w14:paraId="0A7153C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0.252</w:t>
            </w:r>
          </w:p>
        </w:tc>
        <w:tc>
          <w:tcPr>
            <w:tcW w:w="496" w:type="pct"/>
            <w:vAlign w:val="center"/>
          </w:tcPr>
          <w:p w14:paraId="24F29A1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0.210</w:t>
            </w:r>
          </w:p>
        </w:tc>
        <w:tc>
          <w:tcPr>
            <w:tcW w:w="503" w:type="pct"/>
            <w:vAlign w:val="center"/>
          </w:tcPr>
          <w:p w14:paraId="73EEF6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0.204</w:t>
            </w:r>
          </w:p>
        </w:tc>
      </w:tr>
      <w:tr w14:paraId="11D8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48" w:type="pct"/>
            <w:vAlign w:val="center"/>
          </w:tcPr>
          <w:p w14:paraId="151EC8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cstheme="minorEastAsia"/>
                <w:b w:val="0"/>
                <w:bCs w:val="0"/>
                <w:i w:val="0"/>
                <w:iCs w:val="0"/>
                <w:color w:val="auto"/>
                <w:kern w:val="0"/>
                <w:sz w:val="21"/>
                <w:szCs w:val="21"/>
                <w:u w:val="none"/>
                <w:lang w:val="en-US" w:eastAsia="zh-CN" w:bidi="ar"/>
              </w:rPr>
              <w:t>北方铜业</w:t>
            </w:r>
          </w:p>
        </w:tc>
        <w:tc>
          <w:tcPr>
            <w:tcW w:w="967" w:type="pct"/>
            <w:vAlign w:val="center"/>
          </w:tcPr>
          <w:p w14:paraId="51E5B5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w:t>
            </w:r>
          </w:p>
        </w:tc>
        <w:tc>
          <w:tcPr>
            <w:tcW w:w="495" w:type="pct"/>
            <w:vAlign w:val="center"/>
          </w:tcPr>
          <w:p w14:paraId="6328475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0.045 </w:t>
            </w:r>
          </w:p>
        </w:tc>
        <w:tc>
          <w:tcPr>
            <w:tcW w:w="496" w:type="pct"/>
            <w:vAlign w:val="center"/>
          </w:tcPr>
          <w:p w14:paraId="04B4338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0.095 </w:t>
            </w:r>
          </w:p>
        </w:tc>
        <w:tc>
          <w:tcPr>
            <w:tcW w:w="496" w:type="pct"/>
            <w:vAlign w:val="center"/>
          </w:tcPr>
          <w:p w14:paraId="76B457A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0.133 </w:t>
            </w:r>
          </w:p>
        </w:tc>
        <w:tc>
          <w:tcPr>
            <w:tcW w:w="496" w:type="pct"/>
            <w:vAlign w:val="center"/>
          </w:tcPr>
          <w:p w14:paraId="0F06E17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0.107 </w:t>
            </w:r>
          </w:p>
        </w:tc>
        <w:tc>
          <w:tcPr>
            <w:tcW w:w="496" w:type="pct"/>
            <w:vAlign w:val="center"/>
          </w:tcPr>
          <w:p w14:paraId="6A7C090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0.223 </w:t>
            </w:r>
          </w:p>
        </w:tc>
        <w:tc>
          <w:tcPr>
            <w:tcW w:w="503" w:type="pct"/>
            <w:vAlign w:val="center"/>
          </w:tcPr>
          <w:p w14:paraId="1777E1D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0.134</w:t>
            </w:r>
          </w:p>
        </w:tc>
      </w:tr>
      <w:tr w14:paraId="095D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794" w:type="dxa"/>
            <w:vMerge w:val="restart"/>
            <w:vAlign w:val="center"/>
          </w:tcPr>
          <w:p w14:paraId="0F79D6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cstheme="minorEastAsia"/>
                <w:b w:val="0"/>
                <w:bCs w:val="0"/>
                <w:i w:val="0"/>
                <w:iCs w:val="0"/>
                <w:color w:val="auto"/>
                <w:kern w:val="0"/>
                <w:sz w:val="21"/>
                <w:szCs w:val="21"/>
                <w:u w:val="none"/>
                <w:lang w:val="en-US" w:eastAsia="zh-CN" w:bidi="ar"/>
              </w:rPr>
            </w:pPr>
            <w:r>
              <w:rPr>
                <w:rFonts w:hint="eastAsia" w:asciiTheme="minorEastAsia" w:hAnsiTheme="minorEastAsia" w:cstheme="minorEastAsia"/>
                <w:b w:val="0"/>
                <w:bCs w:val="0"/>
                <w:i w:val="0"/>
                <w:iCs w:val="0"/>
                <w:color w:val="auto"/>
                <w:kern w:val="0"/>
                <w:sz w:val="21"/>
                <w:szCs w:val="21"/>
                <w:u w:val="none"/>
                <w:lang w:val="en-US" w:eastAsia="zh-CN" w:bidi="ar"/>
              </w:rPr>
              <w:t>江西铜业</w:t>
            </w:r>
          </w:p>
        </w:tc>
        <w:tc>
          <w:tcPr>
            <w:tcW w:w="1655" w:type="dxa"/>
            <w:vAlign w:val="center"/>
          </w:tcPr>
          <w:p w14:paraId="1D79602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进口矿</w:t>
            </w:r>
          </w:p>
        </w:tc>
        <w:tc>
          <w:tcPr>
            <w:tcW w:w="848" w:type="dxa"/>
            <w:vAlign w:val="center"/>
          </w:tcPr>
          <w:p w14:paraId="0F1CB5D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0.07 </w:t>
            </w:r>
          </w:p>
        </w:tc>
        <w:tc>
          <w:tcPr>
            <w:tcW w:w="850" w:type="dxa"/>
            <w:vAlign w:val="center"/>
          </w:tcPr>
          <w:p w14:paraId="7D21F8BF">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0.07 </w:t>
            </w:r>
          </w:p>
        </w:tc>
        <w:tc>
          <w:tcPr>
            <w:tcW w:w="850" w:type="dxa"/>
            <w:vAlign w:val="center"/>
          </w:tcPr>
          <w:p w14:paraId="17574302">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0.06 </w:t>
            </w:r>
          </w:p>
        </w:tc>
        <w:tc>
          <w:tcPr>
            <w:tcW w:w="850" w:type="dxa"/>
            <w:vAlign w:val="center"/>
          </w:tcPr>
          <w:p w14:paraId="038BD5D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0.07 </w:t>
            </w:r>
          </w:p>
        </w:tc>
        <w:tc>
          <w:tcPr>
            <w:tcW w:w="850" w:type="dxa"/>
            <w:vAlign w:val="center"/>
          </w:tcPr>
          <w:p w14:paraId="7B626FA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0.07 </w:t>
            </w:r>
          </w:p>
        </w:tc>
        <w:tc>
          <w:tcPr>
            <w:tcW w:w="865" w:type="dxa"/>
            <w:vAlign w:val="center"/>
          </w:tcPr>
          <w:p w14:paraId="6AC3631E">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0.07</w:t>
            </w:r>
          </w:p>
        </w:tc>
      </w:tr>
      <w:tr w14:paraId="54A8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794" w:type="dxa"/>
            <w:vMerge w:val="continue"/>
            <w:vAlign w:val="center"/>
          </w:tcPr>
          <w:p w14:paraId="31B2E9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cstheme="minorEastAsia"/>
                <w:b w:val="0"/>
                <w:bCs w:val="0"/>
                <w:i w:val="0"/>
                <w:iCs w:val="0"/>
                <w:color w:val="auto"/>
                <w:kern w:val="0"/>
                <w:sz w:val="21"/>
                <w:szCs w:val="21"/>
                <w:u w:val="none"/>
                <w:lang w:val="en-US" w:eastAsia="zh-CN" w:bidi="ar"/>
              </w:rPr>
            </w:pPr>
          </w:p>
        </w:tc>
        <w:tc>
          <w:tcPr>
            <w:tcW w:w="1655" w:type="dxa"/>
            <w:vAlign w:val="center"/>
          </w:tcPr>
          <w:p w14:paraId="4FB8966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城门山</w:t>
            </w:r>
          </w:p>
        </w:tc>
        <w:tc>
          <w:tcPr>
            <w:tcW w:w="848" w:type="dxa"/>
            <w:vAlign w:val="center"/>
          </w:tcPr>
          <w:p w14:paraId="6EBA2AF6">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0.20 </w:t>
            </w:r>
          </w:p>
        </w:tc>
        <w:tc>
          <w:tcPr>
            <w:tcW w:w="850" w:type="dxa"/>
            <w:vAlign w:val="center"/>
          </w:tcPr>
          <w:p w14:paraId="6843A1DE">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0.37 </w:t>
            </w:r>
          </w:p>
        </w:tc>
        <w:tc>
          <w:tcPr>
            <w:tcW w:w="850" w:type="dxa"/>
            <w:vAlign w:val="center"/>
          </w:tcPr>
          <w:p w14:paraId="5D1FD3B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0.11 </w:t>
            </w:r>
          </w:p>
        </w:tc>
        <w:tc>
          <w:tcPr>
            <w:tcW w:w="850" w:type="dxa"/>
            <w:vAlign w:val="center"/>
          </w:tcPr>
          <w:p w14:paraId="0909C6D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0.19 </w:t>
            </w:r>
          </w:p>
        </w:tc>
        <w:tc>
          <w:tcPr>
            <w:tcW w:w="850" w:type="dxa"/>
            <w:vAlign w:val="center"/>
          </w:tcPr>
          <w:p w14:paraId="7547EC5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 xml:space="preserve">0.21 </w:t>
            </w:r>
          </w:p>
        </w:tc>
        <w:tc>
          <w:tcPr>
            <w:tcW w:w="865" w:type="dxa"/>
            <w:vAlign w:val="center"/>
          </w:tcPr>
          <w:p w14:paraId="2ACD13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0.23</w:t>
            </w:r>
          </w:p>
        </w:tc>
      </w:tr>
    </w:tbl>
    <w:p w14:paraId="2FDEF16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default" w:ascii="宋体" w:hAnsi="宋体" w:eastAsia="宋体" w:cs="宋体"/>
          <w:b w:val="0"/>
          <w:bCs w:val="0"/>
          <w:color w:val="auto"/>
          <w:sz w:val="21"/>
          <w:szCs w:val="21"/>
          <w:lang w:val="en-US" w:eastAsia="zh-CN"/>
        </w:rPr>
      </w:pPr>
      <w:r>
        <w:rPr>
          <w:rFonts w:hint="default" w:ascii="宋体" w:hAnsi="宋体" w:eastAsia="宋体" w:cs="宋体"/>
          <w:b w:val="0"/>
          <w:bCs w:val="0"/>
          <w:color w:val="auto"/>
          <w:sz w:val="21"/>
          <w:szCs w:val="21"/>
          <w:lang w:val="en-US" w:eastAsia="zh-CN"/>
        </w:rPr>
        <w:t>精密度校核试验</w:t>
      </w:r>
      <w:r>
        <w:rPr>
          <w:rFonts w:hint="eastAsia" w:ascii="宋体" w:hAnsi="宋体" w:eastAsia="宋体" w:cs="宋体"/>
          <w:b w:val="0"/>
          <w:bCs w:val="0"/>
          <w:color w:val="auto"/>
          <w:sz w:val="21"/>
          <w:szCs w:val="21"/>
          <w:lang w:val="en-US" w:eastAsia="zh-CN"/>
        </w:rPr>
        <w:t>数据汇总表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2"/>
        <w:gridCol w:w="1847"/>
        <w:gridCol w:w="1320"/>
        <w:gridCol w:w="1320"/>
        <w:gridCol w:w="1320"/>
        <w:gridCol w:w="1337"/>
      </w:tblGrid>
      <w:tr w14:paraId="2E07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Align w:val="center"/>
          </w:tcPr>
          <w:p w14:paraId="49CC8AA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试验单位</w:t>
            </w:r>
          </w:p>
        </w:tc>
        <w:tc>
          <w:tcPr>
            <w:tcW w:w="1911" w:type="dxa"/>
            <w:vAlign w:val="center"/>
          </w:tcPr>
          <w:p w14:paraId="5966DC7D">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矿种</w:t>
            </w:r>
          </w:p>
        </w:tc>
        <w:tc>
          <w:tcPr>
            <w:tcW w:w="1350" w:type="dxa"/>
            <w:vAlign w:val="center"/>
          </w:tcPr>
          <w:p w14:paraId="4C3FF6E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0"/>
                <w:sz w:val="21"/>
                <w:szCs w:val="21"/>
              </w:rPr>
              <w:object>
                <v:shape id="_x0000_i1037" o:spt="75" type="#_x0000_t75" style="height:17pt;width:19.95pt;" o:ole="t" filled="f" o:preferrelative="t" stroked="f" coordsize="21600,21600">
                  <v:path/>
                  <v:fill on="f" focussize="0,0"/>
                  <v:stroke on="f"/>
                  <v:imagedata r:id="rId29" o:title=""/>
                  <o:lock v:ext="edit" aspectratio="t"/>
                  <w10:wrap type="none"/>
                  <w10:anchorlock/>
                </v:shape>
                <o:OLEObject Type="Embed" ProgID="Equation.KSEE3" ShapeID="_x0000_i1037" DrawAspect="Content" ObjectID="_1468075737" r:id="rId28">
                  <o:LockedField>false</o:LockedField>
                </o:OLEObject>
              </w:object>
            </w:r>
          </w:p>
        </w:tc>
        <w:tc>
          <w:tcPr>
            <w:tcW w:w="1350" w:type="dxa"/>
            <w:vAlign w:val="center"/>
          </w:tcPr>
          <w:p w14:paraId="6E6AFDF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0"/>
                <w:sz w:val="21"/>
                <w:szCs w:val="21"/>
              </w:rPr>
              <w:object>
                <v:shape id="_x0000_i1038" o:spt="75" type="#_x0000_t75" style="height:17pt;width:17.85pt;" o:ole="t" filled="f" o:preferrelative="t" stroked="f" coordsize="21600,21600">
                  <v:path/>
                  <v:fill on="f" focussize="0,0"/>
                  <v:stroke on="f"/>
                  <v:imagedata r:id="rId31" o:title=""/>
                  <o:lock v:ext="edit" aspectratio="t"/>
                  <w10:wrap type="none"/>
                  <w10:anchorlock/>
                </v:shape>
                <o:OLEObject Type="Embed" ProgID="Equation.KSEE3" ShapeID="_x0000_i1038" DrawAspect="Content" ObjectID="_1468075738" r:id="rId30">
                  <o:LockedField>false</o:LockedField>
                </o:OLEObject>
              </w:object>
            </w:r>
          </w:p>
        </w:tc>
        <w:tc>
          <w:tcPr>
            <w:tcW w:w="1351" w:type="dxa"/>
            <w:vAlign w:val="center"/>
          </w:tcPr>
          <w:p w14:paraId="1D228AF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39" o:spt="75" type="#_x0000_t75" style="height:18pt;width:16.8pt;" o:ole="t" filled="f" o:preferrelative="t" stroked="f" coordsize="21600,21600">
                  <v:path/>
                  <v:fill on="f" focussize="0,0"/>
                  <v:stroke on="f"/>
                  <v:imagedata r:id="rId33" o:title=""/>
                  <o:lock v:ext="edit" aspectratio="t"/>
                  <w10:wrap type="none"/>
                  <w10:anchorlock/>
                </v:shape>
                <o:OLEObject Type="Embed" ProgID="Equation.KSEE3" ShapeID="_x0000_i1039" DrawAspect="Content" ObjectID="_1468075739" r:id="rId32">
                  <o:LockedField>false</o:LockedField>
                </o:OLEObject>
              </w:object>
            </w:r>
          </w:p>
        </w:tc>
        <w:tc>
          <w:tcPr>
            <w:tcW w:w="1367" w:type="dxa"/>
            <w:vAlign w:val="center"/>
          </w:tcPr>
          <w:p w14:paraId="263D44CF">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40" o:spt="75" type="#_x0000_t75" style="height:18pt;width:27.3pt;" o:ole="t" filled="f" o:preferrelative="t" stroked="f" coordsize="21600,21600">
                  <v:path/>
                  <v:fill on="f" focussize="0,0"/>
                  <v:stroke on="f"/>
                  <v:imagedata r:id="rId35" o:title=""/>
                  <o:lock v:ext="edit" aspectratio="t"/>
                  <w10:wrap type="none"/>
                  <w10:anchorlock/>
                </v:shape>
                <o:OLEObject Type="Embed" ProgID="Equation.KSEE3" ShapeID="_x0000_i1040" DrawAspect="Content" ObjectID="_1468075740" r:id="rId34">
                  <o:LockedField>false</o:LockedField>
                </o:OLEObject>
              </w:object>
            </w:r>
          </w:p>
        </w:tc>
      </w:tr>
      <w:tr w14:paraId="0A35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Merge w:val="restart"/>
            <w:vAlign w:val="center"/>
          </w:tcPr>
          <w:p w14:paraId="3FBA074F">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大冶有色</w:t>
            </w:r>
          </w:p>
        </w:tc>
        <w:tc>
          <w:tcPr>
            <w:tcW w:w="1911" w:type="dxa"/>
            <w:vAlign w:val="center"/>
          </w:tcPr>
          <w:p w14:paraId="4B4E55C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铜山口矿</w:t>
            </w:r>
          </w:p>
        </w:tc>
        <w:tc>
          <w:tcPr>
            <w:tcW w:w="1350" w:type="dxa"/>
            <w:vAlign w:val="center"/>
          </w:tcPr>
          <w:p w14:paraId="601CCD52">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w:t>
            </w:r>
          </w:p>
        </w:tc>
        <w:tc>
          <w:tcPr>
            <w:tcW w:w="1350" w:type="dxa"/>
            <w:vAlign w:val="center"/>
          </w:tcPr>
          <w:p w14:paraId="65C80E9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 xml:space="preserve">0.35 </w:t>
            </w:r>
          </w:p>
        </w:tc>
        <w:tc>
          <w:tcPr>
            <w:tcW w:w="1351" w:type="dxa"/>
            <w:vAlign w:val="center"/>
          </w:tcPr>
          <w:p w14:paraId="19848AE8">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0.53</w:t>
            </w:r>
          </w:p>
        </w:tc>
        <w:tc>
          <w:tcPr>
            <w:tcW w:w="1367" w:type="dxa"/>
            <w:vAlign w:val="center"/>
          </w:tcPr>
          <w:p w14:paraId="7E92BAA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0.65</w:t>
            </w:r>
          </w:p>
        </w:tc>
      </w:tr>
      <w:tr w14:paraId="438B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Merge w:val="continue"/>
            <w:vAlign w:val="center"/>
          </w:tcPr>
          <w:p w14:paraId="55290712">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911" w:type="dxa"/>
            <w:vAlign w:val="center"/>
          </w:tcPr>
          <w:p w14:paraId="1477F418">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w:t>
            </w:r>
          </w:p>
        </w:tc>
        <w:tc>
          <w:tcPr>
            <w:tcW w:w="1350" w:type="dxa"/>
            <w:vAlign w:val="center"/>
          </w:tcPr>
          <w:p w14:paraId="1FDD645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0.21</w:t>
            </w:r>
          </w:p>
        </w:tc>
        <w:tc>
          <w:tcPr>
            <w:tcW w:w="1350" w:type="dxa"/>
            <w:vAlign w:val="center"/>
          </w:tcPr>
          <w:p w14:paraId="7E0195AB">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0.40</w:t>
            </w:r>
          </w:p>
        </w:tc>
        <w:tc>
          <w:tcPr>
            <w:tcW w:w="1351" w:type="dxa"/>
            <w:vAlign w:val="center"/>
          </w:tcPr>
          <w:p w14:paraId="1E7B1C4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0.37</w:t>
            </w:r>
          </w:p>
        </w:tc>
        <w:tc>
          <w:tcPr>
            <w:tcW w:w="1367" w:type="dxa"/>
            <w:vAlign w:val="center"/>
          </w:tcPr>
          <w:p w14:paraId="1CF1C47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0.59</w:t>
            </w:r>
          </w:p>
        </w:tc>
      </w:tr>
      <w:tr w14:paraId="1ED2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Merge w:val="restart"/>
            <w:vAlign w:val="center"/>
          </w:tcPr>
          <w:p w14:paraId="2DBDF9EE">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铜陵有色</w:t>
            </w:r>
          </w:p>
        </w:tc>
        <w:tc>
          <w:tcPr>
            <w:tcW w:w="1911" w:type="dxa"/>
            <w:vAlign w:val="center"/>
          </w:tcPr>
          <w:p w14:paraId="4BCD1BA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冬瓜山</w:t>
            </w:r>
          </w:p>
          <w:p w14:paraId="59FD7E5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（车上取样）</w:t>
            </w:r>
          </w:p>
        </w:tc>
        <w:tc>
          <w:tcPr>
            <w:tcW w:w="1350" w:type="dxa"/>
            <w:vAlign w:val="center"/>
          </w:tcPr>
          <w:p w14:paraId="3D52EF5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0.07</w:t>
            </w:r>
          </w:p>
        </w:tc>
        <w:tc>
          <w:tcPr>
            <w:tcW w:w="1350" w:type="dxa"/>
            <w:vAlign w:val="center"/>
          </w:tcPr>
          <w:p w14:paraId="0EC6BD6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0.09</w:t>
            </w:r>
          </w:p>
        </w:tc>
        <w:tc>
          <w:tcPr>
            <w:tcW w:w="1351" w:type="dxa"/>
            <w:vAlign w:val="center"/>
          </w:tcPr>
          <w:p w14:paraId="6FFBC9B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w:t>
            </w:r>
          </w:p>
        </w:tc>
        <w:tc>
          <w:tcPr>
            <w:tcW w:w="1367" w:type="dxa"/>
            <w:vAlign w:val="center"/>
          </w:tcPr>
          <w:p w14:paraId="540B181E">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0.15</w:t>
            </w:r>
          </w:p>
        </w:tc>
      </w:tr>
      <w:tr w14:paraId="13B9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Merge w:val="continue"/>
            <w:vAlign w:val="center"/>
          </w:tcPr>
          <w:p w14:paraId="0B8C793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911" w:type="dxa"/>
            <w:vAlign w:val="center"/>
          </w:tcPr>
          <w:p w14:paraId="0E8D298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鑫润森</w:t>
            </w:r>
          </w:p>
          <w:p w14:paraId="10E6551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（车上取样）</w:t>
            </w:r>
          </w:p>
        </w:tc>
        <w:tc>
          <w:tcPr>
            <w:tcW w:w="1350" w:type="dxa"/>
            <w:vAlign w:val="center"/>
          </w:tcPr>
          <w:p w14:paraId="3B01D10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w:t>
            </w:r>
          </w:p>
        </w:tc>
        <w:tc>
          <w:tcPr>
            <w:tcW w:w="1350" w:type="dxa"/>
            <w:vAlign w:val="center"/>
          </w:tcPr>
          <w:p w14:paraId="64377BA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0.14</w:t>
            </w:r>
          </w:p>
        </w:tc>
        <w:tc>
          <w:tcPr>
            <w:tcW w:w="1351" w:type="dxa"/>
            <w:vAlign w:val="center"/>
          </w:tcPr>
          <w:p w14:paraId="5FBD444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0.19</w:t>
            </w:r>
          </w:p>
        </w:tc>
        <w:tc>
          <w:tcPr>
            <w:tcW w:w="1367" w:type="dxa"/>
            <w:vAlign w:val="center"/>
          </w:tcPr>
          <w:p w14:paraId="4CC8634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0.26</w:t>
            </w:r>
          </w:p>
        </w:tc>
      </w:tr>
      <w:tr w14:paraId="7CF8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Merge w:val="continue"/>
            <w:vAlign w:val="center"/>
          </w:tcPr>
          <w:p w14:paraId="332FAE0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911" w:type="dxa"/>
            <w:vAlign w:val="center"/>
          </w:tcPr>
          <w:p w14:paraId="7EC8DC5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鑫润森</w:t>
            </w:r>
          </w:p>
          <w:p w14:paraId="442D14A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（车下取样）</w:t>
            </w:r>
          </w:p>
        </w:tc>
        <w:tc>
          <w:tcPr>
            <w:tcW w:w="1350" w:type="dxa"/>
            <w:vAlign w:val="center"/>
          </w:tcPr>
          <w:p w14:paraId="5A6A47FF">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0.08</w:t>
            </w:r>
          </w:p>
        </w:tc>
        <w:tc>
          <w:tcPr>
            <w:tcW w:w="1350" w:type="dxa"/>
            <w:vAlign w:val="center"/>
          </w:tcPr>
          <w:p w14:paraId="057FC7AB">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0.16</w:t>
            </w:r>
          </w:p>
        </w:tc>
        <w:tc>
          <w:tcPr>
            <w:tcW w:w="1351" w:type="dxa"/>
            <w:vAlign w:val="center"/>
          </w:tcPr>
          <w:p w14:paraId="54C8095B">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0.97</w:t>
            </w:r>
          </w:p>
        </w:tc>
        <w:tc>
          <w:tcPr>
            <w:tcW w:w="1367" w:type="dxa"/>
            <w:vAlign w:val="center"/>
          </w:tcPr>
          <w:p w14:paraId="7489C40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0.99</w:t>
            </w:r>
          </w:p>
        </w:tc>
      </w:tr>
      <w:tr w14:paraId="534F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Merge w:val="continue"/>
            <w:vAlign w:val="center"/>
          </w:tcPr>
          <w:p w14:paraId="46F47EA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911" w:type="dxa"/>
            <w:vAlign w:val="center"/>
          </w:tcPr>
          <w:p w14:paraId="57D45E3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鑫润森</w:t>
            </w:r>
          </w:p>
          <w:p w14:paraId="4BFFE06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（车下取样2）</w:t>
            </w:r>
          </w:p>
        </w:tc>
        <w:tc>
          <w:tcPr>
            <w:tcW w:w="1350" w:type="dxa"/>
            <w:vAlign w:val="center"/>
          </w:tcPr>
          <w:p w14:paraId="0EBCAB1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w:t>
            </w:r>
          </w:p>
        </w:tc>
        <w:tc>
          <w:tcPr>
            <w:tcW w:w="1350" w:type="dxa"/>
            <w:vAlign w:val="center"/>
          </w:tcPr>
          <w:p w14:paraId="67CBA18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0.03</w:t>
            </w:r>
          </w:p>
        </w:tc>
        <w:tc>
          <w:tcPr>
            <w:tcW w:w="1351" w:type="dxa"/>
            <w:vAlign w:val="center"/>
          </w:tcPr>
          <w:p w14:paraId="47FF3EE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0.27</w:t>
            </w:r>
          </w:p>
        </w:tc>
        <w:tc>
          <w:tcPr>
            <w:tcW w:w="1367" w:type="dxa"/>
            <w:vAlign w:val="center"/>
          </w:tcPr>
          <w:p w14:paraId="4FC2206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0.30</w:t>
            </w:r>
          </w:p>
        </w:tc>
      </w:tr>
      <w:tr w14:paraId="1901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Merge w:val="continue"/>
            <w:vAlign w:val="center"/>
          </w:tcPr>
          <w:p w14:paraId="51F949A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911" w:type="dxa"/>
            <w:vAlign w:val="center"/>
          </w:tcPr>
          <w:p w14:paraId="746D204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鑫润森</w:t>
            </w:r>
          </w:p>
          <w:p w14:paraId="3D202BB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（智能取样）</w:t>
            </w:r>
          </w:p>
        </w:tc>
        <w:tc>
          <w:tcPr>
            <w:tcW w:w="1350" w:type="dxa"/>
            <w:vAlign w:val="center"/>
          </w:tcPr>
          <w:p w14:paraId="7EDBC44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0.16</w:t>
            </w:r>
          </w:p>
        </w:tc>
        <w:tc>
          <w:tcPr>
            <w:tcW w:w="1350" w:type="dxa"/>
            <w:vAlign w:val="center"/>
          </w:tcPr>
          <w:p w14:paraId="5D471CA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0.02</w:t>
            </w:r>
          </w:p>
        </w:tc>
        <w:tc>
          <w:tcPr>
            <w:tcW w:w="1351" w:type="dxa"/>
            <w:vAlign w:val="center"/>
          </w:tcPr>
          <w:p w14:paraId="58E0A8A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0.40</w:t>
            </w:r>
          </w:p>
        </w:tc>
        <w:tc>
          <w:tcPr>
            <w:tcW w:w="1367" w:type="dxa"/>
            <w:vAlign w:val="center"/>
          </w:tcPr>
          <w:p w14:paraId="323EF2C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0.43</w:t>
            </w:r>
          </w:p>
        </w:tc>
      </w:tr>
      <w:tr w14:paraId="1E3F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Merge w:val="restart"/>
            <w:vAlign w:val="center"/>
          </w:tcPr>
          <w:p w14:paraId="091684E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江西铜业</w:t>
            </w:r>
          </w:p>
        </w:tc>
        <w:tc>
          <w:tcPr>
            <w:tcW w:w="1911" w:type="dxa"/>
            <w:vAlign w:val="center"/>
          </w:tcPr>
          <w:p w14:paraId="5D84591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德兴矿</w:t>
            </w:r>
          </w:p>
        </w:tc>
        <w:tc>
          <w:tcPr>
            <w:tcW w:w="1350" w:type="dxa"/>
            <w:vAlign w:val="center"/>
          </w:tcPr>
          <w:p w14:paraId="3F2DCF08">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0.236</w:t>
            </w:r>
          </w:p>
        </w:tc>
        <w:tc>
          <w:tcPr>
            <w:tcW w:w="1350" w:type="dxa"/>
            <w:vAlign w:val="center"/>
          </w:tcPr>
          <w:p w14:paraId="6619355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0.216</w:t>
            </w:r>
          </w:p>
        </w:tc>
        <w:tc>
          <w:tcPr>
            <w:tcW w:w="1351" w:type="dxa"/>
            <w:vAlign w:val="center"/>
          </w:tcPr>
          <w:p w14:paraId="147564BF">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0.416</w:t>
            </w:r>
          </w:p>
        </w:tc>
        <w:tc>
          <w:tcPr>
            <w:tcW w:w="1367" w:type="dxa"/>
            <w:vAlign w:val="center"/>
          </w:tcPr>
          <w:p w14:paraId="4D61326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0.525</w:t>
            </w:r>
          </w:p>
        </w:tc>
      </w:tr>
      <w:tr w14:paraId="44B6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3" w:type="dxa"/>
            <w:vMerge w:val="continue"/>
            <w:vAlign w:val="center"/>
          </w:tcPr>
          <w:p w14:paraId="7A0E20AB">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911" w:type="dxa"/>
            <w:vAlign w:val="center"/>
          </w:tcPr>
          <w:p w14:paraId="20B7D2CE">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进口矿</w:t>
            </w:r>
          </w:p>
        </w:tc>
        <w:tc>
          <w:tcPr>
            <w:tcW w:w="1350" w:type="dxa"/>
            <w:vAlign w:val="center"/>
          </w:tcPr>
          <w:p w14:paraId="5150780F">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0.232</w:t>
            </w:r>
          </w:p>
        </w:tc>
        <w:tc>
          <w:tcPr>
            <w:tcW w:w="1350" w:type="dxa"/>
            <w:vAlign w:val="center"/>
          </w:tcPr>
          <w:p w14:paraId="7F8B1F2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0.037</w:t>
            </w:r>
          </w:p>
        </w:tc>
        <w:tc>
          <w:tcPr>
            <w:tcW w:w="1351" w:type="dxa"/>
            <w:vAlign w:val="center"/>
          </w:tcPr>
          <w:p w14:paraId="7FF5845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0.078</w:t>
            </w:r>
          </w:p>
        </w:tc>
        <w:tc>
          <w:tcPr>
            <w:tcW w:w="1367" w:type="dxa"/>
            <w:vAlign w:val="center"/>
          </w:tcPr>
          <w:p w14:paraId="71065DF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0.248</w:t>
            </w:r>
          </w:p>
        </w:tc>
      </w:tr>
    </w:tbl>
    <w:p w14:paraId="67EACD49">
      <w:pPr>
        <w:pStyle w:val="3"/>
        <w:keepNext w:val="0"/>
        <w:keepLines w:val="0"/>
        <w:pageBreakBefore w:val="0"/>
        <w:kinsoku/>
        <w:wordWrap/>
        <w:overflowPunct/>
        <w:topLinePunct w:val="0"/>
        <w:bidi w:val="0"/>
        <w:spacing w:beforeAutospacing="0" w:after="0" w:afterAutospacing="0" w:line="240" w:lineRule="auto"/>
        <w:ind w:firstLine="42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《品质波动试验汇总表》显示，共计进行品质波动试验20组，品质波动从0.080~2.37，其中小波动17组，占比为85%，中波动2组，占比为10%，大波动1组，占比为5%。</w:t>
      </w:r>
    </w:p>
    <w:p w14:paraId="60E3F777">
      <w:pPr>
        <w:pStyle w:val="3"/>
        <w:keepNext w:val="0"/>
        <w:keepLines w:val="0"/>
        <w:pageBreakBefore w:val="0"/>
        <w:kinsoku/>
        <w:wordWrap/>
        <w:overflowPunct/>
        <w:topLinePunct w:val="0"/>
        <w:bidi w:val="0"/>
        <w:spacing w:beforeAutospacing="0" w:after="0" w:afterAutospacing="0" w:line="24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《精密度试验汇总表》显示总精密度从0.15到0.99，其中0.99为铜陵有色取样方式不对数据舍弃，最大精密度为0.65，符合表格数据。</w:t>
      </w:r>
    </w:p>
    <w:p w14:paraId="14B1F99D">
      <w:pPr>
        <w:pStyle w:val="3"/>
        <w:keepNext w:val="0"/>
        <w:keepLines w:val="0"/>
        <w:pageBreakBefore w:val="0"/>
        <w:kinsoku/>
        <w:wordWrap/>
        <w:overflowPunct/>
        <w:topLinePunct w:val="0"/>
        <w:bidi w:val="0"/>
        <w:spacing w:beforeAutospacing="0" w:after="0" w:afterAutospacing="0" w:line="240" w:lineRule="auto"/>
        <w:ind w:firstLine="420"/>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取样系统误差校核试验</w:t>
      </w:r>
      <w:r>
        <w:rPr>
          <w:rFonts w:hint="eastAsia" w:ascii="宋体" w:hAnsi="宋体" w:eastAsia="宋体" w:cs="宋体"/>
          <w:color w:val="auto"/>
          <w:sz w:val="21"/>
          <w:szCs w:val="21"/>
          <w:highlight w:val="none"/>
          <w:lang w:val="en-US" w:eastAsia="zh-CN"/>
        </w:rPr>
        <w:t>均显示</w:t>
      </w:r>
      <m:oMath>
        <m:sSub>
          <m:sSubPr>
            <m:ctrlPr>
              <w:rPr>
                <w:rFonts w:hint="default" w:ascii="Cambria Math" w:hAnsi="Cambria Math" w:eastAsia="宋体" w:cs="宋体"/>
                <w:color w:val="auto"/>
                <w:sz w:val="21"/>
                <w:szCs w:val="21"/>
                <w:highlight w:val="none"/>
                <w:lang w:val="en-US" w:eastAsia="zh-CN"/>
              </w:rPr>
            </m:ctrlPr>
          </m:sSubPr>
          <m:e>
            <m:r>
              <m:rPr>
                <m:sty m:val="p"/>
              </m:rPr>
              <w:rPr>
                <w:rFonts w:hint="default" w:ascii="Cambria Math" w:hAnsi="Cambria Math" w:eastAsia="宋体" w:cs="宋体"/>
                <w:color w:val="auto"/>
                <w:sz w:val="21"/>
                <w:szCs w:val="21"/>
                <w:highlight w:val="none"/>
                <w:lang w:val="en-US" w:eastAsia="zh-CN"/>
              </w:rPr>
              <m:t xml:space="preserve"> t</m:t>
            </m:r>
            <m:ctrlPr>
              <w:rPr>
                <w:rFonts w:hint="default" w:ascii="Cambria Math" w:hAnsi="Cambria Math" w:eastAsia="宋体" w:cs="宋体"/>
                <w:color w:val="auto"/>
                <w:sz w:val="21"/>
                <w:szCs w:val="21"/>
                <w:highlight w:val="none"/>
                <w:lang w:val="en-US" w:eastAsia="zh-CN"/>
              </w:rPr>
            </m:ctrlPr>
          </m:e>
          <m:sub>
            <m:r>
              <m:rPr>
                <m:sty m:val="p"/>
              </m:rPr>
              <w:rPr>
                <w:rFonts w:hint="default" w:ascii="Cambria Math" w:hAnsi="Cambria Math" w:eastAsia="宋体" w:cs="宋体"/>
                <w:color w:val="auto"/>
                <w:sz w:val="21"/>
                <w:szCs w:val="21"/>
                <w:highlight w:val="none"/>
                <w:lang w:val="en-US" w:eastAsia="zh-CN"/>
              </w:rPr>
              <m:t>0</m:t>
            </m:r>
            <m:ctrlPr>
              <w:rPr>
                <w:rFonts w:hint="default" w:ascii="Cambria Math" w:hAnsi="Cambria Math" w:eastAsia="宋体" w:cs="宋体"/>
                <w:color w:val="auto"/>
                <w:sz w:val="21"/>
                <w:szCs w:val="21"/>
                <w:highlight w:val="none"/>
                <w:lang w:val="en-US" w:eastAsia="zh-CN"/>
              </w:rPr>
            </m:ctrlPr>
          </m:sub>
        </m:sSub>
      </m:oMath>
      <w:r>
        <w:rPr>
          <w:rFonts w:hint="default" w:ascii="宋体" w:hAnsi="宋体" w:eastAsia="宋体" w:cs="宋体"/>
          <w:color w:val="auto"/>
          <w:sz w:val="21"/>
          <w:szCs w:val="21"/>
          <w:highlight w:val="none"/>
          <w:lang w:val="en-US" w:eastAsia="zh-CN"/>
        </w:rPr>
        <w:t>&lt; t</w:t>
      </w:r>
      <w:r>
        <w:rPr>
          <w:rFonts w:hint="eastAsia" w:ascii="宋体" w:hAnsi="宋体" w:eastAsia="宋体" w:cs="宋体"/>
          <w:color w:val="auto"/>
          <w:sz w:val="21"/>
          <w:szCs w:val="21"/>
          <w:highlight w:val="none"/>
          <w:lang w:val="en-US" w:eastAsia="zh-CN"/>
        </w:rPr>
        <w:t>。</w:t>
      </w:r>
    </w:p>
    <w:p w14:paraId="2CF5CA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hAnsi="黑体" w:cs="黑体"/>
          <w:b/>
          <w:bCs/>
          <w:color w:val="auto"/>
          <w:szCs w:val="21"/>
          <w:u w:val="none"/>
          <w:lang w:val="en-US" w:eastAsia="zh-CN"/>
        </w:rPr>
      </w:pPr>
      <w:r>
        <w:rPr>
          <w:rFonts w:hint="eastAsia" w:ascii="黑体" w:hAnsi="黑体" w:eastAsia="黑体" w:cs="黑体"/>
          <w:color w:val="auto"/>
          <w:kern w:val="0"/>
          <w:sz w:val="21"/>
          <w:szCs w:val="21"/>
          <w:lang w:val="en-US" w:eastAsia="zh-CN" w:bidi="ar-SA"/>
        </w:rPr>
        <w:t xml:space="preserve">1.4.3.3.2  </w:t>
      </w:r>
      <w:r>
        <w:rPr>
          <w:rFonts w:hint="eastAsia" w:hAnsi="黑体" w:cs="黑体"/>
          <w:b/>
          <w:bCs/>
          <w:color w:val="auto"/>
          <w:szCs w:val="21"/>
          <w:u w:val="none"/>
          <w:lang w:val="en-US" w:eastAsia="zh-CN"/>
        </w:rPr>
        <w:t>铅组试验</w:t>
      </w:r>
    </w:p>
    <w:p w14:paraId="4ECFA99D">
      <w:pPr>
        <w:spacing w:line="240" w:lineRule="auto"/>
        <w:jc w:val="center"/>
        <w:rPr>
          <w:rFonts w:hint="eastAsia" w:hAnsi="黑体" w:cs="黑体" w:eastAsiaTheme="minorEastAsia"/>
          <w:bCs w:val="0"/>
          <w:color w:val="auto"/>
          <w:szCs w:val="21"/>
          <w:u w:val="none"/>
          <w:lang w:val="en-US" w:eastAsia="zh-CN"/>
        </w:rPr>
      </w:pPr>
      <w:r>
        <w:rPr>
          <w:rFonts w:hint="eastAsia" w:hAnsi="黑体" w:cs="黑体" w:eastAsiaTheme="minorEastAsia"/>
          <w:bCs w:val="0"/>
          <w:color w:val="auto"/>
          <w:szCs w:val="21"/>
          <w:u w:val="none"/>
          <w:lang w:val="en-US" w:eastAsia="zh-CN"/>
        </w:rPr>
        <w:t>锌</w:t>
      </w:r>
      <w:r>
        <w:rPr>
          <w:rFonts w:hint="eastAsia" w:hAnsi="黑体" w:cs="黑体"/>
          <w:bCs w:val="0"/>
          <w:color w:val="auto"/>
          <w:szCs w:val="21"/>
          <w:u w:val="none"/>
          <w:lang w:val="en-US" w:eastAsia="zh-CN"/>
        </w:rPr>
        <w:t>组试验由</w:t>
      </w:r>
      <w:r>
        <w:rPr>
          <w:rFonts w:hint="eastAsia" w:ascii="宋体" w:hAnsi="宋体" w:eastAsia="宋体" w:cs="宋体"/>
          <w:color w:val="auto"/>
          <w:szCs w:val="21"/>
        </w:rPr>
        <w:t>豫光金铅股份有限公司</w:t>
      </w:r>
      <w:r>
        <w:rPr>
          <w:rFonts w:hint="eastAsia" w:hAnsi="黑体" w:cs="黑体" w:eastAsiaTheme="minorEastAsia"/>
          <w:bCs w:val="0"/>
          <w:color w:val="auto"/>
          <w:szCs w:val="21"/>
          <w:u w:val="none"/>
          <w:lang w:val="en-US" w:eastAsia="zh-CN"/>
        </w:rPr>
        <w:t>牵头负责，试验数据汇总如下：</w:t>
      </w:r>
    </w:p>
    <w:p w14:paraId="60E3442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大批量品质波动实验数据汇总表</w:t>
      </w:r>
    </w:p>
    <w:tbl>
      <w:tblPr>
        <w:tblStyle w:val="11"/>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4"/>
        <w:gridCol w:w="2072"/>
        <w:gridCol w:w="1917"/>
        <w:gridCol w:w="2568"/>
      </w:tblGrid>
      <w:tr w14:paraId="79A0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Align w:val="center"/>
          </w:tcPr>
          <w:p w14:paraId="09B96741">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试验单位</w:t>
            </w:r>
          </w:p>
        </w:tc>
        <w:tc>
          <w:tcPr>
            <w:tcW w:w="1245" w:type="pct"/>
            <w:vAlign w:val="center"/>
          </w:tcPr>
          <w:p w14:paraId="28BAE41C">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实验对象</w:t>
            </w:r>
          </w:p>
        </w:tc>
        <w:tc>
          <w:tcPr>
            <w:tcW w:w="1152" w:type="pct"/>
            <w:vAlign w:val="center"/>
          </w:tcPr>
          <w:p w14:paraId="24CDC231">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试验数量</w:t>
            </w:r>
          </w:p>
        </w:tc>
        <w:tc>
          <w:tcPr>
            <w:tcW w:w="1543" w:type="pct"/>
            <w:vAlign w:val="center"/>
          </w:tcPr>
          <w:p w14:paraId="049F983D">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试验结果</w:t>
            </w:r>
            <w:r>
              <w:rPr>
                <w:rFonts w:hint="eastAsia" w:ascii="宋体" w:hAnsi="宋体" w:eastAsia="宋体" w:cs="宋体"/>
                <w:color w:val="auto"/>
                <w:position w:val="-12"/>
                <w:szCs w:val="21"/>
              </w:rPr>
              <w:object>
                <v:shape id="_x0000_i1041"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041" DrawAspect="Content" ObjectID="_1468075741" r:id="rId36">
                  <o:LockedField>false</o:LockedField>
                </o:OLEObject>
              </w:object>
            </w:r>
          </w:p>
        </w:tc>
      </w:tr>
      <w:tr w14:paraId="37B4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restart"/>
            <w:vAlign w:val="center"/>
          </w:tcPr>
          <w:p w14:paraId="0B0942F6">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豫光金铅股份有限公司</w:t>
            </w:r>
          </w:p>
        </w:tc>
        <w:tc>
          <w:tcPr>
            <w:tcW w:w="1245" w:type="pct"/>
            <w:vAlign w:val="center"/>
          </w:tcPr>
          <w:p w14:paraId="7D5A916F">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安徽片区</w:t>
            </w:r>
          </w:p>
        </w:tc>
        <w:tc>
          <w:tcPr>
            <w:tcW w:w="1152" w:type="pct"/>
            <w:vAlign w:val="center"/>
          </w:tcPr>
          <w:p w14:paraId="168A46C3">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10车1次</w:t>
            </w:r>
          </w:p>
        </w:tc>
        <w:tc>
          <w:tcPr>
            <w:tcW w:w="1543" w:type="pct"/>
            <w:vAlign w:val="center"/>
          </w:tcPr>
          <w:p w14:paraId="51C96EFF">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1.13</w:t>
            </w:r>
          </w:p>
        </w:tc>
      </w:tr>
      <w:tr w14:paraId="7147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2CBB809E">
            <w:pPr>
              <w:spacing w:line="240" w:lineRule="auto"/>
              <w:jc w:val="left"/>
              <w:rPr>
                <w:rFonts w:hint="eastAsia" w:ascii="宋体" w:hAnsi="宋体" w:eastAsia="宋体" w:cs="宋体"/>
                <w:color w:val="auto"/>
                <w:szCs w:val="21"/>
              </w:rPr>
            </w:pPr>
          </w:p>
        </w:tc>
        <w:tc>
          <w:tcPr>
            <w:tcW w:w="1245" w:type="pct"/>
            <w:vAlign w:val="center"/>
          </w:tcPr>
          <w:p w14:paraId="3041F45B">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新疆片区</w:t>
            </w:r>
          </w:p>
        </w:tc>
        <w:tc>
          <w:tcPr>
            <w:tcW w:w="1152" w:type="pct"/>
            <w:vAlign w:val="center"/>
          </w:tcPr>
          <w:p w14:paraId="6D48216B">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10车1次</w:t>
            </w:r>
          </w:p>
        </w:tc>
        <w:tc>
          <w:tcPr>
            <w:tcW w:w="1543" w:type="pct"/>
            <w:vAlign w:val="center"/>
          </w:tcPr>
          <w:p w14:paraId="03370853">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0.07</w:t>
            </w:r>
          </w:p>
        </w:tc>
      </w:tr>
      <w:tr w14:paraId="74DB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19CB1BBC">
            <w:pPr>
              <w:spacing w:line="240" w:lineRule="auto"/>
              <w:jc w:val="left"/>
              <w:rPr>
                <w:rFonts w:hint="eastAsia" w:ascii="宋体" w:hAnsi="宋体" w:eastAsia="宋体" w:cs="宋体"/>
                <w:color w:val="auto"/>
                <w:szCs w:val="21"/>
              </w:rPr>
            </w:pPr>
          </w:p>
        </w:tc>
        <w:tc>
          <w:tcPr>
            <w:tcW w:w="1245" w:type="pct"/>
            <w:vAlign w:val="center"/>
          </w:tcPr>
          <w:p w14:paraId="1FF3B358">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西藏片区</w:t>
            </w:r>
          </w:p>
        </w:tc>
        <w:tc>
          <w:tcPr>
            <w:tcW w:w="1152" w:type="pct"/>
            <w:vAlign w:val="center"/>
          </w:tcPr>
          <w:p w14:paraId="63340BB6">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10车1次</w:t>
            </w:r>
          </w:p>
        </w:tc>
        <w:tc>
          <w:tcPr>
            <w:tcW w:w="1543" w:type="pct"/>
            <w:vAlign w:val="center"/>
          </w:tcPr>
          <w:p w14:paraId="5EB22FAA">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0.33</w:t>
            </w:r>
          </w:p>
        </w:tc>
      </w:tr>
      <w:tr w14:paraId="6C52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0FF36D4C">
            <w:pPr>
              <w:spacing w:line="240" w:lineRule="auto"/>
              <w:jc w:val="left"/>
              <w:rPr>
                <w:rFonts w:hint="eastAsia" w:ascii="宋体" w:hAnsi="宋体" w:eastAsia="宋体" w:cs="宋体"/>
                <w:color w:val="auto"/>
                <w:szCs w:val="21"/>
              </w:rPr>
            </w:pPr>
          </w:p>
        </w:tc>
        <w:tc>
          <w:tcPr>
            <w:tcW w:w="1245" w:type="pct"/>
            <w:vAlign w:val="center"/>
          </w:tcPr>
          <w:p w14:paraId="08B4BF26">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云南片区</w:t>
            </w:r>
          </w:p>
        </w:tc>
        <w:tc>
          <w:tcPr>
            <w:tcW w:w="1152" w:type="pct"/>
            <w:vAlign w:val="center"/>
          </w:tcPr>
          <w:p w14:paraId="1915D3AC">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10车1次</w:t>
            </w:r>
          </w:p>
        </w:tc>
        <w:tc>
          <w:tcPr>
            <w:tcW w:w="1543" w:type="pct"/>
            <w:vAlign w:val="center"/>
          </w:tcPr>
          <w:p w14:paraId="7566302B">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0.24</w:t>
            </w:r>
          </w:p>
        </w:tc>
      </w:tr>
      <w:tr w14:paraId="68C3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40BA03E7">
            <w:pPr>
              <w:spacing w:line="240" w:lineRule="auto"/>
              <w:jc w:val="left"/>
              <w:rPr>
                <w:rFonts w:hint="eastAsia" w:ascii="宋体" w:hAnsi="宋体" w:eastAsia="宋体" w:cs="宋体"/>
                <w:color w:val="auto"/>
                <w:szCs w:val="21"/>
              </w:rPr>
            </w:pPr>
          </w:p>
        </w:tc>
        <w:tc>
          <w:tcPr>
            <w:tcW w:w="1245" w:type="pct"/>
            <w:vAlign w:val="center"/>
          </w:tcPr>
          <w:p w14:paraId="3B348983">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江西片区</w:t>
            </w:r>
          </w:p>
        </w:tc>
        <w:tc>
          <w:tcPr>
            <w:tcW w:w="1152" w:type="pct"/>
            <w:vAlign w:val="center"/>
          </w:tcPr>
          <w:p w14:paraId="698C4333">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10车1次</w:t>
            </w:r>
          </w:p>
        </w:tc>
        <w:tc>
          <w:tcPr>
            <w:tcW w:w="1543" w:type="pct"/>
            <w:vAlign w:val="center"/>
          </w:tcPr>
          <w:p w14:paraId="44FAE8D9">
            <w:pPr>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0.38</w:t>
            </w:r>
          </w:p>
        </w:tc>
      </w:tr>
    </w:tbl>
    <w:p w14:paraId="19904497">
      <w:pPr>
        <w:spacing w:line="240" w:lineRule="auto"/>
        <w:jc w:val="center"/>
        <w:rPr>
          <w:rFonts w:hint="eastAsia" w:ascii="黑体" w:hAnsi="黑体" w:eastAsia="黑体" w:cs="黑体"/>
          <w:color w:val="auto"/>
          <w:szCs w:val="21"/>
        </w:rPr>
      </w:pPr>
    </w:p>
    <w:p w14:paraId="7D3C22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小批量品质波动实验数据汇总表</w:t>
      </w:r>
    </w:p>
    <w:tbl>
      <w:tblPr>
        <w:tblStyle w:val="11"/>
        <w:tblW w:w="49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276"/>
        <w:gridCol w:w="1041"/>
        <w:gridCol w:w="780"/>
        <w:gridCol w:w="780"/>
        <w:gridCol w:w="780"/>
        <w:gridCol w:w="780"/>
        <w:gridCol w:w="780"/>
        <w:gridCol w:w="785"/>
      </w:tblGrid>
      <w:tr w14:paraId="1EBB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vMerge w:val="restart"/>
            <w:vAlign w:val="center"/>
          </w:tcPr>
          <w:p w14:paraId="06F547AB">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试验单位</w:t>
            </w:r>
          </w:p>
        </w:tc>
        <w:tc>
          <w:tcPr>
            <w:tcW w:w="767" w:type="pct"/>
            <w:vMerge w:val="restart"/>
            <w:vAlign w:val="center"/>
          </w:tcPr>
          <w:p w14:paraId="0ACB274B">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实验对象</w:t>
            </w:r>
          </w:p>
        </w:tc>
        <w:tc>
          <w:tcPr>
            <w:tcW w:w="626" w:type="pct"/>
            <w:vMerge w:val="restart"/>
            <w:vAlign w:val="center"/>
          </w:tcPr>
          <w:p w14:paraId="2EAF1641">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试验数量</w:t>
            </w:r>
          </w:p>
        </w:tc>
        <w:tc>
          <w:tcPr>
            <w:tcW w:w="2816" w:type="pct"/>
            <w:gridSpan w:val="6"/>
            <w:vAlign w:val="center"/>
          </w:tcPr>
          <w:p w14:paraId="0DF58353">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试验结果</w:t>
            </w:r>
            <w:r>
              <w:rPr>
                <w:rFonts w:hint="eastAsia" w:ascii="宋体" w:hAnsi="宋体" w:eastAsia="宋体" w:cs="宋体"/>
                <w:color w:val="auto"/>
                <w:position w:val="-12"/>
                <w:szCs w:val="21"/>
              </w:rPr>
              <w:object>
                <v:shape id="_x0000_i1042"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042" DrawAspect="Content" ObjectID="_1468075742" r:id="rId37">
                  <o:LockedField>false</o:LockedField>
                </o:OLEObject>
              </w:object>
            </w:r>
          </w:p>
        </w:tc>
      </w:tr>
      <w:tr w14:paraId="3903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vMerge w:val="continue"/>
            <w:vAlign w:val="center"/>
          </w:tcPr>
          <w:p w14:paraId="21F96F6A">
            <w:pPr>
              <w:spacing w:line="240" w:lineRule="auto"/>
              <w:jc w:val="center"/>
              <w:rPr>
                <w:rFonts w:hint="eastAsia" w:ascii="宋体" w:hAnsi="宋体" w:eastAsia="宋体" w:cs="宋体"/>
                <w:color w:val="auto"/>
                <w:szCs w:val="21"/>
              </w:rPr>
            </w:pPr>
          </w:p>
        </w:tc>
        <w:tc>
          <w:tcPr>
            <w:tcW w:w="767" w:type="pct"/>
            <w:vMerge w:val="continue"/>
            <w:vAlign w:val="center"/>
          </w:tcPr>
          <w:p w14:paraId="7933F5CB">
            <w:pPr>
              <w:spacing w:line="240" w:lineRule="auto"/>
              <w:jc w:val="center"/>
              <w:rPr>
                <w:rFonts w:hint="eastAsia" w:ascii="宋体" w:hAnsi="宋体" w:eastAsia="宋体" w:cs="宋体"/>
                <w:color w:val="auto"/>
                <w:szCs w:val="21"/>
              </w:rPr>
            </w:pPr>
          </w:p>
        </w:tc>
        <w:tc>
          <w:tcPr>
            <w:tcW w:w="626" w:type="pct"/>
            <w:vMerge w:val="continue"/>
            <w:vAlign w:val="center"/>
          </w:tcPr>
          <w:p w14:paraId="5969671A">
            <w:pPr>
              <w:spacing w:line="240" w:lineRule="auto"/>
              <w:jc w:val="center"/>
              <w:rPr>
                <w:rFonts w:hint="eastAsia" w:ascii="宋体" w:hAnsi="宋体" w:eastAsia="宋体" w:cs="宋体"/>
                <w:color w:val="auto"/>
                <w:szCs w:val="21"/>
              </w:rPr>
            </w:pPr>
          </w:p>
        </w:tc>
        <w:tc>
          <w:tcPr>
            <w:tcW w:w="469" w:type="pct"/>
            <w:vAlign w:val="center"/>
          </w:tcPr>
          <w:p w14:paraId="3BA5421D">
            <w:pPr>
              <w:spacing w:line="240" w:lineRule="auto"/>
              <w:jc w:val="center"/>
              <w:rPr>
                <w:rFonts w:hint="eastAsia" w:ascii="宋体" w:hAnsi="宋体" w:eastAsia="宋体" w:cs="宋体"/>
                <w:color w:val="auto"/>
                <w:szCs w:val="21"/>
              </w:rPr>
            </w:pPr>
            <w:r>
              <w:rPr>
                <w:rFonts w:ascii="Times New Roman" w:hAnsi="Times New Roman" w:cs="Times New Roman"/>
                <w:color w:val="auto"/>
                <w:position w:val="-12"/>
                <w:szCs w:val="21"/>
              </w:rPr>
              <w:object>
                <v:shape id="_x0000_i1043" o:spt="75" type="#_x0000_t75" style="height:20.45pt;width:17.55pt;" o:ole="t" filled="f" o:preferrelative="t" stroked="f" coordsize="21600,21600">
                  <v:path/>
                  <v:fill on="f" focussize="0,0"/>
                  <v:stroke on="f" joinstyle="miter"/>
                  <v:imagedata r:id="rId17" o:title=""/>
                  <o:lock v:ext="edit" aspectratio="t"/>
                  <w10:wrap type="none"/>
                  <w10:anchorlock/>
                </v:shape>
                <o:OLEObject Type="Embed" ProgID="Equation.3" ShapeID="_x0000_i1043" DrawAspect="Content" ObjectID="_1468075743" r:id="rId38">
                  <o:LockedField>false</o:LockedField>
                </o:OLEObject>
              </w:object>
            </w:r>
          </w:p>
        </w:tc>
        <w:tc>
          <w:tcPr>
            <w:tcW w:w="469" w:type="pct"/>
            <w:vAlign w:val="center"/>
          </w:tcPr>
          <w:p w14:paraId="4DE61B11">
            <w:pPr>
              <w:spacing w:line="240" w:lineRule="auto"/>
              <w:jc w:val="center"/>
              <w:rPr>
                <w:rFonts w:hint="eastAsia" w:ascii="宋体" w:hAnsi="宋体" w:eastAsia="宋体" w:cs="宋体"/>
                <w:color w:val="auto"/>
                <w:szCs w:val="21"/>
              </w:rPr>
            </w:pPr>
            <w:r>
              <w:rPr>
                <w:rFonts w:ascii="Times New Roman" w:hAnsi="Times New Roman" w:cs="Times New Roman"/>
                <w:color w:val="auto"/>
                <w:position w:val="-12"/>
                <w:szCs w:val="21"/>
              </w:rPr>
              <w:object>
                <v:shape id="_x0000_i1044" o:spt="75" type="#_x0000_t75" style="height:20.45pt;width:18.45pt;" o:ole="t" filled="f" o:preferrelative="t" stroked="f" coordsize="21600,21600">
                  <v:path/>
                  <v:fill on="f" focussize="0,0"/>
                  <v:stroke on="f" joinstyle="miter"/>
                  <v:imagedata r:id="rId19" o:title=""/>
                  <o:lock v:ext="edit" aspectratio="t"/>
                  <w10:wrap type="none"/>
                  <w10:anchorlock/>
                </v:shape>
                <o:OLEObject Type="Embed" ProgID="Equation.3" ShapeID="_x0000_i1044" DrawAspect="Content" ObjectID="_1468075744" r:id="rId39">
                  <o:LockedField>false</o:LockedField>
                </o:OLEObject>
              </w:object>
            </w:r>
          </w:p>
        </w:tc>
        <w:tc>
          <w:tcPr>
            <w:tcW w:w="469" w:type="pct"/>
            <w:vAlign w:val="center"/>
          </w:tcPr>
          <w:p w14:paraId="0FA92E6D">
            <w:pPr>
              <w:spacing w:line="240" w:lineRule="auto"/>
              <w:jc w:val="center"/>
              <w:rPr>
                <w:rFonts w:hint="eastAsia" w:ascii="宋体" w:hAnsi="宋体" w:eastAsia="宋体" w:cs="宋体"/>
                <w:color w:val="auto"/>
                <w:szCs w:val="21"/>
              </w:rPr>
            </w:pPr>
            <w:r>
              <w:rPr>
                <w:rFonts w:ascii="Times New Roman" w:hAnsi="Times New Roman" w:cs="Times New Roman"/>
                <w:color w:val="auto"/>
                <w:position w:val="-12"/>
                <w:szCs w:val="21"/>
              </w:rPr>
              <w:object>
                <v:shape id="_x0000_i1045" o:spt="75" type="#_x0000_t75" style="height:20.45pt;width:18.45pt;" o:ole="t" filled="f" o:preferrelative="t" stroked="f" coordsize="21600,21600">
                  <v:path/>
                  <v:fill on="f" focussize="0,0"/>
                  <v:stroke on="f" joinstyle="miter"/>
                  <v:imagedata r:id="rId21" o:title=""/>
                  <o:lock v:ext="edit" aspectratio="t"/>
                  <w10:wrap type="none"/>
                  <w10:anchorlock/>
                </v:shape>
                <o:OLEObject Type="Embed" ProgID="Equation.3" ShapeID="_x0000_i1045" DrawAspect="Content" ObjectID="_1468075745" r:id="rId40">
                  <o:LockedField>false</o:LockedField>
                </o:OLEObject>
              </w:object>
            </w:r>
          </w:p>
        </w:tc>
        <w:tc>
          <w:tcPr>
            <w:tcW w:w="469" w:type="pct"/>
            <w:vAlign w:val="center"/>
          </w:tcPr>
          <w:p w14:paraId="6866B781">
            <w:pPr>
              <w:spacing w:line="240" w:lineRule="auto"/>
              <w:jc w:val="center"/>
              <w:rPr>
                <w:rFonts w:hint="eastAsia" w:ascii="宋体" w:hAnsi="宋体" w:eastAsia="宋体" w:cs="宋体"/>
                <w:color w:val="auto"/>
                <w:szCs w:val="21"/>
              </w:rPr>
            </w:pPr>
            <w:r>
              <w:rPr>
                <w:rFonts w:ascii="Times New Roman" w:hAnsi="Times New Roman" w:cs="Times New Roman"/>
                <w:color w:val="auto"/>
                <w:position w:val="-12"/>
                <w:szCs w:val="21"/>
              </w:rPr>
              <w:object>
                <v:shape id="_x0000_i1046" o:spt="75" type="#_x0000_t75" style="height:20.45pt;width:18.45pt;" o:ole="t" filled="f" o:preferrelative="t" stroked="f" coordsize="21600,21600">
                  <v:path/>
                  <v:fill on="f" focussize="0,0"/>
                  <v:stroke on="f" joinstyle="miter"/>
                  <v:imagedata r:id="rId23" o:title=""/>
                  <o:lock v:ext="edit" aspectratio="t"/>
                  <w10:wrap type="none"/>
                  <w10:anchorlock/>
                </v:shape>
                <o:OLEObject Type="Embed" ProgID="Equation.3" ShapeID="_x0000_i1046" DrawAspect="Content" ObjectID="_1468075746" r:id="rId41">
                  <o:LockedField>false</o:LockedField>
                </o:OLEObject>
              </w:object>
            </w:r>
          </w:p>
        </w:tc>
        <w:tc>
          <w:tcPr>
            <w:tcW w:w="469" w:type="pct"/>
            <w:vAlign w:val="center"/>
          </w:tcPr>
          <w:p w14:paraId="479ABAA3">
            <w:pPr>
              <w:spacing w:line="240" w:lineRule="auto"/>
              <w:jc w:val="center"/>
              <w:rPr>
                <w:rFonts w:hint="eastAsia" w:ascii="宋体" w:hAnsi="宋体" w:eastAsia="宋体" w:cs="宋体"/>
                <w:color w:val="auto"/>
                <w:szCs w:val="21"/>
              </w:rPr>
            </w:pPr>
            <w:r>
              <w:rPr>
                <w:rFonts w:ascii="Times New Roman" w:hAnsi="Times New Roman" w:cs="Times New Roman"/>
                <w:color w:val="auto"/>
                <w:position w:val="-12"/>
                <w:szCs w:val="21"/>
              </w:rPr>
              <w:object>
                <v:shape id="_x0000_i1047" o:spt="75" type="#_x0000_t75" style="height:20.45pt;width:18.45pt;" o:ole="t" filled="f" o:preferrelative="t" stroked="f" coordsize="21600,21600">
                  <v:path/>
                  <v:fill on="f" focussize="0,0"/>
                  <v:stroke on="f" joinstyle="miter"/>
                  <v:imagedata r:id="rId25" o:title=""/>
                  <o:lock v:ext="edit" aspectratio="t"/>
                  <w10:wrap type="none"/>
                  <w10:anchorlock/>
                </v:shape>
                <o:OLEObject Type="Embed" ProgID="Equation.3" ShapeID="_x0000_i1047" DrawAspect="Content" ObjectID="_1468075747" r:id="rId42">
                  <o:LockedField>false</o:LockedField>
                </o:OLEObject>
              </w:object>
            </w:r>
          </w:p>
        </w:tc>
        <w:tc>
          <w:tcPr>
            <w:tcW w:w="473" w:type="pct"/>
            <w:vAlign w:val="center"/>
          </w:tcPr>
          <w:p w14:paraId="15F6D2D6">
            <w:pPr>
              <w:spacing w:line="240" w:lineRule="auto"/>
              <w:jc w:val="center"/>
              <w:rPr>
                <w:rFonts w:hint="eastAsia" w:ascii="宋体" w:hAnsi="宋体" w:eastAsia="宋体" w:cs="宋体"/>
                <w:color w:val="auto"/>
                <w:szCs w:val="21"/>
              </w:rPr>
            </w:pPr>
            <w:r>
              <w:rPr>
                <w:rFonts w:ascii="Times New Roman" w:hAnsi="Times New Roman" w:cs="Times New Roman"/>
                <w:b/>
                <w:color w:val="auto"/>
                <w:position w:val="-6"/>
                <w:szCs w:val="21"/>
              </w:rPr>
              <w:object>
                <v:shape id="_x0000_i1048" o:spt="75" type="#_x0000_t75" style="height:17pt;width:19pt;" o:ole="t" filled="f" o:preferrelative="t" stroked="f" coordsize="21600,21600">
                  <v:path/>
                  <v:fill on="f" focussize="0,0"/>
                  <v:stroke on="f" joinstyle="miter"/>
                  <v:imagedata r:id="rId27" o:title=""/>
                  <o:lock v:ext="edit" aspectratio="t"/>
                  <w10:wrap type="none"/>
                  <w10:anchorlock/>
                </v:shape>
                <o:OLEObject Type="Embed" ProgID="Equation.3" ShapeID="_x0000_i1048" DrawAspect="Content" ObjectID="_1468075748" r:id="rId43">
                  <o:LockedField>false</o:LockedField>
                </o:OLEObject>
              </w:object>
            </w:r>
          </w:p>
        </w:tc>
      </w:tr>
      <w:tr w14:paraId="7499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vMerge w:val="restart"/>
            <w:vAlign w:val="center"/>
          </w:tcPr>
          <w:p w14:paraId="4981F9F1">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豫光金铅股份有限公司</w:t>
            </w:r>
          </w:p>
        </w:tc>
        <w:tc>
          <w:tcPr>
            <w:tcW w:w="767" w:type="pct"/>
            <w:vAlign w:val="center"/>
          </w:tcPr>
          <w:p w14:paraId="1A5E680C">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安徽片区</w:t>
            </w:r>
          </w:p>
        </w:tc>
        <w:tc>
          <w:tcPr>
            <w:tcW w:w="626" w:type="pct"/>
            <w:vAlign w:val="center"/>
          </w:tcPr>
          <w:p w14:paraId="32CA5181">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5批5次</w:t>
            </w:r>
          </w:p>
        </w:tc>
        <w:tc>
          <w:tcPr>
            <w:tcW w:w="469" w:type="pct"/>
            <w:vAlign w:val="center"/>
          </w:tcPr>
          <w:p w14:paraId="16A57DBC">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1.52</w:t>
            </w:r>
          </w:p>
        </w:tc>
        <w:tc>
          <w:tcPr>
            <w:tcW w:w="469" w:type="pct"/>
            <w:vAlign w:val="center"/>
          </w:tcPr>
          <w:p w14:paraId="65D54DCA">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1.48</w:t>
            </w:r>
          </w:p>
        </w:tc>
        <w:tc>
          <w:tcPr>
            <w:tcW w:w="469" w:type="pct"/>
            <w:vAlign w:val="center"/>
          </w:tcPr>
          <w:p w14:paraId="43163CF0">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0.52</w:t>
            </w:r>
          </w:p>
        </w:tc>
        <w:tc>
          <w:tcPr>
            <w:tcW w:w="469" w:type="pct"/>
            <w:vAlign w:val="center"/>
          </w:tcPr>
          <w:p w14:paraId="472C950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0.41</w:t>
            </w:r>
          </w:p>
        </w:tc>
        <w:tc>
          <w:tcPr>
            <w:tcW w:w="469" w:type="pct"/>
            <w:vAlign w:val="center"/>
          </w:tcPr>
          <w:p w14:paraId="145D550E">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0.18</w:t>
            </w:r>
          </w:p>
        </w:tc>
        <w:tc>
          <w:tcPr>
            <w:tcW w:w="473" w:type="pct"/>
            <w:vAlign w:val="center"/>
          </w:tcPr>
          <w:p w14:paraId="5B94C011">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1.00</w:t>
            </w:r>
          </w:p>
        </w:tc>
      </w:tr>
      <w:tr w14:paraId="255A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vMerge w:val="continue"/>
            <w:vAlign w:val="center"/>
          </w:tcPr>
          <w:p w14:paraId="36144DEE">
            <w:pPr>
              <w:spacing w:line="240" w:lineRule="auto"/>
              <w:jc w:val="center"/>
              <w:rPr>
                <w:rFonts w:hint="eastAsia" w:ascii="宋体" w:hAnsi="宋体" w:eastAsia="宋体" w:cs="宋体"/>
                <w:color w:val="auto"/>
                <w:szCs w:val="21"/>
              </w:rPr>
            </w:pPr>
          </w:p>
        </w:tc>
        <w:tc>
          <w:tcPr>
            <w:tcW w:w="767" w:type="pct"/>
            <w:vAlign w:val="center"/>
          </w:tcPr>
          <w:p w14:paraId="43FE817F">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新疆片区</w:t>
            </w:r>
          </w:p>
        </w:tc>
        <w:tc>
          <w:tcPr>
            <w:tcW w:w="626" w:type="pct"/>
            <w:vAlign w:val="center"/>
          </w:tcPr>
          <w:p w14:paraId="15BABD68">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5批5次</w:t>
            </w:r>
          </w:p>
        </w:tc>
        <w:tc>
          <w:tcPr>
            <w:tcW w:w="469" w:type="pct"/>
            <w:vAlign w:val="center"/>
          </w:tcPr>
          <w:p w14:paraId="3800F135">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0.07</w:t>
            </w:r>
          </w:p>
        </w:tc>
        <w:tc>
          <w:tcPr>
            <w:tcW w:w="469" w:type="pct"/>
            <w:vAlign w:val="center"/>
          </w:tcPr>
          <w:p w14:paraId="17326176">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0.05</w:t>
            </w:r>
          </w:p>
        </w:tc>
        <w:tc>
          <w:tcPr>
            <w:tcW w:w="469" w:type="pct"/>
            <w:vAlign w:val="center"/>
          </w:tcPr>
          <w:p w14:paraId="02D1B23B">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0.05</w:t>
            </w:r>
          </w:p>
        </w:tc>
        <w:tc>
          <w:tcPr>
            <w:tcW w:w="469" w:type="pct"/>
            <w:vAlign w:val="center"/>
          </w:tcPr>
          <w:p w14:paraId="41AF240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0.04</w:t>
            </w:r>
          </w:p>
        </w:tc>
        <w:tc>
          <w:tcPr>
            <w:tcW w:w="469" w:type="pct"/>
            <w:vAlign w:val="center"/>
          </w:tcPr>
          <w:p w14:paraId="7706DD6A">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0.08</w:t>
            </w:r>
          </w:p>
        </w:tc>
        <w:tc>
          <w:tcPr>
            <w:tcW w:w="473" w:type="pct"/>
            <w:vAlign w:val="center"/>
          </w:tcPr>
          <w:p w14:paraId="5D69226B">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0.06</w:t>
            </w:r>
          </w:p>
        </w:tc>
      </w:tr>
      <w:tr w14:paraId="5CDF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vMerge w:val="continue"/>
            <w:vAlign w:val="center"/>
          </w:tcPr>
          <w:p w14:paraId="135ED234">
            <w:pPr>
              <w:spacing w:line="240" w:lineRule="auto"/>
              <w:jc w:val="center"/>
              <w:rPr>
                <w:rFonts w:hint="eastAsia" w:ascii="宋体" w:hAnsi="宋体" w:eastAsia="宋体" w:cs="宋体"/>
                <w:color w:val="auto"/>
                <w:szCs w:val="21"/>
              </w:rPr>
            </w:pPr>
          </w:p>
        </w:tc>
        <w:tc>
          <w:tcPr>
            <w:tcW w:w="767" w:type="pct"/>
            <w:vAlign w:val="center"/>
          </w:tcPr>
          <w:p w14:paraId="37B2D6E7">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西藏片区</w:t>
            </w:r>
          </w:p>
        </w:tc>
        <w:tc>
          <w:tcPr>
            <w:tcW w:w="626" w:type="pct"/>
            <w:vAlign w:val="center"/>
          </w:tcPr>
          <w:p w14:paraId="62EB36BB">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5批5次</w:t>
            </w:r>
          </w:p>
        </w:tc>
        <w:tc>
          <w:tcPr>
            <w:tcW w:w="469" w:type="pct"/>
            <w:vAlign w:val="center"/>
          </w:tcPr>
          <w:p w14:paraId="749F8377">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0.13</w:t>
            </w:r>
          </w:p>
        </w:tc>
        <w:tc>
          <w:tcPr>
            <w:tcW w:w="469" w:type="pct"/>
            <w:vAlign w:val="center"/>
          </w:tcPr>
          <w:p w14:paraId="26835CC6">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0.16</w:t>
            </w:r>
          </w:p>
        </w:tc>
        <w:tc>
          <w:tcPr>
            <w:tcW w:w="469" w:type="pct"/>
            <w:vAlign w:val="center"/>
          </w:tcPr>
          <w:p w14:paraId="188AEB2E">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0.26</w:t>
            </w:r>
          </w:p>
        </w:tc>
        <w:tc>
          <w:tcPr>
            <w:tcW w:w="469" w:type="pct"/>
            <w:vAlign w:val="center"/>
          </w:tcPr>
          <w:p w14:paraId="246CEF9F">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0.23</w:t>
            </w:r>
          </w:p>
        </w:tc>
        <w:tc>
          <w:tcPr>
            <w:tcW w:w="469" w:type="pct"/>
            <w:vAlign w:val="center"/>
          </w:tcPr>
          <w:p w14:paraId="02316B2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0.39</w:t>
            </w:r>
          </w:p>
        </w:tc>
        <w:tc>
          <w:tcPr>
            <w:tcW w:w="473" w:type="pct"/>
            <w:vAlign w:val="center"/>
          </w:tcPr>
          <w:p w14:paraId="3CE94A9B">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0.25</w:t>
            </w:r>
          </w:p>
        </w:tc>
      </w:tr>
      <w:tr w14:paraId="32A1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vMerge w:val="continue"/>
            <w:vAlign w:val="center"/>
          </w:tcPr>
          <w:p w14:paraId="15498B9F">
            <w:pPr>
              <w:spacing w:line="240" w:lineRule="auto"/>
              <w:jc w:val="center"/>
              <w:rPr>
                <w:rFonts w:hint="eastAsia" w:ascii="宋体" w:hAnsi="宋体" w:eastAsia="宋体" w:cs="宋体"/>
                <w:color w:val="auto"/>
                <w:szCs w:val="21"/>
              </w:rPr>
            </w:pPr>
          </w:p>
        </w:tc>
        <w:tc>
          <w:tcPr>
            <w:tcW w:w="767" w:type="pct"/>
            <w:vAlign w:val="center"/>
          </w:tcPr>
          <w:p w14:paraId="417E1F30">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云南片区</w:t>
            </w:r>
          </w:p>
        </w:tc>
        <w:tc>
          <w:tcPr>
            <w:tcW w:w="626" w:type="pct"/>
            <w:vAlign w:val="center"/>
          </w:tcPr>
          <w:p w14:paraId="1E7F58C5">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5批5次</w:t>
            </w:r>
          </w:p>
        </w:tc>
        <w:tc>
          <w:tcPr>
            <w:tcW w:w="469" w:type="pct"/>
            <w:vAlign w:val="center"/>
          </w:tcPr>
          <w:p w14:paraId="167D395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0.12</w:t>
            </w:r>
          </w:p>
        </w:tc>
        <w:tc>
          <w:tcPr>
            <w:tcW w:w="469" w:type="pct"/>
            <w:vAlign w:val="center"/>
          </w:tcPr>
          <w:p w14:paraId="5D0E5650">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0.24</w:t>
            </w:r>
          </w:p>
        </w:tc>
        <w:tc>
          <w:tcPr>
            <w:tcW w:w="469" w:type="pct"/>
            <w:vAlign w:val="center"/>
          </w:tcPr>
          <w:p w14:paraId="0A121761">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0.16</w:t>
            </w:r>
          </w:p>
        </w:tc>
        <w:tc>
          <w:tcPr>
            <w:tcW w:w="469" w:type="pct"/>
            <w:vAlign w:val="center"/>
          </w:tcPr>
          <w:p w14:paraId="73178F5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0.12</w:t>
            </w:r>
          </w:p>
        </w:tc>
        <w:tc>
          <w:tcPr>
            <w:tcW w:w="469" w:type="pct"/>
            <w:vAlign w:val="center"/>
          </w:tcPr>
          <w:p w14:paraId="69E227A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0.12</w:t>
            </w:r>
          </w:p>
        </w:tc>
        <w:tc>
          <w:tcPr>
            <w:tcW w:w="473" w:type="pct"/>
            <w:vAlign w:val="center"/>
          </w:tcPr>
          <w:p w14:paraId="241772F4">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0.16</w:t>
            </w:r>
          </w:p>
        </w:tc>
      </w:tr>
      <w:tr w14:paraId="540C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vMerge w:val="continue"/>
            <w:vAlign w:val="center"/>
          </w:tcPr>
          <w:p w14:paraId="0530668F">
            <w:pPr>
              <w:spacing w:line="240" w:lineRule="auto"/>
              <w:jc w:val="center"/>
              <w:rPr>
                <w:rFonts w:hint="eastAsia" w:ascii="宋体" w:hAnsi="宋体" w:eastAsia="宋体" w:cs="宋体"/>
                <w:color w:val="auto"/>
                <w:szCs w:val="21"/>
              </w:rPr>
            </w:pPr>
          </w:p>
        </w:tc>
        <w:tc>
          <w:tcPr>
            <w:tcW w:w="767" w:type="pct"/>
            <w:vAlign w:val="center"/>
          </w:tcPr>
          <w:p w14:paraId="2CDB284F">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江西片区</w:t>
            </w:r>
          </w:p>
        </w:tc>
        <w:tc>
          <w:tcPr>
            <w:tcW w:w="626" w:type="pct"/>
            <w:vAlign w:val="center"/>
          </w:tcPr>
          <w:p w14:paraId="6EA6268E">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5批5次</w:t>
            </w:r>
          </w:p>
        </w:tc>
        <w:tc>
          <w:tcPr>
            <w:tcW w:w="469" w:type="pct"/>
            <w:vAlign w:val="center"/>
          </w:tcPr>
          <w:p w14:paraId="7721F6D7">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0.29</w:t>
            </w:r>
          </w:p>
        </w:tc>
        <w:tc>
          <w:tcPr>
            <w:tcW w:w="469" w:type="pct"/>
            <w:vAlign w:val="center"/>
          </w:tcPr>
          <w:p w14:paraId="6D078D9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0.19</w:t>
            </w:r>
          </w:p>
        </w:tc>
        <w:tc>
          <w:tcPr>
            <w:tcW w:w="469" w:type="pct"/>
            <w:vAlign w:val="center"/>
          </w:tcPr>
          <w:p w14:paraId="55D0B57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0.14</w:t>
            </w:r>
          </w:p>
        </w:tc>
        <w:tc>
          <w:tcPr>
            <w:tcW w:w="469" w:type="pct"/>
            <w:vAlign w:val="center"/>
          </w:tcPr>
          <w:p w14:paraId="42CDC888">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0.19</w:t>
            </w:r>
          </w:p>
        </w:tc>
        <w:tc>
          <w:tcPr>
            <w:tcW w:w="469" w:type="pct"/>
            <w:vAlign w:val="center"/>
          </w:tcPr>
          <w:p w14:paraId="6B92D56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0.21</w:t>
            </w:r>
          </w:p>
        </w:tc>
        <w:tc>
          <w:tcPr>
            <w:tcW w:w="473" w:type="pct"/>
            <w:vAlign w:val="center"/>
          </w:tcPr>
          <w:p w14:paraId="7B10F17B">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0.21</w:t>
            </w:r>
          </w:p>
        </w:tc>
      </w:tr>
    </w:tbl>
    <w:p w14:paraId="4344000E">
      <w:pPr>
        <w:spacing w:line="240" w:lineRule="auto"/>
        <w:jc w:val="center"/>
        <w:rPr>
          <w:rFonts w:hint="eastAsia" w:ascii="黑体" w:hAnsi="黑体" w:eastAsia="黑体" w:cs="黑体"/>
          <w:color w:val="auto"/>
          <w:sz w:val="24"/>
          <w:szCs w:val="24"/>
        </w:rPr>
      </w:pPr>
    </w:p>
    <w:p w14:paraId="0A13AD6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精密度试验数据汇总表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1092"/>
        <w:gridCol w:w="1262"/>
        <w:gridCol w:w="1262"/>
        <w:gridCol w:w="1404"/>
        <w:gridCol w:w="1262"/>
        <w:gridCol w:w="1430"/>
      </w:tblGrid>
      <w:tr w14:paraId="2CB2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pct"/>
            <w:gridSpan w:val="2"/>
            <w:vAlign w:val="center"/>
          </w:tcPr>
          <w:p w14:paraId="64268BE2">
            <w:pPr>
              <w:spacing w:line="240" w:lineRule="auto"/>
              <w:jc w:val="center"/>
              <w:rPr>
                <w:rFonts w:hint="eastAsia" w:ascii="宋体" w:hAnsi="宋体" w:eastAsia="宋体" w:cs="宋体"/>
                <w:color w:val="auto"/>
                <w:szCs w:val="21"/>
              </w:rPr>
            </w:pPr>
          </w:p>
          <w:p w14:paraId="7A5E9883">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试验单位</w:t>
            </w:r>
          </w:p>
        </w:tc>
        <w:tc>
          <w:tcPr>
            <w:tcW w:w="3971" w:type="pct"/>
            <w:gridSpan w:val="5"/>
            <w:vAlign w:val="center"/>
          </w:tcPr>
          <w:p w14:paraId="4A8215D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河南豫光</w:t>
            </w:r>
          </w:p>
        </w:tc>
      </w:tr>
      <w:tr w14:paraId="1B0B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pct"/>
            <w:gridSpan w:val="2"/>
            <w:vAlign w:val="center"/>
          </w:tcPr>
          <w:p w14:paraId="51651407">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试验对象</w:t>
            </w:r>
          </w:p>
        </w:tc>
        <w:tc>
          <w:tcPr>
            <w:tcW w:w="757" w:type="pct"/>
            <w:vAlign w:val="center"/>
          </w:tcPr>
          <w:p w14:paraId="2DBE2AD5">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安徽</w:t>
            </w:r>
          </w:p>
        </w:tc>
        <w:tc>
          <w:tcPr>
            <w:tcW w:w="757" w:type="pct"/>
            <w:vAlign w:val="center"/>
          </w:tcPr>
          <w:p w14:paraId="737E027F">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西藏</w:t>
            </w:r>
          </w:p>
        </w:tc>
        <w:tc>
          <w:tcPr>
            <w:tcW w:w="842" w:type="pct"/>
            <w:vAlign w:val="center"/>
          </w:tcPr>
          <w:p w14:paraId="4432A92A">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新疆</w:t>
            </w:r>
          </w:p>
        </w:tc>
        <w:tc>
          <w:tcPr>
            <w:tcW w:w="757" w:type="pct"/>
            <w:vAlign w:val="center"/>
          </w:tcPr>
          <w:p w14:paraId="669080CE">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云南</w:t>
            </w:r>
          </w:p>
        </w:tc>
        <w:tc>
          <w:tcPr>
            <w:tcW w:w="858" w:type="pct"/>
            <w:vAlign w:val="center"/>
          </w:tcPr>
          <w:p w14:paraId="50AA42CA">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江西</w:t>
            </w:r>
          </w:p>
        </w:tc>
      </w:tr>
      <w:tr w14:paraId="49A3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vMerge w:val="restart"/>
            <w:vAlign w:val="center"/>
          </w:tcPr>
          <w:p w14:paraId="2D14C1B0">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试</w:t>
            </w:r>
          </w:p>
          <w:p w14:paraId="105735B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验</w:t>
            </w:r>
          </w:p>
          <w:p w14:paraId="7CB53AFE">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结</w:t>
            </w:r>
          </w:p>
          <w:p w14:paraId="4FA53056">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果</w:t>
            </w:r>
          </w:p>
        </w:tc>
        <w:tc>
          <w:tcPr>
            <w:tcW w:w="655" w:type="pct"/>
            <w:vAlign w:val="center"/>
          </w:tcPr>
          <w:p w14:paraId="0F3C3C12">
            <w:pPr>
              <w:spacing w:line="240" w:lineRule="auto"/>
              <w:jc w:val="center"/>
              <w:rPr>
                <w:rFonts w:hint="eastAsia" w:ascii="宋体" w:hAnsi="宋体" w:eastAsia="宋体" w:cs="宋体"/>
                <w:color w:val="auto"/>
                <w:szCs w:val="21"/>
              </w:rPr>
            </w:pPr>
            <w:r>
              <w:rPr>
                <w:rFonts w:hint="eastAsia" w:ascii="宋体" w:hAnsi="宋体" w:eastAsia="宋体" w:cs="宋体"/>
                <w:color w:val="auto"/>
                <w:position w:val="-10"/>
                <w:szCs w:val="21"/>
              </w:rPr>
              <w:object>
                <v:shape id="_x0000_i1049" o:spt="75" type="#_x0000_t75" style="height:17pt;width:19.85pt;" o:ole="t" filled="f" o:preferrelative="t" stroked="f" coordsize="21600,21600">
                  <v:path/>
                  <v:fill on="f" focussize="0,0"/>
                  <v:stroke on="f" joinstyle="miter"/>
                  <v:imagedata r:id="rId45" o:title=""/>
                  <o:lock v:ext="edit" aspectratio="t"/>
                  <w10:wrap type="none"/>
                  <w10:anchorlock/>
                </v:shape>
                <o:OLEObject Type="Embed" ProgID="Equation.KSEE3" ShapeID="_x0000_i1049" DrawAspect="Content" ObjectID="_1468075749" r:id="rId44">
                  <o:LockedField>false</o:LockedField>
                </o:OLEObject>
              </w:object>
            </w:r>
          </w:p>
        </w:tc>
        <w:tc>
          <w:tcPr>
            <w:tcW w:w="757" w:type="pct"/>
            <w:vAlign w:val="center"/>
          </w:tcPr>
          <w:p w14:paraId="14D93670">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0.118</w:t>
            </w:r>
          </w:p>
        </w:tc>
        <w:tc>
          <w:tcPr>
            <w:tcW w:w="757" w:type="pct"/>
            <w:vAlign w:val="center"/>
          </w:tcPr>
          <w:p w14:paraId="6C0A2D7E">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0.033</w:t>
            </w:r>
          </w:p>
        </w:tc>
        <w:tc>
          <w:tcPr>
            <w:tcW w:w="842" w:type="pct"/>
            <w:vAlign w:val="center"/>
          </w:tcPr>
          <w:p w14:paraId="5D802D90">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0.065</w:t>
            </w:r>
          </w:p>
        </w:tc>
        <w:tc>
          <w:tcPr>
            <w:tcW w:w="757" w:type="pct"/>
            <w:vAlign w:val="center"/>
          </w:tcPr>
          <w:p w14:paraId="1960D1A5">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0.084</w:t>
            </w:r>
          </w:p>
        </w:tc>
        <w:tc>
          <w:tcPr>
            <w:tcW w:w="858" w:type="pct"/>
            <w:vAlign w:val="center"/>
          </w:tcPr>
          <w:p w14:paraId="325762BC">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0.162</w:t>
            </w:r>
          </w:p>
        </w:tc>
      </w:tr>
      <w:tr w14:paraId="69BF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vMerge w:val="continue"/>
            <w:vAlign w:val="center"/>
          </w:tcPr>
          <w:p w14:paraId="22B240AE">
            <w:pPr>
              <w:spacing w:line="240" w:lineRule="auto"/>
              <w:jc w:val="center"/>
              <w:rPr>
                <w:rFonts w:hint="eastAsia" w:ascii="宋体" w:hAnsi="宋体" w:eastAsia="宋体" w:cs="宋体"/>
                <w:color w:val="auto"/>
                <w:szCs w:val="21"/>
              </w:rPr>
            </w:pPr>
          </w:p>
        </w:tc>
        <w:tc>
          <w:tcPr>
            <w:tcW w:w="655" w:type="pct"/>
            <w:vAlign w:val="center"/>
          </w:tcPr>
          <w:p w14:paraId="2B681DD7">
            <w:pPr>
              <w:spacing w:line="240" w:lineRule="auto"/>
              <w:jc w:val="center"/>
              <w:rPr>
                <w:rFonts w:hint="eastAsia" w:ascii="宋体" w:hAnsi="宋体" w:eastAsia="宋体" w:cs="宋体"/>
                <w:color w:val="auto"/>
                <w:szCs w:val="21"/>
              </w:rPr>
            </w:pPr>
            <w:r>
              <w:rPr>
                <w:rFonts w:hint="eastAsia" w:ascii="宋体" w:hAnsi="宋体" w:eastAsia="宋体" w:cs="宋体"/>
                <w:color w:val="auto"/>
                <w:position w:val="-10"/>
                <w:szCs w:val="21"/>
              </w:rPr>
              <w:object>
                <v:shape id="_x0000_i1050" o:spt="75" type="#_x0000_t75" style="height:17pt;width:17.85pt;" o:ole="t" filled="f" o:preferrelative="t" stroked="f" coordsize="21600,21600">
                  <v:path/>
                  <v:fill on="f" focussize="0,0"/>
                  <v:stroke on="f" joinstyle="miter"/>
                  <v:imagedata r:id="rId47" o:title=""/>
                  <o:lock v:ext="edit" aspectratio="t"/>
                  <w10:wrap type="none"/>
                  <w10:anchorlock/>
                </v:shape>
                <o:OLEObject Type="Embed" ProgID="Equation.KSEE3" ShapeID="_x0000_i1050" DrawAspect="Content" ObjectID="_1468075750" r:id="rId46">
                  <o:LockedField>false</o:LockedField>
                </o:OLEObject>
              </w:object>
            </w:r>
          </w:p>
        </w:tc>
        <w:tc>
          <w:tcPr>
            <w:tcW w:w="757" w:type="pct"/>
            <w:vAlign w:val="center"/>
          </w:tcPr>
          <w:p w14:paraId="544D97A6">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0.055</w:t>
            </w:r>
          </w:p>
        </w:tc>
        <w:tc>
          <w:tcPr>
            <w:tcW w:w="757" w:type="pct"/>
            <w:vAlign w:val="center"/>
          </w:tcPr>
          <w:p w14:paraId="3FBF8D47">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0.014</w:t>
            </w:r>
          </w:p>
        </w:tc>
        <w:tc>
          <w:tcPr>
            <w:tcW w:w="842" w:type="pct"/>
            <w:vAlign w:val="center"/>
          </w:tcPr>
          <w:p w14:paraId="329BABB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0.008</w:t>
            </w:r>
          </w:p>
        </w:tc>
        <w:tc>
          <w:tcPr>
            <w:tcW w:w="757" w:type="pct"/>
            <w:vAlign w:val="center"/>
          </w:tcPr>
          <w:p w14:paraId="19168968">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0.009</w:t>
            </w:r>
          </w:p>
        </w:tc>
        <w:tc>
          <w:tcPr>
            <w:tcW w:w="858" w:type="pct"/>
            <w:vAlign w:val="center"/>
          </w:tcPr>
          <w:p w14:paraId="10A22809">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0.046</w:t>
            </w:r>
          </w:p>
        </w:tc>
      </w:tr>
      <w:tr w14:paraId="5A55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vMerge w:val="continue"/>
            <w:vAlign w:val="center"/>
          </w:tcPr>
          <w:p w14:paraId="022187ED">
            <w:pPr>
              <w:spacing w:line="240" w:lineRule="auto"/>
              <w:jc w:val="center"/>
              <w:rPr>
                <w:rFonts w:hint="eastAsia" w:ascii="宋体" w:hAnsi="宋体" w:eastAsia="宋体" w:cs="宋体"/>
                <w:color w:val="auto"/>
                <w:szCs w:val="21"/>
              </w:rPr>
            </w:pPr>
          </w:p>
        </w:tc>
        <w:tc>
          <w:tcPr>
            <w:tcW w:w="655" w:type="pct"/>
            <w:vAlign w:val="center"/>
          </w:tcPr>
          <w:p w14:paraId="5B6841D3">
            <w:pPr>
              <w:spacing w:line="240" w:lineRule="auto"/>
              <w:jc w:val="center"/>
              <w:rPr>
                <w:rFonts w:hint="eastAsia" w:ascii="宋体" w:hAnsi="宋体" w:eastAsia="宋体" w:cs="宋体"/>
                <w:color w:val="auto"/>
                <w:szCs w:val="21"/>
              </w:rPr>
            </w:pPr>
            <w:r>
              <w:rPr>
                <w:rFonts w:hint="eastAsia" w:ascii="宋体" w:hAnsi="宋体" w:eastAsia="宋体" w:cs="宋体"/>
                <w:color w:val="auto"/>
                <w:position w:val="-6"/>
                <w:szCs w:val="21"/>
              </w:rPr>
              <w:object>
                <v:shape id="_x0000_i1051" o:spt="75" type="#_x0000_t75" style="height:16.15pt;width:19.85pt;" o:ole="t" filled="f" o:preferrelative="t" stroked="f" coordsize="21600,21600">
                  <v:path/>
                  <v:fill on="f" focussize="0,0"/>
                  <v:stroke on="f" joinstyle="miter"/>
                  <v:imagedata r:id="rId49" o:title=""/>
                  <o:lock v:ext="edit" aspectratio="t"/>
                  <w10:wrap type="none"/>
                  <w10:anchorlock/>
                </v:shape>
                <o:OLEObject Type="Embed" ProgID="Equation.KSEE3" ShapeID="_x0000_i1051" DrawAspect="Content" ObjectID="_1468075751" r:id="rId48">
                  <o:LockedField>false</o:LockedField>
                </o:OLEObject>
              </w:object>
            </w:r>
          </w:p>
        </w:tc>
        <w:tc>
          <w:tcPr>
            <w:tcW w:w="757" w:type="pct"/>
            <w:vAlign w:val="center"/>
          </w:tcPr>
          <w:p w14:paraId="49B2145F">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0.028</w:t>
            </w:r>
          </w:p>
        </w:tc>
        <w:tc>
          <w:tcPr>
            <w:tcW w:w="757" w:type="pct"/>
            <w:vAlign w:val="center"/>
          </w:tcPr>
          <w:p w14:paraId="4FC44D63">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0.006</w:t>
            </w:r>
          </w:p>
        </w:tc>
        <w:tc>
          <w:tcPr>
            <w:tcW w:w="842" w:type="pct"/>
            <w:vAlign w:val="center"/>
          </w:tcPr>
          <w:p w14:paraId="38D9B6BE">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0.030</w:t>
            </w:r>
          </w:p>
        </w:tc>
        <w:tc>
          <w:tcPr>
            <w:tcW w:w="757" w:type="pct"/>
            <w:vAlign w:val="center"/>
          </w:tcPr>
          <w:p w14:paraId="13446075">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0.015</w:t>
            </w:r>
          </w:p>
        </w:tc>
        <w:tc>
          <w:tcPr>
            <w:tcW w:w="858" w:type="pct"/>
            <w:vAlign w:val="center"/>
          </w:tcPr>
          <w:p w14:paraId="41351C48">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0.075</w:t>
            </w:r>
          </w:p>
        </w:tc>
      </w:tr>
      <w:tr w14:paraId="3352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vMerge w:val="continue"/>
            <w:vAlign w:val="center"/>
          </w:tcPr>
          <w:p w14:paraId="1D463C14">
            <w:pPr>
              <w:spacing w:line="240" w:lineRule="auto"/>
              <w:jc w:val="center"/>
              <w:rPr>
                <w:rFonts w:hint="eastAsia" w:ascii="宋体" w:hAnsi="宋体" w:eastAsia="宋体" w:cs="宋体"/>
                <w:color w:val="auto"/>
                <w:szCs w:val="21"/>
              </w:rPr>
            </w:pPr>
          </w:p>
        </w:tc>
        <w:tc>
          <w:tcPr>
            <w:tcW w:w="655" w:type="pct"/>
            <w:vAlign w:val="center"/>
          </w:tcPr>
          <w:p w14:paraId="2A7B943F">
            <w:pPr>
              <w:spacing w:line="240" w:lineRule="auto"/>
              <w:jc w:val="center"/>
              <w:rPr>
                <w:rFonts w:hint="eastAsia" w:ascii="宋体" w:hAnsi="宋体" w:eastAsia="宋体" w:cs="宋体"/>
                <w:color w:val="auto"/>
                <w:szCs w:val="21"/>
              </w:rPr>
            </w:pPr>
            <w:r>
              <w:rPr>
                <w:rFonts w:hint="eastAsia" w:ascii="宋体" w:hAnsi="宋体" w:eastAsia="宋体" w:cs="宋体"/>
                <w:color w:val="auto"/>
                <w:position w:val="-12"/>
                <w:szCs w:val="21"/>
              </w:rPr>
              <w:object>
                <v:shape id="_x0000_i1052" o:spt="75" type="#_x0000_t75" style="height:18.15pt;width:16.7pt;" o:ole="t" filled="f" o:preferrelative="t" stroked="f" coordsize="21600,21600">
                  <v:path/>
                  <v:fill on="f" focussize="0,0"/>
                  <v:stroke on="f" joinstyle="miter"/>
                  <v:imagedata r:id="rId51" o:title=""/>
                  <o:lock v:ext="edit" aspectratio="t"/>
                  <w10:wrap type="none"/>
                  <w10:anchorlock/>
                </v:shape>
                <o:OLEObject Type="Embed" ProgID="Equation.KSEE3" ShapeID="_x0000_i1052" DrawAspect="Content" ObjectID="_1468075752" r:id="rId50">
                  <o:LockedField>false</o:LockedField>
                </o:OLEObject>
              </w:object>
            </w:r>
          </w:p>
        </w:tc>
        <w:tc>
          <w:tcPr>
            <w:tcW w:w="757" w:type="pct"/>
            <w:vAlign w:val="center"/>
          </w:tcPr>
          <w:p w14:paraId="61F30B94">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0.0201</w:t>
            </w:r>
          </w:p>
        </w:tc>
        <w:tc>
          <w:tcPr>
            <w:tcW w:w="757" w:type="pct"/>
            <w:vAlign w:val="center"/>
          </w:tcPr>
          <w:p w14:paraId="44100CA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0.004</w:t>
            </w:r>
          </w:p>
        </w:tc>
        <w:tc>
          <w:tcPr>
            <w:tcW w:w="842" w:type="pct"/>
            <w:vAlign w:val="center"/>
          </w:tcPr>
          <w:p w14:paraId="36C30F8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0.021</w:t>
            </w:r>
          </w:p>
        </w:tc>
        <w:tc>
          <w:tcPr>
            <w:tcW w:w="757" w:type="pct"/>
            <w:vAlign w:val="center"/>
          </w:tcPr>
          <w:p w14:paraId="7436ACB7">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0.0105</w:t>
            </w:r>
          </w:p>
        </w:tc>
        <w:tc>
          <w:tcPr>
            <w:tcW w:w="858" w:type="pct"/>
            <w:vAlign w:val="center"/>
          </w:tcPr>
          <w:p w14:paraId="708CD50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0.0532</w:t>
            </w:r>
          </w:p>
        </w:tc>
      </w:tr>
      <w:tr w14:paraId="01DA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vMerge w:val="continue"/>
            <w:vAlign w:val="center"/>
          </w:tcPr>
          <w:p w14:paraId="11E6911B">
            <w:pPr>
              <w:spacing w:line="240" w:lineRule="auto"/>
              <w:jc w:val="center"/>
              <w:rPr>
                <w:rFonts w:hint="eastAsia" w:ascii="宋体" w:hAnsi="宋体" w:eastAsia="宋体" w:cs="宋体"/>
                <w:color w:val="auto"/>
                <w:szCs w:val="21"/>
              </w:rPr>
            </w:pPr>
          </w:p>
        </w:tc>
        <w:tc>
          <w:tcPr>
            <w:tcW w:w="655" w:type="pct"/>
            <w:vAlign w:val="center"/>
          </w:tcPr>
          <w:p w14:paraId="55596324">
            <w:pPr>
              <w:spacing w:line="240" w:lineRule="auto"/>
              <w:jc w:val="center"/>
              <w:rPr>
                <w:rFonts w:hint="eastAsia" w:ascii="宋体" w:hAnsi="宋体" w:eastAsia="宋体" w:cs="宋体"/>
                <w:color w:val="auto"/>
                <w:szCs w:val="21"/>
              </w:rPr>
            </w:pPr>
            <w:r>
              <w:rPr>
                <w:rFonts w:hint="eastAsia" w:ascii="宋体" w:hAnsi="宋体" w:eastAsia="宋体" w:cs="宋体"/>
                <w:color w:val="auto"/>
                <w:position w:val="-10"/>
                <w:szCs w:val="21"/>
              </w:rPr>
              <w:object>
                <v:shape id="_x0000_i1053" o:spt="75" type="#_x0000_t75" style="height:17pt;width:19.85pt;" o:ole="t" filled="f" o:preferrelative="t" stroked="f" coordsize="21600,21600">
                  <v:path/>
                  <v:fill on="f" focussize="0,0"/>
                  <v:stroke on="f" joinstyle="miter"/>
                  <v:imagedata r:id="rId53" o:title=""/>
                  <o:lock v:ext="edit" aspectratio="t"/>
                  <w10:wrap type="none"/>
                  <w10:anchorlock/>
                </v:shape>
                <o:OLEObject Type="Embed" ProgID="Equation.KSEE3" ShapeID="_x0000_i1053" DrawAspect="Content" ObjectID="_1468075753" r:id="rId52">
                  <o:LockedField>false</o:LockedField>
                </o:OLEObject>
              </w:object>
            </w:r>
          </w:p>
        </w:tc>
        <w:tc>
          <w:tcPr>
            <w:tcW w:w="757" w:type="pct"/>
            <w:vAlign w:val="center"/>
          </w:tcPr>
          <w:p w14:paraId="613D4DF8">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0.176</w:t>
            </w:r>
          </w:p>
        </w:tc>
        <w:tc>
          <w:tcPr>
            <w:tcW w:w="757" w:type="pct"/>
            <w:vAlign w:val="center"/>
          </w:tcPr>
          <w:p w14:paraId="07E50088">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0.066</w:t>
            </w:r>
          </w:p>
        </w:tc>
        <w:tc>
          <w:tcPr>
            <w:tcW w:w="842" w:type="pct"/>
            <w:vAlign w:val="center"/>
          </w:tcPr>
          <w:p w14:paraId="77522849">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0.129</w:t>
            </w:r>
          </w:p>
        </w:tc>
        <w:tc>
          <w:tcPr>
            <w:tcW w:w="757" w:type="pct"/>
            <w:vAlign w:val="center"/>
          </w:tcPr>
          <w:p w14:paraId="25E07248">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0.168</w:t>
            </w:r>
          </w:p>
        </w:tc>
        <w:tc>
          <w:tcPr>
            <w:tcW w:w="858" w:type="pct"/>
            <w:vAlign w:val="center"/>
          </w:tcPr>
          <w:p w14:paraId="2E8CEE14">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0.323</w:t>
            </w:r>
          </w:p>
        </w:tc>
      </w:tr>
      <w:tr w14:paraId="0380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vMerge w:val="continue"/>
            <w:vAlign w:val="center"/>
          </w:tcPr>
          <w:p w14:paraId="42A921C6">
            <w:pPr>
              <w:spacing w:line="240" w:lineRule="auto"/>
              <w:jc w:val="center"/>
              <w:rPr>
                <w:rFonts w:hint="eastAsia" w:ascii="宋体" w:hAnsi="宋体" w:eastAsia="宋体" w:cs="宋体"/>
                <w:color w:val="auto"/>
                <w:szCs w:val="21"/>
              </w:rPr>
            </w:pPr>
          </w:p>
        </w:tc>
        <w:tc>
          <w:tcPr>
            <w:tcW w:w="655" w:type="pct"/>
            <w:vAlign w:val="center"/>
          </w:tcPr>
          <w:p w14:paraId="6D816E50">
            <w:pPr>
              <w:spacing w:line="240" w:lineRule="auto"/>
              <w:jc w:val="center"/>
              <w:rPr>
                <w:rFonts w:hint="eastAsia" w:ascii="宋体" w:hAnsi="宋体" w:eastAsia="宋体" w:cs="宋体"/>
                <w:color w:val="auto"/>
                <w:szCs w:val="21"/>
              </w:rPr>
            </w:pPr>
            <w:r>
              <w:rPr>
                <w:rFonts w:hint="eastAsia" w:ascii="宋体" w:hAnsi="宋体" w:eastAsia="宋体" w:cs="宋体"/>
                <w:color w:val="auto"/>
                <w:position w:val="-10"/>
                <w:szCs w:val="21"/>
              </w:rPr>
              <w:object>
                <v:shape id="_x0000_i1054" o:spt="75" type="#_x0000_t75" style="height:17pt;width:17.85pt;" o:ole="t" filled="f" o:preferrelative="t" stroked="f" coordsize="21600,21600">
                  <v:path/>
                  <v:fill on="f" focussize="0,0"/>
                  <v:stroke on="f" joinstyle="miter"/>
                  <v:imagedata r:id="rId31" o:title=""/>
                  <o:lock v:ext="edit" aspectratio="t"/>
                  <w10:wrap type="none"/>
                  <w10:anchorlock/>
                </v:shape>
                <o:OLEObject Type="Embed" ProgID="Equation.KSEE3" ShapeID="_x0000_i1054" DrawAspect="Content" ObjectID="_1468075754" r:id="rId54">
                  <o:LockedField>false</o:LockedField>
                </o:OLEObject>
              </w:object>
            </w:r>
          </w:p>
        </w:tc>
        <w:tc>
          <w:tcPr>
            <w:tcW w:w="757" w:type="pct"/>
            <w:vAlign w:val="center"/>
          </w:tcPr>
          <w:p w14:paraId="1971EB8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0.110</w:t>
            </w:r>
          </w:p>
        </w:tc>
        <w:tc>
          <w:tcPr>
            <w:tcW w:w="757" w:type="pct"/>
            <w:vAlign w:val="center"/>
          </w:tcPr>
          <w:p w14:paraId="426636B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0.028</w:t>
            </w:r>
          </w:p>
        </w:tc>
        <w:tc>
          <w:tcPr>
            <w:tcW w:w="842" w:type="pct"/>
            <w:vAlign w:val="center"/>
          </w:tcPr>
          <w:p w14:paraId="664D2686">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0.017</w:t>
            </w:r>
          </w:p>
        </w:tc>
        <w:tc>
          <w:tcPr>
            <w:tcW w:w="757" w:type="pct"/>
            <w:vAlign w:val="center"/>
          </w:tcPr>
          <w:p w14:paraId="38CBD70B">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0.018</w:t>
            </w:r>
          </w:p>
        </w:tc>
        <w:tc>
          <w:tcPr>
            <w:tcW w:w="858" w:type="pct"/>
            <w:vAlign w:val="center"/>
          </w:tcPr>
          <w:p w14:paraId="7F059E34">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0.091</w:t>
            </w:r>
          </w:p>
        </w:tc>
      </w:tr>
      <w:tr w14:paraId="5761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vMerge w:val="continue"/>
            <w:vAlign w:val="center"/>
          </w:tcPr>
          <w:p w14:paraId="63FB8830">
            <w:pPr>
              <w:spacing w:line="240" w:lineRule="auto"/>
              <w:jc w:val="center"/>
              <w:rPr>
                <w:rFonts w:hint="eastAsia" w:ascii="宋体" w:hAnsi="宋体" w:eastAsia="宋体" w:cs="宋体"/>
                <w:color w:val="auto"/>
                <w:szCs w:val="21"/>
              </w:rPr>
            </w:pPr>
          </w:p>
        </w:tc>
        <w:tc>
          <w:tcPr>
            <w:tcW w:w="655" w:type="pct"/>
            <w:vAlign w:val="center"/>
          </w:tcPr>
          <w:p w14:paraId="43A48556">
            <w:pPr>
              <w:spacing w:line="240" w:lineRule="auto"/>
              <w:jc w:val="center"/>
              <w:rPr>
                <w:rFonts w:hint="eastAsia" w:ascii="宋体" w:hAnsi="宋体" w:eastAsia="宋体" w:cs="宋体"/>
                <w:color w:val="auto"/>
                <w:szCs w:val="21"/>
              </w:rPr>
            </w:pPr>
            <w:r>
              <w:rPr>
                <w:rFonts w:hint="eastAsia" w:ascii="宋体" w:hAnsi="宋体" w:eastAsia="宋体" w:cs="宋体"/>
                <w:color w:val="auto"/>
                <w:position w:val="-12"/>
                <w:szCs w:val="21"/>
              </w:rPr>
              <w:object>
                <v:shape id="_x0000_i1055" o:spt="75" type="#_x0000_t75" style="height:18.15pt;width:16.7pt;" o:ole="t" filled="f" o:preferrelative="t" stroked="f" coordsize="21600,21600">
                  <v:path/>
                  <v:fill on="f" focussize="0,0"/>
                  <v:stroke on="f" joinstyle="miter"/>
                  <v:imagedata r:id="rId33" o:title=""/>
                  <o:lock v:ext="edit" aspectratio="t"/>
                  <w10:wrap type="none"/>
                  <w10:anchorlock/>
                </v:shape>
                <o:OLEObject Type="Embed" ProgID="Equation.KSEE3" ShapeID="_x0000_i1055" DrawAspect="Content" ObjectID="_1468075755" r:id="rId55">
                  <o:LockedField>false</o:LockedField>
                </o:OLEObject>
              </w:object>
            </w:r>
          </w:p>
        </w:tc>
        <w:tc>
          <w:tcPr>
            <w:tcW w:w="757" w:type="pct"/>
            <w:vAlign w:val="center"/>
          </w:tcPr>
          <w:p w14:paraId="199BFD4D">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0.040</w:t>
            </w:r>
          </w:p>
        </w:tc>
        <w:tc>
          <w:tcPr>
            <w:tcW w:w="757" w:type="pct"/>
            <w:vAlign w:val="center"/>
          </w:tcPr>
          <w:p w14:paraId="10512A46">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0.008</w:t>
            </w:r>
          </w:p>
        </w:tc>
        <w:tc>
          <w:tcPr>
            <w:tcW w:w="842" w:type="pct"/>
            <w:vAlign w:val="center"/>
          </w:tcPr>
          <w:p w14:paraId="14CF74DB">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0.042</w:t>
            </w:r>
          </w:p>
        </w:tc>
        <w:tc>
          <w:tcPr>
            <w:tcW w:w="757" w:type="pct"/>
            <w:vAlign w:val="center"/>
          </w:tcPr>
          <w:p w14:paraId="75C2BC96">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0.021</w:t>
            </w:r>
          </w:p>
        </w:tc>
        <w:tc>
          <w:tcPr>
            <w:tcW w:w="858" w:type="pct"/>
            <w:vAlign w:val="center"/>
          </w:tcPr>
          <w:p w14:paraId="4AC9CE30">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0.106</w:t>
            </w:r>
          </w:p>
        </w:tc>
      </w:tr>
      <w:tr w14:paraId="22E6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vMerge w:val="continue"/>
            <w:vAlign w:val="center"/>
          </w:tcPr>
          <w:p w14:paraId="55A299CE">
            <w:pPr>
              <w:spacing w:line="240" w:lineRule="auto"/>
              <w:jc w:val="center"/>
              <w:rPr>
                <w:rFonts w:hint="eastAsia" w:ascii="宋体" w:hAnsi="宋体" w:eastAsia="宋体" w:cs="宋体"/>
                <w:color w:val="auto"/>
                <w:szCs w:val="21"/>
              </w:rPr>
            </w:pPr>
          </w:p>
        </w:tc>
        <w:tc>
          <w:tcPr>
            <w:tcW w:w="655" w:type="pct"/>
            <w:vAlign w:val="center"/>
          </w:tcPr>
          <w:p w14:paraId="59F361FB">
            <w:pPr>
              <w:spacing w:line="240" w:lineRule="auto"/>
              <w:jc w:val="center"/>
              <w:rPr>
                <w:rFonts w:hint="eastAsia" w:ascii="宋体" w:hAnsi="宋体" w:eastAsia="宋体" w:cs="宋体"/>
                <w:color w:val="auto"/>
                <w:szCs w:val="21"/>
              </w:rPr>
            </w:pPr>
            <w:r>
              <w:rPr>
                <w:rFonts w:hint="eastAsia" w:ascii="宋体" w:hAnsi="宋体" w:eastAsia="宋体" w:cs="宋体"/>
                <w:color w:val="auto"/>
                <w:position w:val="-12"/>
                <w:szCs w:val="21"/>
              </w:rPr>
              <w:object>
                <v:shape id="_x0000_i1056" o:spt="75" type="#_x0000_t75" style="height:18.15pt;width:27.35pt;" o:ole="t" filled="f" o:preferrelative="t" stroked="f" coordsize="21600,21600">
                  <v:path/>
                  <v:fill on="f" focussize="0,0"/>
                  <v:stroke on="f" joinstyle="miter"/>
                  <v:imagedata r:id="rId57" o:title=""/>
                  <o:lock v:ext="edit" aspectratio="t"/>
                  <w10:wrap type="none"/>
                  <w10:anchorlock/>
                </v:shape>
                <o:OLEObject Type="Embed" ProgID="Equation.KSEE3" ShapeID="_x0000_i1056" DrawAspect="Content" ObjectID="_1468075756" r:id="rId56">
                  <o:LockedField>false</o:LockedField>
                </o:OLEObject>
              </w:object>
            </w:r>
          </w:p>
        </w:tc>
        <w:tc>
          <w:tcPr>
            <w:tcW w:w="757" w:type="pct"/>
            <w:vAlign w:val="center"/>
          </w:tcPr>
          <w:p w14:paraId="6902B478">
            <w:pPr>
              <w:widowControl/>
              <w:spacing w:line="240" w:lineRule="auto"/>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0.105</w:t>
            </w:r>
          </w:p>
        </w:tc>
        <w:tc>
          <w:tcPr>
            <w:tcW w:w="757" w:type="pct"/>
            <w:vAlign w:val="center"/>
          </w:tcPr>
          <w:p w14:paraId="27D25B14">
            <w:pPr>
              <w:widowControl/>
              <w:spacing w:line="240" w:lineRule="auto"/>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0.036</w:t>
            </w:r>
          </w:p>
        </w:tc>
        <w:tc>
          <w:tcPr>
            <w:tcW w:w="842" w:type="pct"/>
            <w:vAlign w:val="center"/>
          </w:tcPr>
          <w:p w14:paraId="4BFCCEEE">
            <w:pPr>
              <w:widowControl/>
              <w:spacing w:line="240" w:lineRule="auto"/>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0.0686</w:t>
            </w:r>
          </w:p>
        </w:tc>
        <w:tc>
          <w:tcPr>
            <w:tcW w:w="757" w:type="pct"/>
            <w:vAlign w:val="center"/>
          </w:tcPr>
          <w:p w14:paraId="3C9B50EF">
            <w:pPr>
              <w:widowControl/>
              <w:spacing w:line="240" w:lineRule="auto"/>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0.085</w:t>
            </w:r>
          </w:p>
        </w:tc>
        <w:tc>
          <w:tcPr>
            <w:tcW w:w="858" w:type="pct"/>
            <w:vAlign w:val="center"/>
          </w:tcPr>
          <w:p w14:paraId="2D7CBDD0">
            <w:pPr>
              <w:widowControl/>
              <w:spacing w:line="240" w:lineRule="auto"/>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0.176</w:t>
            </w:r>
          </w:p>
        </w:tc>
      </w:tr>
      <w:tr w14:paraId="57EA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vMerge w:val="continue"/>
            <w:vAlign w:val="center"/>
          </w:tcPr>
          <w:p w14:paraId="7D3C9674">
            <w:pPr>
              <w:spacing w:line="240" w:lineRule="auto"/>
              <w:jc w:val="center"/>
              <w:rPr>
                <w:rFonts w:hint="eastAsia" w:ascii="宋体" w:hAnsi="宋体" w:eastAsia="宋体" w:cs="宋体"/>
                <w:color w:val="auto"/>
                <w:szCs w:val="21"/>
              </w:rPr>
            </w:pPr>
          </w:p>
        </w:tc>
        <w:tc>
          <w:tcPr>
            <w:tcW w:w="655" w:type="pct"/>
            <w:vAlign w:val="center"/>
          </w:tcPr>
          <w:p w14:paraId="1864E956">
            <w:pPr>
              <w:spacing w:line="240" w:lineRule="auto"/>
              <w:jc w:val="center"/>
              <w:rPr>
                <w:rFonts w:hint="eastAsia" w:ascii="宋体" w:hAnsi="宋体" w:eastAsia="宋体" w:cs="宋体"/>
                <w:color w:val="auto"/>
                <w:szCs w:val="21"/>
              </w:rPr>
            </w:pPr>
            <w:r>
              <w:rPr>
                <w:rFonts w:hint="eastAsia" w:ascii="宋体" w:hAnsi="宋体" w:eastAsia="宋体" w:cs="宋体"/>
                <w:color w:val="auto"/>
                <w:position w:val="-12"/>
                <w:szCs w:val="21"/>
              </w:rPr>
              <w:object>
                <v:shape id="_x0000_i1057" o:spt="75" type="#_x0000_t75" style="height:18.15pt;width:27.35pt;" o:ole="t" filled="f" o:preferrelative="t" stroked="f" coordsize="21600,21600">
                  <v:path/>
                  <v:fill on="f" focussize="0,0"/>
                  <v:stroke on="f" joinstyle="miter"/>
                  <v:imagedata r:id="rId35" o:title=""/>
                  <o:lock v:ext="edit" aspectratio="t"/>
                  <w10:wrap type="none"/>
                  <w10:anchorlock/>
                </v:shape>
                <o:OLEObject Type="Embed" ProgID="Equation.KSEE3" ShapeID="_x0000_i1057" DrawAspect="Content" ObjectID="_1468075757" r:id="rId58">
                  <o:LockedField>false</o:LockedField>
                </o:OLEObject>
              </w:object>
            </w:r>
          </w:p>
        </w:tc>
        <w:tc>
          <w:tcPr>
            <w:tcW w:w="757" w:type="pct"/>
            <w:vAlign w:val="center"/>
          </w:tcPr>
          <w:p w14:paraId="7258523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0.211</w:t>
            </w:r>
          </w:p>
        </w:tc>
        <w:tc>
          <w:tcPr>
            <w:tcW w:w="757" w:type="pct"/>
            <w:vAlign w:val="center"/>
          </w:tcPr>
          <w:p w14:paraId="41562CB8">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0.072</w:t>
            </w:r>
          </w:p>
        </w:tc>
        <w:tc>
          <w:tcPr>
            <w:tcW w:w="842" w:type="pct"/>
            <w:vAlign w:val="center"/>
          </w:tcPr>
          <w:p w14:paraId="21FE5FB2">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0.137</w:t>
            </w:r>
          </w:p>
        </w:tc>
        <w:tc>
          <w:tcPr>
            <w:tcW w:w="757" w:type="pct"/>
            <w:vAlign w:val="center"/>
          </w:tcPr>
          <w:p w14:paraId="36A9E2C4">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0.170</w:t>
            </w:r>
          </w:p>
        </w:tc>
        <w:tc>
          <w:tcPr>
            <w:tcW w:w="858" w:type="pct"/>
            <w:vAlign w:val="center"/>
          </w:tcPr>
          <w:p w14:paraId="2E6D4E66">
            <w:pPr>
              <w:spacing w:line="240" w:lineRule="auto"/>
              <w:jc w:val="center"/>
              <w:rPr>
                <w:rFonts w:hint="eastAsia" w:ascii="宋体" w:hAnsi="宋体" w:eastAsia="宋体" w:cs="宋体"/>
                <w:color w:val="auto"/>
                <w:szCs w:val="21"/>
              </w:rPr>
            </w:pPr>
            <w:r>
              <w:rPr>
                <w:rFonts w:hint="eastAsia" w:ascii="宋体" w:hAnsi="宋体" w:eastAsia="宋体" w:cs="宋体"/>
                <w:color w:val="auto"/>
                <w:szCs w:val="21"/>
              </w:rPr>
              <w:t>0.352</w:t>
            </w:r>
          </w:p>
        </w:tc>
      </w:tr>
    </w:tbl>
    <w:p w14:paraId="554975BB">
      <w:pPr>
        <w:spacing w:line="24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《品质波动试验汇总表》显示，</w:t>
      </w:r>
      <w:r>
        <w:rPr>
          <w:rFonts w:hint="eastAsia" w:ascii="宋体" w:hAnsi="宋体" w:eastAsia="宋体" w:cs="宋体"/>
          <w:color w:val="auto"/>
          <w:szCs w:val="21"/>
          <w:lang w:val="en-US" w:eastAsia="zh-CN"/>
        </w:rPr>
        <w:t>品质波动</w:t>
      </w:r>
      <w:r>
        <w:rPr>
          <w:rFonts w:hint="eastAsia" w:ascii="宋体" w:hAnsi="宋体" w:eastAsia="宋体" w:cs="宋体"/>
          <w:color w:val="auto"/>
          <w:szCs w:val="21"/>
        </w:rPr>
        <w:t>值范围为0.126～1.728；其中0.50以下的占47.3%，0.5～1.0之间的占39.2%，1～2.0之间的占13.5%。由此将品质波动类型划分为大、中、小三种类型，即</w:t>
      </w:r>
      <w:r>
        <w:rPr>
          <w:rFonts w:hint="eastAsia" w:ascii="宋体" w:hAnsi="宋体" w:eastAsia="宋体" w:cs="宋体"/>
          <w:color w:val="auto"/>
          <w:szCs w:val="21"/>
          <w:lang w:val="en-US" w:eastAsia="zh-CN"/>
        </w:rPr>
        <w:t>品质波动</w:t>
      </w:r>
      <w:r>
        <w:rPr>
          <w:rFonts w:hint="eastAsia" w:ascii="宋体" w:hAnsi="宋体" w:eastAsia="宋体" w:cs="宋体"/>
          <w:color w:val="auto"/>
          <w:szCs w:val="21"/>
        </w:rPr>
        <w:t>≤0.50为小，0.5＜</w:t>
      </w:r>
      <w:r>
        <w:rPr>
          <w:rFonts w:hint="eastAsia" w:ascii="宋体" w:hAnsi="宋体" w:eastAsia="宋体" w:cs="宋体"/>
          <w:color w:val="auto"/>
          <w:szCs w:val="21"/>
          <w:lang w:val="en-US" w:eastAsia="zh-CN"/>
        </w:rPr>
        <w:t>品质波动</w:t>
      </w:r>
      <w:r>
        <w:rPr>
          <w:rFonts w:hint="eastAsia" w:ascii="宋体" w:hAnsi="宋体" w:eastAsia="宋体" w:cs="宋体"/>
          <w:color w:val="auto"/>
          <w:szCs w:val="21"/>
        </w:rPr>
        <w:t>≤1.0为中，</w:t>
      </w:r>
      <w:r>
        <w:rPr>
          <w:rFonts w:hint="eastAsia" w:ascii="宋体" w:hAnsi="宋体" w:eastAsia="宋体" w:cs="宋体"/>
          <w:color w:val="auto"/>
          <w:szCs w:val="21"/>
          <w:lang w:val="en-US" w:eastAsia="zh-CN"/>
        </w:rPr>
        <w:t>品质波动</w:t>
      </w:r>
      <w:r>
        <w:rPr>
          <w:rFonts w:hint="eastAsia" w:ascii="黑体" w:hAnsi="黑体" w:eastAsia="黑体" w:cs="黑体"/>
          <w:color w:val="auto"/>
          <w:szCs w:val="21"/>
        </w:rPr>
        <w:t>＞</w:t>
      </w:r>
      <w:r>
        <w:rPr>
          <w:rFonts w:hint="eastAsia" w:ascii="宋体" w:hAnsi="宋体" w:eastAsia="宋体" w:cs="宋体"/>
          <w:color w:val="auto"/>
          <w:szCs w:val="21"/>
        </w:rPr>
        <w:t>1.0为大。</w:t>
      </w:r>
    </w:p>
    <w:p w14:paraId="20935B5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20" w:firstLineChars="200"/>
        <w:jc w:val="both"/>
        <w:textAlignment w:val="auto"/>
        <w:rPr>
          <w:rFonts w:hint="eastAsia" w:hAnsi="黑体" w:cs="黑体" w:eastAsiaTheme="minorEastAsia"/>
          <w:bCs w:val="0"/>
          <w:color w:val="auto"/>
          <w:szCs w:val="21"/>
          <w:u w:val="none"/>
          <w:lang w:val="en-US" w:eastAsia="zh-CN"/>
        </w:rPr>
      </w:pPr>
      <w:r>
        <w:rPr>
          <w:rFonts w:hint="eastAsia" w:ascii="宋体" w:hAnsi="宋体" w:eastAsia="宋体" w:cs="宋体"/>
          <w:color w:val="auto"/>
          <w:szCs w:val="21"/>
        </w:rPr>
        <w:t>《精密度试验汇总表》显示，</w:t>
      </w:r>
      <w:r>
        <w:rPr>
          <w:rFonts w:hint="eastAsia" w:ascii="宋体" w:hAnsi="宋体" w:eastAsia="宋体" w:cs="宋体"/>
          <w:color w:val="auto"/>
          <w:szCs w:val="21"/>
          <w:lang w:val="en-US" w:eastAsia="zh-CN"/>
        </w:rPr>
        <w:t>总精密度</w:t>
      </w:r>
      <w:r>
        <w:rPr>
          <w:rFonts w:hint="eastAsia" w:ascii="宋体" w:hAnsi="宋体" w:eastAsia="宋体" w:cs="宋体"/>
          <w:color w:val="auto"/>
          <w:szCs w:val="21"/>
        </w:rPr>
        <w:t>范围为0.196～0.989。所以根据试验结果，结合日常工作时间，确定取样、制样及总精密度为0.50%。</w:t>
      </w:r>
    </w:p>
    <w:p w14:paraId="74BAC4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hAnsi="黑体" w:cs="黑体"/>
          <w:b/>
          <w:bCs/>
          <w:color w:val="auto"/>
          <w:szCs w:val="21"/>
          <w:u w:val="none"/>
          <w:lang w:val="en-US" w:eastAsia="zh-CN"/>
        </w:rPr>
      </w:pPr>
      <w:r>
        <w:rPr>
          <w:rFonts w:hint="eastAsia" w:ascii="黑体" w:hAnsi="黑体" w:eastAsia="黑体" w:cs="黑体"/>
          <w:color w:val="auto"/>
          <w:kern w:val="0"/>
          <w:sz w:val="21"/>
          <w:szCs w:val="21"/>
          <w:lang w:val="en-US" w:eastAsia="zh-CN" w:bidi="ar-SA"/>
        </w:rPr>
        <w:t xml:space="preserve">1.4.3.3.3  </w:t>
      </w:r>
      <w:r>
        <w:rPr>
          <w:rFonts w:hint="eastAsia" w:hAnsi="黑体" w:cs="黑体"/>
          <w:b/>
          <w:bCs/>
          <w:color w:val="auto"/>
          <w:szCs w:val="21"/>
          <w:u w:val="none"/>
          <w:lang w:val="en-US" w:eastAsia="zh-CN"/>
        </w:rPr>
        <w:t>锌组试验</w:t>
      </w:r>
    </w:p>
    <w:p w14:paraId="26B1D28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20" w:firstLineChars="200"/>
        <w:jc w:val="both"/>
        <w:textAlignment w:val="auto"/>
        <w:rPr>
          <w:rFonts w:hint="eastAsia" w:hAnsi="黑体" w:cs="黑体" w:eastAsiaTheme="minorEastAsia"/>
          <w:bCs w:val="0"/>
          <w:color w:val="auto"/>
          <w:szCs w:val="21"/>
          <w:u w:val="none"/>
          <w:lang w:val="en-US" w:eastAsia="zh-CN"/>
        </w:rPr>
      </w:pPr>
      <w:r>
        <w:rPr>
          <w:rFonts w:hint="eastAsia" w:hAnsi="黑体" w:cs="黑体" w:eastAsiaTheme="minorEastAsia"/>
          <w:bCs w:val="0"/>
          <w:color w:val="auto"/>
          <w:szCs w:val="21"/>
          <w:u w:val="none"/>
          <w:lang w:val="en-US" w:eastAsia="zh-CN"/>
        </w:rPr>
        <w:t>锌</w:t>
      </w:r>
      <w:r>
        <w:rPr>
          <w:rFonts w:hint="eastAsia" w:hAnsi="黑体" w:cs="黑体"/>
          <w:bCs w:val="0"/>
          <w:color w:val="auto"/>
          <w:szCs w:val="21"/>
          <w:u w:val="none"/>
          <w:lang w:val="en-US" w:eastAsia="zh-CN"/>
        </w:rPr>
        <w:t>组试验由</w:t>
      </w:r>
      <w:r>
        <w:rPr>
          <w:rFonts w:hint="eastAsia" w:hAnsi="黑体" w:cs="黑体" w:eastAsiaTheme="minorEastAsia"/>
          <w:bCs w:val="0"/>
          <w:color w:val="auto"/>
          <w:szCs w:val="21"/>
          <w:u w:val="none"/>
          <w:lang w:val="en-US" w:eastAsia="zh-CN"/>
        </w:rPr>
        <w:t>葫芦岛锌业股份有限公司牵头负责，南丹县南方有色金属有限责任公司、云南云铜锌业股份有限公司、云南驰宏锌锗股份有限公司、株洲冶炼集团股份有限公司、深圳市中金岭南有色金属股份有限公司韶关冶炼厂等单位参加试验数据汇总如下：</w:t>
      </w:r>
    </w:p>
    <w:p w14:paraId="6CA1CF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大批量品质波动实验数据汇总表</w:t>
      </w:r>
    </w:p>
    <w:tbl>
      <w:tblPr>
        <w:tblStyle w:val="11"/>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2073"/>
        <w:gridCol w:w="1918"/>
        <w:gridCol w:w="2567"/>
      </w:tblGrid>
      <w:tr w14:paraId="3B93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Align w:val="center"/>
          </w:tcPr>
          <w:p w14:paraId="7AEEC36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试验单位</w:t>
            </w:r>
          </w:p>
        </w:tc>
        <w:tc>
          <w:tcPr>
            <w:tcW w:w="1245" w:type="pct"/>
            <w:vAlign w:val="center"/>
          </w:tcPr>
          <w:p w14:paraId="1B35F69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实验对象</w:t>
            </w:r>
          </w:p>
        </w:tc>
        <w:tc>
          <w:tcPr>
            <w:tcW w:w="1152" w:type="pct"/>
            <w:vAlign w:val="center"/>
          </w:tcPr>
          <w:p w14:paraId="3EF8D26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试验数量</w:t>
            </w:r>
          </w:p>
        </w:tc>
        <w:tc>
          <w:tcPr>
            <w:tcW w:w="1542" w:type="pct"/>
            <w:vAlign w:val="center"/>
          </w:tcPr>
          <w:p w14:paraId="26688E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试验结果</w:t>
            </w:r>
            <w:r>
              <w:rPr>
                <w:rFonts w:hint="eastAsia" w:asciiTheme="minorEastAsia" w:hAnsiTheme="minorEastAsia" w:eastAsiaTheme="minorEastAsia" w:cstheme="minorEastAsia"/>
                <w:color w:val="auto"/>
                <w:position w:val="-12"/>
                <w:sz w:val="21"/>
                <w:szCs w:val="21"/>
              </w:rPr>
              <w:object>
                <v:shape id="_x0000_i1058" o:spt="75" type="#_x0000_t75" style="height:14.9pt;width:14.9pt;" o:ole="t" filled="f" o:preferrelative="t" stroked="f" coordsize="21600,21600">
                  <v:path/>
                  <v:fill on="f" focussize="0,0"/>
                  <v:stroke on="f" joinstyle="miter"/>
                  <v:imagedata r:id="rId15" o:title=""/>
                  <o:lock v:ext="edit" aspectratio="t"/>
                  <w10:wrap type="none"/>
                  <w10:anchorlock/>
                </v:shape>
                <o:OLEObject Type="Embed" ProgID="Equation.3" ShapeID="_x0000_i1058" DrawAspect="Content" ObjectID="_1468075758" r:id="rId59">
                  <o:LockedField>false</o:LockedField>
                </o:OLEObject>
              </w:object>
            </w:r>
          </w:p>
        </w:tc>
      </w:tr>
      <w:tr w14:paraId="7AF1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restart"/>
            <w:vAlign w:val="center"/>
          </w:tcPr>
          <w:p w14:paraId="20DC784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葫芦岛锌业股份</w:t>
            </w:r>
          </w:p>
        </w:tc>
        <w:tc>
          <w:tcPr>
            <w:tcW w:w="1245" w:type="pct"/>
            <w:vAlign w:val="center"/>
          </w:tcPr>
          <w:p w14:paraId="1061AC2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瀚丰</w:t>
            </w:r>
          </w:p>
        </w:tc>
        <w:tc>
          <w:tcPr>
            <w:tcW w:w="1152" w:type="pct"/>
            <w:vAlign w:val="center"/>
          </w:tcPr>
          <w:p w14:paraId="13F7F5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5ACBF44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0.945</w:t>
            </w:r>
          </w:p>
        </w:tc>
      </w:tr>
      <w:tr w14:paraId="039F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vAlign w:val="center"/>
          </w:tcPr>
          <w:p w14:paraId="6B0438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51454A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国金</w:t>
            </w:r>
          </w:p>
        </w:tc>
        <w:tc>
          <w:tcPr>
            <w:tcW w:w="1152" w:type="pct"/>
            <w:vAlign w:val="center"/>
          </w:tcPr>
          <w:p w14:paraId="7937E7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4A42676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0.463</w:t>
            </w:r>
          </w:p>
        </w:tc>
      </w:tr>
      <w:tr w14:paraId="26B2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vAlign w:val="center"/>
          </w:tcPr>
          <w:p w14:paraId="0E85879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21AE694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澳大利亚</w:t>
            </w:r>
          </w:p>
        </w:tc>
        <w:tc>
          <w:tcPr>
            <w:tcW w:w="1152" w:type="pct"/>
            <w:vAlign w:val="center"/>
          </w:tcPr>
          <w:p w14:paraId="2577D52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3B44757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0.449</w:t>
            </w:r>
          </w:p>
        </w:tc>
      </w:tr>
      <w:tr w14:paraId="5892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restart"/>
            <w:vAlign w:val="center"/>
          </w:tcPr>
          <w:p w14:paraId="7BB6CFD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云铜锌业</w:t>
            </w:r>
          </w:p>
        </w:tc>
        <w:tc>
          <w:tcPr>
            <w:tcW w:w="1245" w:type="pct"/>
            <w:vAlign w:val="center"/>
          </w:tcPr>
          <w:p w14:paraId="1613278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青海矿业</w:t>
            </w:r>
          </w:p>
        </w:tc>
        <w:tc>
          <w:tcPr>
            <w:tcW w:w="1152" w:type="pct"/>
            <w:vAlign w:val="center"/>
          </w:tcPr>
          <w:p w14:paraId="77C9748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723B130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0.555</w:t>
            </w:r>
          </w:p>
        </w:tc>
      </w:tr>
      <w:tr w14:paraId="6A8B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vAlign w:val="center"/>
          </w:tcPr>
          <w:p w14:paraId="798FA9B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696C1BF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骏腾</w:t>
            </w:r>
          </w:p>
        </w:tc>
        <w:tc>
          <w:tcPr>
            <w:tcW w:w="1152" w:type="pct"/>
            <w:vAlign w:val="center"/>
          </w:tcPr>
          <w:p w14:paraId="0ECEE35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29AAD99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0.656</w:t>
            </w:r>
          </w:p>
        </w:tc>
      </w:tr>
      <w:tr w14:paraId="69B3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vAlign w:val="center"/>
          </w:tcPr>
          <w:p w14:paraId="28D3DA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0FA7A5D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安塔米娜</w:t>
            </w:r>
          </w:p>
        </w:tc>
        <w:tc>
          <w:tcPr>
            <w:tcW w:w="1152" w:type="pct"/>
            <w:vAlign w:val="center"/>
          </w:tcPr>
          <w:p w14:paraId="02BDF39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2370000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0.678</w:t>
            </w:r>
          </w:p>
        </w:tc>
      </w:tr>
      <w:tr w14:paraId="7508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restart"/>
            <w:vAlign w:val="center"/>
          </w:tcPr>
          <w:p w14:paraId="54FBA56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南方有色</w:t>
            </w:r>
          </w:p>
        </w:tc>
        <w:tc>
          <w:tcPr>
            <w:tcW w:w="1245" w:type="pct"/>
            <w:vAlign w:val="center"/>
          </w:tcPr>
          <w:p w14:paraId="38A9C2E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广西龙湾</w:t>
            </w:r>
          </w:p>
        </w:tc>
        <w:tc>
          <w:tcPr>
            <w:tcW w:w="1152" w:type="pct"/>
            <w:vAlign w:val="center"/>
          </w:tcPr>
          <w:p w14:paraId="1B60E30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6505687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0.168</w:t>
            </w:r>
          </w:p>
        </w:tc>
      </w:tr>
      <w:tr w14:paraId="1382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vAlign w:val="center"/>
          </w:tcPr>
          <w:p w14:paraId="4D50D21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6FBC08F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广西北山</w:t>
            </w:r>
          </w:p>
        </w:tc>
        <w:tc>
          <w:tcPr>
            <w:tcW w:w="1152" w:type="pct"/>
            <w:vAlign w:val="center"/>
          </w:tcPr>
          <w:p w14:paraId="6E4E44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4FDB564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0.524</w:t>
            </w:r>
          </w:p>
        </w:tc>
      </w:tr>
      <w:tr w14:paraId="2074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vAlign w:val="center"/>
          </w:tcPr>
          <w:p w14:paraId="2C375AD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713DD9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Antamina</w:t>
            </w:r>
          </w:p>
        </w:tc>
        <w:tc>
          <w:tcPr>
            <w:tcW w:w="1152" w:type="pct"/>
            <w:vAlign w:val="center"/>
          </w:tcPr>
          <w:p w14:paraId="6EB5C16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53A5587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0.889</w:t>
            </w:r>
          </w:p>
        </w:tc>
      </w:tr>
      <w:tr w14:paraId="7A8E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Align w:val="center"/>
          </w:tcPr>
          <w:p w14:paraId="6889C34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株冶集团</w:t>
            </w:r>
          </w:p>
        </w:tc>
        <w:tc>
          <w:tcPr>
            <w:tcW w:w="1245" w:type="pct"/>
            <w:vAlign w:val="center"/>
          </w:tcPr>
          <w:p w14:paraId="6DC1411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云南</w:t>
            </w:r>
          </w:p>
        </w:tc>
        <w:tc>
          <w:tcPr>
            <w:tcW w:w="1152" w:type="pct"/>
            <w:vAlign w:val="center"/>
          </w:tcPr>
          <w:p w14:paraId="57A3510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35AF255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0.510</w:t>
            </w:r>
          </w:p>
        </w:tc>
      </w:tr>
      <w:tr w14:paraId="344A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restart"/>
            <w:vAlign w:val="center"/>
          </w:tcPr>
          <w:p w14:paraId="061222E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驰宏锌锗</w:t>
            </w:r>
          </w:p>
        </w:tc>
        <w:tc>
          <w:tcPr>
            <w:tcW w:w="1245" w:type="pct"/>
            <w:vAlign w:val="center"/>
          </w:tcPr>
          <w:p w14:paraId="60F1BA3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MG</w:t>
            </w:r>
          </w:p>
        </w:tc>
        <w:tc>
          <w:tcPr>
            <w:tcW w:w="1152" w:type="pct"/>
            <w:vAlign w:val="center"/>
          </w:tcPr>
          <w:p w14:paraId="09B98A2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5FFD61E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0.446</w:t>
            </w:r>
          </w:p>
        </w:tc>
      </w:tr>
      <w:tr w14:paraId="3D45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vAlign w:val="center"/>
          </w:tcPr>
          <w:p w14:paraId="4CF4A5C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15C60A5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森鑫</w:t>
            </w:r>
          </w:p>
        </w:tc>
        <w:tc>
          <w:tcPr>
            <w:tcW w:w="1152" w:type="pct"/>
            <w:vAlign w:val="center"/>
          </w:tcPr>
          <w:p w14:paraId="5ED3B4D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41F1032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0.356</w:t>
            </w:r>
          </w:p>
        </w:tc>
      </w:tr>
      <w:tr w14:paraId="0D21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vAlign w:val="center"/>
          </w:tcPr>
          <w:p w14:paraId="67284CF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4E71424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乌兰</w:t>
            </w:r>
          </w:p>
        </w:tc>
        <w:tc>
          <w:tcPr>
            <w:tcW w:w="1152" w:type="pct"/>
            <w:vAlign w:val="center"/>
          </w:tcPr>
          <w:p w14:paraId="74E9D90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30776F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0.272</w:t>
            </w:r>
          </w:p>
        </w:tc>
      </w:tr>
      <w:tr w14:paraId="1A15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Align w:val="center"/>
          </w:tcPr>
          <w:p w14:paraId="60F515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vertAlign w:val="baseli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韶关冶炼厂</w:t>
            </w:r>
          </w:p>
        </w:tc>
        <w:tc>
          <w:tcPr>
            <w:tcW w:w="1245" w:type="pct"/>
            <w:vAlign w:val="center"/>
          </w:tcPr>
          <w:p w14:paraId="09FFC17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vertAlign w:val="baseli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国内小矿山</w:t>
            </w:r>
          </w:p>
        </w:tc>
        <w:tc>
          <w:tcPr>
            <w:tcW w:w="1152" w:type="pct"/>
            <w:vAlign w:val="center"/>
          </w:tcPr>
          <w:p w14:paraId="6C3D0B5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2" w:type="pct"/>
            <w:vAlign w:val="center"/>
          </w:tcPr>
          <w:p w14:paraId="365E5D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1.102</w:t>
            </w:r>
          </w:p>
        </w:tc>
      </w:tr>
    </w:tbl>
    <w:p w14:paraId="23746FBD">
      <w:pPr>
        <w:pStyle w:val="3"/>
        <w:keepNext w:val="0"/>
        <w:keepLines w:val="0"/>
        <w:pageBreakBefore w:val="0"/>
        <w:kinsoku/>
        <w:wordWrap/>
        <w:overflowPunct/>
        <w:topLinePunct w:val="0"/>
        <w:bidi w:val="0"/>
        <w:spacing w:beforeAutospacing="0" w:after="0" w:afterAutospacing="0"/>
        <w:ind w:firstLine="420"/>
        <w:rPr>
          <w:rFonts w:hint="default" w:hAnsi="黑体" w:cs="黑体" w:eastAsiaTheme="minorEastAsia"/>
          <w:bCs w:val="0"/>
          <w:color w:val="auto"/>
          <w:szCs w:val="21"/>
          <w:u w:val="none"/>
          <w:lang w:val="en-US" w:eastAsia="zh-CN"/>
        </w:rPr>
      </w:pPr>
    </w:p>
    <w:p w14:paraId="3767F7F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小批量品质波动实验数据汇总表</w:t>
      </w:r>
    </w:p>
    <w:tbl>
      <w:tblPr>
        <w:tblStyle w:val="11"/>
        <w:tblW w:w="49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9"/>
        <w:gridCol w:w="1274"/>
        <w:gridCol w:w="1042"/>
        <w:gridCol w:w="780"/>
        <w:gridCol w:w="780"/>
        <w:gridCol w:w="780"/>
        <w:gridCol w:w="780"/>
        <w:gridCol w:w="781"/>
        <w:gridCol w:w="788"/>
      </w:tblGrid>
      <w:tr w14:paraId="36AD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Merge w:val="restart"/>
            <w:vAlign w:val="center"/>
          </w:tcPr>
          <w:p w14:paraId="5CB324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试验单位</w:t>
            </w:r>
          </w:p>
        </w:tc>
        <w:tc>
          <w:tcPr>
            <w:tcW w:w="766" w:type="pct"/>
            <w:vMerge w:val="restart"/>
            <w:vAlign w:val="center"/>
          </w:tcPr>
          <w:p w14:paraId="242E7B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实验对象</w:t>
            </w:r>
          </w:p>
        </w:tc>
        <w:tc>
          <w:tcPr>
            <w:tcW w:w="626" w:type="pct"/>
            <w:vMerge w:val="restart"/>
            <w:vAlign w:val="center"/>
          </w:tcPr>
          <w:p w14:paraId="20CF3A1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试验数量</w:t>
            </w:r>
          </w:p>
        </w:tc>
        <w:tc>
          <w:tcPr>
            <w:tcW w:w="2818" w:type="pct"/>
            <w:gridSpan w:val="6"/>
            <w:vAlign w:val="center"/>
          </w:tcPr>
          <w:p w14:paraId="09B946D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试验结果</w:t>
            </w:r>
            <w:r>
              <w:rPr>
                <w:rFonts w:hint="eastAsia" w:asciiTheme="minorEastAsia" w:hAnsiTheme="minorEastAsia" w:eastAsiaTheme="minorEastAsia" w:cstheme="minorEastAsia"/>
                <w:color w:val="auto"/>
                <w:position w:val="-12"/>
                <w:sz w:val="21"/>
                <w:szCs w:val="21"/>
              </w:rPr>
              <w:object>
                <v:shape id="_x0000_i1059" o:spt="75" type="#_x0000_t75" style="height:14.9pt;width:14.9pt;" o:ole="t" filled="f" o:preferrelative="t" stroked="f" coordsize="21600,21600">
                  <v:path/>
                  <v:fill on="f" focussize="0,0"/>
                  <v:stroke on="f" joinstyle="miter"/>
                  <v:imagedata r:id="rId15" o:title=""/>
                  <o:lock v:ext="edit" aspectratio="t"/>
                  <w10:wrap type="none"/>
                  <w10:anchorlock/>
                </v:shape>
                <o:OLEObject Type="Embed" ProgID="Equation.3" ShapeID="_x0000_i1059" DrawAspect="Content" ObjectID="_1468075759" r:id="rId60">
                  <o:LockedField>false</o:LockedField>
                </o:OLEObject>
              </w:object>
            </w:r>
          </w:p>
        </w:tc>
      </w:tr>
      <w:tr w14:paraId="7079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787" w:type="pct"/>
            <w:vMerge w:val="continue"/>
            <w:vAlign w:val="center"/>
          </w:tcPr>
          <w:p w14:paraId="275AA0C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6" w:type="pct"/>
            <w:vMerge w:val="continue"/>
            <w:vAlign w:val="center"/>
          </w:tcPr>
          <w:p w14:paraId="54BB21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626" w:type="pct"/>
            <w:vMerge w:val="continue"/>
            <w:vAlign w:val="center"/>
          </w:tcPr>
          <w:p w14:paraId="1209F6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469" w:type="pct"/>
            <w:vAlign w:val="center"/>
          </w:tcPr>
          <w:p w14:paraId="1AEA49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60" o:spt="75" type="#_x0000_t75" style="height:20.55pt;width:17.5pt;" o:ole="t" filled="f" o:preferrelative="t" stroked="f" coordsize="21600,21600">
                  <v:path/>
                  <v:fill on="f" focussize="0,0"/>
                  <v:stroke on="f"/>
                  <v:imagedata r:id="rId17" o:title=""/>
                  <o:lock v:ext="edit" aspectratio="t"/>
                  <w10:wrap type="none"/>
                  <w10:anchorlock/>
                </v:shape>
                <o:OLEObject Type="Embed" ProgID="Equation.3" ShapeID="_x0000_i1060" DrawAspect="Content" ObjectID="_1468075760" r:id="rId61">
                  <o:LockedField>false</o:LockedField>
                </o:OLEObject>
              </w:object>
            </w:r>
          </w:p>
        </w:tc>
        <w:tc>
          <w:tcPr>
            <w:tcW w:w="469" w:type="pct"/>
            <w:vAlign w:val="center"/>
          </w:tcPr>
          <w:p w14:paraId="1433072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61" o:spt="75" type="#_x0000_t75" style="height:20.55pt;width:18.35pt;" o:ole="t" filled="f" o:preferrelative="t" stroked="f" coordsize="21600,21600">
                  <v:path/>
                  <v:fill on="f" focussize="0,0"/>
                  <v:stroke on="f"/>
                  <v:imagedata r:id="rId19" o:title=""/>
                  <o:lock v:ext="edit" aspectratio="t"/>
                  <w10:wrap type="none"/>
                  <w10:anchorlock/>
                </v:shape>
                <o:OLEObject Type="Embed" ProgID="Equation.3" ShapeID="_x0000_i1061" DrawAspect="Content" ObjectID="_1468075761" r:id="rId62">
                  <o:LockedField>false</o:LockedField>
                </o:OLEObject>
              </w:object>
            </w:r>
          </w:p>
        </w:tc>
        <w:tc>
          <w:tcPr>
            <w:tcW w:w="469" w:type="pct"/>
            <w:vAlign w:val="center"/>
          </w:tcPr>
          <w:p w14:paraId="4DA577E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62" o:spt="75" type="#_x0000_t75" style="height:20.55pt;width:18.35pt;" o:ole="t" filled="f" o:preferrelative="t" stroked="f" coordsize="21600,21600">
                  <v:path/>
                  <v:fill on="f" focussize="0,0"/>
                  <v:stroke on="f"/>
                  <v:imagedata r:id="rId21" o:title=""/>
                  <o:lock v:ext="edit" aspectratio="t"/>
                  <w10:wrap type="none"/>
                  <w10:anchorlock/>
                </v:shape>
                <o:OLEObject Type="Embed" ProgID="Equation.3" ShapeID="_x0000_i1062" DrawAspect="Content" ObjectID="_1468075762" r:id="rId63">
                  <o:LockedField>false</o:LockedField>
                </o:OLEObject>
              </w:object>
            </w:r>
          </w:p>
        </w:tc>
        <w:tc>
          <w:tcPr>
            <w:tcW w:w="469" w:type="pct"/>
            <w:vAlign w:val="center"/>
          </w:tcPr>
          <w:p w14:paraId="3E8A9CE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63" o:spt="75" type="#_x0000_t75" style="height:20.55pt;width:18.35pt;" o:ole="t" filled="f" o:preferrelative="t" stroked="f" coordsize="21600,21600">
                  <v:path/>
                  <v:fill on="f" focussize="0,0"/>
                  <v:stroke on="f"/>
                  <v:imagedata r:id="rId23" o:title=""/>
                  <o:lock v:ext="edit" aspectratio="t"/>
                  <w10:wrap type="none"/>
                  <w10:anchorlock/>
                </v:shape>
                <o:OLEObject Type="Embed" ProgID="Equation.3" ShapeID="_x0000_i1063" DrawAspect="Content" ObjectID="_1468075763" r:id="rId64">
                  <o:LockedField>false</o:LockedField>
                </o:OLEObject>
              </w:object>
            </w:r>
          </w:p>
        </w:tc>
        <w:tc>
          <w:tcPr>
            <w:tcW w:w="469" w:type="pct"/>
            <w:vAlign w:val="center"/>
          </w:tcPr>
          <w:p w14:paraId="2827EA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64" o:spt="75" type="#_x0000_t75" style="height:20.55pt;width:18.35pt;" o:ole="t" filled="f" o:preferrelative="t" stroked="f" coordsize="21600,21600">
                  <v:path/>
                  <v:fill on="f" focussize="0,0"/>
                  <v:stroke on="f"/>
                  <v:imagedata r:id="rId25" o:title=""/>
                  <o:lock v:ext="edit" aspectratio="t"/>
                  <w10:wrap type="none"/>
                  <w10:anchorlock/>
                </v:shape>
                <o:OLEObject Type="Embed" ProgID="Equation.3" ShapeID="_x0000_i1064" DrawAspect="Content" ObjectID="_1468075764" r:id="rId65">
                  <o:LockedField>false</o:LockedField>
                </o:OLEObject>
              </w:object>
            </w:r>
          </w:p>
        </w:tc>
        <w:tc>
          <w:tcPr>
            <w:tcW w:w="471" w:type="pct"/>
            <w:vAlign w:val="center"/>
          </w:tcPr>
          <w:p w14:paraId="3C88273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color w:val="auto"/>
                <w:position w:val="-6"/>
                <w:sz w:val="21"/>
                <w:szCs w:val="21"/>
              </w:rPr>
              <w:object>
                <v:shape id="_x0000_i1065" o:spt="75" type="#_x0000_t75" style="height:17pt;width:19pt;" o:ole="t" filled="f" o:preferrelative="t" stroked="f" coordsize="21600,21600">
                  <v:path/>
                  <v:fill on="f" focussize="0,0"/>
                  <v:stroke on="f"/>
                  <v:imagedata r:id="rId27" o:title=""/>
                  <o:lock v:ext="edit" aspectratio="t"/>
                  <w10:wrap type="none"/>
                  <w10:anchorlock/>
                </v:shape>
                <o:OLEObject Type="Embed" ProgID="Equation.3" ShapeID="_x0000_i1065" DrawAspect="Content" ObjectID="_1468075765" r:id="rId66">
                  <o:LockedField>false</o:LockedField>
                </o:OLEObject>
              </w:object>
            </w:r>
          </w:p>
        </w:tc>
      </w:tr>
      <w:tr w14:paraId="3C54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Merge w:val="restart"/>
            <w:vAlign w:val="center"/>
          </w:tcPr>
          <w:p w14:paraId="6545423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葫芦岛锌业股份</w:t>
            </w:r>
          </w:p>
        </w:tc>
        <w:tc>
          <w:tcPr>
            <w:tcW w:w="766" w:type="pct"/>
            <w:vAlign w:val="center"/>
          </w:tcPr>
          <w:p w14:paraId="612682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瀚丰</w:t>
            </w:r>
          </w:p>
        </w:tc>
        <w:tc>
          <w:tcPr>
            <w:tcW w:w="626" w:type="pct"/>
            <w:vAlign w:val="center"/>
          </w:tcPr>
          <w:p w14:paraId="5EFD61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7F7945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0.976</w:t>
            </w:r>
          </w:p>
        </w:tc>
        <w:tc>
          <w:tcPr>
            <w:tcW w:w="469" w:type="pct"/>
            <w:vAlign w:val="center"/>
          </w:tcPr>
          <w:p w14:paraId="748E7C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0.929</w:t>
            </w:r>
          </w:p>
        </w:tc>
        <w:tc>
          <w:tcPr>
            <w:tcW w:w="469" w:type="pct"/>
            <w:vAlign w:val="center"/>
          </w:tcPr>
          <w:p w14:paraId="6DE6583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0.745</w:t>
            </w:r>
          </w:p>
        </w:tc>
        <w:tc>
          <w:tcPr>
            <w:tcW w:w="469" w:type="pct"/>
            <w:vAlign w:val="center"/>
          </w:tcPr>
          <w:p w14:paraId="2EC0EEA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0.796</w:t>
            </w:r>
          </w:p>
        </w:tc>
        <w:tc>
          <w:tcPr>
            <w:tcW w:w="469" w:type="pct"/>
            <w:vAlign w:val="center"/>
          </w:tcPr>
          <w:p w14:paraId="4CD4BC3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0.894</w:t>
            </w:r>
          </w:p>
        </w:tc>
        <w:tc>
          <w:tcPr>
            <w:tcW w:w="471" w:type="pct"/>
            <w:vAlign w:val="center"/>
          </w:tcPr>
          <w:p w14:paraId="623726F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0.870</w:t>
            </w:r>
          </w:p>
        </w:tc>
      </w:tr>
      <w:tr w14:paraId="2AF1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Merge w:val="continue"/>
            <w:vAlign w:val="center"/>
          </w:tcPr>
          <w:p w14:paraId="4806302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6" w:type="pct"/>
            <w:vAlign w:val="center"/>
          </w:tcPr>
          <w:p w14:paraId="75CE1E1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国金</w:t>
            </w:r>
          </w:p>
        </w:tc>
        <w:tc>
          <w:tcPr>
            <w:tcW w:w="626" w:type="pct"/>
            <w:vAlign w:val="center"/>
          </w:tcPr>
          <w:p w14:paraId="0C277B7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50794C9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0.126</w:t>
            </w:r>
          </w:p>
        </w:tc>
        <w:tc>
          <w:tcPr>
            <w:tcW w:w="469" w:type="pct"/>
            <w:vAlign w:val="center"/>
          </w:tcPr>
          <w:p w14:paraId="0401AA5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0.493</w:t>
            </w:r>
          </w:p>
        </w:tc>
        <w:tc>
          <w:tcPr>
            <w:tcW w:w="469" w:type="pct"/>
            <w:vAlign w:val="center"/>
          </w:tcPr>
          <w:p w14:paraId="13D8B3D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1.586</w:t>
            </w:r>
          </w:p>
        </w:tc>
        <w:tc>
          <w:tcPr>
            <w:tcW w:w="469" w:type="pct"/>
            <w:vAlign w:val="center"/>
          </w:tcPr>
          <w:p w14:paraId="10EBE87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0.283</w:t>
            </w:r>
          </w:p>
        </w:tc>
        <w:tc>
          <w:tcPr>
            <w:tcW w:w="469" w:type="pct"/>
            <w:vAlign w:val="center"/>
          </w:tcPr>
          <w:p w14:paraId="24C2EF4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0.387</w:t>
            </w:r>
          </w:p>
        </w:tc>
        <w:tc>
          <w:tcPr>
            <w:tcW w:w="471" w:type="pct"/>
            <w:vAlign w:val="center"/>
          </w:tcPr>
          <w:p w14:paraId="60FD274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0.775</w:t>
            </w:r>
          </w:p>
        </w:tc>
      </w:tr>
      <w:tr w14:paraId="4D5A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Merge w:val="continue"/>
            <w:vAlign w:val="center"/>
          </w:tcPr>
          <w:p w14:paraId="618C590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6" w:type="pct"/>
            <w:vAlign w:val="center"/>
          </w:tcPr>
          <w:p w14:paraId="110890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凤城</w:t>
            </w:r>
          </w:p>
        </w:tc>
        <w:tc>
          <w:tcPr>
            <w:tcW w:w="626" w:type="pct"/>
            <w:vAlign w:val="center"/>
          </w:tcPr>
          <w:p w14:paraId="7A784E5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7E770C8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0.360</w:t>
            </w:r>
          </w:p>
        </w:tc>
        <w:tc>
          <w:tcPr>
            <w:tcW w:w="469" w:type="pct"/>
            <w:vAlign w:val="center"/>
          </w:tcPr>
          <w:p w14:paraId="1C51892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0.376</w:t>
            </w:r>
          </w:p>
        </w:tc>
        <w:tc>
          <w:tcPr>
            <w:tcW w:w="469" w:type="pct"/>
            <w:vAlign w:val="center"/>
          </w:tcPr>
          <w:p w14:paraId="2D9D4C7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0.274</w:t>
            </w:r>
          </w:p>
        </w:tc>
        <w:tc>
          <w:tcPr>
            <w:tcW w:w="469" w:type="pct"/>
            <w:vAlign w:val="center"/>
          </w:tcPr>
          <w:p w14:paraId="6973397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0.283</w:t>
            </w:r>
          </w:p>
        </w:tc>
        <w:tc>
          <w:tcPr>
            <w:tcW w:w="469" w:type="pct"/>
            <w:vAlign w:val="center"/>
          </w:tcPr>
          <w:p w14:paraId="7AFFB64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0.158</w:t>
            </w:r>
          </w:p>
        </w:tc>
        <w:tc>
          <w:tcPr>
            <w:tcW w:w="471" w:type="pct"/>
            <w:vAlign w:val="center"/>
          </w:tcPr>
          <w:p w14:paraId="41FBB69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0.300</w:t>
            </w:r>
          </w:p>
        </w:tc>
      </w:tr>
      <w:tr w14:paraId="5915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Merge w:val="continue"/>
            <w:vAlign w:val="center"/>
          </w:tcPr>
          <w:p w14:paraId="51C96B2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6" w:type="pct"/>
            <w:vAlign w:val="center"/>
          </w:tcPr>
          <w:p w14:paraId="5B084CE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株洲</w:t>
            </w:r>
          </w:p>
        </w:tc>
        <w:tc>
          <w:tcPr>
            <w:tcW w:w="626" w:type="pct"/>
            <w:vAlign w:val="center"/>
          </w:tcPr>
          <w:p w14:paraId="0942B26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0AA42A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0.253</w:t>
            </w:r>
          </w:p>
        </w:tc>
        <w:tc>
          <w:tcPr>
            <w:tcW w:w="469" w:type="pct"/>
            <w:vAlign w:val="center"/>
          </w:tcPr>
          <w:p w14:paraId="28A48D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1.599</w:t>
            </w:r>
          </w:p>
        </w:tc>
        <w:tc>
          <w:tcPr>
            <w:tcW w:w="469" w:type="pct"/>
            <w:vAlign w:val="center"/>
          </w:tcPr>
          <w:p w14:paraId="36752B8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1.324</w:t>
            </w:r>
          </w:p>
        </w:tc>
        <w:tc>
          <w:tcPr>
            <w:tcW w:w="469" w:type="pct"/>
            <w:vAlign w:val="center"/>
          </w:tcPr>
          <w:p w14:paraId="769181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1.327</w:t>
            </w:r>
          </w:p>
        </w:tc>
        <w:tc>
          <w:tcPr>
            <w:tcW w:w="469" w:type="pct"/>
            <w:vAlign w:val="center"/>
          </w:tcPr>
          <w:p w14:paraId="1BF6AF1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1.728</w:t>
            </w:r>
          </w:p>
        </w:tc>
        <w:tc>
          <w:tcPr>
            <w:tcW w:w="471" w:type="pct"/>
            <w:vAlign w:val="center"/>
          </w:tcPr>
          <w:p w14:paraId="42CFFAB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1.458</w:t>
            </w:r>
          </w:p>
        </w:tc>
      </w:tr>
      <w:tr w14:paraId="4F70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Merge w:val="continue"/>
            <w:vAlign w:val="center"/>
          </w:tcPr>
          <w:p w14:paraId="1A838D1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6" w:type="pct"/>
            <w:vAlign w:val="center"/>
          </w:tcPr>
          <w:p w14:paraId="536910E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澳大利亚</w:t>
            </w:r>
          </w:p>
        </w:tc>
        <w:tc>
          <w:tcPr>
            <w:tcW w:w="626" w:type="pct"/>
            <w:vAlign w:val="center"/>
          </w:tcPr>
          <w:p w14:paraId="0A333A0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288580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0.957</w:t>
            </w:r>
          </w:p>
        </w:tc>
        <w:tc>
          <w:tcPr>
            <w:tcW w:w="469" w:type="pct"/>
            <w:vAlign w:val="center"/>
          </w:tcPr>
          <w:p w14:paraId="66B2E8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0.835</w:t>
            </w:r>
          </w:p>
        </w:tc>
        <w:tc>
          <w:tcPr>
            <w:tcW w:w="469" w:type="pct"/>
            <w:vAlign w:val="center"/>
          </w:tcPr>
          <w:p w14:paraId="6AD0EB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0.274</w:t>
            </w:r>
          </w:p>
        </w:tc>
        <w:tc>
          <w:tcPr>
            <w:tcW w:w="469" w:type="pct"/>
            <w:vAlign w:val="center"/>
          </w:tcPr>
          <w:p w14:paraId="25B65E1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0.224</w:t>
            </w:r>
          </w:p>
        </w:tc>
        <w:tc>
          <w:tcPr>
            <w:tcW w:w="469" w:type="pct"/>
            <w:vAlign w:val="center"/>
          </w:tcPr>
          <w:p w14:paraId="50EC9B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0.449</w:t>
            </w:r>
          </w:p>
        </w:tc>
        <w:tc>
          <w:tcPr>
            <w:tcW w:w="471" w:type="pct"/>
            <w:vAlign w:val="center"/>
          </w:tcPr>
          <w:p w14:paraId="473604F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0.623</w:t>
            </w:r>
          </w:p>
        </w:tc>
      </w:tr>
      <w:tr w14:paraId="1D19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14:paraId="035E25B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云铜锌业</w:t>
            </w:r>
          </w:p>
        </w:tc>
        <w:tc>
          <w:tcPr>
            <w:tcW w:w="766" w:type="pct"/>
            <w:vAlign w:val="center"/>
          </w:tcPr>
          <w:p w14:paraId="40D2395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金厂河</w:t>
            </w:r>
          </w:p>
        </w:tc>
        <w:tc>
          <w:tcPr>
            <w:tcW w:w="626" w:type="pct"/>
            <w:vAlign w:val="center"/>
          </w:tcPr>
          <w:p w14:paraId="411F9D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51BC9308">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0.402</w:t>
            </w:r>
          </w:p>
        </w:tc>
        <w:tc>
          <w:tcPr>
            <w:tcW w:w="469" w:type="pct"/>
            <w:vAlign w:val="center"/>
          </w:tcPr>
          <w:p w14:paraId="38D1CE20">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0.335</w:t>
            </w:r>
          </w:p>
        </w:tc>
        <w:tc>
          <w:tcPr>
            <w:tcW w:w="469" w:type="pct"/>
            <w:vAlign w:val="center"/>
          </w:tcPr>
          <w:p w14:paraId="21FA130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0.399</w:t>
            </w:r>
          </w:p>
        </w:tc>
        <w:tc>
          <w:tcPr>
            <w:tcW w:w="469" w:type="pct"/>
            <w:vAlign w:val="center"/>
          </w:tcPr>
          <w:p w14:paraId="69850AD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0.478</w:t>
            </w:r>
          </w:p>
        </w:tc>
        <w:tc>
          <w:tcPr>
            <w:tcW w:w="469" w:type="pct"/>
            <w:vAlign w:val="center"/>
          </w:tcPr>
          <w:p w14:paraId="1A2F440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0.358</w:t>
            </w:r>
          </w:p>
        </w:tc>
        <w:tc>
          <w:tcPr>
            <w:tcW w:w="471" w:type="pct"/>
            <w:vAlign w:val="center"/>
          </w:tcPr>
          <w:p w14:paraId="2C7F26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0.397</w:t>
            </w:r>
          </w:p>
        </w:tc>
      </w:tr>
      <w:tr w14:paraId="6EB1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14:paraId="58F4C34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南方有色</w:t>
            </w:r>
          </w:p>
        </w:tc>
        <w:tc>
          <w:tcPr>
            <w:tcW w:w="766" w:type="pct"/>
            <w:vAlign w:val="center"/>
          </w:tcPr>
          <w:p w14:paraId="7F82E16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广西大厂</w:t>
            </w:r>
          </w:p>
        </w:tc>
        <w:tc>
          <w:tcPr>
            <w:tcW w:w="626" w:type="pct"/>
            <w:vAlign w:val="center"/>
          </w:tcPr>
          <w:p w14:paraId="11F80FB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2CBB417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0.289</w:t>
            </w:r>
          </w:p>
        </w:tc>
        <w:tc>
          <w:tcPr>
            <w:tcW w:w="469" w:type="pct"/>
            <w:vAlign w:val="center"/>
          </w:tcPr>
          <w:p w14:paraId="6739933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1.090</w:t>
            </w:r>
          </w:p>
        </w:tc>
        <w:tc>
          <w:tcPr>
            <w:tcW w:w="469" w:type="pct"/>
            <w:vAlign w:val="center"/>
          </w:tcPr>
          <w:p w14:paraId="4349C0B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1.117</w:t>
            </w:r>
          </w:p>
        </w:tc>
        <w:tc>
          <w:tcPr>
            <w:tcW w:w="469" w:type="pct"/>
            <w:vAlign w:val="center"/>
          </w:tcPr>
          <w:p w14:paraId="65D89001">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0.912</w:t>
            </w:r>
          </w:p>
        </w:tc>
        <w:tc>
          <w:tcPr>
            <w:tcW w:w="469" w:type="pct"/>
            <w:vAlign w:val="center"/>
          </w:tcPr>
          <w:p w14:paraId="542D0FFA">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0.235</w:t>
            </w:r>
          </w:p>
        </w:tc>
        <w:tc>
          <w:tcPr>
            <w:tcW w:w="471" w:type="pct"/>
            <w:vAlign w:val="center"/>
          </w:tcPr>
          <w:p w14:paraId="5D5E6B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0.825</w:t>
            </w:r>
          </w:p>
        </w:tc>
      </w:tr>
      <w:tr w14:paraId="5237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14:paraId="5B141B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株冶集团</w:t>
            </w:r>
          </w:p>
        </w:tc>
        <w:tc>
          <w:tcPr>
            <w:tcW w:w="766" w:type="pct"/>
            <w:vAlign w:val="center"/>
          </w:tcPr>
          <w:p w14:paraId="3BFA86E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连云港</w:t>
            </w:r>
          </w:p>
        </w:tc>
        <w:tc>
          <w:tcPr>
            <w:tcW w:w="626" w:type="pct"/>
            <w:vAlign w:val="center"/>
          </w:tcPr>
          <w:p w14:paraId="0D55F03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76060B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0.461</w:t>
            </w:r>
          </w:p>
        </w:tc>
        <w:tc>
          <w:tcPr>
            <w:tcW w:w="469" w:type="pct"/>
            <w:vAlign w:val="center"/>
          </w:tcPr>
          <w:p w14:paraId="2129310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0.445</w:t>
            </w:r>
          </w:p>
        </w:tc>
        <w:tc>
          <w:tcPr>
            <w:tcW w:w="469" w:type="pct"/>
            <w:vAlign w:val="center"/>
          </w:tcPr>
          <w:p w14:paraId="4C766A6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0.578</w:t>
            </w:r>
          </w:p>
        </w:tc>
        <w:tc>
          <w:tcPr>
            <w:tcW w:w="469" w:type="pct"/>
            <w:vAlign w:val="center"/>
          </w:tcPr>
          <w:p w14:paraId="16B561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0.842</w:t>
            </w:r>
          </w:p>
        </w:tc>
        <w:tc>
          <w:tcPr>
            <w:tcW w:w="469" w:type="pct"/>
            <w:vAlign w:val="center"/>
          </w:tcPr>
          <w:p w14:paraId="101BE4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0.435</w:t>
            </w:r>
          </w:p>
        </w:tc>
        <w:tc>
          <w:tcPr>
            <w:tcW w:w="471" w:type="pct"/>
            <w:vAlign w:val="center"/>
          </w:tcPr>
          <w:p w14:paraId="6B87CBC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0.573</w:t>
            </w:r>
          </w:p>
        </w:tc>
      </w:tr>
      <w:tr w14:paraId="291E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14:paraId="40A633E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驰宏锌锗</w:t>
            </w:r>
          </w:p>
        </w:tc>
        <w:tc>
          <w:tcPr>
            <w:tcW w:w="766" w:type="pct"/>
            <w:vAlign w:val="center"/>
          </w:tcPr>
          <w:p w14:paraId="7E1A919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vertAlign w:val="baseli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宝山锌精矿</w:t>
            </w:r>
          </w:p>
        </w:tc>
        <w:tc>
          <w:tcPr>
            <w:tcW w:w="626" w:type="pct"/>
            <w:vAlign w:val="center"/>
          </w:tcPr>
          <w:p w14:paraId="24BB501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vertAlign w:val="baseli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5E999157">
            <w:pPr>
              <w:keepNext w:val="0"/>
              <w:keepLines w:val="0"/>
              <w:pageBreakBefore w:val="0"/>
              <w:widowControl/>
              <w:suppressLineNumbers w:val="0"/>
              <w:kinsoku/>
              <w:wordWrap/>
              <w:overflowPunct/>
              <w:topLinePunct w:val="0"/>
              <w:bidi w:val="0"/>
              <w:spacing w:beforeAutospacing="0" w:afterAutospacing="0" w:line="240" w:lineRule="auto"/>
              <w:jc w:val="center"/>
              <w:textAlignment w:val="top"/>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1.003</w:t>
            </w:r>
          </w:p>
        </w:tc>
        <w:tc>
          <w:tcPr>
            <w:tcW w:w="469" w:type="pct"/>
            <w:vAlign w:val="center"/>
          </w:tcPr>
          <w:p w14:paraId="6E8F1095">
            <w:pPr>
              <w:keepNext w:val="0"/>
              <w:keepLines w:val="0"/>
              <w:pageBreakBefore w:val="0"/>
              <w:widowControl/>
              <w:suppressLineNumbers w:val="0"/>
              <w:kinsoku/>
              <w:wordWrap/>
              <w:overflowPunct/>
              <w:topLinePunct w:val="0"/>
              <w:bidi w:val="0"/>
              <w:spacing w:beforeAutospacing="0" w:afterAutospacing="0" w:line="240" w:lineRule="auto"/>
              <w:jc w:val="center"/>
              <w:textAlignment w:val="top"/>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0.144</w:t>
            </w:r>
          </w:p>
        </w:tc>
        <w:tc>
          <w:tcPr>
            <w:tcW w:w="469" w:type="pct"/>
            <w:vAlign w:val="center"/>
          </w:tcPr>
          <w:p w14:paraId="641D1870">
            <w:pPr>
              <w:keepNext w:val="0"/>
              <w:keepLines w:val="0"/>
              <w:pageBreakBefore w:val="0"/>
              <w:widowControl/>
              <w:suppressLineNumbers w:val="0"/>
              <w:kinsoku/>
              <w:wordWrap/>
              <w:overflowPunct/>
              <w:topLinePunct w:val="0"/>
              <w:bidi w:val="0"/>
              <w:spacing w:beforeAutospacing="0" w:afterAutospacing="0" w:line="240" w:lineRule="auto"/>
              <w:jc w:val="center"/>
              <w:textAlignment w:val="top"/>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0.462</w:t>
            </w:r>
          </w:p>
        </w:tc>
        <w:tc>
          <w:tcPr>
            <w:tcW w:w="469" w:type="pct"/>
            <w:vAlign w:val="center"/>
          </w:tcPr>
          <w:p w14:paraId="2D507A87">
            <w:pPr>
              <w:keepNext w:val="0"/>
              <w:keepLines w:val="0"/>
              <w:pageBreakBefore w:val="0"/>
              <w:widowControl/>
              <w:suppressLineNumbers w:val="0"/>
              <w:kinsoku/>
              <w:wordWrap/>
              <w:overflowPunct/>
              <w:topLinePunct w:val="0"/>
              <w:bidi w:val="0"/>
              <w:spacing w:beforeAutospacing="0" w:afterAutospacing="0" w:line="240" w:lineRule="auto"/>
              <w:jc w:val="center"/>
              <w:textAlignment w:val="top"/>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0.336</w:t>
            </w:r>
          </w:p>
        </w:tc>
        <w:tc>
          <w:tcPr>
            <w:tcW w:w="469" w:type="pct"/>
            <w:vAlign w:val="center"/>
          </w:tcPr>
          <w:p w14:paraId="7DDB5E26">
            <w:pPr>
              <w:keepNext w:val="0"/>
              <w:keepLines w:val="0"/>
              <w:pageBreakBefore w:val="0"/>
              <w:widowControl/>
              <w:suppressLineNumbers w:val="0"/>
              <w:kinsoku/>
              <w:wordWrap/>
              <w:overflowPunct/>
              <w:topLinePunct w:val="0"/>
              <w:bidi w:val="0"/>
              <w:spacing w:beforeAutospacing="0" w:afterAutospacing="0" w:line="240" w:lineRule="auto"/>
              <w:jc w:val="center"/>
              <w:textAlignment w:val="top"/>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0.266</w:t>
            </w:r>
          </w:p>
        </w:tc>
        <w:tc>
          <w:tcPr>
            <w:tcW w:w="471" w:type="pct"/>
            <w:vAlign w:val="center"/>
          </w:tcPr>
          <w:p w14:paraId="1D2F3BE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0.534</w:t>
            </w:r>
          </w:p>
        </w:tc>
      </w:tr>
      <w:tr w14:paraId="52B1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14:paraId="1AC0B01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韶关冶炼厂</w:t>
            </w:r>
          </w:p>
        </w:tc>
        <w:tc>
          <w:tcPr>
            <w:tcW w:w="766" w:type="pct"/>
            <w:vAlign w:val="center"/>
          </w:tcPr>
          <w:p w14:paraId="023C11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国内小矿山</w:t>
            </w:r>
          </w:p>
        </w:tc>
        <w:tc>
          <w:tcPr>
            <w:tcW w:w="626" w:type="pct"/>
            <w:vAlign w:val="center"/>
          </w:tcPr>
          <w:p w14:paraId="65ACBB9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5批5次</w:t>
            </w:r>
          </w:p>
        </w:tc>
        <w:tc>
          <w:tcPr>
            <w:tcW w:w="469" w:type="pct"/>
            <w:vAlign w:val="center"/>
          </w:tcPr>
          <w:p w14:paraId="030C4DAB">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0.719</w:t>
            </w:r>
          </w:p>
        </w:tc>
        <w:tc>
          <w:tcPr>
            <w:tcW w:w="469" w:type="pct"/>
            <w:vAlign w:val="center"/>
          </w:tcPr>
          <w:p w14:paraId="3FACC1AF">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0.640</w:t>
            </w:r>
          </w:p>
        </w:tc>
        <w:tc>
          <w:tcPr>
            <w:tcW w:w="469" w:type="pct"/>
            <w:vAlign w:val="center"/>
          </w:tcPr>
          <w:p w14:paraId="45E9A8B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0.865</w:t>
            </w:r>
          </w:p>
        </w:tc>
        <w:tc>
          <w:tcPr>
            <w:tcW w:w="469" w:type="pct"/>
            <w:vAlign w:val="center"/>
          </w:tcPr>
          <w:p w14:paraId="6AC48103">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0.713</w:t>
            </w:r>
          </w:p>
        </w:tc>
        <w:tc>
          <w:tcPr>
            <w:tcW w:w="469" w:type="pct"/>
            <w:vAlign w:val="center"/>
          </w:tcPr>
          <w:p w14:paraId="620D068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0.613</w:t>
            </w:r>
          </w:p>
        </w:tc>
        <w:tc>
          <w:tcPr>
            <w:tcW w:w="471" w:type="pct"/>
            <w:vAlign w:val="center"/>
          </w:tcPr>
          <w:p w14:paraId="3EC96B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0.715</w:t>
            </w:r>
          </w:p>
        </w:tc>
      </w:tr>
    </w:tbl>
    <w:p w14:paraId="201ECC9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p>
    <w:p w14:paraId="5E992AA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精密度试验数据汇总表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
        <w:gridCol w:w="762"/>
        <w:gridCol w:w="863"/>
        <w:gridCol w:w="863"/>
        <w:gridCol w:w="965"/>
        <w:gridCol w:w="863"/>
        <w:gridCol w:w="974"/>
        <w:gridCol w:w="869"/>
        <w:gridCol w:w="870"/>
        <w:gridCol w:w="877"/>
      </w:tblGrid>
      <w:tr w14:paraId="10A3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gridSpan w:val="2"/>
            <w:vAlign w:val="center"/>
          </w:tcPr>
          <w:p w14:paraId="2B61FC1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试验单位</w:t>
            </w:r>
          </w:p>
        </w:tc>
        <w:tc>
          <w:tcPr>
            <w:tcW w:w="2973" w:type="dxa"/>
            <w:gridSpan w:val="2"/>
            <w:vAlign w:val="center"/>
          </w:tcPr>
          <w:p w14:paraId="4949E85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葫芦岛锌业股份</w:t>
            </w:r>
          </w:p>
        </w:tc>
        <w:tc>
          <w:tcPr>
            <w:tcW w:w="2975" w:type="dxa"/>
            <w:gridSpan w:val="2"/>
            <w:vAlign w:val="center"/>
          </w:tcPr>
          <w:p w14:paraId="662B336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云铜锌业</w:t>
            </w:r>
          </w:p>
        </w:tc>
        <w:tc>
          <w:tcPr>
            <w:tcW w:w="1849" w:type="dxa"/>
            <w:vAlign w:val="center"/>
          </w:tcPr>
          <w:p w14:paraId="5B9631D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南方有色</w:t>
            </w:r>
          </w:p>
        </w:tc>
        <w:tc>
          <w:tcPr>
            <w:tcW w:w="3532" w:type="dxa"/>
            <w:gridSpan w:val="2"/>
            <w:vAlign w:val="center"/>
          </w:tcPr>
          <w:p w14:paraId="5FD9832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驰宏锌锗</w:t>
            </w:r>
          </w:p>
        </w:tc>
        <w:tc>
          <w:tcPr>
            <w:tcW w:w="2030" w:type="dxa"/>
            <w:vAlign w:val="center"/>
          </w:tcPr>
          <w:p w14:paraId="6017EA1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韶关冶炼厂</w:t>
            </w:r>
          </w:p>
        </w:tc>
      </w:tr>
      <w:tr w14:paraId="42C8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gridSpan w:val="2"/>
            <w:vAlign w:val="center"/>
          </w:tcPr>
          <w:p w14:paraId="6AEB87B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试验对象</w:t>
            </w:r>
          </w:p>
        </w:tc>
        <w:tc>
          <w:tcPr>
            <w:tcW w:w="1486" w:type="dxa"/>
            <w:vAlign w:val="center"/>
          </w:tcPr>
          <w:p w14:paraId="197375E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瀚丰</w:t>
            </w:r>
          </w:p>
        </w:tc>
        <w:tc>
          <w:tcPr>
            <w:tcW w:w="1487" w:type="dxa"/>
            <w:vAlign w:val="center"/>
          </w:tcPr>
          <w:p w14:paraId="2428A33E">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澳大利亚</w:t>
            </w:r>
          </w:p>
        </w:tc>
        <w:tc>
          <w:tcPr>
            <w:tcW w:w="1488" w:type="dxa"/>
            <w:vAlign w:val="center"/>
          </w:tcPr>
          <w:p w14:paraId="31ADF33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南非</w:t>
            </w:r>
          </w:p>
        </w:tc>
        <w:tc>
          <w:tcPr>
            <w:tcW w:w="1487" w:type="dxa"/>
            <w:vAlign w:val="center"/>
          </w:tcPr>
          <w:p w14:paraId="5AD20E9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金厂河</w:t>
            </w:r>
          </w:p>
        </w:tc>
        <w:tc>
          <w:tcPr>
            <w:tcW w:w="1849" w:type="dxa"/>
            <w:vAlign w:val="center"/>
          </w:tcPr>
          <w:p w14:paraId="02532A5D">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广西环江</w:t>
            </w:r>
          </w:p>
        </w:tc>
        <w:tc>
          <w:tcPr>
            <w:tcW w:w="1746" w:type="dxa"/>
            <w:vAlign w:val="center"/>
          </w:tcPr>
          <w:p w14:paraId="6028DB7B">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诚诚锌精矿</w:t>
            </w:r>
          </w:p>
        </w:tc>
        <w:tc>
          <w:tcPr>
            <w:tcW w:w="1786" w:type="dxa"/>
            <w:vAlign w:val="center"/>
          </w:tcPr>
          <w:p w14:paraId="662D3CB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新世纪锌精矿</w:t>
            </w:r>
          </w:p>
        </w:tc>
        <w:tc>
          <w:tcPr>
            <w:tcW w:w="2030" w:type="dxa"/>
            <w:vAlign w:val="center"/>
          </w:tcPr>
          <w:p w14:paraId="0983A86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国内小矿山</w:t>
            </w:r>
          </w:p>
        </w:tc>
      </w:tr>
      <w:tr w14:paraId="71FA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restart"/>
            <w:vAlign w:val="center"/>
          </w:tcPr>
          <w:p w14:paraId="3C350CA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w:t>
            </w:r>
          </w:p>
          <w:p w14:paraId="20808FD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验</w:t>
            </w:r>
          </w:p>
          <w:p w14:paraId="05F01E2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结</w:t>
            </w:r>
          </w:p>
          <w:p w14:paraId="4D10626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果</w:t>
            </w:r>
          </w:p>
        </w:tc>
        <w:tc>
          <w:tcPr>
            <w:tcW w:w="762" w:type="dxa"/>
            <w:vAlign w:val="center"/>
          </w:tcPr>
          <w:p w14:paraId="6D63B42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0"/>
                <w:sz w:val="21"/>
                <w:szCs w:val="21"/>
              </w:rPr>
              <w:object>
                <v:shape id="_x0000_i1066" o:spt="75" type="#_x0000_t75" style="height:17pt;width:19.9pt;" o:ole="t" filled="f" o:preferrelative="t" stroked="f" coordsize="21600,21600">
                  <v:path/>
                  <v:fill on="f" focussize="0,0"/>
                  <v:stroke on="f"/>
                  <v:imagedata r:id="rId45" o:title=""/>
                  <o:lock v:ext="edit" aspectratio="t"/>
                  <w10:wrap type="none"/>
                  <w10:anchorlock/>
                </v:shape>
                <o:OLEObject Type="Embed" ProgID="Equation.KSEE3" ShapeID="_x0000_i1066" DrawAspect="Content" ObjectID="_1468075766" r:id="rId67">
                  <o:LockedField>false</o:LockedField>
                </o:OLEObject>
              </w:object>
            </w:r>
          </w:p>
        </w:tc>
        <w:tc>
          <w:tcPr>
            <w:tcW w:w="1486" w:type="dxa"/>
            <w:vAlign w:val="center"/>
          </w:tcPr>
          <w:p w14:paraId="7D36631E">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0.118</w:t>
            </w:r>
          </w:p>
        </w:tc>
        <w:tc>
          <w:tcPr>
            <w:tcW w:w="1487" w:type="dxa"/>
            <w:vAlign w:val="center"/>
          </w:tcPr>
          <w:p w14:paraId="5F4E9CD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0.116</w:t>
            </w:r>
          </w:p>
        </w:tc>
        <w:tc>
          <w:tcPr>
            <w:tcW w:w="1488" w:type="dxa"/>
            <w:vAlign w:val="center"/>
          </w:tcPr>
          <w:p w14:paraId="1DCC874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0.0966</w:t>
            </w:r>
          </w:p>
        </w:tc>
        <w:tc>
          <w:tcPr>
            <w:tcW w:w="1487" w:type="dxa"/>
            <w:vAlign w:val="center"/>
          </w:tcPr>
          <w:p w14:paraId="48B29C0E">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0.127</w:t>
            </w:r>
          </w:p>
        </w:tc>
        <w:tc>
          <w:tcPr>
            <w:tcW w:w="1849" w:type="dxa"/>
            <w:vAlign w:val="center"/>
          </w:tcPr>
          <w:p w14:paraId="1243BB9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0.0519</w:t>
            </w:r>
          </w:p>
        </w:tc>
        <w:tc>
          <w:tcPr>
            <w:tcW w:w="1746" w:type="dxa"/>
            <w:vAlign w:val="center"/>
          </w:tcPr>
          <w:p w14:paraId="2E9DD4F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0.111</w:t>
            </w:r>
          </w:p>
        </w:tc>
        <w:tc>
          <w:tcPr>
            <w:tcW w:w="1786" w:type="dxa"/>
            <w:vAlign w:val="center"/>
          </w:tcPr>
          <w:p w14:paraId="06334D7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0.127</w:t>
            </w:r>
          </w:p>
        </w:tc>
        <w:tc>
          <w:tcPr>
            <w:tcW w:w="2030" w:type="dxa"/>
            <w:vAlign w:val="center"/>
          </w:tcPr>
          <w:p w14:paraId="3DD07B88">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0.4536</w:t>
            </w:r>
          </w:p>
        </w:tc>
      </w:tr>
      <w:tr w14:paraId="3BE5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continue"/>
            <w:vAlign w:val="center"/>
          </w:tcPr>
          <w:p w14:paraId="0A7B9CB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vAlign w:val="center"/>
          </w:tcPr>
          <w:p w14:paraId="56D429D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0"/>
                <w:sz w:val="21"/>
                <w:szCs w:val="21"/>
              </w:rPr>
              <w:object>
                <v:shape id="_x0000_i1067" o:spt="75" type="#_x0000_t75" style="height:17pt;width:17.85pt;" o:ole="t" filled="f" o:preferrelative="t" stroked="f" coordsize="21600,21600">
                  <v:path/>
                  <v:fill on="f" focussize="0,0"/>
                  <v:stroke on="f"/>
                  <v:imagedata r:id="rId47" o:title=""/>
                  <o:lock v:ext="edit" aspectratio="t"/>
                  <w10:wrap type="none"/>
                  <w10:anchorlock/>
                </v:shape>
                <o:OLEObject Type="Embed" ProgID="Equation.KSEE3" ShapeID="_x0000_i1067" DrawAspect="Content" ObjectID="_1468075767" r:id="rId68">
                  <o:LockedField>false</o:LockedField>
                </o:OLEObject>
              </w:object>
            </w:r>
          </w:p>
        </w:tc>
        <w:tc>
          <w:tcPr>
            <w:tcW w:w="1486" w:type="dxa"/>
            <w:vAlign w:val="center"/>
          </w:tcPr>
          <w:p w14:paraId="01558B2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0.1081</w:t>
            </w:r>
          </w:p>
        </w:tc>
        <w:tc>
          <w:tcPr>
            <w:tcW w:w="1487" w:type="dxa"/>
            <w:vAlign w:val="center"/>
          </w:tcPr>
          <w:p w14:paraId="24EAAB2D">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0.0187</w:t>
            </w:r>
          </w:p>
        </w:tc>
        <w:tc>
          <w:tcPr>
            <w:tcW w:w="1488" w:type="dxa"/>
            <w:vAlign w:val="center"/>
          </w:tcPr>
          <w:p w14:paraId="1FC3CEE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0.0161</w:t>
            </w:r>
          </w:p>
        </w:tc>
        <w:tc>
          <w:tcPr>
            <w:tcW w:w="1487" w:type="dxa"/>
            <w:vAlign w:val="center"/>
          </w:tcPr>
          <w:p w14:paraId="6A89730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0.106</w:t>
            </w:r>
          </w:p>
        </w:tc>
        <w:tc>
          <w:tcPr>
            <w:tcW w:w="1849" w:type="dxa"/>
            <w:vAlign w:val="center"/>
          </w:tcPr>
          <w:p w14:paraId="46F33098">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0.00960</w:t>
            </w:r>
          </w:p>
        </w:tc>
        <w:tc>
          <w:tcPr>
            <w:tcW w:w="1746" w:type="dxa"/>
            <w:vAlign w:val="center"/>
          </w:tcPr>
          <w:p w14:paraId="28DA532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0.061</w:t>
            </w:r>
          </w:p>
        </w:tc>
        <w:tc>
          <w:tcPr>
            <w:tcW w:w="1786" w:type="dxa"/>
            <w:vAlign w:val="center"/>
          </w:tcPr>
          <w:p w14:paraId="3A08513B">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0.372</w:t>
            </w:r>
          </w:p>
        </w:tc>
        <w:tc>
          <w:tcPr>
            <w:tcW w:w="2030" w:type="dxa"/>
            <w:vAlign w:val="center"/>
          </w:tcPr>
          <w:p w14:paraId="66C112B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0.1793</w:t>
            </w:r>
          </w:p>
        </w:tc>
      </w:tr>
      <w:tr w14:paraId="005F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continue"/>
            <w:vAlign w:val="center"/>
          </w:tcPr>
          <w:p w14:paraId="5C28ED0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vAlign w:val="center"/>
          </w:tcPr>
          <w:p w14:paraId="5C675CE8">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6"/>
                <w:sz w:val="21"/>
                <w:szCs w:val="21"/>
              </w:rPr>
              <w:object>
                <v:shape id="_x0000_i1068" o:spt="75" type="#_x0000_t75" style="height:16pt;width:19.95pt;" o:ole="t" filled="f" o:preferrelative="t" stroked="f" coordsize="21600,21600">
                  <v:path/>
                  <v:fill on="f" focussize="0,0"/>
                  <v:stroke on="f"/>
                  <v:imagedata r:id="rId49" o:title=""/>
                  <o:lock v:ext="edit" aspectratio="t"/>
                  <w10:wrap type="none"/>
                  <w10:anchorlock/>
                </v:shape>
                <o:OLEObject Type="Embed" ProgID="Equation.KSEE3" ShapeID="_x0000_i1068" DrawAspect="Content" ObjectID="_1468075768" r:id="rId69">
                  <o:LockedField>false</o:LockedField>
                </o:OLEObject>
              </w:object>
            </w:r>
          </w:p>
        </w:tc>
        <w:tc>
          <w:tcPr>
            <w:tcW w:w="1486" w:type="dxa"/>
            <w:vAlign w:val="center"/>
          </w:tcPr>
          <w:p w14:paraId="18BEDCE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0.294</w:t>
            </w:r>
          </w:p>
        </w:tc>
        <w:tc>
          <w:tcPr>
            <w:tcW w:w="1487" w:type="dxa"/>
            <w:vAlign w:val="center"/>
          </w:tcPr>
          <w:p w14:paraId="1BF2939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0.0558</w:t>
            </w:r>
          </w:p>
        </w:tc>
        <w:tc>
          <w:tcPr>
            <w:tcW w:w="1488" w:type="dxa"/>
            <w:vAlign w:val="center"/>
          </w:tcPr>
          <w:p w14:paraId="5D3FC29B">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0.00632</w:t>
            </w:r>
          </w:p>
        </w:tc>
        <w:tc>
          <w:tcPr>
            <w:tcW w:w="1487" w:type="dxa"/>
            <w:vAlign w:val="center"/>
          </w:tcPr>
          <w:p w14:paraId="73FDF715">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0.124</w:t>
            </w:r>
          </w:p>
        </w:tc>
        <w:tc>
          <w:tcPr>
            <w:tcW w:w="1849" w:type="dxa"/>
            <w:vAlign w:val="center"/>
          </w:tcPr>
          <w:p w14:paraId="292A9AE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0.225</w:t>
            </w:r>
          </w:p>
        </w:tc>
        <w:tc>
          <w:tcPr>
            <w:tcW w:w="1746" w:type="dxa"/>
            <w:vAlign w:val="center"/>
          </w:tcPr>
          <w:p w14:paraId="3FCADBD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0.0642</w:t>
            </w:r>
          </w:p>
        </w:tc>
        <w:tc>
          <w:tcPr>
            <w:tcW w:w="1786" w:type="dxa"/>
            <w:vAlign w:val="center"/>
          </w:tcPr>
          <w:p w14:paraId="3CEC304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0.0764</w:t>
            </w:r>
          </w:p>
        </w:tc>
        <w:tc>
          <w:tcPr>
            <w:tcW w:w="2030" w:type="dxa"/>
            <w:vAlign w:val="center"/>
          </w:tcPr>
          <w:p w14:paraId="5D94278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0.114</w:t>
            </w:r>
          </w:p>
        </w:tc>
      </w:tr>
      <w:tr w14:paraId="5398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continue"/>
            <w:vAlign w:val="center"/>
          </w:tcPr>
          <w:p w14:paraId="4C21228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vAlign w:val="center"/>
          </w:tcPr>
          <w:p w14:paraId="36E141EF">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69" o:spt="75" type="#_x0000_t75" style="height:18pt;width:16.8pt;" o:ole="t" filled="f" o:preferrelative="t" stroked="f" coordsize="21600,21600">
                  <v:path/>
                  <v:fill on="f" focussize="0,0"/>
                  <v:stroke on="f"/>
                  <v:imagedata r:id="rId51" o:title=""/>
                  <o:lock v:ext="edit" aspectratio="t"/>
                  <w10:wrap type="none"/>
                  <w10:anchorlock/>
                </v:shape>
                <o:OLEObject Type="Embed" ProgID="Equation.KSEE3" ShapeID="_x0000_i1069" DrawAspect="Content" ObjectID="_1468075769" r:id="rId70">
                  <o:LockedField>false</o:LockedField>
                </o:OLEObject>
              </w:object>
            </w:r>
          </w:p>
        </w:tc>
        <w:tc>
          <w:tcPr>
            <w:tcW w:w="1486" w:type="dxa"/>
            <w:vAlign w:val="center"/>
          </w:tcPr>
          <w:p w14:paraId="4CD40D5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0.208</w:t>
            </w:r>
          </w:p>
        </w:tc>
        <w:tc>
          <w:tcPr>
            <w:tcW w:w="1487" w:type="dxa"/>
            <w:vAlign w:val="center"/>
          </w:tcPr>
          <w:p w14:paraId="614A577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0.0395</w:t>
            </w:r>
          </w:p>
        </w:tc>
        <w:tc>
          <w:tcPr>
            <w:tcW w:w="1488" w:type="dxa"/>
            <w:vAlign w:val="center"/>
          </w:tcPr>
          <w:p w14:paraId="7F520628">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0.00447</w:t>
            </w:r>
          </w:p>
        </w:tc>
        <w:tc>
          <w:tcPr>
            <w:tcW w:w="1487" w:type="dxa"/>
            <w:vAlign w:val="center"/>
          </w:tcPr>
          <w:p w14:paraId="4A98C7E8">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0.0877</w:t>
            </w:r>
          </w:p>
        </w:tc>
        <w:tc>
          <w:tcPr>
            <w:tcW w:w="1849" w:type="dxa"/>
            <w:vAlign w:val="center"/>
          </w:tcPr>
          <w:p w14:paraId="2007813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0.318</w:t>
            </w:r>
          </w:p>
        </w:tc>
        <w:tc>
          <w:tcPr>
            <w:tcW w:w="1746" w:type="dxa"/>
            <w:vAlign w:val="center"/>
          </w:tcPr>
          <w:p w14:paraId="4A57A79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0.0908</w:t>
            </w:r>
          </w:p>
        </w:tc>
        <w:tc>
          <w:tcPr>
            <w:tcW w:w="1786" w:type="dxa"/>
            <w:vAlign w:val="center"/>
          </w:tcPr>
          <w:p w14:paraId="1D92C1F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0.108</w:t>
            </w:r>
          </w:p>
        </w:tc>
        <w:tc>
          <w:tcPr>
            <w:tcW w:w="2030" w:type="dxa"/>
            <w:vAlign w:val="center"/>
          </w:tcPr>
          <w:p w14:paraId="0987D8B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0.081</w:t>
            </w:r>
          </w:p>
        </w:tc>
      </w:tr>
      <w:tr w14:paraId="2180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continue"/>
            <w:vAlign w:val="center"/>
          </w:tcPr>
          <w:p w14:paraId="4DB0504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vAlign w:val="center"/>
          </w:tcPr>
          <w:p w14:paraId="7810765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0"/>
                <w:sz w:val="21"/>
                <w:szCs w:val="21"/>
              </w:rPr>
              <w:object>
                <v:shape id="_x0000_i1070" o:spt="75" type="#_x0000_t75" style="height:17pt;width:19.95pt;" o:ole="t" filled="f" o:preferrelative="t" stroked="f" coordsize="21600,21600">
                  <v:path/>
                  <v:fill on="f" focussize="0,0"/>
                  <v:stroke on="f"/>
                  <v:imagedata r:id="rId53" o:title=""/>
                  <o:lock v:ext="edit" aspectratio="t"/>
                  <w10:wrap type="none"/>
                  <w10:anchorlock/>
                </v:shape>
                <o:OLEObject Type="Embed" ProgID="Equation.KSEE3" ShapeID="_x0000_i1070" DrawAspect="Content" ObjectID="_1468075770" r:id="rId71">
                  <o:LockedField>false</o:LockedField>
                </o:OLEObject>
              </w:object>
            </w:r>
          </w:p>
        </w:tc>
        <w:tc>
          <w:tcPr>
            <w:tcW w:w="1486" w:type="dxa"/>
            <w:vAlign w:val="center"/>
          </w:tcPr>
          <w:p w14:paraId="4444884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0.236</w:t>
            </w:r>
          </w:p>
        </w:tc>
        <w:tc>
          <w:tcPr>
            <w:tcW w:w="1487" w:type="dxa"/>
            <w:vAlign w:val="center"/>
          </w:tcPr>
          <w:p w14:paraId="2E032C6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0.232</w:t>
            </w:r>
          </w:p>
        </w:tc>
        <w:tc>
          <w:tcPr>
            <w:tcW w:w="1488" w:type="dxa"/>
            <w:vAlign w:val="center"/>
          </w:tcPr>
          <w:p w14:paraId="17EC5B7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0.193</w:t>
            </w:r>
          </w:p>
        </w:tc>
        <w:tc>
          <w:tcPr>
            <w:tcW w:w="1487" w:type="dxa"/>
            <w:vAlign w:val="center"/>
          </w:tcPr>
          <w:p w14:paraId="55905A3B">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0.254</w:t>
            </w:r>
          </w:p>
        </w:tc>
        <w:tc>
          <w:tcPr>
            <w:tcW w:w="1849" w:type="dxa"/>
            <w:vAlign w:val="center"/>
          </w:tcPr>
          <w:p w14:paraId="75BF3A2D">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0.104</w:t>
            </w:r>
          </w:p>
        </w:tc>
        <w:tc>
          <w:tcPr>
            <w:tcW w:w="1746" w:type="dxa"/>
            <w:vAlign w:val="center"/>
          </w:tcPr>
          <w:p w14:paraId="700A924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0.222</w:t>
            </w:r>
          </w:p>
        </w:tc>
        <w:tc>
          <w:tcPr>
            <w:tcW w:w="1786" w:type="dxa"/>
            <w:vAlign w:val="center"/>
          </w:tcPr>
          <w:p w14:paraId="4A49676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0.254</w:t>
            </w:r>
          </w:p>
        </w:tc>
        <w:tc>
          <w:tcPr>
            <w:tcW w:w="2030" w:type="dxa"/>
            <w:vAlign w:val="center"/>
          </w:tcPr>
          <w:p w14:paraId="35634D2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0.907</w:t>
            </w:r>
          </w:p>
        </w:tc>
      </w:tr>
      <w:tr w14:paraId="0830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continue"/>
            <w:vAlign w:val="center"/>
          </w:tcPr>
          <w:p w14:paraId="3C9423A9">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vAlign w:val="center"/>
          </w:tcPr>
          <w:p w14:paraId="5D24345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0"/>
                <w:sz w:val="21"/>
                <w:szCs w:val="21"/>
              </w:rPr>
              <w:object>
                <v:shape id="_x0000_i1071" o:spt="75" type="#_x0000_t75" style="height:17pt;width:17.85pt;" o:ole="t" filled="f" o:preferrelative="t" stroked="f" coordsize="21600,21600">
                  <v:path/>
                  <v:fill on="f" focussize="0,0"/>
                  <v:stroke on="f"/>
                  <v:imagedata r:id="rId31" o:title=""/>
                  <o:lock v:ext="edit" aspectratio="t"/>
                  <w10:wrap type="none"/>
                  <w10:anchorlock/>
                </v:shape>
                <o:OLEObject Type="Embed" ProgID="Equation.KSEE3" ShapeID="_x0000_i1071" DrawAspect="Content" ObjectID="_1468075771" r:id="rId72">
                  <o:LockedField>false</o:LockedField>
                </o:OLEObject>
              </w:object>
            </w:r>
          </w:p>
        </w:tc>
        <w:tc>
          <w:tcPr>
            <w:tcW w:w="1486" w:type="dxa"/>
            <w:vAlign w:val="center"/>
          </w:tcPr>
          <w:p w14:paraId="396BFDE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0.216</w:t>
            </w:r>
          </w:p>
        </w:tc>
        <w:tc>
          <w:tcPr>
            <w:tcW w:w="1487" w:type="dxa"/>
            <w:vAlign w:val="center"/>
          </w:tcPr>
          <w:p w14:paraId="4281253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0.037</w:t>
            </w:r>
          </w:p>
        </w:tc>
        <w:tc>
          <w:tcPr>
            <w:tcW w:w="1488" w:type="dxa"/>
            <w:vAlign w:val="center"/>
          </w:tcPr>
          <w:p w14:paraId="3849604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0.0322</w:t>
            </w:r>
          </w:p>
        </w:tc>
        <w:tc>
          <w:tcPr>
            <w:tcW w:w="1487" w:type="dxa"/>
            <w:vAlign w:val="center"/>
          </w:tcPr>
          <w:p w14:paraId="3C629E28">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0.212</w:t>
            </w:r>
          </w:p>
        </w:tc>
        <w:tc>
          <w:tcPr>
            <w:tcW w:w="1849" w:type="dxa"/>
            <w:vAlign w:val="center"/>
          </w:tcPr>
          <w:p w14:paraId="2AFC5DCE">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0.0192</w:t>
            </w:r>
          </w:p>
        </w:tc>
        <w:tc>
          <w:tcPr>
            <w:tcW w:w="1746" w:type="dxa"/>
            <w:vAlign w:val="center"/>
          </w:tcPr>
          <w:p w14:paraId="036FA33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0.122</w:t>
            </w:r>
          </w:p>
        </w:tc>
        <w:tc>
          <w:tcPr>
            <w:tcW w:w="1786" w:type="dxa"/>
            <w:vAlign w:val="center"/>
          </w:tcPr>
          <w:p w14:paraId="6E1B54CD">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0.744</w:t>
            </w:r>
          </w:p>
        </w:tc>
        <w:tc>
          <w:tcPr>
            <w:tcW w:w="2030" w:type="dxa"/>
            <w:vAlign w:val="center"/>
          </w:tcPr>
          <w:p w14:paraId="18577E6E">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0.359</w:t>
            </w:r>
          </w:p>
        </w:tc>
      </w:tr>
      <w:tr w14:paraId="69FE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continue"/>
            <w:vAlign w:val="center"/>
          </w:tcPr>
          <w:p w14:paraId="5476845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vAlign w:val="center"/>
          </w:tcPr>
          <w:p w14:paraId="42E5F96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72" o:spt="75" type="#_x0000_t75" style="height:18pt;width:16.8pt;" o:ole="t" filled="f" o:preferrelative="t" stroked="f" coordsize="21600,21600">
                  <v:path/>
                  <v:fill on="f" focussize="0,0"/>
                  <v:stroke on="f"/>
                  <v:imagedata r:id="rId33" o:title=""/>
                  <o:lock v:ext="edit" aspectratio="t"/>
                  <w10:wrap type="none"/>
                  <w10:anchorlock/>
                </v:shape>
                <o:OLEObject Type="Embed" ProgID="Equation.KSEE3" ShapeID="_x0000_i1072" DrawAspect="Content" ObjectID="_1468075772" r:id="rId73">
                  <o:LockedField>false</o:LockedField>
                </o:OLEObject>
              </w:object>
            </w:r>
          </w:p>
        </w:tc>
        <w:tc>
          <w:tcPr>
            <w:tcW w:w="1486" w:type="dxa"/>
            <w:vAlign w:val="center"/>
          </w:tcPr>
          <w:p w14:paraId="718EE7F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0.588</w:t>
            </w:r>
          </w:p>
        </w:tc>
        <w:tc>
          <w:tcPr>
            <w:tcW w:w="1487" w:type="dxa"/>
            <w:vAlign w:val="center"/>
          </w:tcPr>
          <w:p w14:paraId="11A224DB">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0.078</w:t>
            </w:r>
          </w:p>
        </w:tc>
        <w:tc>
          <w:tcPr>
            <w:tcW w:w="1488" w:type="dxa"/>
            <w:vAlign w:val="center"/>
          </w:tcPr>
          <w:p w14:paraId="458D56A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0.00894</w:t>
            </w:r>
          </w:p>
        </w:tc>
        <w:tc>
          <w:tcPr>
            <w:tcW w:w="1487" w:type="dxa"/>
            <w:vAlign w:val="center"/>
          </w:tcPr>
          <w:p w14:paraId="22C3263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0.175</w:t>
            </w:r>
          </w:p>
        </w:tc>
        <w:tc>
          <w:tcPr>
            <w:tcW w:w="1849" w:type="dxa"/>
            <w:vAlign w:val="center"/>
          </w:tcPr>
          <w:p w14:paraId="500F0340">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0.450</w:t>
            </w:r>
          </w:p>
        </w:tc>
        <w:tc>
          <w:tcPr>
            <w:tcW w:w="1746" w:type="dxa"/>
            <w:vAlign w:val="center"/>
          </w:tcPr>
          <w:p w14:paraId="0AF6689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0.182</w:t>
            </w:r>
          </w:p>
        </w:tc>
        <w:tc>
          <w:tcPr>
            <w:tcW w:w="1786" w:type="dxa"/>
            <w:vAlign w:val="center"/>
          </w:tcPr>
          <w:p w14:paraId="6DFA38D1">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0.216</w:t>
            </w:r>
          </w:p>
        </w:tc>
        <w:tc>
          <w:tcPr>
            <w:tcW w:w="2030" w:type="dxa"/>
            <w:vAlign w:val="center"/>
          </w:tcPr>
          <w:p w14:paraId="7BC0A0D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0.162</w:t>
            </w:r>
          </w:p>
        </w:tc>
      </w:tr>
      <w:tr w14:paraId="23EC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continue"/>
            <w:vAlign w:val="center"/>
          </w:tcPr>
          <w:p w14:paraId="493CA94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vAlign w:val="center"/>
          </w:tcPr>
          <w:p w14:paraId="3A3C347C">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73" o:spt="75" type="#_x0000_t75" style="height:18pt;width:27.25pt;" o:ole="t" filled="f" o:preferrelative="t" stroked="f" coordsize="21600,21600">
                  <v:path/>
                  <v:fill on="f" focussize="0,0"/>
                  <v:stroke on="f"/>
                  <v:imagedata r:id="rId57" o:title=""/>
                  <o:lock v:ext="edit" aspectratio="t"/>
                  <w10:wrap type="none"/>
                  <w10:anchorlock/>
                </v:shape>
                <o:OLEObject Type="Embed" ProgID="Equation.KSEE3" ShapeID="_x0000_i1073" DrawAspect="Content" ObjectID="_1468075773" r:id="rId74">
                  <o:LockedField>false</o:LockedField>
                </o:OLEObject>
              </w:object>
            </w:r>
          </w:p>
        </w:tc>
        <w:tc>
          <w:tcPr>
            <w:tcW w:w="1486" w:type="dxa"/>
            <w:vAlign w:val="center"/>
          </w:tcPr>
          <w:p w14:paraId="351A25F7">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0.262</w:t>
            </w:r>
          </w:p>
        </w:tc>
        <w:tc>
          <w:tcPr>
            <w:tcW w:w="1487" w:type="dxa"/>
            <w:vAlign w:val="center"/>
          </w:tcPr>
          <w:p w14:paraId="32C6138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0.124</w:t>
            </w:r>
          </w:p>
        </w:tc>
        <w:tc>
          <w:tcPr>
            <w:tcW w:w="1488" w:type="dxa"/>
            <w:vAlign w:val="center"/>
          </w:tcPr>
          <w:p w14:paraId="54A1E0CC">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0.098</w:t>
            </w:r>
          </w:p>
        </w:tc>
        <w:tc>
          <w:tcPr>
            <w:tcW w:w="1487" w:type="dxa"/>
            <w:vAlign w:val="center"/>
          </w:tcPr>
          <w:p w14:paraId="3C56B1E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0.187</w:t>
            </w:r>
          </w:p>
        </w:tc>
        <w:tc>
          <w:tcPr>
            <w:tcW w:w="1849" w:type="dxa"/>
            <w:vAlign w:val="center"/>
          </w:tcPr>
          <w:p w14:paraId="1E1EB1D4">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0.322</w:t>
            </w:r>
          </w:p>
        </w:tc>
        <w:tc>
          <w:tcPr>
            <w:tcW w:w="1746" w:type="dxa"/>
            <w:vAlign w:val="center"/>
          </w:tcPr>
          <w:p w14:paraId="424A6405">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0.126</w:t>
            </w:r>
          </w:p>
        </w:tc>
        <w:tc>
          <w:tcPr>
            <w:tcW w:w="1786" w:type="dxa"/>
            <w:vAlign w:val="center"/>
          </w:tcPr>
          <w:p w14:paraId="6A26E23D">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0.408</w:t>
            </w:r>
          </w:p>
        </w:tc>
        <w:tc>
          <w:tcPr>
            <w:tcW w:w="2030" w:type="dxa"/>
            <w:vAlign w:val="center"/>
          </w:tcPr>
          <w:p w14:paraId="47A6B959">
            <w:pPr>
              <w:keepNext w:val="0"/>
              <w:keepLines w:val="0"/>
              <w:pageBreakBefore w:val="0"/>
              <w:widowControl/>
              <w:suppressLineNumbers w:val="0"/>
              <w:kinsoku/>
              <w:wordWrap/>
              <w:overflowPunct/>
              <w:topLinePunct w:val="0"/>
              <w:bidi w:val="0"/>
              <w:spacing w:beforeAutospacing="0" w:afterAutospacing="0"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0.494</w:t>
            </w:r>
          </w:p>
        </w:tc>
      </w:tr>
      <w:tr w14:paraId="07CF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continue"/>
            <w:vAlign w:val="center"/>
          </w:tcPr>
          <w:p w14:paraId="32B4336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vAlign w:val="center"/>
          </w:tcPr>
          <w:p w14:paraId="4B2991A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color w:val="auto"/>
                <w:position w:val="-12"/>
                <w:sz w:val="21"/>
                <w:szCs w:val="21"/>
              </w:rPr>
              <w:object>
                <v:shape id="_x0000_i1074" o:spt="75" type="#_x0000_t75" style="height:18pt;width:27.3pt;" o:ole="t" filled="f" o:preferrelative="t" stroked="f" coordsize="21600,21600">
                  <v:path/>
                  <v:fill on="f" focussize="0,0"/>
                  <v:stroke on="f"/>
                  <v:imagedata r:id="rId35" o:title=""/>
                  <o:lock v:ext="edit" aspectratio="t"/>
                  <w10:wrap type="none"/>
                  <w10:anchorlock/>
                </v:shape>
                <o:OLEObject Type="Embed" ProgID="Equation.KSEE3" ShapeID="_x0000_i1074" DrawAspect="Content" ObjectID="_1468075774" r:id="rId75">
                  <o:LockedField>false</o:LockedField>
                </o:OLEObject>
              </w:object>
            </w:r>
          </w:p>
        </w:tc>
        <w:tc>
          <w:tcPr>
            <w:tcW w:w="1486" w:type="dxa"/>
            <w:vAlign w:val="center"/>
          </w:tcPr>
          <w:p w14:paraId="7B9A613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0.525</w:t>
            </w:r>
          </w:p>
        </w:tc>
        <w:tc>
          <w:tcPr>
            <w:tcW w:w="1487" w:type="dxa"/>
            <w:vAlign w:val="center"/>
          </w:tcPr>
          <w:p w14:paraId="757981A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0.248</w:t>
            </w:r>
          </w:p>
        </w:tc>
        <w:tc>
          <w:tcPr>
            <w:tcW w:w="1488" w:type="dxa"/>
            <w:vAlign w:val="center"/>
          </w:tcPr>
          <w:p w14:paraId="4CA4CF7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0.196</w:t>
            </w:r>
          </w:p>
        </w:tc>
        <w:tc>
          <w:tcPr>
            <w:tcW w:w="1487" w:type="dxa"/>
            <w:vAlign w:val="center"/>
          </w:tcPr>
          <w:p w14:paraId="2FE2636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0.374</w:t>
            </w:r>
          </w:p>
        </w:tc>
        <w:tc>
          <w:tcPr>
            <w:tcW w:w="1849" w:type="dxa"/>
            <w:vAlign w:val="center"/>
          </w:tcPr>
          <w:p w14:paraId="6E33CF44">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0.644</w:t>
            </w:r>
          </w:p>
        </w:tc>
        <w:tc>
          <w:tcPr>
            <w:tcW w:w="1746" w:type="dxa"/>
            <w:vAlign w:val="center"/>
          </w:tcPr>
          <w:p w14:paraId="4E4C1A6A">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0.252</w:t>
            </w:r>
          </w:p>
        </w:tc>
        <w:tc>
          <w:tcPr>
            <w:tcW w:w="1786" w:type="dxa"/>
            <w:vAlign w:val="center"/>
          </w:tcPr>
          <w:p w14:paraId="659B8293">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0.815</w:t>
            </w:r>
          </w:p>
        </w:tc>
        <w:tc>
          <w:tcPr>
            <w:tcW w:w="2030" w:type="dxa"/>
            <w:vAlign w:val="center"/>
          </w:tcPr>
          <w:p w14:paraId="0906F267">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0.989</w:t>
            </w:r>
          </w:p>
        </w:tc>
      </w:tr>
    </w:tbl>
    <w:p w14:paraId="31C2F08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20" w:firstLineChars="200"/>
        <w:jc w:val="left"/>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《品质波动试验汇总表》显示，品质波动值范围为0.126～1.728；其中0.50以下的占47.3%，0.5～1.0之间的占39.2%，1～2.0之间的占13.5%。</w:t>
      </w:r>
    </w:p>
    <w:p w14:paraId="1C2E9886">
      <w:pPr>
        <w:keepNext w:val="0"/>
        <w:keepLines w:val="0"/>
        <w:pageBreakBefore w:val="0"/>
        <w:widowControl w:val="0"/>
        <w:tabs>
          <w:tab w:val="left" w:pos="5400"/>
        </w:tabs>
        <w:kinsoku/>
        <w:wordWrap/>
        <w:overflowPunct/>
        <w:topLinePunct w:val="0"/>
        <w:autoSpaceDE/>
        <w:autoSpaceDN/>
        <w:bidi w:val="0"/>
        <w:adjustRightInd/>
        <w:snapToGrid/>
        <w:spacing w:beforeAutospacing="0" w:afterAutospacing="0" w:line="240" w:lineRule="auto"/>
        <w:ind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《精密度试验汇总表》显示，总精密度</w:t>
      </w:r>
      <w:r>
        <w:rPr>
          <w:rFonts w:hint="eastAsia" w:ascii="宋体" w:hAnsi="宋体" w:eastAsia="宋体" w:cs="宋体"/>
          <w:color w:val="auto"/>
          <w:sz w:val="21"/>
          <w:szCs w:val="21"/>
          <w:lang w:val="en-US" w:eastAsia="zh-CN"/>
        </w:rPr>
        <w:t>范围为0.196～0.989。所以根据试验结果，结合日常工作时间，确定取样、制样及总精密度</w:t>
      </w:r>
      <w:r>
        <w:rPr>
          <w:rFonts w:hint="eastAsia" w:ascii="宋体" w:hAnsi="宋体" w:eastAsia="宋体" w:cs="宋体"/>
          <w:color w:val="auto"/>
          <w:sz w:val="21"/>
          <w:szCs w:val="21"/>
          <w:highlight w:val="none"/>
          <w:lang w:val="en-US" w:eastAsia="zh-CN"/>
        </w:rPr>
        <w:t>总精密度</w:t>
      </w:r>
      <w:r>
        <w:rPr>
          <w:rFonts w:hint="eastAsia" w:ascii="宋体" w:hAnsi="宋体" w:eastAsia="宋体" w:cs="宋体"/>
          <w:color w:val="auto"/>
          <w:sz w:val="21"/>
          <w:szCs w:val="21"/>
          <w:lang w:val="en-US" w:eastAsia="zh-CN"/>
        </w:rPr>
        <w:t>为0.50%。</w:t>
      </w:r>
    </w:p>
    <w:p w14:paraId="6C0AC8B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取样系统误差校核试验</w:t>
      </w:r>
      <w:r>
        <w:rPr>
          <w:rFonts w:hint="eastAsia" w:ascii="宋体" w:hAnsi="宋体" w:eastAsia="宋体" w:cs="宋体"/>
          <w:color w:val="auto"/>
          <w:sz w:val="21"/>
          <w:szCs w:val="21"/>
          <w:highlight w:val="none"/>
          <w:lang w:val="en-US" w:eastAsia="zh-CN"/>
        </w:rPr>
        <w:t>均显示</w:t>
      </w:r>
      <m:oMath>
        <m:sSub>
          <m:sSubPr>
            <m:ctrlPr>
              <w:rPr>
                <w:rFonts w:hint="default" w:ascii="Cambria Math" w:hAnsi="Cambria Math" w:eastAsia="宋体" w:cs="宋体"/>
                <w:color w:val="auto"/>
                <w:sz w:val="21"/>
                <w:szCs w:val="21"/>
                <w:highlight w:val="none"/>
                <w:lang w:val="en-US" w:eastAsia="zh-CN"/>
              </w:rPr>
            </m:ctrlPr>
          </m:sSubPr>
          <m:e>
            <m:r>
              <m:rPr>
                <m:sty m:val="p"/>
              </m:rPr>
              <w:rPr>
                <w:rFonts w:hint="default" w:ascii="Cambria Math" w:hAnsi="Cambria Math" w:eastAsia="宋体" w:cs="宋体"/>
                <w:color w:val="auto"/>
                <w:sz w:val="21"/>
                <w:szCs w:val="21"/>
                <w:highlight w:val="none"/>
                <w:lang w:val="en-US" w:eastAsia="zh-CN"/>
              </w:rPr>
              <m:t xml:space="preserve"> t</m:t>
            </m:r>
            <m:ctrlPr>
              <w:rPr>
                <w:rFonts w:hint="default" w:ascii="Cambria Math" w:hAnsi="Cambria Math" w:eastAsia="宋体" w:cs="宋体"/>
                <w:color w:val="auto"/>
                <w:sz w:val="21"/>
                <w:szCs w:val="21"/>
                <w:highlight w:val="none"/>
                <w:lang w:val="en-US" w:eastAsia="zh-CN"/>
              </w:rPr>
            </m:ctrlPr>
          </m:e>
          <m:sub>
            <m:r>
              <m:rPr>
                <m:sty m:val="p"/>
              </m:rPr>
              <w:rPr>
                <w:rFonts w:hint="default" w:ascii="Cambria Math" w:hAnsi="Cambria Math" w:eastAsia="宋体" w:cs="宋体"/>
                <w:color w:val="auto"/>
                <w:sz w:val="21"/>
                <w:szCs w:val="21"/>
                <w:highlight w:val="none"/>
                <w:lang w:val="en-US" w:eastAsia="zh-CN"/>
              </w:rPr>
              <m:t>0</m:t>
            </m:r>
            <m:ctrlPr>
              <w:rPr>
                <w:rFonts w:hint="default" w:ascii="Cambria Math" w:hAnsi="Cambria Math" w:eastAsia="宋体" w:cs="宋体"/>
                <w:color w:val="auto"/>
                <w:sz w:val="21"/>
                <w:szCs w:val="21"/>
                <w:highlight w:val="none"/>
                <w:lang w:val="en-US" w:eastAsia="zh-CN"/>
              </w:rPr>
            </m:ctrlPr>
          </m:sub>
        </m:sSub>
      </m:oMath>
      <w:r>
        <w:rPr>
          <w:rFonts w:hint="default" w:ascii="宋体" w:hAnsi="宋体" w:eastAsia="宋体" w:cs="宋体"/>
          <w:color w:val="auto"/>
          <w:sz w:val="21"/>
          <w:szCs w:val="21"/>
          <w:highlight w:val="none"/>
          <w:lang w:val="en-US" w:eastAsia="zh-CN"/>
        </w:rPr>
        <w:t>&lt; t</w:t>
      </w:r>
      <w:r>
        <w:rPr>
          <w:rFonts w:hint="eastAsia" w:ascii="宋体" w:hAnsi="宋体" w:eastAsia="宋体" w:cs="宋体"/>
          <w:color w:val="auto"/>
          <w:sz w:val="21"/>
          <w:szCs w:val="21"/>
          <w:highlight w:val="none"/>
          <w:lang w:val="en-US" w:eastAsia="zh-CN"/>
        </w:rPr>
        <w:t>。</w:t>
      </w:r>
    </w:p>
    <w:p w14:paraId="0A5F60A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hAnsi="黑体" w:cs="黑体"/>
          <w:b/>
          <w:bCs/>
          <w:color w:val="auto"/>
          <w:szCs w:val="21"/>
          <w:u w:val="none"/>
          <w:lang w:val="en-US" w:eastAsia="zh-CN"/>
        </w:rPr>
      </w:pPr>
      <w:r>
        <w:rPr>
          <w:rFonts w:hint="eastAsia" w:ascii="黑体" w:hAnsi="黑体" w:eastAsia="黑体" w:cs="黑体"/>
          <w:color w:val="auto"/>
          <w:kern w:val="0"/>
          <w:sz w:val="21"/>
          <w:szCs w:val="21"/>
          <w:lang w:val="en-US" w:eastAsia="zh-CN" w:bidi="ar-SA"/>
        </w:rPr>
        <w:t xml:space="preserve">1.4.3.3.4  </w:t>
      </w:r>
      <w:r>
        <w:rPr>
          <w:rFonts w:hint="eastAsia" w:hAnsi="黑体" w:cs="黑体"/>
          <w:b/>
          <w:bCs/>
          <w:color w:val="auto"/>
          <w:szCs w:val="21"/>
          <w:u w:val="none"/>
          <w:lang w:val="en-US" w:eastAsia="zh-CN"/>
        </w:rPr>
        <w:t>镍组试验情况</w:t>
      </w:r>
    </w:p>
    <w:p w14:paraId="213A888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20" w:firstLineChars="200"/>
        <w:jc w:val="both"/>
        <w:textAlignment w:val="auto"/>
        <w:rPr>
          <w:rFonts w:hint="eastAsia" w:hAnsi="黑体" w:cs="黑体" w:eastAsiaTheme="minorEastAsia"/>
          <w:bCs w:val="0"/>
          <w:color w:val="auto"/>
          <w:szCs w:val="21"/>
          <w:u w:val="none"/>
          <w:lang w:val="en-US" w:eastAsia="zh-CN"/>
        </w:rPr>
      </w:pPr>
      <w:r>
        <w:rPr>
          <w:rFonts w:hint="eastAsia" w:hAnsi="黑体" w:cs="黑体"/>
          <w:bCs w:val="0"/>
          <w:color w:val="auto"/>
          <w:szCs w:val="21"/>
          <w:u w:val="none"/>
          <w:lang w:val="en-US" w:eastAsia="zh-CN"/>
        </w:rPr>
        <w:t>镍组试验由金川集团股份有限公司</w:t>
      </w:r>
      <w:r>
        <w:rPr>
          <w:rFonts w:hint="eastAsia" w:hAnsi="黑体" w:cs="黑体" w:eastAsiaTheme="minorEastAsia"/>
          <w:bCs w:val="0"/>
          <w:color w:val="auto"/>
          <w:szCs w:val="21"/>
          <w:u w:val="none"/>
          <w:lang w:val="en-US" w:eastAsia="zh-CN"/>
        </w:rPr>
        <w:t>负责，试验数据汇总如下：</w:t>
      </w:r>
    </w:p>
    <w:p w14:paraId="6DF8929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大批量品质波动实验数据表（Ni %）</w:t>
      </w:r>
    </w:p>
    <w:p w14:paraId="545501F6">
      <w:pPr>
        <w:spacing w:line="360" w:lineRule="auto"/>
        <w:rPr>
          <w:rFonts w:ascii="Times New Roman" w:hAnsi="Times New Roman" w:cs="Times New Roman"/>
          <w:szCs w:val="21"/>
          <w:u w:val="single"/>
        </w:rPr>
      </w:pPr>
      <w:r>
        <w:rPr>
          <w:rFonts w:ascii="Times New Roman" w:hAnsi="Times New Roman" w:cs="Times New Roman"/>
          <w:szCs w:val="21"/>
        </w:rPr>
        <w:t>精矿名称（产地）</w:t>
      </w:r>
      <w:r>
        <w:rPr>
          <w:rFonts w:hint="eastAsia" w:ascii="Times New Roman" w:hAnsi="Times New Roman" w:cs="Times New Roman"/>
          <w:szCs w:val="21"/>
          <w:u w:val="single"/>
          <w:lang w:val="en-US" w:eastAsia="zh-CN"/>
        </w:rPr>
        <w:t>金川集团</w:t>
      </w:r>
      <w:r>
        <w:rPr>
          <w:rFonts w:hint="eastAsia" w:ascii="Times New Roman" w:hAnsi="Times New Roman" w:cs="Times New Roman"/>
          <w:szCs w:val="21"/>
          <w:u w:val="single"/>
        </w:rPr>
        <w:t xml:space="preserve">  </w:t>
      </w:r>
      <w:r>
        <w:rPr>
          <w:rFonts w:hint="eastAsia" w:ascii="Times New Roman" w:hAnsi="Times New Roman" w:cs="Times New Roman"/>
          <w:szCs w:val="21"/>
        </w:rPr>
        <w:t xml:space="preserve">试验单位：金川集团   </w:t>
      </w:r>
      <w:r>
        <w:rPr>
          <w:rFonts w:ascii="Times New Roman" w:hAnsi="Times New Roman" w:cs="Times New Roman"/>
          <w:szCs w:val="21"/>
        </w:rPr>
        <w:t>实验日期</w:t>
      </w:r>
      <w:r>
        <w:rPr>
          <w:rFonts w:hint="eastAsia" w:ascii="Times New Roman" w:hAnsi="Times New Roman" w:cs="Times New Roman"/>
          <w:szCs w:val="21"/>
        </w:rPr>
        <w:t>：</w:t>
      </w:r>
      <w:r>
        <w:rPr>
          <w:rFonts w:hint="eastAsia" w:ascii="Times New Roman" w:hAnsi="Times New Roman" w:cs="Times New Roman"/>
          <w:szCs w:val="21"/>
          <w:u w:val="single"/>
        </w:rPr>
        <w:t xml:space="preserve"> 2026.04.20</w:t>
      </w:r>
      <w:r>
        <w:rPr>
          <w:rFonts w:ascii="Times New Roman" w:hAnsi="Times New Roman" w:cs="Times New Roman"/>
          <w:szCs w:val="21"/>
        </w:rPr>
        <w:t xml:space="preserve">  </w:t>
      </w:r>
      <w:r>
        <w:rPr>
          <w:rFonts w:hint="eastAsia" w:ascii="Times New Roman" w:hAnsi="Times New Roman" w:cs="Times New Roman"/>
          <w:szCs w:val="21"/>
        </w:rPr>
        <w:t xml:space="preserve"> </w:t>
      </w:r>
      <w:r>
        <w:rPr>
          <w:rFonts w:ascii="Times New Roman" w:hAnsi="Times New Roman" w:cs="Times New Roman"/>
          <w:szCs w:val="21"/>
        </w:rPr>
        <w:t>实验次数</w:t>
      </w:r>
      <w:r>
        <w:rPr>
          <w:rFonts w:hint="eastAsia" w:ascii="Times New Roman" w:hAnsi="Times New Roman" w:cs="Times New Roman"/>
          <w:szCs w:val="21"/>
          <w:u w:val="single"/>
        </w:rPr>
        <w:t>1</w:t>
      </w:r>
    </w:p>
    <w:tbl>
      <w:tblPr>
        <w:tblStyle w:val="10"/>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2133"/>
        <w:gridCol w:w="1"/>
        <w:gridCol w:w="2132"/>
        <w:gridCol w:w="2136"/>
      </w:tblGrid>
      <w:tr w14:paraId="67D6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tcPr>
          <w:p w14:paraId="3011F18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批次号</w:t>
            </w:r>
          </w:p>
        </w:tc>
        <w:tc>
          <w:tcPr>
            <w:tcW w:w="2133" w:type="dxa"/>
          </w:tcPr>
          <w:p w14:paraId="6E6CCF43">
            <w:pPr>
              <w:spacing w:line="440" w:lineRule="exact"/>
              <w:jc w:val="center"/>
              <w:rPr>
                <w:rFonts w:ascii="Times New Roman" w:hAnsi="Times New Roman" w:cs="Times New Roman"/>
                <w:sz w:val="21"/>
                <w:szCs w:val="21"/>
              </w:rPr>
            </w:pPr>
            <w:r>
              <w:rPr>
                <w:rFonts w:ascii="Times New Roman" w:hAnsi="Times New Roman" w:cs="Times New Roman"/>
                <w:sz w:val="21"/>
                <w:szCs w:val="21"/>
              </w:rPr>
              <w:t>副样A</w:t>
            </w:r>
          </w:p>
        </w:tc>
        <w:tc>
          <w:tcPr>
            <w:tcW w:w="2133" w:type="dxa"/>
            <w:gridSpan w:val="2"/>
          </w:tcPr>
          <w:p w14:paraId="153D854B">
            <w:pPr>
              <w:spacing w:line="440" w:lineRule="exact"/>
              <w:jc w:val="center"/>
              <w:rPr>
                <w:rFonts w:ascii="Times New Roman" w:hAnsi="Times New Roman" w:cs="Times New Roman"/>
                <w:sz w:val="21"/>
                <w:szCs w:val="21"/>
              </w:rPr>
            </w:pPr>
            <w:r>
              <w:rPr>
                <w:rFonts w:ascii="Times New Roman" w:hAnsi="Times New Roman" w:cs="Times New Roman"/>
                <w:sz w:val="21"/>
                <w:szCs w:val="21"/>
              </w:rPr>
              <w:t>副样B</w:t>
            </w:r>
          </w:p>
        </w:tc>
        <w:tc>
          <w:tcPr>
            <w:tcW w:w="2136" w:type="dxa"/>
          </w:tcPr>
          <w:p w14:paraId="34737449">
            <w:pPr>
              <w:spacing w:line="440" w:lineRule="exact"/>
              <w:jc w:val="center"/>
              <w:rPr>
                <w:rFonts w:ascii="Times New Roman" w:hAnsi="Times New Roman" w:cs="Times New Roman"/>
                <w:sz w:val="21"/>
                <w:szCs w:val="21"/>
              </w:rPr>
            </w:pPr>
            <w:r>
              <w:rPr>
                <w:rFonts w:ascii="Times New Roman" w:hAnsi="Times New Roman" w:cs="Times New Roman"/>
                <w:sz w:val="21"/>
                <w:szCs w:val="21"/>
              </w:rPr>
              <w:t>极差R</w:t>
            </w:r>
          </w:p>
        </w:tc>
      </w:tr>
      <w:tr w14:paraId="7BA0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143D9F68">
            <w:pPr>
              <w:spacing w:line="440" w:lineRule="exact"/>
              <w:jc w:val="center"/>
              <w:rPr>
                <w:rFonts w:ascii="Times New Roman" w:hAnsi="Times New Roman" w:cs="Times New Roman"/>
                <w:sz w:val="21"/>
                <w:szCs w:val="21"/>
              </w:rPr>
            </w:pPr>
            <w:r>
              <w:rPr>
                <w:rFonts w:ascii="Times New Roman" w:hAnsi="Times New Roman" w:cs="Times New Roman"/>
                <w:sz w:val="21"/>
                <w:szCs w:val="21"/>
              </w:rPr>
              <w:t>1</w:t>
            </w:r>
          </w:p>
        </w:tc>
        <w:tc>
          <w:tcPr>
            <w:tcW w:w="2133" w:type="dxa"/>
          </w:tcPr>
          <w:p w14:paraId="334919D5">
            <w:pPr>
              <w:jc w:val="center"/>
              <w:rPr>
                <w:rFonts w:ascii="Times New Roman" w:hAnsi="Times New Roman" w:cs="Times New Roman"/>
                <w:sz w:val="21"/>
                <w:szCs w:val="21"/>
              </w:rPr>
            </w:pPr>
            <w:r>
              <w:rPr>
                <w:rFonts w:hint="eastAsia" w:ascii="宋体" w:hAnsi="宋体"/>
                <w:color w:val="000000"/>
                <w:sz w:val="21"/>
                <w:szCs w:val="21"/>
              </w:rPr>
              <w:t>9.7</w:t>
            </w:r>
          </w:p>
        </w:tc>
        <w:tc>
          <w:tcPr>
            <w:tcW w:w="2133" w:type="dxa"/>
            <w:gridSpan w:val="2"/>
          </w:tcPr>
          <w:p w14:paraId="699E38BA">
            <w:pPr>
              <w:jc w:val="center"/>
              <w:rPr>
                <w:rFonts w:ascii="Times New Roman" w:hAnsi="Times New Roman" w:cs="Times New Roman"/>
                <w:sz w:val="21"/>
                <w:szCs w:val="21"/>
              </w:rPr>
            </w:pPr>
            <w:r>
              <w:rPr>
                <w:rFonts w:hint="eastAsia" w:ascii="宋体" w:hAnsi="宋体"/>
                <w:color w:val="000000"/>
                <w:sz w:val="21"/>
                <w:szCs w:val="21"/>
              </w:rPr>
              <w:t>9.45</w:t>
            </w:r>
          </w:p>
        </w:tc>
        <w:tc>
          <w:tcPr>
            <w:tcW w:w="2136" w:type="dxa"/>
          </w:tcPr>
          <w:p w14:paraId="58DA90E0">
            <w:pPr>
              <w:jc w:val="center"/>
              <w:rPr>
                <w:rFonts w:ascii="Times New Roman" w:hAnsi="Times New Roman" w:cs="Times New Roman"/>
                <w:sz w:val="21"/>
                <w:szCs w:val="21"/>
              </w:rPr>
            </w:pPr>
            <w:r>
              <w:rPr>
                <w:rFonts w:hint="eastAsia" w:ascii="宋体" w:hAnsi="宋体"/>
                <w:color w:val="000000"/>
                <w:sz w:val="21"/>
                <w:szCs w:val="21"/>
              </w:rPr>
              <w:t>0.25</w:t>
            </w:r>
          </w:p>
        </w:tc>
      </w:tr>
      <w:tr w14:paraId="48F4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4EA7A9E1">
            <w:pPr>
              <w:spacing w:line="440" w:lineRule="exact"/>
              <w:jc w:val="center"/>
              <w:rPr>
                <w:rFonts w:ascii="Times New Roman" w:hAnsi="Times New Roman" w:cs="Times New Roman"/>
                <w:sz w:val="21"/>
                <w:szCs w:val="21"/>
              </w:rPr>
            </w:pPr>
            <w:r>
              <w:rPr>
                <w:rFonts w:ascii="Times New Roman" w:hAnsi="Times New Roman" w:cs="Times New Roman"/>
                <w:sz w:val="21"/>
                <w:szCs w:val="21"/>
              </w:rPr>
              <w:t>2</w:t>
            </w:r>
          </w:p>
        </w:tc>
        <w:tc>
          <w:tcPr>
            <w:tcW w:w="2133" w:type="dxa"/>
          </w:tcPr>
          <w:p w14:paraId="6C3330C7">
            <w:pPr>
              <w:jc w:val="center"/>
              <w:rPr>
                <w:rFonts w:ascii="Times New Roman" w:hAnsi="Times New Roman" w:cs="Times New Roman"/>
                <w:sz w:val="21"/>
                <w:szCs w:val="21"/>
              </w:rPr>
            </w:pPr>
            <w:r>
              <w:rPr>
                <w:rFonts w:hint="eastAsia" w:ascii="宋体" w:hAnsi="宋体"/>
                <w:color w:val="000000"/>
                <w:sz w:val="21"/>
                <w:szCs w:val="21"/>
              </w:rPr>
              <w:t>9.45</w:t>
            </w:r>
          </w:p>
        </w:tc>
        <w:tc>
          <w:tcPr>
            <w:tcW w:w="2133" w:type="dxa"/>
            <w:gridSpan w:val="2"/>
          </w:tcPr>
          <w:p w14:paraId="2F474E80">
            <w:pPr>
              <w:jc w:val="center"/>
              <w:rPr>
                <w:rFonts w:ascii="Times New Roman" w:hAnsi="Times New Roman" w:cs="Times New Roman"/>
                <w:sz w:val="21"/>
                <w:szCs w:val="21"/>
              </w:rPr>
            </w:pPr>
            <w:r>
              <w:rPr>
                <w:rFonts w:hint="eastAsia" w:ascii="宋体" w:hAnsi="宋体"/>
                <w:color w:val="000000"/>
                <w:sz w:val="21"/>
                <w:szCs w:val="21"/>
              </w:rPr>
              <w:t>9.51</w:t>
            </w:r>
          </w:p>
        </w:tc>
        <w:tc>
          <w:tcPr>
            <w:tcW w:w="2136" w:type="dxa"/>
          </w:tcPr>
          <w:p w14:paraId="5DF1BF8B">
            <w:pPr>
              <w:jc w:val="center"/>
              <w:rPr>
                <w:rFonts w:ascii="Times New Roman" w:hAnsi="Times New Roman" w:cs="Times New Roman"/>
                <w:sz w:val="21"/>
                <w:szCs w:val="21"/>
              </w:rPr>
            </w:pPr>
            <w:r>
              <w:rPr>
                <w:rFonts w:hint="eastAsia" w:ascii="宋体" w:hAnsi="宋体"/>
                <w:color w:val="000000"/>
                <w:sz w:val="21"/>
                <w:szCs w:val="21"/>
              </w:rPr>
              <w:t>0.06</w:t>
            </w:r>
          </w:p>
        </w:tc>
      </w:tr>
      <w:tr w14:paraId="5FC5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5D3FDF78">
            <w:pPr>
              <w:spacing w:line="440" w:lineRule="exact"/>
              <w:jc w:val="center"/>
              <w:rPr>
                <w:rFonts w:ascii="Times New Roman" w:hAnsi="Times New Roman" w:cs="Times New Roman"/>
                <w:sz w:val="21"/>
                <w:szCs w:val="21"/>
              </w:rPr>
            </w:pPr>
            <w:r>
              <w:rPr>
                <w:rFonts w:ascii="Times New Roman" w:hAnsi="Times New Roman" w:cs="Times New Roman"/>
                <w:sz w:val="21"/>
                <w:szCs w:val="21"/>
              </w:rPr>
              <w:t>3</w:t>
            </w:r>
          </w:p>
        </w:tc>
        <w:tc>
          <w:tcPr>
            <w:tcW w:w="2133" w:type="dxa"/>
          </w:tcPr>
          <w:p w14:paraId="51AC940B">
            <w:pPr>
              <w:jc w:val="center"/>
              <w:rPr>
                <w:rFonts w:ascii="Times New Roman" w:hAnsi="Times New Roman" w:cs="Times New Roman"/>
                <w:sz w:val="21"/>
                <w:szCs w:val="21"/>
              </w:rPr>
            </w:pPr>
            <w:r>
              <w:rPr>
                <w:rFonts w:hint="eastAsia" w:ascii="宋体" w:hAnsi="宋体"/>
                <w:color w:val="000000"/>
                <w:sz w:val="21"/>
                <w:szCs w:val="21"/>
              </w:rPr>
              <w:t>9.7</w:t>
            </w:r>
          </w:p>
        </w:tc>
        <w:tc>
          <w:tcPr>
            <w:tcW w:w="2133" w:type="dxa"/>
            <w:gridSpan w:val="2"/>
          </w:tcPr>
          <w:p w14:paraId="5AD49DBE">
            <w:pPr>
              <w:jc w:val="center"/>
              <w:rPr>
                <w:rFonts w:ascii="Times New Roman" w:hAnsi="Times New Roman" w:cs="Times New Roman"/>
                <w:sz w:val="21"/>
                <w:szCs w:val="21"/>
              </w:rPr>
            </w:pPr>
            <w:r>
              <w:rPr>
                <w:rFonts w:hint="eastAsia" w:ascii="宋体" w:hAnsi="宋体"/>
                <w:color w:val="000000"/>
                <w:sz w:val="21"/>
                <w:szCs w:val="21"/>
              </w:rPr>
              <w:t>9.51</w:t>
            </w:r>
          </w:p>
        </w:tc>
        <w:tc>
          <w:tcPr>
            <w:tcW w:w="2136" w:type="dxa"/>
          </w:tcPr>
          <w:p w14:paraId="0AC6B6FA">
            <w:pPr>
              <w:jc w:val="center"/>
              <w:rPr>
                <w:rFonts w:ascii="Times New Roman" w:hAnsi="Times New Roman" w:cs="Times New Roman"/>
                <w:sz w:val="21"/>
                <w:szCs w:val="21"/>
              </w:rPr>
            </w:pPr>
            <w:r>
              <w:rPr>
                <w:rFonts w:hint="eastAsia" w:ascii="宋体" w:hAnsi="宋体"/>
                <w:color w:val="000000"/>
                <w:sz w:val="21"/>
                <w:szCs w:val="21"/>
              </w:rPr>
              <w:t>0.19</w:t>
            </w:r>
          </w:p>
        </w:tc>
      </w:tr>
      <w:tr w14:paraId="3E33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0800213A">
            <w:pPr>
              <w:spacing w:line="440" w:lineRule="exact"/>
              <w:jc w:val="center"/>
              <w:rPr>
                <w:rFonts w:ascii="Times New Roman" w:hAnsi="Times New Roman" w:cs="Times New Roman"/>
                <w:sz w:val="21"/>
                <w:szCs w:val="21"/>
              </w:rPr>
            </w:pPr>
            <w:r>
              <w:rPr>
                <w:rFonts w:ascii="Times New Roman" w:hAnsi="Times New Roman" w:cs="Times New Roman"/>
                <w:sz w:val="21"/>
                <w:szCs w:val="21"/>
              </w:rPr>
              <w:t>4</w:t>
            </w:r>
          </w:p>
        </w:tc>
        <w:tc>
          <w:tcPr>
            <w:tcW w:w="2133" w:type="dxa"/>
          </w:tcPr>
          <w:p w14:paraId="5C456DB4">
            <w:pPr>
              <w:jc w:val="center"/>
              <w:rPr>
                <w:rFonts w:ascii="Times New Roman" w:hAnsi="Times New Roman" w:cs="Times New Roman"/>
                <w:sz w:val="21"/>
                <w:szCs w:val="21"/>
              </w:rPr>
            </w:pPr>
            <w:r>
              <w:rPr>
                <w:rFonts w:hint="eastAsia" w:ascii="宋体" w:hAnsi="宋体"/>
                <w:color w:val="000000"/>
                <w:sz w:val="21"/>
                <w:szCs w:val="21"/>
              </w:rPr>
              <w:t>9.25</w:t>
            </w:r>
          </w:p>
        </w:tc>
        <w:tc>
          <w:tcPr>
            <w:tcW w:w="2133" w:type="dxa"/>
            <w:gridSpan w:val="2"/>
          </w:tcPr>
          <w:p w14:paraId="31BE81E4">
            <w:pPr>
              <w:jc w:val="center"/>
              <w:rPr>
                <w:rFonts w:ascii="Times New Roman" w:hAnsi="Times New Roman" w:cs="Times New Roman"/>
                <w:sz w:val="21"/>
                <w:szCs w:val="21"/>
              </w:rPr>
            </w:pPr>
            <w:r>
              <w:rPr>
                <w:rFonts w:hint="eastAsia" w:ascii="宋体" w:hAnsi="宋体"/>
                <w:color w:val="000000"/>
                <w:sz w:val="21"/>
                <w:szCs w:val="21"/>
              </w:rPr>
              <w:t>9.76</w:t>
            </w:r>
          </w:p>
        </w:tc>
        <w:tc>
          <w:tcPr>
            <w:tcW w:w="2136" w:type="dxa"/>
          </w:tcPr>
          <w:p w14:paraId="0FD879D1">
            <w:pPr>
              <w:jc w:val="center"/>
              <w:rPr>
                <w:rFonts w:ascii="Times New Roman" w:hAnsi="Times New Roman" w:cs="Times New Roman"/>
                <w:sz w:val="21"/>
                <w:szCs w:val="21"/>
              </w:rPr>
            </w:pPr>
            <w:r>
              <w:rPr>
                <w:rFonts w:hint="eastAsia" w:ascii="宋体" w:hAnsi="宋体"/>
                <w:color w:val="000000"/>
                <w:sz w:val="21"/>
                <w:szCs w:val="21"/>
              </w:rPr>
              <w:t>0.51</w:t>
            </w:r>
          </w:p>
        </w:tc>
      </w:tr>
      <w:tr w14:paraId="243F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4921AB96">
            <w:pPr>
              <w:spacing w:line="44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2133" w:type="dxa"/>
          </w:tcPr>
          <w:p w14:paraId="1C90E72D">
            <w:pPr>
              <w:jc w:val="center"/>
              <w:rPr>
                <w:rFonts w:ascii="Times New Roman" w:hAnsi="Times New Roman" w:cs="Times New Roman"/>
                <w:sz w:val="21"/>
                <w:szCs w:val="21"/>
              </w:rPr>
            </w:pPr>
            <w:r>
              <w:rPr>
                <w:rFonts w:hint="eastAsia" w:ascii="宋体" w:hAnsi="宋体"/>
                <w:color w:val="000000"/>
                <w:sz w:val="21"/>
                <w:szCs w:val="21"/>
              </w:rPr>
              <w:t>9.61</w:t>
            </w:r>
          </w:p>
        </w:tc>
        <w:tc>
          <w:tcPr>
            <w:tcW w:w="2133" w:type="dxa"/>
            <w:gridSpan w:val="2"/>
          </w:tcPr>
          <w:p w14:paraId="2C72E916">
            <w:pPr>
              <w:jc w:val="center"/>
              <w:rPr>
                <w:rFonts w:ascii="Times New Roman" w:hAnsi="Times New Roman" w:cs="Times New Roman"/>
                <w:sz w:val="21"/>
                <w:szCs w:val="21"/>
              </w:rPr>
            </w:pPr>
            <w:r>
              <w:rPr>
                <w:rFonts w:hint="eastAsia" w:ascii="宋体" w:hAnsi="宋体"/>
                <w:color w:val="000000"/>
                <w:sz w:val="21"/>
                <w:szCs w:val="21"/>
              </w:rPr>
              <w:t>9.77</w:t>
            </w:r>
          </w:p>
        </w:tc>
        <w:tc>
          <w:tcPr>
            <w:tcW w:w="2136" w:type="dxa"/>
          </w:tcPr>
          <w:p w14:paraId="46CADEC7">
            <w:pPr>
              <w:jc w:val="center"/>
              <w:rPr>
                <w:rFonts w:ascii="Times New Roman" w:hAnsi="Times New Roman" w:cs="Times New Roman"/>
                <w:sz w:val="21"/>
                <w:szCs w:val="21"/>
              </w:rPr>
            </w:pPr>
            <w:r>
              <w:rPr>
                <w:rFonts w:hint="eastAsia" w:ascii="宋体" w:hAnsi="宋体"/>
                <w:color w:val="000000"/>
                <w:sz w:val="21"/>
                <w:szCs w:val="21"/>
              </w:rPr>
              <w:t>0.16</w:t>
            </w:r>
          </w:p>
        </w:tc>
      </w:tr>
      <w:tr w14:paraId="6339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5F04BAEE">
            <w:pPr>
              <w:spacing w:line="440" w:lineRule="exact"/>
              <w:jc w:val="center"/>
              <w:rPr>
                <w:rFonts w:ascii="Times New Roman" w:hAnsi="Times New Roman" w:cs="Times New Roman"/>
                <w:sz w:val="21"/>
                <w:szCs w:val="21"/>
              </w:rPr>
            </w:pPr>
            <w:r>
              <w:rPr>
                <w:rFonts w:ascii="Times New Roman" w:hAnsi="Times New Roman" w:cs="Times New Roman"/>
                <w:sz w:val="21"/>
                <w:szCs w:val="21"/>
              </w:rPr>
              <w:t>6</w:t>
            </w:r>
          </w:p>
        </w:tc>
        <w:tc>
          <w:tcPr>
            <w:tcW w:w="2133" w:type="dxa"/>
          </w:tcPr>
          <w:p w14:paraId="44E3EA85">
            <w:pPr>
              <w:jc w:val="center"/>
              <w:rPr>
                <w:rFonts w:ascii="Times New Roman" w:hAnsi="Times New Roman" w:cs="Times New Roman"/>
                <w:sz w:val="21"/>
                <w:szCs w:val="21"/>
              </w:rPr>
            </w:pPr>
            <w:r>
              <w:rPr>
                <w:rFonts w:hint="eastAsia" w:ascii="宋体" w:hAnsi="宋体"/>
                <w:color w:val="000000"/>
                <w:sz w:val="21"/>
                <w:szCs w:val="21"/>
              </w:rPr>
              <w:t>9.76</w:t>
            </w:r>
          </w:p>
        </w:tc>
        <w:tc>
          <w:tcPr>
            <w:tcW w:w="2133" w:type="dxa"/>
            <w:gridSpan w:val="2"/>
          </w:tcPr>
          <w:p w14:paraId="0F79D0E7">
            <w:pPr>
              <w:jc w:val="center"/>
              <w:rPr>
                <w:rFonts w:ascii="Times New Roman" w:hAnsi="Times New Roman" w:cs="Times New Roman"/>
                <w:sz w:val="21"/>
                <w:szCs w:val="21"/>
              </w:rPr>
            </w:pPr>
            <w:r>
              <w:rPr>
                <w:rFonts w:hint="eastAsia" w:ascii="宋体" w:hAnsi="宋体"/>
                <w:color w:val="000000"/>
                <w:sz w:val="21"/>
                <w:szCs w:val="21"/>
              </w:rPr>
              <w:t>9.64</w:t>
            </w:r>
          </w:p>
        </w:tc>
        <w:tc>
          <w:tcPr>
            <w:tcW w:w="2136" w:type="dxa"/>
          </w:tcPr>
          <w:p w14:paraId="0F263AAD">
            <w:pPr>
              <w:jc w:val="center"/>
              <w:rPr>
                <w:rFonts w:ascii="Times New Roman" w:hAnsi="Times New Roman" w:cs="Times New Roman"/>
                <w:sz w:val="21"/>
                <w:szCs w:val="21"/>
              </w:rPr>
            </w:pPr>
            <w:r>
              <w:rPr>
                <w:rFonts w:hint="eastAsia" w:ascii="宋体" w:hAnsi="宋体"/>
                <w:color w:val="000000"/>
                <w:sz w:val="21"/>
                <w:szCs w:val="21"/>
              </w:rPr>
              <w:t>0.12</w:t>
            </w:r>
          </w:p>
        </w:tc>
      </w:tr>
      <w:tr w14:paraId="536E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2B61144B">
            <w:pPr>
              <w:spacing w:line="440" w:lineRule="exact"/>
              <w:jc w:val="center"/>
              <w:rPr>
                <w:rFonts w:ascii="Times New Roman" w:hAnsi="Times New Roman" w:cs="Times New Roman"/>
                <w:sz w:val="21"/>
                <w:szCs w:val="21"/>
              </w:rPr>
            </w:pPr>
            <w:r>
              <w:rPr>
                <w:rFonts w:ascii="Times New Roman" w:hAnsi="Times New Roman" w:cs="Times New Roman"/>
                <w:sz w:val="21"/>
                <w:szCs w:val="21"/>
              </w:rPr>
              <w:t>7</w:t>
            </w:r>
          </w:p>
        </w:tc>
        <w:tc>
          <w:tcPr>
            <w:tcW w:w="2133" w:type="dxa"/>
          </w:tcPr>
          <w:p w14:paraId="3C20FC27">
            <w:pPr>
              <w:jc w:val="center"/>
              <w:rPr>
                <w:rFonts w:ascii="Times New Roman" w:hAnsi="Times New Roman" w:cs="Times New Roman"/>
                <w:sz w:val="21"/>
                <w:szCs w:val="21"/>
              </w:rPr>
            </w:pPr>
            <w:r>
              <w:rPr>
                <w:rFonts w:hint="eastAsia" w:ascii="宋体" w:hAnsi="宋体"/>
                <w:color w:val="000000"/>
                <w:sz w:val="21"/>
                <w:szCs w:val="21"/>
              </w:rPr>
              <w:t>9.61</w:t>
            </w:r>
          </w:p>
        </w:tc>
        <w:tc>
          <w:tcPr>
            <w:tcW w:w="2133" w:type="dxa"/>
            <w:gridSpan w:val="2"/>
          </w:tcPr>
          <w:p w14:paraId="0D882ECD">
            <w:pPr>
              <w:jc w:val="center"/>
              <w:rPr>
                <w:rFonts w:ascii="Times New Roman" w:hAnsi="Times New Roman" w:cs="Times New Roman"/>
                <w:sz w:val="21"/>
                <w:szCs w:val="21"/>
              </w:rPr>
            </w:pPr>
            <w:r>
              <w:rPr>
                <w:rFonts w:hint="eastAsia" w:ascii="宋体" w:hAnsi="宋体"/>
                <w:color w:val="000000"/>
                <w:sz w:val="21"/>
                <w:szCs w:val="21"/>
              </w:rPr>
              <w:t>9.74</w:t>
            </w:r>
          </w:p>
        </w:tc>
        <w:tc>
          <w:tcPr>
            <w:tcW w:w="2136" w:type="dxa"/>
          </w:tcPr>
          <w:p w14:paraId="1404D3EB">
            <w:pPr>
              <w:jc w:val="center"/>
              <w:rPr>
                <w:rFonts w:ascii="Times New Roman" w:hAnsi="Times New Roman" w:cs="Times New Roman"/>
                <w:sz w:val="21"/>
                <w:szCs w:val="21"/>
              </w:rPr>
            </w:pPr>
            <w:r>
              <w:rPr>
                <w:rFonts w:hint="eastAsia" w:ascii="宋体" w:hAnsi="宋体"/>
                <w:color w:val="000000"/>
                <w:sz w:val="21"/>
                <w:szCs w:val="21"/>
              </w:rPr>
              <w:t>0.13</w:t>
            </w:r>
          </w:p>
        </w:tc>
      </w:tr>
      <w:tr w14:paraId="1BD9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503637AC">
            <w:pPr>
              <w:spacing w:line="440" w:lineRule="exact"/>
              <w:jc w:val="center"/>
              <w:rPr>
                <w:rFonts w:ascii="Times New Roman" w:hAnsi="Times New Roman" w:cs="Times New Roman"/>
                <w:sz w:val="21"/>
                <w:szCs w:val="21"/>
              </w:rPr>
            </w:pPr>
            <w:r>
              <w:rPr>
                <w:rFonts w:ascii="Times New Roman" w:hAnsi="Times New Roman" w:cs="Times New Roman"/>
                <w:sz w:val="21"/>
                <w:szCs w:val="21"/>
              </w:rPr>
              <w:t>8</w:t>
            </w:r>
          </w:p>
        </w:tc>
        <w:tc>
          <w:tcPr>
            <w:tcW w:w="2133" w:type="dxa"/>
          </w:tcPr>
          <w:p w14:paraId="2B29897D">
            <w:pPr>
              <w:jc w:val="center"/>
              <w:rPr>
                <w:rFonts w:ascii="Times New Roman" w:hAnsi="Times New Roman" w:cs="Times New Roman"/>
                <w:sz w:val="21"/>
                <w:szCs w:val="21"/>
              </w:rPr>
            </w:pPr>
            <w:r>
              <w:rPr>
                <w:rFonts w:hint="eastAsia" w:ascii="宋体" w:hAnsi="宋体"/>
                <w:color w:val="000000"/>
                <w:sz w:val="21"/>
                <w:szCs w:val="21"/>
              </w:rPr>
              <w:t>9.54</w:t>
            </w:r>
          </w:p>
        </w:tc>
        <w:tc>
          <w:tcPr>
            <w:tcW w:w="2133" w:type="dxa"/>
            <w:gridSpan w:val="2"/>
          </w:tcPr>
          <w:p w14:paraId="19300509">
            <w:pPr>
              <w:jc w:val="center"/>
              <w:rPr>
                <w:rFonts w:ascii="Times New Roman" w:hAnsi="Times New Roman" w:cs="Times New Roman"/>
                <w:sz w:val="21"/>
                <w:szCs w:val="21"/>
              </w:rPr>
            </w:pPr>
            <w:r>
              <w:rPr>
                <w:rFonts w:hint="eastAsia" w:ascii="宋体" w:hAnsi="宋体"/>
                <w:color w:val="000000"/>
                <w:sz w:val="21"/>
                <w:szCs w:val="21"/>
              </w:rPr>
              <w:t>9.64</w:t>
            </w:r>
          </w:p>
        </w:tc>
        <w:tc>
          <w:tcPr>
            <w:tcW w:w="2136" w:type="dxa"/>
          </w:tcPr>
          <w:p w14:paraId="2325684B">
            <w:pPr>
              <w:jc w:val="center"/>
              <w:rPr>
                <w:rFonts w:ascii="Times New Roman" w:hAnsi="Times New Roman" w:cs="Times New Roman"/>
                <w:sz w:val="21"/>
                <w:szCs w:val="21"/>
              </w:rPr>
            </w:pPr>
            <w:r>
              <w:rPr>
                <w:rFonts w:hint="eastAsia" w:ascii="宋体" w:hAnsi="宋体"/>
                <w:color w:val="000000"/>
                <w:sz w:val="21"/>
                <w:szCs w:val="21"/>
              </w:rPr>
              <w:t>0.1</w:t>
            </w:r>
          </w:p>
        </w:tc>
      </w:tr>
      <w:tr w14:paraId="2922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5B536882">
            <w:pPr>
              <w:spacing w:line="440" w:lineRule="exact"/>
              <w:jc w:val="center"/>
              <w:rPr>
                <w:rFonts w:ascii="Times New Roman" w:hAnsi="Times New Roman" w:cs="Times New Roman"/>
                <w:sz w:val="21"/>
                <w:szCs w:val="21"/>
              </w:rPr>
            </w:pPr>
            <w:r>
              <w:rPr>
                <w:rFonts w:ascii="Times New Roman" w:hAnsi="Times New Roman" w:cs="Times New Roman"/>
                <w:sz w:val="21"/>
                <w:szCs w:val="21"/>
              </w:rPr>
              <w:t>9</w:t>
            </w:r>
          </w:p>
        </w:tc>
        <w:tc>
          <w:tcPr>
            <w:tcW w:w="2133" w:type="dxa"/>
          </w:tcPr>
          <w:p w14:paraId="1734D01E">
            <w:pPr>
              <w:jc w:val="center"/>
              <w:rPr>
                <w:rFonts w:ascii="Times New Roman" w:hAnsi="Times New Roman" w:cs="Times New Roman"/>
                <w:sz w:val="21"/>
                <w:szCs w:val="21"/>
              </w:rPr>
            </w:pPr>
            <w:r>
              <w:rPr>
                <w:rFonts w:hint="eastAsia" w:ascii="宋体" w:hAnsi="宋体"/>
                <w:color w:val="000000"/>
                <w:sz w:val="21"/>
                <w:szCs w:val="21"/>
              </w:rPr>
              <w:t>9.51</w:t>
            </w:r>
          </w:p>
        </w:tc>
        <w:tc>
          <w:tcPr>
            <w:tcW w:w="2133" w:type="dxa"/>
            <w:gridSpan w:val="2"/>
          </w:tcPr>
          <w:p w14:paraId="33010864">
            <w:pPr>
              <w:jc w:val="center"/>
              <w:rPr>
                <w:rFonts w:ascii="Times New Roman" w:hAnsi="Times New Roman" w:cs="Times New Roman"/>
                <w:sz w:val="21"/>
                <w:szCs w:val="21"/>
              </w:rPr>
            </w:pPr>
            <w:r>
              <w:rPr>
                <w:rFonts w:hint="eastAsia" w:ascii="宋体" w:hAnsi="宋体"/>
                <w:color w:val="000000"/>
                <w:sz w:val="21"/>
                <w:szCs w:val="21"/>
              </w:rPr>
              <w:t>9.61</w:t>
            </w:r>
          </w:p>
        </w:tc>
        <w:tc>
          <w:tcPr>
            <w:tcW w:w="2136" w:type="dxa"/>
          </w:tcPr>
          <w:p w14:paraId="0B02378A">
            <w:pPr>
              <w:jc w:val="center"/>
              <w:rPr>
                <w:rFonts w:ascii="Times New Roman" w:hAnsi="Times New Roman" w:cs="Times New Roman"/>
                <w:sz w:val="21"/>
                <w:szCs w:val="21"/>
              </w:rPr>
            </w:pPr>
            <w:r>
              <w:rPr>
                <w:rFonts w:hint="eastAsia" w:ascii="宋体" w:hAnsi="宋体"/>
                <w:color w:val="000000"/>
                <w:sz w:val="21"/>
                <w:szCs w:val="21"/>
              </w:rPr>
              <w:t>0.1</w:t>
            </w:r>
          </w:p>
        </w:tc>
      </w:tr>
      <w:tr w14:paraId="4542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33" w:type="dxa"/>
            <w:vAlign w:val="center"/>
          </w:tcPr>
          <w:p w14:paraId="4260BC92">
            <w:pPr>
              <w:spacing w:line="44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2133" w:type="dxa"/>
          </w:tcPr>
          <w:p w14:paraId="3931305C">
            <w:pPr>
              <w:jc w:val="center"/>
              <w:rPr>
                <w:rFonts w:ascii="Times New Roman" w:hAnsi="Times New Roman" w:cs="Times New Roman"/>
                <w:sz w:val="21"/>
                <w:szCs w:val="21"/>
              </w:rPr>
            </w:pPr>
            <w:r>
              <w:rPr>
                <w:rFonts w:hint="eastAsia" w:ascii="宋体" w:hAnsi="宋体"/>
                <w:color w:val="000000"/>
                <w:sz w:val="21"/>
                <w:szCs w:val="21"/>
              </w:rPr>
              <w:t>9.66</w:t>
            </w:r>
          </w:p>
        </w:tc>
        <w:tc>
          <w:tcPr>
            <w:tcW w:w="2133" w:type="dxa"/>
            <w:gridSpan w:val="2"/>
          </w:tcPr>
          <w:p w14:paraId="73CFF8B4">
            <w:pPr>
              <w:jc w:val="center"/>
              <w:rPr>
                <w:rFonts w:ascii="Times New Roman" w:hAnsi="Times New Roman" w:cs="Times New Roman"/>
                <w:sz w:val="21"/>
                <w:szCs w:val="21"/>
              </w:rPr>
            </w:pPr>
            <w:r>
              <w:rPr>
                <w:rFonts w:hint="eastAsia" w:ascii="宋体" w:hAnsi="宋体"/>
                <w:color w:val="000000"/>
                <w:sz w:val="21"/>
                <w:szCs w:val="21"/>
              </w:rPr>
              <w:t>9.76</w:t>
            </w:r>
          </w:p>
        </w:tc>
        <w:tc>
          <w:tcPr>
            <w:tcW w:w="2136" w:type="dxa"/>
          </w:tcPr>
          <w:p w14:paraId="2B66FDA4">
            <w:pPr>
              <w:jc w:val="center"/>
              <w:rPr>
                <w:rFonts w:ascii="Times New Roman" w:hAnsi="Times New Roman" w:cs="Times New Roman"/>
                <w:sz w:val="21"/>
                <w:szCs w:val="21"/>
              </w:rPr>
            </w:pPr>
            <w:r>
              <w:rPr>
                <w:rFonts w:hint="eastAsia" w:ascii="宋体" w:hAnsi="宋体"/>
                <w:color w:val="000000"/>
                <w:sz w:val="21"/>
                <w:szCs w:val="21"/>
              </w:rPr>
              <w:t>0.1</w:t>
            </w:r>
          </w:p>
        </w:tc>
      </w:tr>
      <w:tr w14:paraId="5B64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67" w:type="dxa"/>
            <w:gridSpan w:val="3"/>
            <w:vAlign w:val="center"/>
          </w:tcPr>
          <w:p w14:paraId="62E54B16">
            <w:pPr>
              <w:spacing w:line="440" w:lineRule="exact"/>
              <w:jc w:val="center"/>
              <w:rPr>
                <w:rFonts w:ascii="Times New Roman" w:hAnsi="Times New Roman" w:eastAsia="宋体" w:cs="Times New Roman"/>
                <w:sz w:val="21"/>
                <w:szCs w:val="21"/>
              </w:rPr>
            </w:pPr>
            <w:r>
              <w:rPr>
                <w:rFonts w:ascii="Times New Roman" w:hAnsi="Times New Roman" w:eastAsia="宋体" w:cs="Times New Roman"/>
                <w:position w:val="-8"/>
                <w:sz w:val="21"/>
                <w:szCs w:val="21"/>
              </w:rPr>
              <w:object>
                <v:shape id="_x0000_i1075" o:spt="75" type="#_x0000_t75" style="height:16.15pt;width:21.9pt;" o:ole="t" filled="f" o:preferrelative="t" stroked="f" coordsize="21600,21600">
                  <v:path/>
                  <v:fill on="f" focussize="0,0"/>
                  <v:stroke on="f" joinstyle="miter"/>
                  <v:imagedata r:id="rId77" o:title=""/>
                  <o:lock v:ext="edit" aspectratio="t"/>
                  <w10:wrap type="none"/>
                  <w10:anchorlock/>
                </v:shape>
                <o:OLEObject Type="Embed" ProgID="Equation.3" ShapeID="_x0000_i1075" DrawAspect="Content" ObjectID="_1468075775" r:id="rId76">
                  <o:LockedField>false</o:LockedField>
                </o:OLEObject>
              </w:object>
            </w:r>
          </w:p>
        </w:tc>
        <w:tc>
          <w:tcPr>
            <w:tcW w:w="4268" w:type="dxa"/>
            <w:gridSpan w:val="2"/>
          </w:tcPr>
          <w:p w14:paraId="44318135">
            <w:pPr>
              <w:jc w:val="center"/>
              <w:rPr>
                <w:sz w:val="21"/>
                <w:szCs w:val="21"/>
              </w:rPr>
            </w:pPr>
            <w:r>
              <w:rPr>
                <w:rFonts w:hint="eastAsia" w:ascii="宋体" w:hAnsi="宋体"/>
                <w:color w:val="000000"/>
                <w:sz w:val="21"/>
                <w:szCs w:val="21"/>
              </w:rPr>
              <w:t>1.72</w:t>
            </w:r>
          </w:p>
        </w:tc>
      </w:tr>
      <w:tr w14:paraId="65D2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67" w:type="dxa"/>
            <w:gridSpan w:val="3"/>
          </w:tcPr>
          <w:p w14:paraId="16E8CAD0">
            <w:pPr>
              <w:spacing w:line="440" w:lineRule="exact"/>
              <w:jc w:val="center"/>
              <w:rPr>
                <w:rFonts w:ascii="Times New Roman" w:hAnsi="Times New Roman" w:eastAsia="宋体" w:cs="Times New Roman"/>
                <w:position w:val="-8"/>
                <w:sz w:val="21"/>
                <w:szCs w:val="21"/>
              </w:rPr>
            </w:pPr>
            <w:r>
              <w:rPr>
                <w:rFonts w:ascii="Times New Roman" w:hAnsi="Times New Roman" w:cs="Times New Roman"/>
                <w:position w:val="-4"/>
                <w:sz w:val="21"/>
                <w:szCs w:val="21"/>
              </w:rPr>
              <w:object>
                <v:shape id="_x0000_i1076" o:spt="75" type="#_x0000_t75" style="height:11.5pt;width:12.1pt;" o:ole="t" filled="f" o:preferrelative="t" stroked="f" coordsize="21600,21600">
                  <v:path/>
                  <v:fill on="f" focussize="0,0"/>
                  <v:stroke on="f" joinstyle="miter"/>
                  <v:imagedata r:id="rId79" o:title=""/>
                  <o:lock v:ext="edit" aspectratio="t"/>
                  <w10:wrap type="none"/>
                  <w10:anchorlock/>
                </v:shape>
                <o:OLEObject Type="Embed" ProgID="Equation.3" ShapeID="_x0000_i1076" DrawAspect="Content" ObjectID="_1468075776" r:id="rId78">
                  <o:LockedField>false</o:LockedField>
                </o:OLEObject>
              </w:object>
            </w:r>
          </w:p>
        </w:tc>
        <w:tc>
          <w:tcPr>
            <w:tcW w:w="4268" w:type="dxa"/>
            <w:gridSpan w:val="2"/>
          </w:tcPr>
          <w:p w14:paraId="625DF786">
            <w:pPr>
              <w:jc w:val="center"/>
              <w:rPr>
                <w:rFonts w:ascii="宋体" w:hAnsi="宋体"/>
                <w:color w:val="000000"/>
                <w:sz w:val="21"/>
                <w:szCs w:val="21"/>
              </w:rPr>
            </w:pPr>
            <w:r>
              <w:rPr>
                <w:rFonts w:hint="eastAsia" w:ascii="宋体" w:hAnsi="宋体"/>
                <w:color w:val="000000"/>
                <w:sz w:val="21"/>
                <w:szCs w:val="21"/>
              </w:rPr>
              <w:t>0.172</w:t>
            </w:r>
          </w:p>
        </w:tc>
      </w:tr>
      <w:tr w14:paraId="5950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67" w:type="dxa"/>
            <w:gridSpan w:val="3"/>
          </w:tcPr>
          <w:p w14:paraId="51DFA4BA">
            <w:pPr>
              <w:spacing w:line="440" w:lineRule="exact"/>
              <w:jc w:val="center"/>
              <w:rPr>
                <w:rFonts w:ascii="Times New Roman" w:hAnsi="Times New Roman" w:eastAsia="宋体" w:cs="Times New Roman"/>
                <w:position w:val="-8"/>
                <w:sz w:val="21"/>
                <w:szCs w:val="21"/>
              </w:rPr>
            </w:pPr>
            <w:r>
              <w:rPr>
                <w:rFonts w:ascii="Times New Roman" w:hAnsi="Times New Roman" w:cs="Times New Roman"/>
                <w:position w:val="-12"/>
                <w:sz w:val="21"/>
                <w:szCs w:val="21"/>
              </w:rPr>
              <w:object>
                <v:shape id="_x0000_i1077"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077" DrawAspect="Content" ObjectID="_1468075777" r:id="rId80">
                  <o:LockedField>false</o:LockedField>
                </o:OLEObject>
              </w:object>
            </w:r>
          </w:p>
        </w:tc>
        <w:tc>
          <w:tcPr>
            <w:tcW w:w="4268" w:type="dxa"/>
            <w:gridSpan w:val="2"/>
          </w:tcPr>
          <w:p w14:paraId="5775F234">
            <w:pPr>
              <w:jc w:val="center"/>
              <w:rPr>
                <w:rFonts w:hint="eastAsia" w:ascii="宋体" w:hAnsi="宋体" w:eastAsiaTheme="minorEastAsia"/>
                <w:color w:val="000000"/>
                <w:sz w:val="21"/>
                <w:szCs w:val="21"/>
                <w:lang w:val="en-US" w:eastAsia="zh-CN"/>
              </w:rPr>
            </w:pPr>
            <w:r>
              <w:rPr>
                <w:rFonts w:hint="eastAsia" w:ascii="宋体" w:hAnsi="宋体"/>
                <w:color w:val="000000"/>
                <w:sz w:val="21"/>
                <w:szCs w:val="21"/>
              </w:rPr>
              <w:t>0.27</w:t>
            </w:r>
            <w:r>
              <w:rPr>
                <w:rFonts w:hint="eastAsia" w:ascii="宋体" w:hAnsi="宋体"/>
                <w:color w:val="000000"/>
                <w:sz w:val="21"/>
                <w:szCs w:val="21"/>
                <w:lang w:val="en-US" w:eastAsia="zh-CN"/>
              </w:rPr>
              <w:t>4</w:t>
            </w:r>
          </w:p>
        </w:tc>
      </w:tr>
    </w:tbl>
    <w:p w14:paraId="4E62AC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20" w:firstLineChars="200"/>
        <w:jc w:val="both"/>
        <w:textAlignment w:val="auto"/>
        <w:rPr>
          <w:rFonts w:hint="eastAsia" w:hAnsi="黑体" w:cs="黑体" w:eastAsiaTheme="minorEastAsia"/>
          <w:bCs w:val="0"/>
          <w:color w:val="auto"/>
          <w:szCs w:val="21"/>
          <w:u w:val="none"/>
          <w:lang w:val="en-US" w:eastAsia="zh-CN"/>
        </w:rPr>
      </w:pPr>
    </w:p>
    <w:p w14:paraId="2343CCD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小批量品质波动试验数据表(Ni %)</w:t>
      </w:r>
    </w:p>
    <w:p w14:paraId="5EA9851D">
      <w:pPr>
        <w:spacing w:line="440" w:lineRule="exact"/>
        <w:rPr>
          <w:rFonts w:ascii="Times New Roman" w:hAnsi="Times New Roman" w:cs="Times New Roman"/>
          <w:bCs/>
          <w:sz w:val="21"/>
          <w:szCs w:val="21"/>
        </w:rPr>
      </w:pPr>
      <w:r>
        <w:rPr>
          <w:rFonts w:ascii="Times New Roman" w:hAnsi="Times New Roman" w:cs="Times New Roman"/>
          <w:bCs/>
          <w:sz w:val="21"/>
          <w:szCs w:val="21"/>
        </w:rPr>
        <w:t>精矿名称（产地</w:t>
      </w:r>
      <w:r>
        <w:rPr>
          <w:rFonts w:ascii="Times New Roman" w:hAnsi="Times New Roman" w:cs="Times New Roman"/>
          <w:bCs/>
          <w:sz w:val="21"/>
          <w:szCs w:val="21"/>
          <w:u w:val="single"/>
        </w:rPr>
        <w:t xml:space="preserve">） </w:t>
      </w:r>
      <w:r>
        <w:rPr>
          <w:rFonts w:hint="eastAsia" w:ascii="Times New Roman" w:hAnsi="Times New Roman" w:cs="Times New Roman"/>
          <w:bCs/>
          <w:sz w:val="21"/>
          <w:szCs w:val="21"/>
          <w:u w:val="single"/>
          <w:lang w:val="en-US" w:eastAsia="zh-CN"/>
        </w:rPr>
        <w:t>金川集团</w:t>
      </w:r>
      <w:r>
        <w:rPr>
          <w:rFonts w:hint="eastAsia" w:ascii="Times New Roman" w:hAnsi="Times New Roman" w:cs="Times New Roman"/>
          <w:bCs/>
          <w:sz w:val="21"/>
          <w:szCs w:val="21"/>
          <w:u w:val="single"/>
        </w:rPr>
        <w:t xml:space="preserve"> </w:t>
      </w:r>
      <w:r>
        <w:rPr>
          <w:rFonts w:hint="eastAsia" w:ascii="Times New Roman" w:hAnsi="Times New Roman" w:cs="Times New Roman"/>
          <w:sz w:val="21"/>
          <w:szCs w:val="21"/>
        </w:rPr>
        <w:t xml:space="preserve">试验单位：金川集团    </w:t>
      </w:r>
      <w:r>
        <w:rPr>
          <w:rFonts w:ascii="Times New Roman" w:hAnsi="Times New Roman" w:cs="Times New Roman"/>
          <w:sz w:val="21"/>
          <w:szCs w:val="21"/>
        </w:rPr>
        <w:t>实验日期</w:t>
      </w:r>
      <w:r>
        <w:rPr>
          <w:rFonts w:hint="eastAsia" w:ascii="Times New Roman" w:hAnsi="Times New Roman" w:cs="Times New Roman"/>
          <w:sz w:val="21"/>
          <w:szCs w:val="21"/>
        </w:rPr>
        <w:t>：</w:t>
      </w:r>
      <w:r>
        <w:rPr>
          <w:rFonts w:hint="eastAsia" w:ascii="Times New Roman" w:hAnsi="Times New Roman" w:cs="Times New Roman"/>
          <w:sz w:val="21"/>
          <w:szCs w:val="21"/>
          <w:u w:val="single"/>
        </w:rPr>
        <w:t xml:space="preserve"> 2026.4.23</w:t>
      </w: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实验次数</w:t>
      </w:r>
      <w:r>
        <w:rPr>
          <w:rFonts w:hint="eastAsia" w:ascii="Times New Roman" w:hAnsi="Times New Roman" w:cs="Times New Roman"/>
          <w:sz w:val="21"/>
          <w:szCs w:val="21"/>
          <w:u w:val="single"/>
        </w:rPr>
        <w:t>1</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1462"/>
        <w:gridCol w:w="1462"/>
        <w:gridCol w:w="1462"/>
        <w:gridCol w:w="1462"/>
        <w:gridCol w:w="1466"/>
      </w:tblGrid>
      <w:tr w14:paraId="2B22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vMerge w:val="restart"/>
            <w:vAlign w:val="center"/>
          </w:tcPr>
          <w:p w14:paraId="35BBC5FD">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副样</w:t>
            </w:r>
            <w:r>
              <w:rPr>
                <w:rFonts w:hint="eastAsia" w:ascii="Times New Roman" w:hAnsi="Times New Roman" w:cs="Times New Roman"/>
                <w:bCs/>
                <w:sz w:val="21"/>
                <w:szCs w:val="21"/>
              </w:rPr>
              <w:t>（</w:t>
            </w:r>
            <w:r>
              <w:rPr>
                <w:rFonts w:ascii="Times New Roman" w:hAnsi="Times New Roman" w:cs="Times New Roman"/>
                <w:bCs/>
                <w:sz w:val="21"/>
                <w:szCs w:val="21"/>
              </w:rPr>
              <w:t>x</w:t>
            </w:r>
            <w:r>
              <w:rPr>
                <w:rFonts w:ascii="Times New Roman" w:hAnsi="Times New Roman" w:cs="Times New Roman"/>
                <w:bCs/>
                <w:sz w:val="21"/>
                <w:szCs w:val="21"/>
                <w:vertAlign w:val="subscript"/>
              </w:rPr>
              <w:t>i</w:t>
            </w:r>
            <w:r>
              <w:rPr>
                <w:rFonts w:hint="eastAsia" w:ascii="Times New Roman" w:hAnsi="Times New Roman" w:cs="Times New Roman"/>
                <w:bCs/>
                <w:sz w:val="21"/>
                <w:szCs w:val="21"/>
              </w:rPr>
              <w:t>）</w:t>
            </w:r>
          </w:p>
        </w:tc>
        <w:tc>
          <w:tcPr>
            <w:tcW w:w="7314" w:type="dxa"/>
            <w:gridSpan w:val="5"/>
            <w:vAlign w:val="center"/>
          </w:tcPr>
          <w:p w14:paraId="5A74EEBC">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批次</w:t>
            </w:r>
          </w:p>
        </w:tc>
      </w:tr>
      <w:tr w14:paraId="0F0B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0" w:type="auto"/>
            <w:vMerge w:val="continue"/>
          </w:tcPr>
          <w:p w14:paraId="4148DE9B">
            <w:pPr>
              <w:spacing w:line="440" w:lineRule="exact"/>
              <w:jc w:val="center"/>
              <w:rPr>
                <w:sz w:val="21"/>
                <w:szCs w:val="21"/>
              </w:rPr>
            </w:pPr>
          </w:p>
        </w:tc>
        <w:tc>
          <w:tcPr>
            <w:tcW w:w="1462" w:type="dxa"/>
            <w:vAlign w:val="center"/>
          </w:tcPr>
          <w:p w14:paraId="6F22692B">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1</w:t>
            </w:r>
          </w:p>
        </w:tc>
        <w:tc>
          <w:tcPr>
            <w:tcW w:w="1462" w:type="dxa"/>
            <w:vAlign w:val="center"/>
          </w:tcPr>
          <w:p w14:paraId="5EDBABCE">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2</w:t>
            </w:r>
          </w:p>
        </w:tc>
        <w:tc>
          <w:tcPr>
            <w:tcW w:w="1462" w:type="dxa"/>
            <w:vAlign w:val="center"/>
          </w:tcPr>
          <w:p w14:paraId="30A5FD46">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3</w:t>
            </w:r>
          </w:p>
        </w:tc>
        <w:tc>
          <w:tcPr>
            <w:tcW w:w="1462" w:type="dxa"/>
            <w:vAlign w:val="center"/>
          </w:tcPr>
          <w:p w14:paraId="5DA8C5B5">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4</w:t>
            </w:r>
          </w:p>
        </w:tc>
        <w:tc>
          <w:tcPr>
            <w:tcW w:w="1466" w:type="dxa"/>
            <w:vAlign w:val="center"/>
          </w:tcPr>
          <w:p w14:paraId="1DF3C22F">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5</w:t>
            </w:r>
          </w:p>
        </w:tc>
      </w:tr>
      <w:tr w14:paraId="0FE2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3A016875">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1</w:t>
            </w:r>
          </w:p>
        </w:tc>
        <w:tc>
          <w:tcPr>
            <w:tcW w:w="1462" w:type="dxa"/>
            <w:vAlign w:val="center"/>
          </w:tcPr>
          <w:p w14:paraId="3433B099">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10.23</w:t>
            </w:r>
          </w:p>
        </w:tc>
        <w:tc>
          <w:tcPr>
            <w:tcW w:w="1462" w:type="dxa"/>
            <w:vAlign w:val="center"/>
          </w:tcPr>
          <w:p w14:paraId="307B4A40">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10.19</w:t>
            </w:r>
          </w:p>
        </w:tc>
        <w:tc>
          <w:tcPr>
            <w:tcW w:w="1462" w:type="dxa"/>
            <w:vAlign w:val="center"/>
          </w:tcPr>
          <w:p w14:paraId="34C7B236">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10.35</w:t>
            </w:r>
          </w:p>
        </w:tc>
        <w:tc>
          <w:tcPr>
            <w:tcW w:w="1462" w:type="dxa"/>
            <w:vAlign w:val="center"/>
          </w:tcPr>
          <w:p w14:paraId="0134D17B">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9.45</w:t>
            </w:r>
          </w:p>
        </w:tc>
        <w:tc>
          <w:tcPr>
            <w:tcW w:w="1466" w:type="dxa"/>
            <w:vAlign w:val="center"/>
          </w:tcPr>
          <w:p w14:paraId="282C432D">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10.37</w:t>
            </w:r>
          </w:p>
        </w:tc>
      </w:tr>
      <w:tr w14:paraId="5AC2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3798A6F0">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2</w:t>
            </w:r>
          </w:p>
        </w:tc>
        <w:tc>
          <w:tcPr>
            <w:tcW w:w="1462" w:type="dxa"/>
            <w:vAlign w:val="center"/>
          </w:tcPr>
          <w:p w14:paraId="46D58CAD">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10.36</w:t>
            </w:r>
          </w:p>
        </w:tc>
        <w:tc>
          <w:tcPr>
            <w:tcW w:w="1462" w:type="dxa"/>
            <w:vAlign w:val="center"/>
          </w:tcPr>
          <w:p w14:paraId="6B8787CC">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9.89</w:t>
            </w:r>
          </w:p>
        </w:tc>
        <w:tc>
          <w:tcPr>
            <w:tcW w:w="1462" w:type="dxa"/>
            <w:vAlign w:val="center"/>
          </w:tcPr>
          <w:p w14:paraId="0BD7809A">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10.05</w:t>
            </w:r>
          </w:p>
        </w:tc>
        <w:tc>
          <w:tcPr>
            <w:tcW w:w="1462" w:type="dxa"/>
            <w:vAlign w:val="center"/>
          </w:tcPr>
          <w:p w14:paraId="5B17F970">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9.68</w:t>
            </w:r>
          </w:p>
        </w:tc>
        <w:tc>
          <w:tcPr>
            <w:tcW w:w="1466" w:type="dxa"/>
            <w:vAlign w:val="center"/>
          </w:tcPr>
          <w:p w14:paraId="7A3A6E0E">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10.37</w:t>
            </w:r>
          </w:p>
        </w:tc>
      </w:tr>
      <w:tr w14:paraId="0B57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76F2A4FC">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3</w:t>
            </w:r>
          </w:p>
        </w:tc>
        <w:tc>
          <w:tcPr>
            <w:tcW w:w="1462" w:type="dxa"/>
            <w:vAlign w:val="center"/>
          </w:tcPr>
          <w:p w14:paraId="34224016">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10.36</w:t>
            </w:r>
          </w:p>
        </w:tc>
        <w:tc>
          <w:tcPr>
            <w:tcW w:w="1462" w:type="dxa"/>
            <w:vAlign w:val="center"/>
          </w:tcPr>
          <w:p w14:paraId="5FFC015D">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10.02</w:t>
            </w:r>
          </w:p>
        </w:tc>
        <w:tc>
          <w:tcPr>
            <w:tcW w:w="1462" w:type="dxa"/>
            <w:vAlign w:val="center"/>
          </w:tcPr>
          <w:p w14:paraId="04411669">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10.19</w:t>
            </w:r>
          </w:p>
        </w:tc>
        <w:tc>
          <w:tcPr>
            <w:tcW w:w="1462" w:type="dxa"/>
            <w:vAlign w:val="center"/>
          </w:tcPr>
          <w:p w14:paraId="1207011A">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9.91</w:t>
            </w:r>
          </w:p>
        </w:tc>
        <w:tc>
          <w:tcPr>
            <w:tcW w:w="1466" w:type="dxa"/>
            <w:vAlign w:val="center"/>
          </w:tcPr>
          <w:p w14:paraId="29EEB6F4">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10.24</w:t>
            </w:r>
          </w:p>
        </w:tc>
      </w:tr>
      <w:tr w14:paraId="1985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42088686">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4</w:t>
            </w:r>
          </w:p>
        </w:tc>
        <w:tc>
          <w:tcPr>
            <w:tcW w:w="1462" w:type="dxa"/>
            <w:vAlign w:val="center"/>
          </w:tcPr>
          <w:p w14:paraId="662DD8BF">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10.46</w:t>
            </w:r>
          </w:p>
        </w:tc>
        <w:tc>
          <w:tcPr>
            <w:tcW w:w="1462" w:type="dxa"/>
            <w:vAlign w:val="center"/>
          </w:tcPr>
          <w:p w14:paraId="3495E37E">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9.82</w:t>
            </w:r>
          </w:p>
        </w:tc>
        <w:tc>
          <w:tcPr>
            <w:tcW w:w="1462" w:type="dxa"/>
            <w:vAlign w:val="center"/>
          </w:tcPr>
          <w:p w14:paraId="1236C6E1">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10.09</w:t>
            </w:r>
          </w:p>
        </w:tc>
        <w:tc>
          <w:tcPr>
            <w:tcW w:w="1462" w:type="dxa"/>
            <w:vAlign w:val="center"/>
          </w:tcPr>
          <w:p w14:paraId="06E38617">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9.95</w:t>
            </w:r>
          </w:p>
        </w:tc>
        <w:tc>
          <w:tcPr>
            <w:tcW w:w="1466" w:type="dxa"/>
            <w:vAlign w:val="center"/>
          </w:tcPr>
          <w:p w14:paraId="6CA82B92">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 xml:space="preserve">10.30 </w:t>
            </w:r>
          </w:p>
        </w:tc>
      </w:tr>
      <w:tr w14:paraId="2B18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03EE4B84">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5</w:t>
            </w:r>
          </w:p>
        </w:tc>
        <w:tc>
          <w:tcPr>
            <w:tcW w:w="1462" w:type="dxa"/>
            <w:vAlign w:val="center"/>
          </w:tcPr>
          <w:p w14:paraId="0D790ADC">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10.36</w:t>
            </w:r>
          </w:p>
        </w:tc>
        <w:tc>
          <w:tcPr>
            <w:tcW w:w="1462" w:type="dxa"/>
            <w:vAlign w:val="center"/>
          </w:tcPr>
          <w:p w14:paraId="3D968318">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10.12</w:t>
            </w:r>
          </w:p>
        </w:tc>
        <w:tc>
          <w:tcPr>
            <w:tcW w:w="1462" w:type="dxa"/>
            <w:vAlign w:val="center"/>
          </w:tcPr>
          <w:p w14:paraId="619B8FA6">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9.49</w:t>
            </w:r>
          </w:p>
        </w:tc>
        <w:tc>
          <w:tcPr>
            <w:tcW w:w="1462" w:type="dxa"/>
            <w:vAlign w:val="center"/>
          </w:tcPr>
          <w:p w14:paraId="38A0E8FC">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10.24</w:t>
            </w:r>
          </w:p>
        </w:tc>
        <w:tc>
          <w:tcPr>
            <w:tcW w:w="1466" w:type="dxa"/>
            <w:vAlign w:val="center"/>
          </w:tcPr>
          <w:p w14:paraId="7DFFFFB3">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10.21</w:t>
            </w:r>
          </w:p>
        </w:tc>
      </w:tr>
      <w:tr w14:paraId="3320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664989C3">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6</w:t>
            </w:r>
          </w:p>
        </w:tc>
        <w:tc>
          <w:tcPr>
            <w:tcW w:w="1462" w:type="dxa"/>
            <w:vAlign w:val="center"/>
          </w:tcPr>
          <w:p w14:paraId="0E51D2D3">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10.36</w:t>
            </w:r>
          </w:p>
        </w:tc>
        <w:tc>
          <w:tcPr>
            <w:tcW w:w="1462" w:type="dxa"/>
            <w:vAlign w:val="center"/>
          </w:tcPr>
          <w:p w14:paraId="3CF98A8C">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10.09</w:t>
            </w:r>
          </w:p>
        </w:tc>
        <w:tc>
          <w:tcPr>
            <w:tcW w:w="1462" w:type="dxa"/>
            <w:vAlign w:val="center"/>
          </w:tcPr>
          <w:p w14:paraId="42B52520">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10.09</w:t>
            </w:r>
          </w:p>
        </w:tc>
        <w:tc>
          <w:tcPr>
            <w:tcW w:w="1462" w:type="dxa"/>
            <w:vAlign w:val="center"/>
          </w:tcPr>
          <w:p w14:paraId="3C24AEE6">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10.31</w:t>
            </w:r>
          </w:p>
        </w:tc>
        <w:tc>
          <w:tcPr>
            <w:tcW w:w="1466" w:type="dxa"/>
            <w:vAlign w:val="center"/>
          </w:tcPr>
          <w:p w14:paraId="6F5C3B9B">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10.18</w:t>
            </w:r>
          </w:p>
        </w:tc>
      </w:tr>
      <w:tr w14:paraId="61DC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7015E72A">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7</w:t>
            </w:r>
          </w:p>
        </w:tc>
        <w:tc>
          <w:tcPr>
            <w:tcW w:w="1462" w:type="dxa"/>
            <w:vAlign w:val="center"/>
          </w:tcPr>
          <w:p w14:paraId="61ACBF61">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 xml:space="preserve">10.40 </w:t>
            </w:r>
          </w:p>
        </w:tc>
        <w:tc>
          <w:tcPr>
            <w:tcW w:w="1462" w:type="dxa"/>
            <w:vAlign w:val="center"/>
          </w:tcPr>
          <w:p w14:paraId="49308FC7">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10.09</w:t>
            </w:r>
          </w:p>
        </w:tc>
        <w:tc>
          <w:tcPr>
            <w:tcW w:w="1462" w:type="dxa"/>
            <w:vAlign w:val="center"/>
          </w:tcPr>
          <w:p w14:paraId="73C9EE5B">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9.96</w:t>
            </w:r>
          </w:p>
        </w:tc>
        <w:tc>
          <w:tcPr>
            <w:tcW w:w="1462" w:type="dxa"/>
            <w:vAlign w:val="center"/>
          </w:tcPr>
          <w:p w14:paraId="4289A2B5">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10.18</w:t>
            </w:r>
          </w:p>
        </w:tc>
        <w:tc>
          <w:tcPr>
            <w:tcW w:w="1466" w:type="dxa"/>
            <w:vAlign w:val="center"/>
          </w:tcPr>
          <w:p w14:paraId="7B99CEE2">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10.24</w:t>
            </w:r>
          </w:p>
        </w:tc>
      </w:tr>
      <w:tr w14:paraId="2B57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38B6126B">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8</w:t>
            </w:r>
          </w:p>
        </w:tc>
        <w:tc>
          <w:tcPr>
            <w:tcW w:w="1462" w:type="dxa"/>
            <w:vAlign w:val="center"/>
          </w:tcPr>
          <w:p w14:paraId="47394D69">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 xml:space="preserve">10.40 </w:t>
            </w:r>
          </w:p>
        </w:tc>
        <w:tc>
          <w:tcPr>
            <w:tcW w:w="1462" w:type="dxa"/>
            <w:vAlign w:val="center"/>
          </w:tcPr>
          <w:p w14:paraId="0CF4A9DB">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9.89</w:t>
            </w:r>
          </w:p>
        </w:tc>
        <w:tc>
          <w:tcPr>
            <w:tcW w:w="1462" w:type="dxa"/>
            <w:vAlign w:val="center"/>
          </w:tcPr>
          <w:p w14:paraId="521FECAF">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10.25</w:t>
            </w:r>
          </w:p>
        </w:tc>
        <w:tc>
          <w:tcPr>
            <w:tcW w:w="1462" w:type="dxa"/>
            <w:vAlign w:val="center"/>
          </w:tcPr>
          <w:p w14:paraId="1562A147">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10.18</w:t>
            </w:r>
          </w:p>
        </w:tc>
        <w:tc>
          <w:tcPr>
            <w:tcW w:w="1466" w:type="dxa"/>
            <w:vAlign w:val="center"/>
          </w:tcPr>
          <w:p w14:paraId="168A4DCA">
            <w:pPr>
              <w:keepNext w:val="0"/>
              <w:keepLines w:val="0"/>
              <w:widowControl/>
              <w:suppressLineNumbers w:val="0"/>
              <w:jc w:val="center"/>
              <w:textAlignment w:val="center"/>
              <w:rPr>
                <w:rFonts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10.21</w:t>
            </w:r>
          </w:p>
        </w:tc>
      </w:tr>
      <w:tr w14:paraId="5E42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64DAD201">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9</w:t>
            </w:r>
          </w:p>
        </w:tc>
        <w:tc>
          <w:tcPr>
            <w:tcW w:w="1462" w:type="dxa"/>
            <w:vAlign w:val="center"/>
          </w:tcPr>
          <w:p w14:paraId="385557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10.40 </w:t>
            </w:r>
          </w:p>
        </w:tc>
        <w:tc>
          <w:tcPr>
            <w:tcW w:w="1462" w:type="dxa"/>
            <w:vAlign w:val="center"/>
          </w:tcPr>
          <w:p w14:paraId="0D0F87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10.22</w:t>
            </w:r>
          </w:p>
        </w:tc>
        <w:tc>
          <w:tcPr>
            <w:tcW w:w="1462" w:type="dxa"/>
            <w:vAlign w:val="center"/>
          </w:tcPr>
          <w:p w14:paraId="209850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10.09</w:t>
            </w:r>
          </w:p>
        </w:tc>
        <w:tc>
          <w:tcPr>
            <w:tcW w:w="1462" w:type="dxa"/>
            <w:vAlign w:val="center"/>
          </w:tcPr>
          <w:p w14:paraId="74EDCA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10.20 </w:t>
            </w:r>
          </w:p>
        </w:tc>
        <w:tc>
          <w:tcPr>
            <w:tcW w:w="1466" w:type="dxa"/>
            <w:vAlign w:val="center"/>
          </w:tcPr>
          <w:p w14:paraId="448F04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10.16</w:t>
            </w:r>
          </w:p>
        </w:tc>
      </w:tr>
      <w:tr w14:paraId="2FAD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0" w:type="auto"/>
          </w:tcPr>
          <w:p w14:paraId="3654B775">
            <w:pPr>
              <w:spacing w:line="440" w:lineRule="exact"/>
              <w:jc w:val="center"/>
              <w:rPr>
                <w:rFonts w:ascii="Times New Roman" w:hAnsi="Times New Roman" w:cs="Times New Roman"/>
                <w:bCs/>
                <w:sz w:val="21"/>
                <w:szCs w:val="21"/>
              </w:rPr>
            </w:pPr>
            <w:r>
              <w:rPr>
                <w:rFonts w:ascii="Times New Roman" w:hAnsi="Times New Roman" w:cs="Times New Roman"/>
                <w:bCs/>
                <w:sz w:val="21"/>
                <w:szCs w:val="21"/>
              </w:rPr>
              <w:t>10</w:t>
            </w:r>
          </w:p>
        </w:tc>
        <w:tc>
          <w:tcPr>
            <w:tcW w:w="1462" w:type="dxa"/>
            <w:vAlign w:val="center"/>
          </w:tcPr>
          <w:p w14:paraId="6FA5A1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10.36</w:t>
            </w:r>
          </w:p>
        </w:tc>
        <w:tc>
          <w:tcPr>
            <w:tcW w:w="1462" w:type="dxa"/>
            <w:vAlign w:val="center"/>
          </w:tcPr>
          <w:p w14:paraId="39504D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10.35</w:t>
            </w:r>
          </w:p>
        </w:tc>
        <w:tc>
          <w:tcPr>
            <w:tcW w:w="1462" w:type="dxa"/>
            <w:vAlign w:val="center"/>
          </w:tcPr>
          <w:p w14:paraId="2C88D5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10.22</w:t>
            </w:r>
          </w:p>
        </w:tc>
        <w:tc>
          <w:tcPr>
            <w:tcW w:w="1462" w:type="dxa"/>
            <w:vAlign w:val="center"/>
          </w:tcPr>
          <w:p w14:paraId="4F5092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10.20 </w:t>
            </w:r>
          </w:p>
        </w:tc>
        <w:tc>
          <w:tcPr>
            <w:tcW w:w="1466" w:type="dxa"/>
            <w:vAlign w:val="center"/>
          </w:tcPr>
          <w:p w14:paraId="369B5E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10.10 </w:t>
            </w:r>
          </w:p>
        </w:tc>
      </w:tr>
      <w:tr w14:paraId="0982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0" w:type="auto"/>
          </w:tcPr>
          <w:p w14:paraId="509E85CE">
            <w:pPr>
              <w:spacing w:line="440" w:lineRule="exact"/>
              <w:jc w:val="center"/>
              <w:rPr>
                <w:rFonts w:ascii="Times New Roman" w:hAnsi="Times New Roman" w:cs="Times New Roman"/>
                <w:bCs/>
                <w:sz w:val="21"/>
                <w:szCs w:val="21"/>
              </w:rPr>
            </w:pPr>
            <w:r>
              <w:rPr>
                <w:rFonts w:ascii="Times New Roman" w:hAnsi="Times New Roman" w:cs="Times New Roman"/>
                <w:bCs/>
                <w:position w:val="-4"/>
                <w:sz w:val="21"/>
                <w:szCs w:val="21"/>
              </w:rPr>
              <w:object>
                <v:shape id="_x0000_i1078" o:spt="75" type="#_x0000_t75" style="height:15pt;width:13.8pt;" o:ole="t" filled="f" o:preferrelative="t" stroked="f" coordsize="21600,21600">
                  <v:path/>
                  <v:fill on="f" focussize="0,0"/>
                  <v:stroke on="f" joinstyle="miter"/>
                  <v:imagedata r:id="rId82" o:title=""/>
                  <o:lock v:ext="edit" aspectratio="t"/>
                  <w10:wrap type="none"/>
                  <w10:anchorlock/>
                </v:shape>
                <o:OLEObject Type="Embed" ProgID="Equation.3" ShapeID="_x0000_i1078" DrawAspect="Content" ObjectID="_1468075778" r:id="rId81">
                  <o:LockedField>false</o:LockedField>
                </o:OLEObject>
              </w:object>
            </w:r>
          </w:p>
        </w:tc>
        <w:tc>
          <w:tcPr>
            <w:tcW w:w="1462" w:type="dxa"/>
            <w:vAlign w:val="center"/>
          </w:tcPr>
          <w:p w14:paraId="064E3D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10.369</w:t>
            </w:r>
          </w:p>
        </w:tc>
        <w:tc>
          <w:tcPr>
            <w:tcW w:w="1462" w:type="dxa"/>
            <w:vAlign w:val="center"/>
          </w:tcPr>
          <w:p w14:paraId="3536D8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10.068</w:t>
            </w:r>
          </w:p>
        </w:tc>
        <w:tc>
          <w:tcPr>
            <w:tcW w:w="1462" w:type="dxa"/>
            <w:vAlign w:val="center"/>
          </w:tcPr>
          <w:p w14:paraId="19B729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10.078</w:t>
            </w:r>
          </w:p>
        </w:tc>
        <w:tc>
          <w:tcPr>
            <w:tcW w:w="1462" w:type="dxa"/>
            <w:vAlign w:val="center"/>
          </w:tcPr>
          <w:p w14:paraId="569984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10.03</w:t>
            </w:r>
          </w:p>
        </w:tc>
        <w:tc>
          <w:tcPr>
            <w:tcW w:w="1466" w:type="dxa"/>
            <w:vAlign w:val="center"/>
          </w:tcPr>
          <w:p w14:paraId="0F5C54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10.238</w:t>
            </w:r>
          </w:p>
        </w:tc>
      </w:tr>
      <w:tr w14:paraId="6E16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tcPr>
          <w:p w14:paraId="5160DAB4">
            <w:pPr>
              <w:spacing w:line="440" w:lineRule="exact"/>
              <w:jc w:val="center"/>
              <w:rPr>
                <w:rFonts w:ascii="Times New Roman" w:hAnsi="Times New Roman" w:cs="Times New Roman"/>
                <w:b/>
                <w:sz w:val="21"/>
                <w:szCs w:val="21"/>
              </w:rPr>
            </w:pPr>
            <w:r>
              <w:rPr>
                <w:rFonts w:ascii="Times New Roman" w:hAnsi="Times New Roman" w:cs="Times New Roman"/>
                <w:b/>
                <w:position w:val="-14"/>
                <w:sz w:val="21"/>
                <w:szCs w:val="21"/>
              </w:rPr>
              <w:object>
                <v:shape id="_x0000_i1079" o:spt="75" type="#_x0000_t75" style="height:20.15pt;width:28.2pt;" o:ole="t" filled="f" o:preferrelative="t" stroked="f" coordsize="21600,21600">
                  <v:path/>
                  <v:fill on="f" focussize="0,0"/>
                  <v:stroke on="f" joinstyle="miter"/>
                  <v:imagedata r:id="rId84" o:title=""/>
                  <o:lock v:ext="edit" aspectratio="t"/>
                  <w10:wrap type="none"/>
                  <w10:anchorlock/>
                </v:shape>
                <o:OLEObject Type="Embed" ProgID="Equation.3" ShapeID="_x0000_i1079" DrawAspect="Content" ObjectID="_1468075779" r:id="rId83">
                  <o:LockedField>false</o:LockedField>
                </o:OLEObject>
              </w:object>
            </w:r>
          </w:p>
        </w:tc>
        <w:tc>
          <w:tcPr>
            <w:tcW w:w="1462" w:type="dxa"/>
            <w:vAlign w:val="center"/>
          </w:tcPr>
          <w:p w14:paraId="0C4358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103.69</w:t>
            </w:r>
          </w:p>
        </w:tc>
        <w:tc>
          <w:tcPr>
            <w:tcW w:w="1462" w:type="dxa"/>
            <w:vAlign w:val="center"/>
          </w:tcPr>
          <w:p w14:paraId="1E9A88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100.68</w:t>
            </w:r>
          </w:p>
        </w:tc>
        <w:tc>
          <w:tcPr>
            <w:tcW w:w="1462" w:type="dxa"/>
            <w:vAlign w:val="center"/>
          </w:tcPr>
          <w:p w14:paraId="0EF463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100.78</w:t>
            </w:r>
          </w:p>
        </w:tc>
        <w:tc>
          <w:tcPr>
            <w:tcW w:w="1462" w:type="dxa"/>
            <w:vAlign w:val="center"/>
          </w:tcPr>
          <w:p w14:paraId="520BDD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100.3</w:t>
            </w:r>
          </w:p>
        </w:tc>
        <w:tc>
          <w:tcPr>
            <w:tcW w:w="1466" w:type="dxa"/>
            <w:vAlign w:val="center"/>
          </w:tcPr>
          <w:p w14:paraId="0478A2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102.38</w:t>
            </w:r>
          </w:p>
        </w:tc>
      </w:tr>
      <w:tr w14:paraId="1DC2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tcPr>
          <w:p w14:paraId="31D7FF27">
            <w:pPr>
              <w:spacing w:line="440" w:lineRule="exact"/>
              <w:jc w:val="center"/>
              <w:rPr>
                <w:rFonts w:ascii="Times New Roman" w:hAnsi="Times New Roman" w:cs="Times New Roman"/>
                <w:b/>
                <w:sz w:val="21"/>
                <w:szCs w:val="21"/>
              </w:rPr>
            </w:pPr>
            <w:r>
              <w:rPr>
                <w:rFonts w:ascii="Times New Roman" w:hAnsi="Times New Roman" w:cs="Times New Roman"/>
                <w:b/>
                <w:position w:val="-14"/>
                <w:sz w:val="21"/>
                <w:szCs w:val="21"/>
              </w:rPr>
              <w:object>
                <v:shape id="_x0000_i1080" o:spt="75" type="#_x0000_t75" style="height:21.9pt;width:32.85pt;" o:ole="t" filled="f" o:preferrelative="t" stroked="f" coordsize="21600,21600">
                  <v:path/>
                  <v:fill on="f" focussize="0,0"/>
                  <v:stroke on="f" joinstyle="miter"/>
                  <v:imagedata r:id="rId86" o:title=""/>
                  <o:lock v:ext="edit" aspectratio="t"/>
                  <w10:wrap type="none"/>
                  <w10:anchorlock/>
                </v:shape>
                <o:OLEObject Type="Embed" ProgID="Equation.3" ShapeID="_x0000_i1080" DrawAspect="Content" ObjectID="_1468075780" r:id="rId85">
                  <o:LockedField>false</o:LockedField>
                </o:OLEObject>
              </w:object>
            </w:r>
          </w:p>
        </w:tc>
        <w:tc>
          <w:tcPr>
            <w:tcW w:w="1462" w:type="dxa"/>
            <w:vAlign w:val="center"/>
          </w:tcPr>
          <w:p w14:paraId="6D206E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1075.193 </w:t>
            </w:r>
          </w:p>
        </w:tc>
        <w:tc>
          <w:tcPr>
            <w:tcW w:w="1462" w:type="dxa"/>
            <w:vAlign w:val="center"/>
          </w:tcPr>
          <w:p w14:paraId="4835B8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1013.895 </w:t>
            </w:r>
          </w:p>
        </w:tc>
        <w:tc>
          <w:tcPr>
            <w:tcW w:w="1462" w:type="dxa"/>
            <w:vAlign w:val="center"/>
          </w:tcPr>
          <w:p w14:paraId="459DEB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1016.158 </w:t>
            </w:r>
          </w:p>
        </w:tc>
        <w:tc>
          <w:tcPr>
            <w:tcW w:w="1462" w:type="dxa"/>
            <w:vAlign w:val="center"/>
          </w:tcPr>
          <w:p w14:paraId="2867B2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1006.714 </w:t>
            </w:r>
          </w:p>
        </w:tc>
        <w:tc>
          <w:tcPr>
            <w:tcW w:w="1466" w:type="dxa"/>
            <w:vAlign w:val="center"/>
          </w:tcPr>
          <w:p w14:paraId="28DC8E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1048.235 </w:t>
            </w:r>
          </w:p>
        </w:tc>
      </w:tr>
      <w:tr w14:paraId="6826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tcPr>
          <w:p w14:paraId="2FD9B4DA">
            <w:pPr>
              <w:spacing w:line="440" w:lineRule="exact"/>
              <w:jc w:val="center"/>
              <w:rPr>
                <w:rFonts w:ascii="Times New Roman" w:hAnsi="Times New Roman" w:cs="Times New Roman"/>
                <w:b/>
                <w:sz w:val="21"/>
                <w:szCs w:val="21"/>
              </w:rPr>
            </w:pPr>
            <w:r>
              <w:rPr>
                <w:rFonts w:ascii="Times New Roman" w:hAnsi="Times New Roman" w:cs="Times New Roman"/>
                <w:position w:val="-12"/>
                <w:sz w:val="21"/>
                <w:szCs w:val="21"/>
              </w:rPr>
              <w:object>
                <v:shape id="_x0000_i1081" o:spt="75" type="#_x0000_t75" style="height:20.75pt;width:15pt;" o:ole="t" filled="f" o:preferrelative="t" stroked="f" coordsize="21600,21600">
                  <v:path/>
                  <v:fill on="f" focussize="0,0"/>
                  <v:stroke on="f" joinstyle="miter"/>
                  <v:imagedata r:id="rId88" o:title=""/>
                  <o:lock v:ext="edit" aspectratio="t"/>
                  <w10:wrap type="none"/>
                  <w10:anchorlock/>
                </v:shape>
                <o:OLEObject Type="Embed" ProgID="Equation.3" ShapeID="_x0000_i1081" DrawAspect="Content" ObjectID="_1468075781" r:id="rId87">
                  <o:LockedField>false</o:LockedField>
                </o:OLEObject>
              </w:object>
            </w:r>
          </w:p>
        </w:tc>
        <w:tc>
          <w:tcPr>
            <w:tcW w:w="1462" w:type="dxa"/>
            <w:vAlign w:val="center"/>
          </w:tcPr>
          <w:p w14:paraId="66799D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0.059 </w:t>
            </w:r>
          </w:p>
        </w:tc>
        <w:tc>
          <w:tcPr>
            <w:tcW w:w="1462" w:type="dxa"/>
            <w:vAlign w:val="center"/>
          </w:tcPr>
          <w:p w14:paraId="5AD0F2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0.166 </w:t>
            </w:r>
          </w:p>
        </w:tc>
        <w:tc>
          <w:tcPr>
            <w:tcW w:w="1462" w:type="dxa"/>
            <w:vAlign w:val="center"/>
          </w:tcPr>
          <w:p w14:paraId="44C4C7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0.235 </w:t>
            </w:r>
          </w:p>
        </w:tc>
        <w:tc>
          <w:tcPr>
            <w:tcW w:w="1462" w:type="dxa"/>
            <w:vAlign w:val="center"/>
          </w:tcPr>
          <w:p w14:paraId="51065E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0.280 </w:t>
            </w:r>
          </w:p>
        </w:tc>
        <w:tc>
          <w:tcPr>
            <w:tcW w:w="1466" w:type="dxa"/>
            <w:vAlign w:val="center"/>
          </w:tcPr>
          <w:p w14:paraId="7081C5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0.087 </w:t>
            </w:r>
          </w:p>
        </w:tc>
      </w:tr>
      <w:tr w14:paraId="366E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tcPr>
          <w:p w14:paraId="2E2CB4C6">
            <w:pPr>
              <w:spacing w:line="440" w:lineRule="exact"/>
              <w:jc w:val="center"/>
              <w:rPr>
                <w:rFonts w:ascii="Times New Roman" w:hAnsi="Times New Roman" w:cs="Times New Roman"/>
                <w:b/>
                <w:sz w:val="21"/>
                <w:szCs w:val="21"/>
              </w:rPr>
            </w:pPr>
            <w:r>
              <w:rPr>
                <w:rFonts w:ascii="Times New Roman" w:hAnsi="Times New Roman" w:cs="Times New Roman"/>
                <w:b/>
                <w:position w:val="-6"/>
                <w:sz w:val="21"/>
                <w:szCs w:val="21"/>
              </w:rPr>
              <w:object>
                <v:shape id="_x0000_i1082" o:spt="75" type="#_x0000_t75" style="height:16.7pt;width:19pt;" o:ole="t" filled="f" o:preferrelative="t" stroked="f" coordsize="21600,21600">
                  <v:path/>
                  <v:fill on="f" focussize="0,0"/>
                  <v:stroke on="f" joinstyle="miter"/>
                  <v:imagedata r:id="rId27" o:title=""/>
                  <o:lock v:ext="edit" aspectratio="t"/>
                  <w10:wrap type="none"/>
                  <w10:anchorlock/>
                </v:shape>
                <o:OLEObject Type="Embed" ProgID="Equation.3" ShapeID="_x0000_i1082" DrawAspect="Content" ObjectID="_1468075782" r:id="rId89">
                  <o:LockedField>false</o:LockedField>
                </o:OLEObject>
              </w:object>
            </w:r>
          </w:p>
        </w:tc>
        <w:tc>
          <w:tcPr>
            <w:tcW w:w="7314" w:type="dxa"/>
            <w:gridSpan w:val="5"/>
            <w:vAlign w:val="center"/>
          </w:tcPr>
          <w:p w14:paraId="1BE2C9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0.186 </w:t>
            </w:r>
          </w:p>
        </w:tc>
      </w:tr>
    </w:tbl>
    <w:p w14:paraId="7638404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精密度试验结果如下：</w:t>
      </w:r>
    </w:p>
    <w:p w14:paraId="69950D64">
      <w:pPr>
        <w:numPr>
          <w:ilvl w:val="255"/>
          <w:numId w:val="0"/>
        </w:numPr>
        <w:spacing w:line="360" w:lineRule="auto"/>
        <w:ind w:left="1680" w:leftChars="800" w:firstLine="420"/>
      </w:pPr>
      <w:r>
        <w:rPr>
          <w:position w:val="-10"/>
        </w:rPr>
        <w:object>
          <v:shape id="_x0000_i1083" o:spt="75" type="#_x0000_t75" style="height:16.7pt;width:53pt;" o:ole="t" filled="f" o:preferrelative="t" stroked="f" coordsize="21600,21600">
            <v:path/>
            <v:fill on="f" focussize="0,0"/>
            <v:stroke on="f" joinstyle="miter"/>
            <v:imagedata r:id="rId91" o:title=""/>
            <o:lock v:ext="edit" aspectratio="t"/>
            <w10:wrap type="none"/>
            <w10:anchorlock/>
          </v:shape>
          <o:OLEObject Type="Embed" ProgID="Equation.3" ShapeID="_x0000_i1083" DrawAspect="Content" ObjectID="_1468075783" r:id="rId90">
            <o:LockedField>false</o:LockedField>
          </o:OLEObject>
        </w:object>
      </w:r>
      <w:r>
        <w:t>＝2×</w:t>
      </w:r>
      <w:r>
        <w:rPr>
          <w:rFonts w:hint="eastAsia"/>
        </w:rPr>
        <w:t>0.045</w:t>
      </w:r>
      <w:r>
        <w:t>＝</w:t>
      </w:r>
      <w:r>
        <w:rPr>
          <w:rFonts w:hint="eastAsia"/>
        </w:rPr>
        <w:t>0.09</w:t>
      </w:r>
      <w:r>
        <w:t>%</w:t>
      </w:r>
    </w:p>
    <w:p w14:paraId="2AA640B6">
      <w:pPr>
        <w:numPr>
          <w:ilvl w:val="255"/>
          <w:numId w:val="0"/>
        </w:numPr>
        <w:spacing w:line="360" w:lineRule="auto"/>
        <w:ind w:left="1680" w:firstLine="420"/>
      </w:pPr>
      <w:r>
        <w:rPr>
          <w:position w:val="-10"/>
        </w:rPr>
        <w:object>
          <v:shape id="_x0000_i1084" o:spt="75" type="#_x0000_t75" style="height:16.7pt;width:47.8pt;" o:ole="t" filled="f" o:preferrelative="t" stroked="f" coordsize="21600,21600">
            <v:path/>
            <v:fill on="f" focussize="0,0"/>
            <v:stroke on="f" joinstyle="miter"/>
            <v:imagedata r:id="rId93" o:title=""/>
            <o:lock v:ext="edit" aspectratio="t"/>
            <w10:wrap type="none"/>
            <w10:anchorlock/>
          </v:shape>
          <o:OLEObject Type="Embed" ProgID="Equation.3" ShapeID="_x0000_i1084" DrawAspect="Content" ObjectID="_1468075784" r:id="rId92">
            <o:LockedField>false</o:LockedField>
          </o:OLEObject>
        </w:object>
      </w:r>
      <w:r>
        <w:t>＝2×</w:t>
      </w:r>
      <w:r>
        <w:rPr>
          <w:rFonts w:hint="eastAsia"/>
        </w:rPr>
        <w:t>0.05</w:t>
      </w:r>
      <w:r>
        <w:rPr>
          <w:rFonts w:hint="eastAsia"/>
          <w:lang w:val="en-US" w:eastAsia="zh-CN"/>
        </w:rPr>
        <w:t>3</w:t>
      </w:r>
      <w:r>
        <w:t>＝</w:t>
      </w:r>
      <w:r>
        <w:rPr>
          <w:rFonts w:hint="eastAsia"/>
        </w:rPr>
        <w:t>0.10</w:t>
      </w:r>
      <w:r>
        <w:rPr>
          <w:rFonts w:hint="eastAsia"/>
          <w:lang w:val="en-US" w:eastAsia="zh-CN"/>
        </w:rPr>
        <w:t>6</w:t>
      </w:r>
      <w:r>
        <w:t>%</w:t>
      </w:r>
    </w:p>
    <w:p w14:paraId="580ABBAA">
      <w:pPr>
        <w:numPr>
          <w:ilvl w:val="255"/>
          <w:numId w:val="0"/>
        </w:numPr>
        <w:spacing w:line="360" w:lineRule="auto"/>
        <w:ind w:left="1680" w:firstLine="420"/>
      </w:pPr>
      <w:r>
        <w:rPr>
          <w:position w:val="-12"/>
        </w:rPr>
        <w:object>
          <v:shape id="_x0000_i1085" o:spt="75" type="#_x0000_t75" style="height:17.85pt;width:46.65pt;" o:ole="t" filled="f" o:preferrelative="t" stroked="f" coordsize="21600,21600">
            <v:path/>
            <v:fill on="f" focussize="0,0"/>
            <v:stroke on="f" joinstyle="miter"/>
            <v:imagedata r:id="rId95" o:title=""/>
            <o:lock v:ext="edit" aspectratio="t"/>
            <w10:wrap type="none"/>
            <w10:anchorlock/>
          </v:shape>
          <o:OLEObject Type="Embed" ProgID="Equation.3" ShapeID="_x0000_i1085" DrawAspect="Content" ObjectID="_1468075785" r:id="rId94">
            <o:LockedField>false</o:LockedField>
          </o:OLEObject>
        </w:object>
      </w:r>
      <w:r>
        <w:t>＝2×</w:t>
      </w:r>
      <w:r>
        <w:rPr>
          <w:rFonts w:hint="eastAsia"/>
        </w:rPr>
        <w:t>0.01</w:t>
      </w:r>
      <w:r>
        <w:rPr>
          <w:rFonts w:hint="eastAsia"/>
          <w:lang w:val="en-US" w:eastAsia="zh-CN"/>
        </w:rPr>
        <w:t>2</w:t>
      </w:r>
      <w:r>
        <w:rPr>
          <w:rFonts w:hint="eastAsia"/>
        </w:rPr>
        <w:t>7</w:t>
      </w:r>
      <w:r>
        <w:t>＝</w:t>
      </w:r>
      <w:r>
        <w:rPr>
          <w:rFonts w:hint="eastAsia"/>
        </w:rPr>
        <w:t>0.02</w:t>
      </w:r>
      <w:r>
        <w:rPr>
          <w:rFonts w:hint="eastAsia"/>
          <w:lang w:val="en-US" w:eastAsia="zh-CN"/>
        </w:rPr>
        <w:t>5</w:t>
      </w:r>
      <w:r>
        <w:rPr>
          <w:rFonts w:hint="eastAsia"/>
        </w:rPr>
        <w:t>4</w:t>
      </w:r>
      <w:r>
        <w:t>%</w:t>
      </w:r>
    </w:p>
    <w:p w14:paraId="54B8F2A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position w:val="-14"/>
        </w:rPr>
      </w:pPr>
      <w:r>
        <w:rPr>
          <w:position w:val="-14"/>
        </w:rPr>
        <w:object>
          <v:shape id="_x0000_i1086" o:spt="75" type="#_x0000_t75" style="height:23.1pt;width:317.25pt;" o:ole="t" filled="f" o:preferrelative="t" stroked="f" coordsize="21600,21600">
            <v:path/>
            <v:fill on="f" focussize="0,0"/>
            <v:stroke on="f"/>
            <v:imagedata r:id="rId97" o:title=""/>
            <o:lock v:ext="edit" aspectratio="t"/>
            <w10:wrap type="none"/>
            <w10:anchorlock/>
          </v:shape>
          <o:OLEObject Type="Embed" ProgID="Equation.3" ShapeID="_x0000_i1086" DrawAspect="Content" ObjectID="_1468075786" r:id="rId96">
            <o:LockedField>false</o:LockedField>
          </o:OLEObject>
        </w:object>
      </w:r>
    </w:p>
    <w:p w14:paraId="3763A4F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品质波动实验</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显示，</w:t>
      </w:r>
      <w:r>
        <w:rPr>
          <w:rFonts w:hint="default" w:ascii="宋体" w:hAnsi="宋体" w:eastAsia="宋体" w:cs="宋体"/>
          <w:sz w:val="21"/>
          <w:szCs w:val="21"/>
        </w:rPr>
        <w:t>镍精矿的份样间标准偏差（</w:t>
      </w:r>
      <w:r>
        <w:rPr>
          <w:rFonts w:ascii="宋体" w:hAnsi="宋体" w:eastAsia="宋体" w:cs="宋体"/>
          <w:sz w:val="21"/>
          <w:szCs w:val="21"/>
        </w:rPr>
        <w:object>
          <v:shape id="_x0000_i1087"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087" DrawAspect="Content" ObjectID="_1468075787" r:id="rId98">
            <o:LockedField>false</o:LockedField>
          </o:OLEObject>
        </w:object>
      </w:r>
      <w:r>
        <w:rPr>
          <w:rFonts w:hint="default" w:ascii="宋体" w:hAnsi="宋体" w:eastAsia="宋体" w:cs="宋体"/>
          <w:sz w:val="21"/>
          <w:szCs w:val="21"/>
        </w:rPr>
        <w:t>）分别为0.274%</w:t>
      </w:r>
      <w:r>
        <w:rPr>
          <w:rFonts w:hint="eastAsia" w:ascii="宋体" w:hAnsi="宋体" w:eastAsia="宋体" w:cs="宋体"/>
          <w:sz w:val="21"/>
          <w:szCs w:val="21"/>
          <w:lang w:val="en-US" w:eastAsia="zh-CN"/>
        </w:rPr>
        <w:t>和</w:t>
      </w:r>
      <w:r>
        <w:rPr>
          <w:rFonts w:hint="default" w:ascii="宋体" w:hAnsi="宋体" w:eastAsia="宋体" w:cs="宋体"/>
          <w:sz w:val="21"/>
          <w:szCs w:val="21"/>
        </w:rPr>
        <w:t>0.186%</w:t>
      </w:r>
      <w:r>
        <w:rPr>
          <w:rFonts w:hint="eastAsia" w:ascii="宋体" w:hAnsi="宋体" w:eastAsia="宋体" w:cs="宋体"/>
          <w:sz w:val="21"/>
          <w:szCs w:val="21"/>
          <w:lang w:eastAsia="zh-CN"/>
        </w:rPr>
        <w:t>，</w:t>
      </w:r>
      <w:r>
        <w:rPr>
          <w:rFonts w:hint="default" w:ascii="宋体" w:hAnsi="宋体" w:eastAsia="宋体" w:cs="宋体"/>
          <w:sz w:val="21"/>
          <w:szCs w:val="21"/>
        </w:rPr>
        <w:t>参照推荐的品质波动划分方法（</w:t>
      </w:r>
      <w:r>
        <w:rPr>
          <w:rFonts w:ascii="宋体" w:hAnsi="宋体" w:eastAsia="宋体" w:cs="宋体"/>
          <w:sz w:val="21"/>
          <w:szCs w:val="21"/>
        </w:rPr>
        <w:object>
          <v:shape id="_x0000_i1088"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088" DrawAspect="Content" ObjectID="_1468075788" r:id="rId99">
            <o:LockedField>false</o:LockedField>
          </o:OLEObject>
        </w:object>
      </w:r>
      <w:r>
        <w:rPr>
          <w:rFonts w:hint="default" w:ascii="宋体" w:hAnsi="宋体" w:eastAsia="宋体" w:cs="宋体"/>
          <w:sz w:val="21"/>
          <w:szCs w:val="21"/>
        </w:rPr>
        <w:t>≤0.5% 为小，0.5%&lt;</w:t>
      </w:r>
      <w:r>
        <w:rPr>
          <w:rFonts w:ascii="宋体" w:hAnsi="宋体" w:eastAsia="宋体" w:cs="宋体"/>
          <w:sz w:val="21"/>
          <w:szCs w:val="21"/>
        </w:rPr>
        <w:object>
          <v:shape id="_x0000_i1089"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089" DrawAspect="Content" ObjectID="_1468075789" r:id="rId100">
            <o:LockedField>false</o:LockedField>
          </o:OLEObject>
        </w:object>
      </w:r>
      <w:r>
        <w:rPr>
          <w:rFonts w:hint="default" w:ascii="宋体" w:hAnsi="宋体" w:eastAsia="宋体" w:cs="宋体"/>
          <w:sz w:val="21"/>
          <w:szCs w:val="21"/>
        </w:rPr>
        <w:t>≤1.0% 为中，</w:t>
      </w:r>
      <w:r>
        <w:rPr>
          <w:rFonts w:ascii="宋体" w:hAnsi="宋体" w:eastAsia="宋体" w:cs="宋体"/>
          <w:sz w:val="21"/>
          <w:szCs w:val="21"/>
        </w:rPr>
        <w:object>
          <v:shape id="_x0000_i1090"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090" DrawAspect="Content" ObjectID="_1468075790" r:id="rId101">
            <o:LockedField>false</o:LockedField>
          </o:OLEObject>
        </w:object>
      </w:r>
      <w:r>
        <w:rPr>
          <w:rFonts w:hint="default" w:ascii="宋体" w:hAnsi="宋体" w:eastAsia="宋体" w:cs="宋体"/>
          <w:sz w:val="21"/>
          <w:szCs w:val="21"/>
        </w:rPr>
        <w:t>&gt;1.0% 为大），本次试验所用镍精矿的品质波动类型可划分为“小”。</w:t>
      </w:r>
    </w:p>
    <w:p w14:paraId="584F81C3">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lang w:eastAsia="zh-CN"/>
        </w:rPr>
        <w:t>《</w:t>
      </w:r>
      <w:r>
        <w:rPr>
          <w:rFonts w:hint="default" w:ascii="宋体" w:hAnsi="宋体" w:eastAsia="宋体" w:cs="宋体"/>
          <w:sz w:val="21"/>
          <w:szCs w:val="21"/>
        </w:rPr>
        <w:t>精密度试验</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显示</w:t>
      </w:r>
      <w:r>
        <w:rPr>
          <w:rFonts w:hint="default" w:ascii="宋体" w:hAnsi="宋体" w:eastAsia="宋体" w:cs="宋体"/>
          <w:sz w:val="21"/>
          <w:szCs w:val="21"/>
        </w:rPr>
        <w:t>镍精矿的取样、制样及测定总精密度满足相关标准要求，能够保证检测结果的可靠性和一致性。</w:t>
      </w:r>
    </w:p>
    <w:p w14:paraId="3C5CD23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hAnsi="黑体" w:cs="黑体"/>
          <w:b/>
          <w:bCs/>
          <w:color w:val="auto"/>
          <w:szCs w:val="21"/>
          <w:u w:val="none"/>
          <w:lang w:val="en-US" w:eastAsia="zh-CN"/>
        </w:rPr>
      </w:pPr>
      <w:r>
        <w:rPr>
          <w:rFonts w:hint="eastAsia" w:ascii="黑体" w:hAnsi="黑体" w:eastAsia="黑体" w:cs="黑体"/>
          <w:color w:val="auto"/>
          <w:kern w:val="0"/>
          <w:sz w:val="21"/>
          <w:szCs w:val="21"/>
          <w:lang w:val="en-US" w:eastAsia="zh-CN" w:bidi="ar-SA"/>
        </w:rPr>
        <w:t xml:space="preserve">1.4.3.3.5  </w:t>
      </w:r>
      <w:r>
        <w:rPr>
          <w:rFonts w:hint="eastAsia" w:hAnsi="黑体" w:cs="黑体"/>
          <w:b/>
          <w:bCs/>
          <w:color w:val="auto"/>
          <w:szCs w:val="21"/>
          <w:u w:val="none"/>
          <w:lang w:val="en-US" w:eastAsia="zh-CN"/>
        </w:rPr>
        <w:t>锑组试验</w:t>
      </w:r>
    </w:p>
    <w:p w14:paraId="2BF0107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eastAsia" w:ascii="宋体" w:hAnsi="宋体" w:eastAsia="宋体" w:cs="宋体"/>
          <w:bCs w:val="0"/>
          <w:color w:val="auto"/>
          <w:szCs w:val="21"/>
          <w:u w:val="none"/>
          <w:lang w:val="en-US" w:eastAsia="zh-CN"/>
        </w:rPr>
      </w:pPr>
      <w:r>
        <w:rPr>
          <w:rFonts w:hint="eastAsia" w:ascii="宋体" w:hAnsi="宋体" w:eastAsia="宋体" w:cs="宋体"/>
          <w:bCs w:val="0"/>
          <w:color w:val="auto"/>
          <w:szCs w:val="21"/>
          <w:u w:val="none"/>
          <w:lang w:val="en-US" w:eastAsia="zh-CN"/>
        </w:rPr>
        <w:t>锑组试验由锡矿山闪星锑业有限责任公司牵头负责，湖南华星有色控股有限公司、湖南安化渣滓溪矿业有限公司、贵州东峰锑业股份有限公司等单位参加试验数据汇总如下：</w:t>
      </w:r>
    </w:p>
    <w:p w14:paraId="07E53A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bookmarkStart w:id="0" w:name="OLE_LINK52"/>
      <w:bookmarkStart w:id="1" w:name="OLE_LINK53"/>
      <w:r>
        <w:rPr>
          <w:rFonts w:hint="eastAsia" w:ascii="宋体" w:hAnsi="宋体" w:eastAsia="宋体" w:cs="宋体"/>
          <w:b w:val="0"/>
          <w:bCs w:val="0"/>
          <w:color w:val="auto"/>
          <w:sz w:val="21"/>
          <w:szCs w:val="21"/>
          <w:lang w:val="en-US" w:eastAsia="zh-CN"/>
        </w:rPr>
        <w:t>大批量品质波动试验数据汇总表</w:t>
      </w:r>
      <w:bookmarkEnd w:id="0"/>
      <w:bookmarkEnd w:id="1"/>
    </w:p>
    <w:tbl>
      <w:tblPr>
        <w:tblStyle w:val="11"/>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2071"/>
        <w:gridCol w:w="1916"/>
        <w:gridCol w:w="2568"/>
      </w:tblGrid>
      <w:tr w14:paraId="0AED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060" w:type="pct"/>
            <w:vAlign w:val="center"/>
          </w:tcPr>
          <w:p w14:paraId="0F70BD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试验单位</w:t>
            </w:r>
          </w:p>
        </w:tc>
        <w:tc>
          <w:tcPr>
            <w:tcW w:w="1245" w:type="pct"/>
            <w:vAlign w:val="center"/>
          </w:tcPr>
          <w:p w14:paraId="5E5855F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实验对象</w:t>
            </w:r>
          </w:p>
        </w:tc>
        <w:tc>
          <w:tcPr>
            <w:tcW w:w="1152" w:type="pct"/>
            <w:vAlign w:val="center"/>
          </w:tcPr>
          <w:p w14:paraId="523F1FA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试验数量</w:t>
            </w:r>
          </w:p>
        </w:tc>
        <w:tc>
          <w:tcPr>
            <w:tcW w:w="1543" w:type="pct"/>
          </w:tcPr>
          <w:p w14:paraId="4FD9367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试验结果</w:t>
            </w:r>
            <w:r>
              <w:rPr>
                <w:rFonts w:hint="eastAsia" w:asciiTheme="minorEastAsia" w:hAnsiTheme="minorEastAsia" w:eastAsiaTheme="minorEastAsia" w:cstheme="minorEastAsia"/>
                <w:b w:val="0"/>
                <w:bCs w:val="0"/>
                <w:color w:val="auto"/>
                <w:sz w:val="21"/>
                <w:szCs w:val="21"/>
                <w:vertAlign w:val="baseline"/>
                <w:lang w:val="en-US" w:eastAsia="zh-CN"/>
              </w:rPr>
              <w:object>
                <v:shape id="_x0000_i1091"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091" DrawAspect="Content" ObjectID="_1468075791" r:id="rId102">
                  <o:LockedField>false</o:LockedField>
                </o:OLEObject>
              </w:object>
            </w:r>
          </w:p>
        </w:tc>
      </w:tr>
      <w:tr w14:paraId="5B17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restart"/>
            <w:vAlign w:val="center"/>
          </w:tcPr>
          <w:p w14:paraId="04013E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锡矿山锑业</w:t>
            </w:r>
          </w:p>
        </w:tc>
        <w:tc>
          <w:tcPr>
            <w:tcW w:w="1245" w:type="pct"/>
            <w:vAlign w:val="center"/>
          </w:tcPr>
          <w:p w14:paraId="2F2F784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赤峰山金</w:t>
            </w:r>
          </w:p>
        </w:tc>
        <w:tc>
          <w:tcPr>
            <w:tcW w:w="1152" w:type="pct"/>
            <w:vAlign w:val="center"/>
          </w:tcPr>
          <w:p w14:paraId="0CF04BA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56A2E21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0.488</w:t>
            </w:r>
          </w:p>
        </w:tc>
      </w:tr>
      <w:tr w14:paraId="3440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continue"/>
            <w:vAlign w:val="center"/>
          </w:tcPr>
          <w:p w14:paraId="7D6FF6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6A5DE2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甘肃天水</w:t>
            </w:r>
          </w:p>
        </w:tc>
        <w:tc>
          <w:tcPr>
            <w:tcW w:w="1152" w:type="pct"/>
            <w:vAlign w:val="center"/>
          </w:tcPr>
          <w:p w14:paraId="7BE09A0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458F4A4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0.435</w:t>
            </w:r>
          </w:p>
        </w:tc>
      </w:tr>
      <w:tr w14:paraId="3B0F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continue"/>
            <w:vAlign w:val="center"/>
          </w:tcPr>
          <w:p w14:paraId="520D66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51F8108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俄罗斯</w:t>
            </w:r>
          </w:p>
        </w:tc>
        <w:tc>
          <w:tcPr>
            <w:tcW w:w="1152" w:type="pct"/>
            <w:vAlign w:val="center"/>
          </w:tcPr>
          <w:p w14:paraId="49AA1CF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61B4DE3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0.387</w:t>
            </w:r>
          </w:p>
        </w:tc>
      </w:tr>
      <w:tr w14:paraId="128B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restart"/>
            <w:vAlign w:val="center"/>
          </w:tcPr>
          <w:p w14:paraId="4F8BEE8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华星有色</w:t>
            </w:r>
          </w:p>
        </w:tc>
        <w:tc>
          <w:tcPr>
            <w:tcW w:w="1245" w:type="pct"/>
            <w:vAlign w:val="center"/>
          </w:tcPr>
          <w:p w14:paraId="503A52B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广西南丹</w:t>
            </w:r>
          </w:p>
        </w:tc>
        <w:tc>
          <w:tcPr>
            <w:tcW w:w="1152" w:type="pct"/>
            <w:vAlign w:val="center"/>
          </w:tcPr>
          <w:p w14:paraId="19590D8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6680841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bookmarkStart w:id="2" w:name="OLE_LINK36"/>
            <w:bookmarkStart w:id="3" w:name="OLE_LINK37"/>
            <w:r>
              <w:rPr>
                <w:rFonts w:hint="eastAsia" w:asciiTheme="minorEastAsia" w:hAnsiTheme="minorEastAsia" w:eastAsiaTheme="minorEastAsia" w:cstheme="minorEastAsia"/>
                <w:b w:val="0"/>
                <w:bCs w:val="0"/>
                <w:color w:val="auto"/>
                <w:sz w:val="21"/>
                <w:szCs w:val="21"/>
                <w:vertAlign w:val="baseline"/>
                <w:lang w:val="en-US" w:eastAsia="zh-CN"/>
              </w:rPr>
              <w:t>1.009</w:t>
            </w:r>
            <w:bookmarkEnd w:id="2"/>
            <w:bookmarkEnd w:id="3"/>
          </w:p>
        </w:tc>
      </w:tr>
      <w:tr w14:paraId="4EE8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continue"/>
            <w:vAlign w:val="center"/>
          </w:tcPr>
          <w:p w14:paraId="4D60C83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72B1D69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广西河池</w:t>
            </w:r>
          </w:p>
        </w:tc>
        <w:tc>
          <w:tcPr>
            <w:tcW w:w="1152" w:type="pct"/>
            <w:vAlign w:val="center"/>
          </w:tcPr>
          <w:p w14:paraId="7696F10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7A574F3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0.395</w:t>
            </w:r>
          </w:p>
        </w:tc>
      </w:tr>
      <w:tr w14:paraId="13E8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continue"/>
            <w:vAlign w:val="center"/>
          </w:tcPr>
          <w:p w14:paraId="15166C5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1FE081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广西钦州港</w:t>
            </w:r>
          </w:p>
        </w:tc>
        <w:tc>
          <w:tcPr>
            <w:tcW w:w="1152" w:type="pct"/>
            <w:vAlign w:val="center"/>
          </w:tcPr>
          <w:p w14:paraId="58F477E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1495465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0.549</w:t>
            </w:r>
          </w:p>
        </w:tc>
      </w:tr>
      <w:tr w14:paraId="5F6C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restart"/>
            <w:vAlign w:val="center"/>
          </w:tcPr>
          <w:p w14:paraId="208FC2C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渣滓溪矿业</w:t>
            </w:r>
          </w:p>
        </w:tc>
        <w:tc>
          <w:tcPr>
            <w:tcW w:w="1245" w:type="pct"/>
            <w:vAlign w:val="center"/>
          </w:tcPr>
          <w:p w14:paraId="67BED9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安化</w:t>
            </w:r>
          </w:p>
        </w:tc>
        <w:tc>
          <w:tcPr>
            <w:tcW w:w="1152" w:type="pct"/>
            <w:vAlign w:val="center"/>
          </w:tcPr>
          <w:p w14:paraId="2BE4524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411A62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0.634</w:t>
            </w:r>
          </w:p>
        </w:tc>
      </w:tr>
      <w:tr w14:paraId="1542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continue"/>
            <w:vAlign w:val="center"/>
          </w:tcPr>
          <w:p w14:paraId="78C8FE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1E5C8AE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缅甸</w:t>
            </w:r>
          </w:p>
        </w:tc>
        <w:tc>
          <w:tcPr>
            <w:tcW w:w="1152" w:type="pct"/>
            <w:vAlign w:val="center"/>
          </w:tcPr>
          <w:p w14:paraId="4C45C1B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633EA34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0.479</w:t>
            </w:r>
          </w:p>
        </w:tc>
      </w:tr>
      <w:tr w14:paraId="7829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restart"/>
            <w:vAlign w:val="center"/>
          </w:tcPr>
          <w:p w14:paraId="6AD303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东峰锑业</w:t>
            </w:r>
          </w:p>
        </w:tc>
        <w:tc>
          <w:tcPr>
            <w:tcW w:w="1245" w:type="pct"/>
            <w:vAlign w:val="center"/>
          </w:tcPr>
          <w:p w14:paraId="278A30D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贵州</w:t>
            </w:r>
          </w:p>
        </w:tc>
        <w:tc>
          <w:tcPr>
            <w:tcW w:w="1152" w:type="pct"/>
            <w:vAlign w:val="center"/>
          </w:tcPr>
          <w:p w14:paraId="3642E4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409BC30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0.448</w:t>
            </w:r>
          </w:p>
        </w:tc>
      </w:tr>
      <w:tr w14:paraId="141D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continue"/>
            <w:vAlign w:val="center"/>
          </w:tcPr>
          <w:p w14:paraId="02A774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0D13A7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湖南</w:t>
            </w:r>
          </w:p>
        </w:tc>
        <w:tc>
          <w:tcPr>
            <w:tcW w:w="1152" w:type="pct"/>
            <w:vAlign w:val="center"/>
          </w:tcPr>
          <w:p w14:paraId="4BDCB4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1571801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0.454</w:t>
            </w:r>
          </w:p>
        </w:tc>
      </w:tr>
      <w:tr w14:paraId="45AC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60" w:type="pct"/>
            <w:vMerge w:val="continue"/>
            <w:vAlign w:val="center"/>
          </w:tcPr>
          <w:p w14:paraId="74526AC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1245" w:type="pct"/>
            <w:vAlign w:val="center"/>
          </w:tcPr>
          <w:p w14:paraId="5F7BA33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新疆和田</w:t>
            </w:r>
          </w:p>
        </w:tc>
        <w:tc>
          <w:tcPr>
            <w:tcW w:w="1152" w:type="pct"/>
            <w:vAlign w:val="center"/>
          </w:tcPr>
          <w:p w14:paraId="3C70F02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10车1次</w:t>
            </w:r>
          </w:p>
        </w:tc>
        <w:tc>
          <w:tcPr>
            <w:tcW w:w="1543" w:type="pct"/>
            <w:vAlign w:val="center"/>
          </w:tcPr>
          <w:p w14:paraId="05699AF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0.423</w:t>
            </w:r>
          </w:p>
        </w:tc>
      </w:tr>
    </w:tbl>
    <w:p w14:paraId="56C170B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小批量品质波动试验数据汇总表</w:t>
      </w:r>
    </w:p>
    <w:tbl>
      <w:tblPr>
        <w:tblStyle w:val="11"/>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1088"/>
        <w:gridCol w:w="1043"/>
        <w:gridCol w:w="780"/>
        <w:gridCol w:w="780"/>
        <w:gridCol w:w="780"/>
        <w:gridCol w:w="780"/>
        <w:gridCol w:w="780"/>
        <w:gridCol w:w="783"/>
      </w:tblGrid>
      <w:tr w14:paraId="680F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904" w:type="pct"/>
            <w:vMerge w:val="restart"/>
            <w:vAlign w:val="center"/>
          </w:tcPr>
          <w:p w14:paraId="3481861A">
            <w:pPr>
              <w:spacing w:line="360" w:lineRule="auto"/>
              <w:jc w:val="center"/>
              <w:rPr>
                <w:rFonts w:ascii="宋体" w:hAnsi="宋体" w:eastAsia="宋体" w:cs="宋体"/>
                <w:szCs w:val="21"/>
              </w:rPr>
            </w:pPr>
            <w:r>
              <w:rPr>
                <w:rFonts w:hint="eastAsia" w:ascii="宋体" w:hAnsi="宋体" w:eastAsia="宋体" w:cs="宋体"/>
                <w:szCs w:val="21"/>
              </w:rPr>
              <w:t>试验单位</w:t>
            </w:r>
          </w:p>
        </w:tc>
        <w:tc>
          <w:tcPr>
            <w:tcW w:w="654" w:type="pct"/>
            <w:vMerge w:val="restart"/>
            <w:vAlign w:val="center"/>
          </w:tcPr>
          <w:p w14:paraId="561FD5E2">
            <w:pPr>
              <w:spacing w:line="360" w:lineRule="auto"/>
              <w:jc w:val="center"/>
              <w:rPr>
                <w:rFonts w:ascii="宋体" w:hAnsi="宋体" w:eastAsia="宋体" w:cs="宋体"/>
                <w:szCs w:val="21"/>
              </w:rPr>
            </w:pPr>
            <w:r>
              <w:rPr>
                <w:rFonts w:hint="eastAsia" w:ascii="宋体" w:hAnsi="宋体" w:eastAsia="宋体" w:cs="宋体"/>
                <w:szCs w:val="21"/>
              </w:rPr>
              <w:t>实验对象</w:t>
            </w:r>
          </w:p>
        </w:tc>
        <w:tc>
          <w:tcPr>
            <w:tcW w:w="627" w:type="pct"/>
            <w:vMerge w:val="restart"/>
            <w:vAlign w:val="center"/>
          </w:tcPr>
          <w:p w14:paraId="69BFA146">
            <w:pPr>
              <w:spacing w:line="360" w:lineRule="auto"/>
              <w:jc w:val="center"/>
              <w:rPr>
                <w:rFonts w:ascii="宋体" w:hAnsi="宋体" w:eastAsia="宋体" w:cs="宋体"/>
                <w:szCs w:val="21"/>
              </w:rPr>
            </w:pPr>
            <w:r>
              <w:rPr>
                <w:rFonts w:hint="eastAsia" w:ascii="宋体" w:hAnsi="宋体" w:eastAsia="宋体" w:cs="宋体"/>
                <w:szCs w:val="21"/>
              </w:rPr>
              <w:t>试验数量</w:t>
            </w:r>
          </w:p>
        </w:tc>
        <w:tc>
          <w:tcPr>
            <w:tcW w:w="2815" w:type="pct"/>
            <w:gridSpan w:val="6"/>
            <w:vAlign w:val="center"/>
          </w:tcPr>
          <w:p w14:paraId="4C71C9CF">
            <w:pPr>
              <w:spacing w:line="360" w:lineRule="auto"/>
              <w:jc w:val="center"/>
              <w:rPr>
                <w:rFonts w:ascii="宋体" w:hAnsi="宋体" w:eastAsia="宋体" w:cs="宋体"/>
                <w:szCs w:val="21"/>
              </w:rPr>
            </w:pPr>
            <w:r>
              <w:rPr>
                <w:rFonts w:hint="eastAsia" w:ascii="宋体" w:hAnsi="宋体" w:eastAsia="宋体" w:cs="宋体"/>
                <w:szCs w:val="21"/>
              </w:rPr>
              <w:t>试验结果</w:t>
            </w:r>
            <w:r>
              <w:rPr>
                <w:rFonts w:hint="eastAsia" w:ascii="宋体" w:hAnsi="宋体" w:eastAsia="宋体" w:cs="宋体"/>
                <w:position w:val="-12"/>
                <w:szCs w:val="21"/>
              </w:rPr>
              <w:object>
                <v:shape id="_x0000_i1092"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092" DrawAspect="Content" ObjectID="_1468075792" r:id="rId103">
                  <o:LockedField>false</o:LockedField>
                </o:OLEObject>
              </w:object>
            </w:r>
          </w:p>
        </w:tc>
      </w:tr>
      <w:tr w14:paraId="5D92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 w:type="pct"/>
            <w:vMerge w:val="continue"/>
            <w:vAlign w:val="center"/>
          </w:tcPr>
          <w:p w14:paraId="453586A4">
            <w:pPr>
              <w:spacing w:line="360" w:lineRule="auto"/>
              <w:jc w:val="center"/>
              <w:rPr>
                <w:rFonts w:ascii="宋体" w:hAnsi="宋体" w:eastAsia="宋体" w:cs="宋体"/>
                <w:szCs w:val="21"/>
              </w:rPr>
            </w:pPr>
          </w:p>
        </w:tc>
        <w:tc>
          <w:tcPr>
            <w:tcW w:w="654" w:type="pct"/>
            <w:vMerge w:val="continue"/>
            <w:vAlign w:val="center"/>
          </w:tcPr>
          <w:p w14:paraId="03916BAB">
            <w:pPr>
              <w:spacing w:line="360" w:lineRule="auto"/>
              <w:jc w:val="center"/>
              <w:rPr>
                <w:rFonts w:ascii="宋体" w:hAnsi="宋体" w:eastAsia="宋体" w:cs="宋体"/>
                <w:szCs w:val="21"/>
              </w:rPr>
            </w:pPr>
          </w:p>
        </w:tc>
        <w:tc>
          <w:tcPr>
            <w:tcW w:w="627" w:type="pct"/>
            <w:vMerge w:val="continue"/>
            <w:vAlign w:val="center"/>
          </w:tcPr>
          <w:p w14:paraId="69EDF111">
            <w:pPr>
              <w:spacing w:line="360" w:lineRule="auto"/>
              <w:jc w:val="center"/>
              <w:rPr>
                <w:rFonts w:ascii="宋体" w:hAnsi="宋体" w:eastAsia="宋体" w:cs="宋体"/>
                <w:szCs w:val="21"/>
              </w:rPr>
            </w:pPr>
          </w:p>
        </w:tc>
        <w:tc>
          <w:tcPr>
            <w:tcW w:w="469" w:type="pct"/>
            <w:vAlign w:val="center"/>
          </w:tcPr>
          <w:p w14:paraId="41A923A4">
            <w:pPr>
              <w:spacing w:line="360" w:lineRule="auto"/>
              <w:jc w:val="center"/>
              <w:rPr>
                <w:rFonts w:ascii="宋体" w:hAnsi="宋体" w:eastAsia="宋体" w:cs="宋体"/>
                <w:szCs w:val="21"/>
              </w:rPr>
            </w:pPr>
            <w:r>
              <w:rPr>
                <w:rFonts w:ascii="Times New Roman" w:hAnsi="Times New Roman" w:cs="Times New Roman"/>
                <w:color w:val="4F81BD" w:themeColor="accent1"/>
                <w:position w:val="-12"/>
                <w:szCs w:val="21"/>
                <w14:textFill>
                  <w14:solidFill>
                    <w14:schemeClr w14:val="accent1"/>
                  </w14:solidFill>
                </w14:textFill>
              </w:rPr>
              <w:object>
                <v:shape id="_x0000_i1093" o:spt="75" type="#_x0000_t75" style="height:21pt;width:17.25pt;" o:ole="t" filled="f" o:preferrelative="t" stroked="f" coordsize="21600,21600">
                  <v:path/>
                  <v:fill on="f" focussize="0,0"/>
                  <v:stroke on="f" joinstyle="miter"/>
                  <v:imagedata r:id="rId17" o:title=""/>
                  <o:lock v:ext="edit" aspectratio="t"/>
                  <w10:wrap type="none"/>
                  <w10:anchorlock/>
                </v:shape>
                <o:OLEObject Type="Embed" ProgID="Equation.3" ShapeID="_x0000_i1093" DrawAspect="Content" ObjectID="_1468075793" r:id="rId104">
                  <o:LockedField>false</o:LockedField>
                </o:OLEObject>
              </w:object>
            </w:r>
          </w:p>
        </w:tc>
        <w:tc>
          <w:tcPr>
            <w:tcW w:w="469" w:type="pct"/>
            <w:vAlign w:val="center"/>
          </w:tcPr>
          <w:p w14:paraId="6B43A2B8">
            <w:pPr>
              <w:spacing w:line="360" w:lineRule="auto"/>
              <w:jc w:val="center"/>
              <w:rPr>
                <w:rFonts w:ascii="宋体" w:hAnsi="宋体" w:eastAsia="宋体" w:cs="宋体"/>
                <w:szCs w:val="21"/>
              </w:rPr>
            </w:pPr>
            <w:r>
              <w:rPr>
                <w:rFonts w:ascii="Times New Roman" w:hAnsi="Times New Roman" w:cs="Times New Roman"/>
                <w:color w:val="4F81BD" w:themeColor="accent1"/>
                <w:position w:val="-12"/>
                <w:szCs w:val="21"/>
                <w14:textFill>
                  <w14:solidFill>
                    <w14:schemeClr w14:val="accent1"/>
                  </w14:solidFill>
                </w14:textFill>
              </w:rPr>
              <w:object>
                <v:shape id="_x0000_i1094" o:spt="75" type="#_x0000_t75" style="height:21pt;width:18.75pt;" o:ole="t" filled="f" o:preferrelative="t" stroked="f" coordsize="21600,21600">
                  <v:path/>
                  <v:fill on="f" focussize="0,0"/>
                  <v:stroke on="f" joinstyle="miter"/>
                  <v:imagedata r:id="rId19" o:title=""/>
                  <o:lock v:ext="edit" aspectratio="t"/>
                  <w10:wrap type="none"/>
                  <w10:anchorlock/>
                </v:shape>
                <o:OLEObject Type="Embed" ProgID="Equation.3" ShapeID="_x0000_i1094" DrawAspect="Content" ObjectID="_1468075794" r:id="rId105">
                  <o:LockedField>false</o:LockedField>
                </o:OLEObject>
              </w:object>
            </w:r>
          </w:p>
        </w:tc>
        <w:tc>
          <w:tcPr>
            <w:tcW w:w="469" w:type="pct"/>
            <w:vAlign w:val="center"/>
          </w:tcPr>
          <w:p w14:paraId="06AB8C7F">
            <w:pPr>
              <w:spacing w:line="360" w:lineRule="auto"/>
              <w:jc w:val="center"/>
              <w:rPr>
                <w:rFonts w:ascii="宋体" w:hAnsi="宋体" w:eastAsia="宋体" w:cs="宋体"/>
                <w:szCs w:val="21"/>
              </w:rPr>
            </w:pPr>
            <w:r>
              <w:rPr>
                <w:rFonts w:ascii="Times New Roman" w:hAnsi="Times New Roman" w:cs="Times New Roman"/>
                <w:color w:val="4F81BD" w:themeColor="accent1"/>
                <w:position w:val="-12"/>
                <w:szCs w:val="21"/>
                <w14:textFill>
                  <w14:solidFill>
                    <w14:schemeClr w14:val="accent1"/>
                  </w14:solidFill>
                </w14:textFill>
              </w:rPr>
              <w:object>
                <v:shape id="_x0000_i1095" o:spt="75" type="#_x0000_t75" style="height:21pt;width:18.75pt;" o:ole="t" filled="f" o:preferrelative="t" stroked="f" coordsize="21600,21600">
                  <v:path/>
                  <v:fill on="f" focussize="0,0"/>
                  <v:stroke on="f" joinstyle="miter"/>
                  <v:imagedata r:id="rId21" o:title=""/>
                  <o:lock v:ext="edit" aspectratio="t"/>
                  <w10:wrap type="none"/>
                  <w10:anchorlock/>
                </v:shape>
                <o:OLEObject Type="Embed" ProgID="Equation.3" ShapeID="_x0000_i1095" DrawAspect="Content" ObjectID="_1468075795" r:id="rId106">
                  <o:LockedField>false</o:LockedField>
                </o:OLEObject>
              </w:object>
            </w:r>
          </w:p>
        </w:tc>
        <w:tc>
          <w:tcPr>
            <w:tcW w:w="469" w:type="pct"/>
            <w:vAlign w:val="center"/>
          </w:tcPr>
          <w:p w14:paraId="70AA2073">
            <w:pPr>
              <w:spacing w:line="360" w:lineRule="auto"/>
              <w:jc w:val="center"/>
              <w:rPr>
                <w:rFonts w:ascii="宋体" w:hAnsi="宋体" w:eastAsia="宋体" w:cs="宋体"/>
                <w:szCs w:val="21"/>
              </w:rPr>
            </w:pPr>
            <w:r>
              <w:rPr>
                <w:rFonts w:ascii="Times New Roman" w:hAnsi="Times New Roman" w:cs="Times New Roman"/>
                <w:color w:val="4F81BD" w:themeColor="accent1"/>
                <w:position w:val="-12"/>
                <w:szCs w:val="21"/>
                <w14:textFill>
                  <w14:solidFill>
                    <w14:schemeClr w14:val="accent1"/>
                  </w14:solidFill>
                </w14:textFill>
              </w:rPr>
              <w:object>
                <v:shape id="_x0000_i1096" o:spt="75" type="#_x0000_t75" style="height:21pt;width:18.75pt;" o:ole="t" filled="f" o:preferrelative="t" stroked="f" coordsize="21600,21600">
                  <v:path/>
                  <v:fill on="f" focussize="0,0"/>
                  <v:stroke on="f" joinstyle="miter"/>
                  <v:imagedata r:id="rId23" o:title=""/>
                  <o:lock v:ext="edit" aspectratio="t"/>
                  <w10:wrap type="none"/>
                  <w10:anchorlock/>
                </v:shape>
                <o:OLEObject Type="Embed" ProgID="Equation.3" ShapeID="_x0000_i1096" DrawAspect="Content" ObjectID="_1468075796" r:id="rId107">
                  <o:LockedField>false</o:LockedField>
                </o:OLEObject>
              </w:object>
            </w:r>
          </w:p>
        </w:tc>
        <w:tc>
          <w:tcPr>
            <w:tcW w:w="469" w:type="pct"/>
            <w:vAlign w:val="center"/>
          </w:tcPr>
          <w:p w14:paraId="1691DE75">
            <w:pPr>
              <w:spacing w:line="360" w:lineRule="auto"/>
              <w:jc w:val="center"/>
              <w:rPr>
                <w:rFonts w:ascii="宋体" w:hAnsi="宋体" w:eastAsia="宋体" w:cs="宋体"/>
                <w:szCs w:val="21"/>
              </w:rPr>
            </w:pPr>
            <w:r>
              <w:rPr>
                <w:rFonts w:ascii="Times New Roman" w:hAnsi="Times New Roman" w:cs="Times New Roman"/>
                <w:color w:val="4F81BD" w:themeColor="accent1"/>
                <w:position w:val="-12"/>
                <w:szCs w:val="21"/>
                <w14:textFill>
                  <w14:solidFill>
                    <w14:schemeClr w14:val="accent1"/>
                  </w14:solidFill>
                </w14:textFill>
              </w:rPr>
              <w:object>
                <v:shape id="_x0000_i1097" o:spt="75" type="#_x0000_t75" style="height:21pt;width:18.75pt;" o:ole="t" filled="f" o:preferrelative="t" stroked="f" coordsize="21600,21600">
                  <v:path/>
                  <v:fill on="f" focussize="0,0"/>
                  <v:stroke on="f" joinstyle="miter"/>
                  <v:imagedata r:id="rId25" o:title=""/>
                  <o:lock v:ext="edit" aspectratio="t"/>
                  <w10:wrap type="none"/>
                  <w10:anchorlock/>
                </v:shape>
                <o:OLEObject Type="Embed" ProgID="Equation.3" ShapeID="_x0000_i1097" DrawAspect="Content" ObjectID="_1468075797" r:id="rId108">
                  <o:LockedField>false</o:LockedField>
                </o:OLEObject>
              </w:object>
            </w:r>
          </w:p>
        </w:tc>
        <w:tc>
          <w:tcPr>
            <w:tcW w:w="470" w:type="pct"/>
            <w:vAlign w:val="center"/>
          </w:tcPr>
          <w:p w14:paraId="7759DB82">
            <w:pPr>
              <w:spacing w:line="360" w:lineRule="auto"/>
              <w:jc w:val="center"/>
              <w:rPr>
                <w:rFonts w:ascii="宋体" w:hAnsi="宋体" w:eastAsia="宋体" w:cs="宋体"/>
                <w:szCs w:val="21"/>
              </w:rPr>
            </w:pPr>
            <w:r>
              <w:rPr>
                <w:rFonts w:ascii="Times New Roman" w:hAnsi="Times New Roman" w:cs="Times New Roman"/>
                <w:b/>
                <w:color w:val="4F81BD" w:themeColor="accent1"/>
                <w:position w:val="-6"/>
                <w:szCs w:val="21"/>
                <w14:textFill>
                  <w14:solidFill>
                    <w14:schemeClr w14:val="accent1"/>
                  </w14:solidFill>
                </w14:textFill>
              </w:rPr>
              <w:object>
                <v:shape id="_x0000_i1098" o:spt="75" type="#_x0000_t75" style="height:17.25pt;width:18.75pt;" o:ole="t" filled="f" o:preferrelative="t" stroked="f" coordsize="21600,21600">
                  <v:path/>
                  <v:fill on="f" focussize="0,0"/>
                  <v:stroke on="f" joinstyle="miter"/>
                  <v:imagedata r:id="rId27" o:title=""/>
                  <o:lock v:ext="edit" aspectratio="t"/>
                  <w10:wrap type="none"/>
                  <w10:anchorlock/>
                </v:shape>
                <o:OLEObject Type="Embed" ProgID="Equation.3" ShapeID="_x0000_i1098" DrawAspect="Content" ObjectID="_1468075798" r:id="rId109">
                  <o:LockedField>false</o:LockedField>
                </o:OLEObject>
              </w:object>
            </w:r>
          </w:p>
        </w:tc>
      </w:tr>
      <w:tr w14:paraId="4E5B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 w:type="pct"/>
            <w:vAlign w:val="center"/>
          </w:tcPr>
          <w:p w14:paraId="034A435C">
            <w:pPr>
              <w:spacing w:line="360" w:lineRule="auto"/>
              <w:jc w:val="center"/>
              <w:rPr>
                <w:rFonts w:ascii="宋体" w:hAnsi="宋体" w:eastAsia="宋体" w:cs="宋体"/>
                <w:szCs w:val="21"/>
              </w:rPr>
            </w:pPr>
            <w:r>
              <w:rPr>
                <w:rFonts w:hint="eastAsia" w:ascii="宋体" w:hAnsi="宋体" w:eastAsia="宋体" w:cs="宋体"/>
                <w:szCs w:val="21"/>
              </w:rPr>
              <w:t>锡矿山锑业</w:t>
            </w:r>
          </w:p>
        </w:tc>
        <w:tc>
          <w:tcPr>
            <w:tcW w:w="654" w:type="pct"/>
            <w:vAlign w:val="center"/>
          </w:tcPr>
          <w:p w14:paraId="26CB953B">
            <w:pPr>
              <w:spacing w:line="360" w:lineRule="auto"/>
              <w:jc w:val="center"/>
              <w:rPr>
                <w:rFonts w:ascii="宋体" w:hAnsi="宋体" w:eastAsia="宋体" w:cs="宋体"/>
                <w:color w:val="FF0000"/>
                <w:szCs w:val="21"/>
              </w:rPr>
            </w:pPr>
            <w:r>
              <w:rPr>
                <w:rFonts w:hint="eastAsia" w:ascii="Times New Roman" w:hAnsi="Times New Roman" w:cs="Times New Roman"/>
                <w:bCs/>
                <w:szCs w:val="21"/>
              </w:rPr>
              <w:t>志荣矿贸</w:t>
            </w:r>
          </w:p>
        </w:tc>
        <w:tc>
          <w:tcPr>
            <w:tcW w:w="627" w:type="pct"/>
            <w:vAlign w:val="center"/>
          </w:tcPr>
          <w:p w14:paraId="63C80C60">
            <w:pPr>
              <w:spacing w:line="360" w:lineRule="auto"/>
              <w:jc w:val="center"/>
              <w:rPr>
                <w:rFonts w:ascii="宋体" w:hAnsi="宋体" w:eastAsia="宋体" w:cs="宋体"/>
                <w:szCs w:val="21"/>
              </w:rPr>
            </w:pPr>
            <w:r>
              <w:rPr>
                <w:rFonts w:hint="eastAsia" w:ascii="宋体" w:hAnsi="宋体" w:eastAsia="宋体" w:cs="宋体"/>
                <w:szCs w:val="21"/>
              </w:rPr>
              <w:t>5批5次</w:t>
            </w:r>
          </w:p>
        </w:tc>
        <w:tc>
          <w:tcPr>
            <w:tcW w:w="469" w:type="pct"/>
            <w:shd w:val="clear" w:color="auto" w:fill="auto"/>
            <w:vAlign w:val="center"/>
          </w:tcPr>
          <w:p w14:paraId="2B8C2424">
            <w:pPr>
              <w:widowControl/>
              <w:jc w:val="center"/>
              <w:textAlignment w:val="center"/>
              <w:rPr>
                <w:rFonts w:ascii="Times New Roman" w:hAnsi="Times New Roman" w:eastAsia="宋体" w:cs="Times New Roman"/>
                <w:bCs/>
                <w:szCs w:val="21"/>
              </w:rPr>
            </w:pPr>
            <w:r>
              <w:rPr>
                <w:rFonts w:ascii="Times New Roman" w:hAnsi="Times New Roman" w:eastAsia="宋体" w:cs="Times New Roman"/>
                <w:color w:val="000000"/>
                <w:kern w:val="0"/>
                <w:sz w:val="22"/>
                <w:szCs w:val="22"/>
              </w:rPr>
              <w:t xml:space="preserve">0.354 </w:t>
            </w:r>
          </w:p>
        </w:tc>
        <w:tc>
          <w:tcPr>
            <w:tcW w:w="469" w:type="pct"/>
            <w:shd w:val="clear" w:color="auto" w:fill="auto"/>
            <w:vAlign w:val="center"/>
          </w:tcPr>
          <w:p w14:paraId="1B03E303">
            <w:pPr>
              <w:widowControl/>
              <w:jc w:val="center"/>
              <w:textAlignment w:val="center"/>
              <w:rPr>
                <w:rFonts w:ascii="Times New Roman" w:hAnsi="Times New Roman" w:eastAsia="宋体" w:cs="Times New Roman"/>
                <w:bCs/>
                <w:szCs w:val="21"/>
              </w:rPr>
            </w:pPr>
            <w:r>
              <w:rPr>
                <w:rFonts w:ascii="Times New Roman" w:hAnsi="Times New Roman" w:eastAsia="宋体" w:cs="Times New Roman"/>
                <w:color w:val="000000"/>
                <w:kern w:val="0"/>
                <w:sz w:val="22"/>
                <w:szCs w:val="22"/>
              </w:rPr>
              <w:t xml:space="preserve">0.180 </w:t>
            </w:r>
          </w:p>
        </w:tc>
        <w:tc>
          <w:tcPr>
            <w:tcW w:w="469" w:type="pct"/>
            <w:shd w:val="clear" w:color="auto" w:fill="auto"/>
            <w:vAlign w:val="center"/>
          </w:tcPr>
          <w:p w14:paraId="1826F0A6">
            <w:pPr>
              <w:widowControl/>
              <w:jc w:val="center"/>
              <w:textAlignment w:val="center"/>
              <w:rPr>
                <w:rFonts w:ascii="Times New Roman" w:hAnsi="Times New Roman" w:eastAsia="宋体" w:cs="Times New Roman"/>
                <w:bCs/>
                <w:szCs w:val="21"/>
              </w:rPr>
            </w:pPr>
            <w:r>
              <w:rPr>
                <w:rFonts w:ascii="Times New Roman" w:hAnsi="Times New Roman" w:eastAsia="宋体" w:cs="Times New Roman"/>
                <w:color w:val="000000"/>
                <w:kern w:val="0"/>
                <w:sz w:val="22"/>
                <w:szCs w:val="22"/>
              </w:rPr>
              <w:t xml:space="preserve">0.232 </w:t>
            </w:r>
          </w:p>
        </w:tc>
        <w:tc>
          <w:tcPr>
            <w:tcW w:w="469" w:type="pct"/>
            <w:shd w:val="clear" w:color="auto" w:fill="auto"/>
            <w:vAlign w:val="center"/>
          </w:tcPr>
          <w:p w14:paraId="46165E26">
            <w:pPr>
              <w:widowControl/>
              <w:jc w:val="center"/>
              <w:textAlignment w:val="center"/>
              <w:rPr>
                <w:rFonts w:ascii="Times New Roman" w:hAnsi="Times New Roman" w:eastAsia="宋体" w:cs="Times New Roman"/>
                <w:bCs/>
                <w:szCs w:val="21"/>
              </w:rPr>
            </w:pPr>
            <w:r>
              <w:rPr>
                <w:rFonts w:ascii="Times New Roman" w:hAnsi="Times New Roman" w:eastAsia="宋体" w:cs="Times New Roman"/>
                <w:color w:val="000000"/>
                <w:kern w:val="0"/>
                <w:sz w:val="22"/>
                <w:szCs w:val="22"/>
              </w:rPr>
              <w:t xml:space="preserve">0.240 </w:t>
            </w:r>
          </w:p>
        </w:tc>
        <w:tc>
          <w:tcPr>
            <w:tcW w:w="469" w:type="pct"/>
            <w:shd w:val="clear" w:color="auto" w:fill="auto"/>
            <w:vAlign w:val="center"/>
          </w:tcPr>
          <w:p w14:paraId="4BF98C71">
            <w:pPr>
              <w:widowControl/>
              <w:jc w:val="center"/>
              <w:textAlignment w:val="center"/>
              <w:rPr>
                <w:rFonts w:ascii="Times New Roman" w:hAnsi="Times New Roman" w:eastAsia="宋体" w:cs="Times New Roman"/>
                <w:bCs/>
                <w:szCs w:val="21"/>
              </w:rPr>
            </w:pPr>
            <w:r>
              <w:rPr>
                <w:rFonts w:ascii="Times New Roman" w:hAnsi="Times New Roman" w:eastAsia="宋体" w:cs="Times New Roman"/>
                <w:color w:val="000000"/>
                <w:kern w:val="0"/>
                <w:sz w:val="22"/>
                <w:szCs w:val="22"/>
              </w:rPr>
              <w:t xml:space="preserve">0.326 </w:t>
            </w:r>
          </w:p>
        </w:tc>
        <w:tc>
          <w:tcPr>
            <w:tcW w:w="470" w:type="pct"/>
            <w:vAlign w:val="center"/>
          </w:tcPr>
          <w:p w14:paraId="779EF022">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0.274</w:t>
            </w:r>
          </w:p>
        </w:tc>
      </w:tr>
      <w:tr w14:paraId="2F98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 w:type="pct"/>
            <w:vAlign w:val="center"/>
          </w:tcPr>
          <w:p w14:paraId="6D8C26B1">
            <w:pPr>
              <w:spacing w:line="360" w:lineRule="auto"/>
              <w:jc w:val="center"/>
              <w:rPr>
                <w:rFonts w:ascii="宋体" w:hAnsi="宋体" w:eastAsia="宋体" w:cs="宋体"/>
                <w:szCs w:val="21"/>
              </w:rPr>
            </w:pPr>
            <w:bookmarkStart w:id="4" w:name="OLE_LINK27"/>
            <w:bookmarkStart w:id="5" w:name="OLE_LINK28"/>
            <w:r>
              <w:rPr>
                <w:rFonts w:hint="eastAsia" w:ascii="Times New Roman" w:hAnsi="Times New Roman" w:eastAsia="宋体" w:cs="Times New Roman"/>
                <w:szCs w:val="21"/>
              </w:rPr>
              <w:t>华星有色</w:t>
            </w:r>
            <w:bookmarkEnd w:id="4"/>
            <w:bookmarkEnd w:id="5"/>
          </w:p>
        </w:tc>
        <w:tc>
          <w:tcPr>
            <w:tcW w:w="654" w:type="pct"/>
            <w:vAlign w:val="center"/>
          </w:tcPr>
          <w:p w14:paraId="11F98902">
            <w:pPr>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江苏无锡</w:t>
            </w:r>
          </w:p>
        </w:tc>
        <w:tc>
          <w:tcPr>
            <w:tcW w:w="627" w:type="pct"/>
            <w:vAlign w:val="center"/>
          </w:tcPr>
          <w:p w14:paraId="42AAC13D">
            <w:pPr>
              <w:spacing w:line="360" w:lineRule="auto"/>
              <w:jc w:val="center"/>
              <w:rPr>
                <w:rFonts w:ascii="宋体" w:hAnsi="宋体" w:eastAsia="宋体" w:cs="宋体"/>
                <w:szCs w:val="21"/>
              </w:rPr>
            </w:pPr>
            <w:r>
              <w:rPr>
                <w:rFonts w:hint="eastAsia" w:ascii="宋体" w:hAnsi="宋体" w:eastAsia="宋体" w:cs="宋体"/>
                <w:szCs w:val="21"/>
              </w:rPr>
              <w:t>5批5次</w:t>
            </w:r>
          </w:p>
        </w:tc>
        <w:tc>
          <w:tcPr>
            <w:tcW w:w="469" w:type="pct"/>
            <w:vAlign w:val="center"/>
          </w:tcPr>
          <w:p w14:paraId="25112BD9">
            <w:pPr>
              <w:jc w:val="center"/>
              <w:rPr>
                <w:rFonts w:ascii="Times New Roman" w:hAnsi="Times New Roman" w:eastAsia="宋体" w:cs="Times New Roman"/>
                <w:color w:val="000000"/>
                <w:sz w:val="22"/>
                <w:szCs w:val="22"/>
              </w:rPr>
            </w:pPr>
            <w:r>
              <w:rPr>
                <w:rFonts w:ascii="Times New Roman" w:hAnsi="Times New Roman" w:cs="Times New Roman"/>
                <w:color w:val="000000"/>
                <w:sz w:val="22"/>
                <w:szCs w:val="22"/>
              </w:rPr>
              <w:t xml:space="preserve">0.895 </w:t>
            </w:r>
          </w:p>
        </w:tc>
        <w:tc>
          <w:tcPr>
            <w:tcW w:w="469" w:type="pct"/>
            <w:vAlign w:val="center"/>
          </w:tcPr>
          <w:p w14:paraId="7D45D146">
            <w:pPr>
              <w:jc w:val="center"/>
              <w:rPr>
                <w:rFonts w:ascii="Times New Roman" w:hAnsi="Times New Roman" w:eastAsia="宋体" w:cs="Times New Roman"/>
                <w:color w:val="000000"/>
                <w:sz w:val="22"/>
                <w:szCs w:val="22"/>
              </w:rPr>
            </w:pPr>
            <w:r>
              <w:rPr>
                <w:rFonts w:ascii="Times New Roman" w:hAnsi="Times New Roman" w:cs="Times New Roman"/>
                <w:color w:val="000000"/>
                <w:sz w:val="22"/>
                <w:szCs w:val="22"/>
              </w:rPr>
              <w:t xml:space="preserve">0.282 </w:t>
            </w:r>
          </w:p>
        </w:tc>
        <w:tc>
          <w:tcPr>
            <w:tcW w:w="469" w:type="pct"/>
            <w:vAlign w:val="center"/>
          </w:tcPr>
          <w:p w14:paraId="19AED57A">
            <w:pPr>
              <w:jc w:val="center"/>
              <w:rPr>
                <w:rFonts w:ascii="Times New Roman" w:hAnsi="Times New Roman" w:eastAsia="宋体" w:cs="Times New Roman"/>
                <w:color w:val="000000"/>
                <w:sz w:val="22"/>
                <w:szCs w:val="22"/>
              </w:rPr>
            </w:pPr>
            <w:r>
              <w:rPr>
                <w:rFonts w:ascii="Times New Roman" w:hAnsi="Times New Roman" w:cs="Times New Roman"/>
                <w:color w:val="000000"/>
                <w:sz w:val="22"/>
                <w:szCs w:val="22"/>
              </w:rPr>
              <w:t xml:space="preserve">0.514 </w:t>
            </w:r>
          </w:p>
        </w:tc>
        <w:tc>
          <w:tcPr>
            <w:tcW w:w="469" w:type="pct"/>
            <w:vAlign w:val="center"/>
          </w:tcPr>
          <w:p w14:paraId="6BFD6E35">
            <w:pPr>
              <w:jc w:val="center"/>
              <w:rPr>
                <w:rFonts w:ascii="Times New Roman" w:hAnsi="Times New Roman" w:eastAsia="宋体" w:cs="Times New Roman"/>
                <w:color w:val="000000"/>
                <w:sz w:val="22"/>
                <w:szCs w:val="22"/>
              </w:rPr>
            </w:pPr>
            <w:r>
              <w:rPr>
                <w:rFonts w:ascii="Times New Roman" w:hAnsi="Times New Roman" w:cs="Times New Roman"/>
                <w:color w:val="000000"/>
                <w:sz w:val="22"/>
                <w:szCs w:val="22"/>
              </w:rPr>
              <w:t xml:space="preserve">0.207 </w:t>
            </w:r>
          </w:p>
        </w:tc>
        <w:tc>
          <w:tcPr>
            <w:tcW w:w="469" w:type="pct"/>
            <w:vAlign w:val="center"/>
          </w:tcPr>
          <w:p w14:paraId="2355A8C1">
            <w:pPr>
              <w:jc w:val="center"/>
              <w:rPr>
                <w:rFonts w:ascii="Times New Roman" w:hAnsi="Times New Roman" w:eastAsia="宋体" w:cs="Times New Roman"/>
                <w:color w:val="000000"/>
                <w:sz w:val="22"/>
                <w:szCs w:val="22"/>
              </w:rPr>
            </w:pPr>
            <w:r>
              <w:rPr>
                <w:rFonts w:ascii="Times New Roman" w:hAnsi="Times New Roman" w:cs="Times New Roman"/>
                <w:color w:val="000000"/>
                <w:sz w:val="22"/>
                <w:szCs w:val="22"/>
              </w:rPr>
              <w:t xml:space="preserve">0.598 </w:t>
            </w:r>
          </w:p>
        </w:tc>
        <w:tc>
          <w:tcPr>
            <w:tcW w:w="470" w:type="pct"/>
            <w:vAlign w:val="center"/>
          </w:tcPr>
          <w:p w14:paraId="50F7A1D3">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0.556</w:t>
            </w:r>
          </w:p>
        </w:tc>
      </w:tr>
      <w:tr w14:paraId="3E18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 w:type="pct"/>
            <w:vAlign w:val="center"/>
          </w:tcPr>
          <w:p w14:paraId="14736F3E">
            <w:pPr>
              <w:spacing w:line="360" w:lineRule="auto"/>
              <w:jc w:val="center"/>
              <w:rPr>
                <w:rFonts w:ascii="宋体" w:hAnsi="宋体" w:eastAsia="宋体" w:cs="宋体"/>
                <w:szCs w:val="21"/>
              </w:rPr>
            </w:pPr>
            <w:r>
              <w:rPr>
                <w:rFonts w:hint="eastAsia" w:ascii="宋体" w:hAnsi="宋体" w:eastAsia="宋体" w:cs="宋体"/>
                <w:szCs w:val="21"/>
              </w:rPr>
              <w:t>渣滓溪矿业</w:t>
            </w:r>
          </w:p>
        </w:tc>
        <w:tc>
          <w:tcPr>
            <w:tcW w:w="654" w:type="pct"/>
            <w:vAlign w:val="center"/>
          </w:tcPr>
          <w:p w14:paraId="74AB7109">
            <w:pPr>
              <w:spacing w:line="360" w:lineRule="auto"/>
              <w:jc w:val="center"/>
              <w:rPr>
                <w:rFonts w:ascii="宋体" w:hAnsi="宋体" w:eastAsia="宋体" w:cs="宋体"/>
                <w:color w:val="FF0000"/>
                <w:szCs w:val="21"/>
              </w:rPr>
            </w:pPr>
            <w:r>
              <w:rPr>
                <w:rFonts w:hint="eastAsia" w:ascii="Times New Roman" w:hAnsi="Times New Roman"/>
                <w:bCs/>
                <w:szCs w:val="21"/>
              </w:rPr>
              <w:t>同新锑矿</w:t>
            </w:r>
          </w:p>
        </w:tc>
        <w:tc>
          <w:tcPr>
            <w:tcW w:w="627" w:type="pct"/>
            <w:vAlign w:val="center"/>
          </w:tcPr>
          <w:p w14:paraId="0424A756">
            <w:pPr>
              <w:spacing w:line="360" w:lineRule="auto"/>
              <w:jc w:val="center"/>
              <w:rPr>
                <w:rFonts w:ascii="宋体" w:hAnsi="宋体" w:eastAsia="宋体" w:cs="宋体"/>
                <w:szCs w:val="21"/>
              </w:rPr>
            </w:pPr>
            <w:r>
              <w:rPr>
                <w:rFonts w:hint="eastAsia" w:ascii="宋体" w:hAnsi="宋体" w:eastAsia="宋体" w:cs="宋体"/>
                <w:szCs w:val="21"/>
              </w:rPr>
              <w:t>5批5次</w:t>
            </w:r>
          </w:p>
        </w:tc>
        <w:tc>
          <w:tcPr>
            <w:tcW w:w="469" w:type="pct"/>
            <w:vAlign w:val="center"/>
          </w:tcPr>
          <w:p w14:paraId="3DEBA43A">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0.568</w:t>
            </w:r>
          </w:p>
        </w:tc>
        <w:tc>
          <w:tcPr>
            <w:tcW w:w="469" w:type="pct"/>
            <w:vAlign w:val="center"/>
          </w:tcPr>
          <w:p w14:paraId="01DD9658">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0.245</w:t>
            </w:r>
          </w:p>
        </w:tc>
        <w:tc>
          <w:tcPr>
            <w:tcW w:w="469" w:type="pct"/>
            <w:vAlign w:val="center"/>
          </w:tcPr>
          <w:p w14:paraId="71C61161">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0.246</w:t>
            </w:r>
          </w:p>
        </w:tc>
        <w:tc>
          <w:tcPr>
            <w:tcW w:w="469" w:type="pct"/>
            <w:vAlign w:val="center"/>
          </w:tcPr>
          <w:p w14:paraId="03AD1ABF">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0.454</w:t>
            </w:r>
          </w:p>
        </w:tc>
        <w:tc>
          <w:tcPr>
            <w:tcW w:w="469" w:type="pct"/>
            <w:vAlign w:val="center"/>
          </w:tcPr>
          <w:p w14:paraId="3D386A8E">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0.470</w:t>
            </w:r>
          </w:p>
        </w:tc>
        <w:tc>
          <w:tcPr>
            <w:tcW w:w="470" w:type="pct"/>
            <w:vAlign w:val="center"/>
          </w:tcPr>
          <w:p w14:paraId="0F9E1412">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0.417</w:t>
            </w:r>
          </w:p>
        </w:tc>
      </w:tr>
      <w:tr w14:paraId="0CBA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 w:type="pct"/>
            <w:vAlign w:val="center"/>
          </w:tcPr>
          <w:p w14:paraId="1C8A956C">
            <w:pPr>
              <w:spacing w:line="360" w:lineRule="auto"/>
              <w:jc w:val="center"/>
              <w:rPr>
                <w:rFonts w:ascii="宋体" w:hAnsi="宋体" w:eastAsia="宋体" w:cs="宋体"/>
                <w:szCs w:val="21"/>
              </w:rPr>
            </w:pPr>
            <w:r>
              <w:rPr>
                <w:rFonts w:hint="eastAsia" w:ascii="宋体" w:hAnsi="宋体" w:eastAsia="宋体" w:cs="宋体"/>
                <w:szCs w:val="21"/>
              </w:rPr>
              <w:t>东峰锑业</w:t>
            </w:r>
          </w:p>
        </w:tc>
        <w:tc>
          <w:tcPr>
            <w:tcW w:w="654" w:type="pct"/>
            <w:vAlign w:val="center"/>
          </w:tcPr>
          <w:p w14:paraId="4ADBBAA8">
            <w:pPr>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新疆和田</w:t>
            </w:r>
          </w:p>
        </w:tc>
        <w:tc>
          <w:tcPr>
            <w:tcW w:w="627" w:type="pct"/>
            <w:vAlign w:val="center"/>
          </w:tcPr>
          <w:p w14:paraId="5222B519">
            <w:pPr>
              <w:spacing w:line="360" w:lineRule="auto"/>
              <w:jc w:val="center"/>
              <w:rPr>
                <w:rFonts w:ascii="宋体" w:hAnsi="宋体" w:eastAsia="宋体" w:cs="宋体"/>
                <w:szCs w:val="21"/>
              </w:rPr>
            </w:pPr>
            <w:r>
              <w:rPr>
                <w:rFonts w:hint="eastAsia" w:ascii="宋体" w:hAnsi="宋体" w:eastAsia="宋体" w:cs="宋体"/>
                <w:szCs w:val="21"/>
              </w:rPr>
              <w:t>5批5次</w:t>
            </w:r>
          </w:p>
        </w:tc>
        <w:tc>
          <w:tcPr>
            <w:tcW w:w="469" w:type="pct"/>
            <w:vAlign w:val="center"/>
          </w:tcPr>
          <w:p w14:paraId="625E86DA">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0.169</w:t>
            </w:r>
          </w:p>
        </w:tc>
        <w:tc>
          <w:tcPr>
            <w:tcW w:w="469" w:type="pct"/>
            <w:vAlign w:val="center"/>
          </w:tcPr>
          <w:p w14:paraId="3CDA164B">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0.190</w:t>
            </w:r>
          </w:p>
        </w:tc>
        <w:tc>
          <w:tcPr>
            <w:tcW w:w="469" w:type="pct"/>
            <w:vAlign w:val="center"/>
          </w:tcPr>
          <w:p w14:paraId="4C4D9D9B">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0.397</w:t>
            </w:r>
          </w:p>
        </w:tc>
        <w:tc>
          <w:tcPr>
            <w:tcW w:w="469" w:type="pct"/>
            <w:vAlign w:val="center"/>
          </w:tcPr>
          <w:p w14:paraId="209D41D0">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0.229</w:t>
            </w:r>
          </w:p>
        </w:tc>
        <w:tc>
          <w:tcPr>
            <w:tcW w:w="469" w:type="pct"/>
            <w:vAlign w:val="center"/>
          </w:tcPr>
          <w:p w14:paraId="21738CFF">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0.458</w:t>
            </w:r>
          </w:p>
        </w:tc>
        <w:tc>
          <w:tcPr>
            <w:tcW w:w="470" w:type="pct"/>
            <w:vAlign w:val="center"/>
          </w:tcPr>
          <w:p w14:paraId="70BBE345">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0.311</w:t>
            </w:r>
          </w:p>
        </w:tc>
      </w:tr>
    </w:tbl>
    <w:p w14:paraId="302C12E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color w:val="auto"/>
          <w:sz w:val="21"/>
          <w:szCs w:val="21"/>
          <w:lang w:val="en-US" w:eastAsia="zh-CN"/>
        </w:rPr>
      </w:pPr>
      <w:bookmarkStart w:id="6" w:name="OLE_LINK10"/>
      <w:bookmarkStart w:id="7" w:name="OLE_LINK9"/>
      <w:r>
        <w:rPr>
          <w:rFonts w:hint="eastAsia" w:ascii="宋体" w:hAnsi="宋体" w:eastAsia="宋体" w:cs="宋体"/>
          <w:b w:val="0"/>
          <w:bCs w:val="0"/>
          <w:color w:val="auto"/>
          <w:sz w:val="21"/>
          <w:szCs w:val="21"/>
          <w:lang w:val="en-US" w:eastAsia="zh-CN"/>
        </w:rPr>
        <w:t>精密度试验数据汇总表</w:t>
      </w:r>
      <w:bookmarkEnd w:id="6"/>
      <w:bookmarkEnd w:id="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747"/>
        <w:gridCol w:w="882"/>
        <w:gridCol w:w="882"/>
        <w:gridCol w:w="882"/>
        <w:gridCol w:w="882"/>
        <w:gridCol w:w="897"/>
        <w:gridCol w:w="899"/>
        <w:gridCol w:w="914"/>
        <w:gridCol w:w="914"/>
      </w:tblGrid>
      <w:tr w14:paraId="21CC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gridSpan w:val="2"/>
          </w:tcPr>
          <w:p w14:paraId="5062B85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试验单位</w:t>
            </w:r>
          </w:p>
        </w:tc>
        <w:tc>
          <w:tcPr>
            <w:tcW w:w="2934" w:type="dxa"/>
            <w:gridSpan w:val="2"/>
          </w:tcPr>
          <w:p w14:paraId="1A9E3E8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锡矿山锑业</w:t>
            </w:r>
          </w:p>
        </w:tc>
        <w:tc>
          <w:tcPr>
            <w:tcW w:w="2937" w:type="dxa"/>
            <w:gridSpan w:val="2"/>
          </w:tcPr>
          <w:p w14:paraId="2D192E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华星有色</w:t>
            </w:r>
          </w:p>
        </w:tc>
        <w:tc>
          <w:tcPr>
            <w:tcW w:w="3487" w:type="dxa"/>
            <w:gridSpan w:val="2"/>
          </w:tcPr>
          <w:p w14:paraId="3FB9903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 xml:space="preserve">渣滓溪矿业  </w:t>
            </w:r>
          </w:p>
        </w:tc>
        <w:tc>
          <w:tcPr>
            <w:tcW w:w="4009" w:type="dxa"/>
            <w:gridSpan w:val="2"/>
          </w:tcPr>
          <w:p w14:paraId="082F006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东峰锑业</w:t>
            </w:r>
          </w:p>
        </w:tc>
      </w:tr>
      <w:tr w14:paraId="7A2E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gridSpan w:val="2"/>
          </w:tcPr>
          <w:p w14:paraId="7E7487A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试验对象</w:t>
            </w:r>
          </w:p>
        </w:tc>
        <w:tc>
          <w:tcPr>
            <w:tcW w:w="1466" w:type="dxa"/>
            <w:vAlign w:val="center"/>
          </w:tcPr>
          <w:p w14:paraId="69A8531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锡矿山南矿</w:t>
            </w:r>
          </w:p>
        </w:tc>
        <w:tc>
          <w:tcPr>
            <w:tcW w:w="1468" w:type="dxa"/>
            <w:vAlign w:val="center"/>
          </w:tcPr>
          <w:p w14:paraId="4F2C13D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锡矿山南矿</w:t>
            </w:r>
          </w:p>
        </w:tc>
        <w:tc>
          <w:tcPr>
            <w:tcW w:w="1469" w:type="dxa"/>
          </w:tcPr>
          <w:p w14:paraId="373F895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甘肃宕昌</w:t>
            </w:r>
          </w:p>
        </w:tc>
        <w:tc>
          <w:tcPr>
            <w:tcW w:w="1468" w:type="dxa"/>
          </w:tcPr>
          <w:p w14:paraId="1EF544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广东中山港</w:t>
            </w:r>
          </w:p>
        </w:tc>
        <w:tc>
          <w:tcPr>
            <w:tcW w:w="1723" w:type="dxa"/>
          </w:tcPr>
          <w:p w14:paraId="629D8CE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安化奎溪</w:t>
            </w:r>
          </w:p>
        </w:tc>
        <w:tc>
          <w:tcPr>
            <w:tcW w:w="1764" w:type="dxa"/>
          </w:tcPr>
          <w:p w14:paraId="70A0E73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安化奎溪</w:t>
            </w:r>
          </w:p>
        </w:tc>
        <w:tc>
          <w:tcPr>
            <w:tcW w:w="2004" w:type="dxa"/>
          </w:tcPr>
          <w:p w14:paraId="788C27D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半坡锑矿</w:t>
            </w:r>
          </w:p>
        </w:tc>
        <w:tc>
          <w:tcPr>
            <w:tcW w:w="2005" w:type="dxa"/>
          </w:tcPr>
          <w:p w14:paraId="6999106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半坡锑矿</w:t>
            </w:r>
          </w:p>
        </w:tc>
      </w:tr>
      <w:tr w14:paraId="5702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Merge w:val="restart"/>
            <w:vAlign w:val="center"/>
          </w:tcPr>
          <w:p w14:paraId="5D01915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试</w:t>
            </w:r>
          </w:p>
          <w:p w14:paraId="74198A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验</w:t>
            </w:r>
          </w:p>
          <w:p w14:paraId="3E4591A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结</w:t>
            </w:r>
          </w:p>
          <w:p w14:paraId="6F4E209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果</w:t>
            </w:r>
          </w:p>
        </w:tc>
        <w:tc>
          <w:tcPr>
            <w:tcW w:w="762" w:type="dxa"/>
          </w:tcPr>
          <w:p w14:paraId="3872E3B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object>
                <v:shape id="_x0000_i1099" o:spt="75" type="#_x0000_t75" style="height:18.35pt;width:21.05pt;" o:ole="t" filled="f" o:preferrelative="t" stroked="f" coordsize="21600,21600">
                  <v:path/>
                  <v:fill on="f" focussize="0,0"/>
                  <v:stroke on="f" joinstyle="miter"/>
                  <v:imagedata r:id="rId111" o:title=""/>
                  <o:lock v:ext="edit" aspectratio="t"/>
                  <w10:wrap type="none"/>
                  <w10:anchorlock/>
                </v:shape>
                <o:OLEObject Type="Embed" ProgID="Equation.DSMT4" ShapeID="_x0000_i1099" DrawAspect="Content" ObjectID="_1468075799" r:id="rId110">
                  <o:LockedField>false</o:LockedField>
                </o:OLEObject>
              </w:object>
            </w:r>
          </w:p>
        </w:tc>
        <w:tc>
          <w:tcPr>
            <w:tcW w:w="1466" w:type="dxa"/>
            <w:vAlign w:val="center"/>
          </w:tcPr>
          <w:p w14:paraId="514AAA9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0.1667</w:t>
            </w:r>
          </w:p>
        </w:tc>
        <w:tc>
          <w:tcPr>
            <w:tcW w:w="1468" w:type="dxa"/>
            <w:vAlign w:val="center"/>
          </w:tcPr>
          <w:p w14:paraId="6CA0C3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0.0924</w:t>
            </w:r>
          </w:p>
        </w:tc>
        <w:tc>
          <w:tcPr>
            <w:tcW w:w="1469" w:type="dxa"/>
            <w:vAlign w:val="center"/>
          </w:tcPr>
          <w:p w14:paraId="14EB34B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0.123</w:t>
            </w:r>
          </w:p>
        </w:tc>
        <w:tc>
          <w:tcPr>
            <w:tcW w:w="1468" w:type="dxa"/>
            <w:vAlign w:val="center"/>
          </w:tcPr>
          <w:p w14:paraId="0A92D6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0.0845</w:t>
            </w:r>
          </w:p>
        </w:tc>
        <w:tc>
          <w:tcPr>
            <w:tcW w:w="1723" w:type="dxa"/>
            <w:vAlign w:val="center"/>
          </w:tcPr>
          <w:p w14:paraId="50C1619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0.131</w:t>
            </w:r>
          </w:p>
        </w:tc>
        <w:tc>
          <w:tcPr>
            <w:tcW w:w="1764" w:type="dxa"/>
            <w:vAlign w:val="center"/>
          </w:tcPr>
          <w:p w14:paraId="1CA6D27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0.139</w:t>
            </w:r>
          </w:p>
        </w:tc>
        <w:tc>
          <w:tcPr>
            <w:tcW w:w="2004" w:type="dxa"/>
            <w:vAlign w:val="center"/>
          </w:tcPr>
          <w:p w14:paraId="1D09D90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0.135</w:t>
            </w:r>
          </w:p>
        </w:tc>
        <w:tc>
          <w:tcPr>
            <w:tcW w:w="2005" w:type="dxa"/>
            <w:vAlign w:val="center"/>
          </w:tcPr>
          <w:p w14:paraId="40C2F7D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0.115</w:t>
            </w:r>
          </w:p>
        </w:tc>
      </w:tr>
      <w:tr w14:paraId="35F6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Merge w:val="continue"/>
          </w:tcPr>
          <w:p w14:paraId="3356962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tcPr>
          <w:p w14:paraId="50E96B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object>
                <v:shape id="_x0000_i1100" o:spt="75" type="#_x0000_t75" style="height:19pt;width:16.3pt;" o:ole="t" filled="f" o:preferrelative="t" stroked="f" coordsize="21600,21600">
                  <v:path/>
                  <v:fill on="f" focussize="0,0"/>
                  <v:stroke on="f" joinstyle="miter"/>
                  <v:imagedata r:id="rId113" o:title=""/>
                  <o:lock v:ext="edit" aspectratio="t"/>
                  <w10:wrap type="none"/>
                  <w10:anchorlock/>
                </v:shape>
                <o:OLEObject Type="Embed" ProgID="Equation.DSMT4" ShapeID="_x0000_i1100" DrawAspect="Content" ObjectID="_1468075800" r:id="rId112">
                  <o:LockedField>false</o:LockedField>
                </o:OLEObject>
              </w:object>
            </w:r>
          </w:p>
        </w:tc>
        <w:tc>
          <w:tcPr>
            <w:tcW w:w="1466" w:type="dxa"/>
            <w:vAlign w:val="center"/>
          </w:tcPr>
          <w:p w14:paraId="7A0CF5A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0.0981</w:t>
            </w:r>
          </w:p>
        </w:tc>
        <w:tc>
          <w:tcPr>
            <w:tcW w:w="1468" w:type="dxa"/>
            <w:vAlign w:val="center"/>
          </w:tcPr>
          <w:p w14:paraId="494C75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0.1016</w:t>
            </w:r>
          </w:p>
        </w:tc>
        <w:tc>
          <w:tcPr>
            <w:tcW w:w="1469" w:type="dxa"/>
            <w:vAlign w:val="center"/>
          </w:tcPr>
          <w:p w14:paraId="28FF25E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0.0529</w:t>
            </w:r>
          </w:p>
        </w:tc>
        <w:tc>
          <w:tcPr>
            <w:tcW w:w="1468" w:type="dxa"/>
            <w:vAlign w:val="center"/>
          </w:tcPr>
          <w:p w14:paraId="16F6A2A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0.1716</w:t>
            </w:r>
          </w:p>
        </w:tc>
        <w:tc>
          <w:tcPr>
            <w:tcW w:w="1723" w:type="dxa"/>
            <w:vAlign w:val="center"/>
          </w:tcPr>
          <w:p w14:paraId="00A8430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0.0464</w:t>
            </w:r>
          </w:p>
        </w:tc>
        <w:tc>
          <w:tcPr>
            <w:tcW w:w="1764" w:type="dxa"/>
            <w:vAlign w:val="center"/>
          </w:tcPr>
          <w:p w14:paraId="01ACF1D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0.0528</w:t>
            </w:r>
          </w:p>
        </w:tc>
        <w:tc>
          <w:tcPr>
            <w:tcW w:w="2004" w:type="dxa"/>
            <w:vAlign w:val="center"/>
          </w:tcPr>
          <w:p w14:paraId="256708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0.1002</w:t>
            </w:r>
          </w:p>
        </w:tc>
        <w:tc>
          <w:tcPr>
            <w:tcW w:w="2005" w:type="dxa"/>
            <w:vAlign w:val="center"/>
          </w:tcPr>
          <w:p w14:paraId="18A170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0.0827</w:t>
            </w:r>
          </w:p>
        </w:tc>
      </w:tr>
      <w:tr w14:paraId="7B7C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Merge w:val="continue"/>
          </w:tcPr>
          <w:p w14:paraId="346CCF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tcPr>
          <w:p w14:paraId="780566E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object>
                <v:shape id="_x0000_i1101" o:spt="75" type="#_x0000_t75" style="height:18.35pt;width:16.3pt;" o:ole="t" filled="f" o:preferrelative="t" stroked="f" coordsize="21600,21600">
                  <v:path/>
                  <v:fill on="f" focussize="0,0"/>
                  <v:stroke on="f" joinstyle="miter"/>
                  <v:imagedata r:id="rId115" o:title=""/>
                  <o:lock v:ext="edit" aspectratio="t"/>
                  <w10:wrap type="none"/>
                  <w10:anchorlock/>
                </v:shape>
                <o:OLEObject Type="Embed" ProgID="Equation.DSMT4" ShapeID="_x0000_i1101" DrawAspect="Content" ObjectID="_1468075801" r:id="rId114">
                  <o:LockedField>false</o:LockedField>
                </o:OLEObject>
              </w:object>
            </w:r>
          </w:p>
        </w:tc>
        <w:tc>
          <w:tcPr>
            <w:tcW w:w="1466" w:type="dxa"/>
            <w:vAlign w:val="center"/>
          </w:tcPr>
          <w:p w14:paraId="1F500F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0.1008</w:t>
            </w:r>
          </w:p>
        </w:tc>
        <w:tc>
          <w:tcPr>
            <w:tcW w:w="1468" w:type="dxa"/>
            <w:vAlign w:val="center"/>
          </w:tcPr>
          <w:p w14:paraId="00F9C3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0.0657</w:t>
            </w:r>
          </w:p>
        </w:tc>
        <w:tc>
          <w:tcPr>
            <w:tcW w:w="1469" w:type="dxa"/>
            <w:vAlign w:val="center"/>
          </w:tcPr>
          <w:p w14:paraId="3D3B309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0.1010</w:t>
            </w:r>
          </w:p>
        </w:tc>
        <w:tc>
          <w:tcPr>
            <w:tcW w:w="1468" w:type="dxa"/>
            <w:vAlign w:val="center"/>
          </w:tcPr>
          <w:p w14:paraId="0D56EC8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0.1806</w:t>
            </w:r>
          </w:p>
        </w:tc>
        <w:tc>
          <w:tcPr>
            <w:tcW w:w="1723" w:type="dxa"/>
            <w:vAlign w:val="center"/>
          </w:tcPr>
          <w:p w14:paraId="399C50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0.0807</w:t>
            </w:r>
          </w:p>
        </w:tc>
        <w:tc>
          <w:tcPr>
            <w:tcW w:w="1764" w:type="dxa"/>
            <w:vAlign w:val="center"/>
          </w:tcPr>
          <w:p w14:paraId="12114A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0.118</w:t>
            </w:r>
          </w:p>
        </w:tc>
        <w:tc>
          <w:tcPr>
            <w:tcW w:w="2004" w:type="dxa"/>
            <w:vAlign w:val="center"/>
          </w:tcPr>
          <w:p w14:paraId="685F57F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0.106</w:t>
            </w:r>
          </w:p>
        </w:tc>
        <w:tc>
          <w:tcPr>
            <w:tcW w:w="2005" w:type="dxa"/>
            <w:vAlign w:val="center"/>
          </w:tcPr>
          <w:p w14:paraId="2BE1420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0.0871</w:t>
            </w:r>
          </w:p>
        </w:tc>
      </w:tr>
      <w:tr w14:paraId="7F9E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Merge w:val="continue"/>
          </w:tcPr>
          <w:p w14:paraId="5D2F5CF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tcPr>
          <w:p w14:paraId="71228D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object>
                <v:shape id="_x0000_i1102" o:spt="75" type="#_x0000_t75" style="height:19pt;width:14.95pt;" o:ole="t" filled="f" o:preferrelative="t" stroked="f" coordsize="21600,21600">
                  <v:path/>
                  <v:fill on="f" focussize="0,0"/>
                  <v:stroke on="f" joinstyle="miter"/>
                  <v:imagedata r:id="rId117" o:title=""/>
                  <o:lock v:ext="edit" aspectratio="t"/>
                  <w10:wrap type="none"/>
                  <w10:anchorlock/>
                </v:shape>
                <o:OLEObject Type="Embed" ProgID="Equation.KSEE3" ShapeID="_x0000_i1102" DrawAspect="Content" ObjectID="_1468075802" r:id="rId116">
                  <o:LockedField>false</o:LockedField>
                </o:OLEObject>
              </w:object>
            </w:r>
          </w:p>
        </w:tc>
        <w:tc>
          <w:tcPr>
            <w:tcW w:w="1466" w:type="dxa"/>
            <w:vAlign w:val="center"/>
          </w:tcPr>
          <w:p w14:paraId="4D5D5B3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0.0713</w:t>
            </w:r>
          </w:p>
        </w:tc>
        <w:tc>
          <w:tcPr>
            <w:tcW w:w="1468" w:type="dxa"/>
            <w:vAlign w:val="center"/>
          </w:tcPr>
          <w:p w14:paraId="2EE2772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0.0465</w:t>
            </w:r>
          </w:p>
        </w:tc>
        <w:tc>
          <w:tcPr>
            <w:tcW w:w="1469" w:type="dxa"/>
            <w:vAlign w:val="center"/>
          </w:tcPr>
          <w:p w14:paraId="0C6771E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0.0714</w:t>
            </w:r>
          </w:p>
        </w:tc>
        <w:tc>
          <w:tcPr>
            <w:tcW w:w="1468" w:type="dxa"/>
            <w:vAlign w:val="center"/>
          </w:tcPr>
          <w:p w14:paraId="61F0E16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0.1277</w:t>
            </w:r>
          </w:p>
        </w:tc>
        <w:tc>
          <w:tcPr>
            <w:tcW w:w="1723" w:type="dxa"/>
            <w:vAlign w:val="center"/>
          </w:tcPr>
          <w:p w14:paraId="165DFD2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0.0571</w:t>
            </w:r>
          </w:p>
        </w:tc>
        <w:tc>
          <w:tcPr>
            <w:tcW w:w="1764" w:type="dxa"/>
            <w:vAlign w:val="center"/>
          </w:tcPr>
          <w:p w14:paraId="6DE231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0.0835</w:t>
            </w:r>
          </w:p>
        </w:tc>
        <w:tc>
          <w:tcPr>
            <w:tcW w:w="2004" w:type="dxa"/>
            <w:vAlign w:val="center"/>
          </w:tcPr>
          <w:p w14:paraId="451B57F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0.075</w:t>
            </w:r>
          </w:p>
        </w:tc>
        <w:tc>
          <w:tcPr>
            <w:tcW w:w="2005" w:type="dxa"/>
            <w:vAlign w:val="center"/>
          </w:tcPr>
          <w:p w14:paraId="60C544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0.0616</w:t>
            </w:r>
          </w:p>
        </w:tc>
      </w:tr>
      <w:tr w14:paraId="2C42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Merge w:val="continue"/>
          </w:tcPr>
          <w:p w14:paraId="7E9B23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tcPr>
          <w:p w14:paraId="01B4719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object>
                <v:shape id="_x0000_i1103" o:spt="75" type="#_x0000_t75" style="height:17pt;width:20.4pt;" o:ole="t" filled="f" o:preferrelative="t" stroked="f" coordsize="21600,21600">
                  <v:path/>
                  <v:fill on="f" focussize="0,0"/>
                  <v:stroke on="f" joinstyle="miter"/>
                  <v:imagedata r:id="rId53" o:title=""/>
                  <o:lock v:ext="edit" aspectratio="t"/>
                  <w10:wrap type="none"/>
                  <w10:anchorlock/>
                </v:shape>
                <o:OLEObject Type="Embed" ProgID="Equation.3" ShapeID="_x0000_i1103" DrawAspect="Content" ObjectID="_1468075803" r:id="rId118">
                  <o:LockedField>false</o:LockedField>
                </o:OLEObject>
              </w:object>
            </w:r>
          </w:p>
        </w:tc>
        <w:tc>
          <w:tcPr>
            <w:tcW w:w="1466" w:type="dxa"/>
            <w:vAlign w:val="center"/>
          </w:tcPr>
          <w:p w14:paraId="5F5CD69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0.3334</w:t>
            </w:r>
          </w:p>
        </w:tc>
        <w:tc>
          <w:tcPr>
            <w:tcW w:w="1468" w:type="dxa"/>
            <w:vAlign w:val="center"/>
          </w:tcPr>
          <w:p w14:paraId="4A68C64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0.1848</w:t>
            </w:r>
          </w:p>
        </w:tc>
        <w:tc>
          <w:tcPr>
            <w:tcW w:w="1469" w:type="dxa"/>
            <w:vAlign w:val="center"/>
          </w:tcPr>
          <w:p w14:paraId="784E127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0.246</w:t>
            </w:r>
          </w:p>
        </w:tc>
        <w:tc>
          <w:tcPr>
            <w:tcW w:w="1468" w:type="dxa"/>
            <w:vAlign w:val="center"/>
          </w:tcPr>
          <w:p w14:paraId="008E25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0.169</w:t>
            </w:r>
          </w:p>
        </w:tc>
        <w:tc>
          <w:tcPr>
            <w:tcW w:w="1723" w:type="dxa"/>
            <w:vAlign w:val="center"/>
          </w:tcPr>
          <w:p w14:paraId="264A783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0.262</w:t>
            </w:r>
          </w:p>
        </w:tc>
        <w:tc>
          <w:tcPr>
            <w:tcW w:w="1764" w:type="dxa"/>
            <w:vAlign w:val="center"/>
          </w:tcPr>
          <w:p w14:paraId="3C668B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0.278</w:t>
            </w:r>
          </w:p>
        </w:tc>
        <w:tc>
          <w:tcPr>
            <w:tcW w:w="2004" w:type="dxa"/>
            <w:vAlign w:val="center"/>
          </w:tcPr>
          <w:p w14:paraId="3CBC34B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0.270</w:t>
            </w:r>
          </w:p>
        </w:tc>
        <w:tc>
          <w:tcPr>
            <w:tcW w:w="2005" w:type="dxa"/>
            <w:vAlign w:val="center"/>
          </w:tcPr>
          <w:p w14:paraId="259DE4F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0.230</w:t>
            </w:r>
          </w:p>
        </w:tc>
      </w:tr>
      <w:tr w14:paraId="56D4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Merge w:val="continue"/>
          </w:tcPr>
          <w:p w14:paraId="7E4FD61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tcPr>
          <w:p w14:paraId="4FC5E5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object>
                <v:shape id="_x0000_i1104" o:spt="75" type="#_x0000_t75" style="height:17pt;width:18.35pt;" o:ole="t" filled="f" o:preferrelative="t" stroked="f" coordsize="21600,21600">
                  <v:path/>
                  <v:fill on="f" focussize="0,0"/>
                  <v:stroke on="f" joinstyle="miter"/>
                  <v:imagedata r:id="rId31" o:title=""/>
                  <o:lock v:ext="edit" aspectratio="t"/>
                  <w10:wrap type="none"/>
                  <w10:anchorlock/>
                </v:shape>
                <o:OLEObject Type="Embed" ProgID="Equation.3" ShapeID="_x0000_i1104" DrawAspect="Content" ObjectID="_1468075804" r:id="rId119">
                  <o:LockedField>false</o:LockedField>
                </o:OLEObject>
              </w:object>
            </w:r>
          </w:p>
        </w:tc>
        <w:tc>
          <w:tcPr>
            <w:tcW w:w="1466" w:type="dxa"/>
            <w:vAlign w:val="center"/>
          </w:tcPr>
          <w:p w14:paraId="3ED5D8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0.1962</w:t>
            </w:r>
          </w:p>
        </w:tc>
        <w:tc>
          <w:tcPr>
            <w:tcW w:w="1468" w:type="dxa"/>
            <w:vAlign w:val="center"/>
          </w:tcPr>
          <w:p w14:paraId="415A8D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0.2032</w:t>
            </w:r>
          </w:p>
        </w:tc>
        <w:tc>
          <w:tcPr>
            <w:tcW w:w="1469" w:type="dxa"/>
            <w:vAlign w:val="center"/>
          </w:tcPr>
          <w:p w14:paraId="4856C9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0.1058</w:t>
            </w:r>
          </w:p>
        </w:tc>
        <w:tc>
          <w:tcPr>
            <w:tcW w:w="1468" w:type="dxa"/>
            <w:vAlign w:val="center"/>
          </w:tcPr>
          <w:p w14:paraId="6338D11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0.3432</w:t>
            </w:r>
          </w:p>
        </w:tc>
        <w:tc>
          <w:tcPr>
            <w:tcW w:w="1723" w:type="dxa"/>
            <w:vAlign w:val="center"/>
          </w:tcPr>
          <w:p w14:paraId="1863F6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0.0928</w:t>
            </w:r>
          </w:p>
        </w:tc>
        <w:tc>
          <w:tcPr>
            <w:tcW w:w="1764" w:type="dxa"/>
            <w:vAlign w:val="center"/>
          </w:tcPr>
          <w:p w14:paraId="2A48B30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0.1056</w:t>
            </w:r>
          </w:p>
        </w:tc>
        <w:tc>
          <w:tcPr>
            <w:tcW w:w="2004" w:type="dxa"/>
            <w:vAlign w:val="center"/>
          </w:tcPr>
          <w:p w14:paraId="4559A56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0.2002</w:t>
            </w:r>
          </w:p>
        </w:tc>
        <w:tc>
          <w:tcPr>
            <w:tcW w:w="2005" w:type="dxa"/>
            <w:vAlign w:val="center"/>
          </w:tcPr>
          <w:p w14:paraId="4ACF72B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0.165</w:t>
            </w:r>
          </w:p>
        </w:tc>
      </w:tr>
      <w:tr w14:paraId="1B06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Merge w:val="continue"/>
          </w:tcPr>
          <w:p w14:paraId="1601E5C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tcPr>
          <w:p w14:paraId="2C076D3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object>
                <v:shape id="_x0000_i1105" o:spt="75" type="#_x0000_t75" style="height:18.35pt;width:16.3pt;" o:ole="t" filled="f" o:preferrelative="t" stroked="f" coordsize="21600,21600">
                  <v:path/>
                  <v:fill on="f" focussize="0,0"/>
                  <v:stroke on="f" joinstyle="miter"/>
                  <v:imagedata r:id="rId33" o:title=""/>
                  <o:lock v:ext="edit" aspectratio="t"/>
                  <w10:wrap type="none"/>
                  <w10:anchorlock/>
                </v:shape>
                <o:OLEObject Type="Embed" ProgID="Equation.3" ShapeID="_x0000_i1105" DrawAspect="Content" ObjectID="_1468075805" r:id="rId120">
                  <o:LockedField>false</o:LockedField>
                </o:OLEObject>
              </w:object>
            </w:r>
          </w:p>
        </w:tc>
        <w:tc>
          <w:tcPr>
            <w:tcW w:w="1466" w:type="dxa"/>
            <w:vAlign w:val="center"/>
          </w:tcPr>
          <w:p w14:paraId="1F8EB2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0.0274</w:t>
            </w:r>
          </w:p>
        </w:tc>
        <w:tc>
          <w:tcPr>
            <w:tcW w:w="1468" w:type="dxa"/>
            <w:vAlign w:val="center"/>
          </w:tcPr>
          <w:p w14:paraId="30005B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0.093</w:t>
            </w:r>
          </w:p>
        </w:tc>
        <w:tc>
          <w:tcPr>
            <w:tcW w:w="1469" w:type="dxa"/>
            <w:vAlign w:val="center"/>
          </w:tcPr>
          <w:p w14:paraId="06661EF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0.1428</w:t>
            </w:r>
          </w:p>
        </w:tc>
        <w:tc>
          <w:tcPr>
            <w:tcW w:w="1468" w:type="dxa"/>
            <w:vAlign w:val="center"/>
          </w:tcPr>
          <w:p w14:paraId="108D40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0.2554</w:t>
            </w:r>
          </w:p>
        </w:tc>
        <w:tc>
          <w:tcPr>
            <w:tcW w:w="1723" w:type="dxa"/>
            <w:vAlign w:val="center"/>
          </w:tcPr>
          <w:p w14:paraId="772573A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0.1142</w:t>
            </w:r>
          </w:p>
        </w:tc>
        <w:tc>
          <w:tcPr>
            <w:tcW w:w="1764" w:type="dxa"/>
            <w:vAlign w:val="center"/>
          </w:tcPr>
          <w:p w14:paraId="2AF0003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0.167</w:t>
            </w:r>
          </w:p>
        </w:tc>
        <w:tc>
          <w:tcPr>
            <w:tcW w:w="2004" w:type="dxa"/>
            <w:vAlign w:val="center"/>
          </w:tcPr>
          <w:p w14:paraId="3C0924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0.150</w:t>
            </w:r>
          </w:p>
        </w:tc>
        <w:tc>
          <w:tcPr>
            <w:tcW w:w="2005" w:type="dxa"/>
            <w:vAlign w:val="center"/>
          </w:tcPr>
          <w:p w14:paraId="096C85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0.123</w:t>
            </w:r>
          </w:p>
        </w:tc>
      </w:tr>
      <w:tr w14:paraId="4327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Merge w:val="continue"/>
          </w:tcPr>
          <w:p w14:paraId="72B5231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tcPr>
          <w:p w14:paraId="3A479B9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object>
                <v:shape id="_x0000_i1106" o:spt="75" type="#_x0000_t75" style="height:18.35pt;width:26.5pt;" o:ole="t" filled="f" o:preferrelative="t" stroked="f" coordsize="21600,21600">
                  <v:path/>
                  <v:fill on="f" focussize="0,0"/>
                  <v:stroke on="f" joinstyle="miter"/>
                  <v:imagedata r:id="rId122" o:title=""/>
                  <o:lock v:ext="edit" aspectratio="t"/>
                  <w10:wrap type="none"/>
                  <w10:anchorlock/>
                </v:shape>
                <o:OLEObject Type="Embed" ProgID="Equation.DSMT4" ShapeID="_x0000_i1106" DrawAspect="Content" ObjectID="_1468075806" r:id="rId121">
                  <o:LockedField>false</o:LockedField>
                </o:OLEObject>
              </w:object>
            </w:r>
          </w:p>
        </w:tc>
        <w:tc>
          <w:tcPr>
            <w:tcW w:w="1466" w:type="dxa"/>
            <w:vAlign w:val="center"/>
          </w:tcPr>
          <w:p w14:paraId="6B863F1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0.2061</w:t>
            </w:r>
          </w:p>
        </w:tc>
        <w:tc>
          <w:tcPr>
            <w:tcW w:w="1468" w:type="dxa"/>
            <w:vAlign w:val="center"/>
          </w:tcPr>
          <w:p w14:paraId="250E7FB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0.145</w:t>
            </w:r>
          </w:p>
        </w:tc>
        <w:tc>
          <w:tcPr>
            <w:tcW w:w="1469" w:type="dxa"/>
            <w:vAlign w:val="center"/>
          </w:tcPr>
          <w:p w14:paraId="2D88E9C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0.1518</w:t>
            </w:r>
          </w:p>
        </w:tc>
        <w:tc>
          <w:tcPr>
            <w:tcW w:w="1468" w:type="dxa"/>
            <w:vAlign w:val="center"/>
          </w:tcPr>
          <w:p w14:paraId="13C4BA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0.230</w:t>
            </w:r>
          </w:p>
        </w:tc>
        <w:tc>
          <w:tcPr>
            <w:tcW w:w="1723" w:type="dxa"/>
            <w:vAlign w:val="center"/>
          </w:tcPr>
          <w:p w14:paraId="0E9BC96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0.150</w:t>
            </w:r>
          </w:p>
        </w:tc>
        <w:tc>
          <w:tcPr>
            <w:tcW w:w="1764" w:type="dxa"/>
            <w:vAlign w:val="center"/>
          </w:tcPr>
          <w:p w14:paraId="572DF91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0.171</w:t>
            </w:r>
          </w:p>
        </w:tc>
        <w:tc>
          <w:tcPr>
            <w:tcW w:w="2004" w:type="dxa"/>
            <w:vAlign w:val="center"/>
          </w:tcPr>
          <w:p w14:paraId="4111485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0.184</w:t>
            </w:r>
          </w:p>
        </w:tc>
        <w:tc>
          <w:tcPr>
            <w:tcW w:w="2005" w:type="dxa"/>
            <w:vAlign w:val="center"/>
          </w:tcPr>
          <w:p w14:paraId="23416F8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0.154</w:t>
            </w:r>
          </w:p>
        </w:tc>
      </w:tr>
      <w:tr w14:paraId="3BF9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Merge w:val="continue"/>
          </w:tcPr>
          <w:p w14:paraId="43264C6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c>
          <w:tcPr>
            <w:tcW w:w="762" w:type="dxa"/>
          </w:tcPr>
          <w:p w14:paraId="17F9A0D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bookmarkStart w:id="8" w:name="OLE_LINK38"/>
            <w:bookmarkStart w:id="9" w:name="OLE_LINK59"/>
            <w:bookmarkStart w:id="10" w:name="OLE_LINK39"/>
            <w:r>
              <w:rPr>
                <w:rFonts w:hint="eastAsia" w:asciiTheme="minorEastAsia" w:hAnsiTheme="minorEastAsia" w:eastAsiaTheme="minorEastAsia" w:cstheme="minorEastAsia"/>
                <w:b w:val="0"/>
                <w:bCs w:val="0"/>
                <w:color w:val="auto"/>
                <w:sz w:val="21"/>
                <w:szCs w:val="21"/>
                <w:vertAlign w:val="baseline"/>
                <w:lang w:val="en-US" w:eastAsia="zh-CN"/>
              </w:rPr>
              <w:object>
                <v:shape id="_x0000_i1107" o:spt="75" type="#_x0000_t75" style="height:18.35pt;width:26.5pt;" o:ole="t" filled="f" o:preferrelative="t" stroked="f" coordsize="21600,21600">
                  <v:path/>
                  <v:fill on="f" focussize="0,0"/>
                  <v:stroke on="f" joinstyle="miter"/>
                  <v:imagedata r:id="rId124" o:title=""/>
                  <o:lock v:ext="edit" aspectratio="t"/>
                  <w10:wrap type="none"/>
                  <w10:anchorlock/>
                </v:shape>
                <o:OLEObject Type="Embed" ProgID="Equation.DSMT4" ShapeID="_x0000_i1107" DrawAspect="Content" ObjectID="_1468075807" r:id="rId123">
                  <o:LockedField>false</o:LockedField>
                </o:OLEObject>
              </w:object>
            </w:r>
            <w:bookmarkEnd w:id="8"/>
            <w:bookmarkEnd w:id="9"/>
            <w:bookmarkEnd w:id="10"/>
          </w:p>
        </w:tc>
        <w:tc>
          <w:tcPr>
            <w:tcW w:w="1466" w:type="dxa"/>
            <w:vAlign w:val="center"/>
          </w:tcPr>
          <w:p w14:paraId="5E0A910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0.4122</w:t>
            </w:r>
          </w:p>
        </w:tc>
        <w:tc>
          <w:tcPr>
            <w:tcW w:w="1468" w:type="dxa"/>
            <w:vAlign w:val="center"/>
          </w:tcPr>
          <w:p w14:paraId="69D6BAE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0.290</w:t>
            </w:r>
          </w:p>
        </w:tc>
        <w:tc>
          <w:tcPr>
            <w:tcW w:w="1469" w:type="dxa"/>
            <w:vAlign w:val="center"/>
          </w:tcPr>
          <w:p w14:paraId="5284032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0.3036</w:t>
            </w:r>
          </w:p>
        </w:tc>
        <w:tc>
          <w:tcPr>
            <w:tcW w:w="1468" w:type="dxa"/>
            <w:vAlign w:val="center"/>
          </w:tcPr>
          <w:p w14:paraId="109369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0.460</w:t>
            </w:r>
          </w:p>
        </w:tc>
        <w:tc>
          <w:tcPr>
            <w:tcW w:w="1723" w:type="dxa"/>
            <w:vAlign w:val="center"/>
          </w:tcPr>
          <w:p w14:paraId="2F310FA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0.300</w:t>
            </w:r>
          </w:p>
        </w:tc>
        <w:tc>
          <w:tcPr>
            <w:tcW w:w="1764" w:type="dxa"/>
            <w:vAlign w:val="center"/>
          </w:tcPr>
          <w:p w14:paraId="56CF63B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0.342</w:t>
            </w:r>
          </w:p>
        </w:tc>
        <w:tc>
          <w:tcPr>
            <w:tcW w:w="2004" w:type="dxa"/>
            <w:vAlign w:val="center"/>
          </w:tcPr>
          <w:p w14:paraId="5FD17A9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0.368</w:t>
            </w:r>
          </w:p>
        </w:tc>
        <w:tc>
          <w:tcPr>
            <w:tcW w:w="2005" w:type="dxa"/>
            <w:vAlign w:val="center"/>
          </w:tcPr>
          <w:p w14:paraId="6B88117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0.308</w:t>
            </w:r>
          </w:p>
        </w:tc>
      </w:tr>
    </w:tbl>
    <w:p w14:paraId="36D6757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default" w:hAnsi="黑体" w:cs="黑体" w:eastAsiaTheme="minorEastAsia"/>
          <w:bCs w:val="0"/>
          <w:color w:val="auto"/>
          <w:szCs w:val="21"/>
          <w:u w:val="none"/>
          <w:lang w:val="en-US" w:eastAsia="zh-CN"/>
        </w:rPr>
      </w:pPr>
      <w:r>
        <w:rPr>
          <w:rFonts w:hint="default" w:hAnsi="黑体" w:cs="黑体" w:eastAsiaTheme="minorEastAsia"/>
          <w:bCs w:val="0"/>
          <w:color w:val="auto"/>
          <w:szCs w:val="21"/>
          <w:u w:val="none"/>
          <w:lang w:val="en-US" w:eastAsia="zh-CN"/>
        </w:rPr>
        <w:t>《品质波动试验数据汇总表》（表16和表17）显示，</w:t>
      </w:r>
      <w:r>
        <w:rPr>
          <w:rFonts w:hint="default" w:hAnsi="黑体" w:cs="黑体" w:eastAsiaTheme="minorEastAsia"/>
          <w:bCs w:val="0"/>
          <w:color w:val="auto"/>
          <w:szCs w:val="21"/>
          <w:u w:val="none"/>
          <w:lang w:val="en-US" w:eastAsia="zh-CN"/>
        </w:rPr>
        <w:object>
          <v:shape id="_x0000_i1108"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108" DrawAspect="Content" ObjectID="_1468075808" r:id="rId125">
            <o:LockedField>false</o:LockedField>
          </o:OLEObject>
        </w:object>
      </w:r>
      <w:r>
        <w:rPr>
          <w:rFonts w:hint="default" w:hAnsi="黑体" w:cs="黑体" w:eastAsiaTheme="minorEastAsia"/>
          <w:bCs w:val="0"/>
          <w:color w:val="auto"/>
          <w:szCs w:val="21"/>
          <w:u w:val="none"/>
          <w:lang w:val="en-US" w:eastAsia="zh-CN"/>
        </w:rPr>
        <w:t>值范围为0.169～1.009；其中0.5以下的占80.6%，0.5～1.0之间的占16.2%，1～2.0之间的占3.2%。由此可将品质波动类型划分为大、中、小三种类型，即</w:t>
      </w:r>
      <w:r>
        <w:rPr>
          <w:rFonts w:hint="default" w:hAnsi="黑体" w:cs="黑体" w:eastAsiaTheme="minorEastAsia"/>
          <w:bCs w:val="0"/>
          <w:color w:val="auto"/>
          <w:szCs w:val="21"/>
          <w:u w:val="none"/>
          <w:lang w:val="en-US" w:eastAsia="zh-CN"/>
        </w:rPr>
        <w:object>
          <v:shape id="_x0000_i1109"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109" DrawAspect="Content" ObjectID="_1468075809" r:id="rId126">
            <o:LockedField>false</o:LockedField>
          </o:OLEObject>
        </w:object>
      </w:r>
      <w:r>
        <w:rPr>
          <w:rFonts w:hint="default" w:hAnsi="黑体" w:cs="黑体" w:eastAsiaTheme="minorEastAsia"/>
          <w:bCs w:val="0"/>
          <w:color w:val="auto"/>
          <w:szCs w:val="21"/>
          <w:u w:val="none"/>
          <w:lang w:val="en-US" w:eastAsia="zh-CN"/>
        </w:rPr>
        <w:t>≤0.50为小，0.5＜</w:t>
      </w:r>
      <w:r>
        <w:rPr>
          <w:rFonts w:hint="default" w:hAnsi="黑体" w:cs="黑体" w:eastAsiaTheme="minorEastAsia"/>
          <w:bCs w:val="0"/>
          <w:color w:val="auto"/>
          <w:szCs w:val="21"/>
          <w:u w:val="none"/>
          <w:lang w:val="en-US" w:eastAsia="zh-CN"/>
        </w:rPr>
        <w:object>
          <v:shape id="_x0000_i1110"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110" DrawAspect="Content" ObjectID="_1468075810" r:id="rId127">
            <o:LockedField>false</o:LockedField>
          </o:OLEObject>
        </w:object>
      </w:r>
      <w:r>
        <w:rPr>
          <w:rFonts w:hint="default" w:hAnsi="黑体" w:cs="黑体" w:eastAsiaTheme="minorEastAsia"/>
          <w:bCs w:val="0"/>
          <w:color w:val="auto"/>
          <w:szCs w:val="21"/>
          <w:u w:val="none"/>
          <w:lang w:val="en-US" w:eastAsia="zh-CN"/>
        </w:rPr>
        <w:t>≤1.0为中，</w:t>
      </w:r>
      <w:r>
        <w:rPr>
          <w:rFonts w:hint="default" w:hAnsi="黑体" w:cs="黑体" w:eastAsiaTheme="minorEastAsia"/>
          <w:bCs w:val="0"/>
          <w:color w:val="auto"/>
          <w:szCs w:val="21"/>
          <w:u w:val="none"/>
          <w:lang w:val="en-US" w:eastAsia="zh-CN"/>
        </w:rPr>
        <w:object>
          <v:shape id="_x0000_i1111" o:spt="75" type="#_x0000_t75" style="height:15pt;width:15pt;" o:ole="t" filled="f" o:preferrelative="t" stroked="f" coordsize="21600,21600">
            <v:path/>
            <v:fill on="f" focussize="0,0"/>
            <v:stroke on="f" joinstyle="miter"/>
            <v:imagedata r:id="rId15" o:title=""/>
            <o:lock v:ext="edit" aspectratio="t"/>
            <w10:wrap type="none"/>
            <w10:anchorlock/>
          </v:shape>
          <o:OLEObject Type="Embed" ProgID="Equation.3" ShapeID="_x0000_i1111" DrawAspect="Content" ObjectID="_1468075811" r:id="rId128">
            <o:LockedField>false</o:LockedField>
          </o:OLEObject>
        </w:object>
      </w:r>
      <w:r>
        <w:rPr>
          <w:rFonts w:hint="default" w:hAnsi="黑体" w:cs="黑体" w:eastAsiaTheme="minorEastAsia"/>
          <w:bCs w:val="0"/>
          <w:color w:val="auto"/>
          <w:szCs w:val="21"/>
          <w:u w:val="none"/>
          <w:lang w:val="en-US" w:eastAsia="zh-CN"/>
        </w:rPr>
        <w:t>＞1.0为大。</w:t>
      </w:r>
    </w:p>
    <w:p w14:paraId="53E0EE1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default" w:hAnsi="黑体" w:cs="黑体" w:eastAsiaTheme="minorEastAsia"/>
          <w:bCs w:val="0"/>
          <w:color w:val="auto"/>
          <w:szCs w:val="21"/>
          <w:u w:val="none"/>
          <w:lang w:val="en-US" w:eastAsia="zh-CN"/>
        </w:rPr>
      </w:pPr>
      <w:r>
        <w:rPr>
          <w:rFonts w:hint="default" w:hAnsi="黑体" w:cs="黑体" w:eastAsiaTheme="minorEastAsia"/>
          <w:bCs w:val="0"/>
          <w:color w:val="auto"/>
          <w:szCs w:val="21"/>
          <w:u w:val="none"/>
          <w:lang w:val="en-US" w:eastAsia="zh-CN"/>
        </w:rPr>
        <w:t>《精密度试验数据汇总表》（表26）显示，</w:t>
      </w:r>
      <w:r>
        <w:rPr>
          <w:rFonts w:hint="default" w:hAnsi="黑体" w:cs="黑体" w:eastAsiaTheme="minorEastAsia"/>
          <w:bCs w:val="0"/>
          <w:color w:val="auto"/>
          <w:szCs w:val="21"/>
          <w:u w:val="none"/>
          <w:lang w:val="en-US" w:eastAsia="zh-CN"/>
        </w:rPr>
        <w:object>
          <v:shape id="_x0000_i1112" o:spt="75" type="#_x0000_t75" style="height:18pt;width:27pt;" o:ole="t" filled="f" o:preferrelative="t" stroked="f" coordsize="21600,21600">
            <v:path/>
            <v:fill on="f" focussize="0,0"/>
            <v:stroke on="f"/>
            <v:imagedata r:id="rId130" o:title=""/>
            <o:lock v:ext="edit" aspectratio="t"/>
            <w10:wrap type="none"/>
            <w10:anchorlock/>
          </v:shape>
          <o:OLEObject Type="Embed" ProgID="Equation.3" ShapeID="_x0000_i1112" DrawAspect="Content" ObjectID="_1468075812" r:id="rId129">
            <o:LockedField>false</o:LockedField>
          </o:OLEObject>
        </w:object>
      </w:r>
      <w:r>
        <w:rPr>
          <w:rFonts w:hint="default" w:hAnsi="黑体" w:cs="黑体" w:eastAsiaTheme="minorEastAsia"/>
          <w:bCs w:val="0"/>
          <w:color w:val="auto"/>
          <w:szCs w:val="21"/>
          <w:u w:val="none"/>
          <w:lang w:val="en-US" w:eastAsia="zh-CN"/>
        </w:rPr>
        <w:t>范围为0.29%～0.46%。根据试验结果，结合检测成本和日常工作时间，可确定取样、制样及总精密度</w:t>
      </w:r>
      <w:r>
        <w:rPr>
          <w:rFonts w:hint="default" w:hAnsi="黑体" w:cs="黑体" w:eastAsiaTheme="minorEastAsia"/>
          <w:bCs w:val="0"/>
          <w:color w:val="auto"/>
          <w:szCs w:val="21"/>
          <w:u w:val="none"/>
          <w:lang w:val="en-US" w:eastAsia="zh-CN"/>
        </w:rPr>
        <w:object>
          <v:shape id="_x0000_i1113" o:spt="75" type="#_x0000_t75" style="height:18pt;width:27pt;" o:ole="t" filled="f" o:preferrelative="t" stroked="f" coordsize="21600,21600">
            <v:path/>
            <v:fill on="f" focussize="0,0"/>
            <v:stroke on="f" joinstyle="miter"/>
            <v:imagedata r:id="rId130" o:title=""/>
            <o:lock v:ext="edit" aspectratio="t"/>
            <w10:wrap type="none"/>
            <w10:anchorlock/>
          </v:shape>
          <o:OLEObject Type="Embed" ProgID="Equation.3" ShapeID="_x0000_i1113" DrawAspect="Content" ObjectID="_1468075813" r:id="rId131">
            <o:LockedField>false</o:LockedField>
          </o:OLEObject>
        </w:object>
      </w:r>
      <w:r>
        <w:rPr>
          <w:rFonts w:hint="default" w:hAnsi="黑体" w:cs="黑体" w:eastAsiaTheme="minorEastAsia"/>
          <w:bCs w:val="0"/>
          <w:color w:val="auto"/>
          <w:szCs w:val="21"/>
          <w:u w:val="none"/>
          <w:lang w:val="en-US" w:eastAsia="zh-CN"/>
        </w:rPr>
        <w:t>为0.50%。</w:t>
      </w:r>
    </w:p>
    <w:p w14:paraId="0C9A5B6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textAlignment w:val="auto"/>
        <w:rPr>
          <w:rFonts w:hint="default" w:hAnsi="黑体" w:cs="黑体" w:eastAsiaTheme="minorEastAsia"/>
          <w:bCs w:val="0"/>
          <w:color w:val="auto"/>
          <w:szCs w:val="21"/>
          <w:u w:val="none"/>
          <w:lang w:val="en-US" w:eastAsia="zh-CN"/>
        </w:rPr>
      </w:pPr>
      <w:r>
        <w:rPr>
          <w:rFonts w:hint="default" w:hAnsi="黑体" w:cs="黑体" w:eastAsiaTheme="minorEastAsia"/>
          <w:bCs w:val="0"/>
          <w:color w:val="auto"/>
          <w:szCs w:val="21"/>
          <w:u w:val="none"/>
          <w:lang w:val="en-US" w:eastAsia="zh-CN"/>
        </w:rPr>
        <w:t>通过对试验数据进行计算、分析，证明对同一批精矿采用动态或静态方法取样无显著性差异。</w:t>
      </w:r>
    </w:p>
    <w:p w14:paraId="21BA065E">
      <w:pPr>
        <w:pStyle w:val="3"/>
        <w:keepNext w:val="0"/>
        <w:keepLines w:val="0"/>
        <w:pageBreakBefore w:val="0"/>
        <w:kinsoku/>
        <w:wordWrap/>
        <w:overflowPunct/>
        <w:topLinePunct w:val="0"/>
        <w:bidi w:val="0"/>
        <w:spacing w:beforeAutospacing="0" w:after="0" w:afterAutospacing="0"/>
        <w:rPr>
          <w:rFonts w:hint="eastAsia" w:hAnsi="黑体" w:cs="黑体" w:eastAsiaTheme="minorEastAsia"/>
          <w:bCs w:val="0"/>
          <w:color w:val="auto"/>
          <w:szCs w:val="21"/>
          <w:lang w:val="en-US" w:eastAsia="zh-CN"/>
        </w:rPr>
      </w:pPr>
      <w:r>
        <w:rPr>
          <w:rFonts w:hint="eastAsia" w:ascii="黑体" w:hAnsi="黑体" w:eastAsia="黑体" w:cs="黑体"/>
          <w:color w:val="auto"/>
          <w:kern w:val="0"/>
          <w:szCs w:val="21"/>
        </w:rPr>
        <w:t>1.4.3</w:t>
      </w:r>
      <w:r>
        <w:rPr>
          <w:rFonts w:hint="eastAsia" w:ascii="黑体" w:hAnsi="黑体" w:eastAsia="黑体" w:cs="黑体"/>
          <w:color w:val="auto"/>
          <w:kern w:val="0"/>
          <w:szCs w:val="21"/>
          <w:lang w:val="en-US" w:eastAsia="zh-CN"/>
        </w:rPr>
        <w:t>.3  第二次工作会议</w:t>
      </w:r>
    </w:p>
    <w:p w14:paraId="5E310B97">
      <w:pPr>
        <w:keepNext w:val="0"/>
        <w:keepLines w:val="0"/>
        <w:pageBreakBefore w:val="0"/>
        <w:widowControl w:val="0"/>
        <w:tabs>
          <w:tab w:val="left" w:pos="5400"/>
        </w:tabs>
        <w:kinsoku/>
        <w:wordWrap/>
        <w:overflowPunct/>
        <w:topLinePunct w:val="0"/>
        <w:autoSpaceDE/>
        <w:autoSpaceDN/>
        <w:bidi w:val="0"/>
        <w:adjustRightInd/>
        <w:snapToGrid/>
        <w:spacing w:beforeAutospacing="0" w:afterAutospacing="0" w:line="24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项目于2025年11月11日-12日在杭州召开了第二次工作会议。与会代表对标准草案和编制说明材料进行了讨论，本次会议会上主要意见如下：</w:t>
      </w:r>
    </w:p>
    <w:p w14:paraId="5C486C0B">
      <w:pPr>
        <w:pStyle w:val="3"/>
        <w:keepNext w:val="0"/>
        <w:keepLines w:val="0"/>
        <w:pageBreakBefore w:val="0"/>
        <w:widowControl w:val="0"/>
        <w:numPr>
          <w:ilvl w:val="0"/>
          <w:numId w:val="3"/>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eastAsia" w:ascii="宋体" w:hAnsi="宋体" w:eastAsia="宋体" w:cs="宋体"/>
          <w:color w:val="auto"/>
          <w:sz w:val="21"/>
          <w:szCs w:val="21"/>
          <w:highlight w:val="none"/>
          <w:lang w:val="en-US" w:eastAsia="zh-CN"/>
        </w:rPr>
        <w:t>对</w:t>
      </w:r>
      <w:r>
        <w:rPr>
          <w:rFonts w:hint="default" w:ascii="Times New Roman" w:hAnsi="Times New Roman" w:cs="Times New Roman" w:eastAsiaTheme="minorEastAsia"/>
          <w:color w:val="auto"/>
          <w:kern w:val="2"/>
          <w:sz w:val="21"/>
          <w:szCs w:val="21"/>
          <w:lang w:val="en-US" w:eastAsia="zh-CN"/>
        </w:rPr>
        <w:t>不同精矿应取最小份样数</w:t>
      </w:r>
      <w:r>
        <w:rPr>
          <w:rFonts w:hint="eastAsia" w:ascii="Times New Roman" w:hAnsi="Times New Roman" w:cs="Times New Roman" w:eastAsiaTheme="minorEastAsia"/>
          <w:color w:val="auto"/>
          <w:kern w:val="2"/>
          <w:sz w:val="21"/>
          <w:szCs w:val="21"/>
          <w:lang w:val="en-US" w:eastAsia="zh-CN"/>
        </w:rPr>
        <w:t>的表格不做合并，以不同的表格展示；</w:t>
      </w:r>
    </w:p>
    <w:p w14:paraId="2D08D1E9">
      <w:pPr>
        <w:pStyle w:val="3"/>
        <w:keepNext w:val="0"/>
        <w:keepLines w:val="0"/>
        <w:pageBreakBefore w:val="0"/>
        <w:widowControl w:val="0"/>
        <w:numPr>
          <w:ilvl w:val="0"/>
          <w:numId w:val="3"/>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对不同矿种的取制样工具进行统计，汇总为常用尺寸表进行展示；</w:t>
      </w:r>
    </w:p>
    <w:p w14:paraId="6EA5D196">
      <w:pPr>
        <w:pStyle w:val="3"/>
        <w:keepNext w:val="0"/>
        <w:keepLines w:val="0"/>
        <w:pageBreakBefore w:val="0"/>
        <w:widowControl w:val="0"/>
        <w:numPr>
          <w:ilvl w:val="0"/>
          <w:numId w:val="3"/>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调整术语，将“3.11 试样的兼用”和“3.12 试样的重用”调整为“3.11 兼用试样”和“3.12 重用试样”</w:t>
      </w:r>
    </w:p>
    <w:p w14:paraId="17C6292B">
      <w:pPr>
        <w:pStyle w:val="3"/>
        <w:keepNext w:val="0"/>
        <w:keepLines w:val="0"/>
        <w:pageBreakBefore w:val="0"/>
        <w:widowControl w:val="0"/>
        <w:numPr>
          <w:ilvl w:val="0"/>
          <w:numId w:val="3"/>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5.5.3 货车取样法</w:t>
      </w:r>
      <w:r>
        <w:rPr>
          <w:rFonts w:hint="eastAsia" w:ascii="Times New Roman" w:hAnsi="Times New Roman" w:cs="Times New Roman" w:eastAsiaTheme="minorEastAsia"/>
          <w:color w:val="auto"/>
          <w:kern w:val="2"/>
          <w:sz w:val="21"/>
          <w:szCs w:val="21"/>
          <w:lang w:val="en-US" w:eastAsia="zh-CN"/>
        </w:rPr>
        <w:t>中删除了“扒去表层30mm~50mm”的描述；</w:t>
      </w:r>
    </w:p>
    <w:p w14:paraId="7D3AE0D9">
      <w:pPr>
        <w:pStyle w:val="3"/>
        <w:keepNext w:val="0"/>
        <w:keepLines w:val="0"/>
        <w:pageBreakBefore w:val="0"/>
        <w:widowControl w:val="0"/>
        <w:numPr>
          <w:ilvl w:val="0"/>
          <w:numId w:val="3"/>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7.2.1 水分测定设备</w:t>
      </w:r>
      <w:r>
        <w:rPr>
          <w:rFonts w:hint="eastAsia" w:ascii="Times New Roman" w:hAnsi="Times New Roman" w:cs="Times New Roman" w:eastAsiaTheme="minorEastAsia"/>
          <w:color w:val="auto"/>
          <w:kern w:val="2"/>
          <w:sz w:val="21"/>
          <w:szCs w:val="21"/>
          <w:lang w:val="en-US" w:eastAsia="zh-CN"/>
        </w:rPr>
        <w:t>中“电子天平：感量不小于0.01g。”调整为“电子天平：感量小于等于0.01g。”；</w:t>
      </w:r>
    </w:p>
    <w:p w14:paraId="487C076D">
      <w:pPr>
        <w:pStyle w:val="3"/>
        <w:keepNext w:val="0"/>
        <w:keepLines w:val="0"/>
        <w:pageBreakBefore w:val="0"/>
        <w:widowControl w:val="0"/>
        <w:numPr>
          <w:ilvl w:val="0"/>
          <w:numId w:val="3"/>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7.5.2 水分计算</w:t>
      </w:r>
      <w:r>
        <w:rPr>
          <w:rFonts w:hint="eastAsia" w:ascii="Times New Roman" w:hAnsi="Times New Roman" w:cs="Times New Roman" w:eastAsiaTheme="minorEastAsia"/>
          <w:color w:val="auto"/>
          <w:kern w:val="2"/>
          <w:sz w:val="21"/>
          <w:szCs w:val="21"/>
          <w:lang w:val="en-US" w:eastAsia="zh-CN"/>
        </w:rPr>
        <w:t>中“若超过则将样品再次烘4小时”调整为2小时；</w:t>
      </w:r>
    </w:p>
    <w:p w14:paraId="07151231">
      <w:pPr>
        <w:pStyle w:val="3"/>
        <w:keepNext w:val="0"/>
        <w:keepLines w:val="0"/>
        <w:pageBreakBefore w:val="0"/>
        <w:widowControl w:val="0"/>
        <w:numPr>
          <w:ilvl w:val="0"/>
          <w:numId w:val="3"/>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4.8 如因条件限制，可适当变更取样方法。</w:t>
      </w:r>
      <w:r>
        <w:rPr>
          <w:rFonts w:hint="eastAsia" w:ascii="Times New Roman" w:hAnsi="Times New Roman" w:cs="Times New Roman" w:eastAsiaTheme="minorEastAsia"/>
          <w:color w:val="auto"/>
          <w:kern w:val="2"/>
          <w:sz w:val="21"/>
          <w:szCs w:val="21"/>
          <w:lang w:val="en-US" w:eastAsia="zh-CN"/>
        </w:rPr>
        <w:t>中增加“（场地受限、矿粉冻结等）”等具体限制描述；</w:t>
      </w:r>
    </w:p>
    <w:p w14:paraId="46B48BE5">
      <w:pPr>
        <w:pStyle w:val="3"/>
        <w:keepNext w:val="0"/>
        <w:keepLines w:val="0"/>
        <w:pageBreakBefore w:val="0"/>
        <w:kinsoku/>
        <w:wordWrap/>
        <w:overflowPunct/>
        <w:topLinePunct w:val="0"/>
        <w:bidi w:val="0"/>
        <w:spacing w:beforeAutospacing="0" w:after="0" w:afterAutospacing="0"/>
        <w:rPr>
          <w:rFonts w:hint="eastAsia" w:hAnsi="黑体" w:cs="黑体" w:eastAsiaTheme="minorEastAsia"/>
          <w:bCs w:val="0"/>
          <w:color w:val="auto"/>
          <w:szCs w:val="21"/>
          <w:lang w:val="en-US" w:eastAsia="zh-CN"/>
        </w:rPr>
      </w:pPr>
      <w:r>
        <w:rPr>
          <w:rFonts w:hint="eastAsia" w:ascii="黑体" w:hAnsi="黑体" w:eastAsia="黑体" w:cs="黑体"/>
          <w:color w:val="auto"/>
          <w:kern w:val="0"/>
          <w:szCs w:val="21"/>
        </w:rPr>
        <w:t>1.4.3</w:t>
      </w:r>
      <w:r>
        <w:rPr>
          <w:rFonts w:hint="eastAsia" w:ascii="黑体" w:hAnsi="黑体" w:eastAsia="黑体" w:cs="黑体"/>
          <w:color w:val="auto"/>
          <w:kern w:val="0"/>
          <w:szCs w:val="21"/>
          <w:lang w:val="en-US" w:eastAsia="zh-CN"/>
        </w:rPr>
        <w:t>.4  第三次工作会议</w:t>
      </w:r>
    </w:p>
    <w:p w14:paraId="4BEAB7D0">
      <w:pPr>
        <w:keepNext w:val="0"/>
        <w:keepLines w:val="0"/>
        <w:pageBreakBefore w:val="0"/>
        <w:widowControl w:val="0"/>
        <w:tabs>
          <w:tab w:val="left" w:pos="5400"/>
        </w:tabs>
        <w:kinsoku/>
        <w:wordWrap/>
        <w:overflowPunct/>
        <w:topLinePunct w:val="0"/>
        <w:autoSpaceDE/>
        <w:autoSpaceDN/>
        <w:bidi w:val="0"/>
        <w:adjustRightInd/>
        <w:snapToGrid/>
        <w:spacing w:beforeAutospacing="0" w:afterAutospacing="0" w:line="24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项目于2026年4月22日-24日在重庆召开了第三次工作会议。与会代表对标准草案和编制说明材料进行了讨论，本次会议会上主要意见如下：</w:t>
      </w:r>
    </w:p>
    <w:p w14:paraId="7A649E89">
      <w:pPr>
        <w:pStyle w:val="3"/>
        <w:keepNext w:val="0"/>
        <w:keepLines w:val="0"/>
        <w:pageBreakBefore w:val="0"/>
        <w:widowControl w:val="0"/>
        <w:numPr>
          <w:ilvl w:val="0"/>
          <w:numId w:val="4"/>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eastAsia" w:ascii="宋体" w:hAnsi="宋体" w:eastAsia="宋体" w:cs="宋体"/>
          <w:color w:val="auto"/>
          <w:sz w:val="21"/>
          <w:szCs w:val="21"/>
          <w:highlight w:val="none"/>
          <w:lang w:val="en-US" w:eastAsia="zh-CN"/>
        </w:rPr>
        <w:t>增加锑精矿相关内容，单独列出与其他各金属并列</w:t>
      </w:r>
      <w:r>
        <w:rPr>
          <w:rFonts w:hint="eastAsia" w:ascii="Times New Roman" w:hAnsi="Times New Roman" w:cs="Times New Roman" w:eastAsiaTheme="minorEastAsia"/>
          <w:color w:val="auto"/>
          <w:kern w:val="2"/>
          <w:sz w:val="21"/>
          <w:szCs w:val="21"/>
          <w:lang w:val="en-US" w:eastAsia="zh-CN"/>
        </w:rPr>
        <w:t>；</w:t>
      </w:r>
    </w:p>
    <w:p w14:paraId="529DA215">
      <w:pPr>
        <w:pStyle w:val="3"/>
        <w:keepNext w:val="0"/>
        <w:keepLines w:val="0"/>
        <w:pageBreakBefore w:val="0"/>
        <w:widowControl w:val="0"/>
        <w:numPr>
          <w:ilvl w:val="0"/>
          <w:numId w:val="4"/>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参照国际标准以及日常用语习惯，再次对术语内容进行调整；</w:t>
      </w:r>
    </w:p>
    <w:p w14:paraId="72598F61">
      <w:pPr>
        <w:pStyle w:val="3"/>
        <w:keepNext w:val="0"/>
        <w:keepLines w:val="0"/>
        <w:pageBreakBefore w:val="0"/>
        <w:widowControl w:val="0"/>
        <w:numPr>
          <w:ilvl w:val="0"/>
          <w:numId w:val="4"/>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新增GB/T 8170《数值修约规则与极限数值的表示和判定》作为规范性引用文件，并删除了“本文件没有参考文件”的表述。</w:t>
      </w:r>
    </w:p>
    <w:p w14:paraId="6F80FFE7">
      <w:pPr>
        <w:pStyle w:val="3"/>
        <w:keepNext w:val="0"/>
        <w:keepLines w:val="0"/>
        <w:pageBreakBefore w:val="0"/>
        <w:widowControl w:val="0"/>
        <w:numPr>
          <w:ilvl w:val="0"/>
          <w:numId w:val="4"/>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将5.5取样方法细分为“按取样方式划分”和“按装运方式划分”；</w:t>
      </w:r>
    </w:p>
    <w:p w14:paraId="3482FEA8">
      <w:pPr>
        <w:pStyle w:val="3"/>
        <w:keepNext w:val="0"/>
        <w:keepLines w:val="0"/>
        <w:pageBreakBefore w:val="0"/>
        <w:widowControl w:val="0"/>
        <w:numPr>
          <w:ilvl w:val="0"/>
          <w:numId w:val="4"/>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在袋装取样法中增加了</w:t>
      </w:r>
      <w:r>
        <w:rPr>
          <w:rFonts w:hint="eastAsia" w:ascii="Times New Roman" w:hAnsi="Times New Roman" w:cs="Times New Roman" w:eastAsiaTheme="minorEastAsia"/>
          <w:color w:val="auto"/>
          <w:kern w:val="2"/>
          <w:sz w:val="21"/>
          <w:szCs w:val="21"/>
          <w:lang w:val="en-US" w:eastAsia="zh-CN"/>
        </w:rPr>
        <w:t>冻矿取样的相关描述；</w:t>
      </w:r>
    </w:p>
    <w:p w14:paraId="0D20B55B">
      <w:pPr>
        <w:pStyle w:val="3"/>
        <w:keepNext w:val="0"/>
        <w:keepLines w:val="0"/>
        <w:pageBreakBefore w:val="0"/>
        <w:widowControl w:val="0"/>
        <w:numPr>
          <w:ilvl w:val="0"/>
          <w:numId w:val="4"/>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手工研磨方法中增加了</w:t>
      </w:r>
      <w:r>
        <w:rPr>
          <w:rFonts w:hint="eastAsia" w:ascii="Times New Roman" w:hAnsi="Times New Roman" w:cs="Times New Roman" w:eastAsiaTheme="minorEastAsia"/>
          <w:color w:val="auto"/>
          <w:kern w:val="2"/>
          <w:sz w:val="21"/>
          <w:szCs w:val="21"/>
          <w:lang w:val="en-US" w:eastAsia="zh-CN"/>
        </w:rPr>
        <w:t>使用</w:t>
      </w:r>
      <w:r>
        <w:rPr>
          <w:rFonts w:hint="default" w:ascii="Times New Roman" w:hAnsi="Times New Roman" w:cs="Times New Roman" w:eastAsiaTheme="minorEastAsia"/>
          <w:color w:val="auto"/>
          <w:kern w:val="2"/>
          <w:sz w:val="21"/>
          <w:szCs w:val="21"/>
          <w:lang w:val="en-US" w:eastAsia="zh-CN"/>
        </w:rPr>
        <w:t>研钵</w:t>
      </w:r>
      <w:r>
        <w:rPr>
          <w:rFonts w:hint="eastAsia" w:ascii="Times New Roman" w:hAnsi="Times New Roman" w:cs="Times New Roman" w:eastAsiaTheme="minorEastAsia"/>
          <w:color w:val="auto"/>
          <w:kern w:val="2"/>
          <w:sz w:val="21"/>
          <w:szCs w:val="21"/>
          <w:lang w:val="en-US" w:eastAsia="zh-CN"/>
        </w:rPr>
        <w:t>的方法描述；</w:t>
      </w:r>
    </w:p>
    <w:p w14:paraId="0D4E7900">
      <w:pPr>
        <w:pStyle w:val="3"/>
        <w:keepNext w:val="0"/>
        <w:keepLines w:val="0"/>
        <w:pageBreakBefore w:val="0"/>
        <w:widowControl w:val="0"/>
        <w:numPr>
          <w:ilvl w:val="0"/>
          <w:numId w:val="4"/>
        </w:numPr>
        <w:kinsoku/>
        <w:wordWrap/>
        <w:overflowPunct/>
        <w:topLinePunct w:val="0"/>
        <w:autoSpaceDE/>
        <w:autoSpaceDN/>
        <w:bidi w:val="0"/>
        <w:adjustRightInd/>
        <w:snapToGrid/>
        <w:spacing w:beforeAutospacing="0" w:after="0" w:afterAutospacing="0"/>
        <w:ind w:left="0" w:leftChars="0" w:firstLine="420" w:firstLineChars="200"/>
        <w:textAlignment w:val="auto"/>
        <w:rPr>
          <w:rFonts w:hint="default"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制样流程图按会议总结为三种，并增加不同物料的过筛要求。</w:t>
      </w:r>
    </w:p>
    <w:p w14:paraId="0ED66DF1">
      <w:pPr>
        <w:pStyle w:val="3"/>
        <w:keepNext w:val="0"/>
        <w:keepLines w:val="0"/>
        <w:pageBreakBefore w:val="0"/>
        <w:kinsoku/>
        <w:wordWrap/>
        <w:overflowPunct/>
        <w:topLinePunct w:val="0"/>
        <w:bidi w:val="0"/>
        <w:spacing w:beforeAutospacing="0" w:after="0" w:afterAutospacing="0"/>
        <w:rPr>
          <w:rFonts w:ascii="黑体" w:hAnsi="黑体" w:eastAsia="黑体" w:cs="黑体"/>
          <w:color w:val="auto"/>
          <w:kern w:val="0"/>
          <w:szCs w:val="21"/>
        </w:rPr>
      </w:pPr>
      <w:r>
        <w:rPr>
          <w:rFonts w:hint="eastAsia" w:ascii="黑体" w:hAnsi="黑体" w:eastAsia="黑体" w:cs="黑体"/>
          <w:color w:val="auto"/>
          <w:kern w:val="0"/>
          <w:szCs w:val="21"/>
        </w:rPr>
        <w:t>1.4.4</w:t>
      </w:r>
      <w:r>
        <w:rPr>
          <w:rFonts w:hint="eastAsia" w:ascii="黑体" w:hAnsi="黑体" w:eastAsia="黑体" w:cs="黑体"/>
          <w:color w:val="auto"/>
          <w:kern w:val="0"/>
          <w:szCs w:val="21"/>
          <w:lang w:val="en-US" w:eastAsia="zh-CN"/>
        </w:rPr>
        <w:t xml:space="preserve">  </w:t>
      </w:r>
      <w:r>
        <w:rPr>
          <w:rFonts w:hint="eastAsia" w:ascii="黑体" w:hAnsi="黑体" w:eastAsia="黑体" w:cs="黑体"/>
          <w:color w:val="auto"/>
          <w:kern w:val="0"/>
          <w:szCs w:val="21"/>
        </w:rPr>
        <w:t>征求意见阶段</w:t>
      </w:r>
    </w:p>
    <w:p w14:paraId="045866DF">
      <w:pPr>
        <w:pStyle w:val="3"/>
        <w:keepNext w:val="0"/>
        <w:keepLines w:val="0"/>
        <w:pageBreakBefore w:val="0"/>
        <w:kinsoku/>
        <w:wordWrap/>
        <w:overflowPunct/>
        <w:topLinePunct w:val="0"/>
        <w:bidi w:val="0"/>
        <w:spacing w:beforeAutospacing="0" w:after="0" w:afterAutospacing="0" w:line="240" w:lineRule="auto"/>
        <w:ind w:firstLine="420" w:firstLineChars="200"/>
        <w:rPr>
          <w:rFonts w:hint="eastAsia" w:hAnsi="黑体" w:cs="黑体" w:eastAsiaTheme="minorEastAsia"/>
          <w:color w:val="auto"/>
          <w:szCs w:val="21"/>
        </w:rPr>
      </w:pPr>
      <w:r>
        <w:rPr>
          <w:rFonts w:hint="eastAsia" w:hAnsi="黑体" w:cs="黑体" w:eastAsiaTheme="minorEastAsia"/>
          <w:color w:val="auto"/>
          <w:szCs w:val="21"/>
        </w:rPr>
        <w:t>标准验证期间发送《征求意见稿》及《编制说明》</w:t>
      </w:r>
      <w:r>
        <w:rPr>
          <w:rFonts w:hint="eastAsia" w:hAnsi="黑体" w:cs="黑体" w:eastAsiaTheme="minorEastAsia"/>
          <w:color w:val="auto"/>
          <w:szCs w:val="21"/>
          <w:lang w:val="en-US" w:eastAsia="zh-CN"/>
        </w:rPr>
        <w:t>至13</w:t>
      </w:r>
      <w:r>
        <w:rPr>
          <w:rFonts w:hint="eastAsia" w:hAnsi="黑体" w:cs="黑体" w:eastAsiaTheme="minorEastAsia"/>
          <w:color w:val="auto"/>
          <w:szCs w:val="21"/>
        </w:rPr>
        <w:t>家单位。回函并有建议或意见的单位数</w:t>
      </w:r>
      <w:r>
        <w:rPr>
          <w:rFonts w:hint="eastAsia" w:hAnsi="黑体" w:cs="黑体" w:eastAsiaTheme="minorEastAsia"/>
          <w:color w:val="auto"/>
          <w:szCs w:val="21"/>
          <w:lang w:val="en-US" w:eastAsia="zh-CN"/>
        </w:rPr>
        <w:t>8</w:t>
      </w:r>
      <w:r>
        <w:rPr>
          <w:rFonts w:hint="eastAsia" w:hAnsi="黑体" w:cs="黑体" w:eastAsiaTheme="minorEastAsia"/>
          <w:color w:val="auto"/>
          <w:szCs w:val="21"/>
        </w:rPr>
        <w:t>个，回函没有意见的单位数</w:t>
      </w:r>
      <w:r>
        <w:rPr>
          <w:rFonts w:hint="eastAsia" w:hAnsi="黑体" w:cs="黑体" w:eastAsiaTheme="minorEastAsia"/>
          <w:color w:val="auto"/>
          <w:szCs w:val="21"/>
          <w:lang w:val="en-US" w:eastAsia="zh-CN"/>
        </w:rPr>
        <w:t>5</w:t>
      </w:r>
      <w:r>
        <w:rPr>
          <w:rFonts w:hint="eastAsia" w:hAnsi="黑体" w:cs="黑体" w:eastAsiaTheme="minorEastAsia"/>
          <w:color w:val="auto"/>
          <w:szCs w:val="21"/>
        </w:rPr>
        <w:t>个；没有回函的单位数</w:t>
      </w:r>
      <w:r>
        <w:rPr>
          <w:rFonts w:hint="eastAsia" w:hAnsi="黑体" w:cs="黑体" w:eastAsiaTheme="minorEastAsia"/>
          <w:color w:val="auto"/>
          <w:szCs w:val="21"/>
          <w:lang w:val="en-US" w:eastAsia="zh-CN"/>
        </w:rPr>
        <w:t>0</w:t>
      </w:r>
      <w:r>
        <w:rPr>
          <w:rFonts w:hint="eastAsia" w:hAnsi="黑体" w:cs="黑体" w:eastAsiaTheme="minorEastAsia"/>
          <w:color w:val="auto"/>
          <w:szCs w:val="21"/>
        </w:rPr>
        <w:t>个。编制组根据回函意见，经讨论研究，提出来具体的修改意见和采纳情况</w:t>
      </w:r>
      <w:r>
        <w:rPr>
          <w:rFonts w:hint="eastAsia" w:hAnsi="黑体" w:cs="黑体" w:eastAsiaTheme="minorEastAsia"/>
          <w:color w:val="auto"/>
          <w:szCs w:val="21"/>
          <w:u w:val="none"/>
          <w:lang w:eastAsia="zh-CN"/>
        </w:rPr>
        <w:t>，</w:t>
      </w:r>
      <w:r>
        <w:rPr>
          <w:rFonts w:hint="eastAsia" w:hAnsi="黑体" w:cs="黑体" w:eastAsiaTheme="minorEastAsia"/>
          <w:color w:val="auto"/>
          <w:szCs w:val="21"/>
          <w:u w:val="none"/>
          <w:lang w:val="en-US" w:eastAsia="zh-CN"/>
        </w:rPr>
        <w:t>汇总成《征求意见稿意见汇总处理表》如下</w:t>
      </w:r>
      <w:r>
        <w:rPr>
          <w:rFonts w:hint="eastAsia" w:hAnsi="黑体" w:cs="黑体" w:eastAsiaTheme="minorEastAsia"/>
          <w:color w:val="auto"/>
          <w:szCs w:val="21"/>
        </w:rPr>
        <w:t>，于 202</w:t>
      </w:r>
      <w:r>
        <w:rPr>
          <w:rFonts w:hint="eastAsia" w:hAnsi="黑体" w:cs="黑体" w:eastAsiaTheme="minorEastAsia"/>
          <w:color w:val="auto"/>
          <w:szCs w:val="21"/>
          <w:lang w:eastAsia="zh-CN"/>
        </w:rPr>
        <w:t>X</w:t>
      </w:r>
      <w:r>
        <w:rPr>
          <w:rFonts w:hint="eastAsia" w:hAnsi="黑体" w:cs="黑体" w:eastAsiaTheme="minorEastAsia"/>
          <w:color w:val="auto"/>
          <w:szCs w:val="21"/>
        </w:rPr>
        <w:t>年</w:t>
      </w:r>
      <w:r>
        <w:rPr>
          <w:rFonts w:hint="eastAsia" w:hAnsi="黑体" w:cs="黑体" w:eastAsiaTheme="minorEastAsia"/>
          <w:color w:val="auto"/>
          <w:szCs w:val="21"/>
          <w:lang w:val="en-US" w:eastAsia="zh-CN"/>
        </w:rPr>
        <w:t>6</w:t>
      </w:r>
      <w:r>
        <w:rPr>
          <w:rFonts w:hint="eastAsia" w:hAnsi="黑体" w:cs="黑体" w:eastAsiaTheme="minorEastAsia"/>
          <w:color w:val="auto"/>
          <w:szCs w:val="21"/>
        </w:rPr>
        <w:t>月形成本标准《送审稿》及《编制说明》。</w:t>
      </w:r>
    </w:p>
    <w:tbl>
      <w:tblPr>
        <w:tblStyle w:val="10"/>
        <w:tblW w:w="89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952"/>
        <w:gridCol w:w="2847"/>
        <w:gridCol w:w="1465"/>
        <w:gridCol w:w="1496"/>
        <w:gridCol w:w="1769"/>
      </w:tblGrid>
      <w:tr w14:paraId="1B32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462" w:type="dxa"/>
            <w:noWrap w:val="0"/>
            <w:vAlign w:val="center"/>
          </w:tcPr>
          <w:p w14:paraId="5A6DFB5D">
            <w:pPr>
              <w:spacing w:line="360" w:lineRule="exact"/>
              <w:jc w:val="center"/>
              <w:rPr>
                <w:rFonts w:ascii="宋体" w:hAnsi="宋体"/>
                <w:b/>
                <w:szCs w:val="21"/>
              </w:rPr>
            </w:pPr>
            <w:r>
              <w:rPr>
                <w:rFonts w:hint="eastAsia" w:ascii="宋体" w:hAnsi="宋体"/>
                <w:b/>
                <w:szCs w:val="21"/>
              </w:rPr>
              <w:t>序号</w:t>
            </w:r>
          </w:p>
        </w:tc>
        <w:tc>
          <w:tcPr>
            <w:tcW w:w="952" w:type="dxa"/>
            <w:noWrap w:val="0"/>
            <w:vAlign w:val="center"/>
          </w:tcPr>
          <w:p w14:paraId="4FD1E643">
            <w:pPr>
              <w:spacing w:line="360" w:lineRule="exact"/>
              <w:jc w:val="center"/>
              <w:rPr>
                <w:rFonts w:ascii="宋体" w:hAnsi="宋体"/>
                <w:b/>
                <w:szCs w:val="21"/>
              </w:rPr>
            </w:pPr>
            <w:r>
              <w:rPr>
                <w:rFonts w:hint="eastAsia" w:ascii="宋体" w:hAnsi="宋体"/>
                <w:b/>
                <w:szCs w:val="21"/>
              </w:rPr>
              <w:t>标准章条编号</w:t>
            </w:r>
          </w:p>
        </w:tc>
        <w:tc>
          <w:tcPr>
            <w:tcW w:w="2847" w:type="dxa"/>
            <w:noWrap w:val="0"/>
            <w:vAlign w:val="center"/>
          </w:tcPr>
          <w:p w14:paraId="471A22E1">
            <w:pPr>
              <w:spacing w:line="360" w:lineRule="exact"/>
              <w:jc w:val="center"/>
              <w:rPr>
                <w:rFonts w:ascii="宋体" w:hAnsi="宋体"/>
                <w:b/>
                <w:szCs w:val="21"/>
              </w:rPr>
            </w:pPr>
            <w:r>
              <w:rPr>
                <w:rFonts w:hint="eastAsia" w:ascii="宋体" w:hAnsi="宋体"/>
                <w:b/>
                <w:szCs w:val="21"/>
              </w:rPr>
              <w:t>意见内容</w:t>
            </w:r>
          </w:p>
        </w:tc>
        <w:tc>
          <w:tcPr>
            <w:tcW w:w="1465" w:type="dxa"/>
            <w:noWrap w:val="0"/>
            <w:vAlign w:val="center"/>
          </w:tcPr>
          <w:p w14:paraId="787B4633">
            <w:pPr>
              <w:spacing w:line="360" w:lineRule="exact"/>
              <w:jc w:val="center"/>
              <w:rPr>
                <w:rFonts w:ascii="宋体" w:hAnsi="宋体"/>
                <w:b/>
                <w:szCs w:val="21"/>
              </w:rPr>
            </w:pPr>
            <w:r>
              <w:rPr>
                <w:rFonts w:hint="eastAsia" w:ascii="宋体" w:hAnsi="宋体"/>
                <w:b/>
                <w:szCs w:val="21"/>
              </w:rPr>
              <w:t>提出单位</w:t>
            </w:r>
          </w:p>
        </w:tc>
        <w:tc>
          <w:tcPr>
            <w:tcW w:w="1496" w:type="dxa"/>
            <w:noWrap w:val="0"/>
            <w:vAlign w:val="center"/>
          </w:tcPr>
          <w:p w14:paraId="1F7374EB">
            <w:pPr>
              <w:spacing w:line="360" w:lineRule="exact"/>
              <w:jc w:val="center"/>
              <w:rPr>
                <w:rFonts w:ascii="宋体" w:hAnsi="宋体"/>
                <w:b/>
                <w:szCs w:val="21"/>
              </w:rPr>
            </w:pPr>
            <w:r>
              <w:rPr>
                <w:rFonts w:hint="eastAsia" w:ascii="宋体" w:hAnsi="宋体"/>
                <w:b/>
                <w:szCs w:val="21"/>
              </w:rPr>
              <w:t>处理意见</w:t>
            </w:r>
          </w:p>
        </w:tc>
        <w:tc>
          <w:tcPr>
            <w:tcW w:w="1769" w:type="dxa"/>
            <w:noWrap w:val="0"/>
            <w:vAlign w:val="center"/>
          </w:tcPr>
          <w:p w14:paraId="3A8DCE13">
            <w:pPr>
              <w:spacing w:line="360" w:lineRule="exact"/>
              <w:jc w:val="center"/>
              <w:rPr>
                <w:rFonts w:ascii="宋体" w:hAnsi="宋体"/>
                <w:b/>
                <w:szCs w:val="21"/>
              </w:rPr>
            </w:pPr>
            <w:r>
              <w:rPr>
                <w:rFonts w:hint="eastAsia" w:ascii="宋体" w:hAnsi="宋体"/>
                <w:b/>
                <w:szCs w:val="21"/>
              </w:rPr>
              <w:t>备注</w:t>
            </w:r>
          </w:p>
        </w:tc>
      </w:tr>
      <w:tr w14:paraId="60A8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37452878">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0EDA471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6.4.1</w:t>
            </w:r>
          </w:p>
        </w:tc>
        <w:tc>
          <w:tcPr>
            <w:tcW w:w="2847" w:type="dxa"/>
            <w:shd w:val="clear" w:color="auto" w:fill="auto"/>
            <w:noWrap w:val="0"/>
            <w:vAlign w:val="center"/>
          </w:tcPr>
          <w:p w14:paraId="0AB27A0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“对于难以破碎的样品通常在成分上与样品的其余部分不同，不能轻易地混合回样品中。”中“其余部分”建议修改为“组成成分”，“回”修改为“到”。</w:t>
            </w:r>
          </w:p>
        </w:tc>
        <w:tc>
          <w:tcPr>
            <w:tcW w:w="1465" w:type="dxa"/>
            <w:shd w:val="clear" w:color="auto" w:fill="auto"/>
            <w:noWrap w:val="0"/>
            <w:vAlign w:val="center"/>
          </w:tcPr>
          <w:p w14:paraId="732FCCE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侯马北铜铜业有限公司</w:t>
            </w:r>
          </w:p>
        </w:tc>
        <w:tc>
          <w:tcPr>
            <w:tcW w:w="1496" w:type="dxa"/>
            <w:shd w:val="clear" w:color="auto" w:fill="auto"/>
            <w:noWrap w:val="0"/>
            <w:vAlign w:val="center"/>
          </w:tcPr>
          <w:p w14:paraId="4830987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不采纳</w:t>
            </w:r>
          </w:p>
        </w:tc>
        <w:tc>
          <w:tcPr>
            <w:tcW w:w="1769" w:type="dxa"/>
            <w:shd w:val="clear" w:color="auto" w:fill="auto"/>
            <w:noWrap w:val="0"/>
            <w:vAlign w:val="center"/>
          </w:tcPr>
          <w:p w14:paraId="30B94D9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修改为“对于难以破碎的样品（筛上物）不能轻易地混合回样品中。”优化描述。</w:t>
            </w:r>
          </w:p>
        </w:tc>
      </w:tr>
      <w:tr w14:paraId="693F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6FD72BBE">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64E2A19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6.4.1.2</w:t>
            </w:r>
          </w:p>
        </w:tc>
        <w:tc>
          <w:tcPr>
            <w:tcW w:w="2847" w:type="dxa"/>
            <w:shd w:val="clear" w:color="auto" w:fill="auto"/>
            <w:noWrap w:val="0"/>
            <w:vAlign w:val="center"/>
          </w:tcPr>
          <w:p w14:paraId="0EF988CA">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“使其全量达到粒度要求。”中“其”修改为“试样”。</w:t>
            </w:r>
          </w:p>
        </w:tc>
        <w:tc>
          <w:tcPr>
            <w:tcW w:w="1465" w:type="dxa"/>
            <w:shd w:val="clear" w:color="auto" w:fill="auto"/>
            <w:noWrap w:val="0"/>
            <w:vAlign w:val="center"/>
          </w:tcPr>
          <w:p w14:paraId="7B7EC80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侯马北铜铜业有限公司</w:t>
            </w:r>
          </w:p>
        </w:tc>
        <w:tc>
          <w:tcPr>
            <w:tcW w:w="1496" w:type="dxa"/>
            <w:shd w:val="clear" w:color="auto" w:fill="auto"/>
            <w:noWrap w:val="0"/>
            <w:vAlign w:val="center"/>
          </w:tcPr>
          <w:p w14:paraId="1EB927F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072D6404">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类似语境内，标准基本都采用了“试样”，未用“其”来做指代，同时将6.4.1.4中，</w:t>
            </w:r>
            <w:r>
              <w:rPr>
                <w:rFonts w:hint="eastAsia" w:hAnsi="黑体" w:cs="黑体" w:eastAsiaTheme="minorEastAsia"/>
                <w:color w:val="auto"/>
                <w:szCs w:val="21"/>
              </w:rPr>
              <w:t>待制样品</w:t>
            </w:r>
            <w:r>
              <w:rPr>
                <w:rFonts w:hint="eastAsia" w:hAnsi="黑体" w:cs="黑体" w:eastAsiaTheme="minorEastAsia"/>
                <w:color w:val="auto"/>
                <w:szCs w:val="21"/>
                <w:lang w:val="en-US" w:eastAsia="zh-CN"/>
              </w:rPr>
              <w:t>也改为“试样”</w:t>
            </w:r>
          </w:p>
        </w:tc>
      </w:tr>
      <w:tr w14:paraId="648A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69185A89">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07ED5B9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5.1</w:t>
            </w:r>
          </w:p>
        </w:tc>
        <w:tc>
          <w:tcPr>
            <w:tcW w:w="2847" w:type="dxa"/>
            <w:shd w:val="clear" w:color="auto" w:fill="auto"/>
            <w:noWrap w:val="0"/>
            <w:vAlign w:val="center"/>
          </w:tcPr>
          <w:p w14:paraId="6DEAF797">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hAnsi="黑体" w:cs="黑体" w:eastAsiaTheme="minorEastAsia"/>
                <w:color w:val="auto"/>
                <w:szCs w:val="21"/>
                <w:lang w:val="en-US" w:eastAsia="zh-CN"/>
              </w:rPr>
            </w:pPr>
            <w:r>
              <w:rPr>
                <w:rFonts w:hint="eastAsia" w:hAnsi="黑体" w:cs="黑体" w:eastAsiaTheme="minorEastAsia"/>
                <w:color w:val="auto"/>
                <w:szCs w:val="21"/>
                <w:lang w:val="en-US" w:eastAsia="zh-CN"/>
              </w:rPr>
              <w:t>建议增加取样工具：钢镐，电动螺旋杆钻。</w:t>
            </w:r>
          </w:p>
          <w:p w14:paraId="7D4B71E3">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p>
        </w:tc>
        <w:tc>
          <w:tcPr>
            <w:tcW w:w="1465" w:type="dxa"/>
            <w:shd w:val="clear" w:color="auto" w:fill="auto"/>
            <w:noWrap w:val="0"/>
            <w:vAlign w:val="center"/>
          </w:tcPr>
          <w:p w14:paraId="6F4FAA1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宏跃北方铜业</w:t>
            </w:r>
          </w:p>
        </w:tc>
        <w:tc>
          <w:tcPr>
            <w:tcW w:w="1496" w:type="dxa"/>
            <w:shd w:val="clear" w:color="auto" w:fill="auto"/>
            <w:noWrap w:val="0"/>
            <w:vAlign w:val="center"/>
          </w:tcPr>
          <w:p w14:paraId="1E6AFEA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36854B3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取样工具：电动螺旋杆钻是否采纳</w:t>
            </w:r>
          </w:p>
        </w:tc>
      </w:tr>
      <w:tr w14:paraId="1261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2EC770EA">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004731C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5.1.1.1</w:t>
            </w:r>
          </w:p>
        </w:tc>
        <w:tc>
          <w:tcPr>
            <w:tcW w:w="2847" w:type="dxa"/>
            <w:shd w:val="clear" w:color="auto" w:fill="auto"/>
            <w:noWrap w:val="0"/>
            <w:vAlign w:val="center"/>
          </w:tcPr>
          <w:p w14:paraId="645ADC5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建议增加取样钎规格：长1200mm，开口部分800mm，外径28mm，内径24mm</w:t>
            </w:r>
          </w:p>
        </w:tc>
        <w:tc>
          <w:tcPr>
            <w:tcW w:w="1465" w:type="dxa"/>
            <w:shd w:val="clear" w:color="auto" w:fill="auto"/>
            <w:noWrap w:val="0"/>
            <w:vAlign w:val="center"/>
          </w:tcPr>
          <w:p w14:paraId="29DD830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宏跃北方铜业</w:t>
            </w:r>
          </w:p>
        </w:tc>
        <w:tc>
          <w:tcPr>
            <w:tcW w:w="1496" w:type="dxa"/>
            <w:shd w:val="clear" w:color="auto" w:fill="auto"/>
            <w:noWrap w:val="0"/>
            <w:vAlign w:val="center"/>
          </w:tcPr>
          <w:p w14:paraId="5B35E59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477C7E9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6921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59546B46">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0BD5D63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5.5.</w:t>
            </w:r>
            <w:r>
              <w:rPr>
                <w:rFonts w:hint="eastAsia"/>
                <w:lang w:val="en-US" w:eastAsia="zh-CN"/>
              </w:rPr>
              <w:t>2.1</w:t>
            </w:r>
          </w:p>
        </w:tc>
        <w:tc>
          <w:tcPr>
            <w:tcW w:w="2847" w:type="dxa"/>
            <w:shd w:val="clear" w:color="auto" w:fill="auto"/>
            <w:noWrap w:val="0"/>
            <w:vAlign w:val="center"/>
          </w:tcPr>
          <w:p w14:paraId="2F17BB8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hAnsi="黑体" w:cs="黑体" w:eastAsiaTheme="minorEastAsia"/>
                <w:color w:val="auto"/>
                <w:szCs w:val="21"/>
                <w:lang w:val="en-US" w:eastAsia="zh-CN"/>
              </w:rPr>
            </w:pPr>
            <w:r>
              <w:rPr>
                <w:rFonts w:hint="eastAsia" w:hAnsi="黑体" w:cs="黑体" w:eastAsiaTheme="minorEastAsia"/>
                <w:color w:val="auto"/>
                <w:szCs w:val="21"/>
                <w:lang w:val="en-US" w:eastAsia="zh-CN"/>
              </w:rPr>
              <w:t>锌精矿中含有水份，北方冬季会结冻，使用常规的取样钎取样，不能保证样品的代表性，因此本次修订建议增加结冻矿的取样方法。</w:t>
            </w:r>
          </w:p>
          <w:p w14:paraId="6BC236B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——2010版标准5.5.3 增加：冬季结冻矿取样，精矿到场后，卸到平整场地，摊平为厚度适中的长方体料堆，按表1规定的最少份样数，在矿堆表层均匀布点，或形成高度适中的坡形料堆，按表1规定的最少份样数，沿坡面长度方向等距离分布若干列，每列上中下平均分布三点。取样针垂直插入料层底部，旋转后采取样品，同时，目测块状精矿比例，用钢镐在不同块状精矿采取样品，将上述2部分样品按比例合并。</w:t>
            </w:r>
          </w:p>
        </w:tc>
        <w:tc>
          <w:tcPr>
            <w:tcW w:w="1465" w:type="dxa"/>
            <w:shd w:val="clear" w:color="auto" w:fill="auto"/>
            <w:noWrap w:val="0"/>
            <w:vAlign w:val="center"/>
          </w:tcPr>
          <w:p w14:paraId="7E10EF3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宏跃北方铜业</w:t>
            </w:r>
          </w:p>
        </w:tc>
        <w:tc>
          <w:tcPr>
            <w:tcW w:w="1496" w:type="dxa"/>
            <w:shd w:val="clear" w:color="auto" w:fill="auto"/>
            <w:noWrap w:val="0"/>
            <w:vAlign w:val="center"/>
          </w:tcPr>
          <w:p w14:paraId="00CD8D1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01660987">
            <w:pPr>
              <w:spacing w:line="360" w:lineRule="auto"/>
              <w:rPr>
                <w:rFonts w:hint="default"/>
                <w:lang w:val="en-US"/>
              </w:rPr>
            </w:pPr>
            <w:r>
              <w:rPr>
                <w:rFonts w:hint="eastAsia" w:hAnsi="黑体" w:cs="黑体" w:eastAsiaTheme="minorEastAsia"/>
                <w:color w:val="auto"/>
                <w:szCs w:val="21"/>
                <w:lang w:val="en-US" w:eastAsia="zh-CN"/>
              </w:rPr>
              <w:t>在</w:t>
            </w:r>
            <w:r>
              <w:rPr>
                <w:rFonts w:hint="eastAsia" w:hAnsi="黑体" w:cs="黑体"/>
                <w:color w:val="auto"/>
                <w:szCs w:val="21"/>
                <w:lang w:val="en-US" w:eastAsia="zh-CN"/>
              </w:rPr>
              <w:t>“</w:t>
            </w:r>
            <w:r>
              <w:t>5</w:t>
            </w:r>
            <w:r>
              <w:rPr>
                <w:rFonts w:hint="eastAsia"/>
              </w:rPr>
              <w:t>.5.</w:t>
            </w:r>
            <w:r>
              <w:rPr>
                <w:rFonts w:hint="eastAsia"/>
                <w:lang w:val="en-US" w:eastAsia="zh-CN"/>
              </w:rPr>
              <w:t xml:space="preserve">2.1  </w:t>
            </w:r>
            <w:r>
              <w:rPr>
                <w:rFonts w:hint="eastAsia"/>
              </w:rPr>
              <w:t>货车取样法</w:t>
            </w:r>
            <w:r>
              <w:rPr>
                <w:rFonts w:hint="eastAsia" w:hAnsi="黑体" w:cs="黑体"/>
                <w:color w:val="auto"/>
                <w:szCs w:val="21"/>
                <w:lang w:val="en-US" w:eastAsia="zh-CN"/>
              </w:rPr>
              <w:t>”中增加相关描述</w:t>
            </w:r>
          </w:p>
          <w:p w14:paraId="3149467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52F6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1D5AF34C">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748111C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5.5.</w:t>
            </w:r>
            <w:r>
              <w:rPr>
                <w:rFonts w:hint="eastAsia"/>
                <w:lang w:val="en-US" w:eastAsia="zh-CN"/>
              </w:rPr>
              <w:t>2.2</w:t>
            </w:r>
          </w:p>
        </w:tc>
        <w:tc>
          <w:tcPr>
            <w:tcW w:w="2847" w:type="dxa"/>
            <w:shd w:val="clear" w:color="auto" w:fill="auto"/>
            <w:noWrap w:val="0"/>
            <w:vAlign w:val="center"/>
          </w:tcPr>
          <w:p w14:paraId="4E67508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hAnsi="黑体" w:cs="黑体" w:eastAsiaTheme="minorEastAsia"/>
                <w:color w:val="auto"/>
                <w:szCs w:val="21"/>
                <w:lang w:val="en-US" w:eastAsia="zh-CN"/>
              </w:rPr>
            </w:pPr>
            <w:r>
              <w:rPr>
                <w:rFonts w:hint="eastAsia" w:hAnsi="黑体" w:cs="黑体" w:eastAsiaTheme="minorEastAsia"/>
                <w:color w:val="auto"/>
                <w:szCs w:val="21"/>
                <w:lang w:val="en-US" w:eastAsia="zh-CN"/>
              </w:rPr>
              <w:t>——2010版标准5.5.4 “袋装精矿的取样，应在装入或倾倒时进行。但如果取样钎能穿透包装袋取到完整的样品，可用取样钎直接从袋中取样。”修改为：</w:t>
            </w:r>
          </w:p>
          <w:p w14:paraId="532AF83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hAnsi="黑体" w:cs="黑体" w:eastAsiaTheme="minorEastAsia"/>
                <w:color w:val="auto"/>
                <w:szCs w:val="21"/>
                <w:lang w:val="en-US" w:eastAsia="zh-CN"/>
              </w:rPr>
            </w:pPr>
            <w:r>
              <w:rPr>
                <w:rFonts w:hint="eastAsia" w:hAnsi="黑体" w:cs="黑体" w:eastAsiaTheme="minorEastAsia"/>
                <w:color w:val="auto"/>
                <w:szCs w:val="21"/>
                <w:lang w:val="en-US" w:eastAsia="zh-CN"/>
              </w:rPr>
              <w:t>袋装精矿的取样，宜在装入或倾倒时进行。取样钎能穿透包装袋取到完整的样品时，可用取样钎从袋口随机位置垂直插入（距袋侧面＞100㎜），旋转后采取样品。包装袋过高、精矿结冻时，可用电动螺旋杆钻垂直袋口钻入采取完整样品，或每相邻3袋为一组，按序在包装袋侧面上、中、下层面钻入采取样品。</w:t>
            </w:r>
          </w:p>
          <w:p w14:paraId="5E43BB2A">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p>
        </w:tc>
        <w:tc>
          <w:tcPr>
            <w:tcW w:w="1465" w:type="dxa"/>
            <w:shd w:val="clear" w:color="auto" w:fill="auto"/>
            <w:noWrap w:val="0"/>
            <w:vAlign w:val="center"/>
          </w:tcPr>
          <w:p w14:paraId="7628E494">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宏跃北方铜业</w:t>
            </w:r>
          </w:p>
        </w:tc>
        <w:tc>
          <w:tcPr>
            <w:tcW w:w="1496" w:type="dxa"/>
            <w:shd w:val="clear" w:color="auto" w:fill="auto"/>
            <w:noWrap w:val="0"/>
            <w:vAlign w:val="center"/>
          </w:tcPr>
          <w:p w14:paraId="2A81673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65C2000B">
            <w:pPr>
              <w:spacing w:line="360" w:lineRule="auto"/>
              <w:rPr>
                <w:rFonts w:hint="default"/>
                <w:lang w:val="en-US"/>
              </w:rPr>
            </w:pPr>
            <w:r>
              <w:rPr>
                <w:rFonts w:hint="eastAsia" w:hAnsi="黑体" w:cs="黑体" w:eastAsiaTheme="minorEastAsia"/>
                <w:color w:val="auto"/>
                <w:szCs w:val="21"/>
                <w:lang w:val="en-US" w:eastAsia="zh-CN"/>
              </w:rPr>
              <w:t>在</w:t>
            </w:r>
            <w:r>
              <w:rPr>
                <w:rFonts w:hint="eastAsia" w:hAnsi="黑体" w:cs="黑体"/>
                <w:color w:val="auto"/>
                <w:szCs w:val="21"/>
                <w:lang w:val="en-US" w:eastAsia="zh-CN"/>
              </w:rPr>
              <w:t>“</w:t>
            </w:r>
            <w:r>
              <w:t>5</w:t>
            </w:r>
            <w:r>
              <w:rPr>
                <w:rFonts w:hint="eastAsia"/>
              </w:rPr>
              <w:t>.5.</w:t>
            </w:r>
            <w:r>
              <w:rPr>
                <w:rFonts w:hint="eastAsia"/>
                <w:lang w:val="en-US" w:eastAsia="zh-CN"/>
              </w:rPr>
              <w:t>2.2  袋装</w:t>
            </w:r>
            <w:r>
              <w:rPr>
                <w:rFonts w:hint="eastAsia"/>
              </w:rPr>
              <w:t>取样法</w:t>
            </w:r>
            <w:r>
              <w:rPr>
                <w:rFonts w:hint="eastAsia" w:hAnsi="黑体" w:cs="黑体"/>
                <w:color w:val="auto"/>
                <w:szCs w:val="21"/>
                <w:lang w:val="en-US" w:eastAsia="zh-CN"/>
              </w:rPr>
              <w:t>”中增加相关描述</w:t>
            </w:r>
          </w:p>
          <w:p w14:paraId="0D29B65F">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4EA7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40C32C45">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71ABD1D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3.15</w:t>
            </w:r>
          </w:p>
        </w:tc>
        <w:tc>
          <w:tcPr>
            <w:tcW w:w="2847" w:type="dxa"/>
            <w:shd w:val="clear" w:color="auto" w:fill="auto"/>
            <w:noWrap w:val="0"/>
            <w:vAlign w:val="center"/>
          </w:tcPr>
          <w:p w14:paraId="570013F3">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rPr>
              <w:object>
                <v:shape id="_x0000_i1114" o:spt="75" type="#_x0000_t75" style="height:34pt;width:76pt;" o:ole="t" filled="f" o:preferrelative="t" stroked="f" coordsize="21600,21600">
                  <v:path/>
                  <v:fill on="f" focussize="0,0"/>
                  <v:stroke on="f" joinstyle="miter"/>
                  <v:imagedata r:id="rId133" o:title=""/>
                  <o:lock v:ext="edit" aspectratio="t"/>
                  <w10:wrap type="none"/>
                  <w10:anchorlock/>
                </v:shape>
                <o:OLEObject Type="Embed" ProgID="Equation.KSEE3" ShapeID="_x0000_i1114" DrawAspect="Content" ObjectID="_1468075814" r:id="rId132">
                  <o:LockedField>false</o:LockedField>
                </o:OLEObject>
              </w:object>
            </w:r>
            <w:r>
              <w:rPr>
                <w:rFonts w:hint="eastAsia" w:hAnsi="黑体" w:cs="黑体" w:eastAsiaTheme="minorEastAsia"/>
                <w:color w:val="auto"/>
                <w:szCs w:val="21"/>
                <w:lang w:val="en-US" w:eastAsia="zh-CN"/>
              </w:rPr>
              <w:t xml:space="preserve"> 修改为</w:t>
            </w:r>
            <w:r>
              <w:rPr>
                <w:rFonts w:hint="eastAsia" w:hAnsi="黑体" w:cs="黑体" w:eastAsiaTheme="minorEastAsia"/>
                <w:color w:val="auto"/>
                <w:szCs w:val="21"/>
              </w:rPr>
              <w:object>
                <v:shape id="_x0000_i1115" o:spt="75" type="#_x0000_t75" style="height:31.95pt;width:76pt;" o:ole="t" filled="f" o:preferrelative="t" stroked="f" coordsize="21600,21600">
                  <v:path/>
                  <v:fill on="f" focussize="0,0"/>
                  <v:stroke on="f"/>
                  <v:imagedata r:id="rId135" o:title=""/>
                  <o:lock v:ext="edit" aspectratio="t"/>
                  <w10:wrap type="none"/>
                  <w10:anchorlock/>
                </v:shape>
                <o:OLEObject Type="Embed" ProgID="Equation.KSEE3" ShapeID="_x0000_i1115" DrawAspect="Content" ObjectID="_1468075815" r:id="rId134">
                  <o:LockedField>false</o:LockedField>
                </o:OLEObject>
              </w:object>
            </w:r>
          </w:p>
        </w:tc>
        <w:tc>
          <w:tcPr>
            <w:tcW w:w="1465" w:type="dxa"/>
            <w:shd w:val="clear" w:color="auto" w:fill="auto"/>
            <w:noWrap w:val="0"/>
            <w:vAlign w:val="center"/>
          </w:tcPr>
          <w:p w14:paraId="239D0A0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金冠铜业</w:t>
            </w:r>
          </w:p>
        </w:tc>
        <w:tc>
          <w:tcPr>
            <w:tcW w:w="1496" w:type="dxa"/>
            <w:shd w:val="clear" w:color="auto" w:fill="auto"/>
            <w:noWrap w:val="0"/>
            <w:vAlign w:val="center"/>
          </w:tcPr>
          <w:p w14:paraId="07ACF21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3B3A461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原标准也无上方横线</w:t>
            </w:r>
          </w:p>
        </w:tc>
      </w:tr>
      <w:tr w14:paraId="51AD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696AE62D">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39F66B5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3</w:t>
            </w:r>
          </w:p>
        </w:tc>
        <w:tc>
          <w:tcPr>
            <w:tcW w:w="2847" w:type="dxa"/>
            <w:shd w:val="clear" w:color="auto" w:fill="auto"/>
            <w:noWrap w:val="0"/>
            <w:vAlign w:val="center"/>
          </w:tcPr>
          <w:p w14:paraId="7FDE7A0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hAnsi="黑体" w:cs="黑体" w:eastAsiaTheme="minorEastAsia"/>
                <w:color w:val="auto"/>
                <w:szCs w:val="21"/>
                <w:lang w:val="en-US" w:eastAsia="zh-CN"/>
              </w:rPr>
            </w:pPr>
            <w:r>
              <w:rPr>
                <w:rFonts w:hint="eastAsia" w:hAnsi="黑体" w:cs="黑体" w:eastAsiaTheme="minorEastAsia"/>
                <w:color w:val="auto"/>
                <w:szCs w:val="21"/>
                <w:lang w:val="en-US" w:eastAsia="zh-CN"/>
              </w:rPr>
              <w:t>1）建议增加“袋装取样”定义，以便和5.5 取样方法中袋装取样法对应；</w:t>
            </w:r>
          </w:p>
          <w:p w14:paraId="7E33B32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2）根据5.2.1表述，建议增加“</w:t>
            </w:r>
            <w:r>
              <w:rPr>
                <w:rFonts w:hint="eastAsia" w:hAnsi="黑体" w:cs="黑体" w:eastAsiaTheme="minorEastAsia"/>
                <w:color w:val="auto"/>
                <w:szCs w:val="21"/>
              </w:rPr>
              <w:t>快化分析、淘洗、目视</w:t>
            </w:r>
            <w:r>
              <w:rPr>
                <w:rFonts w:hint="eastAsia" w:hAnsi="黑体" w:cs="黑体" w:eastAsiaTheme="minorEastAsia"/>
                <w:color w:val="auto"/>
                <w:szCs w:val="21"/>
                <w:lang w:val="en-US" w:eastAsia="zh-CN"/>
              </w:rPr>
              <w:t>”等定义。</w:t>
            </w:r>
          </w:p>
        </w:tc>
        <w:tc>
          <w:tcPr>
            <w:tcW w:w="1465" w:type="dxa"/>
            <w:shd w:val="clear" w:color="auto" w:fill="auto"/>
            <w:noWrap w:val="0"/>
            <w:vAlign w:val="center"/>
          </w:tcPr>
          <w:p w14:paraId="3DD2FB94">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金冠铜业</w:t>
            </w:r>
          </w:p>
        </w:tc>
        <w:tc>
          <w:tcPr>
            <w:tcW w:w="1496" w:type="dxa"/>
            <w:shd w:val="clear" w:color="auto" w:fill="auto"/>
            <w:noWrap w:val="0"/>
            <w:vAlign w:val="center"/>
          </w:tcPr>
          <w:p w14:paraId="354930B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068BBED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0A37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11C98740">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6B8D251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rPr>
              <w:t>3.5</w:t>
            </w:r>
          </w:p>
        </w:tc>
        <w:tc>
          <w:tcPr>
            <w:tcW w:w="2847" w:type="dxa"/>
            <w:shd w:val="clear" w:color="auto" w:fill="auto"/>
            <w:noWrap w:val="0"/>
            <w:vAlign w:val="center"/>
          </w:tcPr>
          <w:p w14:paraId="53787AE3">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hAnsi="黑体" w:cs="黑体" w:eastAsiaTheme="minorEastAsia"/>
                <w:color w:val="auto"/>
                <w:szCs w:val="21"/>
                <w:lang w:val="en-US"/>
              </w:rPr>
            </w:pPr>
            <w:r>
              <w:rPr>
                <w:rFonts w:hint="eastAsia" w:hAnsi="黑体" w:cs="黑体" w:eastAsiaTheme="minorEastAsia"/>
                <w:color w:val="auto"/>
                <w:szCs w:val="21"/>
                <w:lang w:val="en-US"/>
              </w:rPr>
              <w:t>份样 sample</w:t>
            </w:r>
            <w:r>
              <w:rPr>
                <w:rFonts w:hint="eastAsia" w:hAnsi="黑体" w:cs="黑体" w:eastAsiaTheme="minorEastAsia"/>
                <w:color w:val="auto"/>
                <w:szCs w:val="21"/>
                <w:lang w:val="en-US" w:eastAsia="zh-CN"/>
              </w:rPr>
              <w:t xml:space="preserve"> → </w:t>
            </w:r>
            <w:r>
              <w:rPr>
                <w:rFonts w:hint="eastAsia" w:hAnsi="黑体" w:cs="黑体" w:eastAsiaTheme="minorEastAsia"/>
                <w:color w:val="auto"/>
                <w:szCs w:val="21"/>
                <w:lang w:val="en-US"/>
              </w:rPr>
              <w:t>份样 increment</w:t>
            </w:r>
          </w:p>
          <w:p w14:paraId="04FCE21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ISO 12743：2021中3.8 increment：quantity of concentrate selected by a sampling device in one operation</w:t>
            </w:r>
          </w:p>
        </w:tc>
        <w:tc>
          <w:tcPr>
            <w:tcW w:w="1465" w:type="dxa"/>
            <w:shd w:val="clear" w:color="auto" w:fill="auto"/>
            <w:noWrap w:val="0"/>
            <w:vAlign w:val="center"/>
          </w:tcPr>
          <w:p w14:paraId="41DB7A7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金冠铜业</w:t>
            </w:r>
          </w:p>
        </w:tc>
        <w:tc>
          <w:tcPr>
            <w:tcW w:w="1496" w:type="dxa"/>
            <w:shd w:val="clear" w:color="auto" w:fill="auto"/>
            <w:noWrap w:val="0"/>
            <w:vAlign w:val="center"/>
          </w:tcPr>
          <w:p w14:paraId="0ED9635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1CA1A1E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41E0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1B8D2E3C">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53BEB79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3.10</w:t>
            </w:r>
          </w:p>
        </w:tc>
        <w:tc>
          <w:tcPr>
            <w:tcW w:w="2847" w:type="dxa"/>
            <w:shd w:val="clear" w:color="auto" w:fill="auto"/>
            <w:noWrap w:val="0"/>
            <w:vAlign w:val="center"/>
          </w:tcPr>
          <w:p w14:paraId="55DEA9C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成分试样 increment → 成分试样 ingredient sample或者test sample</w:t>
            </w:r>
          </w:p>
        </w:tc>
        <w:tc>
          <w:tcPr>
            <w:tcW w:w="1465" w:type="dxa"/>
            <w:shd w:val="clear" w:color="auto" w:fill="auto"/>
            <w:noWrap w:val="0"/>
            <w:vAlign w:val="center"/>
          </w:tcPr>
          <w:p w14:paraId="4B9E9FD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金新铜业</w:t>
            </w:r>
          </w:p>
        </w:tc>
        <w:tc>
          <w:tcPr>
            <w:tcW w:w="1496" w:type="dxa"/>
            <w:shd w:val="clear" w:color="auto" w:fill="auto"/>
            <w:noWrap w:val="0"/>
            <w:vAlign w:val="center"/>
          </w:tcPr>
          <w:p w14:paraId="5BCD8D9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7456269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default"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修改为“laboratory sample”与ISO 12743的3.17相同</w:t>
            </w:r>
          </w:p>
        </w:tc>
      </w:tr>
      <w:tr w14:paraId="3827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16B5EF3E">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61005ADA">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4.9</w:t>
            </w:r>
          </w:p>
        </w:tc>
        <w:tc>
          <w:tcPr>
            <w:tcW w:w="2847" w:type="dxa"/>
            <w:shd w:val="clear" w:color="auto" w:fill="auto"/>
            <w:noWrap w:val="0"/>
            <w:vAlign w:val="center"/>
          </w:tcPr>
          <w:p w14:paraId="2961D5C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“及不均匀”→“极不均匀”</w:t>
            </w:r>
          </w:p>
        </w:tc>
        <w:tc>
          <w:tcPr>
            <w:tcW w:w="1465" w:type="dxa"/>
            <w:shd w:val="clear" w:color="auto" w:fill="auto"/>
            <w:noWrap w:val="0"/>
            <w:vAlign w:val="center"/>
          </w:tcPr>
          <w:p w14:paraId="64B9E52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金新铜业</w:t>
            </w:r>
          </w:p>
        </w:tc>
        <w:tc>
          <w:tcPr>
            <w:tcW w:w="1496" w:type="dxa"/>
            <w:shd w:val="clear" w:color="auto" w:fill="auto"/>
            <w:noWrap w:val="0"/>
            <w:vAlign w:val="center"/>
          </w:tcPr>
          <w:p w14:paraId="5EDF9702">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7F87214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6EDB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1AACDC49">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37599BE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5</w:t>
            </w:r>
          </w:p>
        </w:tc>
        <w:tc>
          <w:tcPr>
            <w:tcW w:w="2847" w:type="dxa"/>
            <w:shd w:val="clear" w:color="auto" w:fill="auto"/>
            <w:noWrap w:val="0"/>
            <w:vAlign w:val="center"/>
          </w:tcPr>
          <w:p w14:paraId="129875F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hAnsi="黑体" w:cs="黑体" w:eastAsiaTheme="minorEastAsia"/>
                <w:color w:val="auto"/>
                <w:szCs w:val="21"/>
                <w:lang w:val="en-US" w:eastAsia="zh-CN"/>
              </w:rPr>
            </w:pPr>
            <w:r>
              <w:rPr>
                <w:rFonts w:hint="eastAsia" w:hAnsi="黑体" w:cs="黑体" w:eastAsiaTheme="minorEastAsia"/>
                <w:color w:val="auto"/>
                <w:szCs w:val="21"/>
                <w:lang w:val="en-US" w:eastAsia="zh-CN"/>
              </w:rPr>
              <w:t>取样钎和</w:t>
            </w:r>
            <w:r>
              <w:rPr>
                <w:rFonts w:hint="eastAsia" w:hAnsi="黑体" w:cs="黑体" w:eastAsiaTheme="minorEastAsia"/>
                <w:color w:val="auto"/>
                <w:szCs w:val="21"/>
              </w:rPr>
              <w:t>取样铲</w:t>
            </w:r>
            <w:r>
              <w:rPr>
                <w:rFonts w:hint="eastAsia" w:hAnsi="黑体" w:cs="黑体" w:eastAsiaTheme="minorEastAsia"/>
                <w:color w:val="auto"/>
                <w:szCs w:val="21"/>
                <w:lang w:eastAsia="zh-CN"/>
              </w:rPr>
              <w:t>的</w:t>
            </w:r>
            <w:r>
              <w:rPr>
                <w:rFonts w:hint="eastAsia" w:hAnsi="黑体" w:cs="黑体" w:eastAsiaTheme="minorEastAsia"/>
                <w:color w:val="auto"/>
                <w:szCs w:val="21"/>
                <w:lang w:val="en-US" w:eastAsia="zh-CN"/>
              </w:rPr>
              <w:t>规格尺寸图表略显冗长：图1、3、5、7分别为铜、铅、锌、镍精矿取样钎，其规格尺寸基本一致；图2、4、6、8分别为铜、铅、锌、镍精矿取样</w:t>
            </w:r>
            <w:r>
              <w:rPr>
                <w:rFonts w:hint="eastAsia" w:hAnsi="黑体" w:cs="黑体" w:eastAsiaTheme="minorEastAsia"/>
                <w:color w:val="auto"/>
                <w:szCs w:val="21"/>
              </w:rPr>
              <w:t>铲</w:t>
            </w:r>
            <w:r>
              <w:rPr>
                <w:rFonts w:hint="eastAsia" w:hAnsi="黑体" w:cs="黑体" w:eastAsiaTheme="minorEastAsia"/>
                <w:color w:val="auto"/>
                <w:szCs w:val="21"/>
                <w:lang w:val="en-US" w:eastAsia="zh-CN"/>
              </w:rPr>
              <w:t>，图中内容完全一致；表5、6、7、8分别为铜、铅、锌、镍精矿取样铲规格及尺寸，表格内容基本一致。因此建议：</w:t>
            </w:r>
          </w:p>
          <w:p w14:paraId="5E6A279F">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hAnsi="黑体" w:cs="黑体" w:eastAsiaTheme="minorEastAsia"/>
                <w:color w:val="auto"/>
                <w:szCs w:val="21"/>
                <w:lang w:val="en-US" w:eastAsia="zh-CN"/>
              </w:rPr>
            </w:pPr>
            <w:r>
              <w:rPr>
                <w:rFonts w:hint="eastAsia" w:hAnsi="黑体" w:cs="黑体" w:eastAsiaTheme="minorEastAsia"/>
                <w:color w:val="auto"/>
                <w:szCs w:val="21"/>
                <w:lang w:val="en-US" w:eastAsia="zh-CN"/>
              </w:rPr>
              <w:t>1）上述有关图、表合并；</w:t>
            </w:r>
          </w:p>
          <w:p w14:paraId="4379DE9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2）“5.1.2 取样铲，其规格尺寸见图2及表3”修改为“取样铲，其规格尺寸见图2及表5（根据需要，可以适当更换其他规格尺寸的取样铲）”</w:t>
            </w:r>
          </w:p>
        </w:tc>
        <w:tc>
          <w:tcPr>
            <w:tcW w:w="1465" w:type="dxa"/>
            <w:shd w:val="clear" w:color="auto" w:fill="auto"/>
            <w:noWrap w:val="0"/>
            <w:vAlign w:val="center"/>
          </w:tcPr>
          <w:p w14:paraId="636285C3">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金新铜业</w:t>
            </w:r>
          </w:p>
        </w:tc>
        <w:tc>
          <w:tcPr>
            <w:tcW w:w="1496" w:type="dxa"/>
            <w:shd w:val="clear" w:color="auto" w:fill="auto"/>
            <w:noWrap w:val="0"/>
            <w:vAlign w:val="center"/>
          </w:tcPr>
          <w:p w14:paraId="045D3D6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000A7AC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对相同内容进行合并同类项</w:t>
            </w:r>
          </w:p>
        </w:tc>
      </w:tr>
      <w:tr w14:paraId="5EE5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1841219D">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63AA388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5.5.3</w:t>
            </w:r>
          </w:p>
        </w:tc>
        <w:tc>
          <w:tcPr>
            <w:tcW w:w="2847" w:type="dxa"/>
            <w:shd w:val="clear" w:color="auto" w:fill="auto"/>
            <w:noWrap w:val="0"/>
            <w:vAlign w:val="center"/>
          </w:tcPr>
          <w:p w14:paraId="0458FF2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无需按运输工具类型（火车、汽车）分别规定，建议合并，如修改为“</w:t>
            </w:r>
            <w:r>
              <w:rPr>
                <w:rFonts w:hint="eastAsia" w:hAnsi="黑体" w:cs="黑体" w:eastAsiaTheme="minorEastAsia"/>
                <w:color w:val="auto"/>
                <w:szCs w:val="21"/>
              </w:rPr>
              <w:t>火车或汽车交货时</w:t>
            </w:r>
            <w:r>
              <w:rPr>
                <w:rFonts w:hint="eastAsia" w:hAnsi="黑体" w:cs="黑体" w:eastAsiaTheme="minorEastAsia"/>
                <w:color w:val="auto"/>
                <w:szCs w:val="21"/>
                <w:lang w:eastAsia="zh-CN"/>
              </w:rPr>
              <w:t>，</w:t>
            </w:r>
            <w:r>
              <w:rPr>
                <w:rFonts w:hint="eastAsia" w:hAnsi="黑体" w:cs="黑体" w:eastAsiaTheme="minorEastAsia"/>
                <w:color w:val="auto"/>
                <w:szCs w:val="21"/>
              </w:rPr>
              <w:t>如果检验批量小于基本批量，应取份样数按公式（</w:t>
            </w:r>
            <w:r>
              <w:rPr>
                <w:rFonts w:hint="eastAsia" w:hAnsi="黑体" w:cs="黑体" w:eastAsiaTheme="minorEastAsia"/>
                <w:color w:val="auto"/>
                <w:szCs w:val="21"/>
                <w:lang w:val="en-US" w:eastAsia="zh-CN"/>
              </w:rPr>
              <w:t>8</w:t>
            </w:r>
            <w:r>
              <w:rPr>
                <w:rFonts w:hint="eastAsia" w:hAnsi="黑体" w:cs="黑体" w:eastAsiaTheme="minorEastAsia"/>
                <w:color w:val="auto"/>
                <w:szCs w:val="21"/>
              </w:rPr>
              <w:t>）进行计算（遇小数进为整数）</w:t>
            </w:r>
            <w:r>
              <w:rPr>
                <w:rFonts w:hint="eastAsia" w:hAnsi="黑体" w:cs="黑体" w:eastAsiaTheme="minorEastAsia"/>
                <w:color w:val="auto"/>
                <w:szCs w:val="21"/>
                <w:lang w:eastAsia="zh-CN"/>
              </w:rPr>
              <w:t>；如果检验批量不小于基本批量，可按本文件中规定份样数采取。</w:t>
            </w:r>
            <w:r>
              <w:rPr>
                <w:rFonts w:hint="eastAsia" w:hAnsi="黑体" w:cs="黑体" w:eastAsiaTheme="minorEastAsia"/>
                <w:color w:val="auto"/>
                <w:szCs w:val="21"/>
                <w:lang w:val="en-US" w:eastAsia="zh-CN"/>
              </w:rPr>
              <w:t>当检验批由多辆货车组成时，每车应取的份样数按公式（7）计算，遇小数则进为整数。”</w:t>
            </w:r>
          </w:p>
        </w:tc>
        <w:tc>
          <w:tcPr>
            <w:tcW w:w="1465" w:type="dxa"/>
            <w:shd w:val="clear" w:color="auto" w:fill="auto"/>
            <w:noWrap w:val="0"/>
            <w:vAlign w:val="center"/>
          </w:tcPr>
          <w:p w14:paraId="3572263F">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金新铜业</w:t>
            </w:r>
          </w:p>
        </w:tc>
        <w:tc>
          <w:tcPr>
            <w:tcW w:w="1496" w:type="dxa"/>
            <w:shd w:val="clear" w:color="auto" w:fill="auto"/>
            <w:noWrap w:val="0"/>
            <w:vAlign w:val="center"/>
          </w:tcPr>
          <w:p w14:paraId="1499C03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2077336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4318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343DDF9F">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3FADDDDF">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5.5.3</w:t>
            </w:r>
          </w:p>
        </w:tc>
        <w:tc>
          <w:tcPr>
            <w:tcW w:w="2847" w:type="dxa"/>
            <w:shd w:val="clear" w:color="auto" w:fill="auto"/>
            <w:noWrap w:val="0"/>
            <w:vAlign w:val="center"/>
          </w:tcPr>
          <w:p w14:paraId="333AF96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eastAsia="zh-CN"/>
              </w:rPr>
              <w:t>“</w:t>
            </w:r>
            <w:r>
              <w:rPr>
                <w:rFonts w:hint="eastAsia" w:hAnsi="黑体" w:cs="黑体" w:eastAsiaTheme="minorEastAsia"/>
                <w:color w:val="auto"/>
                <w:szCs w:val="21"/>
              </w:rPr>
              <w:t>或机械对检验批/副批物料进行转堆、翻拌、混匀并摊平≤80cm的厚度，均匀布点，按表1规定的最少份样数随机取样。</w:t>
            </w:r>
            <w:r>
              <w:rPr>
                <w:rFonts w:hint="eastAsia" w:hAnsi="黑体" w:cs="黑体" w:eastAsiaTheme="minorEastAsia"/>
                <w:color w:val="auto"/>
                <w:szCs w:val="21"/>
                <w:lang w:eastAsia="zh-CN"/>
              </w:rPr>
              <w:t>”</w:t>
            </w:r>
            <w:r>
              <w:rPr>
                <w:rFonts w:hint="eastAsia" w:hAnsi="黑体" w:cs="黑体" w:eastAsiaTheme="minorEastAsia"/>
                <w:color w:val="auto"/>
                <w:szCs w:val="21"/>
                <w:lang w:val="en-US" w:eastAsia="zh-CN"/>
              </w:rPr>
              <w:t>修改为“</w:t>
            </w:r>
            <w:r>
              <w:rPr>
                <w:rFonts w:hint="eastAsia" w:hAnsi="黑体" w:cs="黑体" w:eastAsiaTheme="minorEastAsia"/>
                <w:color w:val="auto"/>
                <w:szCs w:val="21"/>
              </w:rPr>
              <w:t>或</w:t>
            </w:r>
            <w:r>
              <w:rPr>
                <w:rFonts w:hint="eastAsia" w:hAnsi="黑体" w:cs="黑体" w:eastAsiaTheme="minorEastAsia"/>
                <w:color w:val="auto"/>
                <w:szCs w:val="21"/>
                <w:lang w:val="en-US" w:eastAsia="zh-CN"/>
              </w:rPr>
              <w:t>采用</w:t>
            </w:r>
            <w:r>
              <w:rPr>
                <w:rFonts w:hint="eastAsia" w:hAnsi="黑体" w:cs="黑体" w:eastAsiaTheme="minorEastAsia"/>
                <w:color w:val="auto"/>
                <w:szCs w:val="21"/>
              </w:rPr>
              <w:t>机械对检验批/副批物料进行转堆、翻拌、混匀并摊平</w:t>
            </w:r>
            <w:r>
              <w:rPr>
                <w:rFonts w:hint="eastAsia" w:hAnsi="黑体" w:cs="黑体" w:eastAsiaTheme="minorEastAsia"/>
                <w:color w:val="auto"/>
                <w:szCs w:val="21"/>
                <w:lang w:val="en-US" w:eastAsia="zh-CN"/>
              </w:rPr>
              <w:t>至</w:t>
            </w:r>
            <w:r>
              <w:rPr>
                <w:rFonts w:hint="eastAsia" w:hAnsi="黑体" w:cs="黑体" w:eastAsiaTheme="minorEastAsia"/>
                <w:color w:val="auto"/>
                <w:szCs w:val="21"/>
              </w:rPr>
              <w:t>≤80cm厚度的</w:t>
            </w:r>
            <w:r>
              <w:rPr>
                <w:rFonts w:hint="eastAsia" w:hAnsi="黑体" w:cs="黑体" w:eastAsiaTheme="minorEastAsia"/>
                <w:color w:val="auto"/>
                <w:szCs w:val="21"/>
                <w:lang w:val="en-US" w:eastAsia="zh-CN"/>
              </w:rPr>
              <w:t>规则料层</w:t>
            </w:r>
            <w:r>
              <w:rPr>
                <w:rFonts w:hint="eastAsia" w:hAnsi="黑体" w:cs="黑体" w:eastAsiaTheme="minorEastAsia"/>
                <w:color w:val="auto"/>
                <w:szCs w:val="21"/>
              </w:rPr>
              <w:t>，均匀布点，按表1规定的最少份样数随机取样。</w:t>
            </w:r>
            <w:r>
              <w:rPr>
                <w:rFonts w:hint="eastAsia" w:hAnsi="黑体" w:cs="黑体" w:eastAsiaTheme="minorEastAsia"/>
                <w:color w:val="auto"/>
                <w:szCs w:val="21"/>
                <w:lang w:val="en-US" w:eastAsia="zh-CN"/>
              </w:rPr>
              <w:t>”</w:t>
            </w:r>
          </w:p>
        </w:tc>
        <w:tc>
          <w:tcPr>
            <w:tcW w:w="1465" w:type="dxa"/>
            <w:shd w:val="clear" w:color="auto" w:fill="auto"/>
            <w:noWrap w:val="0"/>
            <w:vAlign w:val="center"/>
          </w:tcPr>
          <w:p w14:paraId="1D36CA4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金新铜业</w:t>
            </w:r>
          </w:p>
        </w:tc>
        <w:tc>
          <w:tcPr>
            <w:tcW w:w="1496" w:type="dxa"/>
            <w:shd w:val="clear" w:color="auto" w:fill="auto"/>
            <w:noWrap w:val="0"/>
            <w:vAlign w:val="center"/>
          </w:tcPr>
          <w:p w14:paraId="4469873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1882F0F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6D3F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25230A26">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3551B74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5.5.4</w:t>
            </w:r>
          </w:p>
        </w:tc>
        <w:tc>
          <w:tcPr>
            <w:tcW w:w="2847" w:type="dxa"/>
            <w:shd w:val="clear" w:color="auto" w:fill="auto"/>
            <w:noWrap w:val="0"/>
            <w:vAlign w:val="center"/>
          </w:tcPr>
          <w:p w14:paraId="2D20087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“对于袋装1000 kg 以上的大袋精矿，应逐袋随机采取份样或根据附录A进行品质波动试验并结合表1确定应取最少份样数，每袋应取的份样数按公式（9）计算，遇小数则进为整数。”修改为“对于袋装1000 kg 以上的大袋精矿，应逐袋随机采取份样，每袋应取的份样数按公式（9）计算，遇小数则进为整数。或根据附录A进行品质波动试验并结合表1确定应取最少份样数后按5.5.1质量系统取样方法采取份样。”</w:t>
            </w:r>
          </w:p>
        </w:tc>
        <w:tc>
          <w:tcPr>
            <w:tcW w:w="1465" w:type="dxa"/>
            <w:shd w:val="clear" w:color="auto" w:fill="auto"/>
            <w:noWrap w:val="0"/>
            <w:vAlign w:val="center"/>
          </w:tcPr>
          <w:p w14:paraId="0D2F9E5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金新铜业</w:t>
            </w:r>
          </w:p>
        </w:tc>
        <w:tc>
          <w:tcPr>
            <w:tcW w:w="1496" w:type="dxa"/>
            <w:shd w:val="clear" w:color="auto" w:fill="auto"/>
            <w:noWrap w:val="0"/>
            <w:vAlign w:val="center"/>
          </w:tcPr>
          <w:p w14:paraId="17F40C9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33D4F93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34BC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73420CDE">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1FF2C44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rPr>
              <w:t>6.1.1</w:t>
            </w:r>
          </w:p>
        </w:tc>
        <w:tc>
          <w:tcPr>
            <w:tcW w:w="2847" w:type="dxa"/>
            <w:shd w:val="clear" w:color="auto" w:fill="auto"/>
            <w:noWrap w:val="0"/>
            <w:vAlign w:val="center"/>
          </w:tcPr>
          <w:p w14:paraId="19534C0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eastAsia="zh-CN"/>
              </w:rPr>
              <w:t>“</w:t>
            </w:r>
            <w:r>
              <w:rPr>
                <w:rFonts w:hint="eastAsia" w:hAnsi="黑体" w:cs="黑体" w:eastAsiaTheme="minorEastAsia"/>
                <w:color w:val="auto"/>
                <w:szCs w:val="21"/>
              </w:rPr>
              <w:t>制样研磨机或密封式制样机</w:t>
            </w:r>
            <w:r>
              <w:rPr>
                <w:rFonts w:hint="eastAsia" w:hAnsi="黑体" w:cs="黑体" w:eastAsiaTheme="minorEastAsia"/>
                <w:color w:val="auto"/>
                <w:szCs w:val="21"/>
                <w:lang w:val="en-US" w:eastAsia="zh-CN"/>
              </w:rPr>
              <w:t>或棒磨机</w:t>
            </w:r>
            <w:r>
              <w:rPr>
                <w:rFonts w:hint="eastAsia" w:hAnsi="黑体" w:cs="黑体" w:eastAsiaTheme="minorEastAsia"/>
                <w:color w:val="auto"/>
                <w:szCs w:val="21"/>
                <w:lang w:eastAsia="zh-CN"/>
              </w:rPr>
              <w:t>”</w:t>
            </w:r>
            <w:r>
              <w:rPr>
                <w:rFonts w:hint="eastAsia" w:hAnsi="黑体" w:cs="黑体" w:eastAsiaTheme="minorEastAsia"/>
                <w:color w:val="auto"/>
                <w:szCs w:val="21"/>
                <w:lang w:val="en-US" w:eastAsia="zh-CN"/>
              </w:rPr>
              <w:t>→“</w:t>
            </w:r>
            <w:r>
              <w:rPr>
                <w:rFonts w:hint="eastAsia" w:hAnsi="黑体" w:cs="黑体" w:eastAsiaTheme="minorEastAsia"/>
                <w:color w:val="auto"/>
                <w:szCs w:val="21"/>
              </w:rPr>
              <w:t>制样研磨机</w:t>
            </w:r>
            <w:r>
              <w:rPr>
                <w:rFonts w:hint="eastAsia" w:hAnsi="黑体" w:cs="黑体" w:eastAsiaTheme="minorEastAsia"/>
                <w:color w:val="auto"/>
                <w:szCs w:val="21"/>
                <w:lang w:eastAsia="zh-CN"/>
              </w:rPr>
              <w:t>、</w:t>
            </w:r>
            <w:r>
              <w:rPr>
                <w:rFonts w:hint="eastAsia" w:hAnsi="黑体" w:cs="黑体" w:eastAsiaTheme="minorEastAsia"/>
                <w:color w:val="auto"/>
                <w:szCs w:val="21"/>
              </w:rPr>
              <w:t>密封式制样机</w:t>
            </w:r>
            <w:r>
              <w:rPr>
                <w:rFonts w:hint="eastAsia" w:hAnsi="黑体" w:cs="黑体" w:eastAsiaTheme="minorEastAsia"/>
                <w:color w:val="auto"/>
                <w:szCs w:val="21"/>
                <w:lang w:val="en-US" w:eastAsia="zh-CN"/>
              </w:rPr>
              <w:t>或棒磨机”</w:t>
            </w:r>
          </w:p>
        </w:tc>
        <w:tc>
          <w:tcPr>
            <w:tcW w:w="1465" w:type="dxa"/>
            <w:shd w:val="clear" w:color="auto" w:fill="auto"/>
            <w:noWrap w:val="0"/>
            <w:vAlign w:val="center"/>
          </w:tcPr>
          <w:p w14:paraId="6279EBBA">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金隆铜业</w:t>
            </w:r>
          </w:p>
        </w:tc>
        <w:tc>
          <w:tcPr>
            <w:tcW w:w="1496" w:type="dxa"/>
            <w:shd w:val="clear" w:color="auto" w:fill="auto"/>
            <w:noWrap w:val="0"/>
            <w:vAlign w:val="center"/>
          </w:tcPr>
          <w:p w14:paraId="5A1E949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306E26F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691C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7F7F182C">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29565007">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rPr>
              <w:t>6.1.3</w:t>
            </w:r>
          </w:p>
        </w:tc>
        <w:tc>
          <w:tcPr>
            <w:tcW w:w="2847" w:type="dxa"/>
            <w:shd w:val="clear" w:color="auto" w:fill="auto"/>
            <w:noWrap w:val="0"/>
            <w:vAlign w:val="center"/>
          </w:tcPr>
          <w:p w14:paraId="7171795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hAnsi="黑体" w:cs="黑体" w:eastAsiaTheme="minorEastAsia"/>
                <w:color w:val="auto"/>
                <w:szCs w:val="21"/>
                <w:lang w:val="en-US" w:eastAsia="zh-CN"/>
              </w:rPr>
            </w:pPr>
            <w:r>
              <w:rPr>
                <w:rFonts w:hint="eastAsia" w:hAnsi="黑体" w:cs="黑体" w:eastAsiaTheme="minorEastAsia"/>
                <w:color w:val="auto"/>
                <w:szCs w:val="21"/>
                <w:lang w:val="en-US" w:eastAsia="zh-CN"/>
              </w:rPr>
              <w:t>1）</w:t>
            </w:r>
            <w:r>
              <w:rPr>
                <w:rFonts w:hint="eastAsia" w:hAnsi="黑体" w:cs="黑体" w:eastAsiaTheme="minorEastAsia"/>
                <w:color w:val="auto"/>
                <w:szCs w:val="21"/>
              </w:rPr>
              <w:t>表</w:t>
            </w:r>
            <w:r>
              <w:rPr>
                <w:rFonts w:hint="eastAsia" w:hAnsi="黑体" w:cs="黑体" w:eastAsiaTheme="minorEastAsia"/>
                <w:color w:val="auto"/>
                <w:szCs w:val="21"/>
                <w:lang w:val="en-US" w:eastAsia="zh-CN"/>
              </w:rPr>
              <w:t>9-12建议合并；</w:t>
            </w:r>
          </w:p>
          <w:p w14:paraId="5B403DF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2）增加“根据需要，可以适当更换其他规格尺寸的份样铲”</w:t>
            </w:r>
          </w:p>
        </w:tc>
        <w:tc>
          <w:tcPr>
            <w:tcW w:w="1465" w:type="dxa"/>
            <w:shd w:val="clear" w:color="auto" w:fill="auto"/>
            <w:noWrap w:val="0"/>
            <w:vAlign w:val="center"/>
          </w:tcPr>
          <w:p w14:paraId="3C6AA69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金隆铜业</w:t>
            </w:r>
          </w:p>
        </w:tc>
        <w:tc>
          <w:tcPr>
            <w:tcW w:w="1496" w:type="dxa"/>
            <w:shd w:val="clear" w:color="auto" w:fill="auto"/>
            <w:noWrap w:val="0"/>
            <w:vAlign w:val="center"/>
          </w:tcPr>
          <w:p w14:paraId="0190752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02F158B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19BB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4C64511B">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4CF14CE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rPr>
              <w:t>6.2.1</w:t>
            </w:r>
          </w:p>
        </w:tc>
        <w:tc>
          <w:tcPr>
            <w:tcW w:w="2847" w:type="dxa"/>
            <w:shd w:val="clear" w:color="auto" w:fill="auto"/>
            <w:noWrap w:val="0"/>
            <w:vAlign w:val="center"/>
          </w:tcPr>
          <w:p w14:paraId="5DB310A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eastAsia="zh-CN"/>
              </w:rPr>
              <w:t>“制样过程中应防止试样的成分和水分变化和污染”</w:t>
            </w:r>
            <w:r>
              <w:rPr>
                <w:rFonts w:hint="eastAsia" w:hAnsi="黑体" w:cs="黑体" w:eastAsiaTheme="minorEastAsia"/>
                <w:color w:val="auto"/>
                <w:szCs w:val="21"/>
                <w:lang w:val="en-US" w:eastAsia="zh-CN"/>
              </w:rPr>
              <w:t>→“</w:t>
            </w:r>
            <w:r>
              <w:rPr>
                <w:rFonts w:hint="eastAsia" w:hAnsi="黑体" w:cs="黑体" w:eastAsiaTheme="minorEastAsia"/>
                <w:color w:val="auto"/>
                <w:szCs w:val="21"/>
                <w:lang w:eastAsia="zh-CN"/>
              </w:rPr>
              <w:t>制样过程中应防止试样的成分和水分</w:t>
            </w:r>
            <w:r>
              <w:rPr>
                <w:rFonts w:hint="eastAsia" w:hAnsi="黑体" w:cs="黑体" w:eastAsiaTheme="minorEastAsia"/>
                <w:color w:val="auto"/>
                <w:szCs w:val="21"/>
                <w:lang w:val="en-US" w:eastAsia="zh-CN"/>
              </w:rPr>
              <w:t>发生</w:t>
            </w:r>
            <w:r>
              <w:rPr>
                <w:rFonts w:hint="eastAsia" w:hAnsi="黑体" w:cs="黑体" w:eastAsiaTheme="minorEastAsia"/>
                <w:color w:val="auto"/>
                <w:szCs w:val="21"/>
                <w:lang w:eastAsia="zh-CN"/>
              </w:rPr>
              <w:t>变化</w:t>
            </w:r>
            <w:r>
              <w:rPr>
                <w:rFonts w:hint="eastAsia" w:hAnsi="黑体" w:cs="黑体" w:eastAsiaTheme="minorEastAsia"/>
                <w:color w:val="auto"/>
                <w:szCs w:val="21"/>
                <w:lang w:val="en-US" w:eastAsia="zh-CN"/>
              </w:rPr>
              <w:t>或受到</w:t>
            </w:r>
            <w:r>
              <w:rPr>
                <w:rFonts w:hint="eastAsia" w:hAnsi="黑体" w:cs="黑体" w:eastAsiaTheme="minorEastAsia"/>
                <w:color w:val="auto"/>
                <w:szCs w:val="21"/>
                <w:lang w:eastAsia="zh-CN"/>
              </w:rPr>
              <w:t>污染</w:t>
            </w:r>
            <w:r>
              <w:rPr>
                <w:rFonts w:hint="eastAsia" w:hAnsi="黑体" w:cs="黑体" w:eastAsiaTheme="minorEastAsia"/>
                <w:color w:val="auto"/>
                <w:szCs w:val="21"/>
                <w:lang w:val="en-US" w:eastAsia="zh-CN"/>
              </w:rPr>
              <w:t>”</w:t>
            </w:r>
          </w:p>
        </w:tc>
        <w:tc>
          <w:tcPr>
            <w:tcW w:w="1465" w:type="dxa"/>
            <w:shd w:val="clear" w:color="auto" w:fill="auto"/>
            <w:noWrap w:val="0"/>
            <w:vAlign w:val="center"/>
          </w:tcPr>
          <w:p w14:paraId="7CD85FD4">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金隆铜业</w:t>
            </w:r>
          </w:p>
        </w:tc>
        <w:tc>
          <w:tcPr>
            <w:tcW w:w="1496" w:type="dxa"/>
            <w:shd w:val="clear" w:color="auto" w:fill="auto"/>
            <w:noWrap w:val="0"/>
            <w:vAlign w:val="center"/>
          </w:tcPr>
          <w:p w14:paraId="44E9A76F">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3E54DDE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07E1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239DECF6">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4544AF4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rPr>
              <w:t>6.4.1</w:t>
            </w:r>
          </w:p>
        </w:tc>
        <w:tc>
          <w:tcPr>
            <w:tcW w:w="2847" w:type="dxa"/>
            <w:shd w:val="clear" w:color="auto" w:fill="auto"/>
            <w:noWrap w:val="0"/>
            <w:vAlign w:val="center"/>
          </w:tcPr>
          <w:p w14:paraId="4F10960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建议将6.4.1调整至6.4.3  试样缩分方法后，更符合样品整体加工流程。</w:t>
            </w:r>
          </w:p>
        </w:tc>
        <w:tc>
          <w:tcPr>
            <w:tcW w:w="1465" w:type="dxa"/>
            <w:shd w:val="clear" w:color="auto" w:fill="auto"/>
            <w:noWrap w:val="0"/>
            <w:vAlign w:val="center"/>
          </w:tcPr>
          <w:p w14:paraId="5CF29CE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金隆铜业</w:t>
            </w:r>
          </w:p>
        </w:tc>
        <w:tc>
          <w:tcPr>
            <w:tcW w:w="1496" w:type="dxa"/>
            <w:shd w:val="clear" w:color="auto" w:fill="auto"/>
            <w:noWrap w:val="0"/>
            <w:vAlign w:val="center"/>
          </w:tcPr>
          <w:p w14:paraId="4F04524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1C46FC1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4DC7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78011FF4">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4C17F28A">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7.5.2</w:t>
            </w:r>
          </w:p>
        </w:tc>
        <w:tc>
          <w:tcPr>
            <w:tcW w:w="2847" w:type="dxa"/>
            <w:shd w:val="clear" w:color="auto" w:fill="auto"/>
            <w:noWrap w:val="0"/>
            <w:vAlign w:val="center"/>
          </w:tcPr>
          <w:p w14:paraId="62040EF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m:oMath>
              <m:r>
                <m:rPr>
                  <m:sty m:val="p"/>
                </m:rPr>
                <w:rPr>
                  <w:rFonts w:hint="eastAsia" w:ascii="Times New Roman" w:hAnsi="Times New Roman" w:eastAsia="宋体" w:cs="黑体"/>
                  <w:color w:val="auto"/>
                  <w:szCs w:val="21"/>
                </w:rPr>
                <w:sym w:font="Symbol" w:char="0060"/>
              </m:r>
              <m:sSub>
                <m:sSubPr>
                  <m:ctrlPr>
                    <w:rPr>
                      <w:rFonts w:hint="eastAsia" w:ascii="Cambria Math" w:hAnsi="Cambria Math" w:eastAsia="宋体" w:cs="黑体"/>
                      <w:color w:val="auto"/>
                      <w:szCs w:val="21"/>
                    </w:rPr>
                  </m:ctrlPr>
                </m:sSubPr>
                <m:e>
                  <m:r>
                    <m:rPr>
                      <m:sty m:val="p"/>
                    </m:rPr>
                    <w:rPr>
                      <w:rFonts w:hint="eastAsia" w:ascii="Times New Roman" w:hAnsi="Times New Roman" w:eastAsia="宋体" w:cs="黑体"/>
                      <w:color w:val="auto"/>
                      <w:szCs w:val="21"/>
                    </w:rPr>
                    <m:t>ω</m:t>
                  </m:r>
                  <m:ctrlPr>
                    <w:rPr>
                      <w:rFonts w:hint="eastAsia" w:ascii="Cambria Math" w:hAnsi="Cambria Math" w:eastAsia="宋体" w:cs="黑体"/>
                      <w:color w:val="auto"/>
                      <w:szCs w:val="21"/>
                    </w:rPr>
                  </m:ctrlPr>
                </m:e>
                <m:sub>
                  <m:r>
                    <m:rPr>
                      <m:sty m:val="p"/>
                    </m:rPr>
                    <w:rPr>
                      <w:rFonts w:hint="eastAsia" w:ascii="Times New Roman" w:hAnsi="Times New Roman" w:eastAsia="宋体" w:cs="黑体"/>
                      <w:color w:val="auto"/>
                      <w:szCs w:val="21"/>
                    </w:rPr>
                    <m:t>i</m:t>
                  </m:r>
                  <m:ctrlPr>
                    <w:rPr>
                      <w:rFonts w:hint="eastAsia" w:ascii="Cambria Math" w:hAnsi="Cambria Math" w:eastAsia="宋体" w:cs="黑体"/>
                      <w:color w:val="auto"/>
                      <w:szCs w:val="21"/>
                    </w:rPr>
                  </m:ctrlPr>
                </m:sub>
              </m:sSub>
              <m:r>
                <m:rPr>
                  <m:sty m:val="p"/>
                </m:rPr>
                <w:rPr>
                  <w:rFonts w:hint="eastAsia" w:ascii="Times New Roman" w:hAnsi="Times New Roman" w:eastAsia="宋体" w:cs="黑体"/>
                  <w:color w:val="auto"/>
                  <w:szCs w:val="21"/>
                </w:rPr>
                <m:t>=</m:t>
              </m:r>
              <m:f>
                <m:fPr>
                  <m:ctrlPr>
                    <w:rPr>
                      <w:rFonts w:hint="eastAsia" w:ascii="Cambria Math" w:hAnsi="Cambria Math" w:eastAsia="宋体" w:cs="黑体"/>
                      <w:color w:val="auto"/>
                      <w:szCs w:val="21"/>
                    </w:rPr>
                  </m:ctrlPr>
                </m:fPr>
                <m:num>
                  <m:sSub>
                    <m:sSubPr>
                      <m:ctrlPr>
                        <w:rPr>
                          <w:rFonts w:hint="eastAsia" w:ascii="Cambria Math" w:hAnsi="Cambria Math" w:eastAsia="宋体" w:cs="黑体"/>
                          <w:color w:val="auto"/>
                          <w:szCs w:val="21"/>
                        </w:rPr>
                      </m:ctrlPr>
                    </m:sSubPr>
                    <m:e>
                      <m:r>
                        <m:rPr>
                          <m:sty m:val="p"/>
                        </m:rPr>
                        <w:rPr>
                          <w:rFonts w:hint="eastAsia" w:ascii="Times New Roman" w:hAnsi="Times New Roman" w:eastAsia="宋体" w:cs="黑体"/>
                          <w:color w:val="auto"/>
                          <w:szCs w:val="21"/>
                        </w:rPr>
                        <m:t>ω</m:t>
                      </m:r>
                      <m:ctrlPr>
                        <w:rPr>
                          <w:rFonts w:hint="eastAsia" w:ascii="Cambria Math" w:hAnsi="Cambria Math" w:eastAsia="宋体" w:cs="黑体"/>
                          <w:color w:val="auto"/>
                          <w:szCs w:val="21"/>
                        </w:rPr>
                      </m:ctrlPr>
                    </m:e>
                    <m:sub>
                      <m:r>
                        <m:rPr>
                          <m:sty m:val="p"/>
                        </m:rPr>
                        <w:rPr>
                          <w:rFonts w:hint="eastAsia" w:ascii="Times New Roman" w:hAnsi="Times New Roman" w:eastAsia="宋体" w:cs="黑体"/>
                          <w:color w:val="auto"/>
                          <w:szCs w:val="21"/>
                        </w:rPr>
                        <m:t>1</m:t>
                      </m:r>
                      <m:ctrlPr>
                        <w:rPr>
                          <w:rFonts w:hint="eastAsia" w:ascii="Cambria Math" w:hAnsi="Cambria Math" w:eastAsia="宋体" w:cs="黑体"/>
                          <w:color w:val="auto"/>
                          <w:szCs w:val="21"/>
                        </w:rPr>
                      </m:ctrlPr>
                    </m:sub>
                  </m:sSub>
                  <m:r>
                    <m:rPr>
                      <m:sty m:val="p"/>
                    </m:rPr>
                    <w:rPr>
                      <w:rFonts w:hint="eastAsia" w:ascii="Times New Roman" w:hAnsi="Times New Roman" w:eastAsia="宋体" w:cs="黑体"/>
                      <w:color w:val="auto"/>
                      <w:szCs w:val="21"/>
                    </w:rPr>
                    <m:t>+</m:t>
                  </m:r>
                  <m:sSub>
                    <m:sSubPr>
                      <m:ctrlPr>
                        <w:rPr>
                          <w:rFonts w:hint="eastAsia" w:ascii="Cambria Math" w:hAnsi="Cambria Math" w:eastAsia="宋体" w:cs="黑体"/>
                          <w:color w:val="auto"/>
                          <w:szCs w:val="21"/>
                        </w:rPr>
                      </m:ctrlPr>
                    </m:sSubPr>
                    <m:e>
                      <m:r>
                        <m:rPr>
                          <m:sty m:val="p"/>
                        </m:rPr>
                        <w:rPr>
                          <w:rFonts w:hint="eastAsia" w:ascii="Times New Roman" w:hAnsi="Times New Roman" w:eastAsia="宋体" w:cs="黑体"/>
                          <w:color w:val="auto"/>
                          <w:szCs w:val="21"/>
                        </w:rPr>
                        <m:t>ω</m:t>
                      </m:r>
                      <m:ctrlPr>
                        <w:rPr>
                          <w:rFonts w:hint="eastAsia" w:ascii="Cambria Math" w:hAnsi="Cambria Math" w:eastAsia="宋体" w:cs="黑体"/>
                          <w:color w:val="auto"/>
                          <w:szCs w:val="21"/>
                        </w:rPr>
                      </m:ctrlPr>
                    </m:e>
                    <m:sub>
                      <m:r>
                        <m:rPr>
                          <m:sty m:val="p"/>
                        </m:rPr>
                        <w:rPr>
                          <w:rFonts w:hint="eastAsia" w:ascii="Times New Roman" w:hAnsi="Times New Roman" w:eastAsia="宋体" w:cs="黑体"/>
                          <w:color w:val="auto"/>
                          <w:szCs w:val="21"/>
                        </w:rPr>
                        <m:t>2</m:t>
                      </m:r>
                      <m:ctrlPr>
                        <w:rPr>
                          <w:rFonts w:hint="eastAsia" w:ascii="Cambria Math" w:hAnsi="Cambria Math" w:eastAsia="宋体" w:cs="黑体"/>
                          <w:color w:val="auto"/>
                          <w:szCs w:val="21"/>
                        </w:rPr>
                      </m:ctrlPr>
                    </m:sub>
                  </m:sSub>
                  <m:ctrlPr>
                    <w:rPr>
                      <w:rFonts w:hint="eastAsia" w:ascii="Cambria Math" w:hAnsi="Cambria Math" w:eastAsia="宋体" w:cs="黑体"/>
                      <w:color w:val="auto"/>
                      <w:szCs w:val="21"/>
                    </w:rPr>
                  </m:ctrlPr>
                </m:num>
                <m:den>
                  <m:r>
                    <m:rPr>
                      <m:sty m:val="p"/>
                    </m:rPr>
                    <w:rPr>
                      <w:rFonts w:hint="eastAsia" w:ascii="Times New Roman" w:hAnsi="Times New Roman" w:eastAsia="宋体" w:cs="黑体"/>
                      <w:color w:val="auto"/>
                      <w:szCs w:val="21"/>
                    </w:rPr>
                    <m:t>2</m:t>
                  </m:r>
                  <m:ctrlPr>
                    <w:rPr>
                      <w:rFonts w:hint="eastAsia" w:ascii="Cambria Math" w:hAnsi="Cambria Math" w:eastAsia="宋体" w:cs="黑体"/>
                      <w:color w:val="auto"/>
                      <w:szCs w:val="21"/>
                    </w:rPr>
                  </m:ctrlPr>
                </m:den>
              </m:f>
              <m:r>
                <m:rPr>
                  <m:sty m:val="p"/>
                </m:rPr>
                <w:rPr>
                  <w:rFonts w:hint="eastAsia" w:ascii="Times New Roman" w:hAnsi="Times New Roman" w:eastAsia="宋体" w:cs="黑体"/>
                  <w:color w:val="auto"/>
                  <w:szCs w:val="21"/>
                </w:rPr>
                <m:t xml:space="preserve">×100% </m:t>
              </m:r>
            </m:oMath>
            <w:r>
              <w:rPr>
                <w:rFonts w:hint="eastAsia" w:hAnsi="黑体" w:cs="黑体" w:eastAsiaTheme="minorEastAsia"/>
                <w:color w:val="auto"/>
                <w:szCs w:val="21"/>
                <w:lang w:val="en-US" w:eastAsia="zh-CN"/>
              </w:rPr>
              <w:t>中删除“×100%”，</w:t>
            </w:r>
            <m:oMath>
              <m:sSub>
                <m:sSubPr>
                  <m:ctrlPr>
                    <w:rPr>
                      <w:rFonts w:hint="eastAsia" w:ascii="Cambria Math" w:hAnsi="Cambria Math" w:eastAsia="宋体" w:cs="黑体"/>
                      <w:color w:val="auto"/>
                      <w:szCs w:val="21"/>
                    </w:rPr>
                  </m:ctrlPr>
                </m:sSubPr>
                <m:e>
                  <m:r>
                    <m:rPr>
                      <m:sty m:val="p"/>
                    </m:rPr>
                    <w:rPr>
                      <w:rFonts w:hint="eastAsia" w:ascii="Times New Roman" w:hAnsi="Times New Roman" w:eastAsia="宋体" w:cs="黑体"/>
                      <w:color w:val="auto"/>
                      <w:szCs w:val="21"/>
                    </w:rPr>
                    <m:t>ω</m:t>
                  </m:r>
                  <m:ctrlPr>
                    <w:rPr>
                      <w:rFonts w:hint="eastAsia" w:ascii="Cambria Math" w:hAnsi="Cambria Math" w:eastAsia="宋体" w:cs="黑体"/>
                      <w:color w:val="auto"/>
                      <w:szCs w:val="21"/>
                    </w:rPr>
                  </m:ctrlPr>
                </m:e>
                <m:sub>
                  <m:r>
                    <m:rPr>
                      <m:sty m:val="p"/>
                    </m:rPr>
                    <w:rPr>
                      <w:rFonts w:hint="eastAsia" w:ascii="Times New Roman" w:hAnsi="Times New Roman" w:eastAsia="宋体" w:cs="黑体"/>
                      <w:color w:val="auto"/>
                      <w:szCs w:val="21"/>
                    </w:rPr>
                    <m:t>1</m:t>
                  </m:r>
                  <m:ctrlPr>
                    <w:rPr>
                      <w:rFonts w:hint="eastAsia" w:ascii="Cambria Math" w:hAnsi="Cambria Math" w:eastAsia="宋体" w:cs="黑体"/>
                      <w:color w:val="auto"/>
                      <w:szCs w:val="21"/>
                    </w:rPr>
                  </m:ctrlPr>
                </m:sub>
              </m:sSub>
            </m:oMath>
            <w:r>
              <w:rPr>
                <w:rFonts w:hint="eastAsia" w:hAnsi="黑体" w:cs="黑体" w:eastAsiaTheme="minorEastAsia"/>
                <w:color w:val="auto"/>
                <w:szCs w:val="21"/>
                <w:lang w:val="en-US" w:eastAsia="zh-CN"/>
              </w:rPr>
              <w:t>、</w:t>
            </w:r>
            <m:oMath>
              <m:sSub>
                <m:sSubPr>
                  <m:ctrlPr>
                    <w:rPr>
                      <w:rFonts w:hint="eastAsia" w:ascii="Cambria Math" w:hAnsi="Cambria Math" w:eastAsia="宋体" w:cs="黑体"/>
                      <w:color w:val="auto"/>
                      <w:szCs w:val="21"/>
                    </w:rPr>
                  </m:ctrlPr>
                </m:sSubPr>
                <m:e>
                  <m:r>
                    <m:rPr>
                      <m:sty m:val="p"/>
                    </m:rPr>
                    <w:rPr>
                      <w:rFonts w:hint="eastAsia" w:ascii="Times New Roman" w:hAnsi="Times New Roman" w:eastAsia="宋体" w:cs="黑体"/>
                      <w:color w:val="auto"/>
                      <w:szCs w:val="21"/>
                    </w:rPr>
                    <m:t>ω</m:t>
                  </m:r>
                  <m:ctrlPr>
                    <w:rPr>
                      <w:rFonts w:hint="eastAsia" w:ascii="Cambria Math" w:hAnsi="Cambria Math" w:eastAsia="宋体" w:cs="黑体"/>
                      <w:color w:val="auto"/>
                      <w:szCs w:val="21"/>
                    </w:rPr>
                  </m:ctrlPr>
                </m:e>
                <m:sub>
                  <m:r>
                    <m:rPr>
                      <m:sty m:val="p"/>
                    </m:rPr>
                    <w:rPr>
                      <w:rFonts w:hint="eastAsia" w:ascii="Times New Roman" w:hAnsi="Times New Roman" w:eastAsia="宋体" w:cs="黑体"/>
                      <w:color w:val="auto"/>
                      <w:szCs w:val="21"/>
                    </w:rPr>
                    <m:t>2</m:t>
                  </m:r>
                  <m:ctrlPr>
                    <w:rPr>
                      <w:rFonts w:hint="eastAsia" w:ascii="Cambria Math" w:hAnsi="Cambria Math" w:eastAsia="宋体" w:cs="黑体"/>
                      <w:color w:val="auto"/>
                      <w:szCs w:val="21"/>
                    </w:rPr>
                  </m:ctrlPr>
                </m:sub>
              </m:sSub>
            </m:oMath>
            <w:r>
              <w:rPr>
                <w:rFonts w:hint="eastAsia" w:hAnsi="黑体" w:cs="黑体" w:eastAsiaTheme="minorEastAsia"/>
                <w:color w:val="auto"/>
                <w:szCs w:val="21"/>
                <w:lang w:val="en-US" w:eastAsia="zh-CN"/>
              </w:rPr>
              <w:t>已是百分数。</w:t>
            </w:r>
          </w:p>
        </w:tc>
        <w:tc>
          <w:tcPr>
            <w:tcW w:w="1465" w:type="dxa"/>
            <w:shd w:val="clear" w:color="auto" w:fill="auto"/>
            <w:noWrap w:val="0"/>
            <w:vAlign w:val="center"/>
          </w:tcPr>
          <w:p w14:paraId="367AFFCF">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金隆铜业</w:t>
            </w:r>
          </w:p>
        </w:tc>
        <w:tc>
          <w:tcPr>
            <w:tcW w:w="1496" w:type="dxa"/>
            <w:shd w:val="clear" w:color="auto" w:fill="auto"/>
            <w:noWrap w:val="0"/>
            <w:vAlign w:val="center"/>
          </w:tcPr>
          <w:p w14:paraId="162304C7">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79DBCE34">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7978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1B506343">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2D35AC67">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全文</w:t>
            </w:r>
          </w:p>
        </w:tc>
        <w:tc>
          <w:tcPr>
            <w:tcW w:w="2847" w:type="dxa"/>
            <w:shd w:val="clear" w:color="auto" w:fill="auto"/>
            <w:noWrap w:val="0"/>
            <w:vAlign w:val="center"/>
          </w:tcPr>
          <w:p w14:paraId="50258BF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图、表、公式序号需全文梳理更新；</w:t>
            </w:r>
            <w:r>
              <w:rPr>
                <w:rFonts w:hint="eastAsia" w:hAnsi="黑体" w:cs="黑体" w:eastAsiaTheme="minorEastAsia"/>
                <w:color w:val="auto"/>
                <w:szCs w:val="21"/>
              </w:rPr>
              <w:t>5.2.4</w:t>
            </w:r>
            <w:r>
              <w:rPr>
                <w:rFonts w:hint="eastAsia" w:hAnsi="黑体" w:cs="黑体" w:eastAsiaTheme="minorEastAsia"/>
                <w:color w:val="auto"/>
                <w:szCs w:val="21"/>
                <w:lang w:eastAsia="zh-CN"/>
              </w:rPr>
              <w:t>、5.3.1、5.5.1</w:t>
            </w:r>
            <w:r>
              <w:rPr>
                <w:rFonts w:hint="eastAsia" w:hAnsi="黑体" w:cs="黑体" w:eastAsiaTheme="minorEastAsia"/>
                <w:color w:val="auto"/>
                <w:szCs w:val="21"/>
                <w:lang w:val="en-US" w:eastAsia="zh-CN"/>
              </w:rPr>
              <w:t>等章条中的序号需更新匹配。</w:t>
            </w:r>
          </w:p>
        </w:tc>
        <w:tc>
          <w:tcPr>
            <w:tcW w:w="1465" w:type="dxa"/>
            <w:shd w:val="clear" w:color="auto" w:fill="auto"/>
            <w:noWrap w:val="0"/>
            <w:vAlign w:val="center"/>
          </w:tcPr>
          <w:p w14:paraId="479E29A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金隆铜业</w:t>
            </w:r>
          </w:p>
        </w:tc>
        <w:tc>
          <w:tcPr>
            <w:tcW w:w="1496" w:type="dxa"/>
            <w:shd w:val="clear" w:color="auto" w:fill="auto"/>
            <w:noWrap w:val="0"/>
            <w:vAlign w:val="center"/>
          </w:tcPr>
          <w:p w14:paraId="619832B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32E2E678">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4FB6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1C36220D">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72357EB7">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6.3.3</w:t>
            </w:r>
          </w:p>
        </w:tc>
        <w:tc>
          <w:tcPr>
            <w:tcW w:w="2847" w:type="dxa"/>
            <w:shd w:val="clear" w:color="auto" w:fill="auto"/>
            <w:noWrap w:val="0"/>
            <w:vAlign w:val="center"/>
          </w:tcPr>
          <w:p w14:paraId="651F4B2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标准制样流程图均为共用/重用样品的制样流程图，建议增加不共用样品的制样流程图</w:t>
            </w:r>
          </w:p>
        </w:tc>
        <w:tc>
          <w:tcPr>
            <w:tcW w:w="1465" w:type="dxa"/>
            <w:shd w:val="clear" w:color="auto" w:fill="auto"/>
            <w:noWrap w:val="0"/>
            <w:vAlign w:val="center"/>
          </w:tcPr>
          <w:p w14:paraId="201CD3F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中国检验认证集团</w:t>
            </w:r>
          </w:p>
        </w:tc>
        <w:tc>
          <w:tcPr>
            <w:tcW w:w="1496" w:type="dxa"/>
            <w:shd w:val="clear" w:color="auto" w:fill="auto"/>
            <w:noWrap w:val="0"/>
            <w:vAlign w:val="center"/>
          </w:tcPr>
          <w:p w14:paraId="6F9E5B1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13BFFFA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4649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432E0185">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18DE4E9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2847" w:type="dxa"/>
            <w:shd w:val="clear" w:color="auto" w:fill="auto"/>
            <w:noWrap w:val="0"/>
            <w:vAlign w:val="center"/>
          </w:tcPr>
          <w:p w14:paraId="30561AA4">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default"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增加锑精矿相关内容，与其他精矿并列</w:t>
            </w:r>
          </w:p>
        </w:tc>
        <w:tc>
          <w:tcPr>
            <w:tcW w:w="1465" w:type="dxa"/>
            <w:shd w:val="clear" w:color="auto" w:fill="auto"/>
            <w:noWrap w:val="0"/>
            <w:vAlign w:val="center"/>
          </w:tcPr>
          <w:p w14:paraId="1B3B6C4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广西华锑科技有限公司</w:t>
            </w:r>
          </w:p>
        </w:tc>
        <w:tc>
          <w:tcPr>
            <w:tcW w:w="1496" w:type="dxa"/>
            <w:shd w:val="clear" w:color="auto" w:fill="auto"/>
            <w:noWrap w:val="0"/>
            <w:vAlign w:val="center"/>
          </w:tcPr>
          <w:p w14:paraId="05652212">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563F7BC3">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default"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增加“不同检验批锑精矿应取的最少份样数”的表格，增加锑精矿制样筛分目数要求等。</w:t>
            </w:r>
          </w:p>
        </w:tc>
      </w:tr>
      <w:tr w14:paraId="627D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2068713A">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22A515FE">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2847" w:type="dxa"/>
            <w:shd w:val="clear" w:color="auto" w:fill="auto"/>
            <w:noWrap w:val="0"/>
            <w:vAlign w:val="center"/>
          </w:tcPr>
          <w:p w14:paraId="49E31E8F">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default"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根据ISO 12743，对术语的英文翻译再次进行调整</w:t>
            </w:r>
          </w:p>
        </w:tc>
        <w:tc>
          <w:tcPr>
            <w:tcW w:w="1465" w:type="dxa"/>
            <w:shd w:val="clear" w:color="auto" w:fill="auto"/>
            <w:noWrap w:val="0"/>
            <w:vAlign w:val="center"/>
          </w:tcPr>
          <w:p w14:paraId="6CB24A26">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福建紫金矿冶测试技术有限公司</w:t>
            </w:r>
          </w:p>
        </w:tc>
        <w:tc>
          <w:tcPr>
            <w:tcW w:w="1496" w:type="dxa"/>
            <w:shd w:val="clear" w:color="auto" w:fill="auto"/>
            <w:noWrap w:val="0"/>
            <w:vAlign w:val="center"/>
          </w:tcPr>
          <w:p w14:paraId="1703844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采纳</w:t>
            </w:r>
          </w:p>
        </w:tc>
        <w:tc>
          <w:tcPr>
            <w:tcW w:w="1769" w:type="dxa"/>
            <w:shd w:val="clear" w:color="auto" w:fill="auto"/>
            <w:noWrap w:val="0"/>
            <w:vAlign w:val="center"/>
          </w:tcPr>
          <w:p w14:paraId="1B8E112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4BA8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75CDEE72">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13C7033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2847" w:type="dxa"/>
            <w:shd w:val="clear" w:color="auto" w:fill="auto"/>
            <w:noWrap w:val="0"/>
            <w:vAlign w:val="center"/>
          </w:tcPr>
          <w:p w14:paraId="5D13CC15">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default"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无意见</w:t>
            </w:r>
          </w:p>
        </w:tc>
        <w:tc>
          <w:tcPr>
            <w:tcW w:w="1465" w:type="dxa"/>
            <w:shd w:val="clear" w:color="auto" w:fill="auto"/>
            <w:noWrap w:val="0"/>
            <w:vAlign w:val="center"/>
          </w:tcPr>
          <w:p w14:paraId="76FFB0CA">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弘盛铜业</w:t>
            </w:r>
          </w:p>
        </w:tc>
        <w:tc>
          <w:tcPr>
            <w:tcW w:w="1496" w:type="dxa"/>
            <w:shd w:val="clear" w:color="auto" w:fill="auto"/>
            <w:noWrap w:val="0"/>
            <w:vAlign w:val="center"/>
          </w:tcPr>
          <w:p w14:paraId="5D2ABBA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1769" w:type="dxa"/>
            <w:shd w:val="clear" w:color="auto" w:fill="auto"/>
            <w:noWrap w:val="0"/>
            <w:vAlign w:val="center"/>
          </w:tcPr>
          <w:p w14:paraId="003ACB7F">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49FA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4DF8AC87">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095E79F4">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2847" w:type="dxa"/>
            <w:shd w:val="clear" w:color="auto" w:fill="auto"/>
            <w:noWrap w:val="0"/>
            <w:vAlign w:val="center"/>
          </w:tcPr>
          <w:p w14:paraId="1E06D6A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default"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无意见</w:t>
            </w:r>
          </w:p>
        </w:tc>
        <w:tc>
          <w:tcPr>
            <w:tcW w:w="1465" w:type="dxa"/>
            <w:shd w:val="clear" w:color="auto" w:fill="auto"/>
            <w:noWrap w:val="0"/>
            <w:vAlign w:val="center"/>
          </w:tcPr>
          <w:p w14:paraId="47024F72">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贵溪冶炼厂</w:t>
            </w:r>
          </w:p>
        </w:tc>
        <w:tc>
          <w:tcPr>
            <w:tcW w:w="1496" w:type="dxa"/>
            <w:shd w:val="clear" w:color="auto" w:fill="auto"/>
            <w:noWrap w:val="0"/>
            <w:vAlign w:val="center"/>
          </w:tcPr>
          <w:p w14:paraId="7800117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1769" w:type="dxa"/>
            <w:shd w:val="clear" w:color="auto" w:fill="auto"/>
            <w:noWrap w:val="0"/>
            <w:vAlign w:val="center"/>
          </w:tcPr>
          <w:p w14:paraId="60EC86A2">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3CB4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68275DA2">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0402C31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2847" w:type="dxa"/>
            <w:shd w:val="clear" w:color="auto" w:fill="auto"/>
            <w:noWrap w:val="0"/>
            <w:vAlign w:val="center"/>
          </w:tcPr>
          <w:p w14:paraId="3F7D797D">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default"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无意见</w:t>
            </w:r>
          </w:p>
        </w:tc>
        <w:tc>
          <w:tcPr>
            <w:tcW w:w="1465" w:type="dxa"/>
            <w:shd w:val="clear" w:color="auto" w:fill="auto"/>
            <w:noWrap w:val="0"/>
            <w:vAlign w:val="center"/>
          </w:tcPr>
          <w:p w14:paraId="1676716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山东中金岭南铜业有限责任公司</w:t>
            </w:r>
          </w:p>
        </w:tc>
        <w:tc>
          <w:tcPr>
            <w:tcW w:w="1496" w:type="dxa"/>
            <w:shd w:val="clear" w:color="auto" w:fill="auto"/>
            <w:noWrap w:val="0"/>
            <w:vAlign w:val="center"/>
          </w:tcPr>
          <w:p w14:paraId="568E509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1769" w:type="dxa"/>
            <w:shd w:val="clear" w:color="auto" w:fill="auto"/>
            <w:noWrap w:val="0"/>
            <w:vAlign w:val="center"/>
          </w:tcPr>
          <w:p w14:paraId="53C7D08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45B5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2D06F6DC">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479E282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2847" w:type="dxa"/>
            <w:shd w:val="clear" w:color="auto" w:fill="auto"/>
            <w:noWrap w:val="0"/>
            <w:vAlign w:val="center"/>
          </w:tcPr>
          <w:p w14:paraId="252774B9">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无意见</w:t>
            </w:r>
          </w:p>
        </w:tc>
        <w:tc>
          <w:tcPr>
            <w:tcW w:w="1465" w:type="dxa"/>
            <w:shd w:val="clear" w:color="auto" w:fill="auto"/>
            <w:noWrap w:val="0"/>
            <w:vAlign w:val="center"/>
          </w:tcPr>
          <w:p w14:paraId="51BFA82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r>
              <w:rPr>
                <w:rFonts w:hint="eastAsia" w:hAnsi="黑体" w:cs="黑体" w:eastAsiaTheme="minorEastAsia"/>
                <w:color w:val="auto"/>
                <w:szCs w:val="21"/>
                <w:lang w:val="en-US" w:eastAsia="zh-CN"/>
              </w:rPr>
              <w:t>五矿铜业有限公司</w:t>
            </w:r>
          </w:p>
        </w:tc>
        <w:tc>
          <w:tcPr>
            <w:tcW w:w="1496" w:type="dxa"/>
            <w:shd w:val="clear" w:color="auto" w:fill="auto"/>
            <w:noWrap w:val="0"/>
            <w:vAlign w:val="center"/>
          </w:tcPr>
          <w:p w14:paraId="361A5517">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1769" w:type="dxa"/>
            <w:shd w:val="clear" w:color="auto" w:fill="auto"/>
            <w:noWrap w:val="0"/>
            <w:vAlign w:val="center"/>
          </w:tcPr>
          <w:p w14:paraId="23A8163B">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r w14:paraId="14EB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2" w:type="dxa"/>
            <w:shd w:val="clear" w:color="auto" w:fill="auto"/>
            <w:noWrap w:val="0"/>
            <w:vAlign w:val="center"/>
          </w:tcPr>
          <w:p w14:paraId="35FB74E4">
            <w:pPr>
              <w:pStyle w:val="3"/>
              <w:keepNext w:val="0"/>
              <w:keepLines w:val="0"/>
              <w:pageBreakBefore w:val="0"/>
              <w:widowControl w:val="0"/>
              <w:numPr>
                <w:ilvl w:val="0"/>
                <w:numId w:val="5"/>
              </w:numPr>
              <w:kinsoku/>
              <w:wordWrap/>
              <w:overflowPunct/>
              <w:topLinePunct w:val="0"/>
              <w:autoSpaceDE/>
              <w:autoSpaceDN/>
              <w:bidi w:val="0"/>
              <w:adjustRightInd/>
              <w:snapToGrid/>
              <w:spacing w:beforeAutospacing="0" w:after="0" w:afterAutospacing="0" w:line="240" w:lineRule="auto"/>
              <w:ind w:left="425" w:leftChars="0" w:hanging="425"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952" w:type="dxa"/>
            <w:shd w:val="clear" w:color="auto" w:fill="auto"/>
            <w:noWrap w:val="0"/>
            <w:vAlign w:val="center"/>
          </w:tcPr>
          <w:p w14:paraId="5CDAF951">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2847" w:type="dxa"/>
            <w:shd w:val="clear" w:color="auto" w:fill="auto"/>
            <w:noWrap w:val="0"/>
            <w:vAlign w:val="center"/>
          </w:tcPr>
          <w:p w14:paraId="7E53D98C">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textAlignment w:val="auto"/>
              <w:rPr>
                <w:rFonts w:hint="default" w:ascii="Times New Roman" w:hAnsi="黑体" w:cs="黑体" w:eastAsiaTheme="minorEastAsia"/>
                <w:color w:val="auto"/>
                <w:kern w:val="2"/>
                <w:sz w:val="21"/>
                <w:szCs w:val="21"/>
                <w:lang w:val="en-US" w:eastAsia="zh-CN" w:bidi="ar-SA"/>
              </w:rPr>
            </w:pPr>
            <w:r>
              <w:rPr>
                <w:rFonts w:hint="eastAsia" w:hAnsi="黑体" w:cs="黑体" w:eastAsiaTheme="minorEastAsia"/>
                <w:color w:val="auto"/>
                <w:kern w:val="2"/>
                <w:sz w:val="21"/>
                <w:szCs w:val="21"/>
                <w:lang w:val="en-US" w:eastAsia="zh-CN" w:bidi="ar-SA"/>
              </w:rPr>
              <w:t>无意见</w:t>
            </w:r>
          </w:p>
        </w:tc>
        <w:tc>
          <w:tcPr>
            <w:tcW w:w="1465" w:type="dxa"/>
            <w:shd w:val="clear" w:color="auto" w:fill="auto"/>
            <w:noWrap w:val="0"/>
            <w:vAlign w:val="center"/>
          </w:tcPr>
          <w:p w14:paraId="023FFB1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黑体" w:cs="黑体" w:eastAsiaTheme="minorEastAsia"/>
                <w:color w:val="auto"/>
                <w:kern w:val="2"/>
                <w:sz w:val="21"/>
                <w:szCs w:val="21"/>
                <w:lang w:val="en-US" w:eastAsia="zh-CN" w:bidi="ar-SA"/>
              </w:rPr>
            </w:pPr>
            <w:r>
              <w:rPr>
                <w:rFonts w:hint="eastAsia" w:ascii="Times New Roman" w:hAnsi="黑体" w:cs="黑体" w:eastAsiaTheme="minorEastAsia"/>
                <w:color w:val="auto"/>
                <w:kern w:val="2"/>
                <w:sz w:val="21"/>
                <w:szCs w:val="21"/>
                <w:lang w:val="en-US" w:eastAsia="zh-CN" w:bidi="ar-SA"/>
              </w:rPr>
              <w:t>金川集团镍钴股份有限公司</w:t>
            </w:r>
          </w:p>
        </w:tc>
        <w:tc>
          <w:tcPr>
            <w:tcW w:w="1496" w:type="dxa"/>
            <w:shd w:val="clear" w:color="auto" w:fill="auto"/>
            <w:noWrap w:val="0"/>
            <w:vAlign w:val="center"/>
          </w:tcPr>
          <w:p w14:paraId="243079D0">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ascii="Times New Roman" w:hAnsi="黑体" w:cs="黑体" w:eastAsiaTheme="minorEastAsia"/>
                <w:color w:val="auto"/>
                <w:kern w:val="2"/>
                <w:sz w:val="21"/>
                <w:szCs w:val="21"/>
                <w:lang w:val="en-US" w:eastAsia="zh-CN" w:bidi="ar-SA"/>
              </w:rPr>
            </w:pPr>
          </w:p>
        </w:tc>
        <w:tc>
          <w:tcPr>
            <w:tcW w:w="1769" w:type="dxa"/>
            <w:shd w:val="clear" w:color="auto" w:fill="auto"/>
            <w:noWrap w:val="0"/>
            <w:vAlign w:val="center"/>
          </w:tcPr>
          <w:p w14:paraId="75BC16A3">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eastAsia" w:ascii="Times New Roman" w:hAnsi="黑体" w:cs="黑体" w:eastAsiaTheme="minorEastAsia"/>
                <w:color w:val="auto"/>
                <w:kern w:val="2"/>
                <w:sz w:val="21"/>
                <w:szCs w:val="21"/>
                <w:lang w:val="en-US" w:eastAsia="zh-CN" w:bidi="ar-SA"/>
              </w:rPr>
            </w:pPr>
          </w:p>
        </w:tc>
      </w:tr>
    </w:tbl>
    <w:p w14:paraId="3976EA8A">
      <w:pPr>
        <w:pStyle w:val="3"/>
        <w:keepNext w:val="0"/>
        <w:keepLines w:val="0"/>
        <w:pageBreakBefore w:val="0"/>
        <w:kinsoku/>
        <w:wordWrap/>
        <w:overflowPunct/>
        <w:topLinePunct w:val="0"/>
        <w:bidi w:val="0"/>
        <w:spacing w:beforeAutospacing="0" w:after="0" w:afterAutospacing="0" w:line="240" w:lineRule="auto"/>
        <w:ind w:firstLine="420" w:firstLineChars="200"/>
        <w:jc w:val="center"/>
        <w:rPr>
          <w:rFonts w:hint="eastAsia" w:hAnsi="黑体" w:cs="黑体" w:eastAsiaTheme="minorEastAsia"/>
          <w:color w:val="auto"/>
          <w:szCs w:val="21"/>
        </w:rPr>
      </w:pPr>
    </w:p>
    <w:p w14:paraId="4E6F3E2C">
      <w:pPr>
        <w:pStyle w:val="3"/>
        <w:keepNext w:val="0"/>
        <w:keepLines w:val="0"/>
        <w:pageBreakBefore w:val="0"/>
        <w:kinsoku/>
        <w:wordWrap/>
        <w:overflowPunct/>
        <w:topLinePunct w:val="0"/>
        <w:bidi w:val="0"/>
        <w:spacing w:beforeAutospacing="0" w:after="0" w:afterAutospacing="0"/>
        <w:rPr>
          <w:rFonts w:ascii="黑体" w:hAnsi="黑体" w:eastAsia="黑体" w:cs="黑体"/>
          <w:color w:val="auto"/>
          <w:kern w:val="0"/>
          <w:szCs w:val="21"/>
        </w:rPr>
      </w:pPr>
      <w:r>
        <w:rPr>
          <w:rFonts w:hint="eastAsia" w:ascii="黑体" w:hAnsi="黑体" w:eastAsia="黑体" w:cs="黑体"/>
          <w:color w:val="auto"/>
          <w:kern w:val="0"/>
          <w:szCs w:val="21"/>
        </w:rPr>
        <w:t>1.4.5审查阶段</w:t>
      </w:r>
    </w:p>
    <w:p w14:paraId="1CB0EA90">
      <w:pPr>
        <w:pStyle w:val="3"/>
        <w:keepNext w:val="0"/>
        <w:keepLines w:val="0"/>
        <w:pageBreakBefore w:val="0"/>
        <w:widowControl w:val="0"/>
        <w:numPr>
          <w:ilvl w:val="0"/>
          <w:numId w:val="6"/>
        </w:numPr>
        <w:kinsoku/>
        <w:wordWrap/>
        <w:overflowPunct/>
        <w:topLinePunct w:val="0"/>
        <w:autoSpaceDE/>
        <w:autoSpaceDN/>
        <w:bidi w:val="0"/>
        <w:adjustRightInd/>
        <w:snapToGrid/>
        <w:spacing w:beforeAutospacing="0" w:after="0" w:afterAutospacing="0"/>
        <w:ind w:firstLine="420" w:firstLineChars="200"/>
        <w:textAlignment w:val="auto"/>
        <w:rPr>
          <w:rFonts w:ascii="宋体" w:hAnsi="宋体" w:eastAsiaTheme="minorEastAsia"/>
          <w:color w:val="auto"/>
          <w:szCs w:val="21"/>
        </w:rPr>
      </w:pPr>
      <w:r>
        <w:rPr>
          <w:rFonts w:hint="eastAsia" w:ascii="宋体" w:hAnsi="宋体" w:eastAsiaTheme="minorEastAsia"/>
          <w:color w:val="auto"/>
          <w:szCs w:val="21"/>
        </w:rPr>
        <w:t>技术专家审查</w:t>
      </w:r>
    </w:p>
    <w:p w14:paraId="066476D6">
      <w:pPr>
        <w:pStyle w:val="3"/>
        <w:keepNext w:val="0"/>
        <w:keepLines w:val="0"/>
        <w:pageBreakBefore w:val="0"/>
        <w:widowControl w:val="0"/>
        <w:numPr>
          <w:ilvl w:val="0"/>
          <w:numId w:val="6"/>
        </w:numPr>
        <w:kinsoku/>
        <w:wordWrap/>
        <w:overflowPunct/>
        <w:topLinePunct w:val="0"/>
        <w:autoSpaceDE/>
        <w:autoSpaceDN/>
        <w:bidi w:val="0"/>
        <w:adjustRightInd/>
        <w:snapToGrid/>
        <w:spacing w:beforeAutospacing="0" w:after="0" w:afterAutospacing="0"/>
        <w:ind w:firstLine="420" w:firstLineChars="200"/>
        <w:textAlignment w:val="auto"/>
        <w:rPr>
          <w:rFonts w:ascii="宋体" w:hAnsi="宋体" w:eastAsiaTheme="minorEastAsia"/>
          <w:color w:val="auto"/>
          <w:szCs w:val="21"/>
        </w:rPr>
      </w:pPr>
      <w:r>
        <w:rPr>
          <w:rFonts w:hint="eastAsia" w:ascii="宋体" w:hAnsi="宋体" w:eastAsiaTheme="minorEastAsia"/>
          <w:color w:val="auto"/>
          <w:szCs w:val="21"/>
        </w:rPr>
        <w:t>委员审查</w:t>
      </w:r>
    </w:p>
    <w:p w14:paraId="0F9F4C09">
      <w:pPr>
        <w:pStyle w:val="3"/>
        <w:keepNext w:val="0"/>
        <w:keepLines w:val="0"/>
        <w:pageBreakBefore w:val="0"/>
        <w:kinsoku/>
        <w:wordWrap/>
        <w:overflowPunct/>
        <w:topLinePunct w:val="0"/>
        <w:bidi w:val="0"/>
        <w:spacing w:beforeAutospacing="0" w:after="0" w:afterAutospacing="0"/>
        <w:rPr>
          <w:rFonts w:ascii="黑体" w:hAnsi="黑体" w:eastAsia="黑体" w:cs="黑体"/>
          <w:color w:val="auto"/>
          <w:kern w:val="0"/>
          <w:szCs w:val="21"/>
        </w:rPr>
      </w:pPr>
      <w:r>
        <w:rPr>
          <w:rFonts w:hint="eastAsia" w:ascii="黑体" w:hAnsi="黑体" w:eastAsia="黑体" w:cs="黑体"/>
          <w:color w:val="auto"/>
          <w:kern w:val="0"/>
          <w:szCs w:val="21"/>
        </w:rPr>
        <w:t>1.4.</w:t>
      </w:r>
      <w:r>
        <w:rPr>
          <w:rFonts w:ascii="黑体" w:hAnsi="黑体" w:eastAsia="黑体" w:cs="黑体"/>
          <w:color w:val="auto"/>
          <w:kern w:val="0"/>
          <w:szCs w:val="21"/>
        </w:rPr>
        <w:t xml:space="preserve">6 </w:t>
      </w:r>
      <w:r>
        <w:rPr>
          <w:rFonts w:hint="eastAsia" w:ascii="黑体" w:hAnsi="黑体" w:eastAsia="黑体" w:cs="黑体"/>
          <w:color w:val="auto"/>
          <w:kern w:val="0"/>
          <w:szCs w:val="21"/>
        </w:rPr>
        <w:t>委员电子投票阶段</w:t>
      </w:r>
    </w:p>
    <w:p w14:paraId="1F980F54">
      <w:pPr>
        <w:pStyle w:val="3"/>
        <w:keepNext w:val="0"/>
        <w:keepLines w:val="0"/>
        <w:pageBreakBefore w:val="0"/>
        <w:kinsoku/>
        <w:wordWrap/>
        <w:overflowPunct/>
        <w:topLinePunct w:val="0"/>
        <w:bidi w:val="0"/>
        <w:spacing w:beforeAutospacing="0" w:after="0" w:afterAutospacing="0"/>
        <w:rPr>
          <w:rFonts w:hAnsi="黑体" w:cs="黑体"/>
          <w:color w:val="auto"/>
          <w:szCs w:val="21"/>
        </w:rPr>
      </w:pPr>
      <w:r>
        <w:rPr>
          <w:rFonts w:ascii="黑体" w:hAnsi="黑体" w:eastAsia="黑体" w:cs="黑体"/>
          <w:color w:val="auto"/>
          <w:kern w:val="0"/>
          <w:szCs w:val="21"/>
        </w:rPr>
        <w:t>1.4.7</w:t>
      </w:r>
      <w:r>
        <w:rPr>
          <w:rFonts w:hint="eastAsia" w:ascii="黑体" w:hAnsi="黑体" w:eastAsia="黑体" w:cs="黑体"/>
          <w:color w:val="auto"/>
          <w:kern w:val="0"/>
          <w:szCs w:val="21"/>
        </w:rPr>
        <w:t>报批阶段</w:t>
      </w:r>
    </w:p>
    <w:p w14:paraId="2790C5E9">
      <w:pPr>
        <w:pStyle w:val="9"/>
        <w:keepNext w:val="0"/>
        <w:keepLines w:val="0"/>
        <w:pageBreakBefore w:val="0"/>
        <w:numPr>
          <w:ilvl w:val="0"/>
          <w:numId w:val="7"/>
        </w:numPr>
        <w:kinsoku/>
        <w:wordWrap/>
        <w:overflowPunct/>
        <w:topLinePunct w:val="0"/>
        <w:bidi w:val="0"/>
        <w:spacing w:before="0" w:beforeAutospacing="0" w:after="0" w:afterAutospacing="0" w:line="440" w:lineRule="exact"/>
        <w:jc w:val="both"/>
        <w:rPr>
          <w:rFonts w:hint="eastAsia" w:ascii="黑体" w:eastAsia="黑体" w:cs="Arial"/>
          <w:color w:val="auto"/>
          <w:sz w:val="21"/>
          <w:szCs w:val="21"/>
        </w:rPr>
      </w:pPr>
      <w:r>
        <w:rPr>
          <w:rFonts w:hint="eastAsia" w:ascii="黑体" w:eastAsia="黑体" w:cs="Arial"/>
          <w:color w:val="auto"/>
          <w:sz w:val="21"/>
          <w:szCs w:val="21"/>
        </w:rPr>
        <w:t>编制原则</w:t>
      </w:r>
    </w:p>
    <w:p w14:paraId="278ABA0F">
      <w:pPr>
        <w:pStyle w:val="9"/>
        <w:keepNext w:val="0"/>
        <w:keepLines w:val="0"/>
        <w:pageBreakBefore w:val="0"/>
        <w:numPr>
          <w:ilvl w:val="0"/>
          <w:numId w:val="0"/>
        </w:numPr>
        <w:kinsoku/>
        <w:wordWrap/>
        <w:overflowPunct/>
        <w:topLinePunct w:val="0"/>
        <w:bidi w:val="0"/>
        <w:spacing w:before="0" w:beforeAutospacing="0" w:after="0" w:afterAutospacing="0" w:line="240" w:lineRule="auto"/>
        <w:ind w:firstLine="420" w:firstLineChars="0"/>
        <w:jc w:val="both"/>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本标准基于国内主要有色重金属精矿</w:t>
      </w:r>
      <w:r>
        <w:rPr>
          <w:rFonts w:hint="eastAsia" w:ascii="Times New Roman" w:hAnsi="Times New Roman" w:cs="Times New Roman" w:eastAsiaTheme="minorEastAsia"/>
          <w:color w:val="auto"/>
          <w:kern w:val="2"/>
          <w:sz w:val="21"/>
          <w:szCs w:val="21"/>
          <w:lang w:val="en-US" w:eastAsia="zh-CN"/>
        </w:rPr>
        <w:t>（铜精矿、铅精矿、锌精矿和镍精矿）取制样技术</w:t>
      </w:r>
      <w:r>
        <w:rPr>
          <w:rFonts w:hint="default" w:ascii="Times New Roman" w:hAnsi="Times New Roman" w:cs="Times New Roman" w:eastAsiaTheme="minorEastAsia"/>
          <w:color w:val="auto"/>
          <w:kern w:val="2"/>
          <w:sz w:val="21"/>
          <w:szCs w:val="21"/>
          <w:lang w:val="en-US" w:eastAsia="zh-CN"/>
        </w:rPr>
        <w:t>实际情况进行修订。标准的编制原则和编制依据如下：</w:t>
      </w:r>
    </w:p>
    <w:p w14:paraId="5E9C788A">
      <w:pPr>
        <w:pStyle w:val="9"/>
        <w:keepNext w:val="0"/>
        <w:keepLines w:val="0"/>
        <w:pageBreakBefore w:val="0"/>
        <w:numPr>
          <w:ilvl w:val="0"/>
          <w:numId w:val="0"/>
        </w:numPr>
        <w:kinsoku/>
        <w:wordWrap/>
        <w:overflowPunct/>
        <w:topLinePunct w:val="0"/>
        <w:bidi w:val="0"/>
        <w:spacing w:before="0" w:beforeAutospacing="0" w:after="0" w:afterAutospacing="0" w:line="240" w:lineRule="auto"/>
        <w:ind w:firstLine="420" w:firstLineChars="0"/>
        <w:jc w:val="both"/>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1）本标准按照GB/T 1.1-2020《标准化工作导则 第1部分：标准化文件的结构和起草规则》的规定起草；</w:t>
      </w:r>
    </w:p>
    <w:p w14:paraId="22F549DB">
      <w:pPr>
        <w:pStyle w:val="9"/>
        <w:keepNext w:val="0"/>
        <w:keepLines w:val="0"/>
        <w:pageBreakBefore w:val="0"/>
        <w:numPr>
          <w:ilvl w:val="0"/>
          <w:numId w:val="0"/>
        </w:numPr>
        <w:kinsoku/>
        <w:wordWrap/>
        <w:overflowPunct/>
        <w:topLinePunct w:val="0"/>
        <w:bidi w:val="0"/>
        <w:spacing w:before="0" w:beforeAutospacing="0" w:after="0" w:afterAutospacing="0" w:line="240" w:lineRule="auto"/>
        <w:ind w:firstLine="420" w:firstLineChars="0"/>
        <w:jc w:val="both"/>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2）查阅相关标准和调研国内外重金属精矿</w:t>
      </w:r>
      <w:r>
        <w:rPr>
          <w:rFonts w:hint="eastAsia" w:ascii="Times New Roman" w:hAnsi="Times New Roman" w:cs="Times New Roman" w:eastAsiaTheme="minorEastAsia"/>
          <w:color w:val="auto"/>
          <w:kern w:val="2"/>
          <w:sz w:val="21"/>
          <w:szCs w:val="21"/>
          <w:lang w:val="en-US" w:eastAsia="zh-CN"/>
        </w:rPr>
        <w:t>中取制样技术的实际现状</w:t>
      </w:r>
      <w:r>
        <w:rPr>
          <w:rFonts w:hint="default" w:ascii="Times New Roman" w:hAnsi="Times New Roman" w:cs="Times New Roman" w:eastAsiaTheme="minorEastAsia"/>
          <w:color w:val="auto"/>
          <w:kern w:val="2"/>
          <w:sz w:val="21"/>
          <w:szCs w:val="21"/>
          <w:lang w:val="en-US" w:eastAsia="zh-CN"/>
        </w:rPr>
        <w:t>；</w:t>
      </w:r>
    </w:p>
    <w:p w14:paraId="1C8E52CC">
      <w:pPr>
        <w:pStyle w:val="9"/>
        <w:keepNext w:val="0"/>
        <w:keepLines w:val="0"/>
        <w:pageBreakBefore w:val="0"/>
        <w:kinsoku/>
        <w:wordWrap/>
        <w:overflowPunct/>
        <w:topLinePunct w:val="0"/>
        <w:bidi w:val="0"/>
        <w:spacing w:before="0" w:beforeAutospacing="0" w:after="0" w:afterAutospacing="0" w:line="240" w:lineRule="auto"/>
        <w:ind w:firstLine="420" w:firstLineChars="200"/>
        <w:jc w:val="both"/>
        <w:rPr>
          <w:rFonts w:hint="eastAsia" w:ascii="黑体" w:eastAsia="黑体" w:cs="Arial"/>
          <w:color w:val="auto"/>
          <w:sz w:val="21"/>
          <w:szCs w:val="21"/>
        </w:rPr>
      </w:pPr>
      <w:r>
        <w:rPr>
          <w:rFonts w:hint="default" w:ascii="Times New Roman" w:hAnsi="Times New Roman" w:cs="Times New Roman" w:eastAsiaTheme="minorEastAsia"/>
          <w:color w:val="auto"/>
          <w:kern w:val="2"/>
          <w:sz w:val="21"/>
          <w:szCs w:val="21"/>
          <w:lang w:val="en-US" w:eastAsia="zh-CN"/>
        </w:rPr>
        <w:t>3）根据国内重金属行业的特点及实际情况，力求做到标准的科学、合理与实用。</w:t>
      </w:r>
    </w:p>
    <w:p w14:paraId="657AA4B0">
      <w:pPr>
        <w:pStyle w:val="9"/>
        <w:keepNext w:val="0"/>
        <w:keepLines w:val="0"/>
        <w:pageBreakBefore w:val="0"/>
        <w:numPr>
          <w:ilvl w:val="0"/>
          <w:numId w:val="7"/>
        </w:numPr>
        <w:kinsoku/>
        <w:wordWrap/>
        <w:overflowPunct/>
        <w:topLinePunct w:val="0"/>
        <w:bidi w:val="0"/>
        <w:spacing w:before="0" w:beforeAutospacing="0" w:after="0" w:afterAutospacing="0" w:line="240" w:lineRule="auto"/>
        <w:jc w:val="both"/>
        <w:rPr>
          <w:rFonts w:hint="eastAsia" w:ascii="黑体" w:eastAsia="黑体" w:cs="Arial"/>
          <w:color w:val="auto"/>
          <w:sz w:val="21"/>
          <w:szCs w:val="21"/>
        </w:rPr>
      </w:pPr>
      <w:r>
        <w:rPr>
          <w:rFonts w:hint="eastAsia" w:ascii="黑体" w:eastAsia="黑体" w:cs="Arial"/>
          <w:color w:val="auto"/>
          <w:sz w:val="21"/>
          <w:szCs w:val="21"/>
        </w:rPr>
        <w:t>标准主要技术内容的确定依据及主要试验和验证情况分析</w:t>
      </w:r>
    </w:p>
    <w:p w14:paraId="48367830">
      <w:pPr>
        <w:pStyle w:val="3"/>
        <w:keepNext w:val="0"/>
        <w:keepLines w:val="0"/>
        <w:pageBreakBefore w:val="0"/>
        <w:kinsoku/>
        <w:wordWrap/>
        <w:overflowPunct/>
        <w:topLinePunct w:val="0"/>
        <w:bidi w:val="0"/>
        <w:spacing w:beforeAutospacing="0" w:after="0" w:afterAutospacing="0" w:line="240" w:lineRule="auto"/>
        <w:ind w:firstLine="420" w:firstLineChars="200"/>
        <w:rPr>
          <w:rFonts w:hint="eastAsia" w:ascii="Times New Roman" w:hAnsi="Times New Roman" w:cs="Times New Roman" w:eastAsiaTheme="minorEastAsia"/>
          <w:color w:val="auto"/>
          <w:szCs w:val="21"/>
          <w:lang w:val="en-US" w:eastAsia="zh-CN"/>
        </w:rPr>
      </w:pPr>
      <w:r>
        <w:rPr>
          <w:rFonts w:hint="default" w:ascii="Times New Roman" w:hAnsi="Times New Roman" w:cs="Times New Roman" w:eastAsiaTheme="minorEastAsia"/>
          <w:color w:val="auto"/>
          <w:szCs w:val="21"/>
          <w:lang w:val="en-US" w:eastAsia="zh-CN"/>
        </w:rPr>
        <w:t>本标准为5项标准整合，代替GB/T 14260—2010《散装重有色金属浮选精矿取样、制样通则》、GB/T 14261—2010《散装浮选锌精矿取样、制样方法》、GB/T 14262—2010《散装浮选铅精矿取样、制样方法》、GB/T 14263—2010《散装浮选铜精矿取样、制样方法》、GB/T 25952—2010《散装浮选镍精矿取样、制样方法》</w:t>
      </w:r>
      <w:r>
        <w:rPr>
          <w:rFonts w:hint="eastAsia" w:ascii="Times New Roman" w:hAnsi="Times New Roman" w:cs="Times New Roman" w:eastAsiaTheme="minorEastAsia"/>
          <w:color w:val="auto"/>
          <w:szCs w:val="21"/>
          <w:lang w:val="en-US" w:eastAsia="zh-CN"/>
        </w:rPr>
        <w:t>。由于锌精矿、铅精矿、铜精矿和镍精矿取制样标准存在大量相似部分，且和</w:t>
      </w:r>
      <w:r>
        <w:rPr>
          <w:rFonts w:hint="default" w:ascii="Times New Roman" w:hAnsi="Times New Roman" w:cs="Times New Roman" w:eastAsiaTheme="minorEastAsia"/>
          <w:color w:val="auto"/>
          <w:szCs w:val="21"/>
          <w:lang w:val="en-US" w:eastAsia="zh-CN"/>
        </w:rPr>
        <w:t>GB/T 14260—2010</w:t>
      </w:r>
      <w:r>
        <w:rPr>
          <w:rFonts w:hint="eastAsia" w:ascii="Times New Roman" w:hAnsi="Times New Roman" w:cs="Times New Roman" w:eastAsiaTheme="minorEastAsia"/>
          <w:color w:val="auto"/>
          <w:szCs w:val="21"/>
          <w:lang w:val="en-US" w:eastAsia="zh-CN"/>
        </w:rPr>
        <w:t>相比仅部分内容有所不同，结合前期调研和长期实践经验累积的基础上，确定本次整合标准修订以</w:t>
      </w:r>
      <w:r>
        <w:rPr>
          <w:rFonts w:hint="default" w:ascii="Times New Roman" w:hAnsi="Times New Roman" w:cs="Times New Roman" w:eastAsiaTheme="minorEastAsia"/>
          <w:color w:val="auto"/>
          <w:szCs w:val="21"/>
          <w:lang w:val="en-US" w:eastAsia="zh-CN"/>
        </w:rPr>
        <w:t>GB/T 14260—2010</w:t>
      </w:r>
      <w:r>
        <w:rPr>
          <w:rFonts w:hint="eastAsia" w:ascii="Times New Roman" w:hAnsi="Times New Roman" w:cs="Times New Roman" w:eastAsiaTheme="minorEastAsia"/>
          <w:color w:val="auto"/>
          <w:szCs w:val="21"/>
          <w:lang w:val="en-US" w:eastAsia="zh-CN"/>
        </w:rPr>
        <w:t>为主，辅以</w:t>
      </w:r>
      <w:r>
        <w:rPr>
          <w:rFonts w:hint="default" w:ascii="Times New Roman" w:hAnsi="Times New Roman" w:cs="Times New Roman" w:eastAsiaTheme="minorEastAsia"/>
          <w:color w:val="auto"/>
          <w:szCs w:val="21"/>
          <w:lang w:val="en-US" w:eastAsia="zh-CN"/>
        </w:rPr>
        <w:t>GB/T 14261—2010</w:t>
      </w:r>
      <w:r>
        <w:rPr>
          <w:rFonts w:hint="eastAsia" w:ascii="Times New Roman" w:hAnsi="Times New Roman" w:cs="Times New Roman" w:eastAsiaTheme="minorEastAsia"/>
          <w:color w:val="auto"/>
          <w:szCs w:val="21"/>
          <w:lang w:val="en-US" w:eastAsia="zh-CN"/>
        </w:rPr>
        <w:t>、</w:t>
      </w:r>
      <w:r>
        <w:rPr>
          <w:rFonts w:hint="default" w:ascii="Times New Roman" w:hAnsi="Times New Roman" w:cs="Times New Roman" w:eastAsiaTheme="minorEastAsia"/>
          <w:color w:val="auto"/>
          <w:szCs w:val="21"/>
          <w:lang w:val="en-US" w:eastAsia="zh-CN"/>
        </w:rPr>
        <w:t>GB/T 14262—2010</w:t>
      </w:r>
      <w:r>
        <w:rPr>
          <w:rFonts w:hint="eastAsia" w:ascii="Times New Roman" w:hAnsi="Times New Roman" w:cs="Times New Roman" w:eastAsiaTheme="minorEastAsia"/>
          <w:color w:val="auto"/>
          <w:szCs w:val="21"/>
          <w:lang w:val="en-US" w:eastAsia="zh-CN"/>
        </w:rPr>
        <w:t>、</w:t>
      </w:r>
      <w:r>
        <w:rPr>
          <w:rFonts w:hint="default" w:ascii="Times New Roman" w:hAnsi="Times New Roman" w:cs="Times New Roman" w:eastAsiaTheme="minorEastAsia"/>
          <w:color w:val="auto"/>
          <w:szCs w:val="21"/>
          <w:lang w:val="en-US" w:eastAsia="zh-CN"/>
        </w:rPr>
        <w:t>GB/T 14263—2010</w:t>
      </w:r>
      <w:r>
        <w:rPr>
          <w:rFonts w:hint="eastAsia" w:ascii="Times New Roman" w:hAnsi="Times New Roman" w:cs="Times New Roman" w:eastAsiaTheme="minorEastAsia"/>
          <w:color w:val="auto"/>
          <w:szCs w:val="21"/>
          <w:lang w:val="en-US" w:eastAsia="zh-CN"/>
        </w:rPr>
        <w:t>、</w:t>
      </w:r>
      <w:r>
        <w:rPr>
          <w:rFonts w:hint="default" w:ascii="Times New Roman" w:hAnsi="Times New Roman" w:cs="Times New Roman" w:eastAsiaTheme="minorEastAsia"/>
          <w:color w:val="auto"/>
          <w:szCs w:val="21"/>
          <w:lang w:val="en-US" w:eastAsia="zh-CN"/>
        </w:rPr>
        <w:t>GB/T 25952—2010</w:t>
      </w:r>
      <w:r>
        <w:rPr>
          <w:rFonts w:hint="eastAsia" w:ascii="Times New Roman" w:hAnsi="Times New Roman" w:cs="Times New Roman" w:eastAsiaTheme="minorEastAsia"/>
          <w:color w:val="auto"/>
          <w:szCs w:val="21"/>
          <w:lang w:val="en-US" w:eastAsia="zh-CN"/>
        </w:rPr>
        <w:t>的具体要求，</w:t>
      </w:r>
      <w:r>
        <w:rPr>
          <w:rFonts w:hint="default" w:ascii="Times New Roman" w:hAnsi="Times New Roman" w:cs="Times New Roman" w:eastAsiaTheme="minorEastAsia"/>
          <w:color w:val="auto"/>
          <w:szCs w:val="21"/>
          <w:lang w:val="en-US" w:eastAsia="zh-CN"/>
        </w:rPr>
        <w:t>除结构</w:t>
      </w:r>
      <w:r>
        <w:rPr>
          <w:rFonts w:hint="eastAsia" w:ascii="Times New Roman" w:hAnsi="Times New Roman" w:cs="Times New Roman" w:eastAsiaTheme="minorEastAsia"/>
          <w:color w:val="auto"/>
          <w:szCs w:val="21"/>
          <w:lang w:val="en-US" w:eastAsia="zh-CN"/>
        </w:rPr>
        <w:t>性</w:t>
      </w:r>
      <w:r>
        <w:rPr>
          <w:rFonts w:hint="default" w:ascii="Times New Roman" w:hAnsi="Times New Roman" w:cs="Times New Roman" w:eastAsiaTheme="minorEastAsia"/>
          <w:color w:val="auto"/>
          <w:szCs w:val="21"/>
          <w:lang w:val="en-US" w:eastAsia="zh-CN"/>
        </w:rPr>
        <w:t>调整和编辑性改动外，</w:t>
      </w:r>
      <w:r>
        <w:rPr>
          <w:rFonts w:hint="eastAsia" w:ascii="Times New Roman" w:hAnsi="Times New Roman" w:cs="Times New Roman" w:eastAsiaTheme="minorEastAsia"/>
          <w:color w:val="auto"/>
          <w:szCs w:val="21"/>
          <w:lang w:val="en-US" w:eastAsia="zh-CN"/>
        </w:rPr>
        <w:t>主要修订内容如下：</w:t>
      </w:r>
    </w:p>
    <w:p w14:paraId="3B964F48">
      <w:pPr>
        <w:pStyle w:val="3"/>
        <w:keepNext w:val="0"/>
        <w:keepLines w:val="0"/>
        <w:pageBreakBefore w:val="0"/>
        <w:kinsoku/>
        <w:wordWrap/>
        <w:overflowPunct/>
        <w:topLinePunct w:val="0"/>
        <w:bidi w:val="0"/>
        <w:spacing w:beforeAutospacing="0" w:after="0" w:afterAutospacing="0" w:line="240" w:lineRule="auto"/>
        <w:ind w:firstLine="0"/>
        <w:rPr>
          <w:rFonts w:hint="eastAsia" w:ascii="黑体" w:hAnsi="宋体" w:eastAsia="黑体" w:cs="Arial"/>
          <w:color w:val="auto"/>
          <w:kern w:val="0"/>
          <w:sz w:val="21"/>
          <w:szCs w:val="21"/>
          <w:lang w:val="en-US" w:eastAsia="zh-CN"/>
        </w:rPr>
      </w:pPr>
      <w:r>
        <w:rPr>
          <w:rFonts w:hint="eastAsia" w:ascii="黑体" w:hAnsi="宋体" w:eastAsia="黑体" w:cs="Arial"/>
          <w:color w:val="auto"/>
          <w:kern w:val="0"/>
          <w:sz w:val="21"/>
          <w:szCs w:val="21"/>
          <w:lang w:val="en-US" w:eastAsia="zh-CN"/>
        </w:rPr>
        <w:t>3.1  修改了部分术语定义</w:t>
      </w:r>
    </w:p>
    <w:p w14:paraId="6FF3F475">
      <w:pPr>
        <w:pStyle w:val="3"/>
        <w:keepNext w:val="0"/>
        <w:keepLines w:val="0"/>
        <w:pageBreakBefore w:val="0"/>
        <w:kinsoku/>
        <w:wordWrap/>
        <w:overflowPunct/>
        <w:topLinePunct w:val="0"/>
        <w:bidi w:val="0"/>
        <w:spacing w:beforeAutospacing="0" w:after="0" w:afterAutospacing="0" w:line="240" w:lineRule="auto"/>
        <w:ind w:firstLine="420"/>
        <w:rPr>
          <w:rFonts w:hint="default" w:ascii="宋体" w:eastAsiaTheme="minorEastAsia" w:cstheme="minorBidi"/>
          <w:color w:val="auto"/>
          <w:kern w:val="2"/>
          <w:sz w:val="21"/>
          <w:szCs w:val="21"/>
          <w:lang w:val="en-US" w:eastAsia="zh-CN"/>
        </w:rPr>
      </w:pPr>
      <w:r>
        <w:rPr>
          <w:rFonts w:hint="eastAsia" w:ascii="宋体" w:eastAsiaTheme="minorEastAsia" w:cstheme="minorBidi"/>
          <w:color w:val="auto"/>
          <w:kern w:val="2"/>
          <w:sz w:val="21"/>
          <w:szCs w:val="21"/>
          <w:lang w:val="en-US" w:eastAsia="zh-CN"/>
        </w:rPr>
        <w:t>根据文本内容的修订，以及参考国际标准ISO 12743-2021-05中的部分英语翻译内容，一是“3.11 试样的兼用”和“3.12 试样的重用”在正文中并无出现，予以删除，二是参考ISO12743：2021将份样的英文翻译“sample”调整为“increment” ，对应的将成分试样英文翻译“increment”调整为“laboratory sample”；三是增加了快化分析、淘洗、目视三条术语定义。</w:t>
      </w:r>
    </w:p>
    <w:p w14:paraId="720F0DA3">
      <w:pPr>
        <w:pStyle w:val="3"/>
        <w:keepNext w:val="0"/>
        <w:keepLines w:val="0"/>
        <w:pageBreakBefore w:val="0"/>
        <w:kinsoku/>
        <w:wordWrap/>
        <w:overflowPunct/>
        <w:topLinePunct w:val="0"/>
        <w:bidi w:val="0"/>
        <w:spacing w:beforeAutospacing="0" w:after="0" w:afterAutospacing="0" w:line="240" w:lineRule="auto"/>
        <w:ind w:firstLine="0"/>
        <w:rPr>
          <w:rFonts w:hint="eastAsia" w:ascii="宋体" w:eastAsiaTheme="minorEastAsia" w:cstheme="minorBidi"/>
          <w:color w:val="auto"/>
          <w:kern w:val="2"/>
          <w:sz w:val="21"/>
          <w:szCs w:val="21"/>
          <w:lang w:val="en-US" w:eastAsia="zh-CN"/>
        </w:rPr>
      </w:pPr>
      <w:r>
        <w:rPr>
          <w:rFonts w:hint="eastAsia" w:ascii="黑体" w:hAnsi="宋体" w:eastAsia="黑体" w:cs="Arial"/>
          <w:color w:val="auto"/>
          <w:kern w:val="0"/>
          <w:sz w:val="21"/>
          <w:szCs w:val="21"/>
          <w:lang w:val="en-US" w:eastAsia="zh-CN"/>
        </w:rPr>
        <w:t>3.2  取制样工具和水分容器的要求</w:t>
      </w:r>
    </w:p>
    <w:p w14:paraId="46C9DD49">
      <w:pPr>
        <w:pStyle w:val="3"/>
        <w:keepNext w:val="0"/>
        <w:keepLines w:val="0"/>
        <w:pageBreakBefore w:val="0"/>
        <w:kinsoku/>
        <w:wordWrap/>
        <w:overflowPunct/>
        <w:topLinePunct w:val="0"/>
        <w:bidi w:val="0"/>
        <w:spacing w:beforeAutospacing="0" w:after="0" w:afterAutospacing="0" w:line="240" w:lineRule="auto"/>
        <w:ind w:firstLine="420"/>
        <w:rPr>
          <w:rFonts w:hint="eastAsia" w:ascii="宋体" w:eastAsiaTheme="minorEastAsia" w:cstheme="minorBidi"/>
          <w:color w:val="auto"/>
          <w:kern w:val="2"/>
          <w:sz w:val="21"/>
          <w:szCs w:val="21"/>
          <w:lang w:val="en-US" w:eastAsia="zh-CN"/>
        </w:rPr>
      </w:pPr>
      <w:r>
        <w:rPr>
          <w:rFonts w:hint="eastAsia" w:ascii="宋体" w:eastAsiaTheme="minorEastAsia" w:cstheme="minorBidi"/>
          <w:color w:val="auto"/>
          <w:kern w:val="2"/>
          <w:sz w:val="21"/>
          <w:szCs w:val="21"/>
          <w:lang w:val="en-US" w:eastAsia="zh-CN"/>
        </w:rPr>
        <w:t>重有色金属精矿价值高，因此取制样过程一方面要避免品质污染导致检验批次的品质差异波动较大，因此需要保持取样、制样所用工具和盛样容器的清洁、干燥、耐用，同时还应避免阳光直射，导致样品变质；另一方面，结算干重和试样的水分有直接的关系，因此试样存储容器要保持良好的密封性，同时规避其他影响水分的过程。</w:t>
      </w:r>
    </w:p>
    <w:p w14:paraId="6DC67380">
      <w:pPr>
        <w:pStyle w:val="3"/>
        <w:keepNext w:val="0"/>
        <w:keepLines w:val="0"/>
        <w:pageBreakBefore w:val="0"/>
        <w:kinsoku/>
        <w:wordWrap/>
        <w:overflowPunct/>
        <w:topLinePunct w:val="0"/>
        <w:bidi w:val="0"/>
        <w:spacing w:beforeAutospacing="0" w:after="0" w:afterAutospacing="0" w:line="240" w:lineRule="auto"/>
        <w:ind w:firstLine="0"/>
        <w:rPr>
          <w:rFonts w:hint="default" w:ascii="黑体" w:hAnsi="宋体" w:eastAsia="黑体" w:cs="Arial"/>
          <w:color w:val="auto"/>
          <w:kern w:val="0"/>
          <w:sz w:val="21"/>
          <w:szCs w:val="21"/>
          <w:lang w:val="en-US" w:eastAsia="zh-CN"/>
        </w:rPr>
      </w:pPr>
      <w:r>
        <w:rPr>
          <w:rFonts w:hint="eastAsia" w:ascii="黑体" w:hAnsi="宋体" w:eastAsia="黑体" w:cs="Arial"/>
          <w:color w:val="auto"/>
          <w:kern w:val="0"/>
          <w:sz w:val="21"/>
          <w:szCs w:val="21"/>
          <w:lang w:val="en-US" w:eastAsia="zh-CN"/>
        </w:rPr>
        <w:t>3.3  增加预检验的方式</w:t>
      </w:r>
    </w:p>
    <w:p w14:paraId="27DED4E3">
      <w:pPr>
        <w:pStyle w:val="3"/>
        <w:keepNext w:val="0"/>
        <w:keepLines w:val="0"/>
        <w:pageBreakBefore w:val="0"/>
        <w:kinsoku/>
        <w:wordWrap/>
        <w:overflowPunct/>
        <w:topLinePunct w:val="0"/>
        <w:bidi w:val="0"/>
        <w:spacing w:beforeAutospacing="0" w:after="0" w:afterAutospacing="0" w:line="240" w:lineRule="auto"/>
        <w:ind w:firstLine="420"/>
        <w:rPr>
          <w:rFonts w:hint="eastAsia"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以铜精矿为例，目前国内矿和集装箱的进口矿很多是混矿，无论是水分还是品位差异较大，有时候不具备正常的检验条件。增加快化分析、淘洗、目视等可以提前预警，减少买卖双方损失，同时及时取证留痕，也可以挽回买方的经济损失，督促卖方做好混矿的品质把控。</w:t>
      </w:r>
    </w:p>
    <w:p w14:paraId="2748B674">
      <w:pPr>
        <w:pStyle w:val="3"/>
        <w:keepNext w:val="0"/>
        <w:keepLines w:val="0"/>
        <w:pageBreakBefore w:val="0"/>
        <w:kinsoku/>
        <w:wordWrap/>
        <w:overflowPunct/>
        <w:topLinePunct w:val="0"/>
        <w:bidi w:val="0"/>
        <w:spacing w:beforeAutospacing="0" w:after="0" w:afterAutospacing="0" w:line="240" w:lineRule="auto"/>
        <w:ind w:firstLine="0"/>
        <w:rPr>
          <w:rFonts w:hint="default" w:ascii="黑体" w:hAnsi="宋体" w:eastAsia="黑体" w:cs="Arial"/>
          <w:color w:val="auto"/>
          <w:kern w:val="0"/>
          <w:sz w:val="21"/>
          <w:szCs w:val="21"/>
          <w:lang w:val="en-US" w:eastAsia="zh-CN"/>
        </w:rPr>
      </w:pPr>
      <w:r>
        <w:rPr>
          <w:rFonts w:hint="eastAsia" w:ascii="黑体" w:hAnsi="宋体" w:eastAsia="黑体" w:cs="Arial"/>
          <w:color w:val="auto"/>
          <w:kern w:val="0"/>
          <w:sz w:val="21"/>
          <w:szCs w:val="21"/>
          <w:lang w:val="en-US" w:eastAsia="zh-CN"/>
        </w:rPr>
        <w:t>3.4  运输通道上精矿动态取样方式</w:t>
      </w:r>
    </w:p>
    <w:p w14:paraId="0B8E0EC5">
      <w:pPr>
        <w:pStyle w:val="3"/>
        <w:keepNext w:val="0"/>
        <w:keepLines w:val="0"/>
        <w:pageBreakBefore w:val="0"/>
        <w:kinsoku/>
        <w:wordWrap/>
        <w:overflowPunct/>
        <w:topLinePunct w:val="0"/>
        <w:bidi w:val="0"/>
        <w:spacing w:beforeAutospacing="0" w:after="0" w:afterAutospacing="0" w:line="240" w:lineRule="auto"/>
        <w:ind w:firstLine="420"/>
        <w:rPr>
          <w:rFonts w:hint="default"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由于国内冶炼厂基本是依靠火车或汽车运输进厂，因此之前一直忽略了自动取样的方式方法，本次标准整合修订也是希望能够纳入一些自动化的取样方式方法，相比较而言，在一定运输通道上的精矿动态取样，试样更具有代表性，且不受人为因素影响，作业环境更加安全，也是值得大力推广的，以上技术在国外已经相当普及，国内目前有一些冶炼厂也尝试采用这种取样方式，故此，在</w:t>
      </w:r>
      <w:bookmarkStart w:id="11" w:name="_Toc30027"/>
      <w:bookmarkStart w:id="12" w:name="_Toc23792"/>
      <w:bookmarkStart w:id="13" w:name="_Toc27034"/>
      <w:bookmarkStart w:id="14" w:name="_Toc10684"/>
      <w:bookmarkStart w:id="15" w:name="_Toc2832"/>
      <w:bookmarkStart w:id="16" w:name="_Toc23627"/>
      <w:bookmarkStart w:id="17" w:name="_Toc20037"/>
      <w:r>
        <w:rPr>
          <w:rFonts w:hint="eastAsia" w:ascii="Times New Roman" w:hAnsi="Times New Roman" w:cs="Times New Roman" w:eastAsiaTheme="minorEastAsia"/>
          <w:color w:val="auto"/>
          <w:kern w:val="2"/>
          <w:sz w:val="21"/>
          <w:szCs w:val="21"/>
          <w:lang w:val="en-US" w:eastAsia="zh-CN"/>
        </w:rPr>
        <w:t>“5.5.1  系统取样法”</w:t>
      </w:r>
      <w:bookmarkEnd w:id="11"/>
      <w:bookmarkEnd w:id="12"/>
      <w:bookmarkEnd w:id="13"/>
      <w:bookmarkEnd w:id="14"/>
      <w:bookmarkEnd w:id="15"/>
      <w:bookmarkEnd w:id="16"/>
      <w:bookmarkEnd w:id="17"/>
      <w:r>
        <w:rPr>
          <w:rFonts w:hint="eastAsia" w:ascii="Times New Roman" w:hAnsi="Times New Roman" w:cs="Times New Roman" w:eastAsiaTheme="minorEastAsia"/>
          <w:color w:val="auto"/>
          <w:kern w:val="2"/>
          <w:sz w:val="21"/>
          <w:szCs w:val="21"/>
          <w:lang w:val="en-US" w:eastAsia="zh-CN"/>
        </w:rPr>
        <w:t>中增加运输通道中运动着的精矿进行取样的描述。</w:t>
      </w:r>
    </w:p>
    <w:p w14:paraId="5EDA06B7">
      <w:pPr>
        <w:pStyle w:val="3"/>
        <w:keepNext w:val="0"/>
        <w:keepLines w:val="0"/>
        <w:pageBreakBefore w:val="0"/>
        <w:kinsoku/>
        <w:wordWrap/>
        <w:overflowPunct/>
        <w:topLinePunct w:val="0"/>
        <w:bidi w:val="0"/>
        <w:spacing w:beforeAutospacing="0" w:after="0" w:afterAutospacing="0" w:line="240" w:lineRule="auto"/>
        <w:ind w:firstLine="0"/>
        <w:rPr>
          <w:rFonts w:hint="default" w:ascii="黑体" w:hAnsi="宋体" w:eastAsia="黑体" w:cs="Arial"/>
          <w:color w:val="auto"/>
          <w:kern w:val="0"/>
          <w:sz w:val="21"/>
          <w:szCs w:val="21"/>
          <w:lang w:val="en-US" w:eastAsia="zh-CN"/>
        </w:rPr>
      </w:pPr>
      <w:r>
        <w:rPr>
          <w:rFonts w:hint="eastAsia" w:ascii="黑体" w:hAnsi="宋体" w:eastAsia="黑体" w:cs="Arial"/>
          <w:color w:val="auto"/>
          <w:kern w:val="0"/>
          <w:sz w:val="21"/>
          <w:szCs w:val="21"/>
          <w:lang w:val="en-US" w:eastAsia="zh-CN"/>
        </w:rPr>
        <w:t>3.5  增加试样的混匀、缩分和破碎方式</w:t>
      </w:r>
    </w:p>
    <w:p w14:paraId="4A3DDBFE">
      <w:pPr>
        <w:pStyle w:val="3"/>
        <w:keepNext w:val="0"/>
        <w:keepLines w:val="0"/>
        <w:pageBreakBefore w:val="0"/>
        <w:kinsoku/>
        <w:wordWrap/>
        <w:overflowPunct/>
        <w:topLinePunct w:val="0"/>
        <w:bidi w:val="0"/>
        <w:spacing w:beforeAutospacing="0" w:after="0" w:afterAutospacing="0" w:line="240" w:lineRule="auto"/>
        <w:ind w:firstLine="420"/>
        <w:rPr>
          <w:rFonts w:hint="eastAsia" w:ascii="Times New Roman" w:hAnsi="Times New Roman" w:cs="Times New Roman" w:eastAsiaTheme="minorEastAsia"/>
          <w:strike w:val="0"/>
          <w:dstrike w:val="0"/>
          <w:color w:val="auto"/>
          <w:kern w:val="2"/>
          <w:sz w:val="21"/>
          <w:szCs w:val="21"/>
          <w:lang w:val="en-US" w:eastAsia="zh-CN"/>
        </w:rPr>
      </w:pPr>
      <w:r>
        <w:rPr>
          <w:rFonts w:hint="eastAsia" w:ascii="Times New Roman" w:hAnsi="Times New Roman" w:cs="Times New Roman" w:eastAsiaTheme="minorEastAsia"/>
          <w:strike w:val="0"/>
          <w:dstrike w:val="0"/>
          <w:color w:val="auto"/>
          <w:kern w:val="2"/>
          <w:sz w:val="21"/>
          <w:szCs w:val="21"/>
          <w:lang w:val="en-US" w:eastAsia="zh-CN"/>
        </w:rPr>
        <w:t>原各标准仅规定了份样缩分法和圆锥四分法两种缩分方法，均未涉及样品的混匀及破碎方式，难以有效规范制样过程。为此，本次修订系统总结了各单位常用的制样方法与设备，归纳了不同技术路径，并参考国际标准ISO 12743-2021-05，将部分自动化设备纳入可采用的制样方法。</w:t>
      </w:r>
    </w:p>
    <w:p w14:paraId="359E62AF">
      <w:pPr>
        <w:pStyle w:val="3"/>
        <w:keepNext w:val="0"/>
        <w:keepLines w:val="0"/>
        <w:pageBreakBefore w:val="0"/>
        <w:kinsoku/>
        <w:wordWrap/>
        <w:overflowPunct/>
        <w:topLinePunct w:val="0"/>
        <w:bidi w:val="0"/>
        <w:spacing w:beforeAutospacing="0" w:after="0" w:afterAutospacing="0" w:line="240" w:lineRule="auto"/>
        <w:ind w:firstLine="0"/>
        <w:rPr>
          <w:rFonts w:hint="default" w:ascii="黑体" w:hAnsi="宋体" w:eastAsia="黑体" w:cs="Arial"/>
          <w:color w:val="auto"/>
          <w:kern w:val="0"/>
          <w:sz w:val="21"/>
          <w:szCs w:val="21"/>
          <w:lang w:val="en-US" w:eastAsia="zh-CN"/>
        </w:rPr>
      </w:pPr>
      <w:r>
        <w:rPr>
          <w:rFonts w:hint="eastAsia" w:ascii="黑体" w:hAnsi="宋体" w:eastAsia="黑体" w:cs="Arial"/>
          <w:color w:val="auto"/>
          <w:kern w:val="0"/>
          <w:sz w:val="21"/>
          <w:szCs w:val="21"/>
          <w:lang w:val="en-US" w:eastAsia="zh-CN"/>
        </w:rPr>
        <w:t>3.6  水分测定设备和工具、步骤要求</w:t>
      </w:r>
    </w:p>
    <w:p w14:paraId="5ABE7362">
      <w:pPr>
        <w:pStyle w:val="3"/>
        <w:keepNext w:val="0"/>
        <w:keepLines w:val="0"/>
        <w:pageBreakBefore w:val="0"/>
        <w:kinsoku/>
        <w:wordWrap/>
        <w:overflowPunct/>
        <w:topLinePunct w:val="0"/>
        <w:bidi w:val="0"/>
        <w:spacing w:beforeAutospacing="0" w:after="0" w:afterAutospacing="0" w:line="240" w:lineRule="auto"/>
        <w:ind w:firstLine="420"/>
        <w:rPr>
          <w:rFonts w:hint="default"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精矿的水分测定一般采用电子天平。考虑到增加水分测定的精确度，结合实际经验可知，实际水分测定时试样质量≥1000g的水分结果更具有代表性，感量不大于0.01g电子天平可以确保水分测定的结果更精确。同时测样过程中要保证烘箱不得有湿的试样进出，影响烘箱的其他试样，最好是保证烘箱在烘样时是专用的。</w:t>
      </w:r>
    </w:p>
    <w:p w14:paraId="553FC6C3">
      <w:pPr>
        <w:pStyle w:val="3"/>
        <w:keepNext w:val="0"/>
        <w:keepLines w:val="0"/>
        <w:pageBreakBefore w:val="0"/>
        <w:kinsoku/>
        <w:wordWrap/>
        <w:overflowPunct/>
        <w:topLinePunct w:val="0"/>
        <w:bidi w:val="0"/>
        <w:spacing w:beforeAutospacing="0" w:after="0" w:afterAutospacing="0" w:line="240" w:lineRule="auto"/>
        <w:ind w:firstLine="0"/>
        <w:rPr>
          <w:rFonts w:hint="default" w:ascii="黑体" w:hAnsi="宋体" w:eastAsia="黑体" w:cs="Arial"/>
          <w:color w:val="auto"/>
          <w:kern w:val="0"/>
          <w:sz w:val="21"/>
          <w:szCs w:val="21"/>
          <w:lang w:val="en-US" w:eastAsia="zh-CN"/>
        </w:rPr>
      </w:pPr>
      <w:r>
        <w:rPr>
          <w:rFonts w:hint="eastAsia" w:ascii="黑体" w:hAnsi="宋体" w:eastAsia="黑体" w:cs="Arial"/>
          <w:color w:val="auto"/>
          <w:kern w:val="0"/>
          <w:sz w:val="21"/>
          <w:szCs w:val="21"/>
          <w:lang w:val="en-US" w:eastAsia="zh-CN"/>
        </w:rPr>
        <w:t>3.7  精矿的烘样时间要求</w:t>
      </w:r>
    </w:p>
    <w:p w14:paraId="09DC31D7">
      <w:pPr>
        <w:pStyle w:val="3"/>
        <w:keepNext w:val="0"/>
        <w:keepLines w:val="0"/>
        <w:pageBreakBefore w:val="0"/>
        <w:kinsoku/>
        <w:wordWrap/>
        <w:overflowPunct/>
        <w:topLinePunct w:val="0"/>
        <w:bidi w:val="0"/>
        <w:spacing w:beforeAutospacing="0" w:after="0" w:afterAutospacing="0" w:line="240" w:lineRule="auto"/>
        <w:ind w:firstLine="420"/>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eastAsiaTheme="minorEastAsia"/>
          <w:color w:val="auto"/>
          <w:kern w:val="2"/>
          <w:sz w:val="21"/>
          <w:szCs w:val="21"/>
          <w:lang w:val="en-US" w:eastAsia="zh-CN"/>
        </w:rPr>
        <w:t>当烘箱温度在 105±5℃左右时，对于常规粒度且初始含水量在 8%-12% 的锌精矿，烘样时间大概在3-5小时。若样品含有较多的结晶水或吸附水，或者粒度不均匀，可能需要适当延长烘样时间至5-8小时，以保证水分完全去除；对于粒度较细、初始含水量在10%以下的铅精矿样品，烘样时间通常为</w:t>
      </w:r>
      <w:r>
        <w:rPr>
          <w:rFonts w:hint="eastAsia" w:ascii="Times New Roman" w:hAnsi="Times New Roman" w:cs="Times New Roman" w:eastAsiaTheme="minorEastAsia"/>
          <w:color w:val="auto"/>
          <w:kern w:val="2"/>
          <w:sz w:val="21"/>
          <w:szCs w:val="21"/>
          <w:lang w:val="en-US" w:eastAsia="zh-CN"/>
        </w:rPr>
        <w:t>2</w:t>
      </w:r>
      <w:r>
        <w:rPr>
          <w:rFonts w:hint="default" w:ascii="Times New Roman" w:hAnsi="Times New Roman" w:cs="Times New Roman" w:eastAsiaTheme="minorEastAsia"/>
          <w:color w:val="auto"/>
          <w:kern w:val="2"/>
          <w:sz w:val="21"/>
          <w:szCs w:val="21"/>
          <w:lang w:val="en-US" w:eastAsia="zh-CN"/>
        </w:rPr>
        <w:t>-4小时。如果样品粒度较粗或初始含水量较高，可能需要4-6小时甚至更长时间，以确保样品完全烘干；铜精矿如果初始含水量在10%-15%，粒度较均匀，烘样时间大约为3-5小时。若样品中含有一些易挥发的成分或者结合水较多，可能需要适当调整温度并延长烘样时间至 5-7小时，以确保样品烘干效果良好，满足分析测试要求；对于镍精矿，在 105℃-115℃的烘箱温度下，若样品初始含水量在15% 以下，粒度适中，烘样时间一般为3-6 小时。但如果是红土镍矿等含水量较高、性质较为特殊的镍精矿，可能需要6</w:t>
      </w:r>
      <w:r>
        <w:rPr>
          <w:rFonts w:hint="eastAsia" w:ascii="Times New Roman" w:hAnsi="Times New Roman" w:cs="Times New Roman" w:eastAsiaTheme="minorEastAsia"/>
          <w:color w:val="auto"/>
          <w:kern w:val="2"/>
          <w:sz w:val="21"/>
          <w:szCs w:val="21"/>
          <w:lang w:val="en-US" w:eastAsia="zh-CN"/>
        </w:rPr>
        <w:t>-</w:t>
      </w:r>
      <w:r>
        <w:rPr>
          <w:rFonts w:hint="default" w:ascii="Times New Roman" w:hAnsi="Times New Roman" w:cs="Times New Roman" w:eastAsiaTheme="minorEastAsia"/>
          <w:color w:val="auto"/>
          <w:kern w:val="2"/>
          <w:sz w:val="21"/>
          <w:szCs w:val="21"/>
          <w:lang w:val="en-US" w:eastAsia="zh-CN"/>
        </w:rPr>
        <w:t>10小时甚至更久的烘干时间，才能达到恒重状态。</w:t>
      </w:r>
      <w:r>
        <w:rPr>
          <w:rFonts w:hint="eastAsia" w:ascii="Times New Roman" w:hAnsi="Times New Roman" w:cs="Times New Roman" w:eastAsiaTheme="minorEastAsia"/>
          <w:color w:val="auto"/>
          <w:kern w:val="2"/>
          <w:sz w:val="21"/>
          <w:szCs w:val="21"/>
          <w:lang w:val="en-US" w:eastAsia="zh-CN"/>
        </w:rPr>
        <w:t>综上可知，烘样时间因根据精矿的实际情况而定，而非一成不变。为此，本次标准删除了对烘样时间的硬性规定，改为干燥一定时间后取出，只需最终样品可以保持恒重即可。</w:t>
      </w:r>
    </w:p>
    <w:p w14:paraId="7EE5F69F">
      <w:pPr>
        <w:pStyle w:val="3"/>
        <w:keepNext w:val="0"/>
        <w:keepLines w:val="0"/>
        <w:pageBreakBefore w:val="0"/>
        <w:kinsoku/>
        <w:wordWrap/>
        <w:overflowPunct/>
        <w:topLinePunct w:val="0"/>
        <w:bidi w:val="0"/>
        <w:spacing w:beforeAutospacing="0" w:after="0" w:afterAutospacing="0" w:line="240" w:lineRule="auto"/>
        <w:ind w:firstLine="0"/>
        <w:rPr>
          <w:rFonts w:hint="eastAsia" w:ascii="黑体" w:hAnsi="宋体" w:eastAsia="黑体" w:cs="Arial"/>
          <w:color w:val="auto"/>
          <w:kern w:val="0"/>
          <w:sz w:val="21"/>
          <w:szCs w:val="21"/>
          <w:lang w:val="en-US" w:eastAsia="zh-CN"/>
        </w:rPr>
      </w:pPr>
      <w:r>
        <w:rPr>
          <w:rFonts w:hint="eastAsia" w:ascii="黑体" w:hAnsi="宋体" w:eastAsia="黑体" w:cs="Arial"/>
          <w:color w:val="auto"/>
          <w:kern w:val="0"/>
          <w:sz w:val="21"/>
          <w:szCs w:val="21"/>
          <w:lang w:val="en-US" w:eastAsia="zh-CN"/>
        </w:rPr>
        <w:t>3.10  水分误差超过允差后的处理</w:t>
      </w:r>
    </w:p>
    <w:p w14:paraId="56A899F7">
      <w:pPr>
        <w:pStyle w:val="3"/>
        <w:keepNext w:val="0"/>
        <w:keepLines w:val="0"/>
        <w:pageBreakBefore w:val="0"/>
        <w:kinsoku/>
        <w:wordWrap/>
        <w:overflowPunct/>
        <w:topLinePunct w:val="0"/>
        <w:bidi w:val="0"/>
        <w:spacing w:beforeAutospacing="0" w:after="0" w:afterAutospacing="0" w:line="240" w:lineRule="auto"/>
        <w:ind w:firstLine="420"/>
        <w:rPr>
          <w:rFonts w:hint="default"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原有精矿标准中对于两个水分试样的平行水分允差要求不大于0.2%，原则上是要求重新测定，但是这个时候其实已经不具备重新测定的条件，或者说重新测定后仍然存在允差大于0.2% 的情况该如何处理。国际标准上对于水分允差超过0.2%有详细的解决方案：若超过则将两份水分样品再次烘样（保证时间），进行二次测定，若允差不超过0.2%，取四次结果的平均值，若允差超过0.2%，则舍去最大、最小值，取剩下两个水分测定值的平均值。</w:t>
      </w:r>
      <w:r>
        <w:rPr>
          <w:rFonts w:hint="eastAsia" w:ascii="Times New Roman" w:hAnsi="Times New Roman" w:cs="Times New Roman" w:eastAsiaTheme="minorEastAsia"/>
          <w:strike w:val="0"/>
          <w:dstrike w:val="0"/>
          <w:color w:val="auto"/>
          <w:kern w:val="2"/>
          <w:sz w:val="21"/>
          <w:szCs w:val="21"/>
          <w:lang w:val="en-US" w:eastAsia="zh-CN"/>
        </w:rPr>
        <w:t>本次修订建议借鉴该处理方法，以有效避免供需双方在水分检测上的贸易争端，进一步完善标准内容。</w:t>
      </w:r>
    </w:p>
    <w:p w14:paraId="2F6995C6">
      <w:pPr>
        <w:keepNext w:val="0"/>
        <w:keepLines w:val="0"/>
        <w:pageBreakBefore w:val="0"/>
        <w:kinsoku/>
        <w:wordWrap/>
        <w:overflowPunct/>
        <w:topLinePunct w:val="0"/>
        <w:bidi w:val="0"/>
        <w:spacing w:beforeAutospacing="0" w:afterAutospacing="0" w:line="440" w:lineRule="exact"/>
        <w:rPr>
          <w:rFonts w:hint="eastAsia" w:ascii="黑体" w:hAnsi="宋体" w:eastAsia="黑体" w:cs="Arial"/>
          <w:bCs w:val="0"/>
          <w:color w:val="auto"/>
          <w:kern w:val="0"/>
          <w:szCs w:val="21"/>
        </w:rPr>
      </w:pPr>
      <w:r>
        <w:rPr>
          <w:rFonts w:hint="eastAsia" w:ascii="黑体" w:hAnsi="宋体" w:eastAsia="黑体" w:cs="Arial"/>
          <w:bCs w:val="0"/>
          <w:color w:val="auto"/>
          <w:kern w:val="0"/>
          <w:szCs w:val="21"/>
        </w:rPr>
        <w:t>四、标准中涉及专利的情况</w:t>
      </w:r>
    </w:p>
    <w:p w14:paraId="00A396AA">
      <w:pPr>
        <w:pStyle w:val="3"/>
        <w:keepNext w:val="0"/>
        <w:keepLines w:val="0"/>
        <w:pageBreakBefore w:val="0"/>
        <w:kinsoku/>
        <w:wordWrap/>
        <w:overflowPunct/>
        <w:topLinePunct w:val="0"/>
        <w:bidi w:val="0"/>
        <w:spacing w:beforeAutospacing="0" w:after="0" w:afterAutospacing="0"/>
        <w:ind w:firstLine="420" w:firstLineChars="200"/>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无。</w:t>
      </w:r>
    </w:p>
    <w:p w14:paraId="17BEE988">
      <w:pPr>
        <w:pStyle w:val="9"/>
        <w:keepNext w:val="0"/>
        <w:keepLines w:val="0"/>
        <w:pageBreakBefore w:val="0"/>
        <w:kinsoku/>
        <w:wordWrap/>
        <w:overflowPunct/>
        <w:topLinePunct w:val="0"/>
        <w:bidi w:val="0"/>
        <w:spacing w:before="0" w:beforeAutospacing="0" w:after="0" w:afterAutospacing="0" w:line="440" w:lineRule="exact"/>
        <w:rPr>
          <w:rFonts w:hint="eastAsia" w:ascii="黑体" w:eastAsia="黑体" w:cs="Arial"/>
          <w:color w:val="auto"/>
          <w:sz w:val="21"/>
          <w:szCs w:val="21"/>
        </w:rPr>
      </w:pPr>
      <w:r>
        <w:rPr>
          <w:rFonts w:hint="eastAsia" w:ascii="黑体" w:hAnsi="宋体" w:eastAsia="黑体" w:cs="Arial"/>
          <w:bCs w:val="0"/>
          <w:color w:val="auto"/>
          <w:sz w:val="21"/>
          <w:szCs w:val="21"/>
          <w:lang w:val="en-US" w:eastAsia="zh-CN"/>
        </w:rPr>
        <w:t>五</w:t>
      </w:r>
      <w:r>
        <w:rPr>
          <w:rFonts w:hint="eastAsia" w:ascii="黑体" w:hAnsi="宋体" w:eastAsia="黑体" w:cs="Arial"/>
          <w:bCs w:val="0"/>
          <w:color w:val="auto"/>
          <w:sz w:val="21"/>
          <w:szCs w:val="21"/>
        </w:rPr>
        <w:t>、</w:t>
      </w:r>
      <w:r>
        <w:rPr>
          <w:rFonts w:hint="eastAsia" w:ascii="黑体" w:hAnsi="宋体" w:eastAsia="黑体" w:cs="Arial"/>
          <w:bCs w:val="0"/>
          <w:color w:val="auto"/>
          <w:sz w:val="21"/>
          <w:szCs w:val="21"/>
          <w:lang w:val="en-US" w:eastAsia="zh-CN"/>
        </w:rPr>
        <w:t>标准的</w:t>
      </w:r>
      <w:r>
        <w:rPr>
          <w:rFonts w:hint="eastAsia" w:ascii="黑体" w:hAnsi="宋体" w:eastAsia="黑体" w:cs="Arial"/>
          <w:bCs w:val="0"/>
          <w:color w:val="auto"/>
          <w:sz w:val="21"/>
          <w:szCs w:val="21"/>
        </w:rPr>
        <w:t>先进性、创新性</w:t>
      </w:r>
      <w:r>
        <w:rPr>
          <w:rFonts w:hint="eastAsia" w:ascii="黑体" w:hAnsi="宋体" w:eastAsia="黑体" w:cs="Arial"/>
          <w:bCs w:val="0"/>
          <w:color w:val="auto"/>
          <w:sz w:val="21"/>
          <w:szCs w:val="21"/>
          <w:lang w:eastAsia="zh-CN"/>
        </w:rPr>
        <w:t>，</w:t>
      </w:r>
      <w:r>
        <w:rPr>
          <w:rFonts w:hint="eastAsia" w:ascii="黑体" w:eastAsia="黑体" w:cs="Arial"/>
          <w:color w:val="auto"/>
          <w:sz w:val="21"/>
          <w:szCs w:val="21"/>
        </w:rPr>
        <w:t>预期的经济效益、社会效益和生态效益</w:t>
      </w:r>
    </w:p>
    <w:p w14:paraId="708E9655">
      <w:pPr>
        <w:pStyle w:val="3"/>
        <w:keepNext w:val="0"/>
        <w:keepLines w:val="0"/>
        <w:pageBreakBefore w:val="0"/>
        <w:kinsoku/>
        <w:wordWrap/>
        <w:overflowPunct/>
        <w:topLinePunct w:val="0"/>
        <w:bidi w:val="0"/>
        <w:spacing w:beforeAutospacing="0" w:after="0" w:afterAutospacing="0"/>
        <w:ind w:firstLine="420" w:firstLineChars="200"/>
        <w:rPr>
          <w:rFonts w:hint="eastAsia" w:ascii="宋体" w:hAnsi="宋体" w:eastAsiaTheme="minorEastAsia"/>
          <w:color w:val="auto"/>
          <w:szCs w:val="21"/>
          <w:lang w:eastAsia="zh-CN"/>
        </w:rPr>
      </w:pPr>
      <w:r>
        <w:rPr>
          <w:rFonts w:hint="eastAsia" w:ascii="宋体" w:hAnsi="宋体" w:eastAsiaTheme="minorEastAsia"/>
          <w:color w:val="auto"/>
          <w:szCs w:val="21"/>
        </w:rPr>
        <w:t>本项目修订内容结合近十年发布的相关</w:t>
      </w:r>
      <w:r>
        <w:rPr>
          <w:rFonts w:hint="eastAsia" w:ascii="宋体" w:hAnsi="宋体" w:eastAsiaTheme="minorEastAsia"/>
          <w:color w:val="auto"/>
          <w:szCs w:val="21"/>
          <w:lang w:val="en-US" w:eastAsia="zh-CN"/>
        </w:rPr>
        <w:t>精矿品种</w:t>
      </w:r>
      <w:r>
        <w:rPr>
          <w:rFonts w:hint="eastAsia" w:ascii="宋体" w:hAnsi="宋体" w:eastAsiaTheme="minorEastAsia"/>
          <w:color w:val="auto"/>
          <w:szCs w:val="21"/>
        </w:rPr>
        <w:t>取制样</w:t>
      </w:r>
      <w:r>
        <w:rPr>
          <w:rFonts w:hint="eastAsia" w:ascii="宋体" w:hAnsi="宋体" w:eastAsiaTheme="minorEastAsia"/>
          <w:color w:val="auto"/>
          <w:szCs w:val="21"/>
          <w:lang w:val="en-US" w:eastAsia="zh-CN"/>
        </w:rPr>
        <w:t>技术的实际</w:t>
      </w:r>
      <w:r>
        <w:rPr>
          <w:rFonts w:hint="eastAsia" w:ascii="宋体" w:hAnsi="宋体" w:eastAsiaTheme="minorEastAsia"/>
          <w:color w:val="auto"/>
          <w:szCs w:val="21"/>
        </w:rPr>
        <w:t>要求，</w:t>
      </w:r>
      <w:r>
        <w:rPr>
          <w:rFonts w:hint="eastAsia" w:ascii="宋体" w:hAnsi="宋体" w:eastAsiaTheme="minorEastAsia"/>
          <w:color w:val="auto"/>
          <w:szCs w:val="21"/>
          <w:lang w:val="en-US" w:eastAsia="zh-CN"/>
        </w:rPr>
        <w:t>细化和补充了取样批量、取样工具、自动化取样、具体制样方法、水分超时测定等内容</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标准在修订过程中，</w:t>
      </w:r>
      <w:r>
        <w:rPr>
          <w:rFonts w:hint="eastAsia" w:ascii="宋体" w:hAnsi="宋体" w:eastAsiaTheme="minorEastAsia"/>
          <w:color w:val="auto"/>
          <w:szCs w:val="21"/>
        </w:rPr>
        <w:t>充分调研了各有色重金属精矿品种相关生产、使用、贸易单位的数据和意见，调研数据覆盖面广</w:t>
      </w:r>
      <w:r>
        <w:rPr>
          <w:rFonts w:hint="eastAsia" w:ascii="宋体" w:hAnsi="宋体" w:eastAsiaTheme="minorEastAsia"/>
          <w:color w:val="auto"/>
          <w:szCs w:val="21"/>
          <w:lang w:val="en-US" w:eastAsia="zh-CN"/>
        </w:rPr>
        <w:t>。修订后的标准</w:t>
      </w:r>
      <w:r>
        <w:rPr>
          <w:rFonts w:hint="eastAsia" w:ascii="宋体" w:hAnsi="宋体" w:eastAsiaTheme="minorEastAsia"/>
          <w:color w:val="auto"/>
          <w:szCs w:val="21"/>
        </w:rPr>
        <w:t>对促进我国有色重金属精矿</w:t>
      </w:r>
      <w:r>
        <w:rPr>
          <w:rFonts w:hint="eastAsia" w:ascii="宋体" w:hAnsi="宋体" w:eastAsiaTheme="minorEastAsia"/>
          <w:color w:val="auto"/>
          <w:szCs w:val="21"/>
          <w:lang w:val="en-US" w:eastAsia="zh-CN"/>
        </w:rPr>
        <w:t>取制样</w:t>
      </w:r>
      <w:r>
        <w:rPr>
          <w:rFonts w:hint="eastAsia" w:ascii="宋体" w:hAnsi="宋体" w:eastAsiaTheme="minorEastAsia"/>
          <w:color w:val="auto"/>
          <w:szCs w:val="21"/>
        </w:rPr>
        <w:t>的有序化和规范化产生积极作用</w:t>
      </w:r>
      <w:r>
        <w:rPr>
          <w:rFonts w:hint="eastAsia" w:ascii="宋体" w:hAnsi="宋体" w:eastAsiaTheme="minorEastAsia"/>
          <w:color w:val="auto"/>
          <w:szCs w:val="21"/>
          <w:lang w:eastAsia="zh-CN"/>
        </w:rPr>
        <w:t>。</w:t>
      </w:r>
    </w:p>
    <w:p w14:paraId="0EA5F01C">
      <w:pPr>
        <w:pStyle w:val="3"/>
        <w:keepNext w:val="0"/>
        <w:keepLines w:val="0"/>
        <w:pageBreakBefore w:val="0"/>
        <w:kinsoku/>
        <w:wordWrap/>
        <w:overflowPunct/>
        <w:topLinePunct w:val="0"/>
        <w:bidi w:val="0"/>
        <w:spacing w:beforeAutospacing="0" w:after="0" w:afterAutospacing="0"/>
        <w:ind w:firstLine="420" w:firstLineChars="200"/>
        <w:rPr>
          <w:rFonts w:hint="default" w:ascii="宋体" w:hAnsi="宋体" w:eastAsiaTheme="minorEastAsia"/>
          <w:color w:val="auto"/>
          <w:szCs w:val="21"/>
          <w:lang w:val="en-US" w:eastAsia="zh-CN"/>
        </w:rPr>
      </w:pPr>
      <w:r>
        <w:rPr>
          <w:rFonts w:hint="eastAsia" w:ascii="宋体" w:hAnsi="宋体" w:eastAsiaTheme="minorEastAsia"/>
          <w:color w:val="auto"/>
          <w:szCs w:val="21"/>
        </w:rPr>
        <w:t>标准实施后预期产生的效益：2023年，我国铜精矿产量162.2万吨</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进口量</w:t>
      </w:r>
      <w:r>
        <w:rPr>
          <w:rFonts w:hint="eastAsia" w:ascii="宋体" w:hAnsi="宋体" w:eastAsiaTheme="minorEastAsia"/>
          <w:color w:val="auto"/>
          <w:szCs w:val="21"/>
        </w:rPr>
        <w:t>2753.6万吨</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铅精矿产量</w:t>
      </w:r>
      <w:r>
        <w:rPr>
          <w:rFonts w:hint="eastAsia" w:ascii="宋体" w:hAnsi="宋体" w:eastAsiaTheme="minorEastAsia"/>
          <w:color w:val="auto"/>
          <w:szCs w:val="21"/>
        </w:rPr>
        <w:t>196.0万吨</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进口量</w:t>
      </w:r>
      <w:r>
        <w:rPr>
          <w:rFonts w:hint="eastAsia" w:ascii="宋体" w:hAnsi="宋体" w:eastAsiaTheme="minorEastAsia"/>
          <w:color w:val="auto"/>
          <w:szCs w:val="21"/>
        </w:rPr>
        <w:t>114万吨</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锌精矿产量</w:t>
      </w:r>
      <w:r>
        <w:rPr>
          <w:rFonts w:hint="eastAsia" w:ascii="宋体" w:hAnsi="宋体" w:eastAsiaTheme="minorEastAsia"/>
          <w:color w:val="auto"/>
          <w:szCs w:val="21"/>
        </w:rPr>
        <w:t>406.0万吨</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进口量</w:t>
      </w:r>
      <w:r>
        <w:rPr>
          <w:rFonts w:hint="eastAsia" w:ascii="宋体" w:hAnsi="宋体" w:eastAsiaTheme="minorEastAsia"/>
          <w:color w:val="auto"/>
          <w:szCs w:val="21"/>
        </w:rPr>
        <w:t>471.3万吨</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镍矿产量</w:t>
      </w:r>
      <w:r>
        <w:rPr>
          <w:rFonts w:hint="eastAsia" w:ascii="宋体" w:hAnsi="宋体" w:eastAsiaTheme="minorEastAsia"/>
          <w:color w:val="auto"/>
          <w:szCs w:val="21"/>
        </w:rPr>
        <w:t>11.3万吨</w:t>
      </w:r>
      <w:r>
        <w:rPr>
          <w:rFonts w:hint="eastAsia" w:ascii="宋体" w:hAnsi="宋体" w:eastAsiaTheme="minorEastAsia"/>
          <w:color w:val="auto"/>
          <w:szCs w:val="21"/>
          <w:lang w:val="en-US" w:eastAsia="zh-CN"/>
        </w:rPr>
        <w:t>、进口量</w:t>
      </w:r>
      <w:r>
        <w:rPr>
          <w:rFonts w:hint="eastAsia" w:ascii="宋体" w:hAnsi="宋体" w:eastAsiaTheme="minorEastAsia"/>
          <w:color w:val="auto"/>
          <w:szCs w:val="21"/>
        </w:rPr>
        <w:t>4446.6万吨</w:t>
      </w:r>
      <w:r>
        <w:rPr>
          <w:rFonts w:hint="eastAsia" w:ascii="宋体" w:hAnsi="宋体" w:eastAsiaTheme="minorEastAsia"/>
          <w:color w:val="auto"/>
          <w:szCs w:val="21"/>
          <w:lang w:eastAsia="zh-CN"/>
        </w:rPr>
        <w:t>。</w:t>
      </w:r>
      <w:r>
        <w:rPr>
          <w:rFonts w:hint="eastAsia" w:ascii="宋体" w:hAnsi="宋体" w:eastAsiaTheme="minorEastAsia"/>
          <w:color w:val="auto"/>
          <w:szCs w:val="21"/>
        </w:rPr>
        <w:t>我国是有色金属大国，国家统计局数据显示，2024年我国规模以上有色金属企业工业增加值同比增长8.9%，十种有色金属产量7919万吨，比上年增长4.3%</w:t>
      </w:r>
      <w:r>
        <w:rPr>
          <w:rFonts w:hint="eastAsia" w:ascii="宋体" w:hAnsi="宋体" w:eastAsiaTheme="minorEastAsia"/>
          <w:color w:val="auto"/>
          <w:szCs w:val="21"/>
          <w:lang w:eastAsia="zh-CN"/>
        </w:rPr>
        <w:t>；</w:t>
      </w:r>
      <w:r>
        <w:rPr>
          <w:rFonts w:hint="eastAsia" w:ascii="宋体" w:hAnsi="宋体" w:eastAsiaTheme="minorEastAsia"/>
          <w:color w:val="auto"/>
          <w:szCs w:val="21"/>
        </w:rPr>
        <w:t>预计</w:t>
      </w:r>
      <w:r>
        <w:rPr>
          <w:rFonts w:hint="eastAsia" w:ascii="宋体" w:hAnsi="宋体" w:eastAsiaTheme="minorEastAsia"/>
          <w:color w:val="auto"/>
          <w:szCs w:val="21"/>
          <w:lang w:val="en-US" w:eastAsia="zh-CN"/>
        </w:rPr>
        <w:t>2024年</w:t>
      </w:r>
      <w:r>
        <w:rPr>
          <w:rFonts w:hint="eastAsia" w:ascii="宋体" w:hAnsi="宋体" w:eastAsiaTheme="minorEastAsia"/>
          <w:color w:val="auto"/>
          <w:szCs w:val="21"/>
        </w:rPr>
        <w:t>全年规上有色金属工业企业实现利润总额达到4200亿元左右，同比增长超过10%。标准实施后预期1）经济和社会方面：能够更科学合理的规范有色重金属精矿</w:t>
      </w:r>
      <w:r>
        <w:rPr>
          <w:rFonts w:hint="eastAsia" w:ascii="宋体" w:hAnsi="宋体" w:eastAsiaTheme="minorEastAsia"/>
          <w:color w:val="auto"/>
          <w:szCs w:val="21"/>
          <w:lang w:val="en-US" w:eastAsia="zh-CN"/>
        </w:rPr>
        <w:t>在生产、进口、贸易、使用等环节的取制样过程</w:t>
      </w:r>
      <w:r>
        <w:rPr>
          <w:rFonts w:hint="eastAsia" w:ascii="宋体" w:hAnsi="宋体" w:eastAsiaTheme="minorEastAsia"/>
          <w:color w:val="auto"/>
          <w:szCs w:val="21"/>
        </w:rPr>
        <w:t>，利于我国有色金属行业经济稳定发展和社会稳定并将有力的推动我国有色重金属冶炼行业的健康</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高质量</w:t>
      </w:r>
      <w:r>
        <w:rPr>
          <w:rFonts w:hint="eastAsia" w:ascii="宋体" w:hAnsi="宋体" w:eastAsiaTheme="minorEastAsia"/>
          <w:color w:val="auto"/>
          <w:szCs w:val="21"/>
        </w:rPr>
        <w:t>发展</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2）生态效益方面：无。</w:t>
      </w:r>
    </w:p>
    <w:p w14:paraId="5F91CCC4">
      <w:pPr>
        <w:keepNext w:val="0"/>
        <w:keepLines w:val="0"/>
        <w:pageBreakBefore w:val="0"/>
        <w:kinsoku/>
        <w:wordWrap/>
        <w:overflowPunct/>
        <w:topLinePunct w:val="0"/>
        <w:bidi w:val="0"/>
        <w:spacing w:beforeAutospacing="0" w:afterAutospacing="0" w:line="240" w:lineRule="auto"/>
        <w:rPr>
          <w:rFonts w:hint="eastAsia" w:ascii="黑体" w:hAnsi="宋体" w:eastAsia="黑体" w:cs="Arial"/>
          <w:bCs w:val="0"/>
          <w:color w:val="auto"/>
          <w:kern w:val="0"/>
          <w:szCs w:val="21"/>
        </w:rPr>
      </w:pPr>
      <w:r>
        <w:rPr>
          <w:rFonts w:hint="eastAsia" w:ascii="黑体" w:hAnsi="宋体" w:eastAsia="黑体" w:cs="Arial"/>
          <w:bCs w:val="0"/>
          <w:color w:val="auto"/>
          <w:kern w:val="0"/>
          <w:szCs w:val="21"/>
        </w:rPr>
        <w:t>五、与国际、国外同类标准技术内容的对比情况</w:t>
      </w:r>
    </w:p>
    <w:p w14:paraId="4A5F367A">
      <w:pPr>
        <w:pStyle w:val="3"/>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420" w:firstLineChars="200"/>
        <w:textAlignment w:val="auto"/>
        <w:rPr>
          <w:rFonts w:hint="eastAsia" w:ascii="宋体" w:hAnsi="宋体" w:eastAsiaTheme="minorEastAsia"/>
          <w:color w:val="auto"/>
          <w:szCs w:val="21"/>
          <w:lang w:val="en-US" w:eastAsia="zh-CN"/>
        </w:rPr>
      </w:pPr>
      <w:r>
        <w:rPr>
          <w:rFonts w:hint="eastAsia" w:ascii="宋体" w:hAnsi="宋体" w:eastAsiaTheme="minorEastAsia"/>
          <w:color w:val="auto"/>
          <w:szCs w:val="21"/>
          <w:lang w:val="en-US" w:eastAsia="zh-CN"/>
        </w:rPr>
        <w:t>本项目非等效采标</w:t>
      </w:r>
      <w:r>
        <w:rPr>
          <w:rFonts w:hint="eastAsia" w:ascii="宋体" w:hAnsi="宋体" w:eastAsiaTheme="minorEastAsia"/>
          <w:color w:val="auto"/>
          <w:szCs w:val="21"/>
        </w:rPr>
        <w:t>ISO 12743:2021(E)《铜、铅、锌和镍精矿金属和水分含量测定的取样方法》</w:t>
      </w:r>
      <w:r>
        <w:rPr>
          <w:rFonts w:hint="eastAsia" w:ascii="宋体" w:hAnsi="宋体" w:eastAsiaTheme="minorEastAsia"/>
          <w:color w:val="auto"/>
          <w:szCs w:val="21"/>
          <w:lang w:eastAsia="zh-CN"/>
        </w:rPr>
        <w:t>，</w:t>
      </w:r>
      <w:r>
        <w:rPr>
          <w:rFonts w:hint="eastAsia" w:ascii="宋体" w:hAnsi="宋体" w:eastAsiaTheme="minorEastAsia"/>
          <w:color w:val="auto"/>
          <w:szCs w:val="21"/>
          <w:lang w:val="en-US" w:eastAsia="zh-CN"/>
        </w:rPr>
        <w:t>二者在结构和技术内容上有较多差异</w:t>
      </w:r>
      <w:r>
        <w:rPr>
          <w:rFonts w:hint="eastAsia" w:ascii="宋体" w:hAnsi="宋体" w:eastAsiaTheme="minorEastAsia"/>
          <w:color w:val="auto"/>
          <w:szCs w:val="21"/>
        </w:rPr>
        <w:t>。</w:t>
      </w:r>
      <w:r>
        <w:rPr>
          <w:rFonts w:hint="eastAsia" w:ascii="宋体" w:hAnsi="宋体" w:eastAsiaTheme="minorEastAsia"/>
          <w:color w:val="auto"/>
          <w:szCs w:val="21"/>
          <w:lang w:val="en-US" w:eastAsia="zh-CN"/>
        </w:rPr>
        <w:t>具体见下表。</w:t>
      </w:r>
    </w:p>
    <w:p w14:paraId="7D55D607">
      <w:pPr>
        <w:pStyle w:val="3"/>
        <w:keepNext w:val="0"/>
        <w:keepLines w:val="0"/>
        <w:pageBreakBefore w:val="0"/>
        <w:kinsoku/>
        <w:wordWrap/>
        <w:overflowPunct/>
        <w:topLinePunct w:val="0"/>
        <w:bidi w:val="0"/>
        <w:spacing w:beforeAutospacing="0" w:after="0" w:afterAutospacing="0" w:line="240" w:lineRule="auto"/>
        <w:rPr>
          <w:rFonts w:hint="eastAsia" w:ascii="宋体" w:hAnsi="宋体" w:eastAsiaTheme="minorEastAsia"/>
          <w:color w:val="auto"/>
          <w:szCs w:val="21"/>
          <w:lang w:val="en-US" w:eastAsia="zh-CN"/>
        </w:rPr>
      </w:pPr>
    </w:p>
    <w:p w14:paraId="1014B5F5">
      <w:pPr>
        <w:pStyle w:val="3"/>
        <w:keepNext w:val="0"/>
        <w:keepLines w:val="0"/>
        <w:pageBreakBefore w:val="0"/>
        <w:kinsoku/>
        <w:wordWrap/>
        <w:overflowPunct/>
        <w:topLinePunct w:val="0"/>
        <w:bidi w:val="0"/>
        <w:spacing w:beforeAutospacing="0" w:after="0" w:afterAutospacing="0" w:line="240" w:lineRule="auto"/>
        <w:ind w:firstLine="420" w:firstLineChars="200"/>
        <w:rPr>
          <w:rFonts w:hint="default" w:ascii="宋体" w:hAnsi="宋体" w:eastAsiaTheme="minorEastAsia"/>
          <w:color w:val="auto"/>
          <w:szCs w:val="21"/>
        </w:rPr>
      </w:pPr>
      <w:r>
        <w:rPr>
          <w:rFonts w:hint="eastAsia" w:ascii="宋体" w:hAnsi="宋体" w:eastAsiaTheme="minorEastAsia"/>
          <w:color w:val="auto"/>
          <w:szCs w:val="21"/>
          <w:lang w:val="en-US" w:eastAsia="zh-CN"/>
        </w:rPr>
        <w:t>整体而言，与</w:t>
      </w:r>
      <w:r>
        <w:rPr>
          <w:rFonts w:hint="eastAsia" w:ascii="宋体" w:hAnsi="宋体" w:eastAsiaTheme="minorEastAsia"/>
          <w:color w:val="auto"/>
          <w:szCs w:val="21"/>
        </w:rPr>
        <w:t>ISO 12743:2021</w:t>
      </w:r>
      <w:r>
        <w:rPr>
          <w:rFonts w:hint="eastAsia" w:ascii="宋体" w:hAnsi="宋体" w:eastAsiaTheme="minorEastAsia"/>
          <w:color w:val="auto"/>
          <w:szCs w:val="21"/>
          <w:lang w:val="en-US" w:eastAsia="zh-CN"/>
        </w:rPr>
        <w:t>相比，本项目在XXX、XXX等方面XXX，...</w:t>
      </w:r>
    </w:p>
    <w:p w14:paraId="429A7F81">
      <w:pPr>
        <w:keepNext w:val="0"/>
        <w:keepLines w:val="0"/>
        <w:pageBreakBefore w:val="0"/>
        <w:kinsoku/>
        <w:wordWrap/>
        <w:overflowPunct/>
        <w:topLinePunct w:val="0"/>
        <w:bidi w:val="0"/>
        <w:spacing w:beforeAutospacing="0" w:afterAutospacing="0" w:line="240" w:lineRule="auto"/>
        <w:rPr>
          <w:rFonts w:hint="eastAsia" w:ascii="黑体" w:hAnsi="宋体" w:eastAsia="黑体" w:cs="Arial"/>
          <w:bCs w:val="0"/>
          <w:color w:val="auto"/>
          <w:kern w:val="0"/>
          <w:szCs w:val="21"/>
        </w:rPr>
      </w:pPr>
      <w:r>
        <w:rPr>
          <w:rFonts w:hint="eastAsia" w:ascii="黑体" w:hAnsi="宋体" w:eastAsia="黑体" w:cs="Arial"/>
          <w:bCs w:val="0"/>
          <w:color w:val="auto"/>
          <w:kern w:val="0"/>
          <w:szCs w:val="21"/>
        </w:rPr>
        <w:t>六、以国际标准为基础的起草情况，以及是否合规引用或者采用国际国外标准，并说明未采用国际标准的原因</w:t>
      </w:r>
    </w:p>
    <w:p w14:paraId="081E018D">
      <w:pPr>
        <w:pStyle w:val="3"/>
        <w:keepNext w:val="0"/>
        <w:keepLines w:val="0"/>
        <w:pageBreakBefore w:val="0"/>
        <w:kinsoku/>
        <w:wordWrap/>
        <w:overflowPunct/>
        <w:topLinePunct w:val="0"/>
        <w:bidi w:val="0"/>
        <w:spacing w:beforeAutospacing="0" w:after="0" w:afterAutospacing="0" w:line="240" w:lineRule="auto"/>
        <w:ind w:firstLine="420" w:firstLineChars="200"/>
        <w:rPr>
          <w:rFonts w:hint="eastAsia" w:ascii="宋体" w:hAnsi="宋体" w:eastAsiaTheme="minorEastAsia"/>
          <w:color w:val="auto"/>
          <w:szCs w:val="21"/>
        </w:rPr>
      </w:pPr>
      <w:r>
        <w:rPr>
          <w:rFonts w:hint="eastAsia" w:ascii="宋体" w:hAnsi="宋体" w:eastAsiaTheme="minorEastAsia"/>
          <w:color w:val="auto"/>
          <w:szCs w:val="21"/>
          <w:lang w:val="en-US" w:eastAsia="zh-CN"/>
        </w:rPr>
        <w:t>本文件未引用国际国外标准</w:t>
      </w:r>
      <w:r>
        <w:rPr>
          <w:rFonts w:hint="eastAsia" w:ascii="宋体" w:hAnsi="宋体" w:eastAsiaTheme="minorEastAsia"/>
          <w:color w:val="auto"/>
          <w:szCs w:val="21"/>
        </w:rPr>
        <w:t>。</w:t>
      </w:r>
    </w:p>
    <w:p w14:paraId="4655E3D7">
      <w:pPr>
        <w:keepNext w:val="0"/>
        <w:keepLines w:val="0"/>
        <w:pageBreakBefore w:val="0"/>
        <w:kinsoku/>
        <w:wordWrap/>
        <w:overflowPunct/>
        <w:topLinePunct w:val="0"/>
        <w:bidi w:val="0"/>
        <w:spacing w:beforeAutospacing="0" w:afterAutospacing="0" w:line="240" w:lineRule="auto"/>
        <w:rPr>
          <w:rFonts w:hint="eastAsia" w:ascii="黑体" w:hAnsi="宋体" w:eastAsia="黑体" w:cs="Arial"/>
          <w:bCs w:val="0"/>
          <w:color w:val="auto"/>
          <w:kern w:val="0"/>
          <w:szCs w:val="21"/>
        </w:rPr>
      </w:pPr>
      <w:r>
        <w:rPr>
          <w:rFonts w:hint="eastAsia" w:ascii="黑体" w:hAnsi="宋体" w:eastAsia="黑体" w:cs="Arial"/>
          <w:bCs w:val="0"/>
          <w:color w:val="auto"/>
          <w:kern w:val="0"/>
          <w:szCs w:val="21"/>
        </w:rPr>
        <w:t>七、</w:t>
      </w:r>
      <w:r>
        <w:rPr>
          <w:rFonts w:hint="eastAsia" w:ascii="黑体" w:hAnsi="宋体" w:eastAsia="黑体" w:cs="Arial"/>
          <w:color w:val="auto"/>
          <w:kern w:val="0"/>
          <w:szCs w:val="21"/>
        </w:rPr>
        <w:t>与现行法律、法规、强制性国家标准及相关标准协调配套情况</w:t>
      </w:r>
    </w:p>
    <w:p w14:paraId="44257EB8">
      <w:pPr>
        <w:keepNext w:val="0"/>
        <w:keepLines w:val="0"/>
        <w:pageBreakBefore w:val="0"/>
        <w:kinsoku/>
        <w:wordWrap/>
        <w:overflowPunct/>
        <w:topLinePunct w:val="0"/>
        <w:bidi w:val="0"/>
        <w:spacing w:beforeAutospacing="0" w:afterAutospacing="0" w:line="240" w:lineRule="auto"/>
        <w:ind w:firstLine="420" w:firstLineChars="200"/>
        <w:rPr>
          <w:rFonts w:hint="eastAsia" w:ascii="Times New Roman" w:hAnsi="Times New Roman" w:eastAsiaTheme="minorEastAsia"/>
          <w:color w:val="auto"/>
          <w:szCs w:val="21"/>
          <w:lang w:eastAsia="zh-CN"/>
        </w:rPr>
      </w:pPr>
      <w:r>
        <w:rPr>
          <w:rFonts w:hint="eastAsia" w:ascii="Times New Roman" w:hAnsi="Times New Roman"/>
          <w:color w:val="auto"/>
          <w:szCs w:val="21"/>
        </w:rPr>
        <w:t>本标准符合现行法律、法规的要求，与有色重金属</w:t>
      </w:r>
      <w:r>
        <w:rPr>
          <w:rFonts w:hint="eastAsia" w:ascii="Times New Roman" w:hAnsi="Times New Roman"/>
          <w:color w:val="auto"/>
          <w:szCs w:val="21"/>
          <w:lang w:eastAsia="zh-CN"/>
        </w:rPr>
        <w:t>（</w:t>
      </w:r>
      <w:r>
        <w:rPr>
          <w:rFonts w:hint="eastAsia" w:ascii="Times New Roman" w:hAnsi="Times New Roman"/>
          <w:color w:val="auto"/>
          <w:szCs w:val="21"/>
          <w:lang w:val="en-US" w:eastAsia="zh-CN"/>
        </w:rPr>
        <w:t>铜、铅、锌、镍</w:t>
      </w:r>
      <w:r>
        <w:rPr>
          <w:rFonts w:hint="eastAsia" w:ascii="Times New Roman" w:hAnsi="Times New Roman"/>
          <w:color w:val="auto"/>
          <w:szCs w:val="21"/>
          <w:lang w:eastAsia="zh-CN"/>
        </w:rPr>
        <w:t>）</w:t>
      </w:r>
      <w:r>
        <w:rPr>
          <w:rFonts w:hint="eastAsia" w:ascii="Times New Roman" w:hAnsi="Times New Roman"/>
          <w:color w:val="auto"/>
          <w:szCs w:val="21"/>
        </w:rPr>
        <w:t>精矿产品和化学分析方法标准协调配套，并与其他国家标准、行业标准无冲突、重叠和不协调之处</w:t>
      </w:r>
      <w:r>
        <w:rPr>
          <w:rFonts w:hint="eastAsia" w:ascii="Times New Roman" w:hAnsi="Times New Roman"/>
          <w:color w:val="auto"/>
          <w:szCs w:val="21"/>
          <w:lang w:eastAsia="zh-CN"/>
        </w:rPr>
        <w:t>。</w:t>
      </w:r>
    </w:p>
    <w:p w14:paraId="7C1C4248">
      <w:pPr>
        <w:keepNext w:val="0"/>
        <w:keepLines w:val="0"/>
        <w:pageBreakBefore w:val="0"/>
        <w:kinsoku/>
        <w:wordWrap/>
        <w:overflowPunct/>
        <w:topLinePunct w:val="0"/>
        <w:bidi w:val="0"/>
        <w:spacing w:beforeAutospacing="0" w:afterAutospacing="0" w:line="240" w:lineRule="auto"/>
        <w:rPr>
          <w:rFonts w:hint="eastAsia" w:ascii="黑体" w:hAnsi="宋体" w:eastAsia="黑体" w:cs="Arial"/>
          <w:bCs w:val="0"/>
          <w:color w:val="auto"/>
          <w:kern w:val="0"/>
          <w:szCs w:val="21"/>
        </w:rPr>
      </w:pPr>
      <w:r>
        <w:rPr>
          <w:rFonts w:hint="eastAsia" w:ascii="黑体" w:hAnsi="宋体" w:eastAsia="黑体" w:cs="Arial"/>
          <w:bCs w:val="0"/>
          <w:color w:val="auto"/>
          <w:kern w:val="0"/>
          <w:szCs w:val="21"/>
        </w:rPr>
        <w:t>八、重大分歧意见的处理经过和依据</w:t>
      </w:r>
    </w:p>
    <w:p w14:paraId="7EA789D1">
      <w:pPr>
        <w:keepNext w:val="0"/>
        <w:keepLines w:val="0"/>
        <w:pageBreakBefore w:val="0"/>
        <w:kinsoku/>
        <w:wordWrap/>
        <w:overflowPunct/>
        <w:topLinePunct w:val="0"/>
        <w:bidi w:val="0"/>
        <w:spacing w:beforeAutospacing="0" w:afterAutospacing="0" w:line="240" w:lineRule="auto"/>
        <w:ind w:firstLine="420" w:firstLineChars="200"/>
        <w:rPr>
          <w:rFonts w:hint="eastAsia" w:ascii="黑体" w:hAnsi="宋体" w:eastAsia="黑体" w:cs="宋体"/>
          <w:bCs/>
          <w:color w:val="auto"/>
          <w:szCs w:val="21"/>
        </w:rPr>
      </w:pPr>
      <w:r>
        <w:rPr>
          <w:rFonts w:hint="eastAsia" w:ascii="宋体" w:hAnsi="宋体"/>
          <w:color w:val="auto"/>
          <w:szCs w:val="21"/>
        </w:rPr>
        <w:t>无。</w:t>
      </w:r>
    </w:p>
    <w:p w14:paraId="57B7C24B">
      <w:pPr>
        <w:keepNext w:val="0"/>
        <w:keepLines w:val="0"/>
        <w:pageBreakBefore w:val="0"/>
        <w:kinsoku/>
        <w:wordWrap/>
        <w:overflowPunct/>
        <w:topLinePunct w:val="0"/>
        <w:bidi w:val="0"/>
        <w:spacing w:beforeAutospacing="0" w:afterAutospacing="0" w:line="240" w:lineRule="auto"/>
        <w:rPr>
          <w:rFonts w:hint="eastAsia" w:ascii="黑体" w:hAnsi="宋体" w:eastAsia="黑体" w:cs="Arial"/>
          <w:bCs w:val="0"/>
          <w:color w:val="auto"/>
          <w:kern w:val="0"/>
          <w:szCs w:val="21"/>
        </w:rPr>
      </w:pPr>
      <w:r>
        <w:rPr>
          <w:rFonts w:hint="eastAsia" w:ascii="黑体" w:hAnsi="宋体" w:eastAsia="黑体" w:cs="Arial"/>
          <w:bCs w:val="0"/>
          <w:color w:val="auto"/>
          <w:kern w:val="0"/>
          <w:szCs w:val="21"/>
        </w:rPr>
        <w:t>九、涉及专利的情况说明</w:t>
      </w:r>
    </w:p>
    <w:p w14:paraId="3FA5997A">
      <w:pPr>
        <w:pStyle w:val="3"/>
        <w:keepNext w:val="0"/>
        <w:keepLines w:val="0"/>
        <w:pageBreakBefore w:val="0"/>
        <w:kinsoku/>
        <w:wordWrap/>
        <w:overflowPunct/>
        <w:topLinePunct w:val="0"/>
        <w:bidi w:val="0"/>
        <w:spacing w:beforeAutospacing="0" w:after="0" w:afterAutospacing="0" w:line="240" w:lineRule="auto"/>
        <w:ind w:firstLine="420" w:firstLineChars="200"/>
        <w:rPr>
          <w:rFonts w:ascii="宋体" w:hAnsi="宋体" w:eastAsiaTheme="minorEastAsia"/>
          <w:color w:val="auto"/>
          <w:szCs w:val="21"/>
        </w:rPr>
      </w:pPr>
      <w:r>
        <w:rPr>
          <w:rFonts w:hint="eastAsia" w:ascii="宋体" w:hAnsi="宋体" w:eastAsiaTheme="minorEastAsia"/>
          <w:color w:val="auto"/>
          <w:szCs w:val="21"/>
        </w:rPr>
        <w:t>本标准不涉及专利问题。</w:t>
      </w:r>
    </w:p>
    <w:p w14:paraId="59FF431F">
      <w:pPr>
        <w:keepNext w:val="0"/>
        <w:keepLines w:val="0"/>
        <w:pageBreakBefore w:val="0"/>
        <w:kinsoku/>
        <w:wordWrap/>
        <w:overflowPunct/>
        <w:topLinePunct w:val="0"/>
        <w:bidi w:val="0"/>
        <w:spacing w:beforeAutospacing="0" w:afterAutospacing="0" w:line="240" w:lineRule="auto"/>
        <w:outlineLvl w:val="0"/>
        <w:rPr>
          <w:rFonts w:ascii="Times New Roman" w:hAnsi="Times New Roman" w:eastAsia="黑体" w:cs="宋体"/>
          <w:bCs/>
          <w:color w:val="auto"/>
          <w:szCs w:val="21"/>
        </w:rPr>
      </w:pPr>
      <w:bookmarkStart w:id="18" w:name="_Toc15989"/>
      <w:r>
        <w:rPr>
          <w:rFonts w:hint="eastAsia" w:ascii="黑体" w:hAnsi="宋体" w:eastAsia="黑体" w:cs="Arial"/>
          <w:bCs w:val="0"/>
          <w:color w:val="auto"/>
          <w:kern w:val="0"/>
          <w:szCs w:val="21"/>
        </w:rPr>
        <w:t>九、</w:t>
      </w:r>
      <w:r>
        <w:rPr>
          <w:rFonts w:hint="eastAsia" w:ascii="Times New Roman" w:hAnsi="Times New Roman" w:eastAsia="黑体" w:cs="宋体"/>
          <w:bCs/>
          <w:color w:val="auto"/>
          <w:szCs w:val="21"/>
        </w:rPr>
        <w:t>作为强制性或推荐性国家标准的建议</w:t>
      </w:r>
    </w:p>
    <w:p w14:paraId="53B27995">
      <w:pPr>
        <w:pStyle w:val="21"/>
        <w:keepNext w:val="0"/>
        <w:keepLines w:val="0"/>
        <w:pageBreakBefore w:val="0"/>
        <w:kinsoku/>
        <w:wordWrap/>
        <w:overflowPunct/>
        <w:topLinePunct w:val="0"/>
        <w:bidi w:val="0"/>
        <w:spacing w:beforeAutospacing="0" w:afterAutospacing="0" w:line="240" w:lineRule="auto"/>
        <w:ind w:firstLine="420"/>
        <w:rPr>
          <w:rFonts w:hint="eastAsia" w:eastAsia="宋体"/>
          <w:color w:val="auto"/>
          <w:lang w:eastAsia="zh-CN"/>
        </w:rPr>
      </w:pPr>
      <w:r>
        <w:rPr>
          <w:rFonts w:hint="eastAsia" w:ascii="Times New Roman" w:hAnsi="Times New Roman" w:eastAsia="宋体" w:cs="宋体"/>
          <w:color w:val="auto"/>
          <w:szCs w:val="21"/>
        </w:rPr>
        <w:t>本标准建议作为推荐性国家标准发布</w:t>
      </w:r>
      <w:bookmarkEnd w:id="18"/>
      <w:r>
        <w:rPr>
          <w:rFonts w:hint="eastAsia" w:hAnsi="宋体" w:cs="宋体"/>
          <w:color w:val="auto"/>
          <w:szCs w:val="21"/>
          <w:lang w:eastAsia="zh-CN"/>
        </w:rPr>
        <w:t>。</w:t>
      </w:r>
    </w:p>
    <w:p w14:paraId="50248BF5">
      <w:pPr>
        <w:keepNext w:val="0"/>
        <w:keepLines w:val="0"/>
        <w:pageBreakBefore w:val="0"/>
        <w:numPr>
          <w:ilvl w:val="0"/>
          <w:numId w:val="8"/>
        </w:numPr>
        <w:kinsoku/>
        <w:wordWrap/>
        <w:overflowPunct/>
        <w:topLinePunct w:val="0"/>
        <w:bidi w:val="0"/>
        <w:spacing w:beforeAutospacing="0" w:afterAutospacing="0" w:line="240" w:lineRule="auto"/>
        <w:rPr>
          <w:rFonts w:hint="eastAsia" w:ascii="黑体" w:hAnsi="宋体" w:eastAsia="黑体" w:cs="Arial"/>
          <w:bCs w:val="0"/>
          <w:color w:val="auto"/>
          <w:kern w:val="0"/>
          <w:szCs w:val="21"/>
        </w:rPr>
      </w:pPr>
      <w:bookmarkStart w:id="19" w:name="_Toc15588"/>
      <w:r>
        <w:rPr>
          <w:rFonts w:hint="eastAsia" w:ascii="黑体" w:hAnsi="宋体" w:eastAsia="黑体" w:cs="Arial"/>
          <w:bCs w:val="0"/>
          <w:color w:val="auto"/>
          <w:kern w:val="0"/>
          <w:szCs w:val="21"/>
        </w:rPr>
        <w:t>贯彻标准的要求和措施建议</w:t>
      </w:r>
      <w:bookmarkEnd w:id="19"/>
    </w:p>
    <w:p w14:paraId="28AB0440">
      <w:pPr>
        <w:pStyle w:val="3"/>
        <w:keepNext w:val="0"/>
        <w:keepLines w:val="0"/>
        <w:pageBreakBefore w:val="0"/>
        <w:kinsoku/>
        <w:wordWrap/>
        <w:overflowPunct/>
        <w:topLinePunct w:val="0"/>
        <w:bidi w:val="0"/>
        <w:spacing w:beforeAutospacing="0" w:after="0" w:afterAutospacing="0" w:line="240" w:lineRule="auto"/>
        <w:ind w:firstLine="420" w:firstLineChars="200"/>
        <w:rPr>
          <w:rFonts w:hint="eastAsia" w:ascii="宋体" w:hAnsi="宋体" w:eastAsiaTheme="minorEastAsia" w:cstheme="minorBidi"/>
          <w:bCs w:val="0"/>
          <w:color w:val="auto"/>
          <w:szCs w:val="21"/>
        </w:rPr>
      </w:pPr>
      <w:r>
        <w:rPr>
          <w:rFonts w:hint="eastAsia" w:ascii="宋体" w:hAnsi="宋体" w:eastAsiaTheme="minorEastAsia" w:cstheme="minorBidi"/>
          <w:color w:val="auto"/>
          <w:szCs w:val="21"/>
          <w:lang w:val="en-US" w:eastAsia="zh-CN"/>
        </w:rPr>
        <w:t>过渡</w:t>
      </w:r>
      <w:r>
        <w:rPr>
          <w:rFonts w:hint="eastAsia" w:ascii="宋体" w:hAnsi="宋体" w:eastAsiaTheme="minorEastAsia" w:cstheme="minorBidi"/>
          <w:color w:val="auto"/>
          <w:szCs w:val="21"/>
        </w:rPr>
        <w:t>办法：建议发布6个月后实施。</w:t>
      </w:r>
    </w:p>
    <w:p w14:paraId="06AE31B3">
      <w:pPr>
        <w:keepNext w:val="0"/>
        <w:keepLines w:val="0"/>
        <w:pageBreakBefore w:val="0"/>
        <w:kinsoku/>
        <w:wordWrap/>
        <w:overflowPunct/>
        <w:topLinePunct w:val="0"/>
        <w:bidi w:val="0"/>
        <w:spacing w:beforeAutospacing="0" w:afterAutospacing="0" w:line="240" w:lineRule="auto"/>
        <w:rPr>
          <w:rFonts w:hint="eastAsia" w:ascii="黑体" w:hAnsi="宋体" w:eastAsia="黑体" w:cs="Arial"/>
          <w:bCs w:val="0"/>
          <w:color w:val="auto"/>
          <w:kern w:val="0"/>
          <w:szCs w:val="21"/>
        </w:rPr>
      </w:pPr>
      <w:bookmarkStart w:id="20" w:name="_Toc7802"/>
      <w:r>
        <w:rPr>
          <w:rFonts w:hint="eastAsia" w:ascii="黑体" w:hAnsi="宋体" w:eastAsia="黑体" w:cs="Arial"/>
          <w:bCs w:val="0"/>
          <w:color w:val="auto"/>
          <w:kern w:val="0"/>
          <w:szCs w:val="21"/>
        </w:rPr>
        <w:t>十一、废止现行有关标准的建议</w:t>
      </w:r>
      <w:bookmarkEnd w:id="20"/>
    </w:p>
    <w:p w14:paraId="63B54A6F">
      <w:pPr>
        <w:keepNext w:val="0"/>
        <w:keepLines w:val="0"/>
        <w:pageBreakBefore w:val="0"/>
        <w:kinsoku/>
        <w:wordWrap/>
        <w:overflowPunct/>
        <w:topLinePunct w:val="0"/>
        <w:bidi w:val="0"/>
        <w:spacing w:beforeAutospacing="0" w:afterAutospacing="0" w:line="240" w:lineRule="auto"/>
        <w:ind w:firstLine="420" w:firstLineChars="200"/>
        <w:rPr>
          <w:rFonts w:ascii="宋体" w:hAnsi="宋体" w:cs="宋体"/>
          <w:color w:val="auto"/>
          <w:szCs w:val="21"/>
        </w:rPr>
      </w:pPr>
      <w:r>
        <w:rPr>
          <w:rFonts w:hint="eastAsia" w:ascii="宋体" w:hAnsi="宋体" w:cs="宋体"/>
          <w:color w:val="auto"/>
          <w:szCs w:val="21"/>
        </w:rPr>
        <w:t>本标准实施之日起，代替GB/T 14260-2010《散装重有色金属浮选精矿取样、制样通则》,GB/T 14261-2010《散装浮选锌精矿取样、制样方法》,GB/T 14262-2010《散装浮选铅精矿取样、制样方法》,GB/T 14263-2010《散装浮选铜精矿取样、制样方法》,GB/T 25952-2010《散装浮选镍精矿取样、制样方法》</w:t>
      </w:r>
      <w:r>
        <w:rPr>
          <w:rFonts w:hint="eastAsia" w:ascii="宋体" w:hAnsi="宋体" w:cs="宋体"/>
          <w:color w:val="auto"/>
          <w:szCs w:val="21"/>
          <w:lang w:eastAsia="zh-CN"/>
        </w:rPr>
        <w:t>。</w:t>
      </w:r>
    </w:p>
    <w:p w14:paraId="3CF57D2F">
      <w:pPr>
        <w:keepNext w:val="0"/>
        <w:keepLines w:val="0"/>
        <w:pageBreakBefore w:val="0"/>
        <w:kinsoku/>
        <w:wordWrap/>
        <w:overflowPunct/>
        <w:topLinePunct w:val="0"/>
        <w:bidi w:val="0"/>
        <w:spacing w:beforeAutospacing="0" w:afterAutospacing="0" w:line="240" w:lineRule="auto"/>
        <w:rPr>
          <w:rFonts w:hint="eastAsia" w:ascii="黑体" w:hAnsi="宋体" w:eastAsia="黑体" w:cs="Arial"/>
          <w:bCs w:val="0"/>
          <w:color w:val="auto"/>
          <w:kern w:val="0"/>
          <w:szCs w:val="21"/>
        </w:rPr>
      </w:pPr>
      <w:bookmarkStart w:id="21" w:name="_Toc22451"/>
      <w:r>
        <w:rPr>
          <w:rFonts w:hint="eastAsia" w:ascii="黑体" w:hAnsi="宋体" w:eastAsia="黑体" w:cs="Arial"/>
          <w:bCs w:val="0"/>
          <w:color w:val="auto"/>
          <w:kern w:val="0"/>
          <w:szCs w:val="21"/>
        </w:rPr>
        <w:t>十二、其他应当说明的事项。</w:t>
      </w:r>
      <w:bookmarkEnd w:id="21"/>
    </w:p>
    <w:p w14:paraId="30D04D64">
      <w:pPr>
        <w:keepNext w:val="0"/>
        <w:keepLines w:val="0"/>
        <w:pageBreakBefore w:val="0"/>
        <w:kinsoku/>
        <w:wordWrap/>
        <w:overflowPunct/>
        <w:topLinePunct w:val="0"/>
        <w:bidi w:val="0"/>
        <w:spacing w:beforeAutospacing="0" w:afterAutospacing="0" w:line="240" w:lineRule="auto"/>
        <w:ind w:firstLine="420" w:firstLineChars="200"/>
        <w:rPr>
          <w:rFonts w:ascii="宋体" w:hAnsi="宋体" w:cs="宋体"/>
          <w:color w:val="auto"/>
          <w:szCs w:val="21"/>
        </w:rPr>
      </w:pPr>
      <w:r>
        <w:rPr>
          <w:rFonts w:hint="eastAsia" w:ascii="宋体" w:hAnsi="宋体" w:cs="宋体"/>
          <w:color w:val="auto"/>
          <w:szCs w:val="21"/>
        </w:rPr>
        <w:t>无。</w:t>
      </w:r>
    </w:p>
    <w:p w14:paraId="4235BC96">
      <w:pPr>
        <w:keepNext w:val="0"/>
        <w:keepLines w:val="0"/>
        <w:pageBreakBefore w:val="0"/>
        <w:kinsoku/>
        <w:wordWrap/>
        <w:overflowPunct/>
        <w:topLinePunct w:val="0"/>
        <w:bidi w:val="0"/>
        <w:spacing w:beforeAutospacing="0" w:afterAutospacing="0" w:line="240" w:lineRule="auto"/>
        <w:jc w:val="right"/>
        <w:rPr>
          <w:rFonts w:ascii="宋体" w:hAnsi="宋体" w:eastAsia="宋体"/>
          <w:color w:val="auto"/>
          <w:szCs w:val="21"/>
        </w:rPr>
      </w:pPr>
      <w:r>
        <w:rPr>
          <w:rFonts w:hint="eastAsia"/>
          <w:color w:val="auto"/>
          <w:szCs w:val="21"/>
        </w:rPr>
        <w:t xml:space="preserve">                             《</w:t>
      </w:r>
      <w:r>
        <w:rPr>
          <w:rFonts w:hint="eastAsia" w:ascii="宋体" w:hAnsi="宋体" w:eastAsia="宋体"/>
          <w:color w:val="auto"/>
          <w:szCs w:val="21"/>
        </w:rPr>
        <w:t>散装重有色金属浮选精矿取样、制样方法</w:t>
      </w:r>
      <w:r>
        <w:rPr>
          <w:rFonts w:hint="eastAsia"/>
          <w:color w:val="auto"/>
          <w:szCs w:val="21"/>
        </w:rPr>
        <w:t>》</w:t>
      </w:r>
      <w:r>
        <w:rPr>
          <w:rFonts w:hint="eastAsia" w:ascii="宋体" w:hAnsi="宋体" w:eastAsia="宋体"/>
          <w:color w:val="auto"/>
          <w:szCs w:val="21"/>
        </w:rPr>
        <w:t>编制组</w:t>
      </w:r>
    </w:p>
    <w:p w14:paraId="2290965E">
      <w:pPr>
        <w:keepNext w:val="0"/>
        <w:keepLines w:val="0"/>
        <w:pageBreakBefore w:val="0"/>
        <w:kinsoku/>
        <w:wordWrap/>
        <w:overflowPunct/>
        <w:topLinePunct w:val="0"/>
        <w:bidi w:val="0"/>
        <w:spacing w:beforeAutospacing="0" w:afterAutospacing="0" w:line="240" w:lineRule="auto"/>
        <w:jc w:val="right"/>
        <w:rPr>
          <w:rFonts w:ascii="宋体" w:hAnsi="宋体" w:eastAsia="宋体"/>
          <w:color w:val="auto"/>
          <w:szCs w:val="21"/>
        </w:rPr>
      </w:pPr>
      <w:r>
        <w:rPr>
          <w:rFonts w:hint="eastAsia" w:ascii="宋体" w:hAnsi="宋体" w:eastAsia="宋体"/>
          <w:color w:val="auto"/>
          <w:szCs w:val="21"/>
        </w:rPr>
        <w:t xml:space="preserve">                             20</w:t>
      </w:r>
      <w:r>
        <w:rPr>
          <w:rFonts w:hint="eastAsia" w:ascii="宋体" w:hAnsi="宋体" w:eastAsia="宋体"/>
          <w:color w:val="auto"/>
          <w:szCs w:val="21"/>
          <w:lang w:val="en-US" w:eastAsia="zh-CN"/>
        </w:rPr>
        <w:t>26</w:t>
      </w:r>
      <w:r>
        <w:rPr>
          <w:rFonts w:hint="eastAsia" w:ascii="宋体" w:hAnsi="宋体" w:eastAsia="宋体"/>
          <w:color w:val="auto"/>
          <w:szCs w:val="21"/>
        </w:rPr>
        <w:t>年</w:t>
      </w:r>
      <w:r>
        <w:rPr>
          <w:rFonts w:hint="eastAsia" w:ascii="宋体" w:hAnsi="宋体" w:eastAsia="宋体"/>
          <w:color w:val="auto"/>
          <w:szCs w:val="21"/>
          <w:lang w:val="en-US" w:eastAsia="zh-CN"/>
        </w:rPr>
        <w:t>6</w:t>
      </w:r>
      <w:r>
        <w:rPr>
          <w:rFonts w:hint="eastAsia" w:ascii="宋体" w:hAnsi="宋体" w:eastAsia="宋体"/>
          <w:color w:val="auto"/>
          <w:szCs w:val="21"/>
        </w:rPr>
        <w:t>月</w:t>
      </w:r>
    </w:p>
    <w:sectPr>
      <w:pgSz w:w="11906" w:h="16838"/>
      <w:pgMar w:top="1440" w:right="1780" w:bottom="1440" w:left="17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6DF89"/>
    <w:multiLevelType w:val="singleLevel"/>
    <w:tmpl w:val="9A66DF89"/>
    <w:lvl w:ilvl="0" w:tentative="0">
      <w:start w:val="1"/>
      <w:numFmt w:val="decimal"/>
      <w:suff w:val="nothing"/>
      <w:lvlText w:val="(%1)"/>
      <w:lvlJc w:val="left"/>
      <w:pPr>
        <w:ind w:left="0" w:leftChars="0" w:firstLine="0" w:firstLineChars="0"/>
      </w:pPr>
      <w:rPr>
        <w:rFonts w:hint="default"/>
      </w:rPr>
    </w:lvl>
  </w:abstractNum>
  <w:abstractNum w:abstractNumId="1">
    <w:nsid w:val="A68D7D6C"/>
    <w:multiLevelType w:val="singleLevel"/>
    <w:tmpl w:val="A68D7D6C"/>
    <w:lvl w:ilvl="0" w:tentative="0">
      <w:start w:val="1"/>
      <w:numFmt w:val="lowerLetter"/>
      <w:suff w:val="space"/>
      <w:lvlText w:val="%1."/>
      <w:lvlJc w:val="left"/>
      <w:pPr>
        <w:ind w:left="0" w:leftChars="0" w:firstLine="60" w:firstLineChars="0"/>
      </w:pPr>
      <w:rPr>
        <w:rFonts w:hint="default"/>
      </w:rPr>
    </w:lvl>
  </w:abstractNum>
  <w:abstractNum w:abstractNumId="2">
    <w:nsid w:val="F926778D"/>
    <w:multiLevelType w:val="singleLevel"/>
    <w:tmpl w:val="F926778D"/>
    <w:lvl w:ilvl="0" w:tentative="0">
      <w:start w:val="1"/>
      <w:numFmt w:val="decimal"/>
      <w:suff w:val="nothing"/>
      <w:lvlText w:val="%1）"/>
      <w:lvlJc w:val="left"/>
    </w:lvl>
  </w:abstractNum>
  <w:abstractNum w:abstractNumId="3">
    <w:nsid w:val="FA4B08C3"/>
    <w:multiLevelType w:val="singleLevel"/>
    <w:tmpl w:val="FA4B08C3"/>
    <w:lvl w:ilvl="0" w:tentative="0">
      <w:start w:val="1"/>
      <w:numFmt w:val="decimal"/>
      <w:lvlText w:val="%1."/>
      <w:lvlJc w:val="left"/>
      <w:pPr>
        <w:ind w:left="425" w:hanging="425"/>
      </w:pPr>
      <w:rPr>
        <w:rFonts w:hint="default"/>
      </w:rPr>
    </w:lvl>
  </w:abstractNum>
  <w:abstractNum w:abstractNumId="4">
    <w:nsid w:val="02F07FDC"/>
    <w:multiLevelType w:val="singleLevel"/>
    <w:tmpl w:val="02F07FDC"/>
    <w:lvl w:ilvl="0" w:tentative="0">
      <w:start w:val="1"/>
      <w:numFmt w:val="decimal"/>
      <w:suff w:val="nothing"/>
      <w:lvlText w:val="(%1)"/>
      <w:lvlJc w:val="left"/>
      <w:pPr>
        <w:ind w:left="0" w:leftChars="0" w:firstLine="0" w:firstLineChars="0"/>
      </w:pPr>
      <w:rPr>
        <w:rFonts w:hint="default"/>
      </w:rPr>
    </w:lvl>
  </w:abstractNum>
  <w:abstractNum w:abstractNumId="5">
    <w:nsid w:val="0E2B40FB"/>
    <w:multiLevelType w:val="singleLevel"/>
    <w:tmpl w:val="0E2B40FB"/>
    <w:lvl w:ilvl="0" w:tentative="0">
      <w:start w:val="1"/>
      <w:numFmt w:val="upperLetter"/>
      <w:lvlText w:val="%1."/>
      <w:lvlJc w:val="left"/>
      <w:pPr>
        <w:tabs>
          <w:tab w:val="left" w:pos="312"/>
        </w:tabs>
      </w:pPr>
    </w:lvl>
  </w:abstractNum>
  <w:abstractNum w:abstractNumId="6">
    <w:nsid w:val="29530D69"/>
    <w:multiLevelType w:val="singleLevel"/>
    <w:tmpl w:val="29530D69"/>
    <w:lvl w:ilvl="0" w:tentative="0">
      <w:start w:val="2"/>
      <w:numFmt w:val="chineseCounting"/>
      <w:suff w:val="nothing"/>
      <w:lvlText w:val="%1、"/>
      <w:lvlJc w:val="left"/>
      <w:rPr>
        <w:rFonts w:hint="eastAsia"/>
      </w:rPr>
    </w:lvl>
  </w:abstractNum>
  <w:abstractNum w:abstractNumId="7">
    <w:nsid w:val="374822E8"/>
    <w:multiLevelType w:val="singleLevel"/>
    <w:tmpl w:val="374822E8"/>
    <w:lvl w:ilvl="0" w:tentative="0">
      <w:start w:val="10"/>
      <w:numFmt w:val="chineseCounting"/>
      <w:suff w:val="nothing"/>
      <w:lvlText w:val="%1、"/>
      <w:lvlJc w:val="left"/>
      <w:rPr>
        <w:rFonts w:hint="eastAsia"/>
      </w:rPr>
    </w:lvl>
  </w:abstractNum>
  <w:num w:numId="1">
    <w:abstractNumId w:val="2"/>
  </w:num>
  <w:num w:numId="2">
    <w:abstractNumId w:val="1"/>
  </w:num>
  <w:num w:numId="3">
    <w:abstractNumId w:val="0"/>
  </w:num>
  <w:num w:numId="4">
    <w:abstractNumId w:val="4"/>
  </w:num>
  <w:num w:numId="5">
    <w:abstractNumId w:val="3"/>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2MWNhYTM0YTdjMTJkNTQ1NDU4ZDdjYjRjZDEwNjQ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1F1"/>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0CC1"/>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237B"/>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2D4A"/>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6C5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6A"/>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06B"/>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0EF"/>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5762"/>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773"/>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1C7267B"/>
    <w:rsid w:val="027840BB"/>
    <w:rsid w:val="02B7449E"/>
    <w:rsid w:val="030F6088"/>
    <w:rsid w:val="03AA5DB1"/>
    <w:rsid w:val="03B7227C"/>
    <w:rsid w:val="042F4508"/>
    <w:rsid w:val="046C750A"/>
    <w:rsid w:val="049C06EA"/>
    <w:rsid w:val="04B342A8"/>
    <w:rsid w:val="04EF46C7"/>
    <w:rsid w:val="051200B1"/>
    <w:rsid w:val="052522BA"/>
    <w:rsid w:val="05E857EE"/>
    <w:rsid w:val="06153399"/>
    <w:rsid w:val="063A5C43"/>
    <w:rsid w:val="07AC659B"/>
    <w:rsid w:val="08762705"/>
    <w:rsid w:val="09C84662"/>
    <w:rsid w:val="09DE4A06"/>
    <w:rsid w:val="09E8755A"/>
    <w:rsid w:val="0A097B70"/>
    <w:rsid w:val="0A2543E3"/>
    <w:rsid w:val="0A430BD6"/>
    <w:rsid w:val="0A825391"/>
    <w:rsid w:val="0AD447D1"/>
    <w:rsid w:val="0AD6392F"/>
    <w:rsid w:val="0AE4604C"/>
    <w:rsid w:val="0AFD2C6A"/>
    <w:rsid w:val="0B0009AC"/>
    <w:rsid w:val="0B2A3067"/>
    <w:rsid w:val="0B756CA4"/>
    <w:rsid w:val="0B9F3D21"/>
    <w:rsid w:val="0BAD3319"/>
    <w:rsid w:val="0BB53545"/>
    <w:rsid w:val="0C434FF4"/>
    <w:rsid w:val="0C482343"/>
    <w:rsid w:val="0C4A0131"/>
    <w:rsid w:val="0C56033E"/>
    <w:rsid w:val="0C5D60B6"/>
    <w:rsid w:val="0CC2416B"/>
    <w:rsid w:val="0CE942C8"/>
    <w:rsid w:val="0D076022"/>
    <w:rsid w:val="0D10137A"/>
    <w:rsid w:val="0D1876A6"/>
    <w:rsid w:val="0D1D3A97"/>
    <w:rsid w:val="0D766D04"/>
    <w:rsid w:val="0E3C619F"/>
    <w:rsid w:val="0E5A03D3"/>
    <w:rsid w:val="0EC341CA"/>
    <w:rsid w:val="0EE8215E"/>
    <w:rsid w:val="0EF600FC"/>
    <w:rsid w:val="0F2458D1"/>
    <w:rsid w:val="0FB81855"/>
    <w:rsid w:val="10376C1E"/>
    <w:rsid w:val="10A1755B"/>
    <w:rsid w:val="122356AC"/>
    <w:rsid w:val="1230601B"/>
    <w:rsid w:val="125C665D"/>
    <w:rsid w:val="12F236EB"/>
    <w:rsid w:val="13CC7F96"/>
    <w:rsid w:val="13D25A77"/>
    <w:rsid w:val="13DB164B"/>
    <w:rsid w:val="13DD188A"/>
    <w:rsid w:val="13F37300"/>
    <w:rsid w:val="144447A2"/>
    <w:rsid w:val="14723A21"/>
    <w:rsid w:val="14AE3227"/>
    <w:rsid w:val="156F747A"/>
    <w:rsid w:val="158A43C4"/>
    <w:rsid w:val="15E96C0C"/>
    <w:rsid w:val="15FF65EC"/>
    <w:rsid w:val="161144B4"/>
    <w:rsid w:val="166E2C6E"/>
    <w:rsid w:val="16D05547"/>
    <w:rsid w:val="16D13D83"/>
    <w:rsid w:val="16F05D79"/>
    <w:rsid w:val="170F4451"/>
    <w:rsid w:val="17125AD3"/>
    <w:rsid w:val="171C091C"/>
    <w:rsid w:val="171E4694"/>
    <w:rsid w:val="174E3BBE"/>
    <w:rsid w:val="181A5E4B"/>
    <w:rsid w:val="182E0907"/>
    <w:rsid w:val="18704CB4"/>
    <w:rsid w:val="18A67E07"/>
    <w:rsid w:val="18D5655B"/>
    <w:rsid w:val="190C086A"/>
    <w:rsid w:val="192E28F8"/>
    <w:rsid w:val="193A407F"/>
    <w:rsid w:val="19B968F6"/>
    <w:rsid w:val="19D83220"/>
    <w:rsid w:val="1A143B2C"/>
    <w:rsid w:val="1A1D0C33"/>
    <w:rsid w:val="1A3306CF"/>
    <w:rsid w:val="1AA17AB6"/>
    <w:rsid w:val="1B326960"/>
    <w:rsid w:val="1B5231B9"/>
    <w:rsid w:val="1B852F33"/>
    <w:rsid w:val="1C7A236C"/>
    <w:rsid w:val="1CA76EDA"/>
    <w:rsid w:val="1CD81789"/>
    <w:rsid w:val="1CF739BD"/>
    <w:rsid w:val="1D325A61"/>
    <w:rsid w:val="1D660B43"/>
    <w:rsid w:val="1DA55EF7"/>
    <w:rsid w:val="1DA63635"/>
    <w:rsid w:val="1E316B14"/>
    <w:rsid w:val="1E991964"/>
    <w:rsid w:val="1EBF28F9"/>
    <w:rsid w:val="1EE461C3"/>
    <w:rsid w:val="1F4D3D68"/>
    <w:rsid w:val="210448FA"/>
    <w:rsid w:val="217F0425"/>
    <w:rsid w:val="21BD0BF3"/>
    <w:rsid w:val="21FF3314"/>
    <w:rsid w:val="22034BB2"/>
    <w:rsid w:val="22146DBF"/>
    <w:rsid w:val="22965A26"/>
    <w:rsid w:val="22A30143"/>
    <w:rsid w:val="22C80A1D"/>
    <w:rsid w:val="22D137E3"/>
    <w:rsid w:val="233647BF"/>
    <w:rsid w:val="23503E27"/>
    <w:rsid w:val="240F673A"/>
    <w:rsid w:val="2428245D"/>
    <w:rsid w:val="246463EE"/>
    <w:rsid w:val="248F4881"/>
    <w:rsid w:val="24DE5462"/>
    <w:rsid w:val="24F674E5"/>
    <w:rsid w:val="258424AE"/>
    <w:rsid w:val="25EF53BC"/>
    <w:rsid w:val="26075DA4"/>
    <w:rsid w:val="2769195B"/>
    <w:rsid w:val="276C6678"/>
    <w:rsid w:val="27704EFD"/>
    <w:rsid w:val="27D326E8"/>
    <w:rsid w:val="281C3516"/>
    <w:rsid w:val="28235FAE"/>
    <w:rsid w:val="286C5207"/>
    <w:rsid w:val="28AF1B3F"/>
    <w:rsid w:val="28DE1ED5"/>
    <w:rsid w:val="28E92B74"/>
    <w:rsid w:val="293715E5"/>
    <w:rsid w:val="29AF37A5"/>
    <w:rsid w:val="29E13787"/>
    <w:rsid w:val="2A2C6BAB"/>
    <w:rsid w:val="2A7C19A5"/>
    <w:rsid w:val="2A832D34"/>
    <w:rsid w:val="2A9551BD"/>
    <w:rsid w:val="2AB63A7E"/>
    <w:rsid w:val="2BEC2B5B"/>
    <w:rsid w:val="2C2916B9"/>
    <w:rsid w:val="2CA60F5C"/>
    <w:rsid w:val="2CAD7209"/>
    <w:rsid w:val="2CD878FD"/>
    <w:rsid w:val="2CF17ED9"/>
    <w:rsid w:val="2D491F9E"/>
    <w:rsid w:val="2DB014FB"/>
    <w:rsid w:val="2DD6396D"/>
    <w:rsid w:val="2DF81343"/>
    <w:rsid w:val="2E717347"/>
    <w:rsid w:val="2E7806D6"/>
    <w:rsid w:val="2E976DAE"/>
    <w:rsid w:val="2EC1207D"/>
    <w:rsid w:val="2EFC30B5"/>
    <w:rsid w:val="2F20599A"/>
    <w:rsid w:val="2F7D5942"/>
    <w:rsid w:val="2FC31E25"/>
    <w:rsid w:val="2FE50BA9"/>
    <w:rsid w:val="304F6D20"/>
    <w:rsid w:val="307150A9"/>
    <w:rsid w:val="31140B8A"/>
    <w:rsid w:val="317F0BCA"/>
    <w:rsid w:val="31BE2F6F"/>
    <w:rsid w:val="31F64369"/>
    <w:rsid w:val="32832A04"/>
    <w:rsid w:val="32BC0598"/>
    <w:rsid w:val="335875FD"/>
    <w:rsid w:val="339704A7"/>
    <w:rsid w:val="339B476B"/>
    <w:rsid w:val="33A930DF"/>
    <w:rsid w:val="33B16D2C"/>
    <w:rsid w:val="33FE167D"/>
    <w:rsid w:val="34272982"/>
    <w:rsid w:val="342E43A4"/>
    <w:rsid w:val="34337579"/>
    <w:rsid w:val="34593466"/>
    <w:rsid w:val="348A4CBF"/>
    <w:rsid w:val="35CD25CD"/>
    <w:rsid w:val="35E84393"/>
    <w:rsid w:val="36323860"/>
    <w:rsid w:val="36485D02"/>
    <w:rsid w:val="36F03DB4"/>
    <w:rsid w:val="377D0B0B"/>
    <w:rsid w:val="37BA3B0D"/>
    <w:rsid w:val="3857135C"/>
    <w:rsid w:val="38EA0422"/>
    <w:rsid w:val="39035D01"/>
    <w:rsid w:val="391C28EE"/>
    <w:rsid w:val="392E09A2"/>
    <w:rsid w:val="393F251C"/>
    <w:rsid w:val="396E1053"/>
    <w:rsid w:val="3A0E0140"/>
    <w:rsid w:val="3A3E272A"/>
    <w:rsid w:val="3A6C3919"/>
    <w:rsid w:val="3AAC3BE1"/>
    <w:rsid w:val="3AC433FD"/>
    <w:rsid w:val="3B084DA0"/>
    <w:rsid w:val="3B7A0F58"/>
    <w:rsid w:val="3B9A7EDD"/>
    <w:rsid w:val="3BF70E8C"/>
    <w:rsid w:val="3C073099"/>
    <w:rsid w:val="3C265C15"/>
    <w:rsid w:val="3C672EE2"/>
    <w:rsid w:val="3C7C5835"/>
    <w:rsid w:val="3C877CF3"/>
    <w:rsid w:val="3D0A2E41"/>
    <w:rsid w:val="3D9E31B0"/>
    <w:rsid w:val="3E6842C3"/>
    <w:rsid w:val="3E864749"/>
    <w:rsid w:val="3ED92ACB"/>
    <w:rsid w:val="3F6A13A8"/>
    <w:rsid w:val="3F762A0F"/>
    <w:rsid w:val="40183988"/>
    <w:rsid w:val="413466DE"/>
    <w:rsid w:val="427A6373"/>
    <w:rsid w:val="42EA174A"/>
    <w:rsid w:val="42FE6FA4"/>
    <w:rsid w:val="431B7D67"/>
    <w:rsid w:val="43880F63"/>
    <w:rsid w:val="4496320C"/>
    <w:rsid w:val="44B6565C"/>
    <w:rsid w:val="44BB0C08"/>
    <w:rsid w:val="44D37FBC"/>
    <w:rsid w:val="44F83538"/>
    <w:rsid w:val="45012D7B"/>
    <w:rsid w:val="450B1E4C"/>
    <w:rsid w:val="452838A5"/>
    <w:rsid w:val="457572C5"/>
    <w:rsid w:val="46050649"/>
    <w:rsid w:val="48223734"/>
    <w:rsid w:val="482C2169"/>
    <w:rsid w:val="48960B41"/>
    <w:rsid w:val="48CB2986"/>
    <w:rsid w:val="491312CF"/>
    <w:rsid w:val="492C4C15"/>
    <w:rsid w:val="493733B5"/>
    <w:rsid w:val="49731D6E"/>
    <w:rsid w:val="49AE0344"/>
    <w:rsid w:val="4A466CDD"/>
    <w:rsid w:val="4AA523FB"/>
    <w:rsid w:val="4BE8259F"/>
    <w:rsid w:val="4C4C62F7"/>
    <w:rsid w:val="4C593040"/>
    <w:rsid w:val="4CA5340D"/>
    <w:rsid w:val="4CBB3873"/>
    <w:rsid w:val="4D3017F6"/>
    <w:rsid w:val="4D4F6797"/>
    <w:rsid w:val="4D9F264C"/>
    <w:rsid w:val="4DEB45C9"/>
    <w:rsid w:val="4EAA6232"/>
    <w:rsid w:val="4EAB5AF4"/>
    <w:rsid w:val="4EE96D5A"/>
    <w:rsid w:val="4F452028"/>
    <w:rsid w:val="4F8627FB"/>
    <w:rsid w:val="4FEA0186"/>
    <w:rsid w:val="503F29AA"/>
    <w:rsid w:val="505A5A36"/>
    <w:rsid w:val="50CE10DD"/>
    <w:rsid w:val="50FA159A"/>
    <w:rsid w:val="51B51175"/>
    <w:rsid w:val="51CC4711"/>
    <w:rsid w:val="52E1760A"/>
    <w:rsid w:val="530F6FAB"/>
    <w:rsid w:val="531E2D4A"/>
    <w:rsid w:val="538E7ED0"/>
    <w:rsid w:val="53C168C1"/>
    <w:rsid w:val="540463E4"/>
    <w:rsid w:val="54077C82"/>
    <w:rsid w:val="54103D47"/>
    <w:rsid w:val="550160FA"/>
    <w:rsid w:val="555416D8"/>
    <w:rsid w:val="55923D62"/>
    <w:rsid w:val="56CB4F97"/>
    <w:rsid w:val="57C4051D"/>
    <w:rsid w:val="57C51FED"/>
    <w:rsid w:val="57D460CD"/>
    <w:rsid w:val="58313520"/>
    <w:rsid w:val="58564D34"/>
    <w:rsid w:val="585C67EF"/>
    <w:rsid w:val="590530AE"/>
    <w:rsid w:val="59225246"/>
    <w:rsid w:val="5A2A0227"/>
    <w:rsid w:val="5AAD1584"/>
    <w:rsid w:val="5B1F1D55"/>
    <w:rsid w:val="5B2F6B51"/>
    <w:rsid w:val="5B3A6B8F"/>
    <w:rsid w:val="5B780C82"/>
    <w:rsid w:val="5B8B11F8"/>
    <w:rsid w:val="5BB723EA"/>
    <w:rsid w:val="5BBC3AD9"/>
    <w:rsid w:val="5C2C00C5"/>
    <w:rsid w:val="5C6B5070"/>
    <w:rsid w:val="5CEE5E83"/>
    <w:rsid w:val="5D137698"/>
    <w:rsid w:val="5D2D69AC"/>
    <w:rsid w:val="5D665A1A"/>
    <w:rsid w:val="5DA86032"/>
    <w:rsid w:val="5E10557D"/>
    <w:rsid w:val="5E1337F5"/>
    <w:rsid w:val="60245FFF"/>
    <w:rsid w:val="60377FF6"/>
    <w:rsid w:val="60885CA7"/>
    <w:rsid w:val="60DC6522"/>
    <w:rsid w:val="60E23609"/>
    <w:rsid w:val="612A6665"/>
    <w:rsid w:val="613227E3"/>
    <w:rsid w:val="6151078F"/>
    <w:rsid w:val="61A25CBF"/>
    <w:rsid w:val="61A649A8"/>
    <w:rsid w:val="61DC793B"/>
    <w:rsid w:val="6205760C"/>
    <w:rsid w:val="627A4E6F"/>
    <w:rsid w:val="628B22C7"/>
    <w:rsid w:val="634C0236"/>
    <w:rsid w:val="641B7D10"/>
    <w:rsid w:val="645B3DFE"/>
    <w:rsid w:val="64740A1C"/>
    <w:rsid w:val="64A62BA0"/>
    <w:rsid w:val="64BC5D0B"/>
    <w:rsid w:val="64E831B8"/>
    <w:rsid w:val="65705687"/>
    <w:rsid w:val="66154481"/>
    <w:rsid w:val="662E3308"/>
    <w:rsid w:val="6639653C"/>
    <w:rsid w:val="668A4527"/>
    <w:rsid w:val="66BC13FB"/>
    <w:rsid w:val="66C8504F"/>
    <w:rsid w:val="675C6555"/>
    <w:rsid w:val="67D20F73"/>
    <w:rsid w:val="69407A67"/>
    <w:rsid w:val="694424E5"/>
    <w:rsid w:val="697D06D5"/>
    <w:rsid w:val="6A4B221F"/>
    <w:rsid w:val="6AA638F9"/>
    <w:rsid w:val="6ADE7537"/>
    <w:rsid w:val="6B3E697D"/>
    <w:rsid w:val="6B5D66AE"/>
    <w:rsid w:val="6B8E2D0B"/>
    <w:rsid w:val="6C2B055A"/>
    <w:rsid w:val="6C44786E"/>
    <w:rsid w:val="6C944E95"/>
    <w:rsid w:val="6CF7043C"/>
    <w:rsid w:val="6D8E6FF3"/>
    <w:rsid w:val="6D9640F9"/>
    <w:rsid w:val="6DD3648A"/>
    <w:rsid w:val="6E2434B3"/>
    <w:rsid w:val="6E3C6504"/>
    <w:rsid w:val="6EB53936"/>
    <w:rsid w:val="6EE67218"/>
    <w:rsid w:val="6F062BB9"/>
    <w:rsid w:val="6F3335BA"/>
    <w:rsid w:val="6F667AFB"/>
    <w:rsid w:val="6F8D32DA"/>
    <w:rsid w:val="70365406"/>
    <w:rsid w:val="710D4D92"/>
    <w:rsid w:val="713752AB"/>
    <w:rsid w:val="715B3688"/>
    <w:rsid w:val="71970711"/>
    <w:rsid w:val="71A30B93"/>
    <w:rsid w:val="7327134F"/>
    <w:rsid w:val="736305DA"/>
    <w:rsid w:val="7423209E"/>
    <w:rsid w:val="745E5245"/>
    <w:rsid w:val="75105A22"/>
    <w:rsid w:val="75137DDD"/>
    <w:rsid w:val="75273889"/>
    <w:rsid w:val="752E7A32"/>
    <w:rsid w:val="754461E9"/>
    <w:rsid w:val="757765BE"/>
    <w:rsid w:val="759B2BF7"/>
    <w:rsid w:val="76A76695"/>
    <w:rsid w:val="76E521D9"/>
    <w:rsid w:val="773F135E"/>
    <w:rsid w:val="774158F0"/>
    <w:rsid w:val="786F5C61"/>
    <w:rsid w:val="788C05D2"/>
    <w:rsid w:val="78A36E4B"/>
    <w:rsid w:val="78CE2999"/>
    <w:rsid w:val="798F021A"/>
    <w:rsid w:val="79BB1120"/>
    <w:rsid w:val="79E32474"/>
    <w:rsid w:val="79F92669"/>
    <w:rsid w:val="7A22591C"/>
    <w:rsid w:val="7A241826"/>
    <w:rsid w:val="7A712187"/>
    <w:rsid w:val="7A8E53C7"/>
    <w:rsid w:val="7AE86536"/>
    <w:rsid w:val="7B791623"/>
    <w:rsid w:val="7B931C78"/>
    <w:rsid w:val="7BB045D8"/>
    <w:rsid w:val="7C4B2553"/>
    <w:rsid w:val="7C6433CF"/>
    <w:rsid w:val="7CC30964"/>
    <w:rsid w:val="7CDA758A"/>
    <w:rsid w:val="7CFE6269"/>
    <w:rsid w:val="7D197F5B"/>
    <w:rsid w:val="7D90323E"/>
    <w:rsid w:val="7DAA32A9"/>
    <w:rsid w:val="7DD30A52"/>
    <w:rsid w:val="7E163A6F"/>
    <w:rsid w:val="7EDB7BBE"/>
    <w:rsid w:val="7EFD501B"/>
    <w:rsid w:val="7F207CC7"/>
    <w:rsid w:val="7F5E4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qFormat/>
    <w:uiPriority w:val="0"/>
    <w:pPr>
      <w:spacing w:line="360" w:lineRule="auto"/>
      <w:jc w:val="left"/>
    </w:pPr>
    <w:rPr>
      <w:rFonts w:ascii="宋体" w:hAnsi="宋体" w:eastAsia="宋体" w:cs="Times New Roman"/>
      <w:szCs w:val="24"/>
    </w:rPr>
  </w:style>
  <w:style w:type="paragraph" w:styleId="3">
    <w:name w:val="Body Text"/>
    <w:basedOn w:val="1"/>
    <w:unhideWhenUsed/>
    <w:qFormat/>
    <w:uiPriority w:val="99"/>
    <w:pPr>
      <w:spacing w:after="120"/>
    </w:pPr>
    <w:rPr>
      <w:rFonts w:eastAsia="仿宋_GB2312"/>
    </w:rPr>
  </w:style>
  <w:style w:type="paragraph" w:styleId="4">
    <w:name w:val="Body Text Indent"/>
    <w:basedOn w:val="1"/>
    <w:link w:val="18"/>
    <w:qFormat/>
    <w:uiPriority w:val="0"/>
    <w:pPr>
      <w:ind w:firstLine="420"/>
    </w:pPr>
    <w:rPr>
      <w:rFonts w:ascii="Times New Roman" w:hAnsi="Times New Roman" w:eastAsia="宋体" w:cs="Times New Roman"/>
      <w:sz w:val="24"/>
      <w:szCs w:val="24"/>
    </w:rPr>
  </w:style>
  <w:style w:type="paragraph" w:styleId="5">
    <w:name w:val="Date"/>
    <w:basedOn w:val="1"/>
    <w:next w:val="1"/>
    <w:link w:val="24"/>
    <w:semiHidden/>
    <w:unhideWhenUsed/>
    <w:qFormat/>
    <w:uiPriority w:val="99"/>
    <w:pPr>
      <w:ind w:left="100" w:leftChars="2500"/>
    </w:pPr>
  </w:style>
  <w:style w:type="paragraph" w:styleId="6">
    <w:name w:val="Balloon Text"/>
    <w:basedOn w:val="1"/>
    <w:link w:val="14"/>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Strong"/>
    <w:basedOn w:val="12"/>
    <w:qFormat/>
    <w:uiPriority w:val="0"/>
    <w:rPr>
      <w:b/>
    </w:rPr>
  </w:style>
  <w:style w:type="character" w:customStyle="1" w:styleId="14">
    <w:name w:val="批注框文本 字符"/>
    <w:basedOn w:val="12"/>
    <w:link w:val="6"/>
    <w:semiHidden/>
    <w:qFormat/>
    <w:uiPriority w:val="99"/>
    <w:rPr>
      <w:sz w:val="18"/>
      <w:szCs w:val="18"/>
    </w:rPr>
  </w:style>
  <w:style w:type="character" w:customStyle="1" w:styleId="15">
    <w:name w:val="页眉 字符"/>
    <w:basedOn w:val="12"/>
    <w:link w:val="8"/>
    <w:qFormat/>
    <w:uiPriority w:val="99"/>
    <w:rPr>
      <w:sz w:val="18"/>
      <w:szCs w:val="18"/>
    </w:rPr>
  </w:style>
  <w:style w:type="character" w:customStyle="1" w:styleId="16">
    <w:name w:val="页脚 字符"/>
    <w:basedOn w:val="12"/>
    <w:link w:val="7"/>
    <w:qFormat/>
    <w:uiPriority w:val="99"/>
    <w:rPr>
      <w:sz w:val="18"/>
      <w:szCs w:val="18"/>
    </w:rPr>
  </w:style>
  <w:style w:type="paragraph" w:customStyle="1" w:styleId="17">
    <w:name w:val="章标题"/>
    <w:next w:val="1"/>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18">
    <w:name w:val="正文文本缩进 字符"/>
    <w:basedOn w:val="12"/>
    <w:link w:val="4"/>
    <w:qFormat/>
    <w:uiPriority w:val="0"/>
    <w:rPr>
      <w:rFonts w:ascii="Times New Roman" w:hAnsi="Times New Roman" w:eastAsia="宋体" w:cs="Times New Roman"/>
      <w:sz w:val="24"/>
      <w:szCs w:val="24"/>
    </w:rPr>
  </w:style>
  <w:style w:type="character" w:customStyle="1" w:styleId="19">
    <w:name w:val="批注文字 字符"/>
    <w:basedOn w:val="12"/>
    <w:link w:val="2"/>
    <w:qFormat/>
    <w:uiPriority w:val="0"/>
    <w:rPr>
      <w:rFonts w:ascii="宋体" w:hAnsi="宋体" w:eastAsia="宋体" w:cs="Times New Roman"/>
      <w:szCs w:val="24"/>
    </w:rPr>
  </w:style>
  <w:style w:type="paragraph" w:styleId="20">
    <w:name w:val="List Paragraph"/>
    <w:basedOn w:val="1"/>
    <w:qFormat/>
    <w:uiPriority w:val="34"/>
    <w:pPr>
      <w:ind w:firstLine="420" w:firstLineChars="200"/>
    </w:pPr>
  </w:style>
  <w:style w:type="paragraph" w:customStyle="1" w:styleId="21">
    <w:name w:val="段"/>
    <w:link w:val="22"/>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22">
    <w:name w:val="段 Char"/>
    <w:link w:val="21"/>
    <w:qFormat/>
    <w:uiPriority w:val="0"/>
    <w:rPr>
      <w:rFonts w:ascii="宋体" w:hAnsi="Times New Roman" w:eastAsia="宋体" w:cs="Times New Roman"/>
      <w:kern w:val="0"/>
    </w:rPr>
  </w:style>
  <w:style w:type="paragraph" w:customStyle="1" w:styleId="23">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4">
    <w:name w:val="日期 字符"/>
    <w:basedOn w:val="12"/>
    <w:link w:val="5"/>
    <w:semiHidden/>
    <w:qFormat/>
    <w:uiPriority w:val="99"/>
    <w:rPr>
      <w:rFonts w:asciiTheme="minorHAnsi" w:hAnsiTheme="minorHAnsi" w:eastAsiaTheme="minorEastAsia" w:cstheme="minorBidi"/>
      <w:kern w:val="2"/>
      <w:sz w:val="21"/>
      <w:szCs w:val="22"/>
    </w:rPr>
  </w:style>
  <w:style w:type="character" w:customStyle="1" w:styleId="25">
    <w:name w:val="font21"/>
    <w:basedOn w:val="12"/>
    <w:qFormat/>
    <w:uiPriority w:val="0"/>
    <w:rPr>
      <w:rFonts w:hint="eastAsia" w:ascii="宋体" w:hAnsi="宋体" w:eastAsia="宋体" w:cs="宋体"/>
      <w:color w:val="000000"/>
      <w:sz w:val="22"/>
      <w:szCs w:val="22"/>
      <w:u w:val="none"/>
    </w:rPr>
  </w:style>
  <w:style w:type="character" w:customStyle="1" w:styleId="26">
    <w:name w:val="font11"/>
    <w:basedOn w:val="12"/>
    <w:qFormat/>
    <w:uiPriority w:val="0"/>
    <w:rPr>
      <w:rFonts w:hint="default" w:ascii="Times New Roman" w:hAnsi="Times New Roman" w:cs="Times New Roman"/>
      <w:color w:val="000000"/>
      <w:sz w:val="22"/>
      <w:szCs w:val="22"/>
      <w:u w:val="none"/>
    </w:rPr>
  </w:style>
  <w:style w:type="character" w:customStyle="1" w:styleId="27">
    <w:name w:val="font71"/>
    <w:basedOn w:val="12"/>
    <w:qFormat/>
    <w:uiPriority w:val="0"/>
    <w:rPr>
      <w:rFonts w:hint="eastAsia" w:ascii="宋体" w:hAnsi="宋体" w:eastAsia="宋体" w:cs="宋体"/>
      <w:color w:val="000000"/>
      <w:sz w:val="21"/>
      <w:szCs w:val="21"/>
      <w:u w:val="none"/>
    </w:rPr>
  </w:style>
  <w:style w:type="character" w:customStyle="1" w:styleId="28">
    <w:name w:val="font51"/>
    <w:basedOn w:val="12"/>
    <w:qFormat/>
    <w:uiPriority w:val="0"/>
    <w:rPr>
      <w:rFonts w:hint="eastAsia" w:ascii="宋体" w:hAnsi="宋体" w:eastAsia="宋体" w:cs="宋体"/>
      <w:color w:val="FF0000"/>
      <w:sz w:val="22"/>
      <w:szCs w:val="22"/>
      <w:u w:val="none"/>
    </w:rPr>
  </w:style>
  <w:style w:type="character" w:customStyle="1" w:styleId="29">
    <w:name w:val="font61"/>
    <w:basedOn w:val="12"/>
    <w:qFormat/>
    <w:uiPriority w:val="0"/>
    <w:rPr>
      <w:rFonts w:hint="default" w:ascii="Times New Roman" w:hAnsi="Times New Roman" w:cs="Times New Roman"/>
      <w:color w:val="FF0000"/>
      <w:sz w:val="22"/>
      <w:szCs w:val="22"/>
      <w:u w:val="none"/>
    </w:rPr>
  </w:style>
  <w:style w:type="character" w:customStyle="1" w:styleId="30">
    <w:name w:val="font81"/>
    <w:basedOn w:val="12"/>
    <w:qFormat/>
    <w:uiPriority w:val="0"/>
    <w:rPr>
      <w:rFonts w:hint="eastAsia" w:ascii="宋体" w:hAnsi="宋体" w:eastAsia="宋体" w:cs="宋体"/>
      <w:color w:val="000000"/>
      <w:sz w:val="21"/>
      <w:szCs w:val="21"/>
      <w:u w:val="none"/>
    </w:rPr>
  </w:style>
  <w:style w:type="character" w:customStyle="1" w:styleId="31">
    <w:name w:val="font41"/>
    <w:basedOn w:val="12"/>
    <w:qFormat/>
    <w:uiPriority w:val="0"/>
    <w:rPr>
      <w:rFonts w:hint="default" w:ascii="Times New Roman" w:hAnsi="Times New Roman" w:cs="Times New Roman"/>
      <w:color w:val="000000"/>
      <w:sz w:val="21"/>
      <w:szCs w:val="21"/>
      <w:u w:val="none"/>
    </w:rPr>
  </w:style>
  <w:style w:type="character" w:customStyle="1" w:styleId="32">
    <w:name w:val="font3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64.bin"/><Relationship Id="rId98" Type="http://schemas.openxmlformats.org/officeDocument/2006/relationships/oleObject" Target="embeddings/oleObject63.bin"/><Relationship Id="rId97" Type="http://schemas.openxmlformats.org/officeDocument/2006/relationships/image" Target="media/image32.wmf"/><Relationship Id="rId96" Type="http://schemas.openxmlformats.org/officeDocument/2006/relationships/oleObject" Target="embeddings/oleObject62.bin"/><Relationship Id="rId95" Type="http://schemas.openxmlformats.org/officeDocument/2006/relationships/image" Target="media/image31.wmf"/><Relationship Id="rId94" Type="http://schemas.openxmlformats.org/officeDocument/2006/relationships/oleObject" Target="embeddings/oleObject61.bin"/><Relationship Id="rId93" Type="http://schemas.openxmlformats.org/officeDocument/2006/relationships/image" Target="media/image30.wmf"/><Relationship Id="rId92" Type="http://schemas.openxmlformats.org/officeDocument/2006/relationships/oleObject" Target="embeddings/oleObject60.bin"/><Relationship Id="rId91" Type="http://schemas.openxmlformats.org/officeDocument/2006/relationships/image" Target="media/image29.wmf"/><Relationship Id="rId90" Type="http://schemas.openxmlformats.org/officeDocument/2006/relationships/oleObject" Target="embeddings/oleObject59.bin"/><Relationship Id="rId9" Type="http://schemas.openxmlformats.org/officeDocument/2006/relationships/image" Target="media/image3.wmf"/><Relationship Id="rId89" Type="http://schemas.openxmlformats.org/officeDocument/2006/relationships/oleObject" Target="embeddings/oleObject58.bin"/><Relationship Id="rId88" Type="http://schemas.openxmlformats.org/officeDocument/2006/relationships/image" Target="media/image28.wmf"/><Relationship Id="rId87" Type="http://schemas.openxmlformats.org/officeDocument/2006/relationships/oleObject" Target="embeddings/oleObject57.bin"/><Relationship Id="rId86" Type="http://schemas.openxmlformats.org/officeDocument/2006/relationships/image" Target="media/image27.wmf"/><Relationship Id="rId85" Type="http://schemas.openxmlformats.org/officeDocument/2006/relationships/oleObject" Target="embeddings/oleObject56.bin"/><Relationship Id="rId84" Type="http://schemas.openxmlformats.org/officeDocument/2006/relationships/image" Target="media/image26.wmf"/><Relationship Id="rId83" Type="http://schemas.openxmlformats.org/officeDocument/2006/relationships/oleObject" Target="embeddings/oleObject55.bin"/><Relationship Id="rId82" Type="http://schemas.openxmlformats.org/officeDocument/2006/relationships/image" Target="media/image25.wmf"/><Relationship Id="rId81" Type="http://schemas.openxmlformats.org/officeDocument/2006/relationships/oleObject" Target="embeddings/oleObject54.bin"/><Relationship Id="rId80" Type="http://schemas.openxmlformats.org/officeDocument/2006/relationships/oleObject" Target="embeddings/oleObject53.bin"/><Relationship Id="rId8" Type="http://schemas.openxmlformats.org/officeDocument/2006/relationships/oleObject" Target="embeddings/oleObject3.bin"/><Relationship Id="rId79" Type="http://schemas.openxmlformats.org/officeDocument/2006/relationships/image" Target="media/image24.wmf"/><Relationship Id="rId78" Type="http://schemas.openxmlformats.org/officeDocument/2006/relationships/oleObject" Target="embeddings/oleObject52.bin"/><Relationship Id="rId77" Type="http://schemas.openxmlformats.org/officeDocument/2006/relationships/image" Target="media/image23.wmf"/><Relationship Id="rId76" Type="http://schemas.openxmlformats.org/officeDocument/2006/relationships/oleObject" Target="embeddings/oleObject51.bin"/><Relationship Id="rId75" Type="http://schemas.openxmlformats.org/officeDocument/2006/relationships/oleObject" Target="embeddings/oleObject50.bin"/><Relationship Id="rId74" Type="http://schemas.openxmlformats.org/officeDocument/2006/relationships/oleObject" Target="embeddings/oleObject49.bin"/><Relationship Id="rId73" Type="http://schemas.openxmlformats.org/officeDocument/2006/relationships/oleObject" Target="embeddings/oleObject48.bin"/><Relationship Id="rId72" Type="http://schemas.openxmlformats.org/officeDocument/2006/relationships/oleObject" Target="embeddings/oleObject47.bin"/><Relationship Id="rId71" Type="http://schemas.openxmlformats.org/officeDocument/2006/relationships/oleObject" Target="embeddings/oleObject46.bin"/><Relationship Id="rId70" Type="http://schemas.openxmlformats.org/officeDocument/2006/relationships/oleObject" Target="embeddings/oleObject45.bin"/><Relationship Id="rId7" Type="http://schemas.openxmlformats.org/officeDocument/2006/relationships/image" Target="media/image2.wmf"/><Relationship Id="rId69" Type="http://schemas.openxmlformats.org/officeDocument/2006/relationships/oleObject" Target="embeddings/oleObject44.bin"/><Relationship Id="rId68" Type="http://schemas.openxmlformats.org/officeDocument/2006/relationships/oleObject" Target="embeddings/oleObject43.bin"/><Relationship Id="rId67" Type="http://schemas.openxmlformats.org/officeDocument/2006/relationships/oleObject" Target="embeddings/oleObject42.bin"/><Relationship Id="rId66" Type="http://schemas.openxmlformats.org/officeDocument/2006/relationships/oleObject" Target="embeddings/oleObject41.bin"/><Relationship Id="rId65" Type="http://schemas.openxmlformats.org/officeDocument/2006/relationships/oleObject" Target="embeddings/oleObject40.bin"/><Relationship Id="rId64" Type="http://schemas.openxmlformats.org/officeDocument/2006/relationships/oleObject" Target="embeddings/oleObject39.bin"/><Relationship Id="rId63" Type="http://schemas.openxmlformats.org/officeDocument/2006/relationships/oleObject" Target="embeddings/oleObject38.bin"/><Relationship Id="rId62" Type="http://schemas.openxmlformats.org/officeDocument/2006/relationships/oleObject" Target="embeddings/oleObject37.bin"/><Relationship Id="rId61" Type="http://schemas.openxmlformats.org/officeDocument/2006/relationships/oleObject" Target="embeddings/oleObject36.bin"/><Relationship Id="rId60" Type="http://schemas.openxmlformats.org/officeDocument/2006/relationships/oleObject" Target="embeddings/oleObject35.bin"/><Relationship Id="rId6" Type="http://schemas.openxmlformats.org/officeDocument/2006/relationships/oleObject" Target="embeddings/oleObject2.bin"/><Relationship Id="rId59" Type="http://schemas.openxmlformats.org/officeDocument/2006/relationships/oleObject" Target="embeddings/oleObject34.bin"/><Relationship Id="rId58" Type="http://schemas.openxmlformats.org/officeDocument/2006/relationships/oleObject" Target="embeddings/oleObject33.bin"/><Relationship Id="rId57" Type="http://schemas.openxmlformats.org/officeDocument/2006/relationships/image" Target="media/image22.wmf"/><Relationship Id="rId56" Type="http://schemas.openxmlformats.org/officeDocument/2006/relationships/oleObject" Target="embeddings/oleObject32.bin"/><Relationship Id="rId55" Type="http://schemas.openxmlformats.org/officeDocument/2006/relationships/oleObject" Target="embeddings/oleObject31.bin"/><Relationship Id="rId54" Type="http://schemas.openxmlformats.org/officeDocument/2006/relationships/oleObject" Target="embeddings/oleObject30.bin"/><Relationship Id="rId53" Type="http://schemas.openxmlformats.org/officeDocument/2006/relationships/image" Target="media/image21.wmf"/><Relationship Id="rId52" Type="http://schemas.openxmlformats.org/officeDocument/2006/relationships/oleObject" Target="embeddings/oleObject29.bin"/><Relationship Id="rId51" Type="http://schemas.openxmlformats.org/officeDocument/2006/relationships/image" Target="media/image20.wmf"/><Relationship Id="rId50" Type="http://schemas.openxmlformats.org/officeDocument/2006/relationships/oleObject" Target="embeddings/oleObject28.bin"/><Relationship Id="rId5" Type="http://schemas.openxmlformats.org/officeDocument/2006/relationships/image" Target="media/image1.wmf"/><Relationship Id="rId49" Type="http://schemas.openxmlformats.org/officeDocument/2006/relationships/image" Target="media/image19.wmf"/><Relationship Id="rId48" Type="http://schemas.openxmlformats.org/officeDocument/2006/relationships/oleObject" Target="embeddings/oleObject27.bin"/><Relationship Id="rId47" Type="http://schemas.openxmlformats.org/officeDocument/2006/relationships/image" Target="media/image18.wmf"/><Relationship Id="rId46" Type="http://schemas.openxmlformats.org/officeDocument/2006/relationships/oleObject" Target="embeddings/oleObject26.bin"/><Relationship Id="rId45" Type="http://schemas.openxmlformats.org/officeDocument/2006/relationships/image" Target="media/image17.wmf"/><Relationship Id="rId44" Type="http://schemas.openxmlformats.org/officeDocument/2006/relationships/oleObject" Target="embeddings/oleObject25.bin"/><Relationship Id="rId43" Type="http://schemas.openxmlformats.org/officeDocument/2006/relationships/oleObject" Target="embeddings/oleObject24.bin"/><Relationship Id="rId42" Type="http://schemas.openxmlformats.org/officeDocument/2006/relationships/oleObject" Target="embeddings/oleObject23.bin"/><Relationship Id="rId41" Type="http://schemas.openxmlformats.org/officeDocument/2006/relationships/oleObject" Target="embeddings/oleObject22.bin"/><Relationship Id="rId40" Type="http://schemas.openxmlformats.org/officeDocument/2006/relationships/oleObject" Target="embeddings/oleObject21.bin"/><Relationship Id="rId4" Type="http://schemas.openxmlformats.org/officeDocument/2006/relationships/oleObject" Target="embeddings/oleObject1.bin"/><Relationship Id="rId39" Type="http://schemas.openxmlformats.org/officeDocument/2006/relationships/oleObject" Target="embeddings/oleObject20.bin"/><Relationship Id="rId38" Type="http://schemas.openxmlformats.org/officeDocument/2006/relationships/oleObject" Target="embeddings/oleObject19.bin"/><Relationship Id="rId37" Type="http://schemas.openxmlformats.org/officeDocument/2006/relationships/oleObject" Target="embeddings/oleObject18.bin"/><Relationship Id="rId36" Type="http://schemas.openxmlformats.org/officeDocument/2006/relationships/oleObject" Target="embeddings/oleObject17.bin"/><Relationship Id="rId35" Type="http://schemas.openxmlformats.org/officeDocument/2006/relationships/image" Target="media/image16.wmf"/><Relationship Id="rId34" Type="http://schemas.openxmlformats.org/officeDocument/2006/relationships/oleObject" Target="embeddings/oleObject16.bin"/><Relationship Id="rId33" Type="http://schemas.openxmlformats.org/officeDocument/2006/relationships/image" Target="media/image15.wmf"/><Relationship Id="rId32" Type="http://schemas.openxmlformats.org/officeDocument/2006/relationships/oleObject" Target="embeddings/oleObject15.bin"/><Relationship Id="rId31" Type="http://schemas.openxmlformats.org/officeDocument/2006/relationships/image" Target="media/image14.w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image" Target="media/image13.wmf"/><Relationship Id="rId28" Type="http://schemas.openxmlformats.org/officeDocument/2006/relationships/oleObject" Target="embeddings/oleObject13.bin"/><Relationship Id="rId27" Type="http://schemas.openxmlformats.org/officeDocument/2006/relationships/image" Target="media/image12.wmf"/><Relationship Id="rId26" Type="http://schemas.openxmlformats.org/officeDocument/2006/relationships/oleObject" Target="embeddings/oleObject12.bin"/><Relationship Id="rId25" Type="http://schemas.openxmlformats.org/officeDocument/2006/relationships/image" Target="media/image11.wmf"/><Relationship Id="rId24" Type="http://schemas.openxmlformats.org/officeDocument/2006/relationships/oleObject" Target="embeddings/oleObject11.bin"/><Relationship Id="rId23" Type="http://schemas.openxmlformats.org/officeDocument/2006/relationships/image" Target="media/image10.wmf"/><Relationship Id="rId22" Type="http://schemas.openxmlformats.org/officeDocument/2006/relationships/oleObject" Target="embeddings/oleObject10.bin"/><Relationship Id="rId21" Type="http://schemas.openxmlformats.org/officeDocument/2006/relationships/image" Target="media/image9.w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8" Type="http://schemas.openxmlformats.org/officeDocument/2006/relationships/fontTable" Target="fontTable.xml"/><Relationship Id="rId137" Type="http://schemas.openxmlformats.org/officeDocument/2006/relationships/customXml" Target="../customXml/item1.xml"/><Relationship Id="rId136" Type="http://schemas.openxmlformats.org/officeDocument/2006/relationships/numbering" Target="numbering.xml"/><Relationship Id="rId135" Type="http://schemas.openxmlformats.org/officeDocument/2006/relationships/image" Target="media/image41.wmf"/><Relationship Id="rId134" Type="http://schemas.openxmlformats.org/officeDocument/2006/relationships/oleObject" Target="embeddings/oleObject91.bin"/><Relationship Id="rId133" Type="http://schemas.openxmlformats.org/officeDocument/2006/relationships/image" Target="media/image40.wmf"/><Relationship Id="rId132" Type="http://schemas.openxmlformats.org/officeDocument/2006/relationships/oleObject" Target="embeddings/oleObject90.bin"/><Relationship Id="rId131" Type="http://schemas.openxmlformats.org/officeDocument/2006/relationships/oleObject" Target="embeddings/oleObject89.bin"/><Relationship Id="rId130" Type="http://schemas.openxmlformats.org/officeDocument/2006/relationships/image" Target="media/image39.wmf"/><Relationship Id="rId13" Type="http://schemas.openxmlformats.org/officeDocument/2006/relationships/image" Target="media/image5.wmf"/><Relationship Id="rId129" Type="http://schemas.openxmlformats.org/officeDocument/2006/relationships/oleObject" Target="embeddings/oleObject88.bin"/><Relationship Id="rId128" Type="http://schemas.openxmlformats.org/officeDocument/2006/relationships/oleObject" Target="embeddings/oleObject87.bin"/><Relationship Id="rId127" Type="http://schemas.openxmlformats.org/officeDocument/2006/relationships/oleObject" Target="embeddings/oleObject86.bin"/><Relationship Id="rId126" Type="http://schemas.openxmlformats.org/officeDocument/2006/relationships/oleObject" Target="embeddings/oleObject85.bin"/><Relationship Id="rId125" Type="http://schemas.openxmlformats.org/officeDocument/2006/relationships/oleObject" Target="embeddings/oleObject84.bin"/><Relationship Id="rId124" Type="http://schemas.openxmlformats.org/officeDocument/2006/relationships/image" Target="media/image38.wmf"/><Relationship Id="rId123" Type="http://schemas.openxmlformats.org/officeDocument/2006/relationships/oleObject" Target="embeddings/oleObject83.bin"/><Relationship Id="rId122" Type="http://schemas.openxmlformats.org/officeDocument/2006/relationships/image" Target="media/image37.wmf"/><Relationship Id="rId121" Type="http://schemas.openxmlformats.org/officeDocument/2006/relationships/oleObject" Target="embeddings/oleObject82.bin"/><Relationship Id="rId120" Type="http://schemas.openxmlformats.org/officeDocument/2006/relationships/oleObject" Target="embeddings/oleObject81.bin"/><Relationship Id="rId12" Type="http://schemas.openxmlformats.org/officeDocument/2006/relationships/oleObject" Target="embeddings/oleObject5.bin"/><Relationship Id="rId119" Type="http://schemas.openxmlformats.org/officeDocument/2006/relationships/oleObject" Target="embeddings/oleObject80.bin"/><Relationship Id="rId118" Type="http://schemas.openxmlformats.org/officeDocument/2006/relationships/oleObject" Target="embeddings/oleObject79.bin"/><Relationship Id="rId117" Type="http://schemas.openxmlformats.org/officeDocument/2006/relationships/image" Target="media/image36.wmf"/><Relationship Id="rId116" Type="http://schemas.openxmlformats.org/officeDocument/2006/relationships/oleObject" Target="embeddings/oleObject78.bin"/><Relationship Id="rId115" Type="http://schemas.openxmlformats.org/officeDocument/2006/relationships/image" Target="media/image35.wmf"/><Relationship Id="rId114" Type="http://schemas.openxmlformats.org/officeDocument/2006/relationships/oleObject" Target="embeddings/oleObject77.bin"/><Relationship Id="rId113" Type="http://schemas.openxmlformats.org/officeDocument/2006/relationships/image" Target="media/image34.wmf"/><Relationship Id="rId112" Type="http://schemas.openxmlformats.org/officeDocument/2006/relationships/oleObject" Target="embeddings/oleObject76.bin"/><Relationship Id="rId111" Type="http://schemas.openxmlformats.org/officeDocument/2006/relationships/image" Target="media/image33.wmf"/><Relationship Id="rId110" Type="http://schemas.openxmlformats.org/officeDocument/2006/relationships/oleObject" Target="embeddings/oleObject75.bin"/><Relationship Id="rId11" Type="http://schemas.openxmlformats.org/officeDocument/2006/relationships/image" Target="media/image4.wmf"/><Relationship Id="rId109" Type="http://schemas.openxmlformats.org/officeDocument/2006/relationships/oleObject" Target="embeddings/oleObject74.bin"/><Relationship Id="rId108" Type="http://schemas.openxmlformats.org/officeDocument/2006/relationships/oleObject" Target="embeddings/oleObject73.bin"/><Relationship Id="rId107" Type="http://schemas.openxmlformats.org/officeDocument/2006/relationships/oleObject" Target="embeddings/oleObject72.bin"/><Relationship Id="rId106" Type="http://schemas.openxmlformats.org/officeDocument/2006/relationships/oleObject" Target="embeddings/oleObject71.bin"/><Relationship Id="rId105" Type="http://schemas.openxmlformats.org/officeDocument/2006/relationships/oleObject" Target="embeddings/oleObject70.bin"/><Relationship Id="rId104" Type="http://schemas.openxmlformats.org/officeDocument/2006/relationships/oleObject" Target="embeddings/oleObject69.bin"/><Relationship Id="rId103" Type="http://schemas.openxmlformats.org/officeDocument/2006/relationships/oleObject" Target="embeddings/oleObject68.bin"/><Relationship Id="rId102" Type="http://schemas.openxmlformats.org/officeDocument/2006/relationships/oleObject" Target="embeddings/oleObject67.bin"/><Relationship Id="rId101" Type="http://schemas.openxmlformats.org/officeDocument/2006/relationships/oleObject" Target="embeddings/oleObject66.bin"/><Relationship Id="rId100" Type="http://schemas.openxmlformats.org/officeDocument/2006/relationships/oleObject" Target="embeddings/oleObject65.bin"/><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21</Pages>
  <Words>15275</Words>
  <Characters>19417</Characters>
  <Lines>21</Lines>
  <Paragraphs>5</Paragraphs>
  <TotalTime>23</TotalTime>
  <ScaleCrop>false</ScaleCrop>
  <LinksUpToDate>false</LinksUpToDate>
  <CharactersWithSpaces>19747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ss</cp:lastModifiedBy>
  <dcterms:modified xsi:type="dcterms:W3CDTF">2026-06-24T06:01:58Z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8E6E861770AC4226ABF64DCF59A1B481_13</vt:lpwstr>
  </property>
  <property fmtid="{D5CDD505-2E9C-101B-9397-08002B2CF9AE}" pid="4" name="KSOTemplateDocerSaveRecord">
    <vt:lpwstr>eyJoZGlkIjoiZjFmZWIzNDg2MmIzZjExOTIzMmViNTBmYTMwYTk0ZWYiLCJ1c2VySWQiOiI0MzA0NjUzNjgifQ==</vt:lpwstr>
  </property>
</Properties>
</file>