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4E33" w14:textId="77777777" w:rsidR="004426E6" w:rsidRDefault="00000000">
      <w:pPr>
        <w:jc w:val="center"/>
        <w:rPr>
          <w:rFonts w:eastAsia="黑体"/>
          <w:sz w:val="32"/>
          <w:szCs w:val="32"/>
        </w:rPr>
      </w:pPr>
      <w:r>
        <w:rPr>
          <w:rFonts w:eastAsia="黑体" w:hint="eastAsia"/>
          <w:sz w:val="32"/>
          <w:szCs w:val="32"/>
        </w:rPr>
        <w:t xml:space="preserve">                                                    </w:t>
      </w:r>
    </w:p>
    <w:p w14:paraId="43B6A713" w14:textId="77777777" w:rsidR="004426E6" w:rsidRDefault="004426E6">
      <w:pPr>
        <w:jc w:val="center"/>
        <w:rPr>
          <w:rFonts w:eastAsia="黑体"/>
          <w:sz w:val="32"/>
          <w:szCs w:val="32"/>
        </w:rPr>
      </w:pPr>
    </w:p>
    <w:p w14:paraId="077F43BF" w14:textId="77777777" w:rsidR="004426E6" w:rsidRDefault="004426E6">
      <w:pPr>
        <w:jc w:val="center"/>
        <w:rPr>
          <w:rFonts w:eastAsia="黑体"/>
          <w:sz w:val="32"/>
          <w:szCs w:val="32"/>
        </w:rPr>
      </w:pPr>
    </w:p>
    <w:p w14:paraId="53969195" w14:textId="77777777" w:rsidR="004426E6" w:rsidRDefault="004426E6">
      <w:pPr>
        <w:jc w:val="center"/>
        <w:rPr>
          <w:rFonts w:eastAsia="黑体"/>
          <w:sz w:val="32"/>
          <w:szCs w:val="32"/>
        </w:rPr>
      </w:pPr>
    </w:p>
    <w:p w14:paraId="49B2B3D8" w14:textId="77777777" w:rsidR="004426E6" w:rsidRDefault="004426E6">
      <w:pPr>
        <w:jc w:val="center"/>
        <w:rPr>
          <w:rFonts w:eastAsia="黑体"/>
          <w:sz w:val="32"/>
          <w:szCs w:val="32"/>
        </w:rPr>
      </w:pPr>
    </w:p>
    <w:p w14:paraId="68A45F7A" w14:textId="77777777" w:rsidR="004426E6" w:rsidRDefault="004426E6">
      <w:pPr>
        <w:jc w:val="center"/>
        <w:rPr>
          <w:rFonts w:eastAsia="黑体"/>
          <w:sz w:val="44"/>
          <w:szCs w:val="44"/>
        </w:rPr>
      </w:pPr>
    </w:p>
    <w:p w14:paraId="00AE9882" w14:textId="77777777" w:rsidR="004426E6" w:rsidRDefault="00000000">
      <w:pPr>
        <w:jc w:val="center"/>
        <w:rPr>
          <w:rFonts w:eastAsia="黑体"/>
          <w:sz w:val="44"/>
          <w:szCs w:val="44"/>
        </w:rPr>
      </w:pPr>
      <w:r>
        <w:rPr>
          <w:rFonts w:eastAsia="黑体" w:hint="eastAsia"/>
          <w:sz w:val="44"/>
          <w:szCs w:val="44"/>
        </w:rPr>
        <w:t>国家标准《易切削铜合金线材》编制说明</w:t>
      </w:r>
    </w:p>
    <w:p w14:paraId="2B0E82A0" w14:textId="77777777" w:rsidR="004426E6" w:rsidRDefault="004426E6">
      <w:pPr>
        <w:pStyle w:val="a0"/>
      </w:pPr>
    </w:p>
    <w:p w14:paraId="6FD979E8" w14:textId="79851AAA" w:rsidR="004426E6" w:rsidRDefault="00000000">
      <w:pPr>
        <w:jc w:val="center"/>
        <w:rPr>
          <w:rFonts w:eastAsia="黑体"/>
          <w:sz w:val="32"/>
          <w:szCs w:val="32"/>
        </w:rPr>
      </w:pPr>
      <w:r>
        <w:rPr>
          <w:rFonts w:eastAsia="黑体" w:hint="eastAsia"/>
          <w:sz w:val="32"/>
          <w:szCs w:val="32"/>
        </w:rPr>
        <w:t>（</w:t>
      </w:r>
      <w:r w:rsidR="003536BB">
        <w:rPr>
          <w:rFonts w:eastAsia="黑体" w:hint="eastAsia"/>
          <w:sz w:val="32"/>
          <w:szCs w:val="32"/>
        </w:rPr>
        <w:t>送</w:t>
      </w:r>
      <w:r>
        <w:rPr>
          <w:rFonts w:eastAsia="黑体" w:hint="eastAsia"/>
          <w:sz w:val="32"/>
          <w:szCs w:val="32"/>
        </w:rPr>
        <w:t>审稿）</w:t>
      </w:r>
    </w:p>
    <w:p w14:paraId="083AF3D4" w14:textId="77777777" w:rsidR="004426E6" w:rsidRDefault="004426E6">
      <w:pPr>
        <w:jc w:val="center"/>
        <w:rPr>
          <w:rFonts w:eastAsia="黑体"/>
          <w:sz w:val="28"/>
          <w:szCs w:val="28"/>
        </w:rPr>
      </w:pPr>
    </w:p>
    <w:p w14:paraId="67D435A6" w14:textId="77777777" w:rsidR="004426E6" w:rsidRDefault="004426E6">
      <w:pPr>
        <w:jc w:val="center"/>
        <w:rPr>
          <w:rFonts w:eastAsia="黑体"/>
          <w:sz w:val="28"/>
          <w:szCs w:val="28"/>
        </w:rPr>
      </w:pPr>
    </w:p>
    <w:p w14:paraId="4D5E62B0" w14:textId="77777777" w:rsidR="004426E6" w:rsidRDefault="004426E6">
      <w:pPr>
        <w:jc w:val="center"/>
        <w:rPr>
          <w:rFonts w:eastAsia="黑体"/>
          <w:sz w:val="28"/>
          <w:szCs w:val="28"/>
        </w:rPr>
      </w:pPr>
    </w:p>
    <w:p w14:paraId="15B73921" w14:textId="77777777" w:rsidR="004426E6" w:rsidRDefault="004426E6">
      <w:pPr>
        <w:jc w:val="center"/>
        <w:rPr>
          <w:rFonts w:eastAsia="黑体"/>
          <w:sz w:val="28"/>
          <w:szCs w:val="28"/>
        </w:rPr>
      </w:pPr>
    </w:p>
    <w:p w14:paraId="4AE6AF22" w14:textId="77777777" w:rsidR="004426E6" w:rsidRDefault="004426E6">
      <w:pPr>
        <w:jc w:val="center"/>
        <w:rPr>
          <w:rFonts w:eastAsia="黑体"/>
          <w:sz w:val="28"/>
          <w:szCs w:val="28"/>
        </w:rPr>
      </w:pPr>
    </w:p>
    <w:p w14:paraId="65CCCD6A" w14:textId="77777777" w:rsidR="004426E6" w:rsidRDefault="004426E6">
      <w:pPr>
        <w:jc w:val="center"/>
        <w:rPr>
          <w:rFonts w:eastAsia="黑体"/>
          <w:sz w:val="28"/>
          <w:szCs w:val="28"/>
        </w:rPr>
      </w:pPr>
    </w:p>
    <w:p w14:paraId="00909E4C" w14:textId="77777777" w:rsidR="004426E6" w:rsidRDefault="004426E6">
      <w:pPr>
        <w:jc w:val="center"/>
        <w:rPr>
          <w:rFonts w:eastAsia="黑体"/>
          <w:sz w:val="28"/>
          <w:szCs w:val="28"/>
        </w:rPr>
      </w:pPr>
    </w:p>
    <w:p w14:paraId="154E1BBE" w14:textId="77777777" w:rsidR="004426E6" w:rsidRDefault="00000000">
      <w:pPr>
        <w:jc w:val="center"/>
        <w:rPr>
          <w:rFonts w:eastAsia="黑体"/>
          <w:sz w:val="28"/>
          <w:szCs w:val="28"/>
        </w:rPr>
      </w:pPr>
      <w:r>
        <w:rPr>
          <w:rFonts w:eastAsia="黑体" w:hint="eastAsia"/>
          <w:sz w:val="28"/>
          <w:szCs w:val="28"/>
        </w:rPr>
        <w:t>宁波博威合金材料股份有限公司</w:t>
      </w:r>
    </w:p>
    <w:p w14:paraId="23FDA1D1" w14:textId="16214EC5" w:rsidR="004426E6" w:rsidRDefault="00000000">
      <w:pPr>
        <w:jc w:val="center"/>
        <w:rPr>
          <w:rFonts w:eastAsia="黑体"/>
          <w:sz w:val="28"/>
          <w:szCs w:val="28"/>
        </w:rPr>
      </w:pPr>
      <w:r>
        <w:rPr>
          <w:rFonts w:eastAsia="黑体" w:hint="eastAsia"/>
          <w:sz w:val="28"/>
          <w:szCs w:val="28"/>
        </w:rPr>
        <w:t>2026</w:t>
      </w:r>
      <w:r>
        <w:rPr>
          <w:rFonts w:eastAsia="黑体" w:hint="eastAsia"/>
          <w:sz w:val="28"/>
          <w:szCs w:val="28"/>
        </w:rPr>
        <w:t>年</w:t>
      </w:r>
      <w:r w:rsidR="003536BB">
        <w:rPr>
          <w:rFonts w:eastAsia="黑体" w:hint="eastAsia"/>
          <w:sz w:val="28"/>
          <w:szCs w:val="28"/>
        </w:rPr>
        <w:t>06</w:t>
      </w:r>
      <w:r>
        <w:rPr>
          <w:rFonts w:eastAsia="黑体" w:hint="eastAsia"/>
          <w:sz w:val="28"/>
          <w:szCs w:val="28"/>
        </w:rPr>
        <w:t>月</w:t>
      </w:r>
      <w:r>
        <w:rPr>
          <w:rFonts w:eastAsia="黑体" w:hint="eastAsia"/>
          <w:sz w:val="28"/>
          <w:szCs w:val="28"/>
        </w:rPr>
        <w:br w:type="page"/>
      </w:r>
    </w:p>
    <w:p w14:paraId="43BEEB30" w14:textId="77777777" w:rsidR="004426E6" w:rsidRDefault="00000000">
      <w:pPr>
        <w:jc w:val="center"/>
        <w:rPr>
          <w:rFonts w:eastAsia="黑体"/>
          <w:sz w:val="44"/>
          <w:szCs w:val="44"/>
        </w:rPr>
      </w:pPr>
      <w:r>
        <w:rPr>
          <w:rFonts w:eastAsia="黑体" w:hint="eastAsia"/>
          <w:sz w:val="44"/>
          <w:szCs w:val="44"/>
        </w:rPr>
        <w:lastRenderedPageBreak/>
        <w:t>国家标准《易切削铜合金线材》编制说明</w:t>
      </w:r>
    </w:p>
    <w:p w14:paraId="6E03AA90" w14:textId="6BD0075E" w:rsidR="004426E6" w:rsidRDefault="00000000">
      <w:pPr>
        <w:jc w:val="center"/>
        <w:rPr>
          <w:rFonts w:eastAsia="黑体"/>
          <w:sz w:val="44"/>
          <w:szCs w:val="44"/>
        </w:rPr>
      </w:pPr>
      <w:r>
        <w:rPr>
          <w:rFonts w:eastAsia="黑体" w:hint="eastAsia"/>
          <w:sz w:val="44"/>
          <w:szCs w:val="44"/>
        </w:rPr>
        <w:t>（</w:t>
      </w:r>
      <w:r w:rsidR="003536BB">
        <w:rPr>
          <w:rFonts w:eastAsia="黑体" w:hint="eastAsia"/>
          <w:sz w:val="44"/>
          <w:szCs w:val="44"/>
        </w:rPr>
        <w:t>送</w:t>
      </w:r>
      <w:r>
        <w:rPr>
          <w:rFonts w:eastAsia="黑体" w:hint="eastAsia"/>
          <w:sz w:val="44"/>
          <w:szCs w:val="44"/>
        </w:rPr>
        <w:t>审稿）</w:t>
      </w:r>
    </w:p>
    <w:p w14:paraId="5229526A" w14:textId="77777777" w:rsidR="004426E6" w:rsidRDefault="00000000">
      <w:pPr>
        <w:pStyle w:val="af4"/>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一、工作简况</w:t>
      </w:r>
    </w:p>
    <w:p w14:paraId="7889C107" w14:textId="77777777" w:rsidR="004426E6" w:rsidRDefault="00000000">
      <w:pPr>
        <w:pStyle w:val="af4"/>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1.1任务来源</w:t>
      </w:r>
    </w:p>
    <w:p w14:paraId="5746391F" w14:textId="7D11A01B" w:rsidR="004426E6" w:rsidRPr="00B83183" w:rsidRDefault="00000000">
      <w:pPr>
        <w:ind w:firstLine="420"/>
        <w:contextualSpacing/>
        <w:jc w:val="left"/>
        <w:textAlignment w:val="center"/>
        <w:rPr>
          <w:rFonts w:ascii="Times New Roman" w:eastAsia="宋体" w:hAnsi="Times New Roman" w:cs="Times New Roman"/>
          <w:szCs w:val="21"/>
        </w:rPr>
      </w:pPr>
      <w:r w:rsidRPr="00B83183">
        <w:rPr>
          <w:rFonts w:ascii="Times New Roman" w:eastAsia="宋体" w:hAnsi="Times New Roman" w:cs="Times New Roman"/>
          <w:szCs w:val="21"/>
        </w:rPr>
        <w:t>根据《国家标准委关于下达</w:t>
      </w:r>
      <w:r w:rsidRPr="00B83183">
        <w:rPr>
          <w:rFonts w:ascii="Times New Roman" w:eastAsia="宋体" w:hAnsi="Times New Roman" w:cs="Times New Roman"/>
          <w:szCs w:val="21"/>
        </w:rPr>
        <w:t>2025</w:t>
      </w:r>
      <w:r w:rsidRPr="00B83183">
        <w:rPr>
          <w:rFonts w:ascii="Times New Roman" w:eastAsia="宋体" w:hAnsi="Times New Roman" w:cs="Times New Roman"/>
          <w:szCs w:val="21"/>
        </w:rPr>
        <w:t>年第七批推荐性国家标准计划及相关标准外文版计划的通知》（国标委发（</w:t>
      </w:r>
      <w:r w:rsidRPr="00B83183">
        <w:rPr>
          <w:rFonts w:ascii="Times New Roman" w:eastAsia="宋体" w:hAnsi="Times New Roman" w:cs="Times New Roman"/>
          <w:szCs w:val="21"/>
        </w:rPr>
        <w:t>2025</w:t>
      </w:r>
      <w:r w:rsidRPr="00B83183">
        <w:rPr>
          <w:rFonts w:ascii="Times New Roman" w:eastAsia="宋体" w:hAnsi="Times New Roman" w:cs="Times New Roman"/>
          <w:szCs w:val="21"/>
        </w:rPr>
        <w:t>）</w:t>
      </w:r>
      <w:r w:rsidRPr="00B83183">
        <w:rPr>
          <w:rFonts w:ascii="Times New Roman" w:eastAsia="宋体" w:hAnsi="Times New Roman" w:cs="Times New Roman"/>
          <w:szCs w:val="21"/>
        </w:rPr>
        <w:t>43</w:t>
      </w:r>
      <w:r w:rsidRPr="00B83183">
        <w:rPr>
          <w:rFonts w:ascii="Times New Roman" w:eastAsia="宋体" w:hAnsi="Times New Roman" w:cs="Times New Roman"/>
          <w:szCs w:val="21"/>
        </w:rPr>
        <w:t>号）文件，《易切削铜合金线材》行业标准（计划号</w:t>
      </w:r>
      <w:r w:rsidRPr="00B83183">
        <w:rPr>
          <w:rFonts w:ascii="Times New Roman" w:eastAsia="宋体" w:hAnsi="Times New Roman" w:cs="Times New Roman"/>
          <w:szCs w:val="21"/>
        </w:rPr>
        <w:t>20253790-T-610</w:t>
      </w:r>
      <w:r w:rsidRPr="00B83183">
        <w:rPr>
          <w:rFonts w:ascii="Times New Roman" w:eastAsia="宋体" w:hAnsi="Times New Roman" w:cs="Times New Roman"/>
          <w:szCs w:val="21"/>
        </w:rPr>
        <w:t>），由宁波博威合金材料股份有限公司、宁波长振铜业有限公司、宁波兴敖达金属新材料有限公司、芜湖楚江合金铜材有限公司</w:t>
      </w:r>
      <w:r w:rsidR="00721BEE" w:rsidRPr="00B83183">
        <w:rPr>
          <w:rFonts w:ascii="Times New Roman" w:eastAsia="宋体" w:hAnsi="Times New Roman" w:cs="Times New Roman"/>
          <w:szCs w:val="21"/>
        </w:rPr>
        <w:t>、</w:t>
      </w:r>
      <w:r w:rsidR="00721BEE" w:rsidRPr="00B83183">
        <w:rPr>
          <w:rFonts w:ascii="Times New Roman" w:eastAsia="宋体" w:hAnsi="Times New Roman" w:cs="Times New Roman"/>
          <w:color w:val="000000"/>
          <w:szCs w:val="21"/>
          <w:shd w:val="clear" w:color="auto" w:fill="FFFFFF"/>
        </w:rPr>
        <w:t>浙江海亮股份有限公司、有研工程技术研究院有限公司</w:t>
      </w:r>
      <w:r w:rsidRPr="00B83183">
        <w:rPr>
          <w:rFonts w:ascii="Times New Roman" w:eastAsia="宋体" w:hAnsi="Times New Roman" w:cs="Times New Roman"/>
          <w:kern w:val="0"/>
          <w:szCs w:val="21"/>
        </w:rPr>
        <w:t>等公司起草</w:t>
      </w:r>
      <w:r w:rsidRPr="00B83183">
        <w:rPr>
          <w:rFonts w:ascii="Times New Roman" w:eastAsia="宋体" w:hAnsi="Times New Roman" w:cs="Times New Roman"/>
          <w:szCs w:val="21"/>
        </w:rPr>
        <w:t>，完成年限为</w:t>
      </w:r>
      <w:r w:rsidRPr="00B83183">
        <w:rPr>
          <w:rFonts w:ascii="Times New Roman" w:eastAsia="宋体" w:hAnsi="Times New Roman" w:cs="Times New Roman"/>
          <w:szCs w:val="21"/>
        </w:rPr>
        <w:t>2026</w:t>
      </w:r>
      <w:r w:rsidRPr="00B83183">
        <w:rPr>
          <w:rFonts w:ascii="Times New Roman" w:eastAsia="宋体" w:hAnsi="Times New Roman" w:cs="Times New Roman"/>
          <w:szCs w:val="21"/>
        </w:rPr>
        <w:t>年。</w:t>
      </w:r>
    </w:p>
    <w:p w14:paraId="78559F10" w14:textId="77777777" w:rsidR="004426E6" w:rsidRDefault="00000000">
      <w:pPr>
        <w:pStyle w:val="afd"/>
        <w:spacing w:beforeLines="0" w:afterLines="0" w:line="440" w:lineRule="exact"/>
        <w:outlineLvl w:val="9"/>
        <w:rPr>
          <w:rFonts w:hAnsi="黑体" w:cs="黑体" w:hint="eastAsia"/>
          <w:szCs w:val="21"/>
        </w:rPr>
      </w:pPr>
      <w:r>
        <w:rPr>
          <w:rFonts w:hAnsi="黑体" w:cs="黑体" w:hint="eastAsia"/>
          <w:szCs w:val="21"/>
        </w:rPr>
        <w:t>1.2立项目的和意义</w:t>
      </w:r>
    </w:p>
    <w:p w14:paraId="4AA67A83" w14:textId="77777777" w:rsidR="004426E6" w:rsidRDefault="00000000">
      <w:pPr>
        <w:ind w:firstLineChars="200" w:firstLine="420"/>
      </w:pPr>
      <w:r>
        <w:rPr>
          <w:rFonts w:hint="eastAsia"/>
        </w:rPr>
        <w:t>《“十四五”原材料工业发展规划》中指出，提高产品质量，加强质量管理和过程管控；推进产业协同，加强上下游衔接联动。《易切削铜合金线材》标准自</w:t>
      </w:r>
      <w:r>
        <w:rPr>
          <w:rFonts w:hint="eastAsia"/>
        </w:rPr>
        <w:t>2</w:t>
      </w:r>
      <w:r>
        <w:t>010</w:t>
      </w:r>
      <w:r>
        <w:rPr>
          <w:rFonts w:hint="eastAsia"/>
        </w:rPr>
        <w:t>年实施以来，在电力、电子电讯、汽车交通、仪表、五金装饰等行业广泛应用，并与下游客户保持持续互动，不断提高产品质量的稳定性，可靠性和适用性，规范了易切削铜合金线材的选材、应用、检验和出货，减少了企业与下游客户的纠纷，消除了因标准不统一的贸易壁垒，对促进行业绿色可持续发展、迫使企业通过推动技术创新，支撑产业升级起到了重要的作用。</w:t>
      </w:r>
    </w:p>
    <w:p w14:paraId="6FB6C436" w14:textId="06626610" w:rsidR="004426E6" w:rsidRPr="00AB1568" w:rsidRDefault="00000000" w:rsidP="009F3C66">
      <w:pPr>
        <w:ind w:firstLineChars="200" w:firstLine="420"/>
        <w:rPr>
          <w:rFonts w:ascii="Times New Roman" w:hAnsi="Times New Roman" w:cs="Times New Roman"/>
        </w:rPr>
      </w:pPr>
      <w:bookmarkStart w:id="0" w:name="_Hlk134434693"/>
      <w:bookmarkStart w:id="1" w:name="_Hlk132620531"/>
      <w:r w:rsidRPr="00AB1568">
        <w:rPr>
          <w:rFonts w:ascii="Times New Roman" w:hAnsi="Times New Roman" w:cs="Times New Roman"/>
        </w:rPr>
        <w:t>据统计，国内每年生产</w:t>
      </w:r>
      <w:r w:rsidRPr="00AB1568">
        <w:rPr>
          <w:rFonts w:ascii="Times New Roman" w:hAnsi="Times New Roman" w:cs="Times New Roman"/>
        </w:rPr>
        <w:t>60000</w:t>
      </w:r>
      <w:r w:rsidRPr="00AB1568">
        <w:rPr>
          <w:rFonts w:ascii="Times New Roman" w:hAnsi="Times New Roman" w:cs="Times New Roman"/>
        </w:rPr>
        <w:t>吨左右的易切削铜合金线材产品，其中</w:t>
      </w:r>
      <w:r w:rsidRPr="00AB1568">
        <w:rPr>
          <w:rFonts w:ascii="Times New Roman" w:hAnsi="Times New Roman" w:cs="Times New Roman"/>
        </w:rPr>
        <w:t>15%</w:t>
      </w:r>
      <w:r w:rsidRPr="00AB1568">
        <w:rPr>
          <w:rFonts w:ascii="Times New Roman" w:hAnsi="Times New Roman" w:cs="Times New Roman"/>
        </w:rPr>
        <w:t>左右出口欧美、日本、印度、马来西亚、印尼等国家。</w:t>
      </w:r>
      <w:bookmarkEnd w:id="0"/>
      <w:r w:rsidRPr="00AB1568">
        <w:rPr>
          <w:rFonts w:ascii="Times New Roman" w:hAnsi="Times New Roman" w:cs="Times New Roman"/>
        </w:rPr>
        <w:t>近些年，随着市场及未来产品的发展，以及下游客户自动化程度的提高，客户对易切削铜合金线材的牌号、性能、规格、精度等有了更严的要求市场对高强、高弹、环保、耐磨、耐腐蚀等性能的要求越来越高，原标准中的牌号及性能已无法覆盖目前的市场需求。</w:t>
      </w:r>
    </w:p>
    <w:p w14:paraId="5192368A" w14:textId="77777777" w:rsidR="004426E6" w:rsidRDefault="00000000">
      <w:pPr>
        <w:numPr>
          <w:ilvl w:val="0"/>
          <w:numId w:val="1"/>
        </w:numPr>
        <w:ind w:firstLineChars="200" w:firstLine="422"/>
      </w:pPr>
      <w:r>
        <w:rPr>
          <w:rFonts w:hint="eastAsia"/>
          <w:b/>
          <w:bCs/>
        </w:rPr>
        <w:t>打破高端应用技术封锁</w:t>
      </w:r>
    </w:p>
    <w:p w14:paraId="71432DC3" w14:textId="77777777" w:rsidR="004426E6" w:rsidRPr="00AB1568" w:rsidRDefault="00000000">
      <w:pPr>
        <w:numPr>
          <w:ilvl w:val="255"/>
          <w:numId w:val="0"/>
        </w:numPr>
        <w:ind w:firstLineChars="200" w:firstLine="420"/>
        <w:rPr>
          <w:rFonts w:ascii="Times New Roman" w:hAnsi="Times New Roman" w:cs="Times New Roman"/>
        </w:rPr>
      </w:pPr>
      <w:r w:rsidRPr="00AB1568">
        <w:rPr>
          <w:rFonts w:ascii="Times New Roman" w:hAnsi="Times New Roman" w:cs="Times New Roman"/>
        </w:rPr>
        <w:t>C19160</w:t>
      </w:r>
      <w:r w:rsidRPr="00AB1568">
        <w:rPr>
          <w:rFonts w:ascii="Times New Roman" w:hAnsi="Times New Roman" w:cs="Times New Roman"/>
        </w:rPr>
        <w:t>线材因其高强、高弹的特性在航天、重载等连接器上及导电弹簧领域上有所应用，打破了美国</w:t>
      </w:r>
      <w:r w:rsidRPr="00AB1568">
        <w:rPr>
          <w:rFonts w:ascii="Times New Roman" w:hAnsi="Times New Roman" w:cs="Times New Roman"/>
        </w:rPr>
        <w:t>Materion</w:t>
      </w:r>
      <w:r w:rsidRPr="00AB1568">
        <w:rPr>
          <w:rFonts w:ascii="Times New Roman" w:hAnsi="Times New Roman" w:cs="Times New Roman"/>
        </w:rPr>
        <w:t>、德国</w:t>
      </w:r>
      <w:r w:rsidRPr="00AB1568">
        <w:rPr>
          <w:rFonts w:ascii="Times New Roman" w:hAnsi="Times New Roman" w:cs="Times New Roman"/>
        </w:rPr>
        <w:t>Wieland</w:t>
      </w:r>
      <w:r w:rsidRPr="00AB1568">
        <w:rPr>
          <w:rFonts w:ascii="Times New Roman" w:hAnsi="Times New Roman" w:cs="Times New Roman"/>
        </w:rPr>
        <w:t>、瑞士金属、</w:t>
      </w:r>
      <w:r w:rsidRPr="00AB1568">
        <w:rPr>
          <w:rFonts w:ascii="Times New Roman" w:hAnsi="Times New Roman" w:cs="Times New Roman"/>
        </w:rPr>
        <w:t>Lebronze</w:t>
      </w:r>
      <w:r w:rsidRPr="00AB1568">
        <w:rPr>
          <w:rFonts w:ascii="Times New Roman" w:hAnsi="Times New Roman" w:cs="Times New Roman"/>
        </w:rPr>
        <w:t>等企业的垄断。与</w:t>
      </w:r>
      <w:r w:rsidRPr="00AB1568">
        <w:rPr>
          <w:rFonts w:ascii="Times New Roman" w:hAnsi="Times New Roman" w:cs="Times New Roman"/>
        </w:rPr>
        <w:t>T53500</w:t>
      </w:r>
      <w:r w:rsidRPr="00AB1568">
        <w:rPr>
          <w:rFonts w:ascii="Times New Roman" w:hAnsi="Times New Roman" w:cs="Times New Roman"/>
        </w:rPr>
        <w:t>同一系列的</w:t>
      </w:r>
      <w:r w:rsidRPr="00AB1568">
        <w:rPr>
          <w:rFonts w:ascii="Times New Roman" w:hAnsi="Times New Roman" w:cs="Times New Roman"/>
        </w:rPr>
        <w:t>C53400</w:t>
      </w:r>
      <w:r w:rsidRPr="00AB1568">
        <w:rPr>
          <w:rFonts w:ascii="Times New Roman" w:hAnsi="Times New Roman" w:cs="Times New Roman"/>
        </w:rPr>
        <w:t>经过近十年的市场验证，因其优异的弹性、耐磨、抗磁及耐腐蚀性能，广泛应用于精密仪器仪表、航空航天、汽车零部件等行业。此外，锌白铜</w:t>
      </w:r>
      <w:r w:rsidRPr="00AB1568">
        <w:rPr>
          <w:rFonts w:ascii="Times New Roman" w:hAnsi="Times New Roman" w:cs="Times New Roman"/>
        </w:rPr>
        <w:t>C79860</w:t>
      </w:r>
      <w:r w:rsidRPr="00AB1568">
        <w:rPr>
          <w:rFonts w:ascii="Times New Roman" w:hAnsi="Times New Roman" w:cs="Times New Roman"/>
        </w:rPr>
        <w:t>、</w:t>
      </w:r>
      <w:r w:rsidRPr="00AB1568">
        <w:rPr>
          <w:rFonts w:ascii="Times New Roman" w:hAnsi="Times New Roman" w:cs="Times New Roman"/>
        </w:rPr>
        <w:t>T79870</w:t>
      </w:r>
      <w:r w:rsidRPr="00AB1568">
        <w:rPr>
          <w:rFonts w:ascii="Times New Roman" w:hAnsi="Times New Roman" w:cs="Times New Roman"/>
        </w:rPr>
        <w:t>、</w:t>
      </w:r>
      <w:r w:rsidRPr="00AB1568">
        <w:rPr>
          <w:rFonts w:ascii="Times New Roman" w:hAnsi="Times New Roman" w:cs="Times New Roman"/>
        </w:rPr>
        <w:t>C79200</w:t>
      </w:r>
      <w:r w:rsidRPr="00AB1568">
        <w:rPr>
          <w:rFonts w:ascii="Times New Roman" w:hAnsi="Times New Roman" w:cs="Times New Roman"/>
        </w:rPr>
        <w:t>等牌号在制笔行业、汽车钥匙、乐器等领域广泛使用并得到了客户的认可并已出口。</w:t>
      </w:r>
    </w:p>
    <w:p w14:paraId="393F85AE" w14:textId="77777777" w:rsidR="004426E6" w:rsidRDefault="00000000">
      <w:pPr>
        <w:numPr>
          <w:ilvl w:val="0"/>
          <w:numId w:val="1"/>
        </w:numPr>
        <w:ind w:firstLineChars="200" w:firstLine="422"/>
        <w:rPr>
          <w:b/>
          <w:bCs/>
        </w:rPr>
      </w:pPr>
      <w:r>
        <w:rPr>
          <w:rFonts w:hint="eastAsia"/>
          <w:b/>
          <w:bCs/>
        </w:rPr>
        <w:t>加大环保铜材应用</w:t>
      </w:r>
    </w:p>
    <w:p w14:paraId="54F83728" w14:textId="77777777" w:rsidR="004426E6" w:rsidRPr="00AB1568" w:rsidRDefault="00000000">
      <w:pPr>
        <w:numPr>
          <w:ilvl w:val="255"/>
          <w:numId w:val="0"/>
        </w:numPr>
        <w:ind w:firstLineChars="200" w:firstLine="420"/>
        <w:rPr>
          <w:rFonts w:ascii="Times New Roman" w:hAnsi="Times New Roman" w:cs="Times New Roman"/>
        </w:rPr>
      </w:pPr>
      <w:r w:rsidRPr="00AB1568">
        <w:rPr>
          <w:rFonts w:ascii="Times New Roman" w:hAnsi="Times New Roman" w:cs="Times New Roman"/>
        </w:rPr>
        <w:t>同时，随着欧盟</w:t>
      </w:r>
      <w:r w:rsidRPr="00AB1568">
        <w:rPr>
          <w:rFonts w:ascii="Times New Roman" w:hAnsi="Times New Roman" w:cs="Times New Roman"/>
        </w:rPr>
        <w:t>RoHS</w:t>
      </w:r>
      <w:r w:rsidRPr="00AB1568">
        <w:rPr>
          <w:rFonts w:ascii="Times New Roman" w:hAnsi="Times New Roman" w:cs="Times New Roman"/>
        </w:rPr>
        <w:t>指令的不断推进，</w:t>
      </w:r>
      <w:r w:rsidRPr="00AB1568">
        <w:rPr>
          <w:rFonts w:ascii="Times New Roman" w:hAnsi="Times New Roman" w:cs="Times New Roman"/>
        </w:rPr>
        <w:t>T49210</w:t>
      </w:r>
      <w:r w:rsidRPr="00AB1568">
        <w:rPr>
          <w:rFonts w:ascii="Times New Roman" w:hAnsi="Times New Roman" w:cs="Times New Roman"/>
        </w:rPr>
        <w:t>、</w:t>
      </w:r>
      <w:r w:rsidRPr="00AB1568">
        <w:rPr>
          <w:rFonts w:ascii="Times New Roman" w:hAnsi="Times New Roman" w:cs="Times New Roman"/>
        </w:rPr>
        <w:t>C49260</w:t>
      </w:r>
      <w:r w:rsidRPr="00AB1568">
        <w:rPr>
          <w:rFonts w:ascii="Times New Roman" w:hAnsi="Times New Roman" w:cs="Times New Roman"/>
        </w:rPr>
        <w:t>、</w:t>
      </w:r>
      <w:r w:rsidRPr="00AB1568">
        <w:rPr>
          <w:rFonts w:ascii="Times New Roman" w:hAnsi="Times New Roman" w:cs="Times New Roman"/>
        </w:rPr>
        <w:t>C49340</w:t>
      </w:r>
      <w:r w:rsidRPr="00AB1568">
        <w:rPr>
          <w:rFonts w:ascii="Times New Roman" w:hAnsi="Times New Roman" w:cs="Times New Roman"/>
        </w:rPr>
        <w:t>、</w:t>
      </w:r>
      <w:r w:rsidRPr="00AB1568">
        <w:rPr>
          <w:rFonts w:ascii="Times New Roman" w:hAnsi="Times New Roman" w:cs="Times New Roman"/>
        </w:rPr>
        <w:t>T49360</w:t>
      </w:r>
      <w:r w:rsidRPr="00AB1568">
        <w:rPr>
          <w:rFonts w:ascii="Times New Roman" w:hAnsi="Times New Roman" w:cs="Times New Roman"/>
        </w:rPr>
        <w:t>、</w:t>
      </w:r>
      <w:r w:rsidRPr="00AB1568">
        <w:rPr>
          <w:rFonts w:ascii="Times New Roman" w:hAnsi="Times New Roman" w:cs="Times New Roman"/>
        </w:rPr>
        <w:t>T68320</w:t>
      </w:r>
      <w:r w:rsidRPr="00AB1568">
        <w:rPr>
          <w:rFonts w:ascii="Times New Roman" w:hAnsi="Times New Roman" w:cs="Times New Roman"/>
        </w:rPr>
        <w:t>等无铅环保黄铜因其环保优势在消费电子、电子电器、汽车等领域替代了部分铅黄铜的市场。</w:t>
      </w:r>
    </w:p>
    <w:p w14:paraId="5168D64B" w14:textId="77777777" w:rsidR="004426E6" w:rsidRDefault="00000000">
      <w:pPr>
        <w:numPr>
          <w:ilvl w:val="0"/>
          <w:numId w:val="1"/>
        </w:numPr>
        <w:ind w:firstLineChars="200" w:firstLine="422"/>
        <w:rPr>
          <w:b/>
          <w:bCs/>
        </w:rPr>
      </w:pPr>
      <w:r>
        <w:rPr>
          <w:rFonts w:hint="eastAsia"/>
          <w:b/>
          <w:bCs/>
        </w:rPr>
        <w:t>完善产品性能指标要求及检测</w:t>
      </w:r>
    </w:p>
    <w:p w14:paraId="3DF1D024" w14:textId="7E653476" w:rsidR="004426E6" w:rsidRDefault="00000000">
      <w:pPr>
        <w:ind w:firstLineChars="200" w:firstLine="420"/>
      </w:pPr>
      <w:r>
        <w:rPr>
          <w:rFonts w:hint="eastAsia"/>
        </w:rPr>
        <w:t>随着生产和检测能力的提升，已有大量的数据支撑以完善易切削铜合金线材的多项性能。例如下游客户装备的自动化程度的提高及产品品质的提高，对线材的</w:t>
      </w:r>
      <w:r w:rsidR="00B83183">
        <w:rPr>
          <w:rFonts w:hint="eastAsia"/>
        </w:rPr>
        <w:t>各项指标</w:t>
      </w:r>
      <w:r>
        <w:rPr>
          <w:rFonts w:hint="eastAsia"/>
        </w:rPr>
        <w:t>及相应的检测方法有了更高的要求。</w:t>
      </w:r>
    </w:p>
    <w:bookmarkEnd w:id="1"/>
    <w:p w14:paraId="3C9C138A" w14:textId="77777777" w:rsidR="004426E6" w:rsidRDefault="00000000">
      <w:pPr>
        <w:ind w:firstLineChars="200" w:firstLine="420"/>
      </w:pPr>
      <w:r>
        <w:rPr>
          <w:rFonts w:hint="eastAsia"/>
        </w:rPr>
        <w:t>《“十四五”推动高质量发展的国家标准体系建设规划》中指出，加快钢铁、有色金属、建材、化工等标准升级换代，优化材料标准制定与科技创新、产业发展协同机制，淘汰低端产品和落后产能，促进材料产业链供应链上下游标准稳定有效衔接。为保证该标准的先进性和适用性，特提出该标准的修订。该标准修订后，有利于满足国内外市场、客户对产品的更高要求，有利于行业的健康可持续发展。</w:t>
      </w:r>
    </w:p>
    <w:p w14:paraId="57437CB9" w14:textId="77777777" w:rsidR="004426E6" w:rsidRDefault="00000000">
      <w:pPr>
        <w:pStyle w:val="afd"/>
        <w:spacing w:beforeLines="0" w:afterLines="0" w:line="440" w:lineRule="exact"/>
        <w:outlineLvl w:val="9"/>
        <w:rPr>
          <w:rFonts w:hAnsi="黑体" w:cs="黑体" w:hint="eastAsia"/>
          <w:szCs w:val="21"/>
        </w:rPr>
      </w:pPr>
      <w:r>
        <w:rPr>
          <w:rFonts w:hAnsi="黑体" w:cs="黑体" w:hint="eastAsia"/>
          <w:szCs w:val="21"/>
        </w:rPr>
        <w:t>1.3主要参加单位和工作成员所作的工作</w:t>
      </w:r>
    </w:p>
    <w:p w14:paraId="5A1F7229" w14:textId="77777777" w:rsidR="004426E6" w:rsidRDefault="00000000">
      <w:pPr>
        <w:pStyle w:val="aff"/>
        <w:ind w:firstLine="420"/>
        <w:contextualSpacing/>
        <w:rPr>
          <w:rFonts w:ascii="Times New Roman" w:eastAsiaTheme="minorEastAsia"/>
          <w:kern w:val="2"/>
        </w:rPr>
      </w:pPr>
      <w:bookmarkStart w:id="2" w:name="OLE_LINK3"/>
      <w:r>
        <w:rPr>
          <w:rFonts w:ascii="Times New Roman" w:eastAsiaTheme="minorEastAsia" w:hint="eastAsia"/>
          <w:kern w:val="2"/>
        </w:rPr>
        <w:lastRenderedPageBreak/>
        <w:t>本标准的负责起草单位</w:t>
      </w:r>
      <w:r w:rsidRPr="003E2100">
        <w:rPr>
          <w:rFonts w:ascii="Times New Roman" w:eastAsiaTheme="minorEastAsia" w:hint="eastAsia"/>
          <w:b/>
          <w:bCs/>
          <w:kern w:val="2"/>
        </w:rPr>
        <w:t>宁波博威合金材料股份有限公司</w:t>
      </w:r>
      <w:r>
        <w:rPr>
          <w:rFonts w:ascii="Times New Roman" w:eastAsiaTheme="minorEastAsia" w:hint="eastAsia"/>
          <w:kern w:val="2"/>
        </w:rPr>
        <w:t>是国家技术创新示范企业、国家级制造业单项冠军示范企业，拥有国家认定企业技术中心、国家级博士后科研工作站、国家认可实验室、国家地方联合工程研究中心等。先后承担国家“十三五”重点研发计划项目、国家“十一五”、科技支撑计划等项目，迄今已获得</w:t>
      </w:r>
      <w:r>
        <w:rPr>
          <w:rFonts w:ascii="Times New Roman" w:eastAsiaTheme="minorEastAsia" w:hint="eastAsia"/>
          <w:kern w:val="2"/>
        </w:rPr>
        <w:t>200</w:t>
      </w:r>
      <w:r>
        <w:rPr>
          <w:rFonts w:ascii="Times New Roman" w:eastAsiaTheme="minorEastAsia" w:hint="eastAsia"/>
          <w:kern w:val="2"/>
        </w:rPr>
        <w:t>多项国内外发明专利，主持、参与我国国家、行业标准制修订工作</w:t>
      </w:r>
      <w:r>
        <w:rPr>
          <w:rFonts w:ascii="Times New Roman" w:eastAsiaTheme="minorEastAsia" w:hint="eastAsia"/>
          <w:kern w:val="2"/>
        </w:rPr>
        <w:t>30</w:t>
      </w:r>
      <w:r>
        <w:rPr>
          <w:rFonts w:ascii="Times New Roman" w:eastAsiaTheme="minorEastAsia" w:hint="eastAsia"/>
          <w:kern w:val="2"/>
        </w:rPr>
        <w:t>多项，引领我国有色合金新材料行业持续发展。博威合金致力于有色合金新材料的研发和生产</w:t>
      </w:r>
      <w:r>
        <w:rPr>
          <w:rFonts w:ascii="Times New Roman" w:eastAsiaTheme="minorEastAsia" w:hint="eastAsia"/>
          <w:kern w:val="2"/>
        </w:rPr>
        <w:t>,</w:t>
      </w:r>
      <w:r>
        <w:rPr>
          <w:rFonts w:ascii="Times New Roman" w:eastAsiaTheme="minorEastAsia" w:hint="eastAsia"/>
          <w:kern w:val="2"/>
        </w:rPr>
        <w:t>服务于半导体、超大规模集成电路、</w:t>
      </w:r>
      <w:r>
        <w:rPr>
          <w:rFonts w:ascii="Times New Roman" w:eastAsiaTheme="minorEastAsia" w:hint="eastAsia"/>
          <w:kern w:val="2"/>
        </w:rPr>
        <w:t>5G/6G</w:t>
      </w:r>
      <w:r>
        <w:rPr>
          <w:rFonts w:ascii="Times New Roman" w:eastAsiaTheme="minorEastAsia" w:hint="eastAsia"/>
          <w:kern w:val="2"/>
        </w:rPr>
        <w:t>通讯、航空航天、高铁、船舶、新能源汽车等</w:t>
      </w:r>
      <w:r>
        <w:rPr>
          <w:rFonts w:ascii="Times New Roman" w:eastAsiaTheme="minorEastAsia" w:hint="eastAsia"/>
          <w:kern w:val="2"/>
        </w:rPr>
        <w:t>30</w:t>
      </w:r>
      <w:r>
        <w:rPr>
          <w:rFonts w:ascii="Times New Roman" w:eastAsiaTheme="minorEastAsia" w:hint="eastAsia"/>
          <w:kern w:val="2"/>
        </w:rPr>
        <w:t>多个行业，打破了多项国外企业对高端合金领域的垄断，解决了新材料“卡脖子”问题，助推我国产业升级。公司在有色合金新材料领域多种新材料的成功研发及产业化，为起草本行业标准提供了有力的技术支撑，具备了起草本国家标准的技术基础。</w:t>
      </w:r>
    </w:p>
    <w:p w14:paraId="45527D5A" w14:textId="75C9F90C" w:rsidR="00B93782" w:rsidRDefault="00B93782" w:rsidP="00B93782">
      <w:pPr>
        <w:pStyle w:val="aff"/>
        <w:ind w:firstLine="422"/>
        <w:contextualSpacing/>
        <w:rPr>
          <w:rFonts w:ascii="Times New Roman" w:eastAsiaTheme="minorEastAsia"/>
          <w:kern w:val="2"/>
        </w:rPr>
      </w:pPr>
      <w:r w:rsidRPr="003E2100">
        <w:rPr>
          <w:rFonts w:ascii="Times New Roman" w:eastAsiaTheme="minorEastAsia"/>
          <w:b/>
          <w:bCs/>
          <w:kern w:val="2"/>
        </w:rPr>
        <w:t>宁波长振铜业有限公司</w:t>
      </w:r>
      <w:r w:rsidRPr="00B93782">
        <w:rPr>
          <w:rFonts w:ascii="Times New Roman" w:eastAsiaTheme="minorEastAsia"/>
          <w:kern w:val="2"/>
        </w:rPr>
        <w:t>是生产环保复杂黄铜棒、型、线的高新技术企业，厂区面积</w:t>
      </w:r>
      <w:r w:rsidRPr="00B93782">
        <w:rPr>
          <w:rFonts w:ascii="Times New Roman" w:eastAsiaTheme="minorEastAsia"/>
          <w:kern w:val="2"/>
        </w:rPr>
        <w:t>9.2</w:t>
      </w:r>
      <w:r w:rsidRPr="00B93782">
        <w:rPr>
          <w:rFonts w:ascii="Times New Roman" w:eastAsiaTheme="minorEastAsia"/>
          <w:kern w:val="2"/>
        </w:rPr>
        <w:t>万平方米，年产销量已达</w:t>
      </w:r>
      <w:r w:rsidRPr="00B93782">
        <w:rPr>
          <w:rFonts w:ascii="Times New Roman" w:eastAsiaTheme="minorEastAsia"/>
          <w:kern w:val="2"/>
        </w:rPr>
        <w:t>20</w:t>
      </w:r>
      <w:r w:rsidRPr="00B93782">
        <w:rPr>
          <w:rFonts w:ascii="Times New Roman" w:eastAsiaTheme="minorEastAsia"/>
          <w:kern w:val="2"/>
        </w:rPr>
        <w:t>多万吨，中国铜棒（排）材十强企业第三名，工业和信息化部第</w:t>
      </w:r>
      <w:r w:rsidRPr="00B93782">
        <w:rPr>
          <w:rFonts w:ascii="Times New Roman" w:eastAsiaTheme="minorEastAsia"/>
          <w:kern w:val="2"/>
        </w:rPr>
        <w:t>6</w:t>
      </w:r>
      <w:r w:rsidRPr="00B93782">
        <w:rPr>
          <w:rFonts w:ascii="Times New Roman" w:eastAsiaTheme="minorEastAsia"/>
          <w:kern w:val="2"/>
        </w:rPr>
        <w:t>批制造业单项冠军示范企业、浙江省标准创新型企业、浙江省循环经济示范企业和浙江省绿色企业。</w:t>
      </w:r>
      <w:r w:rsidRPr="00B93782">
        <w:rPr>
          <w:rFonts w:ascii="Times New Roman" w:eastAsiaTheme="minorEastAsia"/>
          <w:kern w:val="2"/>
        </w:rPr>
        <w:t>2025</w:t>
      </w:r>
      <w:r w:rsidRPr="00B93782">
        <w:rPr>
          <w:rFonts w:ascii="Times New Roman" w:eastAsiaTheme="minorEastAsia"/>
          <w:kern w:val="2"/>
        </w:rPr>
        <w:t>年获得宁波竞争力百强企业、制造业百强企业和综合百强企业。公司建有院士工作站，</w:t>
      </w:r>
      <w:r w:rsidRPr="00B93782">
        <w:rPr>
          <w:rFonts w:ascii="Times New Roman" w:eastAsiaTheme="minorEastAsia"/>
          <w:kern w:val="2"/>
        </w:rPr>
        <w:t>2023</w:t>
      </w:r>
      <w:r w:rsidRPr="00B93782">
        <w:rPr>
          <w:rFonts w:ascii="Times New Roman" w:eastAsiaTheme="minorEastAsia"/>
          <w:kern w:val="2"/>
        </w:rPr>
        <w:t>年认定为浙江省级重点院士工作站。是全国再生黄铜技术中心和浙江省技术中心。有一支经验丰富的专业团队，技术实力雄厚。在流程、设备、技术、生产管控等方面致力于智能化制造的引进与应用。拥有专利</w:t>
      </w:r>
      <w:r w:rsidRPr="00B93782">
        <w:rPr>
          <w:rFonts w:ascii="Times New Roman" w:eastAsiaTheme="minorEastAsia"/>
          <w:kern w:val="2"/>
        </w:rPr>
        <w:t>60</w:t>
      </w:r>
      <w:r w:rsidRPr="00B93782">
        <w:rPr>
          <w:rFonts w:ascii="Times New Roman" w:eastAsiaTheme="minorEastAsia"/>
          <w:kern w:val="2"/>
        </w:rPr>
        <w:t>多件，其中发明专利</w:t>
      </w:r>
      <w:r w:rsidRPr="00B93782">
        <w:rPr>
          <w:rFonts w:ascii="Times New Roman" w:eastAsiaTheme="minorEastAsia"/>
          <w:kern w:val="2"/>
        </w:rPr>
        <w:t>30</w:t>
      </w:r>
      <w:r w:rsidRPr="00B93782">
        <w:rPr>
          <w:rFonts w:ascii="Times New Roman" w:eastAsiaTheme="minorEastAsia"/>
          <w:kern w:val="2"/>
        </w:rPr>
        <w:t>多件。公司主持、参与制定各类标准</w:t>
      </w:r>
      <w:r w:rsidRPr="00B93782">
        <w:rPr>
          <w:rFonts w:ascii="Times New Roman" w:eastAsiaTheme="minorEastAsia"/>
          <w:kern w:val="2"/>
        </w:rPr>
        <w:t>46</w:t>
      </w:r>
      <w:r w:rsidRPr="00B93782">
        <w:rPr>
          <w:rFonts w:ascii="Times New Roman" w:eastAsiaTheme="minorEastAsia"/>
          <w:kern w:val="2"/>
        </w:rPr>
        <w:t>项，其中国家标准</w:t>
      </w:r>
      <w:r w:rsidRPr="00B93782">
        <w:rPr>
          <w:rFonts w:ascii="Times New Roman" w:eastAsiaTheme="minorEastAsia"/>
          <w:kern w:val="2"/>
        </w:rPr>
        <w:t>25</w:t>
      </w:r>
      <w:r w:rsidRPr="00B93782">
        <w:rPr>
          <w:rFonts w:ascii="Times New Roman" w:eastAsiaTheme="minorEastAsia"/>
          <w:kern w:val="2"/>
        </w:rPr>
        <w:t>项，多次获得国家标准创新奖。曾获浙江省标准创新贡献奖重大贡献奖。有一定的技术实力和标准制定的基础。</w:t>
      </w:r>
    </w:p>
    <w:p w14:paraId="518DD509" w14:textId="77777777" w:rsidR="00B93782" w:rsidRPr="006A24C4" w:rsidRDefault="00B93782" w:rsidP="00B93782">
      <w:pPr>
        <w:ind w:firstLine="422"/>
        <w:contextualSpacing/>
        <w:rPr>
          <w:rFonts w:ascii="Times New Roman" w:eastAsia="宋体" w:hAnsi="Times New Roman" w:cs="Times New Roman"/>
          <w:color w:val="000000"/>
          <w:szCs w:val="24"/>
        </w:rPr>
      </w:pPr>
      <w:r w:rsidRPr="006A24C4">
        <w:rPr>
          <w:rFonts w:ascii="Times New Roman" w:eastAsia="宋体" w:hAnsi="Times New Roman" w:cs="Times New Roman" w:hint="eastAsia"/>
          <w:b/>
          <w:bCs/>
          <w:color w:val="000000"/>
          <w:szCs w:val="24"/>
        </w:rPr>
        <w:t>宁波兴敖达金属新材料有限公司</w:t>
      </w:r>
      <w:r w:rsidRPr="006A24C4">
        <w:rPr>
          <w:rFonts w:ascii="Times New Roman" w:eastAsia="宋体" w:hAnsi="Times New Roman" w:cs="Times New Roman" w:hint="eastAsia"/>
          <w:color w:val="000000"/>
          <w:szCs w:val="24"/>
        </w:rPr>
        <w:t>始建于</w:t>
      </w:r>
      <w:r w:rsidRPr="006A24C4">
        <w:rPr>
          <w:rFonts w:ascii="Times New Roman" w:eastAsia="宋体" w:hAnsi="Times New Roman" w:cs="Times New Roman" w:hint="eastAsia"/>
          <w:color w:val="000000"/>
          <w:szCs w:val="24"/>
        </w:rPr>
        <w:t>1992</w:t>
      </w:r>
      <w:r w:rsidRPr="006A24C4">
        <w:rPr>
          <w:rFonts w:ascii="Times New Roman" w:eastAsia="宋体" w:hAnsi="Times New Roman" w:cs="Times New Roman" w:hint="eastAsia"/>
          <w:color w:val="000000"/>
          <w:szCs w:val="24"/>
        </w:rPr>
        <w:t>年，现有员工</w:t>
      </w:r>
      <w:r w:rsidRPr="006A24C4">
        <w:rPr>
          <w:rFonts w:ascii="Times New Roman" w:eastAsia="宋体" w:hAnsi="Times New Roman" w:cs="Times New Roman" w:hint="eastAsia"/>
          <w:color w:val="000000"/>
          <w:szCs w:val="24"/>
        </w:rPr>
        <w:t>150</w:t>
      </w:r>
      <w:r w:rsidRPr="006A24C4">
        <w:rPr>
          <w:rFonts w:ascii="Times New Roman" w:eastAsia="宋体" w:hAnsi="Times New Roman" w:cs="Times New Roman" w:hint="eastAsia"/>
          <w:color w:val="000000"/>
          <w:szCs w:val="24"/>
        </w:rPr>
        <w:t>人。公司主要产品有铋黄铜、硅黄铜、锡黄铜、硅铋黄铜等无铅易切削铜合金以及紫铜、碲铜、铁青铜、锡青铜、黄铜类合金材料近百个牌号，产品广泛应用于气门芯、电子接插件、气割、焊枪、水暖、阀门、卫厨、新能源、航空航天等领域，尤其是碲铜材料为新能源行业的绿色环保及可持续发展提供了关键材料保障。公司为国家“高新技术企业”，拥有“省级高新技术企业研究开发中心”。公司先后添置了近</w:t>
      </w:r>
      <w:r w:rsidRPr="006A24C4">
        <w:rPr>
          <w:rFonts w:ascii="Times New Roman" w:eastAsia="宋体" w:hAnsi="Times New Roman" w:cs="Times New Roman" w:hint="eastAsia"/>
          <w:color w:val="000000"/>
          <w:szCs w:val="24"/>
        </w:rPr>
        <w:t>40</w:t>
      </w:r>
      <w:r w:rsidRPr="006A24C4">
        <w:rPr>
          <w:rFonts w:ascii="Times New Roman" w:eastAsia="宋体" w:hAnsi="Times New Roman" w:cs="Times New Roman" w:hint="eastAsia"/>
          <w:color w:val="000000"/>
          <w:szCs w:val="24"/>
        </w:rPr>
        <w:t>台（套）先进的生产设备和检测仪器，拥有一支经验丰富的专业研发团队，完成“特种碲铜合金材料应用技术研究”宁波市科技创新重大专项项目及宁波市科技创新项目</w:t>
      </w:r>
      <w:r w:rsidRPr="006A24C4">
        <w:rPr>
          <w:rFonts w:ascii="Times New Roman" w:eastAsia="宋体" w:hAnsi="Times New Roman" w:cs="Times New Roman" w:hint="eastAsia"/>
          <w:color w:val="000000"/>
          <w:szCs w:val="24"/>
        </w:rPr>
        <w:t>3</w:t>
      </w:r>
      <w:r w:rsidRPr="006A24C4">
        <w:rPr>
          <w:rFonts w:ascii="Times New Roman" w:eastAsia="宋体" w:hAnsi="Times New Roman" w:cs="Times New Roman" w:hint="eastAsia"/>
          <w:color w:val="000000"/>
          <w:szCs w:val="24"/>
        </w:rPr>
        <w:t>项。在产学研合作方面与中南大学、大连理工大学等国内知名高校和科研院所建立了长期紧密合作关系，为铜及铜合金材料的研制和生产提供了可靠保证。主持和参与制定国家及行业标准</w:t>
      </w:r>
      <w:r w:rsidRPr="006A24C4">
        <w:rPr>
          <w:rFonts w:ascii="Times New Roman" w:eastAsia="宋体" w:hAnsi="Times New Roman" w:cs="Times New Roman" w:hint="eastAsia"/>
          <w:color w:val="000000"/>
          <w:szCs w:val="24"/>
        </w:rPr>
        <w:t>12</w:t>
      </w:r>
      <w:r w:rsidRPr="006A24C4">
        <w:rPr>
          <w:rFonts w:ascii="Times New Roman" w:eastAsia="宋体" w:hAnsi="Times New Roman" w:cs="Times New Roman" w:hint="eastAsia"/>
          <w:color w:val="000000"/>
          <w:szCs w:val="24"/>
        </w:rPr>
        <w:t>项、获国家授权发明专利</w:t>
      </w:r>
      <w:r w:rsidRPr="006A24C4">
        <w:rPr>
          <w:rFonts w:ascii="Times New Roman" w:eastAsia="宋体" w:hAnsi="Times New Roman" w:cs="Times New Roman" w:hint="eastAsia"/>
          <w:color w:val="000000"/>
          <w:szCs w:val="24"/>
        </w:rPr>
        <w:t>15</w:t>
      </w:r>
      <w:r w:rsidRPr="006A24C4">
        <w:rPr>
          <w:rFonts w:ascii="Times New Roman" w:eastAsia="宋体" w:hAnsi="Times New Roman" w:cs="Times New Roman" w:hint="eastAsia"/>
          <w:color w:val="000000"/>
          <w:szCs w:val="24"/>
        </w:rPr>
        <w:t>项，其中国际专利</w:t>
      </w:r>
      <w:r w:rsidRPr="006A24C4">
        <w:rPr>
          <w:rFonts w:ascii="Times New Roman" w:eastAsia="宋体" w:hAnsi="Times New Roman" w:cs="Times New Roman" w:hint="eastAsia"/>
          <w:color w:val="000000"/>
          <w:szCs w:val="24"/>
        </w:rPr>
        <w:t>2</w:t>
      </w:r>
      <w:r w:rsidRPr="006A24C4">
        <w:rPr>
          <w:rFonts w:ascii="Times New Roman" w:eastAsia="宋体" w:hAnsi="Times New Roman" w:cs="Times New Roman" w:hint="eastAsia"/>
          <w:color w:val="000000"/>
          <w:szCs w:val="24"/>
        </w:rPr>
        <w:t>项。</w:t>
      </w:r>
    </w:p>
    <w:p w14:paraId="2837171F" w14:textId="5F9D4314" w:rsidR="00B93782" w:rsidRPr="00B93782" w:rsidRDefault="00B93782" w:rsidP="00B93782">
      <w:pPr>
        <w:pStyle w:val="aff"/>
        <w:ind w:firstLine="422"/>
        <w:contextualSpacing/>
        <w:rPr>
          <w:rFonts w:ascii="Times New Roman"/>
          <w:color w:val="000000"/>
        </w:rPr>
      </w:pPr>
      <w:r w:rsidRPr="00C7327B">
        <w:rPr>
          <w:rFonts w:hint="eastAsia"/>
          <w:b/>
          <w:bCs/>
          <w:szCs w:val="21"/>
        </w:rPr>
        <w:t>芜湖楚江合金铜材有限公司</w:t>
      </w:r>
      <w:r>
        <w:rPr>
          <w:rFonts w:hint="eastAsia"/>
          <w:szCs w:val="21"/>
        </w:rPr>
        <w:t>是安徽楚江科技新材料股份有限公司的全资子公司</w:t>
      </w:r>
      <w:r>
        <w:rPr>
          <w:szCs w:val="21"/>
        </w:rPr>
        <w:t>,</w:t>
      </w:r>
      <w:r>
        <w:rPr>
          <w:rFonts w:hint="eastAsia"/>
          <w:szCs w:val="21"/>
        </w:rPr>
        <w:t>国家高新技术企业，专精特新小巨人企业，拥有省级企业中心、铜合金产业公共服务平台、市级绿色工厂、市级数字化车间、市级工程技术研究中心。主要生产高精密新材料切割用黄铜母线材、高精度电气接插件线材、高精度</w:t>
      </w:r>
      <w:r>
        <w:rPr>
          <w:szCs w:val="21"/>
        </w:rPr>
        <w:t>Y</w:t>
      </w:r>
      <w:r>
        <w:rPr>
          <w:rFonts w:hint="eastAsia"/>
          <w:szCs w:val="21"/>
        </w:rPr>
        <w:t>型母线、高端电子元器件用铜合金线材、高端服辅用高弹耐磨铜合金线材等十几种产品。公司拥有较强的产品研发实力，先后承担了省级、市级产业化和科技计划项目，且成功研发出</w:t>
      </w:r>
      <w:r>
        <w:rPr>
          <w:szCs w:val="21"/>
        </w:rPr>
        <w:t>4</w:t>
      </w:r>
      <w:r>
        <w:rPr>
          <w:rFonts w:hint="eastAsia"/>
          <w:szCs w:val="21"/>
        </w:rPr>
        <w:t>项省级科技研究成果、</w:t>
      </w:r>
      <w:r>
        <w:rPr>
          <w:szCs w:val="21"/>
        </w:rPr>
        <w:t>6</w:t>
      </w:r>
      <w:r>
        <w:rPr>
          <w:rFonts w:hint="eastAsia"/>
          <w:szCs w:val="21"/>
        </w:rPr>
        <w:t>项省级新产品、</w:t>
      </w:r>
      <w:r>
        <w:rPr>
          <w:szCs w:val="21"/>
        </w:rPr>
        <w:t>8</w:t>
      </w:r>
      <w:r>
        <w:rPr>
          <w:rFonts w:hint="eastAsia"/>
          <w:szCs w:val="21"/>
        </w:rPr>
        <w:t>项高新技术产品，拥有</w:t>
      </w:r>
      <w:r>
        <w:rPr>
          <w:szCs w:val="21"/>
        </w:rPr>
        <w:t>60</w:t>
      </w:r>
      <w:r>
        <w:rPr>
          <w:rFonts w:hint="eastAsia"/>
          <w:szCs w:val="21"/>
        </w:rPr>
        <w:t>多项国家专利技术，共参与国家、行业标准</w:t>
      </w:r>
      <w:r>
        <w:rPr>
          <w:szCs w:val="21"/>
        </w:rPr>
        <w:t>10</w:t>
      </w:r>
      <w:r>
        <w:rPr>
          <w:rFonts w:hint="eastAsia"/>
          <w:szCs w:val="21"/>
        </w:rPr>
        <w:t>余项。</w:t>
      </w:r>
    </w:p>
    <w:p w14:paraId="22998E0F" w14:textId="77777777" w:rsidR="00B93782" w:rsidRPr="00B93782" w:rsidRDefault="00B93782" w:rsidP="00B93782">
      <w:pPr>
        <w:pStyle w:val="aff"/>
        <w:ind w:firstLine="422"/>
        <w:contextualSpacing/>
        <w:rPr>
          <w:rFonts w:ascii="Times New Roman" w:eastAsiaTheme="minorEastAsia"/>
          <w:kern w:val="2"/>
        </w:rPr>
      </w:pPr>
      <w:r w:rsidRPr="003E2100">
        <w:rPr>
          <w:rFonts w:ascii="Times New Roman" w:eastAsiaTheme="minorEastAsia"/>
          <w:b/>
          <w:bCs/>
          <w:kern w:val="2"/>
        </w:rPr>
        <w:t>浙江海亮股份有限公司</w:t>
      </w:r>
      <w:r w:rsidRPr="00B93782">
        <w:rPr>
          <w:rFonts w:ascii="Times New Roman" w:eastAsiaTheme="minorEastAsia"/>
          <w:kern w:val="2"/>
        </w:rPr>
        <w:t>是海亮集团核心产业全资子公司。自</w:t>
      </w:r>
      <w:r w:rsidRPr="00B93782">
        <w:rPr>
          <w:rFonts w:ascii="Times New Roman" w:eastAsiaTheme="minorEastAsia"/>
          <w:kern w:val="2"/>
        </w:rPr>
        <w:t>2001</w:t>
      </w:r>
      <w:r w:rsidRPr="00B93782">
        <w:rPr>
          <w:rFonts w:ascii="Times New Roman" w:eastAsiaTheme="minorEastAsia"/>
          <w:kern w:val="2"/>
        </w:rPr>
        <w:t>年成立以来，公司一直致力于优质铜产品、导体新材料、铝基新材料的研发、生产、销售和服务，于</w:t>
      </w:r>
      <w:r w:rsidRPr="00B93782">
        <w:rPr>
          <w:rFonts w:ascii="Times New Roman" w:eastAsiaTheme="minorEastAsia"/>
          <w:kern w:val="2"/>
        </w:rPr>
        <w:t>2008</w:t>
      </w:r>
      <w:r w:rsidRPr="00B93782">
        <w:rPr>
          <w:rFonts w:ascii="Times New Roman" w:eastAsiaTheme="minorEastAsia"/>
          <w:kern w:val="2"/>
        </w:rPr>
        <w:t>年</w:t>
      </w:r>
      <w:r w:rsidRPr="00B93782">
        <w:rPr>
          <w:rFonts w:ascii="Times New Roman" w:eastAsiaTheme="minorEastAsia"/>
          <w:kern w:val="2"/>
        </w:rPr>
        <w:t>1</w:t>
      </w:r>
      <w:r w:rsidRPr="00B93782">
        <w:rPr>
          <w:rFonts w:ascii="Times New Roman" w:eastAsiaTheme="minorEastAsia"/>
          <w:kern w:val="2"/>
        </w:rPr>
        <w:t>月</w:t>
      </w:r>
      <w:r w:rsidRPr="00B93782">
        <w:rPr>
          <w:rFonts w:ascii="Times New Roman" w:eastAsiaTheme="minorEastAsia"/>
          <w:kern w:val="2"/>
        </w:rPr>
        <w:t>16</w:t>
      </w:r>
      <w:r w:rsidRPr="00B93782">
        <w:rPr>
          <w:rFonts w:ascii="Times New Roman" w:eastAsiaTheme="minorEastAsia"/>
          <w:kern w:val="2"/>
        </w:rPr>
        <w:t>日在深圳证券交易所上市（股票代码：</w:t>
      </w:r>
      <w:r w:rsidRPr="00B93782">
        <w:rPr>
          <w:rFonts w:ascii="Times New Roman" w:eastAsiaTheme="minorEastAsia"/>
          <w:kern w:val="2"/>
        </w:rPr>
        <w:t>002203</w:t>
      </w:r>
      <w:r w:rsidRPr="00B93782">
        <w:rPr>
          <w:rFonts w:ascii="Times New Roman" w:eastAsiaTheme="minorEastAsia"/>
          <w:kern w:val="2"/>
        </w:rPr>
        <w:t>），是全球铜管棒加工行业的标杆和领袖级企业。截至</w:t>
      </w:r>
      <w:r w:rsidRPr="00B93782">
        <w:rPr>
          <w:rFonts w:ascii="Times New Roman" w:eastAsiaTheme="minorEastAsia"/>
          <w:kern w:val="2"/>
        </w:rPr>
        <w:t>2024</w:t>
      </w:r>
      <w:r w:rsidRPr="00B93782">
        <w:rPr>
          <w:rFonts w:ascii="Times New Roman" w:eastAsiaTheme="minorEastAsia"/>
          <w:kern w:val="2"/>
        </w:rPr>
        <w:t>年底，公司总资产达</w:t>
      </w:r>
      <w:r w:rsidRPr="00B93782">
        <w:rPr>
          <w:rFonts w:ascii="Times New Roman" w:eastAsiaTheme="minorEastAsia"/>
          <w:kern w:val="2"/>
        </w:rPr>
        <w:t>444.80</w:t>
      </w:r>
      <w:r w:rsidRPr="00B93782">
        <w:rPr>
          <w:rFonts w:ascii="Times New Roman" w:eastAsiaTheme="minorEastAsia"/>
          <w:kern w:val="2"/>
        </w:rPr>
        <w:t>亿元，实现总营业收入</w:t>
      </w:r>
      <w:r w:rsidRPr="00B93782">
        <w:rPr>
          <w:rFonts w:ascii="Times New Roman" w:eastAsiaTheme="minorEastAsia"/>
          <w:kern w:val="2"/>
        </w:rPr>
        <w:t>875.45</w:t>
      </w:r>
      <w:r w:rsidRPr="00B93782">
        <w:rPr>
          <w:rFonts w:ascii="Times New Roman" w:eastAsiaTheme="minorEastAsia"/>
          <w:kern w:val="2"/>
        </w:rPr>
        <w:t>亿元，利润总额</w:t>
      </w:r>
      <w:r w:rsidRPr="00B93782">
        <w:rPr>
          <w:rFonts w:ascii="Times New Roman" w:eastAsiaTheme="minorEastAsia"/>
          <w:kern w:val="2"/>
        </w:rPr>
        <w:t>6.58</w:t>
      </w:r>
      <w:r w:rsidRPr="00B93782">
        <w:rPr>
          <w:rFonts w:ascii="Times New Roman" w:eastAsiaTheme="minorEastAsia"/>
          <w:kern w:val="2"/>
        </w:rPr>
        <w:t>亿元。目前公司在浙江、上海、安徽、广东、越南、泰国、重庆、成都、山东、甘肃、美国、德国、法国、意大利、西班牙等亚洲、美洲、欧洲地区拥有</w:t>
      </w:r>
      <w:r w:rsidRPr="00B93782">
        <w:rPr>
          <w:rFonts w:ascii="Times New Roman" w:eastAsiaTheme="minorEastAsia"/>
          <w:kern w:val="2"/>
        </w:rPr>
        <w:t>23</w:t>
      </w:r>
      <w:r w:rsidRPr="00B93782">
        <w:rPr>
          <w:rFonts w:ascii="Times New Roman" w:eastAsiaTheme="minorEastAsia"/>
          <w:kern w:val="2"/>
        </w:rPr>
        <w:t>大生产基地，在国内外积累了大批优质稳定的客户，与</w:t>
      </w:r>
      <w:r w:rsidRPr="00B93782">
        <w:rPr>
          <w:rFonts w:ascii="Times New Roman" w:eastAsiaTheme="minorEastAsia"/>
          <w:kern w:val="2"/>
        </w:rPr>
        <w:t>132</w:t>
      </w:r>
      <w:r w:rsidRPr="00B93782">
        <w:rPr>
          <w:rFonts w:ascii="Times New Roman" w:eastAsiaTheme="minorEastAsia"/>
          <w:kern w:val="2"/>
        </w:rPr>
        <w:t>个国家或地区的近万家客户建立了长期业务关系，与多家行业品牌企</w:t>
      </w:r>
      <w:r w:rsidRPr="00B93782">
        <w:rPr>
          <w:rFonts w:ascii="Times New Roman" w:eastAsiaTheme="minorEastAsia"/>
          <w:kern w:val="2"/>
        </w:rPr>
        <w:lastRenderedPageBreak/>
        <w:t>业成为战略合作伙伴。公司牵头或参与编制已发布的国家行业等各类标准共</w:t>
      </w:r>
      <w:r w:rsidRPr="00B93782">
        <w:rPr>
          <w:rFonts w:ascii="Times New Roman" w:eastAsiaTheme="minorEastAsia"/>
          <w:kern w:val="2"/>
        </w:rPr>
        <w:t>70</w:t>
      </w:r>
      <w:r w:rsidRPr="00B93782">
        <w:rPr>
          <w:rFonts w:ascii="Times New Roman" w:eastAsiaTheme="minorEastAsia"/>
          <w:kern w:val="2"/>
        </w:rPr>
        <w:t>项（其中国家标准</w:t>
      </w:r>
      <w:r w:rsidRPr="00B93782">
        <w:rPr>
          <w:rFonts w:ascii="Times New Roman" w:eastAsiaTheme="minorEastAsia"/>
          <w:kern w:val="2"/>
        </w:rPr>
        <w:t>34</w:t>
      </w:r>
      <w:r w:rsidRPr="00B93782">
        <w:rPr>
          <w:rFonts w:ascii="Times New Roman" w:eastAsiaTheme="minorEastAsia"/>
          <w:kern w:val="2"/>
        </w:rPr>
        <w:t>项），公司在国家行业标准编制方面具有丰富的经验，可以保证该标准顺利编制完成。</w:t>
      </w:r>
    </w:p>
    <w:p w14:paraId="6EDC70D6" w14:textId="187A7D9B" w:rsidR="00B93782" w:rsidRDefault="00B93782">
      <w:pPr>
        <w:pStyle w:val="aff"/>
        <w:ind w:firstLine="422"/>
        <w:contextualSpacing/>
        <w:rPr>
          <w:rFonts w:ascii="Times New Roman" w:eastAsiaTheme="minorEastAsia"/>
          <w:kern w:val="2"/>
        </w:rPr>
      </w:pPr>
      <w:r w:rsidRPr="003E2100">
        <w:rPr>
          <w:rFonts w:ascii="Times New Roman" w:eastAsiaTheme="minorEastAsia"/>
          <w:b/>
          <w:bCs/>
          <w:kern w:val="2"/>
        </w:rPr>
        <w:t>有研工程技术研究院有限公司</w:t>
      </w:r>
      <w:r w:rsidRPr="00B93782">
        <w:rPr>
          <w:rFonts w:ascii="Times New Roman" w:eastAsiaTheme="minorEastAsia"/>
          <w:kern w:val="2"/>
        </w:rPr>
        <w:t>是国务院国资委管理的中央企业有研科技集团有限公司（原北京有色金属研究总院）的二级全资子公司。</w:t>
      </w:r>
      <w:r w:rsidRPr="00B93782">
        <w:rPr>
          <w:rFonts w:ascii="Times New Roman" w:eastAsiaTheme="minorEastAsia"/>
          <w:kern w:val="2"/>
        </w:rPr>
        <w:t>2018</w:t>
      </w:r>
      <w:r w:rsidRPr="00B93782">
        <w:rPr>
          <w:rFonts w:ascii="Times New Roman" w:eastAsiaTheme="minorEastAsia"/>
          <w:kern w:val="2"/>
        </w:rPr>
        <w:t>年</w:t>
      </w:r>
      <w:r w:rsidRPr="00B93782">
        <w:rPr>
          <w:rFonts w:ascii="Times New Roman" w:eastAsiaTheme="minorEastAsia"/>
          <w:kern w:val="2"/>
        </w:rPr>
        <w:t>1</w:t>
      </w:r>
      <w:r w:rsidRPr="00B93782">
        <w:rPr>
          <w:rFonts w:ascii="Times New Roman" w:eastAsiaTheme="minorEastAsia"/>
          <w:kern w:val="2"/>
        </w:rPr>
        <w:t>月</w:t>
      </w:r>
      <w:r w:rsidRPr="00B93782">
        <w:rPr>
          <w:rFonts w:ascii="Times New Roman" w:eastAsiaTheme="minorEastAsia"/>
          <w:kern w:val="2"/>
        </w:rPr>
        <w:t>11</w:t>
      </w:r>
      <w:r w:rsidRPr="00B93782">
        <w:rPr>
          <w:rFonts w:ascii="Times New Roman" w:eastAsiaTheme="minorEastAsia"/>
          <w:kern w:val="2"/>
        </w:rPr>
        <w:t>日在北京市怀柔科学城注册成立，承继了集团全部材料类研发资产和资质。主要从事有色金属新材料战略高技术和前沿技术研发，产业化关键技术和行业共性技术开发，中试生产和成果孵化转化。拥有有色金属材料制备加工国家重点实验室、智能传感功能材料国家重点实验室、国家有色金属新能源材料与制品工程技术研究中心、军用有色金属材料多品种小批量科研生产基地等四个国家级创新平台，担负国家第二批</w:t>
      </w:r>
      <w:r w:rsidR="00C042F0">
        <w:rPr>
          <w:rFonts w:ascii="Times New Roman" w:eastAsiaTheme="minorEastAsia" w:hint="eastAsia"/>
          <w:kern w:val="2"/>
        </w:rPr>
        <w:t>“</w:t>
      </w:r>
      <w:r w:rsidRPr="00B93782">
        <w:rPr>
          <w:rFonts w:ascii="Times New Roman" w:eastAsiaTheme="minorEastAsia"/>
          <w:kern w:val="2"/>
        </w:rPr>
        <w:t>大众创业、万众创新</w:t>
      </w:r>
      <w:r w:rsidR="00C042F0">
        <w:rPr>
          <w:rFonts w:ascii="Times New Roman" w:eastAsiaTheme="minorEastAsia" w:hint="eastAsia"/>
          <w:kern w:val="2"/>
        </w:rPr>
        <w:t>”</w:t>
      </w:r>
      <w:r w:rsidRPr="00B93782">
        <w:rPr>
          <w:rFonts w:ascii="Times New Roman" w:eastAsiaTheme="minorEastAsia"/>
          <w:kern w:val="2"/>
        </w:rPr>
        <w:t>示范基地的建设任务；下属单位历史上先后为</w:t>
      </w:r>
      <w:r w:rsidR="00C042F0">
        <w:rPr>
          <w:rFonts w:ascii="Times New Roman" w:eastAsiaTheme="minorEastAsia" w:hint="eastAsia"/>
          <w:kern w:val="2"/>
        </w:rPr>
        <w:t>“</w:t>
      </w:r>
      <w:r w:rsidRPr="00B93782">
        <w:rPr>
          <w:rFonts w:ascii="Times New Roman" w:eastAsiaTheme="minorEastAsia"/>
          <w:kern w:val="2"/>
        </w:rPr>
        <w:t>两弹一星</w:t>
      </w:r>
      <w:r w:rsidR="00C042F0">
        <w:rPr>
          <w:rFonts w:ascii="Times New Roman" w:eastAsiaTheme="minorEastAsia" w:hint="eastAsia"/>
          <w:kern w:val="2"/>
        </w:rPr>
        <w:t>”</w:t>
      </w:r>
      <w:r w:rsidRPr="00B93782">
        <w:rPr>
          <w:rFonts w:ascii="Times New Roman" w:eastAsiaTheme="minorEastAsia"/>
          <w:kern w:val="2"/>
        </w:rPr>
        <w:t>、</w:t>
      </w:r>
      <w:r w:rsidR="00C042F0">
        <w:rPr>
          <w:rFonts w:ascii="Times New Roman" w:eastAsiaTheme="minorEastAsia" w:hint="eastAsia"/>
          <w:kern w:val="2"/>
        </w:rPr>
        <w:t>“</w:t>
      </w:r>
      <w:r w:rsidRPr="00B93782">
        <w:rPr>
          <w:rFonts w:ascii="Times New Roman" w:eastAsiaTheme="minorEastAsia"/>
          <w:kern w:val="2"/>
        </w:rPr>
        <w:t>神舟飞船</w:t>
      </w:r>
      <w:r w:rsidR="00C042F0">
        <w:rPr>
          <w:rFonts w:ascii="Times New Roman" w:eastAsiaTheme="minorEastAsia" w:hint="eastAsia"/>
          <w:kern w:val="2"/>
        </w:rPr>
        <w:t>”</w:t>
      </w:r>
      <w:r w:rsidRPr="00B93782">
        <w:rPr>
          <w:rFonts w:ascii="Times New Roman" w:eastAsiaTheme="minorEastAsia"/>
          <w:kern w:val="2"/>
        </w:rPr>
        <w:t>、</w:t>
      </w:r>
      <w:r w:rsidR="00C042F0">
        <w:rPr>
          <w:rFonts w:ascii="Times New Roman" w:eastAsiaTheme="minorEastAsia" w:hint="eastAsia"/>
          <w:kern w:val="2"/>
        </w:rPr>
        <w:t>“</w:t>
      </w:r>
      <w:r w:rsidRPr="00B93782">
        <w:rPr>
          <w:rFonts w:ascii="Times New Roman" w:eastAsiaTheme="minorEastAsia"/>
          <w:kern w:val="2"/>
        </w:rPr>
        <w:t>载人航天</w:t>
      </w:r>
      <w:r w:rsidR="00C042F0">
        <w:rPr>
          <w:rFonts w:ascii="Times New Roman" w:eastAsiaTheme="minorEastAsia" w:hint="eastAsia"/>
          <w:kern w:val="2"/>
        </w:rPr>
        <w:t>”</w:t>
      </w:r>
      <w:r w:rsidRPr="00B93782">
        <w:rPr>
          <w:rFonts w:ascii="Times New Roman" w:eastAsiaTheme="minorEastAsia"/>
          <w:kern w:val="2"/>
        </w:rPr>
        <w:t>、</w:t>
      </w:r>
      <w:r w:rsidR="00C042F0">
        <w:rPr>
          <w:rFonts w:ascii="Times New Roman" w:eastAsiaTheme="minorEastAsia" w:hint="eastAsia"/>
          <w:kern w:val="2"/>
        </w:rPr>
        <w:t>“</w:t>
      </w:r>
      <w:r w:rsidRPr="00B93782">
        <w:rPr>
          <w:rFonts w:ascii="Times New Roman" w:eastAsiaTheme="minorEastAsia"/>
          <w:kern w:val="2"/>
        </w:rPr>
        <w:t>探月工程</w:t>
      </w:r>
      <w:r w:rsidR="00C042F0">
        <w:rPr>
          <w:rFonts w:ascii="Times New Roman" w:eastAsiaTheme="minorEastAsia" w:hint="eastAsia"/>
          <w:kern w:val="2"/>
        </w:rPr>
        <w:t>”</w:t>
      </w:r>
      <w:r w:rsidRPr="00B93782">
        <w:rPr>
          <w:rFonts w:ascii="Times New Roman" w:eastAsiaTheme="minorEastAsia"/>
          <w:kern w:val="2"/>
        </w:rPr>
        <w:t>等国家重点工程和有色金属行业提供了一大批新材料、新工艺、新技术和新设备，为我国有色金属工业体系建立和国防建设提供了强有力的科技支撑。</w:t>
      </w:r>
    </w:p>
    <w:bookmarkEnd w:id="2"/>
    <w:p w14:paraId="5D657BAE" w14:textId="77777777" w:rsidR="004426E6" w:rsidRDefault="00000000">
      <w:pPr>
        <w:pStyle w:val="af4"/>
        <w:spacing w:before="0" w:beforeAutospacing="0" w:after="0" w:afterAutospacing="0"/>
        <w:ind w:firstLine="420"/>
        <w:contextualSpacing/>
        <w:jc w:val="both"/>
        <w:rPr>
          <w:rFonts w:hint="eastAsia"/>
          <w:sz w:val="21"/>
          <w:szCs w:val="21"/>
        </w:rPr>
      </w:pPr>
      <w:r>
        <w:rPr>
          <w:rFonts w:hint="eastAsia"/>
          <w:sz w:val="21"/>
          <w:szCs w:val="21"/>
        </w:rPr>
        <w:t>标准的主要起草人工作分工如下：</w:t>
      </w:r>
    </w:p>
    <w:p w14:paraId="414A3E60" w14:textId="77777777" w:rsidR="004426E6" w:rsidRDefault="00000000">
      <w:pPr>
        <w:spacing w:line="360" w:lineRule="auto"/>
        <w:contextualSpacing/>
        <w:jc w:val="center"/>
        <w:rPr>
          <w:rFonts w:ascii="Times New Roman" w:eastAsia="黑体" w:hAnsi="Times New Roman" w:cs="Times New Roman"/>
          <w:szCs w:val="21"/>
        </w:rPr>
      </w:pPr>
      <w:r>
        <w:rPr>
          <w:rFonts w:ascii="Times New Roman" w:eastAsia="黑体" w:hAnsi="Times New Roman" w:cs="Times New Roman" w:hint="eastAsia"/>
          <w:szCs w:val="21"/>
        </w:rPr>
        <w:t>表</w:t>
      </w:r>
      <w:r>
        <w:rPr>
          <w:rFonts w:ascii="Times New Roman" w:eastAsia="黑体" w:hAnsi="Times New Roman" w:cs="Times New Roman" w:hint="eastAsia"/>
          <w:szCs w:val="21"/>
        </w:rPr>
        <w:t xml:space="preserve">1 </w:t>
      </w:r>
      <w:r>
        <w:rPr>
          <w:rFonts w:ascii="Times New Roman" w:eastAsia="黑体" w:hAnsi="Times New Roman" w:cs="Times New Roman" w:hint="eastAsia"/>
          <w:szCs w:val="21"/>
        </w:rPr>
        <w:t>标准编制组成员及职责</w:t>
      </w:r>
    </w:p>
    <w:tbl>
      <w:tblPr>
        <w:tblW w:w="511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76"/>
        <w:gridCol w:w="2696"/>
        <w:gridCol w:w="5232"/>
      </w:tblGrid>
      <w:tr w:rsidR="004426E6" w14:paraId="66B8ACE5" w14:textId="77777777">
        <w:trPr>
          <w:trHeight w:val="454"/>
        </w:trPr>
        <w:tc>
          <w:tcPr>
            <w:tcW w:w="339" w:type="pct"/>
            <w:tcBorders>
              <w:top w:val="single" w:sz="12" w:space="0" w:color="auto"/>
              <w:bottom w:val="single" w:sz="12" w:space="0" w:color="auto"/>
            </w:tcBorders>
            <w:vAlign w:val="center"/>
          </w:tcPr>
          <w:p w14:paraId="5847BB38" w14:textId="77777777" w:rsidR="004426E6" w:rsidRDefault="00000000">
            <w:pPr>
              <w:pStyle w:val="aff"/>
              <w:ind w:firstLineChars="0" w:firstLine="0"/>
              <w:contextualSpacing/>
              <w:jc w:val="center"/>
              <w:rPr>
                <w:rFonts w:ascii="Times New Roman"/>
                <w:sz w:val="18"/>
              </w:rPr>
            </w:pPr>
            <w:r>
              <w:rPr>
                <w:rFonts w:ascii="Times New Roman" w:hint="eastAsia"/>
                <w:sz w:val="18"/>
              </w:rPr>
              <w:t>序号</w:t>
            </w:r>
          </w:p>
        </w:tc>
        <w:tc>
          <w:tcPr>
            <w:tcW w:w="1585" w:type="pct"/>
            <w:tcBorders>
              <w:top w:val="single" w:sz="12" w:space="0" w:color="auto"/>
              <w:bottom w:val="single" w:sz="12" w:space="0" w:color="auto"/>
            </w:tcBorders>
            <w:vAlign w:val="center"/>
          </w:tcPr>
          <w:p w14:paraId="52E64516" w14:textId="77777777" w:rsidR="004426E6" w:rsidRDefault="00000000">
            <w:pPr>
              <w:pStyle w:val="aff"/>
              <w:ind w:firstLineChars="0" w:firstLine="0"/>
              <w:contextualSpacing/>
              <w:jc w:val="center"/>
              <w:rPr>
                <w:rFonts w:ascii="Times New Roman"/>
                <w:sz w:val="18"/>
              </w:rPr>
            </w:pPr>
            <w:r>
              <w:rPr>
                <w:rFonts w:ascii="Times New Roman" w:hint="eastAsia"/>
                <w:sz w:val="18"/>
              </w:rPr>
              <w:t>起草人姓名</w:t>
            </w:r>
          </w:p>
        </w:tc>
        <w:tc>
          <w:tcPr>
            <w:tcW w:w="3076" w:type="pct"/>
            <w:tcBorders>
              <w:top w:val="single" w:sz="12" w:space="0" w:color="auto"/>
              <w:bottom w:val="single" w:sz="12" w:space="0" w:color="auto"/>
            </w:tcBorders>
            <w:vAlign w:val="center"/>
          </w:tcPr>
          <w:p w14:paraId="66F52C7D" w14:textId="77777777" w:rsidR="004426E6" w:rsidRDefault="00000000">
            <w:pPr>
              <w:pStyle w:val="aff"/>
              <w:ind w:firstLineChars="0" w:firstLine="0"/>
              <w:contextualSpacing/>
              <w:jc w:val="center"/>
              <w:rPr>
                <w:rFonts w:ascii="Times New Roman"/>
                <w:sz w:val="18"/>
              </w:rPr>
            </w:pPr>
            <w:r>
              <w:rPr>
                <w:rFonts w:ascii="Times New Roman" w:hint="eastAsia"/>
                <w:sz w:val="18"/>
              </w:rPr>
              <w:t>职责及分工</w:t>
            </w:r>
          </w:p>
        </w:tc>
      </w:tr>
      <w:tr w:rsidR="004426E6" w14:paraId="154A131C" w14:textId="77777777">
        <w:trPr>
          <w:trHeight w:val="463"/>
        </w:trPr>
        <w:tc>
          <w:tcPr>
            <w:tcW w:w="339" w:type="pct"/>
            <w:tcBorders>
              <w:top w:val="single" w:sz="12" w:space="0" w:color="auto"/>
            </w:tcBorders>
            <w:vAlign w:val="center"/>
          </w:tcPr>
          <w:p w14:paraId="55CDC633" w14:textId="77777777" w:rsidR="004426E6" w:rsidRDefault="00000000">
            <w:pPr>
              <w:pStyle w:val="aff"/>
              <w:ind w:firstLineChars="0" w:firstLine="0"/>
              <w:contextualSpacing/>
              <w:jc w:val="center"/>
              <w:rPr>
                <w:rFonts w:ascii="Times New Roman"/>
                <w:sz w:val="18"/>
              </w:rPr>
            </w:pPr>
            <w:r>
              <w:rPr>
                <w:rFonts w:ascii="Times New Roman" w:hint="eastAsia"/>
                <w:sz w:val="18"/>
              </w:rPr>
              <w:t>1</w:t>
            </w:r>
          </w:p>
        </w:tc>
        <w:tc>
          <w:tcPr>
            <w:tcW w:w="1585" w:type="pct"/>
            <w:tcBorders>
              <w:top w:val="single" w:sz="12" w:space="0" w:color="auto"/>
            </w:tcBorders>
            <w:vAlign w:val="center"/>
          </w:tcPr>
          <w:p w14:paraId="523979C7" w14:textId="394BE937" w:rsidR="004426E6" w:rsidRDefault="00B93782">
            <w:pPr>
              <w:pStyle w:val="aff"/>
              <w:ind w:firstLineChars="0" w:firstLine="0"/>
              <w:contextualSpacing/>
              <w:jc w:val="center"/>
              <w:rPr>
                <w:rFonts w:ascii="Times New Roman"/>
                <w:sz w:val="18"/>
              </w:rPr>
            </w:pPr>
            <w:r>
              <w:rPr>
                <w:rFonts w:ascii="Times New Roman" w:hint="eastAsia"/>
                <w:sz w:val="18"/>
              </w:rPr>
              <w:t>李吉宝</w:t>
            </w:r>
          </w:p>
        </w:tc>
        <w:tc>
          <w:tcPr>
            <w:tcW w:w="3076" w:type="pct"/>
            <w:tcBorders>
              <w:top w:val="single" w:sz="12" w:space="0" w:color="auto"/>
            </w:tcBorders>
            <w:vAlign w:val="center"/>
          </w:tcPr>
          <w:p w14:paraId="0201ACAD" w14:textId="55A94E9D" w:rsidR="004426E6" w:rsidRDefault="00B93782">
            <w:pPr>
              <w:pStyle w:val="aff"/>
              <w:ind w:firstLineChars="0" w:firstLine="0"/>
              <w:contextualSpacing/>
              <w:jc w:val="center"/>
              <w:rPr>
                <w:rFonts w:ascii="Times New Roman"/>
                <w:sz w:val="18"/>
              </w:rPr>
            </w:pPr>
            <w:r w:rsidRPr="00235C60">
              <w:rPr>
                <w:rFonts w:ascii="Times New Roman" w:hint="eastAsia"/>
                <w:sz w:val="18"/>
              </w:rPr>
              <w:t>负责整体工作指导、工作协调</w:t>
            </w:r>
          </w:p>
        </w:tc>
      </w:tr>
      <w:tr w:rsidR="003E2100" w14:paraId="5E445581" w14:textId="77777777">
        <w:trPr>
          <w:trHeight w:val="454"/>
        </w:trPr>
        <w:tc>
          <w:tcPr>
            <w:tcW w:w="339" w:type="pct"/>
            <w:vAlign w:val="center"/>
          </w:tcPr>
          <w:p w14:paraId="55CBDDBC" w14:textId="77777777" w:rsidR="003E2100" w:rsidRDefault="003E2100" w:rsidP="003E2100">
            <w:pPr>
              <w:pStyle w:val="aff"/>
              <w:ind w:firstLineChars="0" w:firstLine="0"/>
              <w:contextualSpacing/>
              <w:jc w:val="center"/>
              <w:rPr>
                <w:rFonts w:ascii="Times New Roman"/>
                <w:sz w:val="18"/>
              </w:rPr>
            </w:pPr>
            <w:r>
              <w:rPr>
                <w:rFonts w:ascii="Times New Roman" w:hint="eastAsia"/>
                <w:sz w:val="18"/>
              </w:rPr>
              <w:t>2</w:t>
            </w:r>
          </w:p>
        </w:tc>
        <w:tc>
          <w:tcPr>
            <w:tcW w:w="1585" w:type="pct"/>
            <w:vAlign w:val="center"/>
          </w:tcPr>
          <w:p w14:paraId="0906477F" w14:textId="35C1F36B" w:rsidR="003E2100" w:rsidRDefault="003E2100" w:rsidP="003E2100">
            <w:pPr>
              <w:pStyle w:val="aff"/>
              <w:ind w:firstLineChars="0" w:firstLine="0"/>
              <w:contextualSpacing/>
              <w:jc w:val="center"/>
              <w:rPr>
                <w:rFonts w:ascii="Times New Roman"/>
                <w:sz w:val="18"/>
              </w:rPr>
            </w:pPr>
            <w:r>
              <w:rPr>
                <w:rFonts w:ascii="Times New Roman" w:hint="eastAsia"/>
                <w:sz w:val="18"/>
              </w:rPr>
              <w:t>许丁洋</w:t>
            </w:r>
          </w:p>
        </w:tc>
        <w:tc>
          <w:tcPr>
            <w:tcW w:w="3076" w:type="pct"/>
            <w:vAlign w:val="center"/>
          </w:tcPr>
          <w:p w14:paraId="50F19094" w14:textId="0CD5DFDC" w:rsidR="003E2100" w:rsidRDefault="003E2100" w:rsidP="003E2100">
            <w:pPr>
              <w:pStyle w:val="aff"/>
              <w:ind w:firstLineChars="0" w:firstLine="0"/>
              <w:contextualSpacing/>
              <w:jc w:val="center"/>
              <w:rPr>
                <w:rFonts w:ascii="Times New Roman"/>
                <w:sz w:val="18"/>
              </w:rPr>
            </w:pPr>
            <w:r w:rsidRPr="00235C60">
              <w:rPr>
                <w:rFonts w:ascii="Times New Roman" w:hint="eastAsia"/>
                <w:sz w:val="18"/>
              </w:rPr>
              <w:t>负责与秘书处、各单位对接，参与方案及测试结果讨论及制定、标准执笔</w:t>
            </w:r>
          </w:p>
        </w:tc>
      </w:tr>
      <w:tr w:rsidR="003E2100" w14:paraId="24AA82C8" w14:textId="77777777">
        <w:trPr>
          <w:trHeight w:val="454"/>
        </w:trPr>
        <w:tc>
          <w:tcPr>
            <w:tcW w:w="339" w:type="pct"/>
            <w:vAlign w:val="center"/>
          </w:tcPr>
          <w:p w14:paraId="7E912A99" w14:textId="77777777" w:rsidR="003E2100" w:rsidRDefault="003E2100" w:rsidP="003E2100">
            <w:pPr>
              <w:pStyle w:val="aff"/>
              <w:ind w:firstLineChars="0" w:firstLine="0"/>
              <w:contextualSpacing/>
              <w:jc w:val="center"/>
              <w:rPr>
                <w:rFonts w:ascii="Times New Roman"/>
                <w:sz w:val="18"/>
              </w:rPr>
            </w:pPr>
            <w:r>
              <w:rPr>
                <w:rFonts w:ascii="Times New Roman" w:hint="eastAsia"/>
                <w:sz w:val="18"/>
              </w:rPr>
              <w:t>3</w:t>
            </w:r>
          </w:p>
        </w:tc>
        <w:tc>
          <w:tcPr>
            <w:tcW w:w="1585" w:type="pct"/>
            <w:vAlign w:val="center"/>
          </w:tcPr>
          <w:p w14:paraId="221C2FA3" w14:textId="17D4D90B" w:rsidR="003E2100" w:rsidRDefault="003E2100" w:rsidP="003E2100">
            <w:pPr>
              <w:pStyle w:val="aff"/>
              <w:ind w:firstLineChars="0" w:firstLine="0"/>
              <w:contextualSpacing/>
              <w:jc w:val="center"/>
              <w:rPr>
                <w:rFonts w:ascii="Times New Roman"/>
                <w:sz w:val="18"/>
              </w:rPr>
            </w:pPr>
            <w:r>
              <w:rPr>
                <w:rFonts w:ascii="Times New Roman" w:hint="eastAsia"/>
                <w:sz w:val="18"/>
              </w:rPr>
              <w:t>裴勇军</w:t>
            </w:r>
          </w:p>
        </w:tc>
        <w:tc>
          <w:tcPr>
            <w:tcW w:w="3076" w:type="pct"/>
            <w:vAlign w:val="center"/>
          </w:tcPr>
          <w:p w14:paraId="2E5C4407" w14:textId="0D56176F" w:rsidR="003E2100" w:rsidRDefault="003E2100" w:rsidP="003E2100">
            <w:pPr>
              <w:pStyle w:val="aff"/>
              <w:ind w:firstLineChars="0" w:firstLine="0"/>
              <w:contextualSpacing/>
              <w:jc w:val="center"/>
              <w:rPr>
                <w:rFonts w:ascii="Times New Roman"/>
                <w:sz w:val="18"/>
              </w:rPr>
            </w:pPr>
            <w:r w:rsidRPr="00235C60">
              <w:rPr>
                <w:rFonts w:ascii="Times New Roman" w:hint="eastAsia"/>
                <w:sz w:val="18"/>
              </w:rPr>
              <w:t>负责标准框架搭建、整合、编制</w:t>
            </w:r>
          </w:p>
        </w:tc>
      </w:tr>
      <w:tr w:rsidR="003E2100" w14:paraId="3910C58C" w14:textId="77777777">
        <w:trPr>
          <w:trHeight w:val="484"/>
        </w:trPr>
        <w:tc>
          <w:tcPr>
            <w:tcW w:w="339" w:type="pct"/>
            <w:vAlign w:val="center"/>
          </w:tcPr>
          <w:p w14:paraId="3C67FC03" w14:textId="77777777" w:rsidR="003E2100" w:rsidRDefault="003E2100" w:rsidP="003E2100">
            <w:pPr>
              <w:pStyle w:val="aff"/>
              <w:ind w:firstLineChars="0" w:firstLine="0"/>
              <w:contextualSpacing/>
              <w:jc w:val="center"/>
              <w:rPr>
                <w:rFonts w:ascii="Times New Roman"/>
                <w:sz w:val="18"/>
              </w:rPr>
            </w:pPr>
            <w:bookmarkStart w:id="3" w:name="_Hlk202515286"/>
            <w:r>
              <w:rPr>
                <w:rFonts w:ascii="Times New Roman" w:hint="eastAsia"/>
                <w:sz w:val="18"/>
              </w:rPr>
              <w:t>4</w:t>
            </w:r>
          </w:p>
        </w:tc>
        <w:tc>
          <w:tcPr>
            <w:tcW w:w="1585" w:type="pct"/>
            <w:vAlign w:val="center"/>
          </w:tcPr>
          <w:p w14:paraId="7C3BD242" w14:textId="17EE0A67" w:rsidR="003E2100" w:rsidRDefault="008C565A" w:rsidP="003E2100">
            <w:pPr>
              <w:pStyle w:val="aff"/>
              <w:ind w:firstLineChars="0" w:firstLine="0"/>
              <w:contextualSpacing/>
              <w:jc w:val="center"/>
              <w:rPr>
                <w:rFonts w:ascii="Times New Roman"/>
                <w:sz w:val="18"/>
              </w:rPr>
            </w:pPr>
            <w:r>
              <w:rPr>
                <w:rFonts w:ascii="Times New Roman" w:hint="eastAsia"/>
                <w:sz w:val="18"/>
              </w:rPr>
              <w:t>宋长洪</w:t>
            </w:r>
            <w:r w:rsidR="003E2100" w:rsidRPr="003E2100">
              <w:rPr>
                <w:rFonts w:ascii="Times New Roman" w:hint="eastAsia"/>
                <w:sz w:val="18"/>
              </w:rPr>
              <w:t>、冯斌、刘念培、魏连运、罗威</w:t>
            </w:r>
          </w:p>
        </w:tc>
        <w:tc>
          <w:tcPr>
            <w:tcW w:w="3076" w:type="pct"/>
            <w:vAlign w:val="center"/>
          </w:tcPr>
          <w:p w14:paraId="1DFE1FA5" w14:textId="21CE8F0A" w:rsidR="003E2100" w:rsidRDefault="003E2100" w:rsidP="003E2100">
            <w:pPr>
              <w:pStyle w:val="aff"/>
              <w:ind w:firstLineChars="0" w:firstLine="0"/>
              <w:contextualSpacing/>
              <w:jc w:val="center"/>
              <w:rPr>
                <w:rFonts w:ascii="Times New Roman"/>
                <w:sz w:val="18"/>
              </w:rPr>
            </w:pPr>
            <w:r w:rsidRPr="00235C60">
              <w:rPr>
                <w:rFonts w:ascii="Times New Roman" w:hint="eastAsia"/>
                <w:sz w:val="18"/>
              </w:rPr>
              <w:t>负责人员组织协调、方案审定</w:t>
            </w:r>
          </w:p>
        </w:tc>
      </w:tr>
      <w:tr w:rsidR="003E2100" w14:paraId="7A5D54F6" w14:textId="77777777">
        <w:trPr>
          <w:trHeight w:val="484"/>
        </w:trPr>
        <w:tc>
          <w:tcPr>
            <w:tcW w:w="339" w:type="pct"/>
            <w:vAlign w:val="center"/>
          </w:tcPr>
          <w:p w14:paraId="68F8B21B" w14:textId="70D0951C" w:rsidR="003E2100" w:rsidRDefault="003E2100" w:rsidP="003E2100">
            <w:pPr>
              <w:pStyle w:val="aff"/>
              <w:ind w:firstLineChars="0" w:firstLine="0"/>
              <w:contextualSpacing/>
              <w:jc w:val="center"/>
              <w:rPr>
                <w:rFonts w:ascii="Times New Roman"/>
                <w:sz w:val="18"/>
              </w:rPr>
            </w:pPr>
            <w:r>
              <w:rPr>
                <w:rFonts w:ascii="Times New Roman" w:hint="eastAsia"/>
                <w:sz w:val="18"/>
              </w:rPr>
              <w:t>5</w:t>
            </w:r>
          </w:p>
        </w:tc>
        <w:tc>
          <w:tcPr>
            <w:tcW w:w="1585" w:type="pct"/>
            <w:vAlign w:val="center"/>
          </w:tcPr>
          <w:p w14:paraId="27D5B424" w14:textId="6B17B89A" w:rsidR="003E2100" w:rsidRDefault="003E2100" w:rsidP="003E2100">
            <w:pPr>
              <w:pStyle w:val="aff"/>
              <w:ind w:firstLineChars="0" w:firstLine="0"/>
              <w:contextualSpacing/>
              <w:jc w:val="center"/>
              <w:rPr>
                <w:rFonts w:ascii="Times New Roman"/>
                <w:sz w:val="18"/>
              </w:rPr>
            </w:pPr>
            <w:r>
              <w:rPr>
                <w:rFonts w:ascii="Times New Roman" w:hint="eastAsia"/>
                <w:sz w:val="18"/>
              </w:rPr>
              <w:t>刘庆、王</w:t>
            </w:r>
            <w:r w:rsidRPr="003E2100">
              <w:rPr>
                <w:rFonts w:ascii="Times New Roman" w:hint="eastAsia"/>
                <w:sz w:val="18"/>
              </w:rPr>
              <w:t>法超、张毅、何良荣、苏承云、彭丽军</w:t>
            </w:r>
          </w:p>
        </w:tc>
        <w:tc>
          <w:tcPr>
            <w:tcW w:w="3076" w:type="pct"/>
            <w:vAlign w:val="center"/>
          </w:tcPr>
          <w:p w14:paraId="4C6C85FF" w14:textId="0C523DA4" w:rsidR="003E2100" w:rsidRDefault="003E2100" w:rsidP="003E2100">
            <w:pPr>
              <w:pStyle w:val="aff"/>
              <w:ind w:firstLineChars="0" w:firstLine="0"/>
              <w:contextualSpacing/>
              <w:jc w:val="center"/>
              <w:rPr>
                <w:rFonts w:ascii="Times New Roman"/>
                <w:sz w:val="18"/>
              </w:rPr>
            </w:pPr>
            <w:r w:rsidRPr="00235C60">
              <w:rPr>
                <w:rFonts w:ascii="Times New Roman" w:hint="eastAsia"/>
                <w:sz w:val="18"/>
              </w:rPr>
              <w:t>协助标准方案制定、资料搜集、数据收集等。</w:t>
            </w:r>
          </w:p>
        </w:tc>
      </w:tr>
      <w:tr w:rsidR="003E2100" w14:paraId="1480672B" w14:textId="77777777">
        <w:trPr>
          <w:trHeight w:val="484"/>
        </w:trPr>
        <w:tc>
          <w:tcPr>
            <w:tcW w:w="339" w:type="pct"/>
            <w:vAlign w:val="center"/>
          </w:tcPr>
          <w:p w14:paraId="21F819F0" w14:textId="7DA31F1A" w:rsidR="003E2100" w:rsidRDefault="003E2100" w:rsidP="003E2100">
            <w:pPr>
              <w:pStyle w:val="aff"/>
              <w:ind w:firstLineChars="0" w:firstLine="0"/>
              <w:contextualSpacing/>
              <w:jc w:val="center"/>
              <w:rPr>
                <w:rFonts w:ascii="Times New Roman"/>
                <w:sz w:val="18"/>
              </w:rPr>
            </w:pPr>
            <w:r>
              <w:rPr>
                <w:rFonts w:ascii="Times New Roman" w:hint="eastAsia"/>
                <w:sz w:val="18"/>
              </w:rPr>
              <w:t>6</w:t>
            </w:r>
          </w:p>
        </w:tc>
        <w:tc>
          <w:tcPr>
            <w:tcW w:w="1585" w:type="pct"/>
            <w:vAlign w:val="center"/>
          </w:tcPr>
          <w:p w14:paraId="4607E20E" w14:textId="2596BFD3" w:rsidR="003E2100" w:rsidRPr="003E2100" w:rsidRDefault="003E2100" w:rsidP="003E2100">
            <w:pPr>
              <w:widowControl/>
              <w:jc w:val="center"/>
              <w:rPr>
                <w:rFonts w:ascii="Times New Roman" w:eastAsia="宋体" w:hAnsi="Times New Roman" w:cs="Times New Roman"/>
                <w:kern w:val="0"/>
                <w:sz w:val="18"/>
              </w:rPr>
            </w:pPr>
            <w:r w:rsidRPr="003E2100">
              <w:rPr>
                <w:rFonts w:ascii="Times New Roman" w:eastAsia="宋体" w:hAnsi="Times New Roman" w:cs="Times New Roman" w:hint="eastAsia"/>
                <w:kern w:val="0"/>
                <w:sz w:val="18"/>
              </w:rPr>
              <w:t>郜晓彬、郭诚君、冯茜群</w:t>
            </w:r>
          </w:p>
        </w:tc>
        <w:tc>
          <w:tcPr>
            <w:tcW w:w="3076" w:type="pct"/>
            <w:vAlign w:val="center"/>
          </w:tcPr>
          <w:p w14:paraId="37781312" w14:textId="4A13693C" w:rsidR="003E2100" w:rsidRDefault="003E2100" w:rsidP="003E2100">
            <w:pPr>
              <w:pStyle w:val="aff"/>
              <w:ind w:firstLineChars="0" w:firstLine="0"/>
              <w:contextualSpacing/>
              <w:jc w:val="center"/>
              <w:rPr>
                <w:rFonts w:ascii="Times New Roman"/>
                <w:sz w:val="18"/>
              </w:rPr>
            </w:pPr>
            <w:r w:rsidRPr="00235C60">
              <w:rPr>
                <w:rFonts w:ascii="Times New Roman" w:hint="eastAsia"/>
                <w:sz w:val="18"/>
              </w:rPr>
              <w:t>负责数据的收集、确认</w:t>
            </w:r>
            <w:r w:rsidRPr="008340BE">
              <w:rPr>
                <w:rFonts w:ascii="Times New Roman" w:hint="eastAsia"/>
                <w:sz w:val="18"/>
              </w:rPr>
              <w:t>，方案实施</w:t>
            </w:r>
          </w:p>
        </w:tc>
      </w:tr>
    </w:tbl>
    <w:bookmarkEnd w:id="3"/>
    <w:p w14:paraId="6656F860" w14:textId="77777777" w:rsidR="004426E6" w:rsidRDefault="00000000">
      <w:pPr>
        <w:pStyle w:val="afd"/>
        <w:spacing w:beforeLines="0" w:afterLines="0" w:line="440" w:lineRule="exact"/>
        <w:outlineLvl w:val="9"/>
        <w:rPr>
          <w:rFonts w:hAnsi="黑体" w:cs="黑体" w:hint="eastAsia"/>
          <w:szCs w:val="21"/>
        </w:rPr>
      </w:pPr>
      <w:r>
        <w:rPr>
          <w:rFonts w:hAnsi="黑体" w:cs="黑体" w:hint="eastAsia"/>
          <w:szCs w:val="21"/>
        </w:rPr>
        <w:t>1.4 主要工作过程</w:t>
      </w:r>
    </w:p>
    <w:p w14:paraId="71E1FD77" w14:textId="77777777" w:rsidR="004426E6" w:rsidRDefault="00000000">
      <w:pPr>
        <w:rPr>
          <w:rFonts w:ascii="黑体" w:eastAsia="黑体" w:hAnsi="黑体" w:cs="黑体" w:hint="eastAsia"/>
          <w:kern w:val="0"/>
          <w:szCs w:val="21"/>
        </w:rPr>
      </w:pPr>
      <w:r>
        <w:rPr>
          <w:rFonts w:ascii="黑体" w:eastAsia="黑体" w:hAnsi="黑体" w:cs="黑体" w:hint="eastAsia"/>
          <w:kern w:val="0"/>
          <w:szCs w:val="21"/>
        </w:rPr>
        <w:t>1.4.1预研阶段</w:t>
      </w:r>
    </w:p>
    <w:p w14:paraId="68F4BD8E" w14:textId="77777777" w:rsidR="004426E6" w:rsidRDefault="00000000">
      <w:pPr>
        <w:ind w:firstLineChars="200" w:firstLine="420"/>
        <w:rPr>
          <w:rFonts w:ascii="Times New Roman" w:hAnsi="Times New Roman" w:cs="Times New Roman"/>
          <w:szCs w:val="21"/>
        </w:rPr>
      </w:pPr>
      <w:r>
        <w:rPr>
          <w:rFonts w:ascii="Times New Roman" w:hAnsi="Times New Roman" w:cs="Times New Roman"/>
          <w:szCs w:val="21"/>
        </w:rPr>
        <w:t>易切削铜合金已成为</w:t>
      </w:r>
      <w:r>
        <w:rPr>
          <w:rFonts w:ascii="Times New Roman" w:hAnsi="Times New Roman" w:cs="Times New Roman" w:hint="eastAsia"/>
          <w:szCs w:val="21"/>
        </w:rPr>
        <w:t>铜合金行业研究的重点方向之一</w:t>
      </w:r>
      <w:r>
        <w:rPr>
          <w:rFonts w:ascii="Times New Roman" w:hAnsi="Times New Roman" w:cs="Times New Roman"/>
          <w:szCs w:val="21"/>
        </w:rPr>
        <w:t>。</w:t>
      </w:r>
      <w:r>
        <w:rPr>
          <w:rFonts w:ascii="Times New Roman" w:hAnsi="Times New Roman" w:cs="Times New Roman" w:hint="eastAsia"/>
          <w:szCs w:val="21"/>
        </w:rPr>
        <w:t>宁波博威合金材料股份有限公司</w:t>
      </w:r>
      <w:r>
        <w:rPr>
          <w:rFonts w:ascii="Times New Roman" w:hAnsi="Times New Roman" w:cs="Times New Roman"/>
          <w:szCs w:val="21"/>
        </w:rPr>
        <w:t>公司聚焦全球标杆企业，深度对标国际前沿技术与国内外最新标准，持续迭代易切削铜合金解决方案，精准赋能电力、电子电讯、汽车交通、精密仪表及高端五金装饰等领域，助推行业高质量发展</w:t>
      </w:r>
      <w:r>
        <w:rPr>
          <w:rFonts w:ascii="Times New Roman" w:hAnsi="Times New Roman" w:cs="Times New Roman" w:hint="eastAsia"/>
          <w:szCs w:val="21"/>
        </w:rPr>
        <w:t>。</w:t>
      </w:r>
    </w:p>
    <w:p w14:paraId="6F6A1AFA" w14:textId="77777777" w:rsidR="004426E6" w:rsidRDefault="00000000">
      <w:pPr>
        <w:rPr>
          <w:rFonts w:ascii="黑体" w:eastAsia="黑体" w:hAnsi="黑体" w:cs="黑体" w:hint="eastAsia"/>
          <w:kern w:val="0"/>
          <w:szCs w:val="21"/>
        </w:rPr>
      </w:pPr>
      <w:r>
        <w:rPr>
          <w:rFonts w:ascii="黑体" w:eastAsia="黑体" w:hAnsi="黑体" w:cs="黑体" w:hint="eastAsia"/>
          <w:kern w:val="0"/>
          <w:szCs w:val="21"/>
        </w:rPr>
        <w:t>1.4.2标准立项</w:t>
      </w:r>
    </w:p>
    <w:p w14:paraId="7AC96B96" w14:textId="1271C439" w:rsidR="004426E6" w:rsidRDefault="00000000">
      <w:pPr>
        <w:ind w:firstLine="420"/>
        <w:contextualSpacing/>
        <w:rPr>
          <w:rFonts w:ascii="Times New Roman" w:hAnsi="Times New Roman" w:cs="Times New Roman"/>
          <w:color w:val="000000"/>
        </w:rPr>
      </w:pPr>
      <w:r>
        <w:rPr>
          <w:rFonts w:ascii="Times New Roman" w:hAnsi="Times New Roman" w:cs="Times New Roman"/>
          <w:color w:val="000000"/>
        </w:rPr>
        <w:t>标准项目于</w:t>
      </w:r>
      <w:r>
        <w:rPr>
          <w:rFonts w:ascii="Times New Roman" w:hAnsi="Times New Roman" w:cs="Times New Roman"/>
          <w:color w:val="000000"/>
        </w:rPr>
        <w:t>202</w:t>
      </w:r>
      <w:r>
        <w:rPr>
          <w:rFonts w:ascii="Times New Roman" w:hAnsi="Times New Roman" w:cs="Times New Roman" w:hint="eastAsia"/>
          <w:color w:val="000000"/>
        </w:rPr>
        <w:t>3</w:t>
      </w:r>
      <w:r>
        <w:rPr>
          <w:rFonts w:ascii="Times New Roman" w:hAnsi="Times New Roman" w:cs="Times New Roman"/>
          <w:color w:val="000000"/>
        </w:rPr>
        <w:t>年</w:t>
      </w:r>
      <w:r w:rsidR="008B0A72">
        <w:rPr>
          <w:rFonts w:ascii="Times New Roman" w:hAnsi="Times New Roman" w:cs="Times New Roman" w:hint="eastAsia"/>
          <w:color w:val="000000"/>
        </w:rPr>
        <w:t>11</w:t>
      </w:r>
      <w:r>
        <w:rPr>
          <w:rFonts w:ascii="Times New Roman" w:hAnsi="Times New Roman" w:cs="Times New Roman"/>
          <w:color w:val="000000"/>
        </w:rPr>
        <w:t>月</w:t>
      </w:r>
      <w:r>
        <w:rPr>
          <w:rFonts w:ascii="Times New Roman" w:hAnsi="Times New Roman" w:cs="Times New Roman" w:hint="eastAsia"/>
          <w:color w:val="000000"/>
        </w:rPr>
        <w:t>武汉</w:t>
      </w:r>
      <w:r>
        <w:rPr>
          <w:rFonts w:ascii="Times New Roman" w:hAnsi="Times New Roman" w:cs="Times New Roman"/>
          <w:color w:val="000000"/>
        </w:rPr>
        <w:t>会议上提交全体委员会议讨论、申请立项，并</w:t>
      </w:r>
      <w:r>
        <w:rPr>
          <w:rFonts w:ascii="Times New Roman" w:hAnsi="Times New Roman" w:cs="Times New Roman" w:hint="eastAsia"/>
          <w:color w:val="000000"/>
        </w:rPr>
        <w:t>于</w:t>
      </w:r>
      <w:r>
        <w:rPr>
          <w:rFonts w:ascii="Times New Roman" w:hAnsi="Times New Roman" w:cs="Times New Roman"/>
          <w:color w:val="000000"/>
        </w:rPr>
        <w:t>20</w:t>
      </w:r>
      <w:r>
        <w:rPr>
          <w:rFonts w:ascii="Times New Roman" w:hAnsi="Times New Roman" w:cs="Times New Roman" w:hint="eastAsia"/>
          <w:color w:val="000000"/>
        </w:rPr>
        <w:t>25</w:t>
      </w:r>
      <w:r>
        <w:rPr>
          <w:rFonts w:ascii="Times New Roman" w:hAnsi="Times New Roman" w:cs="Times New Roman"/>
          <w:color w:val="000000"/>
        </w:rPr>
        <w:t>年</w:t>
      </w:r>
      <w:r>
        <w:rPr>
          <w:rFonts w:ascii="Times New Roman" w:hAnsi="Times New Roman" w:cs="Times New Roman" w:hint="eastAsia"/>
          <w:color w:val="000000"/>
        </w:rPr>
        <w:t>8</w:t>
      </w:r>
      <w:r>
        <w:rPr>
          <w:rFonts w:ascii="Times New Roman" w:hAnsi="Times New Roman" w:cs="Times New Roman"/>
          <w:color w:val="000000"/>
        </w:rPr>
        <w:t>月下达标准计划。</w:t>
      </w:r>
    </w:p>
    <w:p w14:paraId="1AA890DC" w14:textId="77777777" w:rsidR="004426E6" w:rsidRDefault="00000000" w:rsidP="00F02CAD">
      <w:pPr>
        <w:rPr>
          <w:rFonts w:ascii="黑体" w:eastAsia="黑体" w:hAnsi="黑体" w:cs="黑体" w:hint="eastAsia"/>
          <w:kern w:val="0"/>
          <w:szCs w:val="21"/>
        </w:rPr>
      </w:pPr>
      <w:r>
        <w:rPr>
          <w:rFonts w:ascii="黑体" w:eastAsia="黑体" w:hAnsi="黑体" w:cs="黑体" w:hint="eastAsia"/>
          <w:kern w:val="0"/>
          <w:szCs w:val="21"/>
        </w:rPr>
        <w:t>1.4.3起草阶段</w:t>
      </w:r>
    </w:p>
    <w:p w14:paraId="285FBF8E" w14:textId="77777777" w:rsidR="004426E6" w:rsidRDefault="00000000">
      <w:pPr>
        <w:ind w:firstLine="420"/>
        <w:rPr>
          <w:rFonts w:ascii="Times New Roman" w:hAnsi="Times New Roman" w:cs="Times New Roman"/>
          <w:szCs w:val="21"/>
        </w:rPr>
      </w:pPr>
      <w:r>
        <w:rPr>
          <w:rFonts w:ascii="Times New Roman" w:hAnsi="Times New Roman" w:cs="Times New Roman"/>
          <w:szCs w:val="21"/>
        </w:rPr>
        <w:t>接到标准起草任务后，宁波博威合金</w:t>
      </w:r>
      <w:r>
        <w:rPr>
          <w:rFonts w:ascii="Times New Roman" w:hAnsi="Times New Roman" w:cs="Times New Roman" w:hint="eastAsia"/>
          <w:szCs w:val="21"/>
        </w:rPr>
        <w:t>材料股份</w:t>
      </w:r>
      <w:r>
        <w:rPr>
          <w:rFonts w:ascii="Times New Roman" w:hAnsi="Times New Roman" w:cs="Times New Roman"/>
          <w:szCs w:val="21"/>
        </w:rPr>
        <w:t>有限公司立即成立了标准编制小组，主要由检测中心、技术部、研发中心等技术人员组成。首先整理收集各企业曾经生产的产品的技术要求及产品使用现状，同时会同市场开发和营销人员对</w:t>
      </w:r>
      <w:r>
        <w:rPr>
          <w:rFonts w:ascii="Times New Roman" w:hAnsi="Times New Roman" w:cs="Times New Roman" w:hint="eastAsia"/>
          <w:szCs w:val="21"/>
        </w:rPr>
        <w:t>易切削铜合金线材</w:t>
      </w:r>
      <w:r>
        <w:rPr>
          <w:rFonts w:ascii="Times New Roman" w:hAnsi="Times New Roman" w:cs="Times New Roman"/>
          <w:szCs w:val="21"/>
        </w:rPr>
        <w:t>市场进一步调查，收集全国一些主要生产、使用的企业的情况，收集了相关的产品标准，经综合研究、分析、整合调查的资料，对</w:t>
      </w:r>
      <w:r>
        <w:rPr>
          <w:rFonts w:ascii="Times New Roman" w:hAnsi="Times New Roman" w:cs="Times New Roman" w:hint="eastAsia"/>
          <w:szCs w:val="21"/>
        </w:rPr>
        <w:t>易切削铜合金线材</w:t>
      </w:r>
      <w:r>
        <w:rPr>
          <w:rFonts w:ascii="Times New Roman" w:hAnsi="Times New Roman" w:cs="Times New Roman"/>
          <w:szCs w:val="21"/>
        </w:rPr>
        <w:t>的产品分类、技术要求、试验方法、检验规则等进行了反复试验、检测、验证和确定。开始了本标准的起草工作，经过编制组多次内部讨论及广泛征求意见，于</w:t>
      </w:r>
      <w:r>
        <w:rPr>
          <w:rFonts w:ascii="Times New Roman" w:hAnsi="Times New Roman" w:cs="Times New Roman"/>
          <w:szCs w:val="21"/>
        </w:rPr>
        <w:t>202</w:t>
      </w:r>
      <w:r>
        <w:rPr>
          <w:rFonts w:ascii="Times New Roman" w:hAnsi="Times New Roman" w:cs="Times New Roman" w:hint="eastAsia"/>
          <w:szCs w:val="21"/>
        </w:rPr>
        <w:t>5</w:t>
      </w:r>
      <w:r>
        <w:rPr>
          <w:rFonts w:ascii="Times New Roman" w:hAnsi="Times New Roman" w:cs="Times New Roman"/>
          <w:szCs w:val="21"/>
        </w:rPr>
        <w:t>年</w:t>
      </w:r>
      <w:r>
        <w:rPr>
          <w:rFonts w:ascii="Times New Roman" w:hAnsi="Times New Roman" w:cs="Times New Roman" w:hint="eastAsia"/>
          <w:szCs w:val="21"/>
        </w:rPr>
        <w:t>9</w:t>
      </w:r>
      <w:r>
        <w:rPr>
          <w:rFonts w:ascii="Times New Roman" w:hAnsi="Times New Roman" w:cs="Times New Roman"/>
          <w:szCs w:val="21"/>
        </w:rPr>
        <w:t>月形成了本标准的《讨论稿》。在</w:t>
      </w:r>
      <w:r>
        <w:rPr>
          <w:rFonts w:ascii="Times New Roman" w:hAnsi="Times New Roman" w:cs="Times New Roman"/>
          <w:szCs w:val="21"/>
        </w:rPr>
        <w:t>202</w:t>
      </w:r>
      <w:r>
        <w:rPr>
          <w:rFonts w:ascii="Times New Roman" w:hAnsi="Times New Roman" w:cs="Times New Roman" w:hint="eastAsia"/>
          <w:szCs w:val="21"/>
        </w:rPr>
        <w:t>5</w:t>
      </w:r>
      <w:r>
        <w:rPr>
          <w:rFonts w:ascii="Times New Roman" w:hAnsi="Times New Roman" w:cs="Times New Roman"/>
          <w:szCs w:val="21"/>
        </w:rPr>
        <w:t>年</w:t>
      </w:r>
      <w:r>
        <w:rPr>
          <w:rFonts w:ascii="Times New Roman" w:hAnsi="Times New Roman" w:cs="Times New Roman" w:hint="eastAsia"/>
          <w:szCs w:val="21"/>
        </w:rPr>
        <w:t>9</w:t>
      </w:r>
      <w:r>
        <w:rPr>
          <w:rFonts w:ascii="Times New Roman" w:hAnsi="Times New Roman" w:cs="Times New Roman"/>
          <w:szCs w:val="21"/>
        </w:rPr>
        <w:t>月</w:t>
      </w:r>
      <w:r>
        <w:rPr>
          <w:rFonts w:ascii="Times New Roman" w:hAnsi="Times New Roman" w:cs="Times New Roman"/>
          <w:szCs w:val="21"/>
        </w:rPr>
        <w:t>2</w:t>
      </w:r>
      <w:r>
        <w:rPr>
          <w:rFonts w:ascii="Times New Roman" w:hAnsi="Times New Roman" w:cs="Times New Roman" w:hint="eastAsia"/>
          <w:szCs w:val="21"/>
        </w:rPr>
        <w:t>4</w:t>
      </w:r>
      <w:r>
        <w:rPr>
          <w:rFonts w:ascii="Times New Roman" w:hAnsi="Times New Roman" w:cs="Times New Roman"/>
          <w:szCs w:val="21"/>
        </w:rPr>
        <w:t>日在</w:t>
      </w:r>
      <w:r>
        <w:rPr>
          <w:rFonts w:ascii="Times New Roman" w:hAnsi="Times New Roman" w:cs="Times New Roman" w:hint="eastAsia"/>
          <w:szCs w:val="21"/>
        </w:rPr>
        <w:t>西安</w:t>
      </w:r>
      <w:r>
        <w:rPr>
          <w:rFonts w:ascii="Times New Roman" w:hAnsi="Times New Roman" w:cs="Times New Roman"/>
          <w:szCs w:val="21"/>
        </w:rPr>
        <w:t>召开的</w:t>
      </w:r>
      <w:r>
        <w:rPr>
          <w:rFonts w:ascii="Times New Roman" w:hAnsi="Times New Roman" w:cs="Times New Roman"/>
          <w:szCs w:val="21"/>
        </w:rPr>
        <w:lastRenderedPageBreak/>
        <w:t>标准</w:t>
      </w:r>
      <w:r>
        <w:rPr>
          <w:rFonts w:ascii="Times New Roman" w:hAnsi="Times New Roman" w:cs="Times New Roman" w:hint="eastAsia"/>
          <w:szCs w:val="21"/>
        </w:rPr>
        <w:t>讨论</w:t>
      </w:r>
      <w:r>
        <w:rPr>
          <w:rFonts w:ascii="Times New Roman" w:hAnsi="Times New Roman" w:cs="Times New Roman"/>
          <w:szCs w:val="21"/>
        </w:rPr>
        <w:t>会议，对本标准的《讨论稿》进行初步评审，经会议专家讨论修改和会后征求意见。此后，经过标准编制小组内分工协作、试验、验证，以及多次内部讨论和广泛征求意见，于</w:t>
      </w:r>
      <w:r>
        <w:rPr>
          <w:rFonts w:ascii="Times New Roman" w:hAnsi="Times New Roman" w:cs="Times New Roman"/>
          <w:szCs w:val="21"/>
        </w:rPr>
        <w:t>202</w:t>
      </w:r>
      <w:r>
        <w:rPr>
          <w:rFonts w:ascii="Times New Roman" w:hAnsi="Times New Roman" w:cs="Times New Roman" w:hint="eastAsia"/>
          <w:szCs w:val="21"/>
        </w:rPr>
        <w:t>6</w:t>
      </w:r>
      <w:r>
        <w:rPr>
          <w:rFonts w:ascii="Times New Roman" w:hAnsi="Times New Roman" w:cs="Times New Roman"/>
          <w:szCs w:val="21"/>
        </w:rPr>
        <w:t>年</w:t>
      </w:r>
      <w:r>
        <w:rPr>
          <w:rFonts w:ascii="Times New Roman" w:hAnsi="Times New Roman" w:cs="Times New Roman" w:hint="eastAsia"/>
          <w:szCs w:val="21"/>
        </w:rPr>
        <w:t>3</w:t>
      </w:r>
      <w:r>
        <w:rPr>
          <w:rFonts w:ascii="Times New Roman" w:hAnsi="Times New Roman" w:cs="Times New Roman"/>
          <w:szCs w:val="21"/>
        </w:rPr>
        <w:t>月形成了标准预审稿。</w:t>
      </w:r>
    </w:p>
    <w:p w14:paraId="18AFCB71" w14:textId="77777777" w:rsidR="00E51E54" w:rsidRDefault="00E51E54" w:rsidP="00E51E54">
      <w:pPr>
        <w:pStyle w:val="a0"/>
        <w:rPr>
          <w:rFonts w:ascii="黑体" w:eastAsia="黑体" w:hAnsi="黑体" w:cs="黑体" w:hint="eastAsia"/>
          <w:kern w:val="0"/>
          <w:szCs w:val="21"/>
        </w:rPr>
      </w:pPr>
      <w:r>
        <w:rPr>
          <w:rFonts w:ascii="黑体" w:eastAsia="黑体" w:hAnsi="黑体" w:cs="黑体" w:hint="eastAsia"/>
          <w:kern w:val="0"/>
          <w:szCs w:val="21"/>
        </w:rPr>
        <w:t>1.4.4征求意见阶段</w:t>
      </w:r>
    </w:p>
    <w:p w14:paraId="2B1C7D1A" w14:textId="640ACC84" w:rsidR="00E51E54" w:rsidRDefault="00E51E54" w:rsidP="00E51E54">
      <w:pPr>
        <w:snapToGrid w:val="0"/>
        <w:ind w:firstLine="420"/>
        <w:rPr>
          <w:rFonts w:ascii="宋体" w:eastAsia="宋体" w:hAnsi="Times New Roman" w:cs="宋体"/>
          <w:kern w:val="0"/>
          <w:szCs w:val="21"/>
        </w:rPr>
      </w:pPr>
      <w:r w:rsidRPr="00C15403">
        <w:rPr>
          <w:rFonts w:ascii="宋体" w:eastAsia="宋体" w:hAnsi="Times New Roman" w:cs="宋体" w:hint="eastAsia"/>
          <w:kern w:val="0"/>
          <w:szCs w:val="21"/>
        </w:rPr>
        <w:t>通过网络和微信发送至标委会会员单位、非会员单位以及相关院校。共发送征求意见稿</w:t>
      </w:r>
      <w:r w:rsidRPr="00C15403">
        <w:rPr>
          <w:rFonts w:ascii="宋体" w:eastAsia="宋体" w:hAnsi="Times New Roman" w:cs="宋体"/>
          <w:kern w:val="0"/>
          <w:szCs w:val="21"/>
        </w:rPr>
        <w:t>1</w:t>
      </w:r>
      <w:r w:rsidR="00FF19F5">
        <w:rPr>
          <w:rFonts w:ascii="宋体" w:eastAsia="宋体" w:hAnsi="Times New Roman" w:cs="宋体" w:hint="eastAsia"/>
          <w:kern w:val="0"/>
          <w:szCs w:val="21"/>
        </w:rPr>
        <w:t>7</w:t>
      </w:r>
      <w:r w:rsidRPr="00C15403">
        <w:rPr>
          <w:rFonts w:ascii="宋体" w:eastAsia="宋体" w:hAnsi="Times New Roman" w:cs="宋体" w:hint="eastAsia"/>
          <w:kern w:val="0"/>
          <w:szCs w:val="21"/>
        </w:rPr>
        <w:t>家，其中科研、其他单位占</w:t>
      </w:r>
      <w:r w:rsidR="00FF19F5">
        <w:rPr>
          <w:rFonts w:ascii="宋体" w:eastAsia="宋体" w:hAnsi="Times New Roman" w:cs="宋体" w:hint="eastAsia"/>
          <w:kern w:val="0"/>
          <w:szCs w:val="21"/>
        </w:rPr>
        <w:t>29.4</w:t>
      </w:r>
      <w:r w:rsidRPr="00C15403">
        <w:rPr>
          <w:rFonts w:ascii="宋体" w:eastAsia="宋体" w:hAnsi="Times New Roman" w:cs="宋体" w:hint="eastAsia"/>
          <w:kern w:val="0"/>
          <w:szCs w:val="21"/>
        </w:rPr>
        <w:t>%，回函</w:t>
      </w:r>
      <w:r w:rsidRPr="00C15403">
        <w:rPr>
          <w:rFonts w:ascii="宋体" w:eastAsia="宋体" w:hAnsi="Times New Roman" w:cs="宋体"/>
          <w:kern w:val="0"/>
          <w:szCs w:val="21"/>
        </w:rPr>
        <w:t>1</w:t>
      </w:r>
      <w:r w:rsidR="00FF19F5">
        <w:rPr>
          <w:rFonts w:ascii="宋体" w:eastAsia="宋体" w:hAnsi="Times New Roman" w:cs="宋体" w:hint="eastAsia"/>
          <w:kern w:val="0"/>
          <w:szCs w:val="21"/>
        </w:rPr>
        <w:t>7</w:t>
      </w:r>
      <w:r w:rsidRPr="00C15403">
        <w:rPr>
          <w:rFonts w:ascii="宋体" w:eastAsia="宋体" w:hAnsi="Times New Roman" w:cs="宋体" w:hint="eastAsia"/>
          <w:kern w:val="0"/>
          <w:szCs w:val="21"/>
        </w:rPr>
        <w:t>家，其中有意见的</w:t>
      </w:r>
      <w:r w:rsidR="00FF19F5">
        <w:rPr>
          <w:rFonts w:ascii="宋体" w:eastAsia="宋体" w:hAnsi="Times New Roman" w:cs="宋体" w:hint="eastAsia"/>
          <w:kern w:val="0"/>
          <w:szCs w:val="21"/>
        </w:rPr>
        <w:t>10</w:t>
      </w:r>
      <w:r w:rsidRPr="00C15403">
        <w:rPr>
          <w:rFonts w:ascii="宋体" w:eastAsia="宋体" w:hAnsi="Times New Roman" w:cs="宋体" w:hint="eastAsia"/>
          <w:kern w:val="0"/>
          <w:szCs w:val="21"/>
        </w:rPr>
        <w:t>家，没有意见的</w:t>
      </w:r>
      <w:r w:rsidR="00FF19F5">
        <w:rPr>
          <w:rFonts w:ascii="宋体" w:eastAsia="宋体" w:hAnsi="Times New Roman" w:cs="宋体" w:hint="eastAsia"/>
          <w:kern w:val="0"/>
          <w:szCs w:val="21"/>
        </w:rPr>
        <w:t>7</w:t>
      </w:r>
      <w:r w:rsidRPr="00C15403">
        <w:rPr>
          <w:rFonts w:ascii="宋体" w:eastAsia="宋体" w:hAnsi="Times New Roman" w:cs="宋体" w:hint="eastAsia"/>
          <w:kern w:val="0"/>
          <w:szCs w:val="21"/>
        </w:rPr>
        <w:t>家；无回函</w:t>
      </w:r>
      <w:r w:rsidRPr="00C15403">
        <w:rPr>
          <w:rFonts w:ascii="宋体" w:eastAsia="宋体" w:hAnsi="Times New Roman" w:cs="宋体"/>
          <w:kern w:val="0"/>
          <w:szCs w:val="21"/>
        </w:rPr>
        <w:t>0</w:t>
      </w:r>
      <w:r w:rsidRPr="00C15403">
        <w:rPr>
          <w:rFonts w:ascii="宋体" w:eastAsia="宋体" w:hAnsi="Times New Roman" w:cs="宋体" w:hint="eastAsia"/>
          <w:kern w:val="0"/>
          <w:szCs w:val="21"/>
        </w:rPr>
        <w:t>家。编制组根据反馈的意见（详见《征求意见汇总处理表》），对标准进行修改和完善，于</w:t>
      </w:r>
      <w:r w:rsidRPr="00C15403">
        <w:rPr>
          <w:rFonts w:ascii="宋体" w:eastAsia="宋体" w:hAnsi="Times New Roman" w:cs="宋体"/>
          <w:kern w:val="0"/>
          <w:szCs w:val="21"/>
        </w:rPr>
        <w:t>202</w:t>
      </w:r>
      <w:r w:rsidRPr="00C15403">
        <w:rPr>
          <w:rFonts w:ascii="宋体" w:eastAsia="宋体" w:hAnsi="Times New Roman" w:cs="宋体" w:hint="eastAsia"/>
          <w:kern w:val="0"/>
          <w:szCs w:val="21"/>
        </w:rPr>
        <w:t>6年</w:t>
      </w:r>
      <w:r w:rsidR="00FF19F5">
        <w:rPr>
          <w:rFonts w:ascii="宋体" w:eastAsia="宋体" w:hAnsi="Times New Roman" w:cs="宋体" w:hint="eastAsia"/>
          <w:kern w:val="0"/>
          <w:szCs w:val="21"/>
        </w:rPr>
        <w:t>6</w:t>
      </w:r>
      <w:r w:rsidRPr="00C15403">
        <w:rPr>
          <w:rFonts w:ascii="宋体" w:eastAsia="宋体" w:hAnsi="Times New Roman" w:cs="宋体" w:hint="eastAsia"/>
          <w:kern w:val="0"/>
          <w:szCs w:val="21"/>
        </w:rPr>
        <w:t>月</w:t>
      </w:r>
      <w:r w:rsidR="00FF19F5">
        <w:rPr>
          <w:rFonts w:ascii="宋体" w:eastAsia="宋体" w:hAnsi="Times New Roman" w:cs="宋体" w:hint="eastAsia"/>
          <w:kern w:val="0"/>
          <w:szCs w:val="21"/>
        </w:rPr>
        <w:t>15</w:t>
      </w:r>
      <w:r w:rsidRPr="00C15403">
        <w:rPr>
          <w:rFonts w:ascii="宋体" w:eastAsia="宋体" w:hAnsi="Times New Roman" w:cs="宋体" w:hint="eastAsia"/>
          <w:kern w:val="0"/>
          <w:szCs w:val="21"/>
        </w:rPr>
        <w:t>日形成了标准《送审稿》及《编制说明》。</w:t>
      </w:r>
    </w:p>
    <w:p w14:paraId="5A898CDB" w14:textId="28045EC2" w:rsidR="00E51E54" w:rsidRPr="008E5D72" w:rsidRDefault="00E51E54" w:rsidP="008E5D72">
      <w:pPr>
        <w:pStyle w:val="a0"/>
        <w:ind w:firstLineChars="200" w:firstLine="420"/>
        <w:rPr>
          <w:rFonts w:ascii="宋体" w:eastAsia="宋体" w:hAnsi="Times New Roman" w:cs="宋体"/>
          <w:kern w:val="0"/>
          <w:szCs w:val="21"/>
        </w:rPr>
      </w:pPr>
      <w:r>
        <w:rPr>
          <w:rFonts w:ascii="宋体" w:eastAsia="宋体" w:hAnsi="Times New Roman" w:cs="宋体" w:hint="eastAsia"/>
          <w:kern w:val="0"/>
          <w:szCs w:val="21"/>
        </w:rPr>
        <w:t>在开展公平竞争审查过程中，经对照，没有发现限制或者变相限制市场准入和退出，没有限制商品要素的自由流动、不影响生产经营成本以及生产经营行为。</w:t>
      </w:r>
    </w:p>
    <w:p w14:paraId="76E2D1DB" w14:textId="77777777" w:rsidR="004426E6" w:rsidRDefault="00000000">
      <w:pPr>
        <w:pStyle w:val="af4"/>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二、编制原则、主要内容及其确定依据</w:t>
      </w:r>
    </w:p>
    <w:p w14:paraId="677447D3" w14:textId="77777777" w:rsidR="004426E6" w:rsidRDefault="00000000">
      <w:pPr>
        <w:pStyle w:val="af4"/>
        <w:spacing w:before="0" w:beforeAutospacing="0" w:after="0" w:afterAutospacing="0" w:line="440" w:lineRule="exact"/>
        <w:jc w:val="both"/>
        <w:rPr>
          <w:rFonts w:ascii="黑体" w:eastAsia="黑体" w:cs="Arial" w:hint="eastAsia"/>
          <w:sz w:val="21"/>
          <w:szCs w:val="21"/>
        </w:rPr>
      </w:pPr>
      <w:bookmarkStart w:id="4" w:name="OLE_LINK7"/>
      <w:r>
        <w:rPr>
          <w:rFonts w:ascii="黑体" w:eastAsia="黑体" w:cs="Arial" w:hint="eastAsia"/>
          <w:sz w:val="21"/>
          <w:szCs w:val="21"/>
        </w:rPr>
        <w:t>1、编制原则</w:t>
      </w:r>
    </w:p>
    <w:bookmarkEnd w:id="4"/>
    <w:p w14:paraId="1FDDF781" w14:textId="77777777" w:rsidR="004426E6" w:rsidRDefault="00000000">
      <w:pPr>
        <w:ind w:firstLine="420"/>
        <w:contextualSpacing/>
        <w:rPr>
          <w:rFonts w:ascii="Times New Roman" w:hAnsi="Times New Roman" w:cs="Times New Roman"/>
          <w:kern w:val="0"/>
          <w:szCs w:val="20"/>
        </w:rPr>
      </w:pPr>
      <w:r>
        <w:rPr>
          <w:rFonts w:ascii="Times New Roman" w:hAnsi="Times New Roman" w:cs="Times New Roman"/>
          <w:kern w:val="0"/>
          <w:szCs w:val="20"/>
        </w:rPr>
        <w:t>本标准起草单位自接受起草任务后，</w:t>
      </w:r>
      <w:r>
        <w:rPr>
          <w:kern w:val="0"/>
          <w:szCs w:val="20"/>
        </w:rPr>
        <w:t>成立了本标准编制工作组负责收集生产统计、检验数据、市场需求及客户要求等信息。</w:t>
      </w:r>
      <w:r>
        <w:rPr>
          <w:rFonts w:ascii="Times New Roman" w:hAnsi="Times New Roman" w:cs="Times New Roman"/>
          <w:kern w:val="0"/>
          <w:szCs w:val="20"/>
        </w:rPr>
        <w:t>确定了《</w:t>
      </w:r>
      <w:r>
        <w:rPr>
          <w:rFonts w:ascii="Times New Roman" w:hAnsi="Times New Roman" w:cs="Times New Roman" w:hint="eastAsia"/>
          <w:szCs w:val="21"/>
        </w:rPr>
        <w:t>易切削铜合金线材</w:t>
      </w:r>
      <w:r>
        <w:rPr>
          <w:rFonts w:ascii="Times New Roman" w:hAnsi="Times New Roman" w:cs="Times New Roman"/>
          <w:kern w:val="0"/>
          <w:szCs w:val="20"/>
        </w:rPr>
        <w:t>》标准起草所遵循的基本原则和编制依据：</w:t>
      </w:r>
    </w:p>
    <w:p w14:paraId="216CCD15" w14:textId="77777777" w:rsidR="004426E6" w:rsidRDefault="00000000">
      <w:pPr>
        <w:ind w:firstLine="420"/>
        <w:contextualSpacing/>
        <w:rPr>
          <w:rFonts w:ascii="Times New Roman" w:hAnsi="Times New Roman" w:cs="Times New Roman"/>
          <w:kern w:val="0"/>
          <w:szCs w:val="20"/>
        </w:rPr>
      </w:pPr>
      <w:r>
        <w:rPr>
          <w:rFonts w:ascii="Times New Roman" w:hAnsi="Times New Roman" w:cs="Times New Roman"/>
          <w:kern w:val="0"/>
          <w:szCs w:val="20"/>
        </w:rPr>
        <w:t>1</w:t>
      </w:r>
      <w:r>
        <w:rPr>
          <w:rFonts w:ascii="Times New Roman" w:hAnsi="Times New Roman" w:cs="Times New Roman"/>
          <w:kern w:val="0"/>
          <w:szCs w:val="20"/>
        </w:rPr>
        <w:t>）查阅</w:t>
      </w:r>
      <w:r>
        <w:rPr>
          <w:rFonts w:ascii="Times New Roman" w:hAnsi="Times New Roman" w:cs="Times New Roman" w:hint="eastAsia"/>
          <w:kern w:val="0"/>
          <w:szCs w:val="20"/>
        </w:rPr>
        <w:t>国内外</w:t>
      </w:r>
      <w:r>
        <w:rPr>
          <w:rFonts w:ascii="Times New Roman" w:hAnsi="Times New Roman" w:cs="Times New Roman"/>
          <w:kern w:val="0"/>
          <w:szCs w:val="20"/>
        </w:rPr>
        <w:t>相关标准和国内外客户的相关技术要求；</w:t>
      </w:r>
    </w:p>
    <w:p w14:paraId="66046177" w14:textId="77777777" w:rsidR="004426E6" w:rsidRDefault="00000000">
      <w:pPr>
        <w:ind w:firstLine="420"/>
        <w:contextualSpacing/>
        <w:rPr>
          <w:rFonts w:ascii="Times New Roman" w:hAnsi="Times New Roman" w:cs="Times New Roman"/>
          <w:kern w:val="0"/>
          <w:szCs w:val="20"/>
        </w:rPr>
      </w:pPr>
      <w:r>
        <w:rPr>
          <w:rFonts w:ascii="Times New Roman" w:hAnsi="Times New Roman" w:cs="Times New Roman"/>
          <w:kern w:val="0"/>
          <w:szCs w:val="20"/>
        </w:rPr>
        <w:t>2</w:t>
      </w:r>
      <w:r>
        <w:rPr>
          <w:rFonts w:ascii="Times New Roman" w:hAnsi="Times New Roman" w:cs="Times New Roman"/>
          <w:kern w:val="0"/>
          <w:szCs w:val="20"/>
        </w:rPr>
        <w:t>）根据国内</w:t>
      </w:r>
      <w:r>
        <w:rPr>
          <w:rFonts w:ascii="Times New Roman" w:hAnsi="Times New Roman" w:cs="Times New Roman"/>
        </w:rPr>
        <w:t>铜及铜合金</w:t>
      </w:r>
      <w:r>
        <w:rPr>
          <w:rFonts w:ascii="Times New Roman" w:hAnsi="Times New Roman" w:cs="Times New Roman" w:hint="eastAsia"/>
        </w:rPr>
        <w:t>线材</w:t>
      </w:r>
      <w:r>
        <w:rPr>
          <w:rFonts w:ascii="Times New Roman" w:hAnsi="Times New Roman" w:cs="Times New Roman"/>
          <w:kern w:val="0"/>
          <w:szCs w:val="20"/>
        </w:rPr>
        <w:t>生产企业具体情况，力求做到标准的合理性与实用性；</w:t>
      </w:r>
    </w:p>
    <w:p w14:paraId="4DAE54C6" w14:textId="7C612C25" w:rsidR="004426E6" w:rsidRDefault="00000000">
      <w:pPr>
        <w:ind w:firstLine="420"/>
        <w:contextualSpacing/>
        <w:rPr>
          <w:rFonts w:ascii="Times New Roman" w:hAnsi="Times New Roman" w:cs="Times New Roman"/>
          <w:kern w:val="0"/>
          <w:szCs w:val="20"/>
        </w:rPr>
      </w:pPr>
      <w:r>
        <w:rPr>
          <w:rFonts w:ascii="Times New Roman" w:hAnsi="Times New Roman" w:cs="Times New Roman"/>
          <w:kern w:val="0"/>
          <w:szCs w:val="20"/>
        </w:rPr>
        <w:t>3</w:t>
      </w:r>
      <w:r>
        <w:rPr>
          <w:rFonts w:ascii="Times New Roman" w:hAnsi="Times New Roman" w:cs="Times New Roman"/>
          <w:kern w:val="0"/>
          <w:szCs w:val="20"/>
        </w:rPr>
        <w:t>）完全按照</w:t>
      </w:r>
      <w:r w:rsidR="0054439C" w:rsidRPr="006076FD">
        <w:rPr>
          <w:rFonts w:ascii="Times New Roman"/>
          <w:szCs w:val="20"/>
        </w:rPr>
        <w:t>GB/T 1.1-2020</w:t>
      </w:r>
      <w:r w:rsidR="0054439C" w:rsidRPr="006076FD">
        <w:rPr>
          <w:rFonts w:ascii="Times New Roman" w:hint="eastAsia"/>
        </w:rPr>
        <w:t>《</w:t>
      </w:r>
      <w:r w:rsidR="0054439C" w:rsidRPr="006076FD">
        <w:rPr>
          <w:rFonts w:ascii="Times New Roman"/>
        </w:rPr>
        <w:t>标准化工作导则</w:t>
      </w:r>
      <w:r w:rsidR="0054439C" w:rsidRPr="006076FD">
        <w:rPr>
          <w:rFonts w:ascii="Times New Roman"/>
        </w:rPr>
        <w:t xml:space="preserve"> </w:t>
      </w:r>
      <w:r w:rsidR="0054439C" w:rsidRPr="006076FD">
        <w:rPr>
          <w:rFonts w:ascii="Times New Roman"/>
        </w:rPr>
        <w:t>第</w:t>
      </w:r>
      <w:r w:rsidR="0054439C" w:rsidRPr="006076FD">
        <w:rPr>
          <w:rFonts w:ascii="Times New Roman"/>
        </w:rPr>
        <w:t>1</w:t>
      </w:r>
      <w:r w:rsidR="0054439C" w:rsidRPr="006076FD">
        <w:rPr>
          <w:rFonts w:ascii="Times New Roman"/>
        </w:rPr>
        <w:t>部分：标准化文件的结构和起草规则</w:t>
      </w:r>
      <w:r w:rsidR="0054439C" w:rsidRPr="006076FD">
        <w:rPr>
          <w:rFonts w:ascii="Times New Roman" w:hint="eastAsia"/>
        </w:rPr>
        <w:t>》</w:t>
      </w:r>
      <w:r>
        <w:rPr>
          <w:rFonts w:ascii="Times New Roman" w:hAnsi="Times New Roman" w:cs="Times New Roman"/>
          <w:kern w:val="0"/>
          <w:szCs w:val="20"/>
        </w:rPr>
        <w:t>和有色加工产品标准和国家标准编写示例的要求进行格式和结构编写。</w:t>
      </w:r>
    </w:p>
    <w:p w14:paraId="3A9D0B4A" w14:textId="77777777" w:rsidR="004426E6" w:rsidRDefault="00000000">
      <w:pPr>
        <w:pStyle w:val="afd"/>
        <w:snapToGrid w:val="0"/>
        <w:spacing w:beforeLines="0" w:afterLines="0"/>
        <w:ind w:firstLine="420"/>
        <w:contextualSpacing/>
        <w:outlineLvl w:val="9"/>
        <w:rPr>
          <w:rFonts w:ascii="Times New Roman" w:eastAsiaTheme="minorEastAsia"/>
          <w:kern w:val="2"/>
          <w:szCs w:val="22"/>
        </w:rPr>
      </w:pPr>
      <w:r>
        <w:rPr>
          <w:rFonts w:ascii="Times New Roman" w:eastAsiaTheme="minorEastAsia" w:hint="eastAsia"/>
        </w:rPr>
        <w:t>标准研究的预期目标为制定出一个</w:t>
      </w:r>
      <w:r>
        <w:rPr>
          <w:rFonts w:ascii="Times New Roman" w:eastAsiaTheme="minorEastAsia" w:hint="eastAsia"/>
          <w:kern w:val="2"/>
          <w:szCs w:val="22"/>
        </w:rPr>
        <w:t>适用于易切削铜合金线材的标准</w:t>
      </w:r>
      <w:r>
        <w:rPr>
          <w:rFonts w:ascii="Times New Roman" w:eastAsiaTheme="minorEastAsia"/>
          <w:kern w:val="2"/>
          <w:szCs w:val="22"/>
        </w:rPr>
        <w:t>，</w:t>
      </w:r>
      <w:r>
        <w:rPr>
          <w:rFonts w:ascii="Times New Roman" w:eastAsiaTheme="minorEastAsia" w:hint="eastAsia"/>
          <w:kern w:val="2"/>
          <w:szCs w:val="22"/>
        </w:rPr>
        <w:t>以</w:t>
      </w:r>
      <w:r>
        <w:rPr>
          <w:rFonts w:ascii="Times New Roman" w:eastAsiaTheme="minorEastAsia"/>
          <w:kern w:val="2"/>
          <w:szCs w:val="22"/>
        </w:rPr>
        <w:t>规</w:t>
      </w:r>
      <w:r>
        <w:rPr>
          <w:rFonts w:ascii="Times New Roman" w:eastAsiaTheme="minorEastAsia"/>
        </w:rPr>
        <w:t>范</w:t>
      </w:r>
      <w:r>
        <w:rPr>
          <w:rFonts w:ascii="Times New Roman" w:eastAsiaTheme="minorEastAsia" w:hint="eastAsia"/>
        </w:rPr>
        <w:t>电</w:t>
      </w:r>
      <w:r>
        <w:rPr>
          <w:rFonts w:ascii="Times New Roman" w:eastAsiaTheme="minorEastAsia"/>
        </w:rPr>
        <w:t>能电力、电子电讯、汽车交通、精密仪表及高端五金装饰等领域</w:t>
      </w:r>
      <w:r>
        <w:rPr>
          <w:rFonts w:ascii="Times New Roman" w:eastAsiaTheme="minorEastAsia" w:hint="eastAsia"/>
        </w:rPr>
        <w:t>使用的易切削铜合金线材</w:t>
      </w:r>
      <w:r>
        <w:rPr>
          <w:rFonts w:ascii="Times New Roman" w:eastAsiaTheme="minorEastAsia"/>
        </w:rPr>
        <w:t>。</w:t>
      </w:r>
    </w:p>
    <w:p w14:paraId="4CBA8220" w14:textId="77777777" w:rsidR="004426E6" w:rsidRDefault="00000000">
      <w:pPr>
        <w:pStyle w:val="af4"/>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2、标准主要技术内容的确定依据</w:t>
      </w:r>
    </w:p>
    <w:p w14:paraId="2515FE39"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1标准题目与适用范围</w:t>
      </w:r>
    </w:p>
    <w:p w14:paraId="3EC334FD" w14:textId="77777777" w:rsidR="004426E6" w:rsidRDefault="00000000">
      <w:pPr>
        <w:pStyle w:val="aff"/>
        <w:ind w:firstLine="420"/>
        <w:rPr>
          <w:rFonts w:ascii="Times New Roman"/>
          <w:color w:val="000000"/>
        </w:rPr>
      </w:pPr>
      <w:bookmarkStart w:id="5" w:name="_Toc464630670"/>
      <w:bookmarkStart w:id="6" w:name="_Toc464630748"/>
      <w:bookmarkStart w:id="7" w:name="_Toc464630829"/>
      <w:bookmarkStart w:id="8" w:name="_Toc464655488"/>
      <w:bookmarkStart w:id="9" w:name="_Toc464630922"/>
      <w:bookmarkStart w:id="10" w:name="_Toc464197653"/>
      <w:bookmarkStart w:id="11" w:name="_Toc464197316"/>
      <w:r>
        <w:rPr>
          <w:rFonts w:ascii="Times New Roman"/>
          <w:color w:val="000000"/>
        </w:rPr>
        <w:t>本文件规定了易切削铜合金线材（以下简称线材）的分类和标记、技术要求、试验方法、检验规则、标志、包装、运输、贮存、随行文件及订货单内容。</w:t>
      </w:r>
    </w:p>
    <w:p w14:paraId="61D4A4E6" w14:textId="77777777" w:rsidR="004426E6" w:rsidRDefault="00000000">
      <w:pPr>
        <w:pStyle w:val="aff"/>
        <w:ind w:firstLine="420"/>
        <w:rPr>
          <w:rFonts w:ascii="Times New Roman"/>
          <w:color w:val="000000"/>
        </w:rPr>
      </w:pPr>
      <w:r>
        <w:rPr>
          <w:rFonts w:ascii="Times New Roman"/>
          <w:color w:val="000000"/>
        </w:rPr>
        <w:t>本文件适用于各工业部门进一步机械切削加工用圆形、正方形、矩形和正六角形线材。</w:t>
      </w:r>
    </w:p>
    <w:p w14:paraId="6546ECBB"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2规范性引用文件</w:t>
      </w:r>
      <w:bookmarkEnd w:id="5"/>
      <w:bookmarkEnd w:id="6"/>
      <w:bookmarkEnd w:id="7"/>
      <w:bookmarkEnd w:id="8"/>
      <w:bookmarkEnd w:id="9"/>
      <w:bookmarkEnd w:id="10"/>
      <w:bookmarkEnd w:id="11"/>
    </w:p>
    <w:p w14:paraId="6CF4A91C" w14:textId="77777777" w:rsidR="004426E6" w:rsidRDefault="00000000">
      <w:pPr>
        <w:pStyle w:val="aa"/>
        <w:ind w:firstLineChars="200" w:firstLine="420"/>
        <w:contextualSpacing/>
        <w:rPr>
          <w:rFonts w:ascii="Times New Roman" w:hAnsi="Times New Roman" w:cs="Times New Roman"/>
          <w:color w:val="000000"/>
          <w:kern w:val="0"/>
          <w:szCs w:val="20"/>
        </w:rPr>
      </w:pPr>
      <w:r>
        <w:rPr>
          <w:rFonts w:ascii="Times New Roman" w:hAnsi="Times New Roman" w:cs="Times New Roman"/>
          <w:color w:val="000000"/>
          <w:kern w:val="0"/>
          <w:szCs w:val="20"/>
        </w:rPr>
        <w:t>下列文件</w:t>
      </w:r>
      <w:r>
        <w:rPr>
          <w:rFonts w:ascii="Times New Roman" w:hAnsi="Times New Roman" w:cs="Times New Roman" w:hint="eastAsia"/>
          <w:color w:val="000000"/>
          <w:kern w:val="0"/>
          <w:szCs w:val="20"/>
        </w:rPr>
        <w:t>中的内容通过文中的规范性引用而构成本文件必不可少的条款</w:t>
      </w:r>
      <w:r>
        <w:rPr>
          <w:rFonts w:ascii="Times New Roman" w:hAnsi="Times New Roman" w:cs="Times New Roman"/>
          <w:color w:val="000000"/>
          <w:kern w:val="0"/>
          <w:szCs w:val="20"/>
        </w:rPr>
        <w:t>。</w:t>
      </w:r>
      <w:r>
        <w:rPr>
          <w:rFonts w:ascii="Times New Roman" w:hAnsi="Times New Roman" w:cs="Times New Roman" w:hint="eastAsia"/>
          <w:color w:val="000000"/>
          <w:kern w:val="0"/>
          <w:szCs w:val="20"/>
        </w:rPr>
        <w:t>其中，</w:t>
      </w:r>
      <w:r>
        <w:rPr>
          <w:rFonts w:ascii="Times New Roman" w:hAnsi="Times New Roman" w:cs="Times New Roman"/>
          <w:color w:val="000000"/>
          <w:kern w:val="0"/>
          <w:szCs w:val="20"/>
        </w:rPr>
        <w:t>注日期的引用文件，仅</w:t>
      </w:r>
      <w:r>
        <w:rPr>
          <w:rFonts w:ascii="Times New Roman" w:hAnsi="Times New Roman" w:cs="Times New Roman" w:hint="eastAsia"/>
          <w:color w:val="000000"/>
          <w:kern w:val="0"/>
          <w:szCs w:val="20"/>
        </w:rPr>
        <w:t>该</w:t>
      </w:r>
      <w:r>
        <w:rPr>
          <w:rFonts w:ascii="Times New Roman" w:hAnsi="Times New Roman" w:cs="Times New Roman"/>
          <w:color w:val="000000"/>
          <w:kern w:val="0"/>
          <w:szCs w:val="20"/>
        </w:rPr>
        <w:t>日期</w:t>
      </w:r>
      <w:r>
        <w:rPr>
          <w:rFonts w:ascii="Times New Roman" w:hAnsi="Times New Roman" w:cs="Times New Roman" w:hint="eastAsia"/>
          <w:color w:val="000000"/>
          <w:kern w:val="0"/>
          <w:szCs w:val="20"/>
        </w:rPr>
        <w:t>对应</w:t>
      </w:r>
      <w:r>
        <w:rPr>
          <w:rFonts w:ascii="Times New Roman" w:hAnsi="Times New Roman" w:cs="Times New Roman"/>
          <w:color w:val="000000"/>
          <w:kern w:val="0"/>
          <w:szCs w:val="20"/>
        </w:rPr>
        <w:t>的版本适用于本文件</w:t>
      </w:r>
      <w:r>
        <w:rPr>
          <w:rFonts w:ascii="Times New Roman" w:hAnsi="Times New Roman" w:cs="Times New Roman" w:hint="eastAsia"/>
          <w:color w:val="000000"/>
          <w:kern w:val="0"/>
          <w:szCs w:val="20"/>
        </w:rPr>
        <w:t>；</w:t>
      </w:r>
      <w:r>
        <w:rPr>
          <w:rFonts w:ascii="Times New Roman" w:hAnsi="Times New Roman" w:cs="Times New Roman"/>
          <w:color w:val="000000"/>
          <w:kern w:val="0"/>
          <w:szCs w:val="20"/>
        </w:rPr>
        <w:t>不注日期的引用文件，其最新版本（包括所有的修改单）适用于本文件。</w:t>
      </w:r>
    </w:p>
    <w:p w14:paraId="2AC13BDA"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bookmarkStart w:id="12" w:name="_Hlk207881717"/>
      <w:r>
        <w:rPr>
          <w:rFonts w:ascii="Times New Roman" w:hAnsi="Times New Roman" w:cs="Times New Roman"/>
          <w:kern w:val="0"/>
          <w:szCs w:val="46"/>
        </w:rPr>
        <w:t xml:space="preserve">GB/T 351  </w:t>
      </w:r>
      <w:r>
        <w:rPr>
          <w:rFonts w:ascii="Times New Roman" w:hAnsi="Times New Roman" w:cs="Times New Roman"/>
          <w:kern w:val="0"/>
          <w:szCs w:val="46"/>
        </w:rPr>
        <w:t>金属材料</w:t>
      </w:r>
      <w:r>
        <w:rPr>
          <w:rFonts w:ascii="Times New Roman" w:hAnsi="Times New Roman" w:cs="Times New Roman"/>
          <w:kern w:val="0"/>
          <w:szCs w:val="46"/>
        </w:rPr>
        <w:t xml:space="preserve"> </w:t>
      </w:r>
      <w:r>
        <w:rPr>
          <w:rFonts w:ascii="Times New Roman" w:hAnsi="Times New Roman" w:cs="Times New Roman"/>
          <w:kern w:val="0"/>
          <w:szCs w:val="46"/>
        </w:rPr>
        <w:t>电阻率测量方法</w:t>
      </w:r>
    </w:p>
    <w:p w14:paraId="5221DCF5"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2828.1  </w:t>
      </w:r>
      <w:r>
        <w:rPr>
          <w:rFonts w:ascii="Times New Roman" w:hAnsi="Times New Roman" w:cs="Times New Roman"/>
          <w:kern w:val="0"/>
          <w:szCs w:val="46"/>
        </w:rPr>
        <w:t>计数抽样检验程序</w:t>
      </w:r>
      <w:r>
        <w:rPr>
          <w:rFonts w:ascii="Times New Roman" w:hAnsi="Times New Roman" w:cs="Times New Roman"/>
          <w:kern w:val="0"/>
          <w:szCs w:val="46"/>
        </w:rPr>
        <w:t xml:space="preserve"> </w:t>
      </w:r>
      <w:r>
        <w:rPr>
          <w:rFonts w:ascii="Times New Roman" w:hAnsi="Times New Roman" w:cs="Times New Roman"/>
          <w:kern w:val="0"/>
          <w:szCs w:val="46"/>
        </w:rPr>
        <w:t>第</w:t>
      </w:r>
      <w:r>
        <w:rPr>
          <w:rFonts w:ascii="Times New Roman" w:hAnsi="Times New Roman" w:cs="Times New Roman"/>
          <w:kern w:val="0"/>
          <w:szCs w:val="46"/>
        </w:rPr>
        <w:t>1</w:t>
      </w:r>
      <w:r>
        <w:rPr>
          <w:rFonts w:ascii="Times New Roman" w:hAnsi="Times New Roman" w:cs="Times New Roman"/>
          <w:kern w:val="0"/>
          <w:szCs w:val="46"/>
        </w:rPr>
        <w:t>部分：按接收质量限（</w:t>
      </w:r>
      <w:r>
        <w:rPr>
          <w:rFonts w:ascii="Times New Roman" w:hAnsi="Times New Roman" w:cs="Times New Roman"/>
          <w:kern w:val="0"/>
          <w:szCs w:val="46"/>
        </w:rPr>
        <w:t>AQL</w:t>
      </w:r>
      <w:r>
        <w:rPr>
          <w:rFonts w:ascii="Times New Roman" w:hAnsi="Times New Roman" w:cs="Times New Roman"/>
          <w:kern w:val="0"/>
          <w:szCs w:val="46"/>
        </w:rPr>
        <w:t>）检索的逐批检验抽样计划</w:t>
      </w:r>
    </w:p>
    <w:p w14:paraId="782676C5"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5121  </w:t>
      </w:r>
      <w:r>
        <w:rPr>
          <w:rFonts w:ascii="Times New Roman" w:hAnsi="Times New Roman" w:cs="Times New Roman"/>
          <w:kern w:val="0"/>
          <w:szCs w:val="46"/>
        </w:rPr>
        <w:t>（所有部分）</w:t>
      </w:r>
      <w:r>
        <w:rPr>
          <w:rFonts w:ascii="Times New Roman" w:hAnsi="Times New Roman" w:cs="Times New Roman"/>
          <w:kern w:val="0"/>
          <w:szCs w:val="46"/>
        </w:rPr>
        <w:t xml:space="preserve"> </w:t>
      </w:r>
      <w:r>
        <w:rPr>
          <w:rFonts w:ascii="Times New Roman" w:hAnsi="Times New Roman" w:cs="Times New Roman"/>
          <w:kern w:val="0"/>
          <w:szCs w:val="46"/>
        </w:rPr>
        <w:t>铜及铜合金化学分析方法</w:t>
      </w:r>
    </w:p>
    <w:p w14:paraId="76A7669D"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5231  </w:t>
      </w:r>
      <w:r>
        <w:rPr>
          <w:rFonts w:ascii="Times New Roman" w:hAnsi="Times New Roman" w:cs="Times New Roman"/>
          <w:kern w:val="0"/>
          <w:szCs w:val="46"/>
        </w:rPr>
        <w:t>加工铜及铜合金牌号和化学成分</w:t>
      </w:r>
    </w:p>
    <w:p w14:paraId="0F188967"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8170  </w:t>
      </w:r>
      <w:hyperlink r:id="rId6" w:history="1">
        <w:r w:rsidR="004426E6">
          <w:rPr>
            <w:rFonts w:ascii="Times New Roman" w:hAnsi="Times New Roman" w:cs="Times New Roman"/>
            <w:kern w:val="0"/>
            <w:szCs w:val="46"/>
          </w:rPr>
          <w:t>数值修约规则与极限数值的表示和判定</w:t>
        </w:r>
      </w:hyperlink>
    </w:p>
    <w:p w14:paraId="3B5BEB57"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8888  </w:t>
      </w:r>
      <w:r>
        <w:rPr>
          <w:rFonts w:ascii="Times New Roman" w:hAnsi="Times New Roman" w:cs="Times New Roman"/>
          <w:kern w:val="0"/>
          <w:szCs w:val="46"/>
        </w:rPr>
        <w:t>重有色金属加工产品的包装、标志、运输、贮存和质量证明书</w:t>
      </w:r>
    </w:p>
    <w:p w14:paraId="506047EA"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10119  </w:t>
      </w:r>
      <w:r>
        <w:rPr>
          <w:rFonts w:ascii="Times New Roman" w:hAnsi="Times New Roman" w:cs="Times New Roman"/>
          <w:kern w:val="0"/>
          <w:szCs w:val="46"/>
        </w:rPr>
        <w:t>黄铜耐脱锌腐蚀性能的测定</w:t>
      </w:r>
    </w:p>
    <w:p w14:paraId="18B3B7A6"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10567  </w:t>
      </w:r>
      <w:r>
        <w:rPr>
          <w:rFonts w:ascii="Times New Roman" w:hAnsi="Times New Roman" w:cs="Times New Roman"/>
          <w:kern w:val="0"/>
          <w:szCs w:val="46"/>
        </w:rPr>
        <w:t>（所有部分）铜及铜合金加工材残余应力检验方法</w:t>
      </w:r>
    </w:p>
    <w:p w14:paraId="41991466"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26303.2  </w:t>
      </w:r>
      <w:r>
        <w:rPr>
          <w:rFonts w:ascii="Times New Roman" w:hAnsi="Times New Roman" w:cs="Times New Roman"/>
          <w:kern w:val="0"/>
          <w:szCs w:val="46"/>
        </w:rPr>
        <w:t>铜及铜合金加工材外形尺寸检测方法</w:t>
      </w:r>
      <w:r>
        <w:rPr>
          <w:rFonts w:ascii="Times New Roman" w:hAnsi="Times New Roman" w:cs="Times New Roman"/>
          <w:kern w:val="0"/>
          <w:szCs w:val="46"/>
        </w:rPr>
        <w:t xml:space="preserve"> </w:t>
      </w:r>
      <w:r>
        <w:rPr>
          <w:rFonts w:ascii="Times New Roman" w:hAnsi="Times New Roman" w:cs="Times New Roman"/>
          <w:kern w:val="0"/>
          <w:szCs w:val="46"/>
        </w:rPr>
        <w:t>第</w:t>
      </w:r>
      <w:r>
        <w:rPr>
          <w:rFonts w:ascii="Times New Roman" w:hAnsi="Times New Roman" w:cs="Times New Roman"/>
          <w:kern w:val="0"/>
          <w:szCs w:val="46"/>
        </w:rPr>
        <w:t>2</w:t>
      </w:r>
      <w:r>
        <w:rPr>
          <w:rFonts w:ascii="Times New Roman" w:hAnsi="Times New Roman" w:cs="Times New Roman"/>
          <w:kern w:val="0"/>
          <w:szCs w:val="46"/>
        </w:rPr>
        <w:t>部分：棒、线、型材</w:t>
      </w:r>
    </w:p>
    <w:p w14:paraId="28B076A1"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GB/T 34505  </w:t>
      </w:r>
      <w:r>
        <w:rPr>
          <w:rFonts w:ascii="Times New Roman" w:hAnsi="Times New Roman" w:cs="Times New Roman"/>
          <w:kern w:val="0"/>
          <w:szCs w:val="46"/>
        </w:rPr>
        <w:t>铜及铜合金材料</w:t>
      </w:r>
      <w:r>
        <w:rPr>
          <w:rFonts w:ascii="Times New Roman" w:hAnsi="Times New Roman" w:cs="Times New Roman"/>
          <w:kern w:val="0"/>
          <w:szCs w:val="46"/>
        </w:rPr>
        <w:t xml:space="preserve"> </w:t>
      </w:r>
      <w:r>
        <w:rPr>
          <w:rFonts w:ascii="Times New Roman" w:hAnsi="Times New Roman" w:cs="Times New Roman"/>
          <w:kern w:val="0"/>
          <w:szCs w:val="46"/>
        </w:rPr>
        <w:t>室温拉伸试验方法</w:t>
      </w:r>
    </w:p>
    <w:p w14:paraId="14C3D5B5"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YS/T 336  </w:t>
      </w:r>
      <w:r>
        <w:rPr>
          <w:rFonts w:ascii="Times New Roman" w:hAnsi="Times New Roman" w:cs="Times New Roman"/>
          <w:kern w:val="0"/>
          <w:szCs w:val="46"/>
        </w:rPr>
        <w:t>铜、镍及其合金管材和棒材断口检验方法</w:t>
      </w:r>
    </w:p>
    <w:p w14:paraId="37EA44B7"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YS/T 482  </w:t>
      </w:r>
      <w:r>
        <w:rPr>
          <w:rFonts w:ascii="Times New Roman" w:hAnsi="Times New Roman" w:cs="Times New Roman"/>
          <w:kern w:val="0"/>
          <w:szCs w:val="46"/>
        </w:rPr>
        <w:t>铜及铜合金分析方法</w:t>
      </w:r>
      <w:r>
        <w:rPr>
          <w:rFonts w:ascii="Times New Roman" w:hAnsi="Times New Roman" w:cs="Times New Roman"/>
          <w:kern w:val="0"/>
          <w:szCs w:val="46"/>
        </w:rPr>
        <w:t xml:space="preserve"> </w:t>
      </w:r>
      <w:r>
        <w:rPr>
          <w:rFonts w:ascii="Times New Roman" w:hAnsi="Times New Roman" w:cs="Times New Roman"/>
          <w:kern w:val="0"/>
          <w:szCs w:val="46"/>
        </w:rPr>
        <w:t>火花放电原子发射光谱法</w:t>
      </w:r>
    </w:p>
    <w:p w14:paraId="315AF0A8"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lastRenderedPageBreak/>
        <w:t xml:space="preserve">YS/T 483  </w:t>
      </w:r>
      <w:r>
        <w:rPr>
          <w:rFonts w:ascii="Times New Roman" w:hAnsi="Times New Roman" w:cs="Times New Roman"/>
          <w:kern w:val="0"/>
          <w:szCs w:val="46"/>
        </w:rPr>
        <w:t>铜及铜合金分析方法</w:t>
      </w:r>
      <w:r>
        <w:rPr>
          <w:rFonts w:ascii="Times New Roman" w:hAnsi="Times New Roman" w:cs="Times New Roman"/>
          <w:kern w:val="0"/>
          <w:szCs w:val="46"/>
        </w:rPr>
        <w:t xml:space="preserve"> X</w:t>
      </w:r>
      <w:r>
        <w:rPr>
          <w:rFonts w:ascii="Times New Roman" w:hAnsi="Times New Roman" w:cs="Times New Roman"/>
          <w:kern w:val="0"/>
          <w:szCs w:val="46"/>
        </w:rPr>
        <w:t>射线荧光光谱法（波长色散型）</w:t>
      </w:r>
    </w:p>
    <w:p w14:paraId="08CF1E26" w14:textId="77777777" w:rsidR="004426E6" w:rsidRDefault="00000000">
      <w:pPr>
        <w:autoSpaceDE w:val="0"/>
        <w:autoSpaceDN w:val="0"/>
        <w:adjustRightInd w:val="0"/>
        <w:ind w:firstLineChars="200" w:firstLine="420"/>
        <w:contextualSpacing/>
        <w:jc w:val="left"/>
        <w:rPr>
          <w:rFonts w:ascii="Times New Roman" w:hAnsi="Times New Roman" w:cs="Times New Roman"/>
          <w:kern w:val="0"/>
          <w:szCs w:val="46"/>
        </w:rPr>
      </w:pPr>
      <w:r>
        <w:rPr>
          <w:rFonts w:ascii="Times New Roman" w:hAnsi="Times New Roman" w:cs="Times New Roman"/>
          <w:kern w:val="0"/>
          <w:szCs w:val="46"/>
        </w:rPr>
        <w:t xml:space="preserve">YS/T 668  </w:t>
      </w:r>
      <w:r>
        <w:rPr>
          <w:rFonts w:ascii="Times New Roman" w:hAnsi="Times New Roman" w:cs="Times New Roman"/>
          <w:kern w:val="0"/>
          <w:szCs w:val="46"/>
        </w:rPr>
        <w:t>铜及铜合金理化检测取样方法</w:t>
      </w:r>
    </w:p>
    <w:bookmarkEnd w:id="12"/>
    <w:p w14:paraId="1A67AAAE"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 xml:space="preserve">3 </w:t>
      </w:r>
      <w:r>
        <w:rPr>
          <w:rFonts w:ascii="黑体" w:eastAsia="黑体" w:hAnsi="黑体" w:cs="黑体" w:hint="eastAsia"/>
          <w:caps/>
          <w:szCs w:val="21"/>
        </w:rPr>
        <w:t>技术</w:t>
      </w:r>
      <w:r>
        <w:rPr>
          <w:rFonts w:ascii="黑体" w:eastAsia="黑体" w:hAnsi="黑体" w:cs="黑体"/>
          <w:caps/>
          <w:szCs w:val="21"/>
        </w:rPr>
        <w:t xml:space="preserve">要求 </w:t>
      </w:r>
    </w:p>
    <w:p w14:paraId="160BA17E"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3.1产品分类</w:t>
      </w:r>
      <w:r>
        <w:rPr>
          <w:rFonts w:ascii="黑体" w:eastAsia="黑体" w:hAnsi="黑体" w:cs="黑体" w:hint="eastAsia"/>
          <w:caps/>
          <w:szCs w:val="21"/>
        </w:rPr>
        <w:t>、标记</w:t>
      </w:r>
    </w:p>
    <w:p w14:paraId="573F0ECD" w14:textId="77777777" w:rsidR="004426E6" w:rsidRDefault="00000000">
      <w:pPr>
        <w:pStyle w:val="aff"/>
        <w:ind w:firstLine="420"/>
        <w:contextualSpacing/>
        <w:rPr>
          <w:rFonts w:ascii="Times New Roman"/>
        </w:rPr>
      </w:pPr>
      <w:r>
        <w:rPr>
          <w:rFonts w:ascii="Times New Roman"/>
        </w:rPr>
        <w:t>产品分类是对</w:t>
      </w:r>
      <w:r>
        <w:rPr>
          <w:rFonts w:ascii="Times New Roman" w:eastAsiaTheme="minorEastAsia" w:hint="eastAsia"/>
          <w:szCs w:val="21"/>
        </w:rPr>
        <w:t>易切削铜合金线材</w:t>
      </w:r>
      <w:r>
        <w:rPr>
          <w:rFonts w:ascii="Times New Roman"/>
        </w:rPr>
        <w:t>的牌号、代号、状态、规格和规定</w:t>
      </w:r>
      <w:r>
        <w:rPr>
          <w:rFonts w:ascii="Times New Roman" w:hint="eastAsia"/>
        </w:rPr>
        <w:t>，</w:t>
      </w:r>
      <w:r>
        <w:rPr>
          <w:rFonts w:ascii="Times New Roman"/>
        </w:rPr>
        <w:t>同时规定了产品标记方法。相关情况分别说明如下：</w:t>
      </w:r>
    </w:p>
    <w:p w14:paraId="2927B8DF" w14:textId="0BBCB9E2" w:rsidR="004426E6" w:rsidRPr="008E5D72" w:rsidRDefault="00000000" w:rsidP="008E5D72">
      <w:pPr>
        <w:pStyle w:val="a5"/>
        <w:spacing w:line="240" w:lineRule="auto"/>
        <w:contextualSpacing/>
      </w:pPr>
      <w:r>
        <w:rPr>
          <w:kern w:val="0"/>
        </w:rPr>
        <w:t>本标准根据我国</w:t>
      </w:r>
      <w:r>
        <w:rPr>
          <w:rFonts w:eastAsiaTheme="minorEastAsia" w:hint="eastAsia"/>
          <w:szCs w:val="21"/>
        </w:rPr>
        <w:t>易切削铜合金线材</w:t>
      </w:r>
      <w:r>
        <w:rPr>
          <w:kern w:val="0"/>
        </w:rPr>
        <w:t>应用的实际情况，选取了</w:t>
      </w:r>
      <w:r w:rsidR="008E5D72">
        <w:rPr>
          <w:rFonts w:hint="eastAsia"/>
          <w:kern w:val="0"/>
        </w:rPr>
        <w:t>30</w:t>
      </w:r>
      <w:r>
        <w:rPr>
          <w:rFonts w:hint="eastAsia"/>
          <w:kern w:val="0"/>
        </w:rPr>
        <w:t>个牌号，其中</w:t>
      </w:r>
      <w:r>
        <w:rPr>
          <w:rFonts w:hint="eastAsia"/>
          <w:kern w:val="0"/>
        </w:rPr>
        <w:t>TTe0.3</w:t>
      </w:r>
      <w:r>
        <w:rPr>
          <w:rFonts w:hint="eastAsia"/>
          <w:kern w:val="0"/>
        </w:rPr>
        <w:t>、</w:t>
      </w:r>
      <w:r>
        <w:rPr>
          <w:rFonts w:hint="eastAsia"/>
          <w:kern w:val="0"/>
        </w:rPr>
        <w:t xml:space="preserve">TT </w:t>
      </w:r>
      <w:r>
        <w:t>-3</w:t>
      </w:r>
      <w:r>
        <w:t>、</w:t>
      </w:r>
      <w:r>
        <w:t>BZn12-24-1.1</w:t>
      </w:r>
      <w:r>
        <w:t>、</w:t>
      </w:r>
      <w:r>
        <w:t>BZn12-37-1.5</w:t>
      </w:r>
      <w:r>
        <w:t>、</w:t>
      </w:r>
      <w:r>
        <w:t>BZn12-38-2</w:t>
      </w:r>
      <w:r>
        <w:t>共</w:t>
      </w:r>
      <w:r w:rsidR="008E5D72">
        <w:rPr>
          <w:rFonts w:hint="eastAsia"/>
        </w:rPr>
        <w:t>17</w:t>
      </w:r>
      <w:r>
        <w:t>个牌号</w:t>
      </w:r>
      <w:r>
        <w:rPr>
          <w:rFonts w:hint="eastAsia"/>
        </w:rPr>
        <w:t>为新增牌号</w:t>
      </w:r>
      <w:r>
        <w:rPr>
          <w:kern w:val="0"/>
        </w:rPr>
        <w:t>；</w:t>
      </w:r>
    </w:p>
    <w:p w14:paraId="73EC1A27" w14:textId="47D8C397" w:rsidR="004426E6" w:rsidRDefault="00000000">
      <w:pPr>
        <w:pStyle w:val="a5"/>
        <w:widowControl w:val="0"/>
        <w:spacing w:line="240" w:lineRule="auto"/>
        <w:contextualSpacing/>
        <w:rPr>
          <w:kern w:val="0"/>
        </w:rPr>
      </w:pPr>
      <w:r>
        <w:rPr>
          <w:kern w:val="0"/>
        </w:rPr>
        <w:t>1</w:t>
      </w:r>
      <w:r>
        <w:rPr>
          <w:kern w:val="0"/>
        </w:rPr>
        <w:t>）根据</w:t>
      </w:r>
      <w:r>
        <w:rPr>
          <w:kern w:val="0"/>
        </w:rPr>
        <w:t>GB/T 29094-2012</w:t>
      </w:r>
      <w:r w:rsidR="006076FD">
        <w:rPr>
          <w:rFonts w:hint="eastAsia"/>
          <w:kern w:val="0"/>
        </w:rPr>
        <w:t>《</w:t>
      </w:r>
      <w:r w:rsidR="006076FD" w:rsidRPr="006076FD">
        <w:rPr>
          <w:kern w:val="0"/>
        </w:rPr>
        <w:t>铜及铜合金状态表示方法</w:t>
      </w:r>
      <w:r w:rsidR="006076FD">
        <w:rPr>
          <w:rFonts w:hint="eastAsia"/>
          <w:kern w:val="0"/>
        </w:rPr>
        <w:t>》</w:t>
      </w:r>
      <w:r>
        <w:rPr>
          <w:kern w:val="0"/>
        </w:rPr>
        <w:t>及客户实际使用情况，确定该</w:t>
      </w:r>
      <w:r w:rsidR="003536BB">
        <w:rPr>
          <w:rFonts w:hint="eastAsia"/>
          <w:kern w:val="0"/>
        </w:rPr>
        <w:t>30</w:t>
      </w:r>
      <w:r>
        <w:rPr>
          <w:kern w:val="0"/>
        </w:rPr>
        <w:t>个牌号的订货状态；</w:t>
      </w:r>
      <w:r>
        <w:rPr>
          <w:rFonts w:hint="eastAsia"/>
          <w:kern w:val="0"/>
        </w:rPr>
        <w:t>；</w:t>
      </w:r>
    </w:p>
    <w:p w14:paraId="43B42D86" w14:textId="77777777" w:rsidR="004426E6" w:rsidRDefault="00000000">
      <w:pPr>
        <w:pStyle w:val="a0"/>
        <w:spacing w:after="0"/>
        <w:ind w:firstLine="420"/>
        <w:contextualSpacing/>
        <w:rPr>
          <w:rFonts w:ascii="Times New Roman" w:eastAsia="宋体" w:hAnsi="Times New Roman" w:cs="Times New Roman"/>
          <w:kern w:val="0"/>
        </w:rPr>
      </w:pPr>
      <w:r>
        <w:rPr>
          <w:rFonts w:ascii="Times New Roman" w:eastAsia="宋体" w:hAnsi="Times New Roman" w:cs="Times New Roman"/>
          <w:kern w:val="0"/>
        </w:rPr>
        <w:t>2</w:t>
      </w:r>
      <w:r>
        <w:rPr>
          <w:rFonts w:ascii="Times New Roman" w:eastAsia="宋体" w:hAnsi="Times New Roman" w:cs="Times New Roman"/>
          <w:kern w:val="0"/>
        </w:rPr>
        <w:t>）规格范围：本标准根据</w:t>
      </w:r>
      <w:r>
        <w:rPr>
          <w:rFonts w:ascii="Times New Roman" w:eastAsiaTheme="minorEastAsia" w:hAnsi="Times New Roman" w:cs="Times New Roman" w:hint="eastAsia"/>
          <w:szCs w:val="21"/>
        </w:rPr>
        <w:t>易切削铜合金线材</w:t>
      </w:r>
      <w:r>
        <w:rPr>
          <w:rFonts w:ascii="Times New Roman" w:eastAsia="宋体" w:hAnsi="Times New Roman" w:cs="Times New Roman"/>
          <w:kern w:val="0"/>
        </w:rPr>
        <w:t>的要求，及实际生产控制水平和目前客户的使用要求，规定了</w:t>
      </w:r>
      <w:r>
        <w:rPr>
          <w:rFonts w:ascii="Times New Roman" w:eastAsia="宋体" w:hAnsi="Times New Roman" w:cs="Times New Roman" w:hint="eastAsia"/>
          <w:kern w:val="0"/>
        </w:rPr>
        <w:t>易切削铜合金线材的截面形状及直径或对边距范围</w:t>
      </w:r>
      <w:r>
        <w:rPr>
          <w:rFonts w:ascii="Times New Roman" w:eastAsia="宋体" w:hAnsi="Times New Roman" w:cs="Times New Roman"/>
          <w:kern w:val="0"/>
        </w:rPr>
        <w:t>；</w:t>
      </w:r>
    </w:p>
    <w:p w14:paraId="7243421F" w14:textId="4FF47DBC" w:rsidR="004426E6" w:rsidRDefault="00000000">
      <w:pPr>
        <w:pStyle w:val="aff"/>
        <w:ind w:firstLine="420"/>
        <w:contextualSpacing/>
        <w:rPr>
          <w:rFonts w:ascii="Times New Roman"/>
        </w:rPr>
      </w:pPr>
      <w:r>
        <w:rPr>
          <w:rFonts w:ascii="Times New Roman"/>
        </w:rPr>
        <w:t>3</w:t>
      </w:r>
      <w:r>
        <w:rPr>
          <w:rFonts w:ascii="Times New Roman"/>
        </w:rPr>
        <w:t>）产品标记方法：按照</w:t>
      </w:r>
      <w:r w:rsidRPr="006076FD">
        <w:rPr>
          <w:rFonts w:ascii="Times New Roman"/>
          <w:szCs w:val="20"/>
        </w:rPr>
        <w:t>GB/T 1.1-</w:t>
      </w:r>
      <w:r w:rsidR="006076FD" w:rsidRPr="006076FD">
        <w:rPr>
          <w:rFonts w:ascii="Times New Roman"/>
          <w:szCs w:val="20"/>
        </w:rPr>
        <w:t>2020</w:t>
      </w:r>
      <w:r w:rsidR="006076FD" w:rsidRPr="006076FD">
        <w:rPr>
          <w:rFonts w:ascii="Times New Roman" w:hint="eastAsia"/>
        </w:rPr>
        <w:t>《</w:t>
      </w:r>
      <w:r w:rsidR="006076FD" w:rsidRPr="006076FD">
        <w:rPr>
          <w:rFonts w:ascii="Times New Roman"/>
        </w:rPr>
        <w:t>标准化工作导则</w:t>
      </w:r>
      <w:r w:rsidR="006076FD" w:rsidRPr="006076FD">
        <w:rPr>
          <w:rFonts w:ascii="Times New Roman"/>
        </w:rPr>
        <w:t xml:space="preserve"> </w:t>
      </w:r>
      <w:r w:rsidR="006076FD" w:rsidRPr="006076FD">
        <w:rPr>
          <w:rFonts w:ascii="Times New Roman"/>
        </w:rPr>
        <w:t>第</w:t>
      </w:r>
      <w:r w:rsidR="006076FD" w:rsidRPr="006076FD">
        <w:rPr>
          <w:rFonts w:ascii="Times New Roman"/>
        </w:rPr>
        <w:t>1</w:t>
      </w:r>
      <w:r w:rsidR="006076FD" w:rsidRPr="006076FD">
        <w:rPr>
          <w:rFonts w:ascii="Times New Roman"/>
        </w:rPr>
        <w:t>部分：标准化文件的结构和起草规则</w:t>
      </w:r>
      <w:r w:rsidR="006076FD" w:rsidRPr="006076FD">
        <w:rPr>
          <w:rFonts w:ascii="Times New Roman" w:hint="eastAsia"/>
        </w:rPr>
        <w:t>》</w:t>
      </w:r>
      <w:r>
        <w:rPr>
          <w:rFonts w:ascii="Times New Roman"/>
        </w:rPr>
        <w:t>的规定，标准中分别给出了</w:t>
      </w:r>
      <w:r>
        <w:rPr>
          <w:rFonts w:ascii="Times New Roman" w:hint="eastAsia"/>
        </w:rPr>
        <w:t>圆形</w:t>
      </w:r>
      <w:r>
        <w:rPr>
          <w:rFonts w:ascii="Times New Roman"/>
        </w:rPr>
        <w:t>、</w:t>
      </w:r>
      <w:r>
        <w:rPr>
          <w:rFonts w:ascii="Times New Roman" w:hint="eastAsia"/>
        </w:rPr>
        <w:t>正方形、矩形、正六角形线</w:t>
      </w:r>
      <w:r>
        <w:rPr>
          <w:rFonts w:ascii="Times New Roman"/>
        </w:rPr>
        <w:t>材的典型标记示例。</w:t>
      </w:r>
    </w:p>
    <w:p w14:paraId="194C944D"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3.2 化学成分</w:t>
      </w:r>
    </w:p>
    <w:p w14:paraId="452AEBB5" w14:textId="20F5C888" w:rsidR="00F61E7A" w:rsidRPr="00C40242" w:rsidRDefault="00F61E7A" w:rsidP="00F508B0">
      <w:pPr>
        <w:autoSpaceDE w:val="0"/>
        <w:autoSpaceDN w:val="0"/>
        <w:adjustRightInd w:val="0"/>
        <w:ind w:firstLineChars="200" w:firstLine="420"/>
        <w:contextualSpacing/>
        <w:jc w:val="left"/>
        <w:rPr>
          <w:rFonts w:ascii="Times New Roman" w:hAnsi="Times New Roman" w:cs="Times New Roman"/>
          <w:kern w:val="0"/>
          <w:szCs w:val="46"/>
        </w:rPr>
      </w:pPr>
      <w:r w:rsidRPr="00C40242">
        <w:rPr>
          <w:rFonts w:ascii="Times New Roman" w:eastAsia="宋体" w:hAnsi="Times New Roman" w:cs="Times New Roman"/>
          <w:kern w:val="0"/>
        </w:rPr>
        <w:t>化学成分的测试按照</w:t>
      </w:r>
      <w:r w:rsidRPr="00C40242">
        <w:rPr>
          <w:rFonts w:ascii="Times New Roman" w:eastAsia="宋体" w:hAnsi="Times New Roman" w:cs="Times New Roman"/>
          <w:kern w:val="0"/>
        </w:rPr>
        <w:t>GB/T 5121</w:t>
      </w:r>
      <w:r w:rsidRPr="00C40242">
        <w:rPr>
          <w:rFonts w:ascii="Times New Roman" w:eastAsia="宋体" w:hAnsi="Times New Roman" w:cs="Times New Roman"/>
          <w:kern w:val="0"/>
        </w:rPr>
        <w:t>《（所有部分）</w:t>
      </w:r>
      <w:r w:rsidRPr="00C40242">
        <w:rPr>
          <w:rFonts w:ascii="Times New Roman" w:eastAsia="宋体" w:hAnsi="Times New Roman" w:cs="Times New Roman"/>
          <w:kern w:val="0"/>
        </w:rPr>
        <w:t xml:space="preserve"> </w:t>
      </w:r>
      <w:r w:rsidRPr="00C40242">
        <w:rPr>
          <w:rFonts w:ascii="Times New Roman" w:eastAsia="宋体" w:hAnsi="Times New Roman" w:cs="Times New Roman"/>
          <w:kern w:val="0"/>
        </w:rPr>
        <w:t>铜及铜合金化学分析方法》、</w:t>
      </w:r>
      <w:r w:rsidRPr="00C40242">
        <w:rPr>
          <w:rFonts w:ascii="Times New Roman" w:eastAsia="宋体" w:hAnsi="Times New Roman" w:cs="Times New Roman"/>
          <w:kern w:val="0"/>
        </w:rPr>
        <w:t>YS/T 482</w:t>
      </w:r>
      <w:r w:rsidRPr="00C40242">
        <w:rPr>
          <w:rFonts w:ascii="Times New Roman" w:eastAsia="宋体" w:hAnsi="Times New Roman" w:cs="Times New Roman"/>
          <w:kern w:val="0"/>
        </w:rPr>
        <w:t>《铜及铜合金分析方法</w:t>
      </w:r>
      <w:r w:rsidRPr="00C40242">
        <w:rPr>
          <w:rFonts w:ascii="Times New Roman" w:eastAsia="宋体" w:hAnsi="Times New Roman" w:cs="Times New Roman"/>
          <w:kern w:val="0"/>
        </w:rPr>
        <w:t xml:space="preserve"> </w:t>
      </w:r>
      <w:r w:rsidRPr="00C40242">
        <w:rPr>
          <w:rFonts w:ascii="Times New Roman" w:eastAsia="宋体" w:hAnsi="Times New Roman" w:cs="Times New Roman"/>
          <w:kern w:val="0"/>
        </w:rPr>
        <w:t>火花放电原子发射光谱法》、</w:t>
      </w:r>
      <w:r w:rsidRPr="00C40242">
        <w:rPr>
          <w:rFonts w:ascii="Times New Roman" w:eastAsia="宋体" w:hAnsi="Times New Roman" w:cs="Times New Roman"/>
          <w:kern w:val="0"/>
        </w:rPr>
        <w:t>YS/T 483</w:t>
      </w:r>
      <w:r w:rsidRPr="00C40242">
        <w:rPr>
          <w:rFonts w:ascii="Times New Roman" w:eastAsia="宋体" w:hAnsi="Times New Roman" w:cs="Times New Roman"/>
          <w:kern w:val="0"/>
        </w:rPr>
        <w:t>《铜及铜合金分析方法</w:t>
      </w:r>
      <w:r w:rsidRPr="00C40242">
        <w:rPr>
          <w:rFonts w:ascii="Times New Roman" w:eastAsia="宋体" w:hAnsi="Times New Roman" w:cs="Times New Roman"/>
          <w:kern w:val="0"/>
        </w:rPr>
        <w:t xml:space="preserve"> X</w:t>
      </w:r>
      <w:r w:rsidRPr="00C40242">
        <w:rPr>
          <w:rFonts w:ascii="Times New Roman" w:eastAsia="宋体" w:hAnsi="Times New Roman" w:cs="Times New Roman"/>
          <w:kern w:val="0"/>
        </w:rPr>
        <w:t>射线荧光光谱法（波长色散型）》进行。仲裁时按照</w:t>
      </w:r>
      <w:r w:rsidRPr="00C40242">
        <w:rPr>
          <w:rFonts w:ascii="Times New Roman" w:eastAsia="宋体" w:hAnsi="Times New Roman" w:cs="Times New Roman"/>
          <w:kern w:val="0"/>
        </w:rPr>
        <w:t>GB/T 5121</w:t>
      </w:r>
      <w:r w:rsidRPr="00C40242">
        <w:rPr>
          <w:rFonts w:ascii="Times New Roman" w:eastAsia="宋体" w:hAnsi="Times New Roman" w:cs="Times New Roman"/>
          <w:kern w:val="0"/>
        </w:rPr>
        <w:t>《（所有部分）</w:t>
      </w:r>
      <w:r w:rsidRPr="00C40242">
        <w:rPr>
          <w:rFonts w:ascii="Times New Roman" w:eastAsia="宋体" w:hAnsi="Times New Roman" w:cs="Times New Roman"/>
          <w:kern w:val="0"/>
        </w:rPr>
        <w:t xml:space="preserve"> </w:t>
      </w:r>
      <w:r w:rsidRPr="00C40242">
        <w:rPr>
          <w:rFonts w:ascii="Times New Roman" w:eastAsia="宋体" w:hAnsi="Times New Roman" w:cs="Times New Roman"/>
          <w:kern w:val="0"/>
        </w:rPr>
        <w:t>铜及铜合金化学分析方法》进行。本标准中除</w:t>
      </w:r>
      <w:r w:rsidRPr="00C40242">
        <w:rPr>
          <w:rFonts w:ascii="Times New Roman" w:eastAsia="宋体" w:hAnsi="Times New Roman" w:cs="Times New Roman"/>
          <w:kern w:val="0"/>
        </w:rPr>
        <w:t>TNi1-0.6-0.25</w:t>
      </w:r>
      <w:r w:rsidRPr="00C40242">
        <w:rPr>
          <w:rFonts w:ascii="Times New Roman" w:eastAsia="宋体" w:hAnsi="Times New Roman" w:cs="Times New Roman"/>
          <w:kern w:val="0"/>
        </w:rPr>
        <w:t>、</w:t>
      </w:r>
      <w:r w:rsidRPr="00C40242">
        <w:rPr>
          <w:rFonts w:ascii="Times New Roman" w:eastAsia="宋体" w:hAnsi="Times New Roman" w:cs="Times New Roman"/>
          <w:kern w:val="0"/>
        </w:rPr>
        <w:t>HPb57-2.8</w:t>
      </w:r>
      <w:r w:rsidRPr="00C40242">
        <w:rPr>
          <w:rFonts w:ascii="Times New Roman" w:eastAsia="宋体" w:hAnsi="Times New Roman" w:cs="Times New Roman"/>
          <w:kern w:val="0"/>
        </w:rPr>
        <w:t>、</w:t>
      </w:r>
      <w:r w:rsidR="00C40242" w:rsidRPr="00C40242">
        <w:rPr>
          <w:rFonts w:ascii="Times New Roman" w:eastAsia="宋体" w:hAnsi="Times New Roman" w:cs="Times New Roman"/>
          <w:kern w:val="0"/>
        </w:rPr>
        <w:t>HBi59-1.5</w:t>
      </w:r>
      <w:r w:rsidR="00C40242" w:rsidRPr="00C40242">
        <w:rPr>
          <w:rFonts w:ascii="Times New Roman" w:eastAsia="宋体" w:hAnsi="Times New Roman" w:cs="Times New Roman"/>
          <w:kern w:val="0"/>
        </w:rPr>
        <w:t>、</w:t>
      </w:r>
      <w:r w:rsidRPr="00C40242">
        <w:rPr>
          <w:rFonts w:ascii="Times New Roman" w:eastAsia="宋体" w:hAnsi="Times New Roman" w:cs="Times New Roman"/>
          <w:kern w:val="0"/>
        </w:rPr>
        <w:t>HBi59-2</w:t>
      </w:r>
      <w:r w:rsidRPr="00C40242">
        <w:rPr>
          <w:rFonts w:ascii="Times New Roman" w:eastAsia="宋体" w:hAnsi="Times New Roman" w:cs="Times New Roman"/>
          <w:kern w:val="0"/>
        </w:rPr>
        <w:t>外，其余牌号都是来自</w:t>
      </w:r>
      <w:r w:rsidRPr="00C40242">
        <w:rPr>
          <w:rFonts w:ascii="Times New Roman" w:eastAsia="宋体" w:hAnsi="Times New Roman" w:cs="Times New Roman"/>
          <w:kern w:val="0"/>
        </w:rPr>
        <w:t>GB/T 5231</w:t>
      </w:r>
      <w:r w:rsidRPr="00C40242">
        <w:rPr>
          <w:rFonts w:ascii="Times New Roman" w:eastAsia="宋体" w:hAnsi="Times New Roman" w:cs="Times New Roman"/>
          <w:kern w:val="0"/>
        </w:rPr>
        <w:t>《加工铜及铜合金牌号和化学成分》中的牌号。</w:t>
      </w:r>
      <w:r w:rsidRPr="00C40242">
        <w:rPr>
          <w:rFonts w:ascii="Times New Roman" w:eastAsia="宋体" w:hAnsi="Times New Roman" w:cs="Times New Roman"/>
          <w:kern w:val="0"/>
        </w:rPr>
        <w:t>TNi1-0.6-0.25</w:t>
      </w:r>
      <w:r w:rsidRPr="00C40242">
        <w:rPr>
          <w:rFonts w:ascii="Times New Roman" w:eastAsia="宋体" w:hAnsi="Times New Roman" w:cs="Times New Roman"/>
          <w:kern w:val="0"/>
        </w:rPr>
        <w:t>、</w:t>
      </w:r>
      <w:r w:rsidRPr="00C40242">
        <w:rPr>
          <w:rFonts w:ascii="Times New Roman" w:eastAsia="宋体" w:hAnsi="Times New Roman" w:cs="Times New Roman"/>
          <w:kern w:val="0"/>
        </w:rPr>
        <w:t>HPb57-2.8</w:t>
      </w:r>
      <w:r w:rsidRPr="00C40242">
        <w:rPr>
          <w:rFonts w:ascii="Times New Roman" w:eastAsia="宋体" w:hAnsi="Times New Roman" w:cs="Times New Roman"/>
          <w:kern w:val="0"/>
        </w:rPr>
        <w:t>、</w:t>
      </w:r>
      <w:r w:rsidR="00CC6424" w:rsidRPr="00C40242">
        <w:rPr>
          <w:rFonts w:ascii="Times New Roman" w:eastAsia="宋体" w:hAnsi="Times New Roman" w:cs="Times New Roman"/>
          <w:kern w:val="0"/>
        </w:rPr>
        <w:t>HBi59-1.5</w:t>
      </w:r>
      <w:r w:rsidR="00CC6424" w:rsidRPr="00C40242">
        <w:rPr>
          <w:rFonts w:ascii="Times New Roman" w:eastAsia="宋体" w:hAnsi="Times New Roman" w:cs="Times New Roman"/>
          <w:kern w:val="0"/>
        </w:rPr>
        <w:t>、</w:t>
      </w:r>
      <w:r w:rsidRPr="00C40242">
        <w:rPr>
          <w:rFonts w:ascii="Times New Roman" w:eastAsia="宋体" w:hAnsi="Times New Roman" w:cs="Times New Roman"/>
          <w:kern w:val="0"/>
        </w:rPr>
        <w:t>HBi59-2</w:t>
      </w:r>
      <w:r w:rsidRPr="00C40242">
        <w:rPr>
          <w:rFonts w:ascii="Times New Roman" w:eastAsia="宋体" w:hAnsi="Times New Roman" w:cs="Times New Roman"/>
          <w:kern w:val="0"/>
        </w:rPr>
        <w:t>的实测化学成分见表</w:t>
      </w:r>
      <w:r w:rsidR="00F508B0" w:rsidRPr="00C40242">
        <w:rPr>
          <w:rFonts w:ascii="Times New Roman" w:eastAsia="宋体" w:hAnsi="Times New Roman" w:cs="Times New Roman"/>
          <w:kern w:val="0"/>
        </w:rPr>
        <w:t>2</w:t>
      </w:r>
      <w:r w:rsidRPr="00C40242">
        <w:rPr>
          <w:rFonts w:ascii="Times New Roman" w:eastAsia="宋体" w:hAnsi="Times New Roman" w:cs="Times New Roman"/>
          <w:kern w:val="0"/>
        </w:rPr>
        <w:t>，</w:t>
      </w:r>
      <w:r w:rsidR="00F508B0" w:rsidRPr="00C40242">
        <w:rPr>
          <w:rFonts w:ascii="Times New Roman" w:eastAsia="宋体" w:hAnsi="Times New Roman" w:cs="Times New Roman"/>
          <w:kern w:val="0"/>
        </w:rPr>
        <w:t>其成分满足表</w:t>
      </w:r>
      <w:r w:rsidR="00F508B0" w:rsidRPr="00C40242">
        <w:rPr>
          <w:rFonts w:ascii="Times New Roman" w:eastAsia="宋体" w:hAnsi="Times New Roman" w:cs="Times New Roman"/>
          <w:kern w:val="0"/>
        </w:rPr>
        <w:t>3</w:t>
      </w:r>
      <w:r w:rsidR="00F508B0" w:rsidRPr="00C40242">
        <w:rPr>
          <w:rFonts w:ascii="Times New Roman" w:eastAsia="宋体" w:hAnsi="Times New Roman" w:cs="Times New Roman"/>
          <w:kern w:val="0"/>
        </w:rPr>
        <w:t>的规定</w:t>
      </w:r>
      <w:r w:rsidR="00E76288" w:rsidRPr="00C40242">
        <w:rPr>
          <w:rFonts w:ascii="Times New Roman" w:eastAsia="宋体" w:hAnsi="Times New Roman" w:cs="Times New Roman"/>
          <w:kern w:val="0"/>
        </w:rPr>
        <w:t>。</w:t>
      </w:r>
      <w:r w:rsidR="00F508B0" w:rsidRPr="00C40242">
        <w:rPr>
          <w:rFonts w:ascii="Times New Roman" w:eastAsia="宋体" w:hAnsi="Times New Roman" w:cs="Times New Roman"/>
          <w:kern w:val="0"/>
        </w:rPr>
        <w:t>此外</w:t>
      </w:r>
      <w:r w:rsidR="00F508B0" w:rsidRPr="00C40242">
        <w:rPr>
          <w:rFonts w:ascii="Times New Roman" w:eastAsia="宋体" w:hAnsi="Times New Roman" w:cs="Times New Roman"/>
          <w:kern w:val="0"/>
        </w:rPr>
        <w:t>TNi1-0.6-0.25</w:t>
      </w:r>
      <w:r w:rsidR="00F508B0" w:rsidRPr="00C40242">
        <w:rPr>
          <w:rFonts w:ascii="Times New Roman" w:eastAsia="宋体" w:hAnsi="Times New Roman" w:cs="Times New Roman"/>
          <w:kern w:val="0"/>
        </w:rPr>
        <w:t>与</w:t>
      </w:r>
      <w:r w:rsidR="00F508B0" w:rsidRPr="00C40242">
        <w:rPr>
          <w:rFonts w:ascii="Times New Roman" w:eastAsia="宋体" w:hAnsi="Times New Roman" w:cs="Times New Roman"/>
          <w:kern w:val="0"/>
        </w:rPr>
        <w:t>CDA</w:t>
      </w:r>
      <w:r w:rsidR="00F508B0" w:rsidRPr="00C40242">
        <w:rPr>
          <w:rFonts w:ascii="Times New Roman" w:eastAsia="宋体" w:hAnsi="Times New Roman" w:cs="Times New Roman"/>
          <w:kern w:val="0"/>
        </w:rPr>
        <w:t>牌号</w:t>
      </w:r>
      <w:r w:rsidR="00F508B0" w:rsidRPr="00C40242">
        <w:rPr>
          <w:rFonts w:ascii="Times New Roman" w:eastAsia="宋体" w:hAnsi="Times New Roman" w:cs="Times New Roman"/>
          <w:kern w:val="0"/>
        </w:rPr>
        <w:t>C19150</w:t>
      </w:r>
      <w:r w:rsidR="00F508B0" w:rsidRPr="00C40242">
        <w:rPr>
          <w:rFonts w:ascii="Times New Roman" w:eastAsia="宋体" w:hAnsi="Times New Roman" w:cs="Times New Roman"/>
          <w:kern w:val="0"/>
        </w:rPr>
        <w:t>的成分一致。</w:t>
      </w:r>
    </w:p>
    <w:p w14:paraId="5C9A61CC" w14:textId="4686666E" w:rsidR="00F61E7A" w:rsidRPr="00F07962" w:rsidRDefault="00F508B0" w:rsidP="00F07962">
      <w:pPr>
        <w:spacing w:afterLines="50" w:after="156"/>
        <w:jc w:val="center"/>
        <w:rPr>
          <w:rFonts w:ascii="Times New Roman" w:eastAsia="宋体" w:hAnsi="Times New Roman" w:cs="Times New Roman"/>
          <w:kern w:val="0"/>
        </w:rPr>
      </w:pPr>
      <w:r>
        <w:rPr>
          <w:rFonts w:ascii="Times New Roman" w:eastAsia="黑体" w:hAnsi="Times New Roman" w:cs="Times New Roman"/>
          <w:szCs w:val="21"/>
        </w:rPr>
        <w:t>表</w:t>
      </w:r>
      <w:r>
        <w:rPr>
          <w:rFonts w:ascii="Times New Roman" w:eastAsia="黑体" w:hAnsi="Times New Roman" w:cs="Times New Roman"/>
          <w:szCs w:val="21"/>
        </w:rPr>
        <w:t xml:space="preserve">2 </w:t>
      </w:r>
      <w:r>
        <w:rPr>
          <w:rFonts w:ascii="Times New Roman" w:eastAsia="宋体" w:hAnsi="Times New Roman" w:cs="Times New Roman"/>
          <w:kern w:val="0"/>
        </w:rPr>
        <w:t>TNi1-0.</w:t>
      </w:r>
      <w:r>
        <w:rPr>
          <w:rFonts w:ascii="Times New Roman" w:eastAsia="宋体" w:hAnsi="Times New Roman" w:cs="Times New Roman" w:hint="eastAsia"/>
          <w:kern w:val="0"/>
        </w:rPr>
        <w:t>6</w:t>
      </w:r>
      <w:r>
        <w:rPr>
          <w:rFonts w:ascii="Times New Roman" w:eastAsia="宋体" w:hAnsi="Times New Roman" w:cs="Times New Roman"/>
          <w:kern w:val="0"/>
        </w:rPr>
        <w:t>-0.25</w:t>
      </w:r>
      <w:r>
        <w:rPr>
          <w:rFonts w:ascii="Times New Roman" w:eastAsia="宋体" w:hAnsi="Times New Roman" w:cs="Times New Roman" w:hint="eastAsia"/>
          <w:kern w:val="0"/>
        </w:rPr>
        <w:t>、</w:t>
      </w:r>
      <w:r>
        <w:rPr>
          <w:rFonts w:ascii="Times New Roman" w:eastAsia="宋体" w:hAnsi="Times New Roman" w:cs="Times New Roman" w:hint="eastAsia"/>
          <w:kern w:val="0"/>
        </w:rPr>
        <w:t>HPb57-2.8</w:t>
      </w:r>
      <w:r>
        <w:rPr>
          <w:rFonts w:ascii="Times New Roman" w:eastAsia="宋体" w:hAnsi="Times New Roman" w:cs="Times New Roman" w:hint="eastAsia"/>
          <w:kern w:val="0"/>
        </w:rPr>
        <w:t>、</w:t>
      </w:r>
      <w:r w:rsidR="00C40242">
        <w:rPr>
          <w:rFonts w:ascii="Times New Roman" w:eastAsia="宋体" w:hAnsi="Times New Roman" w:cs="Times New Roman" w:hint="eastAsia"/>
          <w:kern w:val="0"/>
        </w:rPr>
        <w:t>HPb59-1.5</w:t>
      </w:r>
      <w:r w:rsidR="00C40242">
        <w:rPr>
          <w:rFonts w:ascii="Times New Roman" w:eastAsia="宋体" w:hAnsi="Times New Roman" w:cs="Times New Roman" w:hint="eastAsia"/>
          <w:kern w:val="0"/>
        </w:rPr>
        <w:t>、</w:t>
      </w:r>
      <w:r>
        <w:rPr>
          <w:rFonts w:ascii="Times New Roman" w:eastAsia="宋体" w:hAnsi="Times New Roman" w:cs="Times New Roman"/>
          <w:kern w:val="0"/>
        </w:rPr>
        <w:t>HBi59-2</w:t>
      </w:r>
      <w:r>
        <w:rPr>
          <w:rFonts w:ascii="Times New Roman" w:eastAsia="宋体" w:hAnsi="Times New Roman" w:cs="Times New Roman" w:hint="eastAsia"/>
          <w:kern w:val="0"/>
        </w:rPr>
        <w:t>的实测</w:t>
      </w:r>
      <w:r>
        <w:rPr>
          <w:rFonts w:ascii="Times New Roman" w:eastAsia="黑体" w:hAnsi="Times New Roman" w:cs="Times New Roman"/>
          <w:szCs w:val="21"/>
        </w:rPr>
        <w:t>化学成</w:t>
      </w:r>
      <w:r w:rsidR="00F07962">
        <w:rPr>
          <w:rFonts w:ascii="Times New Roman" w:eastAsia="黑体" w:hAnsi="Times New Roman" w:cs="Times New Roman" w:hint="eastAsia"/>
          <w:szCs w:val="21"/>
        </w:rPr>
        <w:t>分</w:t>
      </w:r>
    </w:p>
    <w:tbl>
      <w:tblPr>
        <w:tblW w:w="528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3"/>
        <w:gridCol w:w="856"/>
        <w:gridCol w:w="851"/>
        <w:gridCol w:w="847"/>
        <w:gridCol w:w="851"/>
        <w:gridCol w:w="847"/>
        <w:gridCol w:w="854"/>
        <w:gridCol w:w="564"/>
        <w:gridCol w:w="847"/>
        <w:gridCol w:w="858"/>
        <w:gridCol w:w="420"/>
      </w:tblGrid>
      <w:tr w:rsidR="003555F2" w14:paraId="3A7C2F90" w14:textId="77777777" w:rsidTr="004F71D6">
        <w:trPr>
          <w:trHeight w:val="369"/>
        </w:trPr>
        <w:tc>
          <w:tcPr>
            <w:tcW w:w="565" w:type="pct"/>
            <w:vMerge w:val="restart"/>
            <w:noWrap/>
            <w:vAlign w:val="center"/>
          </w:tcPr>
          <w:p w14:paraId="624044B5" w14:textId="77777777" w:rsidR="003555F2" w:rsidRPr="007A6BC2" w:rsidRDefault="003555F2" w:rsidP="00F07962">
            <w:pPr>
              <w:contextualSpacing/>
              <w:jc w:val="center"/>
              <w:rPr>
                <w:rFonts w:ascii="Times New Roman" w:hAnsi="Times New Roman" w:cs="Times New Roman"/>
                <w:sz w:val="18"/>
                <w:szCs w:val="18"/>
              </w:rPr>
            </w:pPr>
            <w:r w:rsidRPr="007A6BC2">
              <w:rPr>
                <w:rFonts w:ascii="Times New Roman" w:hAnsi="Times New Roman" w:cs="Times New Roman"/>
                <w:sz w:val="18"/>
                <w:szCs w:val="18"/>
              </w:rPr>
              <w:t>牌号</w:t>
            </w:r>
          </w:p>
        </w:tc>
        <w:tc>
          <w:tcPr>
            <w:tcW w:w="4435" w:type="pct"/>
            <w:gridSpan w:val="10"/>
            <w:vAlign w:val="center"/>
          </w:tcPr>
          <w:p w14:paraId="5698AEF1" w14:textId="6BA60AA3" w:rsidR="003555F2" w:rsidRPr="007A6BC2" w:rsidRDefault="003555F2" w:rsidP="00F07962">
            <w:pPr>
              <w:contextualSpacing/>
              <w:jc w:val="center"/>
              <w:rPr>
                <w:rFonts w:ascii="Times New Roman" w:hAnsi="Times New Roman" w:cs="Times New Roman"/>
                <w:sz w:val="18"/>
                <w:szCs w:val="18"/>
              </w:rPr>
            </w:pPr>
            <w:r w:rsidRPr="007A6BC2">
              <w:rPr>
                <w:rFonts w:ascii="Times New Roman" w:hAnsi="Times New Roman" w:cs="Times New Roman"/>
                <w:sz w:val="18"/>
                <w:szCs w:val="18"/>
              </w:rPr>
              <w:t>化学成分（质量分数）</w:t>
            </w:r>
            <w:r w:rsidRPr="007A6BC2">
              <w:rPr>
                <w:rFonts w:ascii="Times New Roman" w:hAnsi="Times New Roman" w:cs="Times New Roman"/>
                <w:sz w:val="18"/>
                <w:szCs w:val="18"/>
              </w:rPr>
              <w:t>%</w:t>
            </w:r>
          </w:p>
        </w:tc>
      </w:tr>
      <w:tr w:rsidR="003555F2" w14:paraId="4A77A0F5" w14:textId="77777777" w:rsidTr="004F71D6">
        <w:trPr>
          <w:trHeight w:val="598"/>
        </w:trPr>
        <w:tc>
          <w:tcPr>
            <w:tcW w:w="565" w:type="pct"/>
            <w:vMerge/>
            <w:tcBorders>
              <w:bottom w:val="single" w:sz="12" w:space="0" w:color="auto"/>
            </w:tcBorders>
            <w:noWrap/>
            <w:vAlign w:val="center"/>
          </w:tcPr>
          <w:p w14:paraId="49398340" w14:textId="77777777" w:rsidR="003555F2" w:rsidRPr="007A6BC2" w:rsidRDefault="003555F2" w:rsidP="00F07962">
            <w:pPr>
              <w:contextualSpacing/>
              <w:jc w:val="center"/>
              <w:rPr>
                <w:rFonts w:ascii="Times New Roman" w:hAnsi="Times New Roman" w:cs="Times New Roman"/>
                <w:sz w:val="18"/>
                <w:szCs w:val="18"/>
              </w:rPr>
            </w:pPr>
          </w:p>
        </w:tc>
        <w:tc>
          <w:tcPr>
            <w:tcW w:w="487" w:type="pct"/>
            <w:tcBorders>
              <w:bottom w:val="single" w:sz="12" w:space="0" w:color="auto"/>
            </w:tcBorders>
            <w:vAlign w:val="center"/>
          </w:tcPr>
          <w:p w14:paraId="3E6D0338" w14:textId="77777777"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Cu</w:t>
            </w:r>
          </w:p>
        </w:tc>
        <w:tc>
          <w:tcPr>
            <w:tcW w:w="484" w:type="pct"/>
            <w:tcBorders>
              <w:bottom w:val="single" w:sz="12" w:space="0" w:color="auto"/>
            </w:tcBorders>
            <w:vAlign w:val="center"/>
          </w:tcPr>
          <w:p w14:paraId="7721546E" w14:textId="77777777"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Al</w:t>
            </w:r>
          </w:p>
        </w:tc>
        <w:tc>
          <w:tcPr>
            <w:tcW w:w="482" w:type="pct"/>
            <w:tcBorders>
              <w:bottom w:val="single" w:sz="12" w:space="0" w:color="auto"/>
            </w:tcBorders>
            <w:vAlign w:val="center"/>
          </w:tcPr>
          <w:p w14:paraId="54B0FF0A" w14:textId="77777777"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Ni</w:t>
            </w:r>
          </w:p>
        </w:tc>
        <w:tc>
          <w:tcPr>
            <w:tcW w:w="484" w:type="pct"/>
            <w:tcBorders>
              <w:bottom w:val="single" w:sz="12" w:space="0" w:color="auto"/>
            </w:tcBorders>
            <w:vAlign w:val="center"/>
          </w:tcPr>
          <w:p w14:paraId="2534FEDF" w14:textId="77777777"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Bi</w:t>
            </w:r>
          </w:p>
        </w:tc>
        <w:tc>
          <w:tcPr>
            <w:tcW w:w="482" w:type="pct"/>
            <w:tcBorders>
              <w:bottom w:val="single" w:sz="12" w:space="0" w:color="auto"/>
            </w:tcBorders>
            <w:vAlign w:val="center"/>
          </w:tcPr>
          <w:p w14:paraId="7D227B7D" w14:textId="77777777"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Sn</w:t>
            </w:r>
          </w:p>
        </w:tc>
        <w:tc>
          <w:tcPr>
            <w:tcW w:w="486" w:type="pct"/>
            <w:tcBorders>
              <w:bottom w:val="single" w:sz="12" w:space="0" w:color="auto"/>
            </w:tcBorders>
            <w:vAlign w:val="center"/>
          </w:tcPr>
          <w:p w14:paraId="22B9B887" w14:textId="109B124B"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P</w:t>
            </w:r>
          </w:p>
        </w:tc>
        <w:tc>
          <w:tcPr>
            <w:tcW w:w="321" w:type="pct"/>
            <w:tcBorders>
              <w:bottom w:val="single" w:sz="12" w:space="0" w:color="auto"/>
            </w:tcBorders>
            <w:vAlign w:val="center"/>
          </w:tcPr>
          <w:p w14:paraId="29B12061" w14:textId="76DDEDDF"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Cd</w:t>
            </w:r>
          </w:p>
        </w:tc>
        <w:tc>
          <w:tcPr>
            <w:tcW w:w="482" w:type="pct"/>
            <w:tcBorders>
              <w:bottom w:val="single" w:sz="12" w:space="0" w:color="auto"/>
            </w:tcBorders>
            <w:vAlign w:val="center"/>
          </w:tcPr>
          <w:p w14:paraId="49E8E829" w14:textId="15A65900"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Fe</w:t>
            </w:r>
          </w:p>
        </w:tc>
        <w:tc>
          <w:tcPr>
            <w:tcW w:w="488" w:type="pct"/>
            <w:tcBorders>
              <w:bottom w:val="single" w:sz="12" w:space="0" w:color="auto"/>
            </w:tcBorders>
            <w:vAlign w:val="center"/>
          </w:tcPr>
          <w:p w14:paraId="071F53ED" w14:textId="77777777"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Pb</w:t>
            </w:r>
          </w:p>
        </w:tc>
        <w:tc>
          <w:tcPr>
            <w:tcW w:w="239" w:type="pct"/>
            <w:tcBorders>
              <w:bottom w:val="single" w:sz="12" w:space="0" w:color="auto"/>
            </w:tcBorders>
            <w:vAlign w:val="center"/>
          </w:tcPr>
          <w:p w14:paraId="4748AF3D" w14:textId="0330EC20" w:rsidR="003555F2" w:rsidRPr="007A6BC2" w:rsidRDefault="003555F2" w:rsidP="003555F2">
            <w:pPr>
              <w:contextualSpacing/>
              <w:jc w:val="center"/>
              <w:rPr>
                <w:rFonts w:ascii="Times New Roman" w:hAnsi="Times New Roman" w:cs="Times New Roman"/>
                <w:sz w:val="18"/>
                <w:szCs w:val="18"/>
              </w:rPr>
            </w:pPr>
            <w:r w:rsidRPr="007A6BC2">
              <w:rPr>
                <w:rFonts w:ascii="Times New Roman" w:hAnsi="Times New Roman" w:cs="Times New Roman"/>
                <w:sz w:val="18"/>
                <w:szCs w:val="18"/>
              </w:rPr>
              <w:t>Zn</w:t>
            </w:r>
          </w:p>
        </w:tc>
      </w:tr>
      <w:tr w:rsidR="003555F2" w14:paraId="6D126DFF" w14:textId="77777777" w:rsidTr="004F71D6">
        <w:trPr>
          <w:trHeight w:val="466"/>
        </w:trPr>
        <w:tc>
          <w:tcPr>
            <w:tcW w:w="565" w:type="pct"/>
            <w:tcBorders>
              <w:top w:val="single" w:sz="12" w:space="0" w:color="auto"/>
              <w:bottom w:val="single" w:sz="6" w:space="0" w:color="auto"/>
            </w:tcBorders>
            <w:noWrap/>
            <w:vAlign w:val="center"/>
          </w:tcPr>
          <w:p w14:paraId="6A66C320" w14:textId="77777777"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TNi1-0.6-0.25</w:t>
            </w:r>
          </w:p>
        </w:tc>
        <w:tc>
          <w:tcPr>
            <w:tcW w:w="487" w:type="pct"/>
            <w:tcBorders>
              <w:top w:val="single" w:sz="12" w:space="0" w:color="auto"/>
              <w:bottom w:val="single" w:sz="6" w:space="0" w:color="auto"/>
            </w:tcBorders>
            <w:vAlign w:val="center"/>
          </w:tcPr>
          <w:p w14:paraId="03588097" w14:textId="1DB52821"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余量</w:t>
            </w:r>
            <w:r w:rsidR="00E365B8" w:rsidRPr="007A6BC2">
              <w:rPr>
                <w:rFonts w:ascii="Times New Roman" w:hAnsi="Times New Roman" w:cs="Times New Roman"/>
                <w:sz w:val="18"/>
                <w:szCs w:val="18"/>
                <w:vertAlign w:val="superscript"/>
              </w:rPr>
              <w:t>a</w:t>
            </w:r>
          </w:p>
        </w:tc>
        <w:tc>
          <w:tcPr>
            <w:tcW w:w="484" w:type="pct"/>
            <w:tcBorders>
              <w:top w:val="single" w:sz="12" w:space="0" w:color="auto"/>
              <w:bottom w:val="single" w:sz="6" w:space="0" w:color="auto"/>
            </w:tcBorders>
            <w:vAlign w:val="center"/>
          </w:tcPr>
          <w:p w14:paraId="7549CBC9" w14:textId="77777777"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12" w:space="0" w:color="auto"/>
              <w:bottom w:val="single" w:sz="6" w:space="0" w:color="auto"/>
            </w:tcBorders>
            <w:vAlign w:val="center"/>
          </w:tcPr>
          <w:p w14:paraId="2B1BE14C" w14:textId="30233B24"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0.8325</w:t>
            </w:r>
            <w:r w:rsidRPr="007A6BC2">
              <w:rPr>
                <w:rFonts w:ascii="Times New Roman" w:hAnsi="Times New Roman" w:cs="Times New Roman"/>
                <w:sz w:val="18"/>
                <w:szCs w:val="18"/>
              </w:rPr>
              <w:t>～</w:t>
            </w:r>
            <w:r w:rsidRPr="007A6BC2">
              <w:rPr>
                <w:rFonts w:ascii="Times New Roman" w:hAnsi="Times New Roman" w:cs="Times New Roman"/>
                <w:sz w:val="18"/>
                <w:szCs w:val="18"/>
              </w:rPr>
              <w:t>1.1716</w:t>
            </w:r>
          </w:p>
        </w:tc>
        <w:tc>
          <w:tcPr>
            <w:tcW w:w="484" w:type="pct"/>
            <w:tcBorders>
              <w:top w:val="single" w:sz="12" w:space="0" w:color="auto"/>
              <w:bottom w:val="single" w:sz="6" w:space="0" w:color="auto"/>
            </w:tcBorders>
            <w:vAlign w:val="center"/>
          </w:tcPr>
          <w:p w14:paraId="679EDD13" w14:textId="3012C828"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12" w:space="0" w:color="auto"/>
              <w:bottom w:val="single" w:sz="6" w:space="0" w:color="auto"/>
            </w:tcBorders>
            <w:vAlign w:val="center"/>
          </w:tcPr>
          <w:p w14:paraId="54941225" w14:textId="11EEC83D"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0.0125~0.0475</w:t>
            </w:r>
          </w:p>
        </w:tc>
        <w:tc>
          <w:tcPr>
            <w:tcW w:w="486" w:type="pct"/>
            <w:tcBorders>
              <w:top w:val="single" w:sz="12" w:space="0" w:color="auto"/>
              <w:bottom w:val="single" w:sz="6" w:space="0" w:color="auto"/>
            </w:tcBorders>
            <w:vAlign w:val="center"/>
          </w:tcPr>
          <w:p w14:paraId="53E0285C" w14:textId="2F063BF9"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0.1792~0.3345</w:t>
            </w:r>
          </w:p>
        </w:tc>
        <w:tc>
          <w:tcPr>
            <w:tcW w:w="321" w:type="pct"/>
            <w:tcBorders>
              <w:top w:val="single" w:sz="12" w:space="0" w:color="auto"/>
              <w:bottom w:val="single" w:sz="6" w:space="0" w:color="auto"/>
            </w:tcBorders>
            <w:vAlign w:val="center"/>
          </w:tcPr>
          <w:p w14:paraId="63DA39C8" w14:textId="166CD46B"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12" w:space="0" w:color="auto"/>
              <w:bottom w:val="single" w:sz="6" w:space="0" w:color="auto"/>
            </w:tcBorders>
            <w:vAlign w:val="center"/>
          </w:tcPr>
          <w:p w14:paraId="597942F0" w14:textId="0B33F8BE"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0.0325~0.0462</w:t>
            </w:r>
          </w:p>
        </w:tc>
        <w:tc>
          <w:tcPr>
            <w:tcW w:w="488" w:type="pct"/>
            <w:tcBorders>
              <w:top w:val="single" w:sz="12" w:space="0" w:color="auto"/>
              <w:bottom w:val="single" w:sz="6" w:space="0" w:color="auto"/>
            </w:tcBorders>
            <w:vAlign w:val="center"/>
          </w:tcPr>
          <w:p w14:paraId="1C09D226" w14:textId="279025AF"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0.5336~0.6752</w:t>
            </w:r>
          </w:p>
        </w:tc>
        <w:tc>
          <w:tcPr>
            <w:tcW w:w="239" w:type="pct"/>
            <w:tcBorders>
              <w:top w:val="single" w:sz="12" w:space="0" w:color="auto"/>
              <w:bottom w:val="single" w:sz="6" w:space="0" w:color="auto"/>
            </w:tcBorders>
            <w:vAlign w:val="center"/>
          </w:tcPr>
          <w:p w14:paraId="1DC36BFC" w14:textId="0056BF22" w:rsidR="003555F2" w:rsidRPr="007A6BC2" w:rsidRDefault="003555F2" w:rsidP="00F07962">
            <w:pPr>
              <w:jc w:val="center"/>
              <w:rPr>
                <w:rFonts w:ascii="Times New Roman" w:hAnsi="Times New Roman" w:cs="Times New Roman"/>
                <w:sz w:val="18"/>
                <w:szCs w:val="18"/>
              </w:rPr>
            </w:pPr>
            <w:r w:rsidRPr="007A6BC2">
              <w:rPr>
                <w:rFonts w:ascii="Times New Roman" w:hAnsi="Times New Roman" w:cs="Times New Roman"/>
                <w:sz w:val="18"/>
                <w:szCs w:val="18"/>
              </w:rPr>
              <w:t>-</w:t>
            </w:r>
          </w:p>
        </w:tc>
      </w:tr>
      <w:tr w:rsidR="003555F2" w14:paraId="02921C38" w14:textId="77777777" w:rsidTr="004F71D6">
        <w:trPr>
          <w:trHeight w:val="401"/>
        </w:trPr>
        <w:tc>
          <w:tcPr>
            <w:tcW w:w="565" w:type="pct"/>
            <w:tcBorders>
              <w:top w:val="single" w:sz="6" w:space="0" w:color="auto"/>
              <w:bottom w:val="single" w:sz="6" w:space="0" w:color="auto"/>
            </w:tcBorders>
            <w:noWrap/>
            <w:vAlign w:val="center"/>
          </w:tcPr>
          <w:p w14:paraId="7712CC77" w14:textId="77777777"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HPb57-2.8</w:t>
            </w:r>
          </w:p>
        </w:tc>
        <w:tc>
          <w:tcPr>
            <w:tcW w:w="487" w:type="pct"/>
            <w:tcBorders>
              <w:top w:val="single" w:sz="6" w:space="0" w:color="auto"/>
              <w:bottom w:val="single" w:sz="6" w:space="0" w:color="auto"/>
            </w:tcBorders>
            <w:vAlign w:val="center"/>
          </w:tcPr>
          <w:p w14:paraId="53744BDB" w14:textId="77777777"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56.32~</w:t>
            </w:r>
          </w:p>
          <w:p w14:paraId="273AE2C0" w14:textId="3CEC61E4"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58.79</w:t>
            </w:r>
          </w:p>
        </w:tc>
        <w:tc>
          <w:tcPr>
            <w:tcW w:w="484" w:type="pct"/>
            <w:tcBorders>
              <w:top w:val="single" w:sz="6" w:space="0" w:color="auto"/>
              <w:bottom w:val="single" w:sz="6" w:space="0" w:color="auto"/>
            </w:tcBorders>
            <w:vAlign w:val="center"/>
          </w:tcPr>
          <w:p w14:paraId="19199A6C" w14:textId="77777777"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6" w:space="0" w:color="auto"/>
              <w:bottom w:val="single" w:sz="6" w:space="0" w:color="auto"/>
            </w:tcBorders>
            <w:vAlign w:val="center"/>
          </w:tcPr>
          <w:p w14:paraId="0645DD55" w14:textId="1C96EFDD"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0.2348~0.5766</w:t>
            </w:r>
          </w:p>
        </w:tc>
        <w:tc>
          <w:tcPr>
            <w:tcW w:w="484" w:type="pct"/>
            <w:tcBorders>
              <w:top w:val="single" w:sz="6" w:space="0" w:color="auto"/>
              <w:bottom w:val="single" w:sz="6" w:space="0" w:color="auto"/>
            </w:tcBorders>
            <w:vAlign w:val="center"/>
          </w:tcPr>
          <w:p w14:paraId="4148ACEB" w14:textId="632218A9"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6" w:space="0" w:color="auto"/>
              <w:bottom w:val="single" w:sz="6" w:space="0" w:color="auto"/>
            </w:tcBorders>
            <w:vAlign w:val="center"/>
          </w:tcPr>
          <w:p w14:paraId="1C1E7F33" w14:textId="0E2A28EF"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1.315~1.757</w:t>
            </w:r>
          </w:p>
        </w:tc>
        <w:tc>
          <w:tcPr>
            <w:tcW w:w="486" w:type="pct"/>
            <w:tcBorders>
              <w:top w:val="single" w:sz="6" w:space="0" w:color="auto"/>
              <w:bottom w:val="single" w:sz="6" w:space="0" w:color="auto"/>
            </w:tcBorders>
            <w:vAlign w:val="center"/>
          </w:tcPr>
          <w:p w14:paraId="53ECF0B8" w14:textId="0185539C"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321" w:type="pct"/>
            <w:tcBorders>
              <w:top w:val="single" w:sz="6" w:space="0" w:color="auto"/>
              <w:bottom w:val="single" w:sz="6" w:space="0" w:color="auto"/>
            </w:tcBorders>
            <w:vAlign w:val="center"/>
          </w:tcPr>
          <w:p w14:paraId="62F1AF02" w14:textId="5821CF72"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6" w:space="0" w:color="auto"/>
              <w:bottom w:val="single" w:sz="6" w:space="0" w:color="auto"/>
            </w:tcBorders>
            <w:vAlign w:val="center"/>
          </w:tcPr>
          <w:p w14:paraId="43DB97BD" w14:textId="45E7A6AA"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0.5762~0.7877</w:t>
            </w:r>
          </w:p>
        </w:tc>
        <w:tc>
          <w:tcPr>
            <w:tcW w:w="488" w:type="pct"/>
            <w:tcBorders>
              <w:top w:val="single" w:sz="6" w:space="0" w:color="auto"/>
              <w:bottom w:val="single" w:sz="6" w:space="0" w:color="auto"/>
            </w:tcBorders>
            <w:vAlign w:val="center"/>
          </w:tcPr>
          <w:p w14:paraId="72650F01" w14:textId="77777777"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2.036~</w:t>
            </w:r>
          </w:p>
          <w:p w14:paraId="5A58FFC8" w14:textId="59782D0C"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3.365</w:t>
            </w:r>
          </w:p>
        </w:tc>
        <w:tc>
          <w:tcPr>
            <w:tcW w:w="239" w:type="pct"/>
            <w:tcBorders>
              <w:top w:val="single" w:sz="6" w:space="0" w:color="auto"/>
              <w:bottom w:val="single" w:sz="6" w:space="0" w:color="auto"/>
            </w:tcBorders>
            <w:vAlign w:val="center"/>
          </w:tcPr>
          <w:p w14:paraId="3A7055A3" w14:textId="01EEC11C" w:rsidR="003555F2" w:rsidRPr="007A6BC2" w:rsidRDefault="003555F2" w:rsidP="008D3A75">
            <w:pPr>
              <w:jc w:val="center"/>
              <w:rPr>
                <w:rFonts w:ascii="Times New Roman" w:hAnsi="Times New Roman" w:cs="Times New Roman"/>
                <w:sz w:val="18"/>
                <w:szCs w:val="18"/>
              </w:rPr>
            </w:pPr>
            <w:r w:rsidRPr="007A6BC2">
              <w:rPr>
                <w:rFonts w:ascii="Times New Roman" w:hAnsi="Times New Roman" w:cs="Times New Roman"/>
                <w:sz w:val="18"/>
                <w:szCs w:val="18"/>
              </w:rPr>
              <w:t>余量</w:t>
            </w:r>
          </w:p>
        </w:tc>
      </w:tr>
      <w:tr w:rsidR="003555F2" w14:paraId="18896D44" w14:textId="77777777" w:rsidTr="004F71D6">
        <w:trPr>
          <w:trHeight w:val="401"/>
        </w:trPr>
        <w:tc>
          <w:tcPr>
            <w:tcW w:w="565" w:type="pct"/>
            <w:tcBorders>
              <w:top w:val="single" w:sz="6" w:space="0" w:color="auto"/>
              <w:bottom w:val="single" w:sz="6" w:space="0" w:color="auto"/>
            </w:tcBorders>
            <w:noWrap/>
            <w:vAlign w:val="center"/>
          </w:tcPr>
          <w:p w14:paraId="45894AB6" w14:textId="7A7C9AD6"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HBi59-1.5</w:t>
            </w:r>
          </w:p>
        </w:tc>
        <w:tc>
          <w:tcPr>
            <w:tcW w:w="487" w:type="pct"/>
            <w:tcBorders>
              <w:top w:val="single" w:sz="6" w:space="0" w:color="auto"/>
              <w:bottom w:val="single" w:sz="6" w:space="0" w:color="auto"/>
            </w:tcBorders>
            <w:vAlign w:val="center"/>
          </w:tcPr>
          <w:p w14:paraId="3F040029" w14:textId="013ABA7D"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58.24~59.87</w:t>
            </w:r>
          </w:p>
        </w:tc>
        <w:tc>
          <w:tcPr>
            <w:tcW w:w="484" w:type="pct"/>
            <w:tcBorders>
              <w:top w:val="single" w:sz="6" w:space="0" w:color="auto"/>
              <w:bottom w:val="single" w:sz="6" w:space="0" w:color="auto"/>
            </w:tcBorders>
            <w:vAlign w:val="center"/>
          </w:tcPr>
          <w:p w14:paraId="1786E8C8" w14:textId="719CECC3"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6" w:space="0" w:color="auto"/>
              <w:bottom w:val="single" w:sz="6" w:space="0" w:color="auto"/>
            </w:tcBorders>
            <w:vAlign w:val="center"/>
          </w:tcPr>
          <w:p w14:paraId="2D9D09DD" w14:textId="2C33E04A"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4" w:type="pct"/>
            <w:tcBorders>
              <w:top w:val="single" w:sz="6" w:space="0" w:color="auto"/>
              <w:bottom w:val="single" w:sz="6" w:space="0" w:color="auto"/>
            </w:tcBorders>
            <w:vAlign w:val="center"/>
          </w:tcPr>
          <w:p w14:paraId="7C902884" w14:textId="09BB12FB"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0.601~2.376</w:t>
            </w:r>
          </w:p>
        </w:tc>
        <w:tc>
          <w:tcPr>
            <w:tcW w:w="482" w:type="pct"/>
            <w:tcBorders>
              <w:top w:val="single" w:sz="6" w:space="0" w:color="auto"/>
              <w:bottom w:val="single" w:sz="6" w:space="0" w:color="auto"/>
            </w:tcBorders>
            <w:vAlign w:val="center"/>
          </w:tcPr>
          <w:p w14:paraId="416F49DD" w14:textId="71AC7447"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0.2533~0.4425</w:t>
            </w:r>
          </w:p>
        </w:tc>
        <w:tc>
          <w:tcPr>
            <w:tcW w:w="486" w:type="pct"/>
            <w:tcBorders>
              <w:top w:val="single" w:sz="6" w:space="0" w:color="auto"/>
              <w:bottom w:val="single" w:sz="6" w:space="0" w:color="auto"/>
            </w:tcBorders>
            <w:vAlign w:val="center"/>
          </w:tcPr>
          <w:p w14:paraId="65716B24" w14:textId="5358B93C"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0.1112~0.1352</w:t>
            </w:r>
          </w:p>
        </w:tc>
        <w:tc>
          <w:tcPr>
            <w:tcW w:w="321" w:type="pct"/>
            <w:tcBorders>
              <w:top w:val="single" w:sz="6" w:space="0" w:color="auto"/>
              <w:bottom w:val="single" w:sz="6" w:space="0" w:color="auto"/>
            </w:tcBorders>
            <w:vAlign w:val="center"/>
          </w:tcPr>
          <w:p w14:paraId="133D6D6F" w14:textId="1E7F8FE0"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≤0.0008</w:t>
            </w:r>
          </w:p>
        </w:tc>
        <w:tc>
          <w:tcPr>
            <w:tcW w:w="482" w:type="pct"/>
            <w:tcBorders>
              <w:top w:val="single" w:sz="6" w:space="0" w:color="auto"/>
              <w:bottom w:val="single" w:sz="6" w:space="0" w:color="auto"/>
            </w:tcBorders>
            <w:vAlign w:val="center"/>
          </w:tcPr>
          <w:p w14:paraId="4B282556" w14:textId="56EDC548"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0.1325~0.1825</w:t>
            </w:r>
          </w:p>
        </w:tc>
        <w:tc>
          <w:tcPr>
            <w:tcW w:w="488" w:type="pct"/>
            <w:tcBorders>
              <w:top w:val="single" w:sz="6" w:space="0" w:color="auto"/>
              <w:bottom w:val="single" w:sz="6" w:space="0" w:color="auto"/>
            </w:tcBorders>
            <w:vAlign w:val="center"/>
          </w:tcPr>
          <w:p w14:paraId="5E2D253D" w14:textId="7698A8E9"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≤0.0082</w:t>
            </w:r>
          </w:p>
        </w:tc>
        <w:tc>
          <w:tcPr>
            <w:tcW w:w="239" w:type="pct"/>
            <w:tcBorders>
              <w:top w:val="single" w:sz="6" w:space="0" w:color="auto"/>
              <w:bottom w:val="single" w:sz="6" w:space="0" w:color="auto"/>
            </w:tcBorders>
            <w:vAlign w:val="center"/>
          </w:tcPr>
          <w:p w14:paraId="04FA7C91" w14:textId="6FA86093"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余量</w:t>
            </w:r>
          </w:p>
        </w:tc>
      </w:tr>
      <w:tr w:rsidR="003555F2" w14:paraId="543F260D" w14:textId="77777777" w:rsidTr="004F71D6">
        <w:trPr>
          <w:trHeight w:val="497"/>
        </w:trPr>
        <w:tc>
          <w:tcPr>
            <w:tcW w:w="565" w:type="pct"/>
            <w:tcBorders>
              <w:top w:val="single" w:sz="6" w:space="0" w:color="auto"/>
              <w:bottom w:val="single" w:sz="12" w:space="0" w:color="auto"/>
            </w:tcBorders>
            <w:noWrap/>
            <w:vAlign w:val="center"/>
          </w:tcPr>
          <w:p w14:paraId="3A514731" w14:textId="77777777"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HBi59-2</w:t>
            </w:r>
          </w:p>
        </w:tc>
        <w:tc>
          <w:tcPr>
            <w:tcW w:w="487" w:type="pct"/>
            <w:tcBorders>
              <w:top w:val="single" w:sz="6" w:space="0" w:color="auto"/>
              <w:bottom w:val="single" w:sz="12" w:space="0" w:color="auto"/>
            </w:tcBorders>
            <w:vAlign w:val="center"/>
          </w:tcPr>
          <w:p w14:paraId="1B949C45" w14:textId="77777777"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57.27~</w:t>
            </w:r>
          </w:p>
          <w:p w14:paraId="5B24FB24" w14:textId="2F8EFD35"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59.86</w:t>
            </w:r>
          </w:p>
        </w:tc>
        <w:tc>
          <w:tcPr>
            <w:tcW w:w="484" w:type="pct"/>
            <w:tcBorders>
              <w:top w:val="single" w:sz="6" w:space="0" w:color="auto"/>
              <w:bottom w:val="single" w:sz="12" w:space="0" w:color="auto"/>
            </w:tcBorders>
            <w:vAlign w:val="center"/>
          </w:tcPr>
          <w:p w14:paraId="34C38AD7" w14:textId="0CB221F3"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0.4534~0.0943</w:t>
            </w:r>
          </w:p>
        </w:tc>
        <w:tc>
          <w:tcPr>
            <w:tcW w:w="482" w:type="pct"/>
            <w:tcBorders>
              <w:top w:val="single" w:sz="6" w:space="0" w:color="auto"/>
              <w:bottom w:val="single" w:sz="12" w:space="0" w:color="auto"/>
            </w:tcBorders>
            <w:vAlign w:val="center"/>
          </w:tcPr>
          <w:p w14:paraId="4CB2301F" w14:textId="64B21A76"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0.2234~0.2912</w:t>
            </w:r>
          </w:p>
        </w:tc>
        <w:tc>
          <w:tcPr>
            <w:tcW w:w="484" w:type="pct"/>
            <w:tcBorders>
              <w:top w:val="single" w:sz="6" w:space="0" w:color="auto"/>
              <w:bottom w:val="single" w:sz="12" w:space="0" w:color="auto"/>
            </w:tcBorders>
            <w:vAlign w:val="center"/>
          </w:tcPr>
          <w:p w14:paraId="7BFAEC4F" w14:textId="77777777"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1.123~</w:t>
            </w:r>
          </w:p>
          <w:p w14:paraId="6AED032E" w14:textId="54A93FA1"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2.896</w:t>
            </w:r>
          </w:p>
        </w:tc>
        <w:tc>
          <w:tcPr>
            <w:tcW w:w="482" w:type="pct"/>
            <w:tcBorders>
              <w:top w:val="single" w:sz="6" w:space="0" w:color="auto"/>
              <w:bottom w:val="single" w:sz="12" w:space="0" w:color="auto"/>
            </w:tcBorders>
            <w:vAlign w:val="center"/>
          </w:tcPr>
          <w:p w14:paraId="219FE776" w14:textId="0C1B87C8"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0.1369~0.2865</w:t>
            </w:r>
          </w:p>
        </w:tc>
        <w:tc>
          <w:tcPr>
            <w:tcW w:w="486" w:type="pct"/>
            <w:tcBorders>
              <w:top w:val="single" w:sz="6" w:space="0" w:color="auto"/>
              <w:bottom w:val="single" w:sz="12" w:space="0" w:color="auto"/>
            </w:tcBorders>
            <w:vAlign w:val="center"/>
          </w:tcPr>
          <w:p w14:paraId="45F1ED31" w14:textId="1B92C707"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321" w:type="pct"/>
            <w:tcBorders>
              <w:top w:val="single" w:sz="6" w:space="0" w:color="auto"/>
              <w:bottom w:val="single" w:sz="12" w:space="0" w:color="auto"/>
            </w:tcBorders>
            <w:vAlign w:val="center"/>
          </w:tcPr>
          <w:p w14:paraId="19B462A9" w14:textId="4EA98333"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482" w:type="pct"/>
            <w:tcBorders>
              <w:top w:val="single" w:sz="6" w:space="0" w:color="auto"/>
              <w:bottom w:val="single" w:sz="12" w:space="0" w:color="auto"/>
            </w:tcBorders>
            <w:vAlign w:val="center"/>
          </w:tcPr>
          <w:p w14:paraId="6D254398" w14:textId="369BFFE2"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0.1459~0.1857</w:t>
            </w:r>
          </w:p>
        </w:tc>
        <w:tc>
          <w:tcPr>
            <w:tcW w:w="488" w:type="pct"/>
            <w:tcBorders>
              <w:top w:val="single" w:sz="6" w:space="0" w:color="auto"/>
              <w:bottom w:val="single" w:sz="12" w:space="0" w:color="auto"/>
            </w:tcBorders>
            <w:vAlign w:val="center"/>
          </w:tcPr>
          <w:p w14:paraId="499F1368" w14:textId="411B5FD2"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0.0375~0.0857</w:t>
            </w:r>
          </w:p>
        </w:tc>
        <w:tc>
          <w:tcPr>
            <w:tcW w:w="239" w:type="pct"/>
            <w:tcBorders>
              <w:top w:val="single" w:sz="6" w:space="0" w:color="auto"/>
              <w:bottom w:val="single" w:sz="12" w:space="0" w:color="auto"/>
            </w:tcBorders>
            <w:vAlign w:val="center"/>
          </w:tcPr>
          <w:p w14:paraId="195E5DBF" w14:textId="18532088" w:rsidR="003555F2" w:rsidRPr="007A6BC2" w:rsidRDefault="003555F2" w:rsidP="003536BB">
            <w:pPr>
              <w:jc w:val="center"/>
              <w:rPr>
                <w:rFonts w:ascii="Times New Roman" w:hAnsi="Times New Roman" w:cs="Times New Roman"/>
                <w:sz w:val="18"/>
                <w:szCs w:val="18"/>
              </w:rPr>
            </w:pPr>
            <w:r w:rsidRPr="007A6BC2">
              <w:rPr>
                <w:rFonts w:ascii="Times New Roman" w:hAnsi="Times New Roman" w:cs="Times New Roman"/>
                <w:sz w:val="18"/>
                <w:szCs w:val="18"/>
              </w:rPr>
              <w:t>余量</w:t>
            </w:r>
          </w:p>
        </w:tc>
      </w:tr>
      <w:tr w:rsidR="003555F2" w14:paraId="433ED786" w14:textId="77777777" w:rsidTr="004F71D6">
        <w:trPr>
          <w:trHeight w:val="167"/>
        </w:trPr>
        <w:tc>
          <w:tcPr>
            <w:tcW w:w="5000" w:type="pct"/>
            <w:gridSpan w:val="11"/>
            <w:tcBorders>
              <w:top w:val="single" w:sz="12" w:space="0" w:color="auto"/>
              <w:bottom w:val="single" w:sz="12" w:space="0" w:color="auto"/>
            </w:tcBorders>
            <w:vAlign w:val="center"/>
          </w:tcPr>
          <w:p w14:paraId="15A3AD5F" w14:textId="3839B3E7" w:rsidR="003555F2" w:rsidRPr="007A6BC2" w:rsidRDefault="003555F2" w:rsidP="003536BB">
            <w:pPr>
              <w:pStyle w:val="aff"/>
              <w:ind w:firstLine="360"/>
              <w:contextualSpacing/>
              <w:jc w:val="left"/>
              <w:rPr>
                <w:rFonts w:ascii="Times New Roman"/>
                <w:sz w:val="18"/>
                <w:szCs w:val="18"/>
              </w:rPr>
            </w:pPr>
            <w:r w:rsidRPr="007A6BC2">
              <w:rPr>
                <w:rFonts w:ascii="Times New Roman"/>
                <w:sz w:val="18"/>
                <w:szCs w:val="18"/>
                <w:vertAlign w:val="superscript"/>
              </w:rPr>
              <w:t>a</w:t>
            </w:r>
            <w:r w:rsidRPr="007A6BC2">
              <w:rPr>
                <w:rFonts w:ascii="Times New Roman"/>
                <w:sz w:val="18"/>
                <w:szCs w:val="18"/>
              </w:rPr>
              <w:t>此值包含</w:t>
            </w:r>
            <w:r w:rsidRPr="007A6BC2">
              <w:rPr>
                <w:rFonts w:ascii="Times New Roman"/>
                <w:sz w:val="18"/>
                <w:szCs w:val="18"/>
              </w:rPr>
              <w:t>Ag</w:t>
            </w:r>
            <w:r w:rsidRPr="007A6BC2">
              <w:rPr>
                <w:rFonts w:ascii="Times New Roman"/>
                <w:sz w:val="18"/>
                <w:szCs w:val="18"/>
              </w:rPr>
              <w:t>。</w:t>
            </w:r>
          </w:p>
        </w:tc>
      </w:tr>
    </w:tbl>
    <w:p w14:paraId="5C037455" w14:textId="77777777" w:rsidR="00D85DD8" w:rsidRPr="00D85DD8" w:rsidRDefault="00D85DD8" w:rsidP="00D85DD8">
      <w:pPr>
        <w:pStyle w:val="aff"/>
        <w:ind w:firstLineChars="0" w:firstLine="0"/>
        <w:contextualSpacing/>
        <w:rPr>
          <w:rFonts w:ascii="Times New Roman"/>
          <w:sz w:val="18"/>
        </w:rPr>
      </w:pPr>
    </w:p>
    <w:p w14:paraId="2A007C5F" w14:textId="5FA875B2" w:rsidR="004426E6" w:rsidRDefault="00000000">
      <w:pPr>
        <w:contextualSpacing/>
        <w:jc w:val="center"/>
        <w:rPr>
          <w:rFonts w:ascii="Times New Roman" w:eastAsia="黑体" w:hAnsi="Times New Roman" w:cs="Times New Roman"/>
          <w:szCs w:val="21"/>
        </w:rPr>
      </w:pPr>
      <w:r>
        <w:rPr>
          <w:rFonts w:ascii="Times New Roman" w:eastAsia="黑体" w:hAnsi="Times New Roman" w:cs="Times New Roman"/>
          <w:szCs w:val="21"/>
        </w:rPr>
        <w:t>表</w:t>
      </w:r>
      <w:r w:rsidR="00F508B0">
        <w:rPr>
          <w:rFonts w:ascii="Times New Roman" w:eastAsia="黑体" w:hAnsi="Times New Roman" w:cs="Times New Roman" w:hint="eastAsia"/>
          <w:szCs w:val="21"/>
        </w:rPr>
        <w:t>3</w:t>
      </w:r>
      <w:r w:rsidR="00F508B0">
        <w:rPr>
          <w:rFonts w:ascii="Times New Roman" w:eastAsia="黑体" w:hAnsi="Times New Roman" w:cs="Times New Roman"/>
          <w:szCs w:val="21"/>
        </w:rPr>
        <w:t xml:space="preserve"> </w:t>
      </w:r>
      <w:r w:rsidR="00F508B0">
        <w:rPr>
          <w:rFonts w:ascii="Times New Roman" w:eastAsia="宋体" w:hAnsi="Times New Roman" w:cs="Times New Roman"/>
          <w:kern w:val="0"/>
        </w:rPr>
        <w:t>TNi1-0.</w:t>
      </w:r>
      <w:r w:rsidR="00F508B0">
        <w:rPr>
          <w:rFonts w:ascii="Times New Roman" w:eastAsia="宋体" w:hAnsi="Times New Roman" w:cs="Times New Roman" w:hint="eastAsia"/>
          <w:kern w:val="0"/>
        </w:rPr>
        <w:t>6</w:t>
      </w:r>
      <w:r w:rsidR="00F508B0">
        <w:rPr>
          <w:rFonts w:ascii="Times New Roman" w:eastAsia="宋体" w:hAnsi="Times New Roman" w:cs="Times New Roman"/>
          <w:kern w:val="0"/>
        </w:rPr>
        <w:t>-0.25</w:t>
      </w:r>
      <w:r w:rsidR="00F508B0">
        <w:rPr>
          <w:rFonts w:ascii="Times New Roman" w:eastAsia="宋体" w:hAnsi="Times New Roman" w:cs="Times New Roman" w:hint="eastAsia"/>
          <w:kern w:val="0"/>
        </w:rPr>
        <w:t>、</w:t>
      </w:r>
      <w:r w:rsidR="00F508B0">
        <w:rPr>
          <w:rFonts w:ascii="Times New Roman" w:eastAsia="宋体" w:hAnsi="Times New Roman" w:cs="Times New Roman" w:hint="eastAsia"/>
          <w:kern w:val="0"/>
        </w:rPr>
        <w:t>HPb57-2.8</w:t>
      </w:r>
      <w:r w:rsidR="00F508B0">
        <w:rPr>
          <w:rFonts w:ascii="Times New Roman" w:eastAsia="宋体" w:hAnsi="Times New Roman" w:cs="Times New Roman" w:hint="eastAsia"/>
          <w:kern w:val="0"/>
        </w:rPr>
        <w:t>、</w:t>
      </w:r>
      <w:r w:rsidR="00CC6424">
        <w:rPr>
          <w:rFonts w:ascii="Times New Roman" w:eastAsia="宋体" w:hAnsi="Times New Roman" w:cs="Times New Roman" w:hint="eastAsia"/>
          <w:kern w:val="0"/>
        </w:rPr>
        <w:t>HPb59-1.5</w:t>
      </w:r>
      <w:r w:rsidR="00CC6424">
        <w:rPr>
          <w:rFonts w:ascii="Times New Roman" w:eastAsia="宋体" w:hAnsi="Times New Roman" w:cs="Times New Roman" w:hint="eastAsia"/>
          <w:kern w:val="0"/>
        </w:rPr>
        <w:t>、</w:t>
      </w:r>
      <w:r w:rsidR="00F508B0">
        <w:rPr>
          <w:rFonts w:ascii="Times New Roman" w:eastAsia="宋体" w:hAnsi="Times New Roman" w:cs="Times New Roman"/>
          <w:kern w:val="0"/>
        </w:rPr>
        <w:t>HBi59-2</w:t>
      </w:r>
      <w:r w:rsidR="00F508B0">
        <w:rPr>
          <w:rFonts w:ascii="Times New Roman" w:eastAsia="宋体" w:hAnsi="Times New Roman" w:cs="Times New Roman" w:hint="eastAsia"/>
          <w:kern w:val="0"/>
        </w:rPr>
        <w:t>的</w:t>
      </w:r>
      <w:r>
        <w:rPr>
          <w:rFonts w:ascii="Times New Roman" w:eastAsia="黑体" w:hAnsi="Times New Roman" w:cs="Times New Roman"/>
          <w:szCs w:val="21"/>
        </w:rPr>
        <w:t>化学成分</w:t>
      </w:r>
    </w:p>
    <w:tbl>
      <w:tblPr>
        <w:tblW w:w="51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20"/>
        <w:gridCol w:w="993"/>
        <w:gridCol w:w="566"/>
        <w:gridCol w:w="570"/>
        <w:gridCol w:w="570"/>
        <w:gridCol w:w="661"/>
        <w:gridCol w:w="751"/>
        <w:gridCol w:w="711"/>
        <w:gridCol w:w="684"/>
        <w:gridCol w:w="589"/>
        <w:gridCol w:w="711"/>
        <w:gridCol w:w="706"/>
      </w:tblGrid>
      <w:tr w:rsidR="003536BB" w14:paraId="0957E6E1" w14:textId="77777777" w:rsidTr="008C565A">
        <w:trPr>
          <w:trHeight w:val="369"/>
        </w:trPr>
        <w:tc>
          <w:tcPr>
            <w:tcW w:w="649" w:type="pct"/>
            <w:vMerge w:val="restart"/>
            <w:noWrap/>
            <w:vAlign w:val="center"/>
          </w:tcPr>
          <w:p w14:paraId="7D7EA239" w14:textId="77777777" w:rsidR="003536BB" w:rsidRDefault="003536BB" w:rsidP="0066024B">
            <w:pPr>
              <w:jc w:val="center"/>
              <w:rPr>
                <w:color w:val="000000"/>
                <w:sz w:val="18"/>
                <w:szCs w:val="18"/>
              </w:rPr>
            </w:pPr>
            <w:r>
              <w:rPr>
                <w:color w:val="000000"/>
                <w:sz w:val="18"/>
                <w:szCs w:val="18"/>
              </w:rPr>
              <w:t>牌号</w:t>
            </w:r>
          </w:p>
        </w:tc>
        <w:tc>
          <w:tcPr>
            <w:tcW w:w="4351" w:type="pct"/>
            <w:gridSpan w:val="11"/>
            <w:vAlign w:val="center"/>
          </w:tcPr>
          <w:p w14:paraId="7E226A60" w14:textId="77777777" w:rsidR="003536BB" w:rsidRDefault="003536BB" w:rsidP="0066024B">
            <w:pPr>
              <w:widowControl/>
              <w:jc w:val="center"/>
              <w:rPr>
                <w:color w:val="000000"/>
                <w:sz w:val="18"/>
                <w:szCs w:val="18"/>
              </w:rPr>
            </w:pPr>
            <w:r>
              <w:rPr>
                <w:sz w:val="18"/>
                <w:szCs w:val="18"/>
              </w:rPr>
              <w:t>化学成分（质量分数）</w:t>
            </w:r>
            <w:r>
              <w:rPr>
                <w:sz w:val="18"/>
                <w:szCs w:val="18"/>
              </w:rPr>
              <w:t>%</w:t>
            </w:r>
          </w:p>
        </w:tc>
      </w:tr>
      <w:tr w:rsidR="003536BB" w14:paraId="4D3922D3" w14:textId="77777777" w:rsidTr="008C565A">
        <w:trPr>
          <w:trHeight w:val="598"/>
        </w:trPr>
        <w:tc>
          <w:tcPr>
            <w:tcW w:w="649" w:type="pct"/>
            <w:vMerge/>
            <w:tcBorders>
              <w:bottom w:val="single" w:sz="12" w:space="0" w:color="auto"/>
            </w:tcBorders>
            <w:noWrap/>
            <w:vAlign w:val="center"/>
          </w:tcPr>
          <w:p w14:paraId="0C40FEE9" w14:textId="77777777" w:rsidR="003536BB" w:rsidRDefault="003536BB" w:rsidP="0066024B">
            <w:pPr>
              <w:jc w:val="center"/>
              <w:rPr>
                <w:color w:val="000000"/>
                <w:sz w:val="18"/>
                <w:szCs w:val="18"/>
              </w:rPr>
            </w:pPr>
          </w:p>
        </w:tc>
        <w:tc>
          <w:tcPr>
            <w:tcW w:w="575" w:type="pct"/>
            <w:tcBorders>
              <w:bottom w:val="single" w:sz="12" w:space="0" w:color="auto"/>
            </w:tcBorders>
            <w:vAlign w:val="center"/>
          </w:tcPr>
          <w:p w14:paraId="347FFAD3"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Cu</w:t>
            </w:r>
          </w:p>
        </w:tc>
        <w:tc>
          <w:tcPr>
            <w:tcW w:w="328" w:type="pct"/>
            <w:tcBorders>
              <w:bottom w:val="single" w:sz="12" w:space="0" w:color="auto"/>
            </w:tcBorders>
            <w:vAlign w:val="center"/>
          </w:tcPr>
          <w:p w14:paraId="2CC643C0"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hint="eastAsia"/>
                <w:sz w:val="18"/>
                <w:szCs w:val="18"/>
              </w:rPr>
              <w:t>Al</w:t>
            </w:r>
          </w:p>
        </w:tc>
        <w:tc>
          <w:tcPr>
            <w:tcW w:w="330" w:type="pct"/>
            <w:tcBorders>
              <w:bottom w:val="single" w:sz="12" w:space="0" w:color="auto"/>
            </w:tcBorders>
            <w:vAlign w:val="center"/>
          </w:tcPr>
          <w:p w14:paraId="4D21E11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Ni</w:t>
            </w:r>
          </w:p>
        </w:tc>
        <w:tc>
          <w:tcPr>
            <w:tcW w:w="330" w:type="pct"/>
            <w:tcBorders>
              <w:bottom w:val="single" w:sz="12" w:space="0" w:color="auto"/>
            </w:tcBorders>
            <w:vAlign w:val="center"/>
          </w:tcPr>
          <w:p w14:paraId="27C4D5A5"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Bi</w:t>
            </w:r>
          </w:p>
        </w:tc>
        <w:tc>
          <w:tcPr>
            <w:tcW w:w="383" w:type="pct"/>
            <w:tcBorders>
              <w:bottom w:val="single" w:sz="12" w:space="0" w:color="auto"/>
            </w:tcBorders>
            <w:vAlign w:val="center"/>
          </w:tcPr>
          <w:p w14:paraId="4544EDD0"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Sn</w:t>
            </w:r>
          </w:p>
        </w:tc>
        <w:tc>
          <w:tcPr>
            <w:tcW w:w="435" w:type="pct"/>
            <w:tcBorders>
              <w:bottom w:val="single" w:sz="12" w:space="0" w:color="auto"/>
            </w:tcBorders>
            <w:vAlign w:val="center"/>
          </w:tcPr>
          <w:p w14:paraId="00641A5C"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P</w:t>
            </w:r>
          </w:p>
        </w:tc>
        <w:tc>
          <w:tcPr>
            <w:tcW w:w="412" w:type="pct"/>
            <w:tcBorders>
              <w:bottom w:val="single" w:sz="12" w:space="0" w:color="auto"/>
            </w:tcBorders>
            <w:vAlign w:val="center"/>
          </w:tcPr>
          <w:p w14:paraId="1B53EE13"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hint="eastAsia"/>
                <w:sz w:val="18"/>
                <w:szCs w:val="18"/>
              </w:rPr>
              <w:t>Cd</w:t>
            </w:r>
          </w:p>
        </w:tc>
        <w:tc>
          <w:tcPr>
            <w:tcW w:w="396" w:type="pct"/>
            <w:tcBorders>
              <w:bottom w:val="single" w:sz="12" w:space="0" w:color="auto"/>
            </w:tcBorders>
            <w:vAlign w:val="center"/>
          </w:tcPr>
          <w:p w14:paraId="7DE120A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Fe</w:t>
            </w:r>
          </w:p>
        </w:tc>
        <w:tc>
          <w:tcPr>
            <w:tcW w:w="341" w:type="pct"/>
            <w:tcBorders>
              <w:bottom w:val="single" w:sz="12" w:space="0" w:color="auto"/>
            </w:tcBorders>
            <w:vAlign w:val="center"/>
          </w:tcPr>
          <w:p w14:paraId="40AE6F0D"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Pb</w:t>
            </w:r>
          </w:p>
        </w:tc>
        <w:tc>
          <w:tcPr>
            <w:tcW w:w="412" w:type="pct"/>
            <w:tcBorders>
              <w:bottom w:val="single" w:sz="12" w:space="0" w:color="auto"/>
            </w:tcBorders>
            <w:vAlign w:val="center"/>
          </w:tcPr>
          <w:p w14:paraId="7EE70B2D"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Zn</w:t>
            </w:r>
          </w:p>
        </w:tc>
        <w:tc>
          <w:tcPr>
            <w:tcW w:w="408" w:type="pct"/>
            <w:tcBorders>
              <w:bottom w:val="single" w:sz="12" w:space="0" w:color="auto"/>
            </w:tcBorders>
            <w:vAlign w:val="center"/>
          </w:tcPr>
          <w:p w14:paraId="00A4CC2A" w14:textId="77777777" w:rsidR="003536BB" w:rsidRPr="003555F2" w:rsidRDefault="003536BB" w:rsidP="0066024B">
            <w:pPr>
              <w:widowControl/>
              <w:jc w:val="center"/>
              <w:rPr>
                <w:rFonts w:ascii="Times New Roman" w:hAnsi="Times New Roman" w:cs="Times New Roman"/>
                <w:sz w:val="18"/>
                <w:szCs w:val="18"/>
              </w:rPr>
            </w:pPr>
            <w:r w:rsidRPr="003555F2">
              <w:rPr>
                <w:rFonts w:ascii="Times New Roman" w:hAnsi="Times New Roman" w:cs="Times New Roman"/>
                <w:sz w:val="18"/>
                <w:szCs w:val="18"/>
              </w:rPr>
              <w:t>Cu+</w:t>
            </w:r>
            <w:r w:rsidRPr="003555F2">
              <w:rPr>
                <w:rFonts w:ascii="Times New Roman" w:hAnsi="Times New Roman" w:cs="Times New Roman"/>
                <w:sz w:val="18"/>
                <w:szCs w:val="18"/>
              </w:rPr>
              <w:t>所列元素</w:t>
            </w:r>
          </w:p>
        </w:tc>
      </w:tr>
      <w:tr w:rsidR="003536BB" w14:paraId="0A7CD4CA" w14:textId="77777777" w:rsidTr="008C565A">
        <w:trPr>
          <w:trHeight w:val="466"/>
        </w:trPr>
        <w:tc>
          <w:tcPr>
            <w:tcW w:w="649" w:type="pct"/>
            <w:tcBorders>
              <w:top w:val="single" w:sz="12" w:space="0" w:color="auto"/>
              <w:bottom w:val="single" w:sz="6" w:space="0" w:color="auto"/>
            </w:tcBorders>
            <w:noWrap/>
            <w:vAlign w:val="center"/>
          </w:tcPr>
          <w:p w14:paraId="23F9E201"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lastRenderedPageBreak/>
              <w:t>TNi1-0.6-0.25</w:t>
            </w:r>
          </w:p>
        </w:tc>
        <w:tc>
          <w:tcPr>
            <w:tcW w:w="575" w:type="pct"/>
            <w:tcBorders>
              <w:top w:val="single" w:sz="12" w:space="0" w:color="auto"/>
              <w:bottom w:val="single" w:sz="6" w:space="0" w:color="auto"/>
            </w:tcBorders>
            <w:vAlign w:val="center"/>
          </w:tcPr>
          <w:p w14:paraId="44600E24"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余量</w:t>
            </w:r>
            <w:r w:rsidRPr="003555F2">
              <w:rPr>
                <w:rFonts w:ascii="Times New Roman" w:hAnsi="Times New Roman" w:cs="Times New Roman"/>
                <w:sz w:val="18"/>
                <w:szCs w:val="18"/>
                <w:vertAlign w:val="superscript"/>
              </w:rPr>
              <w:t>a</w:t>
            </w:r>
          </w:p>
        </w:tc>
        <w:tc>
          <w:tcPr>
            <w:tcW w:w="328" w:type="pct"/>
            <w:tcBorders>
              <w:top w:val="single" w:sz="12" w:space="0" w:color="auto"/>
              <w:bottom w:val="single" w:sz="6" w:space="0" w:color="auto"/>
            </w:tcBorders>
            <w:vAlign w:val="center"/>
          </w:tcPr>
          <w:p w14:paraId="340B4363"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w:t>
            </w:r>
          </w:p>
        </w:tc>
        <w:tc>
          <w:tcPr>
            <w:tcW w:w="330" w:type="pct"/>
            <w:tcBorders>
              <w:top w:val="single" w:sz="12" w:space="0" w:color="auto"/>
              <w:bottom w:val="single" w:sz="6" w:space="0" w:color="auto"/>
            </w:tcBorders>
            <w:vAlign w:val="center"/>
          </w:tcPr>
          <w:p w14:paraId="2F24EB4E"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0.8</w:t>
            </w:r>
            <w:r w:rsidRPr="003555F2">
              <w:rPr>
                <w:rFonts w:ascii="Times New Roman" w:hAnsi="Times New Roman" w:cs="Times New Roman"/>
                <w:sz w:val="18"/>
                <w:szCs w:val="18"/>
              </w:rPr>
              <w:t>～</w:t>
            </w:r>
            <w:r w:rsidRPr="003555F2">
              <w:rPr>
                <w:rFonts w:ascii="Times New Roman" w:hAnsi="Times New Roman" w:cs="Times New Roman"/>
                <w:sz w:val="18"/>
                <w:szCs w:val="18"/>
              </w:rPr>
              <w:t>1.2</w:t>
            </w:r>
          </w:p>
        </w:tc>
        <w:tc>
          <w:tcPr>
            <w:tcW w:w="330" w:type="pct"/>
            <w:tcBorders>
              <w:top w:val="single" w:sz="12" w:space="0" w:color="auto"/>
              <w:bottom w:val="single" w:sz="6" w:space="0" w:color="auto"/>
            </w:tcBorders>
            <w:vAlign w:val="center"/>
          </w:tcPr>
          <w:p w14:paraId="3663EDF9"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w:t>
            </w:r>
          </w:p>
        </w:tc>
        <w:tc>
          <w:tcPr>
            <w:tcW w:w="383" w:type="pct"/>
            <w:tcBorders>
              <w:top w:val="single" w:sz="12" w:space="0" w:color="auto"/>
              <w:bottom w:val="single" w:sz="6" w:space="0" w:color="auto"/>
            </w:tcBorders>
            <w:vAlign w:val="center"/>
          </w:tcPr>
          <w:p w14:paraId="32AD2CBE"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0.05</w:t>
            </w:r>
          </w:p>
        </w:tc>
        <w:tc>
          <w:tcPr>
            <w:tcW w:w="435" w:type="pct"/>
            <w:tcBorders>
              <w:top w:val="single" w:sz="12" w:space="0" w:color="auto"/>
              <w:bottom w:val="single" w:sz="6" w:space="0" w:color="auto"/>
            </w:tcBorders>
            <w:vAlign w:val="center"/>
          </w:tcPr>
          <w:p w14:paraId="389A533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0.15~0.35</w:t>
            </w:r>
          </w:p>
        </w:tc>
        <w:tc>
          <w:tcPr>
            <w:tcW w:w="412" w:type="pct"/>
            <w:tcBorders>
              <w:top w:val="single" w:sz="12" w:space="0" w:color="auto"/>
              <w:bottom w:val="single" w:sz="6" w:space="0" w:color="auto"/>
            </w:tcBorders>
            <w:vAlign w:val="center"/>
          </w:tcPr>
          <w:p w14:paraId="1376FE7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hint="eastAsia"/>
                <w:sz w:val="18"/>
                <w:szCs w:val="18"/>
              </w:rPr>
              <w:t>-</w:t>
            </w:r>
          </w:p>
        </w:tc>
        <w:tc>
          <w:tcPr>
            <w:tcW w:w="396" w:type="pct"/>
            <w:tcBorders>
              <w:top w:val="single" w:sz="12" w:space="0" w:color="auto"/>
              <w:bottom w:val="single" w:sz="6" w:space="0" w:color="auto"/>
            </w:tcBorders>
            <w:vAlign w:val="center"/>
          </w:tcPr>
          <w:p w14:paraId="570C9F0D"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0.05</w:t>
            </w:r>
          </w:p>
        </w:tc>
        <w:tc>
          <w:tcPr>
            <w:tcW w:w="341" w:type="pct"/>
            <w:tcBorders>
              <w:top w:val="single" w:sz="12" w:space="0" w:color="auto"/>
              <w:bottom w:val="single" w:sz="6" w:space="0" w:color="auto"/>
            </w:tcBorders>
            <w:vAlign w:val="center"/>
          </w:tcPr>
          <w:p w14:paraId="1A3E99AE"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0.5~0.7</w:t>
            </w:r>
          </w:p>
        </w:tc>
        <w:tc>
          <w:tcPr>
            <w:tcW w:w="412" w:type="pct"/>
            <w:tcBorders>
              <w:top w:val="single" w:sz="12" w:space="0" w:color="auto"/>
              <w:bottom w:val="single" w:sz="6" w:space="0" w:color="auto"/>
            </w:tcBorders>
            <w:vAlign w:val="center"/>
          </w:tcPr>
          <w:p w14:paraId="6E9A678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w:t>
            </w:r>
          </w:p>
        </w:tc>
        <w:tc>
          <w:tcPr>
            <w:tcW w:w="408" w:type="pct"/>
            <w:tcBorders>
              <w:top w:val="single" w:sz="12" w:space="0" w:color="auto"/>
              <w:bottom w:val="single" w:sz="6" w:space="0" w:color="auto"/>
            </w:tcBorders>
            <w:vAlign w:val="center"/>
          </w:tcPr>
          <w:p w14:paraId="34826C2D" w14:textId="77777777" w:rsidR="003536BB" w:rsidRPr="003555F2" w:rsidRDefault="003536BB" w:rsidP="0066024B">
            <w:pPr>
              <w:widowControl/>
              <w:jc w:val="center"/>
              <w:rPr>
                <w:rFonts w:ascii="Times New Roman" w:hAnsi="Times New Roman" w:cs="Times New Roman"/>
                <w:sz w:val="18"/>
                <w:szCs w:val="18"/>
              </w:rPr>
            </w:pPr>
            <w:r w:rsidRPr="003555F2">
              <w:rPr>
                <w:rFonts w:ascii="Times New Roman" w:hAnsi="Times New Roman" w:cs="Times New Roman" w:hint="eastAsia"/>
                <w:sz w:val="18"/>
                <w:szCs w:val="18"/>
              </w:rPr>
              <w:t>99.5</w:t>
            </w:r>
          </w:p>
        </w:tc>
      </w:tr>
      <w:tr w:rsidR="003536BB" w14:paraId="1D02500F" w14:textId="77777777" w:rsidTr="008C565A">
        <w:trPr>
          <w:trHeight w:val="401"/>
        </w:trPr>
        <w:tc>
          <w:tcPr>
            <w:tcW w:w="649" w:type="pct"/>
            <w:tcBorders>
              <w:top w:val="single" w:sz="6" w:space="0" w:color="auto"/>
              <w:bottom w:val="single" w:sz="6" w:space="0" w:color="auto"/>
            </w:tcBorders>
            <w:noWrap/>
            <w:vAlign w:val="center"/>
          </w:tcPr>
          <w:p w14:paraId="71FC0612"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HPb57-2.8</w:t>
            </w:r>
          </w:p>
        </w:tc>
        <w:tc>
          <w:tcPr>
            <w:tcW w:w="575" w:type="pct"/>
            <w:tcBorders>
              <w:top w:val="single" w:sz="6" w:space="0" w:color="auto"/>
              <w:bottom w:val="single" w:sz="6" w:space="0" w:color="auto"/>
            </w:tcBorders>
            <w:vAlign w:val="center"/>
          </w:tcPr>
          <w:p w14:paraId="6C81E5AF"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56.0~59.0</w:t>
            </w:r>
          </w:p>
        </w:tc>
        <w:tc>
          <w:tcPr>
            <w:tcW w:w="328" w:type="pct"/>
            <w:tcBorders>
              <w:top w:val="single" w:sz="6" w:space="0" w:color="auto"/>
              <w:bottom w:val="single" w:sz="6" w:space="0" w:color="auto"/>
            </w:tcBorders>
            <w:vAlign w:val="center"/>
          </w:tcPr>
          <w:p w14:paraId="4E55623C"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w:t>
            </w:r>
          </w:p>
        </w:tc>
        <w:tc>
          <w:tcPr>
            <w:tcW w:w="330" w:type="pct"/>
            <w:tcBorders>
              <w:top w:val="single" w:sz="6" w:space="0" w:color="auto"/>
              <w:bottom w:val="single" w:sz="6" w:space="0" w:color="auto"/>
            </w:tcBorders>
            <w:vAlign w:val="center"/>
          </w:tcPr>
          <w:p w14:paraId="3CA674C9"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0.6</w:t>
            </w:r>
          </w:p>
        </w:tc>
        <w:tc>
          <w:tcPr>
            <w:tcW w:w="330" w:type="pct"/>
            <w:tcBorders>
              <w:top w:val="single" w:sz="6" w:space="0" w:color="auto"/>
              <w:bottom w:val="single" w:sz="6" w:space="0" w:color="auto"/>
            </w:tcBorders>
            <w:vAlign w:val="center"/>
          </w:tcPr>
          <w:p w14:paraId="58DB0674"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w:t>
            </w:r>
          </w:p>
        </w:tc>
        <w:tc>
          <w:tcPr>
            <w:tcW w:w="383" w:type="pct"/>
            <w:tcBorders>
              <w:top w:val="single" w:sz="6" w:space="0" w:color="auto"/>
              <w:bottom w:val="single" w:sz="6" w:space="0" w:color="auto"/>
            </w:tcBorders>
            <w:vAlign w:val="center"/>
          </w:tcPr>
          <w:p w14:paraId="65937C43"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1.8</w:t>
            </w:r>
          </w:p>
        </w:tc>
        <w:tc>
          <w:tcPr>
            <w:tcW w:w="435" w:type="pct"/>
            <w:tcBorders>
              <w:top w:val="single" w:sz="6" w:space="0" w:color="auto"/>
              <w:bottom w:val="single" w:sz="6" w:space="0" w:color="auto"/>
            </w:tcBorders>
            <w:vAlign w:val="center"/>
          </w:tcPr>
          <w:p w14:paraId="6612F44C"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w:t>
            </w:r>
          </w:p>
        </w:tc>
        <w:tc>
          <w:tcPr>
            <w:tcW w:w="412" w:type="pct"/>
            <w:tcBorders>
              <w:top w:val="single" w:sz="6" w:space="0" w:color="auto"/>
              <w:bottom w:val="single" w:sz="6" w:space="0" w:color="auto"/>
            </w:tcBorders>
            <w:vAlign w:val="center"/>
          </w:tcPr>
          <w:p w14:paraId="0032FF4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hint="eastAsia"/>
                <w:sz w:val="18"/>
                <w:szCs w:val="18"/>
              </w:rPr>
              <w:t>-</w:t>
            </w:r>
          </w:p>
        </w:tc>
        <w:tc>
          <w:tcPr>
            <w:tcW w:w="396" w:type="pct"/>
            <w:tcBorders>
              <w:top w:val="single" w:sz="6" w:space="0" w:color="auto"/>
              <w:bottom w:val="single" w:sz="6" w:space="0" w:color="auto"/>
            </w:tcBorders>
            <w:vAlign w:val="center"/>
          </w:tcPr>
          <w:p w14:paraId="3F77D6FA"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0.8</w:t>
            </w:r>
          </w:p>
        </w:tc>
        <w:tc>
          <w:tcPr>
            <w:tcW w:w="341" w:type="pct"/>
            <w:tcBorders>
              <w:top w:val="single" w:sz="6" w:space="0" w:color="auto"/>
              <w:bottom w:val="single" w:sz="6" w:space="0" w:color="auto"/>
            </w:tcBorders>
            <w:vAlign w:val="center"/>
          </w:tcPr>
          <w:p w14:paraId="737F17A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2.0~3.5</w:t>
            </w:r>
          </w:p>
        </w:tc>
        <w:tc>
          <w:tcPr>
            <w:tcW w:w="412" w:type="pct"/>
            <w:tcBorders>
              <w:top w:val="single" w:sz="6" w:space="0" w:color="auto"/>
              <w:bottom w:val="single" w:sz="6" w:space="0" w:color="auto"/>
            </w:tcBorders>
            <w:vAlign w:val="center"/>
          </w:tcPr>
          <w:p w14:paraId="6DBB39EE"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余量</w:t>
            </w:r>
          </w:p>
        </w:tc>
        <w:tc>
          <w:tcPr>
            <w:tcW w:w="408" w:type="pct"/>
            <w:tcBorders>
              <w:top w:val="single" w:sz="6" w:space="0" w:color="auto"/>
              <w:bottom w:val="single" w:sz="6" w:space="0" w:color="auto"/>
            </w:tcBorders>
            <w:vAlign w:val="center"/>
          </w:tcPr>
          <w:p w14:paraId="42AA5EC4" w14:textId="77777777" w:rsidR="003536BB" w:rsidRPr="003555F2" w:rsidRDefault="003536BB" w:rsidP="0066024B">
            <w:pPr>
              <w:widowControl/>
              <w:jc w:val="center"/>
              <w:rPr>
                <w:rFonts w:ascii="Times New Roman" w:hAnsi="Times New Roman" w:cs="Times New Roman"/>
                <w:sz w:val="18"/>
                <w:szCs w:val="18"/>
              </w:rPr>
            </w:pPr>
            <w:r w:rsidRPr="003555F2">
              <w:rPr>
                <w:rFonts w:ascii="Times New Roman" w:hAnsi="Times New Roman" w:cs="Times New Roman"/>
                <w:sz w:val="18"/>
                <w:szCs w:val="18"/>
              </w:rPr>
              <w:t>98.8</w:t>
            </w:r>
          </w:p>
        </w:tc>
      </w:tr>
      <w:tr w:rsidR="003536BB" w14:paraId="67EBEF25" w14:textId="77777777" w:rsidTr="008C565A">
        <w:trPr>
          <w:trHeight w:val="401"/>
        </w:trPr>
        <w:tc>
          <w:tcPr>
            <w:tcW w:w="649" w:type="pct"/>
            <w:tcBorders>
              <w:top w:val="single" w:sz="6" w:space="0" w:color="auto"/>
              <w:bottom w:val="single" w:sz="6" w:space="0" w:color="auto"/>
            </w:tcBorders>
            <w:noWrap/>
            <w:vAlign w:val="center"/>
          </w:tcPr>
          <w:p w14:paraId="7CC61488"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HBi59-1.5</w:t>
            </w:r>
          </w:p>
        </w:tc>
        <w:tc>
          <w:tcPr>
            <w:tcW w:w="575" w:type="pct"/>
            <w:tcBorders>
              <w:top w:val="single" w:sz="6" w:space="0" w:color="auto"/>
              <w:bottom w:val="single" w:sz="6" w:space="0" w:color="auto"/>
            </w:tcBorders>
            <w:vAlign w:val="center"/>
          </w:tcPr>
          <w:p w14:paraId="560E9160"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58.0~60.0</w:t>
            </w:r>
          </w:p>
        </w:tc>
        <w:tc>
          <w:tcPr>
            <w:tcW w:w="328" w:type="pct"/>
            <w:tcBorders>
              <w:top w:val="single" w:sz="6" w:space="0" w:color="auto"/>
              <w:bottom w:val="single" w:sz="6" w:space="0" w:color="auto"/>
            </w:tcBorders>
            <w:vAlign w:val="center"/>
          </w:tcPr>
          <w:p w14:paraId="07EC0657"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330" w:type="pct"/>
            <w:tcBorders>
              <w:top w:val="single" w:sz="6" w:space="0" w:color="auto"/>
              <w:bottom w:val="single" w:sz="6" w:space="0" w:color="auto"/>
            </w:tcBorders>
            <w:vAlign w:val="center"/>
          </w:tcPr>
          <w:p w14:paraId="04BBF1C1"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w:t>
            </w:r>
          </w:p>
        </w:tc>
        <w:tc>
          <w:tcPr>
            <w:tcW w:w="330" w:type="pct"/>
            <w:tcBorders>
              <w:top w:val="single" w:sz="6" w:space="0" w:color="auto"/>
              <w:bottom w:val="single" w:sz="6" w:space="0" w:color="auto"/>
            </w:tcBorders>
            <w:vAlign w:val="center"/>
          </w:tcPr>
          <w:p w14:paraId="39362ACB"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0.5~2.5</w:t>
            </w:r>
          </w:p>
        </w:tc>
        <w:tc>
          <w:tcPr>
            <w:tcW w:w="383" w:type="pct"/>
            <w:tcBorders>
              <w:top w:val="single" w:sz="6" w:space="0" w:color="auto"/>
              <w:bottom w:val="single" w:sz="6" w:space="0" w:color="auto"/>
            </w:tcBorders>
            <w:vAlign w:val="center"/>
          </w:tcPr>
          <w:p w14:paraId="6E1471A1"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0.5</w:t>
            </w:r>
          </w:p>
        </w:tc>
        <w:tc>
          <w:tcPr>
            <w:tcW w:w="435" w:type="pct"/>
            <w:tcBorders>
              <w:top w:val="single" w:sz="6" w:space="0" w:color="auto"/>
              <w:bottom w:val="single" w:sz="6" w:space="0" w:color="auto"/>
            </w:tcBorders>
            <w:vAlign w:val="center"/>
          </w:tcPr>
          <w:p w14:paraId="21581D0F"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0.15</w:t>
            </w:r>
          </w:p>
        </w:tc>
        <w:tc>
          <w:tcPr>
            <w:tcW w:w="412" w:type="pct"/>
            <w:tcBorders>
              <w:top w:val="single" w:sz="6" w:space="0" w:color="auto"/>
              <w:bottom w:val="single" w:sz="6" w:space="0" w:color="auto"/>
            </w:tcBorders>
            <w:vAlign w:val="center"/>
          </w:tcPr>
          <w:p w14:paraId="4C5F8DC2"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0.0075</w:t>
            </w:r>
          </w:p>
        </w:tc>
        <w:tc>
          <w:tcPr>
            <w:tcW w:w="396" w:type="pct"/>
            <w:tcBorders>
              <w:top w:val="single" w:sz="6" w:space="0" w:color="auto"/>
              <w:bottom w:val="single" w:sz="6" w:space="0" w:color="auto"/>
            </w:tcBorders>
            <w:vAlign w:val="center"/>
          </w:tcPr>
          <w:p w14:paraId="08CE25FE"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0.2</w:t>
            </w:r>
          </w:p>
        </w:tc>
        <w:tc>
          <w:tcPr>
            <w:tcW w:w="341" w:type="pct"/>
            <w:tcBorders>
              <w:top w:val="single" w:sz="6" w:space="0" w:color="auto"/>
              <w:bottom w:val="single" w:sz="6" w:space="0" w:color="auto"/>
            </w:tcBorders>
            <w:vAlign w:val="center"/>
          </w:tcPr>
          <w:p w14:paraId="679444EE"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0.01</w:t>
            </w:r>
          </w:p>
        </w:tc>
        <w:tc>
          <w:tcPr>
            <w:tcW w:w="412" w:type="pct"/>
            <w:tcBorders>
              <w:top w:val="single" w:sz="6" w:space="0" w:color="auto"/>
              <w:bottom w:val="single" w:sz="6" w:space="0" w:color="auto"/>
            </w:tcBorders>
            <w:vAlign w:val="center"/>
          </w:tcPr>
          <w:p w14:paraId="3E255F7D" w14:textId="77777777" w:rsidR="003536BB" w:rsidRPr="007A6BC2" w:rsidRDefault="003536BB" w:rsidP="0066024B">
            <w:pPr>
              <w:jc w:val="center"/>
              <w:rPr>
                <w:rFonts w:ascii="Times New Roman" w:hAnsi="Times New Roman" w:cs="Times New Roman"/>
                <w:sz w:val="18"/>
                <w:szCs w:val="18"/>
              </w:rPr>
            </w:pPr>
            <w:r w:rsidRPr="007A6BC2">
              <w:rPr>
                <w:rFonts w:ascii="Times New Roman" w:hAnsi="Times New Roman" w:cs="Times New Roman"/>
                <w:sz w:val="18"/>
                <w:szCs w:val="18"/>
              </w:rPr>
              <w:t>余量</w:t>
            </w:r>
          </w:p>
        </w:tc>
        <w:tc>
          <w:tcPr>
            <w:tcW w:w="408" w:type="pct"/>
            <w:tcBorders>
              <w:top w:val="single" w:sz="6" w:space="0" w:color="auto"/>
              <w:bottom w:val="single" w:sz="6" w:space="0" w:color="auto"/>
            </w:tcBorders>
            <w:vAlign w:val="center"/>
          </w:tcPr>
          <w:p w14:paraId="3ACD1002" w14:textId="77777777" w:rsidR="003536BB" w:rsidRPr="007A6BC2" w:rsidRDefault="003536BB" w:rsidP="0066024B">
            <w:pPr>
              <w:widowControl/>
              <w:jc w:val="center"/>
              <w:rPr>
                <w:rFonts w:ascii="Times New Roman" w:hAnsi="Times New Roman" w:cs="Times New Roman"/>
                <w:sz w:val="18"/>
                <w:szCs w:val="18"/>
              </w:rPr>
            </w:pPr>
            <w:r w:rsidRPr="007A6BC2">
              <w:rPr>
                <w:rFonts w:ascii="Times New Roman" w:hAnsi="Times New Roman" w:cs="Times New Roman"/>
                <w:sz w:val="18"/>
                <w:szCs w:val="18"/>
              </w:rPr>
              <w:t>99.7</w:t>
            </w:r>
          </w:p>
        </w:tc>
      </w:tr>
      <w:tr w:rsidR="003536BB" w14:paraId="03814031" w14:textId="77777777" w:rsidTr="008C565A">
        <w:trPr>
          <w:trHeight w:val="497"/>
        </w:trPr>
        <w:tc>
          <w:tcPr>
            <w:tcW w:w="649" w:type="pct"/>
            <w:tcBorders>
              <w:top w:val="single" w:sz="6" w:space="0" w:color="auto"/>
              <w:bottom w:val="single" w:sz="6" w:space="0" w:color="auto"/>
            </w:tcBorders>
            <w:noWrap/>
            <w:vAlign w:val="center"/>
          </w:tcPr>
          <w:p w14:paraId="61425726"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HBi59-2</w:t>
            </w:r>
          </w:p>
        </w:tc>
        <w:tc>
          <w:tcPr>
            <w:tcW w:w="575" w:type="pct"/>
            <w:tcBorders>
              <w:top w:val="single" w:sz="6" w:space="0" w:color="auto"/>
              <w:bottom w:val="single" w:sz="6" w:space="0" w:color="auto"/>
            </w:tcBorders>
            <w:vAlign w:val="center"/>
          </w:tcPr>
          <w:p w14:paraId="49163E8C"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57.0~6</w:t>
            </w:r>
            <w:r w:rsidRPr="003555F2">
              <w:rPr>
                <w:rFonts w:ascii="Times New Roman" w:hAnsi="Times New Roman" w:cs="Times New Roman" w:hint="eastAsia"/>
                <w:sz w:val="18"/>
                <w:szCs w:val="18"/>
              </w:rPr>
              <w:t>0.0</w:t>
            </w:r>
          </w:p>
        </w:tc>
        <w:tc>
          <w:tcPr>
            <w:tcW w:w="328" w:type="pct"/>
            <w:tcBorders>
              <w:top w:val="single" w:sz="6" w:space="0" w:color="auto"/>
              <w:bottom w:val="single" w:sz="6" w:space="0" w:color="auto"/>
            </w:tcBorders>
            <w:vAlign w:val="center"/>
          </w:tcPr>
          <w:p w14:paraId="756A505B"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hint="eastAsia"/>
                <w:sz w:val="18"/>
                <w:szCs w:val="18"/>
              </w:rPr>
              <w:t>0.1</w:t>
            </w:r>
          </w:p>
        </w:tc>
        <w:tc>
          <w:tcPr>
            <w:tcW w:w="330" w:type="pct"/>
            <w:tcBorders>
              <w:top w:val="single" w:sz="6" w:space="0" w:color="auto"/>
              <w:bottom w:val="single" w:sz="6" w:space="0" w:color="auto"/>
            </w:tcBorders>
            <w:vAlign w:val="center"/>
          </w:tcPr>
          <w:p w14:paraId="0A99A88D"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0.3</w:t>
            </w:r>
          </w:p>
        </w:tc>
        <w:tc>
          <w:tcPr>
            <w:tcW w:w="330" w:type="pct"/>
            <w:tcBorders>
              <w:top w:val="single" w:sz="6" w:space="0" w:color="auto"/>
              <w:bottom w:val="single" w:sz="6" w:space="0" w:color="auto"/>
            </w:tcBorders>
            <w:vAlign w:val="center"/>
          </w:tcPr>
          <w:p w14:paraId="43E3D581"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1.</w:t>
            </w:r>
            <w:r w:rsidRPr="003555F2">
              <w:rPr>
                <w:rFonts w:ascii="Times New Roman" w:hAnsi="Times New Roman" w:cs="Times New Roman" w:hint="eastAsia"/>
                <w:sz w:val="18"/>
                <w:szCs w:val="18"/>
              </w:rPr>
              <w:t>0</w:t>
            </w:r>
            <w:r w:rsidRPr="003555F2">
              <w:rPr>
                <w:rFonts w:ascii="Times New Roman" w:hAnsi="Times New Roman" w:cs="Times New Roman"/>
                <w:sz w:val="18"/>
                <w:szCs w:val="18"/>
              </w:rPr>
              <w:t>~</w:t>
            </w:r>
            <w:r w:rsidRPr="003555F2">
              <w:rPr>
                <w:rFonts w:ascii="Times New Roman" w:hAnsi="Times New Roman" w:cs="Times New Roman" w:hint="eastAsia"/>
                <w:sz w:val="18"/>
                <w:szCs w:val="18"/>
              </w:rPr>
              <w:t>3.0</w:t>
            </w:r>
          </w:p>
        </w:tc>
        <w:tc>
          <w:tcPr>
            <w:tcW w:w="383" w:type="pct"/>
            <w:tcBorders>
              <w:top w:val="single" w:sz="6" w:space="0" w:color="auto"/>
              <w:bottom w:val="single" w:sz="6" w:space="0" w:color="auto"/>
            </w:tcBorders>
            <w:vAlign w:val="center"/>
          </w:tcPr>
          <w:p w14:paraId="16829D1E"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0.3</w:t>
            </w:r>
          </w:p>
        </w:tc>
        <w:tc>
          <w:tcPr>
            <w:tcW w:w="435" w:type="pct"/>
            <w:tcBorders>
              <w:top w:val="single" w:sz="6" w:space="0" w:color="auto"/>
              <w:bottom w:val="single" w:sz="6" w:space="0" w:color="auto"/>
            </w:tcBorders>
            <w:vAlign w:val="center"/>
          </w:tcPr>
          <w:p w14:paraId="2BD246EA"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w:t>
            </w:r>
          </w:p>
        </w:tc>
        <w:tc>
          <w:tcPr>
            <w:tcW w:w="412" w:type="pct"/>
            <w:tcBorders>
              <w:top w:val="single" w:sz="6" w:space="0" w:color="auto"/>
              <w:bottom w:val="single" w:sz="6" w:space="0" w:color="auto"/>
            </w:tcBorders>
            <w:vAlign w:val="center"/>
          </w:tcPr>
          <w:p w14:paraId="3CF74FA2"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hint="eastAsia"/>
                <w:sz w:val="18"/>
                <w:szCs w:val="18"/>
              </w:rPr>
              <w:t>-</w:t>
            </w:r>
          </w:p>
        </w:tc>
        <w:tc>
          <w:tcPr>
            <w:tcW w:w="396" w:type="pct"/>
            <w:tcBorders>
              <w:top w:val="single" w:sz="6" w:space="0" w:color="auto"/>
              <w:bottom w:val="single" w:sz="6" w:space="0" w:color="auto"/>
            </w:tcBorders>
            <w:vAlign w:val="center"/>
          </w:tcPr>
          <w:p w14:paraId="76B6BE68"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0.</w:t>
            </w:r>
            <w:r w:rsidRPr="003555F2">
              <w:rPr>
                <w:rFonts w:ascii="Times New Roman" w:hAnsi="Times New Roman" w:cs="Times New Roman" w:hint="eastAsia"/>
                <w:sz w:val="18"/>
                <w:szCs w:val="18"/>
              </w:rPr>
              <w:t>2</w:t>
            </w:r>
          </w:p>
        </w:tc>
        <w:tc>
          <w:tcPr>
            <w:tcW w:w="341" w:type="pct"/>
            <w:tcBorders>
              <w:top w:val="single" w:sz="6" w:space="0" w:color="auto"/>
              <w:bottom w:val="single" w:sz="6" w:space="0" w:color="auto"/>
            </w:tcBorders>
            <w:vAlign w:val="center"/>
          </w:tcPr>
          <w:p w14:paraId="5BB3A3B3"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hint="eastAsia"/>
                <w:sz w:val="18"/>
                <w:szCs w:val="18"/>
              </w:rPr>
              <w:t>0.1</w:t>
            </w:r>
          </w:p>
        </w:tc>
        <w:tc>
          <w:tcPr>
            <w:tcW w:w="412" w:type="pct"/>
            <w:tcBorders>
              <w:top w:val="single" w:sz="6" w:space="0" w:color="auto"/>
              <w:bottom w:val="single" w:sz="6" w:space="0" w:color="auto"/>
            </w:tcBorders>
            <w:vAlign w:val="center"/>
          </w:tcPr>
          <w:p w14:paraId="159BF70D" w14:textId="77777777" w:rsidR="003536BB" w:rsidRPr="003555F2" w:rsidRDefault="003536BB" w:rsidP="0066024B">
            <w:pPr>
              <w:jc w:val="center"/>
              <w:rPr>
                <w:rFonts w:ascii="Times New Roman" w:hAnsi="Times New Roman" w:cs="Times New Roman"/>
                <w:sz w:val="18"/>
                <w:szCs w:val="18"/>
              </w:rPr>
            </w:pPr>
            <w:r w:rsidRPr="003555F2">
              <w:rPr>
                <w:rFonts w:ascii="Times New Roman" w:hAnsi="Times New Roman" w:cs="Times New Roman"/>
                <w:sz w:val="18"/>
                <w:szCs w:val="18"/>
              </w:rPr>
              <w:t>余量</w:t>
            </w:r>
          </w:p>
        </w:tc>
        <w:tc>
          <w:tcPr>
            <w:tcW w:w="408" w:type="pct"/>
            <w:tcBorders>
              <w:top w:val="single" w:sz="6" w:space="0" w:color="auto"/>
              <w:bottom w:val="single" w:sz="6" w:space="0" w:color="auto"/>
            </w:tcBorders>
            <w:vAlign w:val="center"/>
          </w:tcPr>
          <w:p w14:paraId="1B616C37" w14:textId="77777777" w:rsidR="003536BB" w:rsidRPr="003555F2" w:rsidRDefault="003536BB" w:rsidP="0066024B">
            <w:pPr>
              <w:widowControl/>
              <w:jc w:val="center"/>
              <w:rPr>
                <w:rFonts w:ascii="Times New Roman" w:hAnsi="Times New Roman" w:cs="Times New Roman"/>
                <w:sz w:val="18"/>
                <w:szCs w:val="18"/>
              </w:rPr>
            </w:pPr>
            <w:r w:rsidRPr="003555F2">
              <w:rPr>
                <w:rFonts w:ascii="Times New Roman" w:hAnsi="Times New Roman" w:cs="Times New Roman"/>
                <w:sz w:val="18"/>
                <w:szCs w:val="18"/>
              </w:rPr>
              <w:t>99.5</w:t>
            </w:r>
          </w:p>
        </w:tc>
      </w:tr>
      <w:tr w:rsidR="003536BB" w14:paraId="58DF0767" w14:textId="77777777" w:rsidTr="008C565A">
        <w:trPr>
          <w:trHeight w:val="326"/>
        </w:trPr>
        <w:tc>
          <w:tcPr>
            <w:tcW w:w="5000" w:type="pct"/>
            <w:gridSpan w:val="12"/>
            <w:tcBorders>
              <w:top w:val="single" w:sz="6" w:space="0" w:color="auto"/>
              <w:bottom w:val="single" w:sz="12" w:space="0" w:color="auto"/>
            </w:tcBorders>
            <w:noWrap/>
            <w:vAlign w:val="center"/>
          </w:tcPr>
          <w:p w14:paraId="108852D9" w14:textId="77777777" w:rsidR="003536BB" w:rsidRDefault="003536BB" w:rsidP="0066024B">
            <w:pPr>
              <w:widowControl/>
              <w:jc w:val="left"/>
              <w:rPr>
                <w:color w:val="000000"/>
                <w:sz w:val="18"/>
                <w:szCs w:val="18"/>
              </w:rPr>
            </w:pPr>
            <w:r>
              <w:rPr>
                <w:sz w:val="18"/>
                <w:szCs w:val="18"/>
                <w:vertAlign w:val="superscript"/>
              </w:rPr>
              <w:t>a</w:t>
            </w:r>
            <w:r w:rsidRPr="006619A1">
              <w:rPr>
                <w:rFonts w:hint="eastAsia"/>
                <w:sz w:val="18"/>
                <w:szCs w:val="18"/>
              </w:rPr>
              <w:t>此值含</w:t>
            </w:r>
            <w:r w:rsidRPr="006619A1">
              <w:rPr>
                <w:rFonts w:hint="eastAsia"/>
                <w:sz w:val="18"/>
                <w:szCs w:val="18"/>
              </w:rPr>
              <w:t>Ag</w:t>
            </w:r>
            <w:r w:rsidRPr="006619A1">
              <w:rPr>
                <w:rFonts w:hint="eastAsia"/>
                <w:sz w:val="18"/>
                <w:szCs w:val="18"/>
              </w:rPr>
              <w:t>。</w:t>
            </w:r>
          </w:p>
        </w:tc>
      </w:tr>
    </w:tbl>
    <w:p w14:paraId="628BBA57" w14:textId="6E4608A7" w:rsidR="004426E6" w:rsidRDefault="00000000" w:rsidP="00C40242">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3.3尺寸及尺寸允许偏差</w:t>
      </w:r>
    </w:p>
    <w:p w14:paraId="188E4C62" w14:textId="62B9A1E6" w:rsidR="00E76288" w:rsidRPr="00B93782" w:rsidRDefault="00F508B0" w:rsidP="00B93782">
      <w:pPr>
        <w:autoSpaceDE w:val="0"/>
        <w:autoSpaceDN w:val="0"/>
        <w:adjustRightInd w:val="0"/>
        <w:ind w:firstLineChars="200" w:firstLine="420"/>
        <w:contextualSpacing/>
        <w:jc w:val="left"/>
        <w:rPr>
          <w:kern w:val="0"/>
          <w:szCs w:val="46"/>
        </w:rPr>
      </w:pPr>
      <w:r>
        <w:rPr>
          <w:rFonts w:hint="eastAsia"/>
        </w:rPr>
        <w:t>线材的外形尺寸对加工适配性、零件精度与一致性均具有重要影响。按照测</w:t>
      </w:r>
      <w:r>
        <w:rPr>
          <w:rFonts w:hint="eastAsia"/>
        </w:rPr>
        <w:t>GB/T 26303.2</w:t>
      </w:r>
      <w:r>
        <w:rPr>
          <w:rFonts w:hint="eastAsia"/>
        </w:rPr>
        <w:t>《</w:t>
      </w:r>
      <w:r>
        <w:rPr>
          <w:kern w:val="0"/>
          <w:szCs w:val="46"/>
        </w:rPr>
        <w:t>铜及铜合金加工材外形尺寸检测方法</w:t>
      </w:r>
      <w:r>
        <w:rPr>
          <w:kern w:val="0"/>
          <w:szCs w:val="46"/>
        </w:rPr>
        <w:t xml:space="preserve"> </w:t>
      </w:r>
      <w:r>
        <w:rPr>
          <w:kern w:val="0"/>
          <w:szCs w:val="46"/>
        </w:rPr>
        <w:t>第</w:t>
      </w:r>
      <w:r>
        <w:rPr>
          <w:kern w:val="0"/>
          <w:szCs w:val="46"/>
        </w:rPr>
        <w:t>2</w:t>
      </w:r>
      <w:r>
        <w:rPr>
          <w:kern w:val="0"/>
          <w:szCs w:val="46"/>
        </w:rPr>
        <w:t>部分：棒、线、型材</w:t>
      </w:r>
      <w:r>
        <w:rPr>
          <w:rFonts w:hint="eastAsia"/>
          <w:kern w:val="0"/>
          <w:szCs w:val="46"/>
        </w:rPr>
        <w:t>》的规定进行检测。</w:t>
      </w:r>
    </w:p>
    <w:p w14:paraId="2578767F"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3.3.1 尺寸及尺寸允许偏差</w:t>
      </w:r>
    </w:p>
    <w:p w14:paraId="1966A647" w14:textId="77777777" w:rsidR="004426E6" w:rsidRDefault="00000000">
      <w:pPr>
        <w:autoSpaceDE w:val="0"/>
        <w:autoSpaceDN w:val="0"/>
        <w:adjustRightInd w:val="0"/>
        <w:ind w:firstLine="420"/>
        <w:contextualSpacing/>
        <w:jc w:val="left"/>
        <w:rPr>
          <w:rFonts w:ascii="Times New Roman" w:hAnsi="Times New Roman" w:cs="Times New Roman"/>
          <w:kern w:val="0"/>
          <w:szCs w:val="21"/>
        </w:rPr>
      </w:pPr>
      <w:r>
        <w:rPr>
          <w:rFonts w:ascii="Times New Roman" w:hAnsi="Times New Roman" w:cs="Times New Roman"/>
          <w:kern w:val="0"/>
          <w:szCs w:val="21"/>
        </w:rPr>
        <w:t>对每一批产品，企业都要在出厂前对产品的外形尺寸进行严格的抽样检测。</w:t>
      </w:r>
      <w:r>
        <w:rPr>
          <w:rFonts w:ascii="Times New Roman" w:hAnsi="Times New Roman" w:cs="Times New Roman" w:hint="eastAsia"/>
          <w:kern w:val="0"/>
          <w:szCs w:val="21"/>
        </w:rPr>
        <w:t>线材的外形尺寸及其允许偏差见下表</w:t>
      </w:r>
      <w:r>
        <w:rPr>
          <w:rFonts w:ascii="Times New Roman" w:hAnsi="Times New Roman" w:cs="Times New Roman"/>
          <w:kern w:val="0"/>
          <w:szCs w:val="21"/>
        </w:rPr>
        <w:t>：</w:t>
      </w:r>
    </w:p>
    <w:p w14:paraId="0F20AB93" w14:textId="0684EC12" w:rsidR="004426E6" w:rsidRDefault="00000000">
      <w:pPr>
        <w:spacing w:line="360" w:lineRule="auto"/>
        <w:contextualSpacing/>
        <w:jc w:val="center"/>
        <w:rPr>
          <w:rFonts w:ascii="Times New Roman" w:eastAsia="黑体" w:hAnsi="Times New Roman" w:cs="Times New Roman"/>
          <w:szCs w:val="21"/>
        </w:rPr>
      </w:pPr>
      <w:r>
        <w:rPr>
          <w:rFonts w:ascii="Times New Roman" w:eastAsia="黑体" w:hAnsi="Times New Roman" w:cs="Times New Roman"/>
          <w:szCs w:val="21"/>
        </w:rPr>
        <w:t>表</w:t>
      </w:r>
      <w:r w:rsidR="00F508B0">
        <w:rPr>
          <w:rFonts w:ascii="Times New Roman" w:eastAsia="黑体" w:hAnsi="Times New Roman" w:cs="Times New Roman" w:hint="eastAsia"/>
          <w:szCs w:val="21"/>
        </w:rPr>
        <w:t>4</w:t>
      </w:r>
      <w:r w:rsidR="00F508B0">
        <w:rPr>
          <w:rFonts w:ascii="Times New Roman" w:eastAsia="黑体" w:hAnsi="Times New Roman" w:cs="Times New Roman"/>
          <w:szCs w:val="21"/>
        </w:rPr>
        <w:t xml:space="preserve"> </w:t>
      </w:r>
      <w:r>
        <w:rPr>
          <w:rFonts w:ascii="Times New Roman" w:eastAsia="黑体" w:hAnsi="Times New Roman" w:cs="Times New Roman"/>
          <w:szCs w:val="21"/>
        </w:rPr>
        <w:t>线材的外形尺寸及其</w:t>
      </w:r>
      <w:r>
        <w:rPr>
          <w:rFonts w:ascii="Times New Roman" w:eastAsia="黑体" w:hAnsi="Times New Roman" w:cs="Times New Roman" w:hint="eastAsia"/>
          <w:szCs w:val="21"/>
        </w:rPr>
        <w:t>实测</w:t>
      </w:r>
      <w:r>
        <w:rPr>
          <w:rFonts w:ascii="Times New Roman" w:eastAsia="黑体" w:hAnsi="Times New Roman" w:cs="Times New Roman"/>
          <w:szCs w:val="21"/>
        </w:rPr>
        <w:t>偏差</w:t>
      </w:r>
    </w:p>
    <w:tbl>
      <w:tblPr>
        <w:tblW w:w="83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53"/>
        <w:gridCol w:w="1543"/>
        <w:gridCol w:w="867"/>
        <w:gridCol w:w="1312"/>
        <w:gridCol w:w="1131"/>
        <w:gridCol w:w="1243"/>
      </w:tblGrid>
      <w:tr w:rsidR="004426E6" w14:paraId="39F91104" w14:textId="77777777" w:rsidTr="00B35C1E">
        <w:trPr>
          <w:trHeight w:val="450"/>
        </w:trPr>
        <w:tc>
          <w:tcPr>
            <w:tcW w:w="2253" w:type="dxa"/>
            <w:vMerge w:val="restart"/>
            <w:tcBorders>
              <w:top w:val="single" w:sz="12" w:space="0" w:color="auto"/>
              <w:bottom w:val="single" w:sz="6" w:space="0" w:color="auto"/>
            </w:tcBorders>
            <w:vAlign w:val="center"/>
          </w:tcPr>
          <w:p w14:paraId="7362D0A9" w14:textId="77777777" w:rsidR="004426E6" w:rsidRPr="00B35C1E" w:rsidRDefault="00000000">
            <w:pPr>
              <w:jc w:val="center"/>
              <w:rPr>
                <w:rFonts w:ascii="Times New Roman" w:hAnsi="Times New Roman" w:cs="Times New Roman"/>
                <w:sz w:val="18"/>
                <w:szCs w:val="18"/>
              </w:rPr>
            </w:pPr>
            <w:bookmarkStart w:id="13" w:name="_Hlk129337473"/>
            <w:r w:rsidRPr="00B35C1E">
              <w:rPr>
                <w:rFonts w:ascii="Times New Roman" w:hAnsi="Times New Roman" w:cs="Times New Roman"/>
                <w:sz w:val="18"/>
                <w:szCs w:val="18"/>
              </w:rPr>
              <w:t>牌号</w:t>
            </w:r>
          </w:p>
        </w:tc>
        <w:tc>
          <w:tcPr>
            <w:tcW w:w="1543" w:type="dxa"/>
            <w:vMerge w:val="restart"/>
            <w:tcBorders>
              <w:top w:val="single" w:sz="12" w:space="0" w:color="auto"/>
              <w:bottom w:val="single" w:sz="6" w:space="0" w:color="auto"/>
            </w:tcBorders>
            <w:vAlign w:val="center"/>
          </w:tcPr>
          <w:p w14:paraId="30EBCE52"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直径（对边距）</w:t>
            </w:r>
          </w:p>
          <w:p w14:paraId="6156DB0E"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mm</w:t>
            </w:r>
          </w:p>
        </w:tc>
        <w:tc>
          <w:tcPr>
            <w:tcW w:w="4553" w:type="dxa"/>
            <w:gridSpan w:val="4"/>
            <w:tcBorders>
              <w:top w:val="single" w:sz="12" w:space="0" w:color="auto"/>
              <w:bottom w:val="single" w:sz="6" w:space="0" w:color="auto"/>
            </w:tcBorders>
            <w:vAlign w:val="center"/>
          </w:tcPr>
          <w:p w14:paraId="5C1E9BEC"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实测偏差</w:t>
            </w:r>
          </w:p>
          <w:p w14:paraId="1D50A5E5"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mm</w:t>
            </w:r>
          </w:p>
        </w:tc>
      </w:tr>
      <w:tr w:rsidR="004426E6" w14:paraId="7C485D29" w14:textId="77777777" w:rsidTr="00B35C1E">
        <w:trPr>
          <w:trHeight w:val="475"/>
        </w:trPr>
        <w:tc>
          <w:tcPr>
            <w:tcW w:w="2253" w:type="dxa"/>
            <w:vMerge/>
            <w:tcBorders>
              <w:top w:val="single" w:sz="6" w:space="0" w:color="auto"/>
              <w:bottom w:val="single" w:sz="6" w:space="0" w:color="auto"/>
            </w:tcBorders>
            <w:vAlign w:val="center"/>
          </w:tcPr>
          <w:p w14:paraId="230EA397" w14:textId="77777777" w:rsidR="004426E6" w:rsidRPr="00B35C1E" w:rsidRDefault="004426E6">
            <w:pPr>
              <w:jc w:val="center"/>
              <w:rPr>
                <w:rFonts w:ascii="Times New Roman" w:hAnsi="Times New Roman" w:cs="Times New Roman"/>
                <w:sz w:val="18"/>
                <w:szCs w:val="18"/>
              </w:rPr>
            </w:pPr>
          </w:p>
        </w:tc>
        <w:tc>
          <w:tcPr>
            <w:tcW w:w="1543" w:type="dxa"/>
            <w:vMerge/>
            <w:tcBorders>
              <w:top w:val="single" w:sz="6" w:space="0" w:color="auto"/>
              <w:bottom w:val="single" w:sz="6" w:space="0" w:color="auto"/>
            </w:tcBorders>
            <w:vAlign w:val="center"/>
          </w:tcPr>
          <w:p w14:paraId="03A6A93B" w14:textId="77777777" w:rsidR="004426E6" w:rsidRPr="00B35C1E" w:rsidRDefault="004426E6">
            <w:pPr>
              <w:jc w:val="center"/>
              <w:rPr>
                <w:rFonts w:ascii="Times New Roman" w:hAnsi="Times New Roman" w:cs="Times New Roman"/>
                <w:sz w:val="18"/>
                <w:szCs w:val="18"/>
              </w:rPr>
            </w:pPr>
          </w:p>
        </w:tc>
        <w:tc>
          <w:tcPr>
            <w:tcW w:w="2179" w:type="dxa"/>
            <w:gridSpan w:val="2"/>
            <w:tcBorders>
              <w:top w:val="single" w:sz="6" w:space="0" w:color="auto"/>
              <w:bottom w:val="single" w:sz="6" w:space="0" w:color="auto"/>
            </w:tcBorders>
            <w:vAlign w:val="center"/>
          </w:tcPr>
          <w:p w14:paraId="2BB6F9F4"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普通级</w:t>
            </w:r>
          </w:p>
        </w:tc>
        <w:tc>
          <w:tcPr>
            <w:tcW w:w="2374" w:type="dxa"/>
            <w:gridSpan w:val="2"/>
            <w:tcBorders>
              <w:top w:val="single" w:sz="6" w:space="0" w:color="auto"/>
              <w:bottom w:val="single" w:sz="6" w:space="0" w:color="auto"/>
            </w:tcBorders>
            <w:vAlign w:val="center"/>
          </w:tcPr>
          <w:p w14:paraId="259FBDFD"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高精级</w:t>
            </w:r>
          </w:p>
        </w:tc>
      </w:tr>
      <w:tr w:rsidR="004426E6" w14:paraId="20213656" w14:textId="77777777" w:rsidTr="00B35C1E">
        <w:trPr>
          <w:trHeight w:val="675"/>
        </w:trPr>
        <w:tc>
          <w:tcPr>
            <w:tcW w:w="2253" w:type="dxa"/>
            <w:vMerge/>
            <w:tcBorders>
              <w:top w:val="single" w:sz="6" w:space="0" w:color="auto"/>
              <w:bottom w:val="single" w:sz="12" w:space="0" w:color="auto"/>
            </w:tcBorders>
            <w:vAlign w:val="center"/>
          </w:tcPr>
          <w:p w14:paraId="7F2AEE51" w14:textId="77777777" w:rsidR="004426E6" w:rsidRPr="00B35C1E" w:rsidRDefault="004426E6">
            <w:pPr>
              <w:jc w:val="center"/>
              <w:rPr>
                <w:rFonts w:ascii="Times New Roman" w:hAnsi="Times New Roman" w:cs="Times New Roman"/>
                <w:sz w:val="18"/>
                <w:szCs w:val="18"/>
              </w:rPr>
            </w:pPr>
          </w:p>
        </w:tc>
        <w:tc>
          <w:tcPr>
            <w:tcW w:w="1543" w:type="dxa"/>
            <w:vMerge/>
            <w:tcBorders>
              <w:top w:val="single" w:sz="6" w:space="0" w:color="auto"/>
              <w:bottom w:val="single" w:sz="12" w:space="0" w:color="auto"/>
            </w:tcBorders>
            <w:vAlign w:val="center"/>
          </w:tcPr>
          <w:p w14:paraId="2D05A684" w14:textId="77777777" w:rsidR="004426E6" w:rsidRPr="00B35C1E" w:rsidRDefault="004426E6">
            <w:pPr>
              <w:jc w:val="center"/>
              <w:rPr>
                <w:rFonts w:ascii="Times New Roman" w:hAnsi="Times New Roman" w:cs="Times New Roman"/>
                <w:sz w:val="18"/>
                <w:szCs w:val="18"/>
              </w:rPr>
            </w:pPr>
          </w:p>
        </w:tc>
        <w:tc>
          <w:tcPr>
            <w:tcW w:w="867" w:type="dxa"/>
            <w:tcBorders>
              <w:top w:val="single" w:sz="6" w:space="0" w:color="auto"/>
              <w:bottom w:val="single" w:sz="12" w:space="0" w:color="auto"/>
            </w:tcBorders>
            <w:vAlign w:val="center"/>
          </w:tcPr>
          <w:p w14:paraId="4CD1F0FE"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圆形</w:t>
            </w:r>
          </w:p>
        </w:tc>
        <w:tc>
          <w:tcPr>
            <w:tcW w:w="1312" w:type="dxa"/>
            <w:tcBorders>
              <w:top w:val="single" w:sz="6" w:space="0" w:color="auto"/>
              <w:bottom w:val="single" w:sz="12" w:space="0" w:color="auto"/>
            </w:tcBorders>
            <w:vAlign w:val="center"/>
          </w:tcPr>
          <w:p w14:paraId="2D170E5A"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正六角形、正方形和矩形</w:t>
            </w:r>
          </w:p>
        </w:tc>
        <w:tc>
          <w:tcPr>
            <w:tcW w:w="1131" w:type="dxa"/>
            <w:tcBorders>
              <w:top w:val="single" w:sz="6" w:space="0" w:color="auto"/>
              <w:bottom w:val="single" w:sz="12" w:space="0" w:color="auto"/>
            </w:tcBorders>
            <w:vAlign w:val="center"/>
          </w:tcPr>
          <w:p w14:paraId="688E5082"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圆形</w:t>
            </w:r>
          </w:p>
        </w:tc>
        <w:tc>
          <w:tcPr>
            <w:tcW w:w="1243" w:type="dxa"/>
            <w:tcBorders>
              <w:top w:val="single" w:sz="6" w:space="0" w:color="auto"/>
              <w:bottom w:val="single" w:sz="12" w:space="0" w:color="auto"/>
            </w:tcBorders>
            <w:vAlign w:val="center"/>
          </w:tcPr>
          <w:p w14:paraId="36B385CF"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正六角形、正方形和矩形</w:t>
            </w:r>
          </w:p>
        </w:tc>
      </w:tr>
      <w:tr w:rsidR="004426E6" w14:paraId="7AA0F1D7" w14:textId="77777777" w:rsidTr="00B35C1E">
        <w:trPr>
          <w:trHeight w:val="512"/>
        </w:trPr>
        <w:tc>
          <w:tcPr>
            <w:tcW w:w="2253" w:type="dxa"/>
            <w:vMerge w:val="restart"/>
            <w:tcBorders>
              <w:top w:val="single" w:sz="12" w:space="0" w:color="auto"/>
            </w:tcBorders>
            <w:vAlign w:val="center"/>
          </w:tcPr>
          <w:p w14:paraId="352E3671" w14:textId="5719CA58"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TTe0.3</w:t>
            </w:r>
            <w:r w:rsidRPr="00B35C1E">
              <w:rPr>
                <w:rFonts w:ascii="Times New Roman" w:hAnsi="Times New Roman" w:cs="Times New Roman"/>
                <w:sz w:val="18"/>
                <w:szCs w:val="18"/>
              </w:rPr>
              <w:t>、</w:t>
            </w:r>
            <w:r w:rsidRPr="00B35C1E">
              <w:rPr>
                <w:rFonts w:ascii="Times New Roman" w:hAnsi="Times New Roman" w:cs="Times New Roman"/>
                <w:sz w:val="18"/>
                <w:szCs w:val="18"/>
              </w:rPr>
              <w:t>TTe0.5</w:t>
            </w:r>
            <w:r w:rsidRPr="00B35C1E">
              <w:rPr>
                <w:rFonts w:ascii="Times New Roman" w:hAnsi="Times New Roman" w:cs="Times New Roman"/>
                <w:sz w:val="18"/>
                <w:szCs w:val="18"/>
              </w:rPr>
              <w:t>、</w:t>
            </w:r>
            <w:r w:rsidRPr="00B35C1E">
              <w:rPr>
                <w:rFonts w:ascii="Times New Roman" w:hAnsi="Times New Roman" w:cs="Times New Roman"/>
                <w:sz w:val="18"/>
                <w:szCs w:val="18"/>
              </w:rPr>
              <w:t>TTe0.5-0.02</w:t>
            </w:r>
            <w:r w:rsidRPr="00B35C1E">
              <w:rPr>
                <w:rFonts w:ascii="Times New Roman" w:hAnsi="Times New Roman" w:cs="Times New Roman"/>
                <w:sz w:val="18"/>
                <w:szCs w:val="18"/>
              </w:rPr>
              <w:t>、</w:t>
            </w:r>
            <w:r w:rsidRPr="00B35C1E">
              <w:rPr>
                <w:rFonts w:ascii="Times New Roman" w:hAnsi="Times New Roman" w:cs="Times New Roman"/>
                <w:sz w:val="18"/>
                <w:szCs w:val="18"/>
              </w:rPr>
              <w:t>TPb1</w:t>
            </w:r>
            <w:r w:rsidRPr="00B35C1E">
              <w:rPr>
                <w:rFonts w:ascii="Times New Roman" w:hAnsi="Times New Roman" w:cs="Times New Roman"/>
                <w:sz w:val="18"/>
                <w:szCs w:val="18"/>
              </w:rPr>
              <w:t>、</w:t>
            </w:r>
            <w:r w:rsidRPr="00B35C1E">
              <w:rPr>
                <w:rFonts w:ascii="Times New Roman" w:hAnsi="Times New Roman" w:cs="Times New Roman"/>
                <w:sz w:val="18"/>
                <w:szCs w:val="18"/>
              </w:rPr>
              <w:t>HPb63-3</w:t>
            </w:r>
            <w:r w:rsidRPr="00B35C1E">
              <w:rPr>
                <w:rFonts w:ascii="Times New Roman" w:hAnsi="Times New Roman" w:cs="Times New Roman"/>
                <w:sz w:val="18"/>
                <w:szCs w:val="18"/>
              </w:rPr>
              <w:t>、</w:t>
            </w:r>
            <w:r w:rsidRPr="00B35C1E">
              <w:rPr>
                <w:rFonts w:ascii="Times New Roman" w:hAnsi="Times New Roman" w:cs="Times New Roman"/>
                <w:sz w:val="18"/>
                <w:szCs w:val="18"/>
              </w:rPr>
              <w:t>HPb62-3</w:t>
            </w:r>
            <w:r w:rsidRPr="00B35C1E">
              <w:rPr>
                <w:rFonts w:ascii="Times New Roman" w:hAnsi="Times New Roman" w:cs="Times New Roman"/>
                <w:sz w:val="18"/>
                <w:szCs w:val="18"/>
              </w:rPr>
              <w:t>、</w:t>
            </w:r>
            <w:r w:rsidRPr="00B35C1E">
              <w:rPr>
                <w:rFonts w:ascii="Times New Roman" w:hAnsi="Times New Roman" w:cs="Times New Roman"/>
                <w:sz w:val="18"/>
                <w:szCs w:val="18"/>
              </w:rPr>
              <w:t>HPb60-2</w:t>
            </w:r>
            <w:r w:rsidRPr="00B35C1E">
              <w:rPr>
                <w:rFonts w:ascii="Times New Roman" w:hAnsi="Times New Roman" w:cs="Times New Roman"/>
                <w:sz w:val="18"/>
                <w:szCs w:val="18"/>
              </w:rPr>
              <w:t>、</w:t>
            </w:r>
            <w:r w:rsidRPr="00B35C1E">
              <w:rPr>
                <w:rFonts w:ascii="Times New Roman" w:hAnsi="Times New Roman" w:cs="Times New Roman"/>
                <w:sz w:val="18"/>
                <w:szCs w:val="18"/>
              </w:rPr>
              <w:t>HPb59-1</w:t>
            </w:r>
            <w:r w:rsidRPr="00B35C1E">
              <w:rPr>
                <w:rFonts w:ascii="Times New Roman" w:hAnsi="Times New Roman" w:cs="Times New Roman"/>
                <w:sz w:val="18"/>
                <w:szCs w:val="18"/>
              </w:rPr>
              <w:t>、</w:t>
            </w:r>
            <w:r w:rsidRPr="00B35C1E">
              <w:rPr>
                <w:rFonts w:ascii="Times New Roman" w:hAnsi="Times New Roman" w:cs="Times New Roman"/>
                <w:sz w:val="18"/>
                <w:szCs w:val="18"/>
              </w:rPr>
              <w:t>HPb59.2.8</w:t>
            </w:r>
            <w:r w:rsidRPr="00B35C1E">
              <w:rPr>
                <w:rFonts w:ascii="Times New Roman" w:hAnsi="Times New Roman" w:cs="Times New Roman"/>
                <w:sz w:val="18"/>
                <w:szCs w:val="18"/>
              </w:rPr>
              <w:t>、</w:t>
            </w:r>
            <w:r w:rsidRPr="00B35C1E">
              <w:rPr>
                <w:rFonts w:ascii="Times New Roman" w:hAnsi="Times New Roman" w:cs="Times New Roman"/>
                <w:sz w:val="18"/>
                <w:szCs w:val="18"/>
              </w:rPr>
              <w:t>HPb59-3</w:t>
            </w:r>
            <w:r w:rsidRPr="00B35C1E">
              <w:rPr>
                <w:rFonts w:ascii="Times New Roman" w:hAnsi="Times New Roman" w:cs="Times New Roman"/>
                <w:sz w:val="18"/>
                <w:szCs w:val="18"/>
              </w:rPr>
              <w:t>、</w:t>
            </w:r>
            <w:r w:rsidRPr="00B35C1E">
              <w:rPr>
                <w:rFonts w:ascii="Times New Roman" w:hAnsi="Times New Roman" w:cs="Times New Roman"/>
                <w:sz w:val="18"/>
                <w:szCs w:val="18"/>
              </w:rPr>
              <w:t>HPb58-3</w:t>
            </w:r>
            <w:r w:rsidRPr="00B35C1E">
              <w:rPr>
                <w:rFonts w:ascii="Times New Roman" w:hAnsi="Times New Roman" w:cs="Times New Roman"/>
                <w:sz w:val="18"/>
                <w:szCs w:val="18"/>
              </w:rPr>
              <w:t>、</w:t>
            </w:r>
            <w:r w:rsidRPr="00B35C1E">
              <w:rPr>
                <w:rFonts w:ascii="Times New Roman" w:hAnsi="Times New Roman" w:cs="Times New Roman"/>
                <w:sz w:val="18"/>
                <w:szCs w:val="18"/>
              </w:rPr>
              <w:t>HPb57-2.8</w:t>
            </w:r>
            <w:r w:rsidRPr="00B35C1E">
              <w:rPr>
                <w:rFonts w:ascii="Times New Roman" w:hAnsi="Times New Roman" w:cs="Times New Roman"/>
                <w:sz w:val="18"/>
                <w:szCs w:val="18"/>
              </w:rPr>
              <w:t>、</w:t>
            </w:r>
            <w:r w:rsidRPr="00B35C1E">
              <w:rPr>
                <w:rFonts w:ascii="Times New Roman" w:hAnsi="Times New Roman" w:cs="Times New Roman"/>
                <w:sz w:val="18"/>
                <w:szCs w:val="18"/>
              </w:rPr>
              <w:t>HBi58-1.5</w:t>
            </w:r>
            <w:r w:rsidRPr="00B35C1E">
              <w:rPr>
                <w:rFonts w:ascii="Times New Roman" w:hAnsi="Times New Roman" w:cs="Times New Roman"/>
                <w:sz w:val="18"/>
                <w:szCs w:val="18"/>
              </w:rPr>
              <w:t>、</w:t>
            </w:r>
            <w:r w:rsidRPr="00B35C1E">
              <w:rPr>
                <w:rFonts w:ascii="Times New Roman" w:hAnsi="Times New Roman" w:cs="Times New Roman"/>
                <w:sz w:val="18"/>
                <w:szCs w:val="18"/>
              </w:rPr>
              <w:t>HBi60-1.3</w:t>
            </w:r>
            <w:r w:rsidRPr="00B35C1E">
              <w:rPr>
                <w:rFonts w:ascii="Times New Roman" w:hAnsi="Times New Roman" w:cs="Times New Roman"/>
                <w:sz w:val="18"/>
                <w:szCs w:val="18"/>
              </w:rPr>
              <w:t>、</w:t>
            </w:r>
            <w:r w:rsidRPr="00B35C1E">
              <w:rPr>
                <w:rFonts w:ascii="Times New Roman" w:hAnsi="Times New Roman" w:cs="Times New Roman"/>
                <w:sz w:val="18"/>
                <w:szCs w:val="18"/>
              </w:rPr>
              <w:t>HBi60-1</w:t>
            </w:r>
            <w:r w:rsidR="00721BEE" w:rsidRPr="00B35C1E">
              <w:rPr>
                <w:rFonts w:ascii="Times New Roman" w:hAnsi="Times New Roman" w:cs="Times New Roman"/>
                <w:sz w:val="18"/>
                <w:szCs w:val="18"/>
              </w:rPr>
              <w:t>.0</w:t>
            </w:r>
            <w:r w:rsidRPr="00B35C1E">
              <w:rPr>
                <w:rFonts w:ascii="Times New Roman" w:hAnsi="Times New Roman" w:cs="Times New Roman"/>
                <w:sz w:val="18"/>
                <w:szCs w:val="18"/>
              </w:rPr>
              <w:t>-0.05</w:t>
            </w:r>
            <w:r w:rsidRPr="00B35C1E">
              <w:rPr>
                <w:rFonts w:ascii="Times New Roman" w:hAnsi="Times New Roman" w:cs="Times New Roman"/>
                <w:sz w:val="18"/>
                <w:szCs w:val="18"/>
              </w:rPr>
              <w:t>、</w:t>
            </w:r>
            <w:r w:rsidRPr="00B35C1E">
              <w:rPr>
                <w:rFonts w:ascii="Times New Roman" w:hAnsi="Times New Roman" w:cs="Times New Roman"/>
                <w:sz w:val="18"/>
                <w:szCs w:val="18"/>
              </w:rPr>
              <w:t>HBi62-1.4-1</w:t>
            </w:r>
            <w:r w:rsidRPr="00B35C1E">
              <w:rPr>
                <w:rFonts w:ascii="Times New Roman" w:hAnsi="Times New Roman" w:cs="Times New Roman"/>
                <w:sz w:val="18"/>
                <w:szCs w:val="18"/>
              </w:rPr>
              <w:t>、</w:t>
            </w:r>
            <w:r w:rsidRPr="00B35C1E">
              <w:rPr>
                <w:rFonts w:ascii="Times New Roman" w:hAnsi="Times New Roman" w:cs="Times New Roman"/>
                <w:sz w:val="18"/>
                <w:szCs w:val="18"/>
              </w:rPr>
              <w:t>HBi59-1</w:t>
            </w:r>
            <w:r w:rsidRPr="00B35C1E">
              <w:rPr>
                <w:rFonts w:ascii="Times New Roman" w:hAnsi="Times New Roman" w:cs="Times New Roman"/>
                <w:sz w:val="18"/>
                <w:szCs w:val="18"/>
              </w:rPr>
              <w:t>、</w:t>
            </w:r>
            <w:r w:rsidR="00CC6424" w:rsidRPr="00B35C1E">
              <w:rPr>
                <w:rFonts w:ascii="Times New Roman" w:hAnsi="Times New Roman" w:cs="Times New Roman"/>
                <w:sz w:val="18"/>
                <w:szCs w:val="18"/>
              </w:rPr>
              <w:t>HBi59-1</w:t>
            </w:r>
            <w:r w:rsidR="00CC6424">
              <w:rPr>
                <w:rFonts w:ascii="Times New Roman" w:hAnsi="Times New Roman" w:cs="Times New Roman" w:hint="eastAsia"/>
                <w:sz w:val="18"/>
                <w:szCs w:val="18"/>
              </w:rPr>
              <w:t>.5</w:t>
            </w:r>
            <w:r w:rsidR="00CC6424">
              <w:rPr>
                <w:rFonts w:ascii="Times New Roman" w:hAnsi="Times New Roman" w:cs="Times New Roman" w:hint="eastAsia"/>
                <w:sz w:val="18"/>
                <w:szCs w:val="18"/>
              </w:rPr>
              <w:t>、</w:t>
            </w:r>
            <w:r w:rsidRPr="00B35C1E">
              <w:rPr>
                <w:rFonts w:ascii="Times New Roman" w:hAnsi="Times New Roman" w:cs="Times New Roman"/>
                <w:color w:val="000000"/>
                <w:sz w:val="18"/>
                <w:szCs w:val="18"/>
              </w:rPr>
              <w:t>HBi59-2</w:t>
            </w:r>
            <w:r w:rsidRPr="00B35C1E">
              <w:rPr>
                <w:rFonts w:ascii="Times New Roman" w:hAnsi="Times New Roman" w:cs="Times New Roman"/>
                <w:color w:val="000000"/>
                <w:sz w:val="18"/>
                <w:szCs w:val="18"/>
              </w:rPr>
              <w:t>、</w:t>
            </w:r>
            <w:r w:rsidRPr="00B35C1E">
              <w:rPr>
                <w:rFonts w:ascii="Times New Roman" w:hAnsi="Times New Roman" w:cs="Times New Roman"/>
                <w:sz w:val="18"/>
                <w:szCs w:val="18"/>
              </w:rPr>
              <w:t>QSn4.6-1-0.2</w:t>
            </w:r>
            <w:r w:rsidRPr="00B35C1E">
              <w:rPr>
                <w:rFonts w:ascii="Times New Roman" w:hAnsi="Times New Roman" w:cs="Times New Roman"/>
                <w:sz w:val="18"/>
                <w:szCs w:val="18"/>
              </w:rPr>
              <w:t>、</w:t>
            </w:r>
            <w:r w:rsidRPr="00B35C1E">
              <w:rPr>
                <w:rFonts w:ascii="Times New Roman" w:hAnsi="Times New Roman" w:cs="Times New Roman"/>
                <w:sz w:val="18"/>
                <w:szCs w:val="18"/>
              </w:rPr>
              <w:t>QSn4-4-4</w:t>
            </w:r>
            <w:r w:rsidRPr="00B35C1E">
              <w:rPr>
                <w:rFonts w:ascii="Times New Roman" w:hAnsi="Times New Roman" w:cs="Times New Roman"/>
                <w:sz w:val="18"/>
                <w:szCs w:val="18"/>
              </w:rPr>
              <w:t>、</w:t>
            </w:r>
            <w:r w:rsidRPr="00B35C1E">
              <w:rPr>
                <w:rFonts w:ascii="Times New Roman" w:hAnsi="Times New Roman" w:cs="Times New Roman"/>
                <w:sz w:val="18"/>
                <w:szCs w:val="18"/>
              </w:rPr>
              <w:t>HSb61-0.8-0.5</w:t>
            </w:r>
            <w:r w:rsidRPr="00B35C1E">
              <w:rPr>
                <w:rFonts w:ascii="Times New Roman" w:hAnsi="Times New Roman" w:cs="Times New Roman"/>
                <w:sz w:val="18"/>
                <w:szCs w:val="18"/>
              </w:rPr>
              <w:t>、</w:t>
            </w:r>
            <w:r w:rsidRPr="00B35C1E">
              <w:rPr>
                <w:rFonts w:ascii="Times New Roman" w:hAnsi="Times New Roman" w:cs="Times New Roman"/>
                <w:sz w:val="18"/>
                <w:szCs w:val="18"/>
              </w:rPr>
              <w:t>HSb60-0.9</w:t>
            </w:r>
            <w:r w:rsidRPr="00B35C1E">
              <w:rPr>
                <w:rFonts w:ascii="Times New Roman" w:hAnsi="Times New Roman" w:cs="Times New Roman"/>
                <w:sz w:val="18"/>
                <w:szCs w:val="18"/>
              </w:rPr>
              <w:t>、</w:t>
            </w:r>
            <w:r w:rsidRPr="00B35C1E">
              <w:rPr>
                <w:rFonts w:ascii="Times New Roman" w:hAnsi="Times New Roman" w:cs="Times New Roman"/>
                <w:sz w:val="18"/>
                <w:szCs w:val="18"/>
              </w:rPr>
              <w:t>HSi75-3</w:t>
            </w:r>
            <w:r w:rsidRPr="00B35C1E">
              <w:rPr>
                <w:rFonts w:ascii="Times New Roman" w:hAnsi="Times New Roman" w:cs="Times New Roman"/>
                <w:sz w:val="18"/>
                <w:szCs w:val="18"/>
              </w:rPr>
              <w:t>、</w:t>
            </w:r>
            <w:r w:rsidRPr="00B35C1E">
              <w:rPr>
                <w:rFonts w:ascii="Times New Roman" w:hAnsi="Times New Roman" w:cs="Times New Roman"/>
                <w:sz w:val="18"/>
                <w:szCs w:val="18"/>
              </w:rPr>
              <w:t>HSi61-0.6</w:t>
            </w:r>
            <w:r w:rsidRPr="00B35C1E">
              <w:rPr>
                <w:rFonts w:ascii="Times New Roman" w:hAnsi="Times New Roman" w:cs="Times New Roman"/>
                <w:sz w:val="18"/>
                <w:szCs w:val="18"/>
              </w:rPr>
              <w:t>、</w:t>
            </w:r>
            <w:r w:rsidRPr="00B35C1E">
              <w:rPr>
                <w:rFonts w:ascii="Times New Roman" w:hAnsi="Times New Roman" w:cs="Times New Roman"/>
                <w:sz w:val="18"/>
                <w:szCs w:val="18"/>
              </w:rPr>
              <w:t>BZn12-24-1.1</w:t>
            </w:r>
            <w:r w:rsidRPr="00B35C1E">
              <w:rPr>
                <w:rFonts w:ascii="Times New Roman" w:hAnsi="Times New Roman" w:cs="Times New Roman"/>
                <w:sz w:val="18"/>
                <w:szCs w:val="18"/>
              </w:rPr>
              <w:t>、</w:t>
            </w:r>
            <w:r w:rsidRPr="00B35C1E">
              <w:rPr>
                <w:rFonts w:ascii="Times New Roman" w:hAnsi="Times New Roman" w:cs="Times New Roman"/>
                <w:sz w:val="18"/>
                <w:szCs w:val="18"/>
              </w:rPr>
              <w:t>BZn12-37-1.5</w:t>
            </w:r>
            <w:r w:rsidRPr="00B35C1E">
              <w:rPr>
                <w:rFonts w:ascii="Times New Roman" w:hAnsi="Times New Roman" w:cs="Times New Roman"/>
                <w:sz w:val="18"/>
                <w:szCs w:val="18"/>
              </w:rPr>
              <w:t>、</w:t>
            </w:r>
            <w:r w:rsidRPr="00B35C1E">
              <w:rPr>
                <w:rFonts w:ascii="Times New Roman" w:hAnsi="Times New Roman" w:cs="Times New Roman"/>
                <w:sz w:val="18"/>
                <w:szCs w:val="18"/>
              </w:rPr>
              <w:t>BZn12-38-2</w:t>
            </w:r>
          </w:p>
        </w:tc>
        <w:tc>
          <w:tcPr>
            <w:tcW w:w="1543" w:type="dxa"/>
            <w:tcBorders>
              <w:top w:val="single" w:sz="12" w:space="0" w:color="auto"/>
            </w:tcBorders>
            <w:vAlign w:val="center"/>
          </w:tcPr>
          <w:p w14:paraId="48EB658A"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≥0.5</w:t>
            </w:r>
            <w:r w:rsidRPr="00B35C1E">
              <w:rPr>
                <w:rFonts w:ascii="Times New Roman" w:hAnsi="Times New Roman" w:cs="Times New Roman"/>
                <w:sz w:val="18"/>
                <w:szCs w:val="18"/>
              </w:rPr>
              <w:t>～</w:t>
            </w:r>
            <w:r w:rsidRPr="00B35C1E">
              <w:rPr>
                <w:rFonts w:ascii="Times New Roman" w:hAnsi="Times New Roman" w:cs="Times New Roman"/>
                <w:sz w:val="18"/>
                <w:szCs w:val="18"/>
              </w:rPr>
              <w:t>0.75</w:t>
            </w:r>
          </w:p>
        </w:tc>
        <w:tc>
          <w:tcPr>
            <w:tcW w:w="867" w:type="dxa"/>
            <w:tcBorders>
              <w:top w:val="single" w:sz="12" w:space="0" w:color="auto"/>
            </w:tcBorders>
            <w:vAlign w:val="center"/>
          </w:tcPr>
          <w:p w14:paraId="09A34CD5" w14:textId="77777777" w:rsidR="004426E6" w:rsidRPr="00B35C1E" w:rsidRDefault="00000000">
            <w:pPr>
              <w:pStyle w:val="a0"/>
              <w:rPr>
                <w:rFonts w:ascii="Times New Roman" w:hAnsi="Times New Roman" w:cs="Times New Roman"/>
                <w:sz w:val="18"/>
                <w:szCs w:val="18"/>
              </w:rPr>
            </w:pPr>
            <w:r w:rsidRPr="00B35C1E">
              <w:rPr>
                <w:rFonts w:ascii="Times New Roman" w:eastAsiaTheme="minorEastAsia" w:hAnsi="Times New Roman" w:cs="Times New Roman"/>
                <w:sz w:val="18"/>
                <w:szCs w:val="18"/>
              </w:rPr>
              <w:t>-0.00</w:t>
            </w:r>
            <w:r w:rsidRPr="00B35C1E">
              <w:rPr>
                <w:rFonts w:ascii="Times New Roman" w:hAnsi="Times New Roman" w:cs="Times New Roman"/>
                <w:sz w:val="18"/>
                <w:szCs w:val="18"/>
              </w:rPr>
              <w:t>7</w:t>
            </w:r>
            <w:r w:rsidRPr="00B35C1E">
              <w:rPr>
                <w:rFonts w:ascii="Times New Roman" w:eastAsiaTheme="minorEastAsia" w:hAnsi="Times New Roman" w:cs="Times New Roman"/>
                <w:sz w:val="18"/>
                <w:szCs w:val="18"/>
              </w:rPr>
              <w:t>～</w:t>
            </w:r>
            <w:r w:rsidRPr="00B35C1E">
              <w:rPr>
                <w:rFonts w:ascii="Times New Roman" w:eastAsiaTheme="minorEastAsia" w:hAnsi="Times New Roman" w:cs="Times New Roman"/>
                <w:sz w:val="18"/>
                <w:szCs w:val="18"/>
              </w:rPr>
              <w:t>0.00</w:t>
            </w:r>
            <w:r w:rsidRPr="00B35C1E">
              <w:rPr>
                <w:rFonts w:ascii="Times New Roman" w:hAnsi="Times New Roman" w:cs="Times New Roman"/>
                <w:sz w:val="18"/>
                <w:szCs w:val="18"/>
              </w:rPr>
              <w:t>8</w:t>
            </w:r>
          </w:p>
        </w:tc>
        <w:tc>
          <w:tcPr>
            <w:tcW w:w="1312" w:type="dxa"/>
            <w:tcBorders>
              <w:top w:val="single" w:sz="12" w:space="0" w:color="auto"/>
            </w:tcBorders>
            <w:vAlign w:val="center"/>
          </w:tcPr>
          <w:p w14:paraId="58C737DB"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p>
        </w:tc>
        <w:tc>
          <w:tcPr>
            <w:tcW w:w="1131" w:type="dxa"/>
            <w:tcBorders>
              <w:top w:val="single" w:sz="12" w:space="0" w:color="auto"/>
            </w:tcBorders>
            <w:vAlign w:val="center"/>
          </w:tcPr>
          <w:p w14:paraId="6DB6BA67"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-0.005</w:t>
            </w:r>
            <w:r w:rsidRPr="00B35C1E">
              <w:rPr>
                <w:rFonts w:ascii="Times New Roman" w:hAnsi="Times New Roman" w:cs="Times New Roman"/>
                <w:sz w:val="18"/>
                <w:szCs w:val="18"/>
              </w:rPr>
              <w:t>～</w:t>
            </w:r>
            <w:r w:rsidRPr="00B35C1E">
              <w:rPr>
                <w:rFonts w:ascii="Times New Roman" w:hAnsi="Times New Roman" w:cs="Times New Roman"/>
                <w:sz w:val="18"/>
                <w:szCs w:val="18"/>
              </w:rPr>
              <w:t>0.005</w:t>
            </w:r>
          </w:p>
        </w:tc>
        <w:tc>
          <w:tcPr>
            <w:tcW w:w="1243" w:type="dxa"/>
            <w:tcBorders>
              <w:top w:val="single" w:sz="12" w:space="0" w:color="auto"/>
            </w:tcBorders>
            <w:vAlign w:val="center"/>
          </w:tcPr>
          <w:p w14:paraId="1619E633"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p>
        </w:tc>
      </w:tr>
      <w:tr w:rsidR="004426E6" w14:paraId="0D4A1457" w14:textId="77777777" w:rsidTr="00B35C1E">
        <w:trPr>
          <w:trHeight w:val="450"/>
        </w:trPr>
        <w:tc>
          <w:tcPr>
            <w:tcW w:w="2253" w:type="dxa"/>
            <w:vMerge/>
            <w:vAlign w:val="center"/>
          </w:tcPr>
          <w:p w14:paraId="0B6AB19B" w14:textId="77777777" w:rsidR="004426E6" w:rsidRPr="00B35C1E" w:rsidRDefault="004426E6">
            <w:pPr>
              <w:jc w:val="center"/>
              <w:rPr>
                <w:rFonts w:ascii="Times New Roman" w:hAnsi="Times New Roman" w:cs="Times New Roman"/>
                <w:sz w:val="18"/>
                <w:szCs w:val="18"/>
              </w:rPr>
            </w:pPr>
          </w:p>
        </w:tc>
        <w:tc>
          <w:tcPr>
            <w:tcW w:w="1543" w:type="dxa"/>
            <w:vAlign w:val="center"/>
          </w:tcPr>
          <w:p w14:paraId="172C3B63"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0.75</w:t>
            </w:r>
            <w:r w:rsidRPr="00B35C1E">
              <w:rPr>
                <w:rFonts w:ascii="Times New Roman" w:hAnsi="Times New Roman" w:cs="Times New Roman"/>
                <w:sz w:val="18"/>
                <w:szCs w:val="18"/>
              </w:rPr>
              <w:t>～</w:t>
            </w:r>
            <w:r w:rsidRPr="00B35C1E">
              <w:rPr>
                <w:rFonts w:ascii="Times New Roman" w:hAnsi="Times New Roman" w:cs="Times New Roman"/>
                <w:sz w:val="18"/>
                <w:szCs w:val="18"/>
              </w:rPr>
              <w:t>1.0</w:t>
            </w:r>
          </w:p>
        </w:tc>
        <w:tc>
          <w:tcPr>
            <w:tcW w:w="867" w:type="dxa"/>
            <w:vAlign w:val="center"/>
          </w:tcPr>
          <w:p w14:paraId="16EF01A9"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-0.009</w:t>
            </w:r>
            <w:r w:rsidRPr="00B35C1E">
              <w:rPr>
                <w:rFonts w:ascii="Times New Roman" w:hAnsi="Times New Roman" w:cs="Times New Roman"/>
                <w:sz w:val="18"/>
                <w:szCs w:val="18"/>
              </w:rPr>
              <w:t>～</w:t>
            </w:r>
            <w:r w:rsidRPr="00B35C1E">
              <w:rPr>
                <w:rFonts w:ascii="Times New Roman" w:hAnsi="Times New Roman" w:cs="Times New Roman"/>
                <w:sz w:val="18"/>
                <w:szCs w:val="18"/>
              </w:rPr>
              <w:t>0.009</w:t>
            </w:r>
          </w:p>
        </w:tc>
        <w:tc>
          <w:tcPr>
            <w:tcW w:w="1312" w:type="dxa"/>
            <w:vAlign w:val="center"/>
          </w:tcPr>
          <w:p w14:paraId="6A1F68D0"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-0.018</w:t>
            </w:r>
            <w:r w:rsidRPr="00B35C1E">
              <w:rPr>
                <w:rFonts w:ascii="Times New Roman" w:hAnsi="Times New Roman" w:cs="Times New Roman"/>
                <w:sz w:val="18"/>
                <w:szCs w:val="18"/>
              </w:rPr>
              <w:t>～</w:t>
            </w:r>
            <w:r w:rsidRPr="00B35C1E">
              <w:rPr>
                <w:rFonts w:ascii="Times New Roman" w:hAnsi="Times New Roman" w:cs="Times New Roman"/>
                <w:sz w:val="18"/>
                <w:szCs w:val="18"/>
              </w:rPr>
              <w:t>0.017</w:t>
            </w:r>
          </w:p>
        </w:tc>
        <w:tc>
          <w:tcPr>
            <w:tcW w:w="1131" w:type="dxa"/>
            <w:vAlign w:val="center"/>
          </w:tcPr>
          <w:p w14:paraId="5204EB26"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-0.007</w:t>
            </w:r>
            <w:r w:rsidRPr="00B35C1E">
              <w:rPr>
                <w:rFonts w:ascii="Times New Roman" w:hAnsi="Times New Roman" w:cs="Times New Roman"/>
                <w:sz w:val="18"/>
                <w:szCs w:val="18"/>
              </w:rPr>
              <w:t>～</w:t>
            </w:r>
            <w:r w:rsidRPr="00B35C1E">
              <w:rPr>
                <w:rFonts w:ascii="Times New Roman" w:hAnsi="Times New Roman" w:cs="Times New Roman"/>
                <w:sz w:val="18"/>
                <w:szCs w:val="18"/>
              </w:rPr>
              <w:t>0.007</w:t>
            </w:r>
          </w:p>
        </w:tc>
        <w:tc>
          <w:tcPr>
            <w:tcW w:w="1243" w:type="dxa"/>
            <w:vAlign w:val="center"/>
          </w:tcPr>
          <w:p w14:paraId="21BDE6C0"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-0.014</w:t>
            </w:r>
            <w:r w:rsidRPr="00B35C1E">
              <w:rPr>
                <w:rFonts w:ascii="Times New Roman" w:hAnsi="Times New Roman" w:cs="Times New Roman"/>
                <w:sz w:val="18"/>
                <w:szCs w:val="18"/>
              </w:rPr>
              <w:t>～</w:t>
            </w:r>
            <w:r w:rsidRPr="00B35C1E">
              <w:rPr>
                <w:rFonts w:ascii="Times New Roman" w:hAnsi="Times New Roman" w:cs="Times New Roman"/>
                <w:sz w:val="18"/>
                <w:szCs w:val="18"/>
              </w:rPr>
              <w:t>0.014</w:t>
            </w:r>
          </w:p>
        </w:tc>
      </w:tr>
      <w:tr w:rsidR="004426E6" w14:paraId="7FF4E0B4" w14:textId="77777777" w:rsidTr="00B35C1E">
        <w:trPr>
          <w:trHeight w:val="450"/>
        </w:trPr>
        <w:tc>
          <w:tcPr>
            <w:tcW w:w="2253" w:type="dxa"/>
            <w:vMerge/>
            <w:vAlign w:val="center"/>
          </w:tcPr>
          <w:p w14:paraId="6DFB171C" w14:textId="77777777" w:rsidR="004426E6" w:rsidRPr="00B35C1E" w:rsidRDefault="004426E6">
            <w:pPr>
              <w:jc w:val="center"/>
              <w:rPr>
                <w:rFonts w:ascii="Times New Roman" w:hAnsi="Times New Roman" w:cs="Times New Roman"/>
                <w:sz w:val="18"/>
                <w:szCs w:val="18"/>
              </w:rPr>
            </w:pPr>
          </w:p>
        </w:tc>
        <w:tc>
          <w:tcPr>
            <w:tcW w:w="1543" w:type="dxa"/>
            <w:vAlign w:val="center"/>
          </w:tcPr>
          <w:p w14:paraId="54B26E47"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1.0</w:t>
            </w:r>
            <w:r w:rsidRPr="00B35C1E">
              <w:rPr>
                <w:rFonts w:ascii="Times New Roman" w:hAnsi="Times New Roman" w:cs="Times New Roman"/>
                <w:sz w:val="18"/>
                <w:szCs w:val="18"/>
              </w:rPr>
              <w:t>～</w:t>
            </w:r>
            <w:r w:rsidRPr="00B35C1E">
              <w:rPr>
                <w:rFonts w:ascii="Times New Roman" w:hAnsi="Times New Roman" w:cs="Times New Roman"/>
                <w:sz w:val="18"/>
                <w:szCs w:val="18"/>
              </w:rPr>
              <w:t>1.2</w:t>
            </w:r>
          </w:p>
        </w:tc>
        <w:tc>
          <w:tcPr>
            <w:tcW w:w="867" w:type="dxa"/>
            <w:vAlign w:val="center"/>
          </w:tcPr>
          <w:p w14:paraId="5C3D8337"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-0.010</w:t>
            </w:r>
            <w:r w:rsidRPr="00B35C1E">
              <w:rPr>
                <w:rFonts w:ascii="Times New Roman" w:hAnsi="Times New Roman" w:cs="Times New Roman"/>
                <w:sz w:val="18"/>
                <w:szCs w:val="18"/>
              </w:rPr>
              <w:t>～</w:t>
            </w:r>
            <w:r w:rsidRPr="00B35C1E">
              <w:rPr>
                <w:rFonts w:ascii="Times New Roman" w:hAnsi="Times New Roman" w:cs="Times New Roman"/>
                <w:sz w:val="18"/>
                <w:szCs w:val="18"/>
              </w:rPr>
              <w:t>0.011</w:t>
            </w:r>
          </w:p>
        </w:tc>
        <w:tc>
          <w:tcPr>
            <w:tcW w:w="1312" w:type="dxa"/>
            <w:vAlign w:val="center"/>
          </w:tcPr>
          <w:p w14:paraId="3EDFC4A0"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-0.024</w:t>
            </w:r>
            <w:r w:rsidRPr="00B35C1E">
              <w:rPr>
                <w:rFonts w:ascii="Times New Roman" w:hAnsi="Times New Roman" w:cs="Times New Roman"/>
                <w:sz w:val="18"/>
                <w:szCs w:val="18"/>
              </w:rPr>
              <w:t>～</w:t>
            </w:r>
            <w:r w:rsidRPr="00B35C1E">
              <w:rPr>
                <w:rFonts w:ascii="Times New Roman" w:hAnsi="Times New Roman" w:cs="Times New Roman"/>
                <w:sz w:val="18"/>
                <w:szCs w:val="18"/>
              </w:rPr>
              <w:t>0.023</w:t>
            </w:r>
          </w:p>
        </w:tc>
        <w:tc>
          <w:tcPr>
            <w:tcW w:w="1131" w:type="dxa"/>
            <w:vAlign w:val="center"/>
          </w:tcPr>
          <w:p w14:paraId="2986FA54"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-0.008</w:t>
            </w:r>
            <w:r w:rsidRPr="00B35C1E">
              <w:rPr>
                <w:rFonts w:ascii="Times New Roman" w:hAnsi="Times New Roman" w:cs="Times New Roman"/>
                <w:sz w:val="18"/>
                <w:szCs w:val="18"/>
              </w:rPr>
              <w:t>～</w:t>
            </w:r>
            <w:r w:rsidRPr="00B35C1E">
              <w:rPr>
                <w:rFonts w:ascii="Times New Roman" w:hAnsi="Times New Roman" w:cs="Times New Roman"/>
                <w:sz w:val="18"/>
                <w:szCs w:val="18"/>
              </w:rPr>
              <w:t>0.009</w:t>
            </w:r>
          </w:p>
        </w:tc>
        <w:tc>
          <w:tcPr>
            <w:tcW w:w="1243" w:type="dxa"/>
            <w:vAlign w:val="center"/>
          </w:tcPr>
          <w:p w14:paraId="3A3E37F1"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-0.019</w:t>
            </w:r>
            <w:r w:rsidRPr="00B35C1E">
              <w:rPr>
                <w:rFonts w:ascii="Times New Roman" w:hAnsi="Times New Roman" w:cs="Times New Roman"/>
                <w:sz w:val="18"/>
                <w:szCs w:val="18"/>
              </w:rPr>
              <w:t>～</w:t>
            </w:r>
            <w:r w:rsidRPr="00B35C1E">
              <w:rPr>
                <w:rFonts w:ascii="Times New Roman" w:hAnsi="Times New Roman" w:cs="Times New Roman"/>
                <w:sz w:val="18"/>
                <w:szCs w:val="18"/>
              </w:rPr>
              <w:t>0.018</w:t>
            </w:r>
          </w:p>
        </w:tc>
      </w:tr>
      <w:tr w:rsidR="004426E6" w14:paraId="0ACEDEF1" w14:textId="77777777" w:rsidTr="00B35C1E">
        <w:trPr>
          <w:trHeight w:val="450"/>
        </w:trPr>
        <w:tc>
          <w:tcPr>
            <w:tcW w:w="2253" w:type="dxa"/>
            <w:vMerge/>
            <w:vAlign w:val="center"/>
          </w:tcPr>
          <w:p w14:paraId="705D5685" w14:textId="77777777" w:rsidR="004426E6" w:rsidRPr="00B35C1E" w:rsidRDefault="004426E6">
            <w:pPr>
              <w:jc w:val="center"/>
              <w:rPr>
                <w:rFonts w:ascii="Times New Roman" w:hAnsi="Times New Roman" w:cs="Times New Roman"/>
                <w:sz w:val="18"/>
                <w:szCs w:val="18"/>
              </w:rPr>
            </w:pPr>
          </w:p>
        </w:tc>
        <w:tc>
          <w:tcPr>
            <w:tcW w:w="1543" w:type="dxa"/>
            <w:vAlign w:val="center"/>
          </w:tcPr>
          <w:p w14:paraId="47CD1358"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1.2</w:t>
            </w:r>
            <w:r w:rsidRPr="00B35C1E">
              <w:rPr>
                <w:rFonts w:ascii="Times New Roman" w:hAnsi="Times New Roman" w:cs="Times New Roman"/>
                <w:sz w:val="18"/>
                <w:szCs w:val="18"/>
              </w:rPr>
              <w:t>～</w:t>
            </w:r>
            <w:r w:rsidRPr="00B35C1E">
              <w:rPr>
                <w:rFonts w:ascii="Times New Roman" w:hAnsi="Times New Roman" w:cs="Times New Roman"/>
                <w:sz w:val="18"/>
                <w:szCs w:val="18"/>
              </w:rPr>
              <w:t>1.5</w:t>
            </w:r>
          </w:p>
        </w:tc>
        <w:tc>
          <w:tcPr>
            <w:tcW w:w="867" w:type="dxa"/>
            <w:vAlign w:val="center"/>
          </w:tcPr>
          <w:p w14:paraId="216BE785"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-0.015</w:t>
            </w:r>
            <w:r w:rsidRPr="00B35C1E">
              <w:rPr>
                <w:rFonts w:ascii="Times New Roman" w:hAnsi="Times New Roman" w:cs="Times New Roman"/>
                <w:sz w:val="18"/>
                <w:szCs w:val="18"/>
              </w:rPr>
              <w:t>～</w:t>
            </w:r>
            <w:r w:rsidRPr="00B35C1E">
              <w:rPr>
                <w:rFonts w:ascii="Times New Roman" w:hAnsi="Times New Roman" w:cs="Times New Roman"/>
                <w:sz w:val="18"/>
                <w:szCs w:val="18"/>
              </w:rPr>
              <w:t>0.014</w:t>
            </w:r>
          </w:p>
        </w:tc>
        <w:tc>
          <w:tcPr>
            <w:tcW w:w="1312" w:type="dxa"/>
            <w:vAlign w:val="center"/>
          </w:tcPr>
          <w:p w14:paraId="439D96E8"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-0.027</w:t>
            </w:r>
            <w:r w:rsidRPr="00B35C1E">
              <w:rPr>
                <w:rFonts w:ascii="Times New Roman" w:hAnsi="Times New Roman" w:cs="Times New Roman"/>
                <w:sz w:val="18"/>
                <w:szCs w:val="18"/>
              </w:rPr>
              <w:t>～</w:t>
            </w:r>
            <w:r w:rsidRPr="00B35C1E">
              <w:rPr>
                <w:rFonts w:ascii="Times New Roman" w:hAnsi="Times New Roman" w:cs="Times New Roman"/>
                <w:sz w:val="18"/>
                <w:szCs w:val="18"/>
              </w:rPr>
              <w:t>0.029</w:t>
            </w:r>
          </w:p>
        </w:tc>
        <w:tc>
          <w:tcPr>
            <w:tcW w:w="1131" w:type="dxa"/>
            <w:vAlign w:val="center"/>
          </w:tcPr>
          <w:p w14:paraId="0FB327F6"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-0.012</w:t>
            </w:r>
            <w:r w:rsidRPr="00B35C1E">
              <w:rPr>
                <w:rFonts w:ascii="Times New Roman" w:hAnsi="Times New Roman" w:cs="Times New Roman"/>
                <w:sz w:val="18"/>
                <w:szCs w:val="18"/>
              </w:rPr>
              <w:t>～</w:t>
            </w:r>
            <w:r w:rsidRPr="00B35C1E">
              <w:rPr>
                <w:rFonts w:ascii="Times New Roman" w:hAnsi="Times New Roman" w:cs="Times New Roman"/>
                <w:sz w:val="18"/>
                <w:szCs w:val="18"/>
              </w:rPr>
              <w:t>0.011</w:t>
            </w:r>
          </w:p>
        </w:tc>
        <w:tc>
          <w:tcPr>
            <w:tcW w:w="1243" w:type="dxa"/>
            <w:vAlign w:val="center"/>
          </w:tcPr>
          <w:p w14:paraId="6710CE7F"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-0.024</w:t>
            </w:r>
            <w:r w:rsidRPr="00B35C1E">
              <w:rPr>
                <w:rFonts w:ascii="Times New Roman" w:hAnsi="Times New Roman" w:cs="Times New Roman"/>
                <w:sz w:val="18"/>
                <w:szCs w:val="18"/>
              </w:rPr>
              <w:t>～</w:t>
            </w:r>
            <w:r w:rsidRPr="00B35C1E">
              <w:rPr>
                <w:rFonts w:ascii="Times New Roman" w:hAnsi="Times New Roman" w:cs="Times New Roman"/>
                <w:sz w:val="18"/>
                <w:szCs w:val="18"/>
              </w:rPr>
              <w:t>0.022</w:t>
            </w:r>
          </w:p>
        </w:tc>
      </w:tr>
      <w:tr w:rsidR="004426E6" w14:paraId="0682C1EF" w14:textId="77777777" w:rsidTr="00B35C1E">
        <w:trPr>
          <w:trHeight w:val="450"/>
        </w:trPr>
        <w:tc>
          <w:tcPr>
            <w:tcW w:w="2253" w:type="dxa"/>
            <w:vMerge/>
            <w:vAlign w:val="center"/>
          </w:tcPr>
          <w:p w14:paraId="3D4B803E" w14:textId="77777777" w:rsidR="004426E6" w:rsidRPr="00B35C1E" w:rsidRDefault="004426E6">
            <w:pPr>
              <w:jc w:val="center"/>
              <w:rPr>
                <w:rFonts w:ascii="Times New Roman" w:hAnsi="Times New Roman" w:cs="Times New Roman"/>
                <w:sz w:val="18"/>
                <w:szCs w:val="18"/>
              </w:rPr>
            </w:pPr>
          </w:p>
        </w:tc>
        <w:tc>
          <w:tcPr>
            <w:tcW w:w="1543" w:type="dxa"/>
            <w:vAlign w:val="center"/>
          </w:tcPr>
          <w:p w14:paraId="1483A950"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1.5</w:t>
            </w:r>
            <w:r w:rsidRPr="00B35C1E">
              <w:rPr>
                <w:rFonts w:ascii="Times New Roman" w:hAnsi="Times New Roman" w:cs="Times New Roman"/>
                <w:sz w:val="18"/>
                <w:szCs w:val="18"/>
              </w:rPr>
              <w:t>～</w:t>
            </w:r>
            <w:r w:rsidRPr="00B35C1E">
              <w:rPr>
                <w:rFonts w:ascii="Times New Roman" w:hAnsi="Times New Roman" w:cs="Times New Roman"/>
                <w:sz w:val="18"/>
                <w:szCs w:val="18"/>
              </w:rPr>
              <w:t>2.0</w:t>
            </w:r>
          </w:p>
        </w:tc>
        <w:tc>
          <w:tcPr>
            <w:tcW w:w="867" w:type="dxa"/>
            <w:vAlign w:val="center"/>
          </w:tcPr>
          <w:p w14:paraId="1A030CED"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-0.019</w:t>
            </w:r>
            <w:r w:rsidRPr="00B35C1E">
              <w:rPr>
                <w:rFonts w:ascii="Times New Roman" w:hAnsi="Times New Roman" w:cs="Times New Roman"/>
                <w:sz w:val="18"/>
                <w:szCs w:val="18"/>
              </w:rPr>
              <w:t>～</w:t>
            </w:r>
            <w:r w:rsidRPr="00B35C1E">
              <w:rPr>
                <w:rFonts w:ascii="Times New Roman" w:hAnsi="Times New Roman" w:cs="Times New Roman"/>
                <w:sz w:val="18"/>
                <w:szCs w:val="18"/>
              </w:rPr>
              <w:t>0.018</w:t>
            </w:r>
          </w:p>
        </w:tc>
        <w:tc>
          <w:tcPr>
            <w:tcW w:w="1312" w:type="dxa"/>
            <w:vAlign w:val="center"/>
          </w:tcPr>
          <w:p w14:paraId="02138FAE"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-0.038</w:t>
            </w:r>
            <w:r w:rsidRPr="00B35C1E">
              <w:rPr>
                <w:rFonts w:ascii="Times New Roman" w:hAnsi="Times New Roman" w:cs="Times New Roman"/>
                <w:sz w:val="18"/>
                <w:szCs w:val="18"/>
              </w:rPr>
              <w:t>～</w:t>
            </w:r>
            <w:r w:rsidRPr="00B35C1E">
              <w:rPr>
                <w:rFonts w:ascii="Times New Roman" w:hAnsi="Times New Roman" w:cs="Times New Roman"/>
                <w:sz w:val="18"/>
                <w:szCs w:val="18"/>
              </w:rPr>
              <w:t>0.039</w:t>
            </w:r>
          </w:p>
        </w:tc>
        <w:tc>
          <w:tcPr>
            <w:tcW w:w="1131" w:type="dxa"/>
            <w:vAlign w:val="center"/>
          </w:tcPr>
          <w:p w14:paraId="437BC6CD"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-0.014</w:t>
            </w:r>
            <w:r w:rsidRPr="00B35C1E">
              <w:rPr>
                <w:rFonts w:ascii="Times New Roman" w:hAnsi="Times New Roman" w:cs="Times New Roman"/>
                <w:sz w:val="18"/>
                <w:szCs w:val="18"/>
              </w:rPr>
              <w:t>～</w:t>
            </w:r>
            <w:r w:rsidRPr="00B35C1E">
              <w:rPr>
                <w:rFonts w:ascii="Times New Roman" w:hAnsi="Times New Roman" w:cs="Times New Roman"/>
                <w:sz w:val="18"/>
                <w:szCs w:val="18"/>
              </w:rPr>
              <w:t>0.013</w:t>
            </w:r>
          </w:p>
        </w:tc>
        <w:tc>
          <w:tcPr>
            <w:tcW w:w="1243" w:type="dxa"/>
            <w:vAlign w:val="center"/>
          </w:tcPr>
          <w:p w14:paraId="7E866FFA"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-0.027</w:t>
            </w:r>
            <w:r w:rsidRPr="00B35C1E">
              <w:rPr>
                <w:rFonts w:ascii="Times New Roman" w:hAnsi="Times New Roman" w:cs="Times New Roman"/>
                <w:sz w:val="18"/>
                <w:szCs w:val="18"/>
              </w:rPr>
              <w:t>～</w:t>
            </w:r>
            <w:r w:rsidRPr="00B35C1E">
              <w:rPr>
                <w:rFonts w:ascii="Times New Roman" w:hAnsi="Times New Roman" w:cs="Times New Roman"/>
                <w:sz w:val="18"/>
                <w:szCs w:val="18"/>
              </w:rPr>
              <w:t>0.030</w:t>
            </w:r>
          </w:p>
        </w:tc>
      </w:tr>
      <w:tr w:rsidR="004426E6" w14:paraId="087A665C" w14:textId="77777777" w:rsidTr="00B35C1E">
        <w:trPr>
          <w:trHeight w:val="450"/>
        </w:trPr>
        <w:tc>
          <w:tcPr>
            <w:tcW w:w="2253" w:type="dxa"/>
            <w:vMerge/>
            <w:vAlign w:val="center"/>
          </w:tcPr>
          <w:p w14:paraId="6156A7E4" w14:textId="77777777" w:rsidR="004426E6" w:rsidRPr="00B35C1E" w:rsidRDefault="004426E6">
            <w:pPr>
              <w:jc w:val="center"/>
              <w:rPr>
                <w:rFonts w:ascii="Times New Roman" w:hAnsi="Times New Roman" w:cs="Times New Roman"/>
                <w:sz w:val="18"/>
                <w:szCs w:val="18"/>
              </w:rPr>
            </w:pPr>
          </w:p>
        </w:tc>
        <w:tc>
          <w:tcPr>
            <w:tcW w:w="1543" w:type="dxa"/>
            <w:vAlign w:val="center"/>
          </w:tcPr>
          <w:p w14:paraId="5473CD43"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2.0</w:t>
            </w:r>
            <w:r w:rsidRPr="00B35C1E">
              <w:rPr>
                <w:rFonts w:ascii="Times New Roman" w:hAnsi="Times New Roman" w:cs="Times New Roman"/>
                <w:sz w:val="18"/>
                <w:szCs w:val="18"/>
              </w:rPr>
              <w:t>～</w:t>
            </w:r>
            <w:r w:rsidRPr="00B35C1E">
              <w:rPr>
                <w:rFonts w:ascii="Times New Roman" w:hAnsi="Times New Roman" w:cs="Times New Roman"/>
                <w:sz w:val="18"/>
                <w:szCs w:val="18"/>
              </w:rPr>
              <w:t>3.8</w:t>
            </w:r>
          </w:p>
        </w:tc>
        <w:tc>
          <w:tcPr>
            <w:tcW w:w="867" w:type="dxa"/>
            <w:vAlign w:val="center"/>
          </w:tcPr>
          <w:p w14:paraId="799671B5"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-0.024</w:t>
            </w:r>
            <w:r w:rsidRPr="00B35C1E">
              <w:rPr>
                <w:rFonts w:ascii="Times New Roman" w:hAnsi="Times New Roman" w:cs="Times New Roman"/>
                <w:sz w:val="18"/>
                <w:szCs w:val="18"/>
              </w:rPr>
              <w:t>～</w:t>
            </w:r>
            <w:r w:rsidRPr="00B35C1E">
              <w:rPr>
                <w:rFonts w:ascii="Times New Roman" w:hAnsi="Times New Roman" w:cs="Times New Roman"/>
                <w:sz w:val="18"/>
                <w:szCs w:val="18"/>
              </w:rPr>
              <w:t>0.025</w:t>
            </w:r>
          </w:p>
        </w:tc>
        <w:tc>
          <w:tcPr>
            <w:tcW w:w="1312" w:type="dxa"/>
            <w:vAlign w:val="center"/>
          </w:tcPr>
          <w:p w14:paraId="1B951BF3"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-0.047</w:t>
            </w:r>
            <w:r w:rsidRPr="00B35C1E">
              <w:rPr>
                <w:rFonts w:ascii="Times New Roman" w:hAnsi="Times New Roman" w:cs="Times New Roman"/>
                <w:sz w:val="18"/>
                <w:szCs w:val="18"/>
              </w:rPr>
              <w:t>～</w:t>
            </w:r>
            <w:r w:rsidRPr="00B35C1E">
              <w:rPr>
                <w:rFonts w:ascii="Times New Roman" w:hAnsi="Times New Roman" w:cs="Times New Roman"/>
                <w:sz w:val="18"/>
                <w:szCs w:val="18"/>
              </w:rPr>
              <w:t>0.048</w:t>
            </w:r>
          </w:p>
        </w:tc>
        <w:tc>
          <w:tcPr>
            <w:tcW w:w="1131" w:type="dxa"/>
            <w:vAlign w:val="center"/>
          </w:tcPr>
          <w:p w14:paraId="425E0208"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-0.018</w:t>
            </w:r>
            <w:r w:rsidRPr="00B35C1E">
              <w:rPr>
                <w:rFonts w:ascii="Times New Roman" w:hAnsi="Times New Roman" w:cs="Times New Roman"/>
                <w:sz w:val="18"/>
                <w:szCs w:val="18"/>
              </w:rPr>
              <w:t>～</w:t>
            </w:r>
            <w:r w:rsidRPr="00B35C1E">
              <w:rPr>
                <w:rFonts w:ascii="Times New Roman" w:hAnsi="Times New Roman" w:cs="Times New Roman"/>
                <w:sz w:val="18"/>
                <w:szCs w:val="18"/>
              </w:rPr>
              <w:t>0.020</w:t>
            </w:r>
          </w:p>
        </w:tc>
        <w:tc>
          <w:tcPr>
            <w:tcW w:w="1243" w:type="dxa"/>
            <w:vAlign w:val="center"/>
          </w:tcPr>
          <w:p w14:paraId="2B80D50F"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-0.037</w:t>
            </w:r>
            <w:r w:rsidRPr="00B35C1E">
              <w:rPr>
                <w:rFonts w:ascii="Times New Roman" w:hAnsi="Times New Roman" w:cs="Times New Roman"/>
                <w:sz w:val="18"/>
                <w:szCs w:val="18"/>
              </w:rPr>
              <w:t>～</w:t>
            </w:r>
            <w:r w:rsidRPr="00B35C1E">
              <w:rPr>
                <w:rFonts w:ascii="Times New Roman" w:hAnsi="Times New Roman" w:cs="Times New Roman"/>
                <w:sz w:val="18"/>
                <w:szCs w:val="18"/>
              </w:rPr>
              <w:t>0.039</w:t>
            </w:r>
          </w:p>
        </w:tc>
      </w:tr>
      <w:tr w:rsidR="004426E6" w14:paraId="586F5DEE" w14:textId="77777777" w:rsidTr="00B35C1E">
        <w:trPr>
          <w:trHeight w:val="450"/>
        </w:trPr>
        <w:tc>
          <w:tcPr>
            <w:tcW w:w="2253" w:type="dxa"/>
            <w:vMerge/>
            <w:tcBorders>
              <w:bottom w:val="single" w:sz="12" w:space="0" w:color="auto"/>
            </w:tcBorders>
            <w:vAlign w:val="center"/>
          </w:tcPr>
          <w:p w14:paraId="5AB59CF4" w14:textId="77777777" w:rsidR="004426E6" w:rsidRPr="00B35C1E" w:rsidRDefault="004426E6">
            <w:pPr>
              <w:jc w:val="center"/>
              <w:rPr>
                <w:rFonts w:ascii="Times New Roman" w:hAnsi="Times New Roman" w:cs="Times New Roman"/>
                <w:sz w:val="18"/>
                <w:szCs w:val="18"/>
              </w:rPr>
            </w:pPr>
          </w:p>
        </w:tc>
        <w:tc>
          <w:tcPr>
            <w:tcW w:w="1543" w:type="dxa"/>
            <w:tcBorders>
              <w:bottom w:val="single" w:sz="12" w:space="0" w:color="auto"/>
            </w:tcBorders>
            <w:vAlign w:val="center"/>
          </w:tcPr>
          <w:p w14:paraId="04532C10"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3.8</w:t>
            </w:r>
            <w:r w:rsidRPr="00B35C1E">
              <w:rPr>
                <w:rFonts w:ascii="Times New Roman" w:hAnsi="Times New Roman" w:cs="Times New Roman"/>
                <w:sz w:val="18"/>
                <w:szCs w:val="18"/>
              </w:rPr>
              <w:t>～</w:t>
            </w:r>
            <w:r w:rsidRPr="00B35C1E">
              <w:rPr>
                <w:rFonts w:ascii="Times New Roman" w:hAnsi="Times New Roman" w:cs="Times New Roman"/>
                <w:sz w:val="18"/>
                <w:szCs w:val="18"/>
              </w:rPr>
              <w:t>12.0</w:t>
            </w:r>
          </w:p>
        </w:tc>
        <w:tc>
          <w:tcPr>
            <w:tcW w:w="867" w:type="dxa"/>
            <w:tcBorders>
              <w:bottom w:val="single" w:sz="12" w:space="0" w:color="auto"/>
            </w:tcBorders>
            <w:vAlign w:val="center"/>
          </w:tcPr>
          <w:p w14:paraId="05CE191D"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-0.039</w:t>
            </w:r>
            <w:r w:rsidRPr="00B35C1E">
              <w:rPr>
                <w:rFonts w:ascii="Times New Roman" w:hAnsi="Times New Roman" w:cs="Times New Roman"/>
                <w:sz w:val="18"/>
                <w:szCs w:val="18"/>
              </w:rPr>
              <w:t>～</w:t>
            </w:r>
            <w:r w:rsidRPr="00B35C1E">
              <w:rPr>
                <w:rFonts w:ascii="Times New Roman" w:hAnsi="Times New Roman" w:cs="Times New Roman"/>
                <w:sz w:val="18"/>
                <w:szCs w:val="18"/>
              </w:rPr>
              <w:t>0.038</w:t>
            </w:r>
          </w:p>
        </w:tc>
        <w:tc>
          <w:tcPr>
            <w:tcW w:w="1312" w:type="dxa"/>
            <w:tcBorders>
              <w:bottom w:val="single" w:sz="12" w:space="0" w:color="auto"/>
            </w:tcBorders>
            <w:vAlign w:val="center"/>
          </w:tcPr>
          <w:p w14:paraId="4EA622F5"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-0.074</w:t>
            </w:r>
            <w:r w:rsidRPr="00B35C1E">
              <w:rPr>
                <w:rFonts w:ascii="Times New Roman" w:hAnsi="Times New Roman" w:cs="Times New Roman"/>
                <w:sz w:val="18"/>
                <w:szCs w:val="18"/>
              </w:rPr>
              <w:t>～</w:t>
            </w:r>
            <w:r w:rsidRPr="00B35C1E">
              <w:rPr>
                <w:rFonts w:ascii="Times New Roman" w:hAnsi="Times New Roman" w:cs="Times New Roman"/>
                <w:sz w:val="18"/>
                <w:szCs w:val="18"/>
              </w:rPr>
              <w:t>0.072</w:t>
            </w:r>
          </w:p>
        </w:tc>
        <w:tc>
          <w:tcPr>
            <w:tcW w:w="1131" w:type="dxa"/>
            <w:tcBorders>
              <w:bottom w:val="single" w:sz="12" w:space="0" w:color="auto"/>
            </w:tcBorders>
            <w:vAlign w:val="center"/>
          </w:tcPr>
          <w:p w14:paraId="5697FE66"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-0.030</w:t>
            </w:r>
            <w:r w:rsidRPr="00B35C1E">
              <w:rPr>
                <w:rFonts w:ascii="Times New Roman" w:hAnsi="Times New Roman" w:cs="Times New Roman"/>
                <w:sz w:val="18"/>
                <w:szCs w:val="18"/>
              </w:rPr>
              <w:t>～</w:t>
            </w:r>
            <w:r w:rsidRPr="00B35C1E">
              <w:rPr>
                <w:rFonts w:ascii="Times New Roman" w:hAnsi="Times New Roman" w:cs="Times New Roman"/>
                <w:sz w:val="18"/>
                <w:szCs w:val="18"/>
              </w:rPr>
              <w:t>0.029</w:t>
            </w:r>
          </w:p>
        </w:tc>
        <w:tc>
          <w:tcPr>
            <w:tcW w:w="1243" w:type="dxa"/>
            <w:tcBorders>
              <w:bottom w:val="single" w:sz="12" w:space="0" w:color="auto"/>
            </w:tcBorders>
            <w:vAlign w:val="center"/>
          </w:tcPr>
          <w:p w14:paraId="20077064"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-0.057</w:t>
            </w:r>
            <w:r w:rsidRPr="00B35C1E">
              <w:rPr>
                <w:rFonts w:ascii="Times New Roman" w:hAnsi="Times New Roman" w:cs="Times New Roman"/>
                <w:sz w:val="18"/>
                <w:szCs w:val="18"/>
              </w:rPr>
              <w:t>～</w:t>
            </w:r>
            <w:r w:rsidRPr="00B35C1E">
              <w:rPr>
                <w:rFonts w:ascii="Times New Roman" w:hAnsi="Times New Roman" w:cs="Times New Roman"/>
                <w:sz w:val="18"/>
                <w:szCs w:val="18"/>
              </w:rPr>
              <w:t>0.059</w:t>
            </w:r>
          </w:p>
        </w:tc>
      </w:tr>
    </w:tbl>
    <w:bookmarkEnd w:id="13"/>
    <w:p w14:paraId="60DA660E" w14:textId="6CF0034A" w:rsidR="004426E6" w:rsidRDefault="00000000">
      <w:pPr>
        <w:spacing w:line="360" w:lineRule="auto"/>
        <w:contextualSpacing/>
        <w:jc w:val="center"/>
        <w:rPr>
          <w:rFonts w:ascii="Times New Roman" w:eastAsia="黑体" w:hAnsi="Times New Roman" w:cs="Times New Roman"/>
          <w:szCs w:val="21"/>
        </w:rPr>
      </w:pPr>
      <w:r>
        <w:rPr>
          <w:rFonts w:ascii="Times New Roman" w:eastAsia="黑体" w:hAnsi="Times New Roman" w:cs="Times New Roman"/>
          <w:szCs w:val="21"/>
        </w:rPr>
        <w:t>表</w:t>
      </w:r>
      <w:r w:rsidR="00F508B0">
        <w:rPr>
          <w:rFonts w:ascii="Times New Roman" w:eastAsia="黑体" w:hAnsi="Times New Roman" w:cs="Times New Roman" w:hint="eastAsia"/>
          <w:szCs w:val="21"/>
        </w:rPr>
        <w:t>5</w:t>
      </w:r>
      <w:r w:rsidR="00F23D18">
        <w:rPr>
          <w:rFonts w:ascii="Times New Roman" w:eastAsia="黑体" w:hAnsi="Times New Roman" w:cs="Times New Roman" w:hint="eastAsia"/>
          <w:szCs w:val="21"/>
        </w:rPr>
        <w:t xml:space="preserve"> </w:t>
      </w:r>
      <w:r>
        <w:rPr>
          <w:rFonts w:ascii="Times New Roman" w:eastAsia="黑体" w:hAnsi="Times New Roman" w:cs="Times New Roman"/>
          <w:szCs w:val="21"/>
        </w:rPr>
        <w:t>TNi1-0.</w:t>
      </w:r>
      <w:r w:rsidR="00935096">
        <w:rPr>
          <w:rFonts w:ascii="Times New Roman" w:eastAsia="黑体" w:hAnsi="Times New Roman" w:cs="Times New Roman" w:hint="eastAsia"/>
          <w:szCs w:val="21"/>
        </w:rPr>
        <w:t>6</w:t>
      </w:r>
      <w:r>
        <w:rPr>
          <w:rFonts w:ascii="Times New Roman" w:eastAsia="黑体" w:hAnsi="Times New Roman" w:cs="Times New Roman"/>
          <w:szCs w:val="21"/>
        </w:rPr>
        <w:t>-0.25</w:t>
      </w:r>
      <w:r>
        <w:rPr>
          <w:rFonts w:ascii="Times New Roman" w:eastAsia="黑体" w:hAnsi="Times New Roman" w:cs="Times New Roman"/>
          <w:szCs w:val="21"/>
        </w:rPr>
        <w:t>、</w:t>
      </w:r>
      <w:r>
        <w:rPr>
          <w:rFonts w:ascii="Times New Roman" w:eastAsia="黑体" w:hAnsi="Times New Roman" w:cs="Times New Roman"/>
          <w:szCs w:val="21"/>
        </w:rPr>
        <w:t>TNi1-1-0.25</w:t>
      </w:r>
      <w:r>
        <w:rPr>
          <w:rFonts w:ascii="Times New Roman" w:eastAsia="黑体" w:hAnsi="Times New Roman" w:cs="Times New Roman"/>
          <w:szCs w:val="21"/>
        </w:rPr>
        <w:t>的规格及</w:t>
      </w:r>
      <w:r>
        <w:rPr>
          <w:rFonts w:ascii="Times New Roman" w:eastAsia="黑体" w:hAnsi="Times New Roman" w:cs="Times New Roman" w:hint="eastAsia"/>
          <w:szCs w:val="21"/>
        </w:rPr>
        <w:t>实测</w:t>
      </w:r>
      <w:r>
        <w:rPr>
          <w:rFonts w:ascii="Times New Roman" w:eastAsia="黑体" w:hAnsi="Times New Roman" w:cs="Times New Roman"/>
          <w:szCs w:val="21"/>
        </w:rPr>
        <w:t>偏差</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44"/>
        <w:gridCol w:w="1344"/>
        <w:gridCol w:w="2086"/>
        <w:gridCol w:w="1771"/>
        <w:gridCol w:w="1771"/>
      </w:tblGrid>
      <w:tr w:rsidR="004426E6" w14:paraId="3BA46C75" w14:textId="77777777">
        <w:trPr>
          <w:cantSplit/>
          <w:trHeight w:val="406"/>
          <w:jc w:val="center"/>
        </w:trPr>
        <w:tc>
          <w:tcPr>
            <w:tcW w:w="808" w:type="pct"/>
            <w:vMerge w:val="restart"/>
            <w:tcBorders>
              <w:top w:val="single" w:sz="12" w:space="0" w:color="auto"/>
              <w:bottom w:val="single" w:sz="6" w:space="0" w:color="auto"/>
            </w:tcBorders>
            <w:vAlign w:val="center"/>
          </w:tcPr>
          <w:p w14:paraId="3589FF81"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牌号</w:t>
            </w:r>
          </w:p>
        </w:tc>
        <w:tc>
          <w:tcPr>
            <w:tcW w:w="808" w:type="pct"/>
            <w:vMerge w:val="restart"/>
            <w:tcBorders>
              <w:top w:val="single" w:sz="12" w:space="0" w:color="auto"/>
              <w:bottom w:val="single" w:sz="6" w:space="0" w:color="auto"/>
            </w:tcBorders>
            <w:vAlign w:val="center"/>
          </w:tcPr>
          <w:p w14:paraId="0A1BB83B"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形状</w:t>
            </w:r>
          </w:p>
        </w:tc>
        <w:tc>
          <w:tcPr>
            <w:tcW w:w="1254" w:type="pct"/>
            <w:vMerge w:val="restart"/>
            <w:tcBorders>
              <w:top w:val="single" w:sz="12" w:space="0" w:color="auto"/>
              <w:bottom w:val="single" w:sz="6" w:space="0" w:color="auto"/>
            </w:tcBorders>
            <w:vAlign w:val="center"/>
          </w:tcPr>
          <w:p w14:paraId="64776408" w14:textId="77777777" w:rsidR="004426E6" w:rsidRPr="00B35C1E" w:rsidRDefault="00000000">
            <w:pPr>
              <w:widowControl/>
              <w:jc w:val="center"/>
              <w:rPr>
                <w:rFonts w:ascii="Times New Roman" w:hAnsi="Times New Roman" w:cs="Times New Roman"/>
                <w:sz w:val="18"/>
                <w:szCs w:val="18"/>
              </w:rPr>
            </w:pPr>
            <w:r w:rsidRPr="00B35C1E">
              <w:rPr>
                <w:rFonts w:ascii="Times New Roman" w:hAnsi="Times New Roman" w:cs="Times New Roman"/>
                <w:sz w:val="18"/>
                <w:szCs w:val="18"/>
              </w:rPr>
              <w:t>直径</w:t>
            </w:r>
          </w:p>
          <w:p w14:paraId="53457460" w14:textId="77777777" w:rsidR="004426E6" w:rsidRPr="00B35C1E" w:rsidRDefault="00000000">
            <w:pPr>
              <w:widowControl/>
              <w:jc w:val="center"/>
              <w:rPr>
                <w:rFonts w:ascii="Times New Roman" w:hAnsi="Times New Roman" w:cs="Times New Roman"/>
                <w:sz w:val="18"/>
                <w:szCs w:val="18"/>
              </w:rPr>
            </w:pPr>
            <w:r w:rsidRPr="00B35C1E">
              <w:rPr>
                <w:rFonts w:ascii="Times New Roman" w:hAnsi="Times New Roman" w:cs="Times New Roman"/>
                <w:sz w:val="18"/>
                <w:szCs w:val="18"/>
              </w:rPr>
              <w:t>mm</w:t>
            </w:r>
          </w:p>
        </w:tc>
        <w:tc>
          <w:tcPr>
            <w:tcW w:w="2130" w:type="pct"/>
            <w:gridSpan w:val="2"/>
            <w:tcBorders>
              <w:top w:val="single" w:sz="12" w:space="0" w:color="auto"/>
              <w:bottom w:val="single" w:sz="6" w:space="0" w:color="auto"/>
            </w:tcBorders>
            <w:vAlign w:val="center"/>
          </w:tcPr>
          <w:p w14:paraId="2A8E6F2D"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实测偏差</w:t>
            </w:r>
          </w:p>
          <w:p w14:paraId="354BE532"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mm</w:t>
            </w:r>
          </w:p>
        </w:tc>
      </w:tr>
      <w:tr w:rsidR="004426E6" w14:paraId="79D83E7E" w14:textId="77777777">
        <w:trPr>
          <w:cantSplit/>
          <w:trHeight w:val="382"/>
          <w:jc w:val="center"/>
        </w:trPr>
        <w:tc>
          <w:tcPr>
            <w:tcW w:w="808" w:type="pct"/>
            <w:vMerge/>
            <w:tcBorders>
              <w:top w:val="single" w:sz="6" w:space="0" w:color="auto"/>
              <w:bottom w:val="single" w:sz="12" w:space="0" w:color="auto"/>
            </w:tcBorders>
            <w:vAlign w:val="center"/>
          </w:tcPr>
          <w:p w14:paraId="2DE18E4F" w14:textId="77777777" w:rsidR="004426E6" w:rsidRPr="00B35C1E" w:rsidRDefault="004426E6">
            <w:pPr>
              <w:jc w:val="center"/>
              <w:rPr>
                <w:rFonts w:ascii="Times New Roman" w:hAnsi="Times New Roman" w:cs="Times New Roman"/>
                <w:sz w:val="18"/>
                <w:szCs w:val="18"/>
              </w:rPr>
            </w:pPr>
          </w:p>
        </w:tc>
        <w:tc>
          <w:tcPr>
            <w:tcW w:w="808" w:type="pct"/>
            <w:vMerge/>
            <w:tcBorders>
              <w:top w:val="single" w:sz="6" w:space="0" w:color="auto"/>
              <w:bottom w:val="single" w:sz="12" w:space="0" w:color="auto"/>
            </w:tcBorders>
            <w:vAlign w:val="center"/>
          </w:tcPr>
          <w:p w14:paraId="411D4351" w14:textId="77777777" w:rsidR="004426E6" w:rsidRPr="00B35C1E" w:rsidRDefault="004426E6">
            <w:pPr>
              <w:jc w:val="center"/>
              <w:rPr>
                <w:rFonts w:ascii="Times New Roman" w:hAnsi="Times New Roman" w:cs="Times New Roman"/>
                <w:sz w:val="18"/>
                <w:szCs w:val="18"/>
              </w:rPr>
            </w:pPr>
          </w:p>
        </w:tc>
        <w:tc>
          <w:tcPr>
            <w:tcW w:w="1254" w:type="pct"/>
            <w:vMerge/>
            <w:tcBorders>
              <w:top w:val="single" w:sz="6" w:space="0" w:color="auto"/>
              <w:bottom w:val="single" w:sz="12" w:space="0" w:color="auto"/>
            </w:tcBorders>
            <w:vAlign w:val="center"/>
          </w:tcPr>
          <w:p w14:paraId="1AAC535E" w14:textId="77777777" w:rsidR="004426E6" w:rsidRPr="00B35C1E" w:rsidRDefault="004426E6">
            <w:pPr>
              <w:widowControl/>
              <w:jc w:val="center"/>
              <w:rPr>
                <w:rFonts w:ascii="Times New Roman" w:hAnsi="Times New Roman" w:cs="Times New Roman"/>
                <w:sz w:val="18"/>
                <w:szCs w:val="18"/>
              </w:rPr>
            </w:pPr>
          </w:p>
        </w:tc>
        <w:tc>
          <w:tcPr>
            <w:tcW w:w="1065" w:type="pct"/>
            <w:tcBorders>
              <w:top w:val="single" w:sz="6" w:space="0" w:color="auto"/>
              <w:bottom w:val="single" w:sz="12" w:space="0" w:color="auto"/>
            </w:tcBorders>
            <w:vAlign w:val="center"/>
          </w:tcPr>
          <w:p w14:paraId="600707ED"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普通级</w:t>
            </w:r>
          </w:p>
        </w:tc>
        <w:tc>
          <w:tcPr>
            <w:tcW w:w="1065" w:type="pct"/>
            <w:tcBorders>
              <w:top w:val="single" w:sz="6" w:space="0" w:color="auto"/>
              <w:bottom w:val="single" w:sz="12" w:space="0" w:color="auto"/>
            </w:tcBorders>
            <w:vAlign w:val="center"/>
          </w:tcPr>
          <w:p w14:paraId="08C7F395"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高精级</w:t>
            </w:r>
          </w:p>
        </w:tc>
      </w:tr>
      <w:tr w:rsidR="004426E6" w14:paraId="57DD2B7C" w14:textId="77777777">
        <w:trPr>
          <w:cantSplit/>
          <w:trHeight w:val="267"/>
          <w:jc w:val="center"/>
        </w:trPr>
        <w:tc>
          <w:tcPr>
            <w:tcW w:w="808" w:type="pct"/>
            <w:vMerge w:val="restart"/>
            <w:tcBorders>
              <w:top w:val="single" w:sz="12" w:space="0" w:color="auto"/>
            </w:tcBorders>
            <w:vAlign w:val="center"/>
          </w:tcPr>
          <w:p w14:paraId="77E25DC8"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TNi1-0.6-0.25</w:t>
            </w:r>
            <w:r w:rsidRPr="00B35C1E">
              <w:rPr>
                <w:rFonts w:ascii="Times New Roman" w:hAnsi="Times New Roman" w:cs="Times New Roman"/>
                <w:sz w:val="18"/>
                <w:szCs w:val="18"/>
              </w:rPr>
              <w:t>、</w:t>
            </w:r>
            <w:r w:rsidRPr="00B35C1E">
              <w:rPr>
                <w:rFonts w:ascii="Times New Roman" w:hAnsi="Times New Roman" w:cs="Times New Roman"/>
                <w:sz w:val="18"/>
                <w:szCs w:val="18"/>
              </w:rPr>
              <w:t>TNi1-1-0.25</w:t>
            </w:r>
          </w:p>
        </w:tc>
        <w:tc>
          <w:tcPr>
            <w:tcW w:w="808" w:type="pct"/>
            <w:vMerge w:val="restart"/>
            <w:tcBorders>
              <w:top w:val="single" w:sz="12" w:space="0" w:color="auto"/>
            </w:tcBorders>
            <w:vAlign w:val="center"/>
          </w:tcPr>
          <w:p w14:paraId="4234C528"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圆形</w:t>
            </w:r>
          </w:p>
        </w:tc>
        <w:tc>
          <w:tcPr>
            <w:tcW w:w="1254" w:type="pct"/>
            <w:tcBorders>
              <w:top w:val="single" w:sz="12" w:space="0" w:color="auto"/>
            </w:tcBorders>
            <w:vAlign w:val="center"/>
          </w:tcPr>
          <w:p w14:paraId="7D7C60FA"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≥0.5</w:t>
            </w:r>
            <w:r w:rsidRPr="00B35C1E">
              <w:rPr>
                <w:rFonts w:ascii="Times New Roman" w:hAnsi="Times New Roman" w:cs="Times New Roman"/>
                <w:sz w:val="18"/>
                <w:szCs w:val="18"/>
              </w:rPr>
              <w:t>～</w:t>
            </w:r>
            <w:r w:rsidRPr="00B35C1E">
              <w:rPr>
                <w:rFonts w:ascii="Times New Roman" w:hAnsi="Times New Roman" w:cs="Times New Roman"/>
                <w:sz w:val="18"/>
                <w:szCs w:val="18"/>
              </w:rPr>
              <w:t>3.0</w:t>
            </w:r>
          </w:p>
        </w:tc>
        <w:tc>
          <w:tcPr>
            <w:tcW w:w="1065" w:type="pct"/>
            <w:tcBorders>
              <w:top w:val="single" w:sz="12" w:space="0" w:color="auto"/>
            </w:tcBorders>
            <w:vAlign w:val="center"/>
          </w:tcPr>
          <w:p w14:paraId="27A141AB"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-0.023</w:t>
            </w:r>
            <w:r w:rsidRPr="00B35C1E">
              <w:rPr>
                <w:rFonts w:ascii="Times New Roman" w:hAnsi="Times New Roman" w:cs="Times New Roman"/>
                <w:sz w:val="18"/>
                <w:szCs w:val="18"/>
              </w:rPr>
              <w:t>～</w:t>
            </w:r>
            <w:r w:rsidRPr="00B35C1E">
              <w:rPr>
                <w:rFonts w:ascii="Times New Roman" w:hAnsi="Times New Roman" w:cs="Times New Roman"/>
                <w:sz w:val="18"/>
                <w:szCs w:val="18"/>
              </w:rPr>
              <w:t>0.024</w:t>
            </w:r>
          </w:p>
        </w:tc>
        <w:tc>
          <w:tcPr>
            <w:tcW w:w="1065" w:type="pct"/>
            <w:tcBorders>
              <w:top w:val="single" w:sz="12" w:space="0" w:color="auto"/>
            </w:tcBorders>
            <w:vAlign w:val="center"/>
          </w:tcPr>
          <w:p w14:paraId="706117DB"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-0.011</w:t>
            </w:r>
            <w:r w:rsidRPr="00B35C1E">
              <w:rPr>
                <w:rFonts w:ascii="Times New Roman" w:hAnsi="Times New Roman" w:cs="Times New Roman"/>
                <w:sz w:val="18"/>
                <w:szCs w:val="18"/>
              </w:rPr>
              <w:t>～</w:t>
            </w:r>
            <w:r w:rsidRPr="00B35C1E">
              <w:rPr>
                <w:rFonts w:ascii="Times New Roman" w:hAnsi="Times New Roman" w:cs="Times New Roman"/>
                <w:sz w:val="18"/>
                <w:szCs w:val="18"/>
              </w:rPr>
              <w:t>0.012</w:t>
            </w:r>
          </w:p>
        </w:tc>
      </w:tr>
      <w:tr w:rsidR="004426E6" w14:paraId="6CCC045D" w14:textId="77777777">
        <w:trPr>
          <w:cantSplit/>
          <w:trHeight w:val="52"/>
          <w:jc w:val="center"/>
        </w:trPr>
        <w:tc>
          <w:tcPr>
            <w:tcW w:w="808" w:type="pct"/>
            <w:vMerge/>
            <w:vAlign w:val="center"/>
          </w:tcPr>
          <w:p w14:paraId="5ADA28DC" w14:textId="77777777" w:rsidR="004426E6" w:rsidRPr="00B35C1E" w:rsidRDefault="004426E6">
            <w:pPr>
              <w:jc w:val="center"/>
              <w:rPr>
                <w:rFonts w:ascii="Times New Roman" w:hAnsi="Times New Roman" w:cs="Times New Roman"/>
                <w:sz w:val="18"/>
                <w:szCs w:val="18"/>
              </w:rPr>
            </w:pPr>
          </w:p>
        </w:tc>
        <w:tc>
          <w:tcPr>
            <w:tcW w:w="808" w:type="pct"/>
            <w:vMerge/>
            <w:vAlign w:val="center"/>
          </w:tcPr>
          <w:p w14:paraId="7E5E6093" w14:textId="77777777" w:rsidR="004426E6" w:rsidRPr="00B35C1E" w:rsidRDefault="004426E6">
            <w:pPr>
              <w:jc w:val="center"/>
              <w:rPr>
                <w:rFonts w:ascii="Times New Roman" w:hAnsi="Times New Roman" w:cs="Times New Roman"/>
                <w:sz w:val="18"/>
                <w:szCs w:val="18"/>
              </w:rPr>
            </w:pPr>
          </w:p>
        </w:tc>
        <w:tc>
          <w:tcPr>
            <w:tcW w:w="1254" w:type="pct"/>
            <w:vAlign w:val="center"/>
          </w:tcPr>
          <w:p w14:paraId="05ABF3BF" w14:textId="3FD00F0A" w:rsidR="004426E6" w:rsidRPr="00B35C1E" w:rsidRDefault="00B35C1E">
            <w:pPr>
              <w:jc w:val="center"/>
              <w:rPr>
                <w:rFonts w:ascii="Times New Roman" w:hAnsi="Times New Roman" w:cs="Times New Roman"/>
                <w:sz w:val="18"/>
                <w:szCs w:val="18"/>
              </w:rPr>
            </w:pPr>
            <w:r>
              <w:rPr>
                <w:rFonts w:ascii="Times New Roman" w:hAnsi="Times New Roman" w:cs="Times New Roman" w:hint="eastAsia"/>
                <w:sz w:val="18"/>
                <w:szCs w:val="18"/>
              </w:rPr>
              <w:t>＞</w:t>
            </w:r>
            <w:r w:rsidRPr="00B35C1E">
              <w:rPr>
                <w:rFonts w:ascii="Times New Roman" w:hAnsi="Times New Roman" w:cs="Times New Roman"/>
                <w:sz w:val="18"/>
                <w:szCs w:val="18"/>
              </w:rPr>
              <w:t>3.0</w:t>
            </w:r>
            <w:r w:rsidRPr="00B35C1E">
              <w:rPr>
                <w:rFonts w:ascii="Times New Roman" w:hAnsi="Times New Roman" w:cs="Times New Roman"/>
                <w:sz w:val="18"/>
                <w:szCs w:val="18"/>
              </w:rPr>
              <w:t>～</w:t>
            </w:r>
            <w:r w:rsidRPr="00B35C1E">
              <w:rPr>
                <w:rFonts w:ascii="Times New Roman" w:hAnsi="Times New Roman" w:cs="Times New Roman"/>
                <w:sz w:val="18"/>
                <w:szCs w:val="18"/>
              </w:rPr>
              <w:t>6.0</w:t>
            </w:r>
          </w:p>
        </w:tc>
        <w:tc>
          <w:tcPr>
            <w:tcW w:w="1065" w:type="pct"/>
            <w:vAlign w:val="center"/>
          </w:tcPr>
          <w:p w14:paraId="30B2A21B"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-0.027</w:t>
            </w:r>
            <w:r w:rsidRPr="00B35C1E">
              <w:rPr>
                <w:rFonts w:ascii="Times New Roman" w:hAnsi="Times New Roman" w:cs="Times New Roman"/>
                <w:sz w:val="18"/>
                <w:szCs w:val="18"/>
              </w:rPr>
              <w:t>～</w:t>
            </w:r>
            <w:r w:rsidRPr="00B35C1E">
              <w:rPr>
                <w:rFonts w:ascii="Times New Roman" w:hAnsi="Times New Roman" w:cs="Times New Roman"/>
                <w:sz w:val="18"/>
                <w:szCs w:val="18"/>
              </w:rPr>
              <w:t>0.029</w:t>
            </w:r>
          </w:p>
        </w:tc>
        <w:tc>
          <w:tcPr>
            <w:tcW w:w="1065" w:type="pct"/>
            <w:vAlign w:val="center"/>
          </w:tcPr>
          <w:p w14:paraId="5001B6BB"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-0.006</w:t>
            </w:r>
            <w:r w:rsidRPr="00B35C1E">
              <w:rPr>
                <w:rFonts w:ascii="Times New Roman" w:hAnsi="Times New Roman" w:cs="Times New Roman"/>
                <w:sz w:val="18"/>
                <w:szCs w:val="18"/>
              </w:rPr>
              <w:t>～</w:t>
            </w:r>
            <w:r w:rsidRPr="00B35C1E">
              <w:rPr>
                <w:rFonts w:ascii="Times New Roman" w:hAnsi="Times New Roman" w:cs="Times New Roman"/>
                <w:sz w:val="18"/>
                <w:szCs w:val="18"/>
              </w:rPr>
              <w:t>0.006</w:t>
            </w:r>
          </w:p>
        </w:tc>
      </w:tr>
      <w:tr w:rsidR="004426E6" w14:paraId="62BE40B1" w14:textId="77777777">
        <w:trPr>
          <w:cantSplit/>
          <w:trHeight w:val="52"/>
          <w:jc w:val="center"/>
        </w:trPr>
        <w:tc>
          <w:tcPr>
            <w:tcW w:w="808" w:type="pct"/>
            <w:vMerge/>
            <w:tcBorders>
              <w:bottom w:val="single" w:sz="12" w:space="0" w:color="auto"/>
            </w:tcBorders>
            <w:vAlign w:val="center"/>
          </w:tcPr>
          <w:p w14:paraId="69D05B38" w14:textId="77777777" w:rsidR="004426E6" w:rsidRPr="00B35C1E" w:rsidRDefault="004426E6">
            <w:pPr>
              <w:jc w:val="center"/>
              <w:rPr>
                <w:rFonts w:ascii="Times New Roman" w:hAnsi="Times New Roman" w:cs="Times New Roman"/>
                <w:sz w:val="18"/>
                <w:szCs w:val="18"/>
              </w:rPr>
            </w:pPr>
          </w:p>
        </w:tc>
        <w:tc>
          <w:tcPr>
            <w:tcW w:w="808" w:type="pct"/>
            <w:vMerge/>
            <w:tcBorders>
              <w:bottom w:val="single" w:sz="12" w:space="0" w:color="auto"/>
            </w:tcBorders>
            <w:vAlign w:val="center"/>
          </w:tcPr>
          <w:p w14:paraId="794861DC" w14:textId="77777777" w:rsidR="004426E6" w:rsidRPr="00B35C1E" w:rsidRDefault="004426E6">
            <w:pPr>
              <w:jc w:val="center"/>
              <w:rPr>
                <w:rFonts w:ascii="Times New Roman" w:hAnsi="Times New Roman" w:cs="Times New Roman"/>
                <w:sz w:val="18"/>
                <w:szCs w:val="18"/>
              </w:rPr>
            </w:pPr>
          </w:p>
        </w:tc>
        <w:tc>
          <w:tcPr>
            <w:tcW w:w="1254" w:type="pct"/>
            <w:tcBorders>
              <w:bottom w:val="single" w:sz="12" w:space="0" w:color="auto"/>
            </w:tcBorders>
            <w:vAlign w:val="center"/>
          </w:tcPr>
          <w:p w14:paraId="68DF320D" w14:textId="2BDDD6E3" w:rsidR="004426E6" w:rsidRPr="00B35C1E" w:rsidRDefault="00B35C1E">
            <w:pPr>
              <w:jc w:val="center"/>
              <w:rPr>
                <w:rFonts w:ascii="Times New Roman" w:hAnsi="Times New Roman" w:cs="Times New Roman"/>
                <w:sz w:val="18"/>
                <w:szCs w:val="18"/>
              </w:rPr>
            </w:pPr>
            <w:r>
              <w:rPr>
                <w:rFonts w:ascii="Times New Roman" w:hAnsi="Times New Roman" w:cs="Times New Roman" w:hint="eastAsia"/>
                <w:sz w:val="18"/>
                <w:szCs w:val="18"/>
              </w:rPr>
              <w:t>＞</w:t>
            </w:r>
            <w:r w:rsidRPr="00B35C1E">
              <w:rPr>
                <w:rFonts w:ascii="Times New Roman" w:hAnsi="Times New Roman" w:cs="Times New Roman"/>
                <w:sz w:val="18"/>
                <w:szCs w:val="18"/>
              </w:rPr>
              <w:t>6.0</w:t>
            </w:r>
            <w:r w:rsidRPr="00B35C1E">
              <w:rPr>
                <w:rFonts w:ascii="Times New Roman" w:hAnsi="Times New Roman" w:cs="Times New Roman"/>
                <w:sz w:val="18"/>
                <w:szCs w:val="18"/>
              </w:rPr>
              <w:t>～</w:t>
            </w:r>
            <w:r w:rsidRPr="00B35C1E">
              <w:rPr>
                <w:rFonts w:ascii="Times New Roman" w:hAnsi="Times New Roman" w:cs="Times New Roman"/>
                <w:sz w:val="18"/>
                <w:szCs w:val="18"/>
              </w:rPr>
              <w:t>10.0</w:t>
            </w:r>
          </w:p>
        </w:tc>
        <w:tc>
          <w:tcPr>
            <w:tcW w:w="1065" w:type="pct"/>
            <w:tcBorders>
              <w:bottom w:val="single" w:sz="12" w:space="0" w:color="auto"/>
            </w:tcBorders>
            <w:vAlign w:val="center"/>
          </w:tcPr>
          <w:p w14:paraId="559003C0"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-0.034</w:t>
            </w:r>
            <w:r w:rsidRPr="00B35C1E">
              <w:rPr>
                <w:rFonts w:ascii="Times New Roman" w:hAnsi="Times New Roman" w:cs="Times New Roman"/>
                <w:sz w:val="18"/>
                <w:szCs w:val="18"/>
              </w:rPr>
              <w:t>～</w:t>
            </w:r>
            <w:r w:rsidRPr="00B35C1E">
              <w:rPr>
                <w:rFonts w:ascii="Times New Roman" w:hAnsi="Times New Roman" w:cs="Times New Roman"/>
                <w:sz w:val="18"/>
                <w:szCs w:val="18"/>
              </w:rPr>
              <w:t>0.034</w:t>
            </w:r>
          </w:p>
        </w:tc>
        <w:tc>
          <w:tcPr>
            <w:tcW w:w="1065" w:type="pct"/>
            <w:tcBorders>
              <w:bottom w:val="single" w:sz="12" w:space="0" w:color="auto"/>
            </w:tcBorders>
            <w:vAlign w:val="center"/>
          </w:tcPr>
          <w:p w14:paraId="10ECAD3A" w14:textId="77777777" w:rsidR="004426E6" w:rsidRPr="00B35C1E" w:rsidRDefault="00000000">
            <w:pPr>
              <w:jc w:val="center"/>
              <w:rPr>
                <w:rFonts w:ascii="Times New Roman" w:hAnsi="Times New Roman" w:cs="Times New Roman"/>
                <w:sz w:val="18"/>
                <w:szCs w:val="18"/>
              </w:rPr>
            </w:pPr>
            <w:r w:rsidRPr="00B35C1E">
              <w:rPr>
                <w:rFonts w:ascii="Times New Roman" w:hAnsi="Times New Roman" w:cs="Times New Roman"/>
                <w:sz w:val="18"/>
                <w:szCs w:val="18"/>
              </w:rPr>
              <w:t>-0.017</w:t>
            </w:r>
            <w:r w:rsidRPr="00B35C1E">
              <w:rPr>
                <w:rFonts w:ascii="Times New Roman" w:hAnsi="Times New Roman" w:cs="Times New Roman"/>
                <w:sz w:val="18"/>
                <w:szCs w:val="18"/>
              </w:rPr>
              <w:t>～</w:t>
            </w:r>
            <w:r w:rsidRPr="00B35C1E">
              <w:rPr>
                <w:rFonts w:ascii="Times New Roman" w:hAnsi="Times New Roman" w:cs="Times New Roman"/>
                <w:sz w:val="18"/>
                <w:szCs w:val="18"/>
              </w:rPr>
              <w:t>0.017</w:t>
            </w:r>
          </w:p>
        </w:tc>
      </w:tr>
    </w:tbl>
    <w:p w14:paraId="063D9673" w14:textId="051F00E5" w:rsidR="004426E6" w:rsidRDefault="00000000">
      <w:pPr>
        <w:pStyle w:val="aff"/>
        <w:ind w:firstLine="420"/>
        <w:rPr>
          <w:rFonts w:ascii="Times New Roman"/>
          <w:color w:val="000000"/>
        </w:rPr>
      </w:pPr>
      <w:r w:rsidRPr="00C40242">
        <w:rPr>
          <w:rFonts w:ascii="黑体" w:eastAsia="黑体" w:hAnsi="黑体" w:cs="黑体" w:hint="eastAsia"/>
          <w:caps/>
          <w:szCs w:val="21"/>
        </w:rPr>
        <w:t>3</w:t>
      </w:r>
      <w:r w:rsidRPr="00C40242">
        <w:rPr>
          <w:rFonts w:ascii="黑体" w:eastAsia="黑体" w:hAnsi="黑体" w:cs="黑体"/>
          <w:caps/>
          <w:szCs w:val="21"/>
        </w:rPr>
        <w:t>.</w:t>
      </w:r>
      <w:r w:rsidRPr="00C40242">
        <w:rPr>
          <w:rFonts w:ascii="黑体" w:eastAsia="黑体" w:hAnsi="黑体" w:cs="黑体" w:hint="eastAsia"/>
          <w:caps/>
          <w:szCs w:val="21"/>
        </w:rPr>
        <w:t>3</w:t>
      </w:r>
      <w:r w:rsidRPr="00C40242">
        <w:rPr>
          <w:rFonts w:ascii="黑体" w:eastAsia="黑体" w:hAnsi="黑体" w:cs="黑体"/>
          <w:caps/>
          <w:szCs w:val="21"/>
        </w:rPr>
        <w:t>.</w:t>
      </w:r>
      <w:r w:rsidR="00CC6424" w:rsidRPr="00C40242">
        <w:rPr>
          <w:rFonts w:ascii="黑体" w:eastAsia="黑体" w:hAnsi="黑体" w:cs="黑体" w:hint="eastAsia"/>
          <w:caps/>
          <w:szCs w:val="21"/>
        </w:rPr>
        <w:t>2</w:t>
      </w:r>
      <w:r w:rsidRPr="00C40242">
        <w:rPr>
          <w:rFonts w:ascii="Times New Roman"/>
          <w:color w:val="000000"/>
        </w:rPr>
        <w:t>正</w:t>
      </w:r>
      <w:r>
        <w:rPr>
          <w:rFonts w:ascii="Times New Roman"/>
          <w:color w:val="000000"/>
        </w:rPr>
        <w:t>方形、矩形和正六角形线材</w:t>
      </w:r>
      <w:r>
        <w:rPr>
          <w:rFonts w:ascii="Times New Roman"/>
          <w:color w:val="000000"/>
          <w:kern w:val="2"/>
        </w:rPr>
        <w:t>的圆角半径</w:t>
      </w:r>
      <w:r>
        <w:rPr>
          <w:rFonts w:ascii="Times New Roman"/>
          <w:color w:val="000000"/>
          <w:kern w:val="2"/>
        </w:rPr>
        <w:t>r</w:t>
      </w:r>
      <w:r>
        <w:rPr>
          <w:rFonts w:ascii="Times New Roman"/>
          <w:color w:val="000000"/>
          <w:kern w:val="2"/>
        </w:rPr>
        <w:t>应符合表</w:t>
      </w:r>
      <w:r w:rsidR="00CC6424">
        <w:rPr>
          <w:rFonts w:ascii="Times New Roman" w:hint="eastAsia"/>
          <w:color w:val="000000"/>
          <w:kern w:val="2"/>
        </w:rPr>
        <w:t>6</w:t>
      </w:r>
      <w:r>
        <w:rPr>
          <w:rFonts w:ascii="Times New Roman"/>
          <w:color w:val="000000"/>
          <w:kern w:val="2"/>
        </w:rPr>
        <w:t>的规定。</w:t>
      </w:r>
    </w:p>
    <w:p w14:paraId="03C17B45" w14:textId="5C46FB85" w:rsidR="004426E6" w:rsidRDefault="00000000">
      <w:pPr>
        <w:pStyle w:val="aff"/>
        <w:ind w:firstLine="420"/>
        <w:jc w:val="center"/>
        <w:rPr>
          <w:rFonts w:ascii="Times New Roman"/>
          <w:color w:val="000000"/>
        </w:rPr>
      </w:pPr>
      <w:r>
        <w:rPr>
          <w:rFonts w:ascii="Times New Roman" w:eastAsia="黑体"/>
        </w:rPr>
        <w:t>表</w:t>
      </w:r>
      <w:r w:rsidR="00CC6424">
        <w:rPr>
          <w:rFonts w:ascii="Times New Roman" w:eastAsia="黑体" w:hint="eastAsia"/>
        </w:rPr>
        <w:t>6</w:t>
      </w:r>
      <w:r w:rsidR="00CC6424">
        <w:rPr>
          <w:rFonts w:ascii="Times New Roman" w:eastAsia="黑体"/>
        </w:rPr>
        <w:t xml:space="preserve"> </w:t>
      </w:r>
      <w:r>
        <w:rPr>
          <w:rFonts w:ascii="Times New Roman" w:eastAsia="黑体"/>
        </w:rPr>
        <w:t>正方形、矩形和正六角形线材的圆角半径</w:t>
      </w:r>
    </w:p>
    <w:p w14:paraId="30A2B01A" w14:textId="77777777" w:rsidR="004426E6" w:rsidRDefault="00000000">
      <w:pPr>
        <w:pStyle w:val="aff"/>
        <w:ind w:firstLine="360"/>
        <w:jc w:val="right"/>
        <w:rPr>
          <w:rFonts w:ascii="Times New Roman"/>
          <w:color w:val="000000"/>
          <w:kern w:val="2"/>
          <w:sz w:val="18"/>
          <w:szCs w:val="18"/>
        </w:rPr>
      </w:pPr>
      <w:r>
        <w:rPr>
          <w:rFonts w:ascii="Times New Roman"/>
          <w:color w:val="000000"/>
          <w:kern w:val="2"/>
          <w:sz w:val="18"/>
          <w:szCs w:val="18"/>
        </w:rPr>
        <w:t>单位为毫米</w:t>
      </w:r>
    </w:p>
    <w:tbl>
      <w:tblPr>
        <w:tblW w:w="4934"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4042"/>
        <w:gridCol w:w="4164"/>
      </w:tblGrid>
      <w:tr w:rsidR="004426E6" w14:paraId="3C50F9D8" w14:textId="77777777" w:rsidTr="0054439C">
        <w:trPr>
          <w:cantSplit/>
          <w:trHeight w:val="331"/>
          <w:jc w:val="center"/>
        </w:trPr>
        <w:tc>
          <w:tcPr>
            <w:tcW w:w="2463" w:type="pct"/>
            <w:tcBorders>
              <w:top w:val="single" w:sz="12" w:space="0" w:color="auto"/>
              <w:left w:val="single" w:sz="12" w:space="0" w:color="auto"/>
              <w:bottom w:val="single" w:sz="12" w:space="0" w:color="auto"/>
            </w:tcBorders>
            <w:vAlign w:val="center"/>
          </w:tcPr>
          <w:p w14:paraId="6C4AAB76" w14:textId="77777777" w:rsidR="004426E6" w:rsidRPr="00B35C1E" w:rsidRDefault="00000000">
            <w:pPr>
              <w:contextualSpacing/>
              <w:jc w:val="center"/>
              <w:rPr>
                <w:rFonts w:ascii="Times New Roman" w:hAnsi="Times New Roman" w:cs="Times New Roman"/>
                <w:sz w:val="18"/>
                <w:szCs w:val="20"/>
              </w:rPr>
            </w:pPr>
            <w:r w:rsidRPr="00B35C1E">
              <w:rPr>
                <w:rFonts w:ascii="Times New Roman" w:hAnsi="Times New Roman" w:cs="Times New Roman"/>
                <w:sz w:val="18"/>
                <w:szCs w:val="18"/>
              </w:rPr>
              <w:t>对边距</w:t>
            </w:r>
          </w:p>
        </w:tc>
        <w:tc>
          <w:tcPr>
            <w:tcW w:w="2537" w:type="pct"/>
            <w:tcBorders>
              <w:top w:val="single" w:sz="12" w:space="0" w:color="auto"/>
              <w:bottom w:val="single" w:sz="12" w:space="0" w:color="auto"/>
              <w:right w:val="single" w:sz="12" w:space="0" w:color="auto"/>
            </w:tcBorders>
            <w:vAlign w:val="center"/>
          </w:tcPr>
          <w:p w14:paraId="07A0BBCA" w14:textId="77777777" w:rsidR="004426E6" w:rsidRPr="00B35C1E" w:rsidRDefault="00000000">
            <w:pPr>
              <w:contextualSpacing/>
              <w:jc w:val="center"/>
              <w:rPr>
                <w:rFonts w:ascii="Times New Roman" w:hAnsi="Times New Roman" w:cs="Times New Roman"/>
                <w:sz w:val="18"/>
                <w:szCs w:val="20"/>
              </w:rPr>
            </w:pPr>
            <w:r w:rsidRPr="00B35C1E">
              <w:rPr>
                <w:rFonts w:ascii="Times New Roman" w:hAnsi="Times New Roman" w:cs="Times New Roman"/>
                <w:sz w:val="18"/>
                <w:szCs w:val="18"/>
              </w:rPr>
              <w:t>圆角半径</w:t>
            </w:r>
            <w:r w:rsidRPr="00B35C1E">
              <w:rPr>
                <w:rFonts w:ascii="Times New Roman" w:hAnsi="Times New Roman" w:cs="Times New Roman"/>
                <w:sz w:val="18"/>
                <w:szCs w:val="18"/>
              </w:rPr>
              <w:t>r</w:t>
            </w:r>
          </w:p>
        </w:tc>
      </w:tr>
      <w:tr w:rsidR="004426E6" w14:paraId="3AC4D390" w14:textId="77777777" w:rsidTr="0054439C">
        <w:trPr>
          <w:trHeight w:val="340"/>
          <w:jc w:val="center"/>
        </w:trPr>
        <w:tc>
          <w:tcPr>
            <w:tcW w:w="2463" w:type="pct"/>
            <w:tcBorders>
              <w:left w:val="single" w:sz="12" w:space="0" w:color="auto"/>
            </w:tcBorders>
            <w:vAlign w:val="center"/>
          </w:tcPr>
          <w:p w14:paraId="098D958F" w14:textId="77777777" w:rsidR="004426E6" w:rsidRPr="00B35C1E" w:rsidRDefault="00000000">
            <w:pPr>
              <w:contextualSpacing/>
              <w:jc w:val="center"/>
              <w:rPr>
                <w:rFonts w:ascii="Times New Roman" w:hAnsi="Times New Roman" w:cs="Times New Roman"/>
                <w:sz w:val="18"/>
              </w:rPr>
            </w:pPr>
            <w:r w:rsidRPr="00B35C1E">
              <w:rPr>
                <w:rFonts w:ascii="Times New Roman" w:hAnsi="Times New Roman" w:cs="Times New Roman"/>
                <w:sz w:val="18"/>
                <w:szCs w:val="18"/>
              </w:rPr>
              <w:t>≤2</w:t>
            </w:r>
          </w:p>
        </w:tc>
        <w:tc>
          <w:tcPr>
            <w:tcW w:w="2537" w:type="pct"/>
            <w:tcBorders>
              <w:right w:val="single" w:sz="12" w:space="0" w:color="auto"/>
            </w:tcBorders>
            <w:vAlign w:val="center"/>
          </w:tcPr>
          <w:p w14:paraId="17AF4A5F" w14:textId="77777777" w:rsidR="004426E6" w:rsidRPr="00B35C1E" w:rsidRDefault="00000000">
            <w:pPr>
              <w:contextualSpacing/>
              <w:jc w:val="center"/>
              <w:rPr>
                <w:rFonts w:ascii="Times New Roman" w:hAnsi="Times New Roman" w:cs="Times New Roman"/>
                <w:sz w:val="18"/>
              </w:rPr>
            </w:pPr>
            <w:r w:rsidRPr="00B35C1E">
              <w:rPr>
                <w:rFonts w:ascii="Times New Roman" w:hAnsi="Times New Roman" w:cs="Times New Roman"/>
                <w:sz w:val="18"/>
                <w:szCs w:val="18"/>
              </w:rPr>
              <w:t>≤0.4</w:t>
            </w:r>
          </w:p>
        </w:tc>
      </w:tr>
      <w:tr w:rsidR="004426E6" w14:paraId="74DC91CC" w14:textId="77777777" w:rsidTr="0054439C">
        <w:trPr>
          <w:trHeight w:val="340"/>
          <w:jc w:val="center"/>
        </w:trPr>
        <w:tc>
          <w:tcPr>
            <w:tcW w:w="2463" w:type="pct"/>
            <w:tcBorders>
              <w:left w:val="single" w:sz="12" w:space="0" w:color="auto"/>
            </w:tcBorders>
            <w:vAlign w:val="center"/>
          </w:tcPr>
          <w:p w14:paraId="2BF505DE" w14:textId="77777777" w:rsidR="004426E6" w:rsidRPr="00B35C1E" w:rsidRDefault="00000000">
            <w:pPr>
              <w:contextualSpacing/>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2</w:t>
            </w:r>
            <w:r w:rsidRPr="00B35C1E">
              <w:rPr>
                <w:rFonts w:ascii="Times New Roman" w:hAnsi="Times New Roman" w:cs="Times New Roman"/>
                <w:sz w:val="18"/>
                <w:szCs w:val="18"/>
              </w:rPr>
              <w:t>～</w:t>
            </w:r>
            <w:r w:rsidRPr="00B35C1E">
              <w:rPr>
                <w:rFonts w:ascii="Times New Roman" w:hAnsi="Times New Roman" w:cs="Times New Roman"/>
                <w:sz w:val="18"/>
                <w:szCs w:val="18"/>
              </w:rPr>
              <w:t>4</w:t>
            </w:r>
          </w:p>
        </w:tc>
        <w:tc>
          <w:tcPr>
            <w:tcW w:w="2537" w:type="pct"/>
            <w:tcBorders>
              <w:right w:val="single" w:sz="12" w:space="0" w:color="auto"/>
            </w:tcBorders>
            <w:vAlign w:val="center"/>
          </w:tcPr>
          <w:p w14:paraId="71EEE538" w14:textId="77777777" w:rsidR="004426E6" w:rsidRPr="00B35C1E" w:rsidRDefault="00000000">
            <w:pPr>
              <w:contextualSpacing/>
              <w:jc w:val="center"/>
              <w:rPr>
                <w:rFonts w:ascii="Times New Roman" w:hAnsi="Times New Roman" w:cs="Times New Roman"/>
                <w:sz w:val="18"/>
                <w:szCs w:val="18"/>
              </w:rPr>
            </w:pPr>
            <w:r w:rsidRPr="00B35C1E">
              <w:rPr>
                <w:rFonts w:ascii="Times New Roman" w:hAnsi="Times New Roman" w:cs="Times New Roman"/>
                <w:sz w:val="18"/>
                <w:szCs w:val="18"/>
              </w:rPr>
              <w:t>≤0.5</w:t>
            </w:r>
          </w:p>
        </w:tc>
      </w:tr>
      <w:tr w:rsidR="004426E6" w14:paraId="0F1726F6" w14:textId="77777777" w:rsidTr="0054439C">
        <w:trPr>
          <w:trHeight w:val="340"/>
          <w:jc w:val="center"/>
        </w:trPr>
        <w:tc>
          <w:tcPr>
            <w:tcW w:w="2463" w:type="pct"/>
            <w:tcBorders>
              <w:left w:val="single" w:sz="12" w:space="0" w:color="auto"/>
            </w:tcBorders>
            <w:vAlign w:val="center"/>
          </w:tcPr>
          <w:p w14:paraId="4CD23412" w14:textId="77777777" w:rsidR="004426E6" w:rsidRPr="00B35C1E" w:rsidRDefault="00000000">
            <w:pPr>
              <w:contextualSpacing/>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4</w:t>
            </w:r>
            <w:r w:rsidRPr="00B35C1E">
              <w:rPr>
                <w:rFonts w:ascii="Times New Roman" w:hAnsi="Times New Roman" w:cs="Times New Roman"/>
                <w:sz w:val="18"/>
                <w:szCs w:val="18"/>
              </w:rPr>
              <w:t>～</w:t>
            </w:r>
            <w:r w:rsidRPr="00B35C1E">
              <w:rPr>
                <w:rFonts w:ascii="Times New Roman" w:hAnsi="Times New Roman" w:cs="Times New Roman"/>
                <w:sz w:val="18"/>
                <w:szCs w:val="18"/>
              </w:rPr>
              <w:t>6</w:t>
            </w:r>
          </w:p>
        </w:tc>
        <w:tc>
          <w:tcPr>
            <w:tcW w:w="2537" w:type="pct"/>
            <w:tcBorders>
              <w:right w:val="single" w:sz="12" w:space="0" w:color="auto"/>
            </w:tcBorders>
            <w:vAlign w:val="center"/>
          </w:tcPr>
          <w:p w14:paraId="37248536" w14:textId="77777777" w:rsidR="004426E6" w:rsidRPr="00B35C1E" w:rsidRDefault="00000000">
            <w:pPr>
              <w:contextualSpacing/>
              <w:jc w:val="center"/>
              <w:rPr>
                <w:rFonts w:ascii="Times New Roman" w:hAnsi="Times New Roman" w:cs="Times New Roman"/>
                <w:sz w:val="18"/>
                <w:szCs w:val="18"/>
              </w:rPr>
            </w:pPr>
            <w:r w:rsidRPr="00B35C1E">
              <w:rPr>
                <w:rFonts w:ascii="Times New Roman" w:hAnsi="Times New Roman" w:cs="Times New Roman"/>
                <w:sz w:val="18"/>
                <w:szCs w:val="18"/>
              </w:rPr>
              <w:t>≤0.6</w:t>
            </w:r>
          </w:p>
        </w:tc>
      </w:tr>
      <w:tr w:rsidR="004426E6" w14:paraId="5594F578" w14:textId="77777777" w:rsidTr="0054439C">
        <w:trPr>
          <w:trHeight w:val="340"/>
          <w:jc w:val="center"/>
        </w:trPr>
        <w:tc>
          <w:tcPr>
            <w:tcW w:w="2463" w:type="pct"/>
            <w:tcBorders>
              <w:left w:val="single" w:sz="12" w:space="0" w:color="auto"/>
            </w:tcBorders>
            <w:vAlign w:val="center"/>
          </w:tcPr>
          <w:p w14:paraId="063E63A4" w14:textId="77777777" w:rsidR="004426E6" w:rsidRPr="00B35C1E" w:rsidRDefault="00000000">
            <w:pPr>
              <w:contextualSpacing/>
              <w:jc w:val="center"/>
              <w:rPr>
                <w:rFonts w:ascii="Times New Roman" w:hAnsi="Times New Roman" w:cs="Times New Roman"/>
                <w:sz w:val="18"/>
                <w:szCs w:val="18"/>
              </w:rPr>
            </w:pPr>
            <w:r w:rsidRPr="00B35C1E">
              <w:rPr>
                <w:rFonts w:ascii="Times New Roman" w:hAnsi="Times New Roman" w:cs="Times New Roman"/>
                <w:sz w:val="18"/>
                <w:szCs w:val="18"/>
              </w:rPr>
              <w:t>＞</w:t>
            </w:r>
            <w:r w:rsidRPr="00B35C1E">
              <w:rPr>
                <w:rFonts w:ascii="Times New Roman" w:hAnsi="Times New Roman" w:cs="Times New Roman"/>
                <w:sz w:val="18"/>
                <w:szCs w:val="18"/>
              </w:rPr>
              <w:t>6</w:t>
            </w:r>
            <w:r w:rsidRPr="00B35C1E">
              <w:rPr>
                <w:rFonts w:ascii="Times New Roman" w:hAnsi="Times New Roman" w:cs="Times New Roman"/>
                <w:sz w:val="18"/>
                <w:szCs w:val="18"/>
              </w:rPr>
              <w:t>～</w:t>
            </w:r>
            <w:r w:rsidRPr="00B35C1E">
              <w:rPr>
                <w:rFonts w:ascii="Times New Roman" w:hAnsi="Times New Roman" w:cs="Times New Roman"/>
                <w:sz w:val="18"/>
                <w:szCs w:val="18"/>
              </w:rPr>
              <w:t>10</w:t>
            </w:r>
          </w:p>
        </w:tc>
        <w:tc>
          <w:tcPr>
            <w:tcW w:w="2537" w:type="pct"/>
            <w:tcBorders>
              <w:right w:val="single" w:sz="12" w:space="0" w:color="auto"/>
            </w:tcBorders>
            <w:vAlign w:val="center"/>
          </w:tcPr>
          <w:p w14:paraId="22814DDE" w14:textId="77777777" w:rsidR="004426E6" w:rsidRPr="00B35C1E" w:rsidRDefault="00000000">
            <w:pPr>
              <w:contextualSpacing/>
              <w:jc w:val="center"/>
              <w:rPr>
                <w:rFonts w:ascii="Times New Roman" w:hAnsi="Times New Roman" w:cs="Times New Roman"/>
                <w:sz w:val="18"/>
                <w:szCs w:val="18"/>
              </w:rPr>
            </w:pPr>
            <w:r w:rsidRPr="00B35C1E">
              <w:rPr>
                <w:rFonts w:ascii="Times New Roman" w:hAnsi="Times New Roman" w:cs="Times New Roman"/>
                <w:sz w:val="18"/>
                <w:szCs w:val="18"/>
              </w:rPr>
              <w:t>≤0.8</w:t>
            </w:r>
          </w:p>
        </w:tc>
      </w:tr>
      <w:tr w:rsidR="004426E6" w14:paraId="5B211CFC" w14:textId="77777777" w:rsidTr="0054439C">
        <w:trPr>
          <w:trHeight w:val="340"/>
          <w:jc w:val="center"/>
        </w:trPr>
        <w:tc>
          <w:tcPr>
            <w:tcW w:w="2463" w:type="pct"/>
            <w:tcBorders>
              <w:left w:val="single" w:sz="12" w:space="0" w:color="auto"/>
              <w:bottom w:val="single" w:sz="12" w:space="0" w:color="auto"/>
            </w:tcBorders>
            <w:vAlign w:val="center"/>
          </w:tcPr>
          <w:p w14:paraId="4E99E2CC" w14:textId="77777777" w:rsidR="004426E6" w:rsidRPr="00B35C1E" w:rsidRDefault="00000000">
            <w:pPr>
              <w:contextualSpacing/>
              <w:jc w:val="center"/>
              <w:rPr>
                <w:rFonts w:ascii="Times New Roman" w:hAnsi="Times New Roman" w:cs="Times New Roman"/>
                <w:sz w:val="18"/>
              </w:rPr>
            </w:pPr>
            <w:r w:rsidRPr="00B35C1E">
              <w:rPr>
                <w:rFonts w:ascii="Times New Roman" w:hAnsi="Times New Roman" w:cs="Times New Roman"/>
                <w:sz w:val="18"/>
                <w:szCs w:val="18"/>
              </w:rPr>
              <w:t>＞</w:t>
            </w:r>
            <w:r w:rsidRPr="00B35C1E">
              <w:rPr>
                <w:rFonts w:ascii="Times New Roman" w:hAnsi="Times New Roman" w:cs="Times New Roman"/>
                <w:sz w:val="18"/>
                <w:szCs w:val="18"/>
              </w:rPr>
              <w:t>10</w:t>
            </w:r>
            <w:r w:rsidRPr="00B35C1E">
              <w:rPr>
                <w:rFonts w:ascii="Times New Roman" w:hAnsi="Times New Roman" w:cs="Times New Roman"/>
                <w:sz w:val="18"/>
                <w:szCs w:val="18"/>
              </w:rPr>
              <w:t>～</w:t>
            </w:r>
            <w:r w:rsidRPr="00B35C1E">
              <w:rPr>
                <w:rFonts w:ascii="Times New Roman" w:hAnsi="Times New Roman" w:cs="Times New Roman"/>
                <w:sz w:val="18"/>
                <w:szCs w:val="18"/>
              </w:rPr>
              <w:t>12</w:t>
            </w:r>
          </w:p>
        </w:tc>
        <w:tc>
          <w:tcPr>
            <w:tcW w:w="2537" w:type="pct"/>
            <w:tcBorders>
              <w:bottom w:val="single" w:sz="12" w:space="0" w:color="auto"/>
              <w:right w:val="single" w:sz="12" w:space="0" w:color="auto"/>
            </w:tcBorders>
            <w:vAlign w:val="center"/>
          </w:tcPr>
          <w:p w14:paraId="009E7CA9" w14:textId="77777777" w:rsidR="004426E6" w:rsidRPr="00B35C1E" w:rsidRDefault="00000000">
            <w:pPr>
              <w:contextualSpacing/>
              <w:jc w:val="center"/>
              <w:rPr>
                <w:rFonts w:ascii="Times New Roman" w:hAnsi="Times New Roman" w:cs="Times New Roman"/>
                <w:sz w:val="18"/>
              </w:rPr>
            </w:pPr>
            <w:r w:rsidRPr="00B35C1E">
              <w:rPr>
                <w:rFonts w:ascii="Times New Roman" w:hAnsi="Times New Roman" w:cs="Times New Roman"/>
                <w:sz w:val="18"/>
                <w:szCs w:val="18"/>
              </w:rPr>
              <w:t>≤1.2</w:t>
            </w:r>
          </w:p>
        </w:tc>
      </w:tr>
    </w:tbl>
    <w:p w14:paraId="643DE3AA" w14:textId="1E7A9EF8" w:rsidR="004426E6" w:rsidRDefault="00000000">
      <w:pPr>
        <w:pStyle w:val="aff1"/>
        <w:spacing w:beforeLines="0" w:before="0" w:afterLines="0" w:after="0" w:line="240" w:lineRule="auto"/>
        <w:ind w:left="0" w:firstLine="420"/>
        <w:contextualSpacing/>
        <w:rPr>
          <w:rFonts w:eastAsia="宋体"/>
          <w:color w:val="000000"/>
        </w:rPr>
      </w:pPr>
      <w:r w:rsidRPr="00C40242">
        <w:rPr>
          <w:rFonts w:hAnsi="黑体" w:cs="黑体" w:hint="eastAsia"/>
          <w:caps/>
        </w:rPr>
        <w:t>3</w:t>
      </w:r>
      <w:r w:rsidRPr="00C40242">
        <w:rPr>
          <w:rFonts w:hAnsi="黑体" w:cs="黑体"/>
          <w:caps/>
        </w:rPr>
        <w:t>.</w:t>
      </w:r>
      <w:r w:rsidRPr="00C40242">
        <w:rPr>
          <w:rFonts w:hAnsi="黑体" w:cs="黑体" w:hint="eastAsia"/>
          <w:caps/>
        </w:rPr>
        <w:t>3</w:t>
      </w:r>
      <w:r w:rsidRPr="00C40242">
        <w:rPr>
          <w:rFonts w:hAnsi="黑体" w:cs="黑体"/>
          <w:caps/>
        </w:rPr>
        <w:t>.</w:t>
      </w:r>
      <w:r w:rsidR="00C40242" w:rsidRPr="00C40242">
        <w:rPr>
          <w:rFonts w:hAnsi="黑体" w:cs="黑体" w:hint="eastAsia"/>
          <w:caps/>
        </w:rPr>
        <w:t>3</w:t>
      </w:r>
      <w:r>
        <w:rPr>
          <w:rFonts w:eastAsia="宋体"/>
          <w:color w:val="000000"/>
        </w:rPr>
        <w:t>线材的圆度圆度是</w:t>
      </w:r>
      <w:r>
        <w:rPr>
          <w:rFonts w:eastAsia="宋体" w:hint="eastAsia"/>
          <w:color w:val="000000"/>
        </w:rPr>
        <w:t>衡量</w:t>
      </w:r>
      <w:r>
        <w:rPr>
          <w:rFonts w:eastAsia="宋体"/>
          <w:color w:val="000000"/>
        </w:rPr>
        <w:t>尺寸精度、加工性能、使用可靠性的核心指标，直接影响后续加工、装配与成品质量</w:t>
      </w:r>
      <w:r>
        <w:rPr>
          <w:rFonts w:eastAsia="宋体" w:hint="eastAsia"/>
          <w:color w:val="000000"/>
        </w:rPr>
        <w:t>，本文件规定圆度</w:t>
      </w:r>
      <w:r>
        <w:rPr>
          <w:rFonts w:eastAsia="宋体"/>
          <w:color w:val="000000"/>
        </w:rPr>
        <w:t>应不大于直径允许偏差之半。</w:t>
      </w:r>
    </w:p>
    <w:p w14:paraId="2637DA37"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3.</w:t>
      </w:r>
      <w:r>
        <w:rPr>
          <w:rFonts w:ascii="黑体" w:eastAsia="黑体" w:hAnsi="黑体" w:cs="黑体" w:hint="eastAsia"/>
          <w:caps/>
          <w:szCs w:val="21"/>
        </w:rPr>
        <w:t>4</w:t>
      </w:r>
      <w:r>
        <w:rPr>
          <w:rFonts w:ascii="黑体" w:eastAsia="黑体" w:hAnsi="黑体" w:cs="黑体"/>
          <w:caps/>
          <w:szCs w:val="21"/>
        </w:rPr>
        <w:t xml:space="preserve"> 力学性能</w:t>
      </w:r>
    </w:p>
    <w:p w14:paraId="232A4F55" w14:textId="77777777" w:rsidR="004426E6" w:rsidRDefault="00000000">
      <w:pPr>
        <w:autoSpaceDE w:val="0"/>
        <w:autoSpaceDN w:val="0"/>
        <w:adjustRightInd w:val="0"/>
        <w:ind w:firstLine="420"/>
        <w:contextualSpacing/>
        <w:jc w:val="left"/>
        <w:rPr>
          <w:rFonts w:ascii="Times New Roman" w:hAnsi="Times New Roman" w:cs="Times New Roman"/>
        </w:rPr>
      </w:pPr>
      <w:r>
        <w:rPr>
          <w:rFonts w:ascii="Times New Roman" w:hAnsi="Times New Roman" w:cs="Times New Roman"/>
        </w:rPr>
        <w:t>材料的力学性能按照</w:t>
      </w:r>
      <w:r>
        <w:rPr>
          <w:rFonts w:ascii="Times New Roman" w:hAnsi="Times New Roman" w:cs="Times New Roman"/>
          <w:kern w:val="0"/>
          <w:szCs w:val="44"/>
        </w:rPr>
        <w:t>GB/T 34505-2017</w:t>
      </w:r>
      <w:r>
        <w:rPr>
          <w:rFonts w:ascii="Times New Roman" w:hAnsi="Times New Roman" w:cs="Times New Roman"/>
          <w:kern w:val="0"/>
          <w:szCs w:val="44"/>
        </w:rPr>
        <w:t>《铜及铜合金材料</w:t>
      </w:r>
      <w:r>
        <w:rPr>
          <w:rFonts w:ascii="Times New Roman" w:hAnsi="Times New Roman" w:cs="Times New Roman"/>
          <w:kern w:val="0"/>
          <w:szCs w:val="44"/>
        </w:rPr>
        <w:t xml:space="preserve"> </w:t>
      </w:r>
      <w:r>
        <w:rPr>
          <w:rFonts w:ascii="Times New Roman" w:hAnsi="Times New Roman" w:cs="Times New Roman"/>
          <w:kern w:val="0"/>
          <w:szCs w:val="44"/>
        </w:rPr>
        <w:t>室温拉伸试验方法进行检验</w:t>
      </w:r>
      <w:r>
        <w:rPr>
          <w:rFonts w:ascii="Times New Roman" w:hAnsi="Times New Roman" w:cs="Times New Roman"/>
        </w:rPr>
        <w:t>。</w:t>
      </w:r>
      <w:r>
        <w:rPr>
          <w:rFonts w:ascii="Times New Roman" w:hAnsi="Times New Roman" w:cs="Times New Roman" w:hint="eastAsia"/>
        </w:rPr>
        <w:t>各牌号、各状态的力学性能测试结果如下：</w:t>
      </w:r>
    </w:p>
    <w:p w14:paraId="03033482" w14:textId="65A70670"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3.4.1 </w:t>
      </w:r>
      <w:r>
        <w:rPr>
          <w:rFonts w:ascii="黑体" w:eastAsia="黑体" w:hAnsi="黑体"/>
          <w:color w:val="000000"/>
          <w:szCs w:val="21"/>
        </w:rPr>
        <w:t>TT</w:t>
      </w:r>
      <w:r>
        <w:rPr>
          <w:rFonts w:ascii="黑体" w:eastAsia="黑体" w:hAnsi="黑体" w:hint="eastAsia"/>
          <w:color w:val="000000"/>
          <w:szCs w:val="21"/>
        </w:rPr>
        <w:t>e</w:t>
      </w:r>
      <w:r>
        <w:rPr>
          <w:rFonts w:ascii="黑体" w:eastAsia="黑体" w:hAnsi="黑体"/>
          <w:color w:val="000000"/>
          <w:szCs w:val="21"/>
        </w:rPr>
        <w:t>0.3</w:t>
      </w:r>
      <w:r>
        <w:rPr>
          <w:rFonts w:ascii="黑体" w:eastAsia="黑体" w:hAnsi="黑体" w:hint="eastAsia"/>
          <w:color w:val="000000"/>
          <w:szCs w:val="21"/>
        </w:rPr>
        <w:t>、</w:t>
      </w:r>
      <w:r>
        <w:rPr>
          <w:rFonts w:ascii="黑体" w:eastAsia="黑体" w:hAnsi="黑体"/>
          <w:color w:val="000000"/>
          <w:szCs w:val="21"/>
        </w:rPr>
        <w:t>TTe0.5、TTe0.5-0.02、TPb1</w:t>
      </w:r>
    </w:p>
    <w:p w14:paraId="0F474659"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3.4.1.1 </w:t>
      </w:r>
      <w:r>
        <w:rPr>
          <w:rFonts w:ascii="黑体" w:eastAsia="黑体" w:hAnsi="黑体"/>
          <w:color w:val="000000"/>
          <w:szCs w:val="21"/>
        </w:rPr>
        <w:t>TTe0.3</w:t>
      </w:r>
      <w:r>
        <w:rPr>
          <w:rFonts w:ascii="黑体" w:eastAsia="黑体" w:hAnsi="黑体" w:hint="eastAsia"/>
          <w:color w:val="000000"/>
          <w:szCs w:val="21"/>
        </w:rPr>
        <w:t>、</w:t>
      </w:r>
      <w:r>
        <w:rPr>
          <w:rFonts w:ascii="黑体" w:eastAsia="黑体" w:hAnsi="黑体"/>
          <w:color w:val="000000"/>
          <w:szCs w:val="21"/>
        </w:rPr>
        <w:t>TTe0.5、TTe0.5-0.02、TPb1</w:t>
      </w:r>
      <w:r>
        <w:rPr>
          <w:rFonts w:ascii="黑体" w:eastAsia="黑体" w:hAnsi="黑体" w:hint="eastAsia"/>
          <w:color w:val="000000"/>
          <w:szCs w:val="21"/>
        </w:rPr>
        <w:t xml:space="preserve"> H02态</w:t>
      </w:r>
    </w:p>
    <w:p w14:paraId="68889E57" w14:textId="77777777" w:rsidR="004426E6" w:rsidRDefault="00000000">
      <w:pPr>
        <w:pStyle w:val="a0"/>
        <w:jc w:val="center"/>
      </w:pPr>
      <w:r>
        <w:rPr>
          <w:noProof/>
        </w:rPr>
        <w:drawing>
          <wp:inline distT="0" distB="0" distL="0" distR="0" wp14:anchorId="5DAC9D58" wp14:editId="421D217E">
            <wp:extent cx="2444115" cy="1861185"/>
            <wp:effectExtent l="0" t="0" r="0" b="5715"/>
            <wp:docPr id="1050918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18913" name="图片 1"/>
                    <pic:cNvPicPr>
                      <a:picLocks noChangeAspect="1"/>
                    </pic:cNvPicPr>
                  </pic:nvPicPr>
                  <pic:blipFill>
                    <a:blip r:embed="rId7"/>
                    <a:stretch>
                      <a:fillRect/>
                    </a:stretch>
                  </pic:blipFill>
                  <pic:spPr>
                    <a:xfrm>
                      <a:off x="0" y="0"/>
                      <a:ext cx="2444692" cy="1861200"/>
                    </a:xfrm>
                    <a:prstGeom prst="rect">
                      <a:avLst/>
                    </a:prstGeom>
                  </pic:spPr>
                </pic:pic>
              </a:graphicData>
            </a:graphic>
          </wp:inline>
        </w:drawing>
      </w:r>
      <w:r>
        <w:rPr>
          <w:noProof/>
        </w:rPr>
        <w:drawing>
          <wp:inline distT="0" distB="0" distL="0" distR="0" wp14:anchorId="729AC785" wp14:editId="36E536F9">
            <wp:extent cx="2470150" cy="1861185"/>
            <wp:effectExtent l="0" t="0" r="6350" b="5715"/>
            <wp:docPr id="12962454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45421" name="图片 1"/>
                    <pic:cNvPicPr>
                      <a:picLocks noChangeAspect="1"/>
                    </pic:cNvPicPr>
                  </pic:nvPicPr>
                  <pic:blipFill>
                    <a:blip r:embed="rId8"/>
                    <a:stretch>
                      <a:fillRect/>
                    </a:stretch>
                  </pic:blipFill>
                  <pic:spPr>
                    <a:xfrm>
                      <a:off x="0" y="0"/>
                      <a:ext cx="2470352" cy="1861200"/>
                    </a:xfrm>
                    <a:prstGeom prst="rect">
                      <a:avLst/>
                    </a:prstGeom>
                  </pic:spPr>
                </pic:pic>
              </a:graphicData>
            </a:graphic>
          </wp:inline>
        </w:drawing>
      </w:r>
    </w:p>
    <w:p w14:paraId="09B9A89F"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图1、图2</w:t>
      </w:r>
      <w:r>
        <w:rPr>
          <w:rFonts w:ascii="黑体" w:eastAsia="黑体" w:hAnsi="黑体"/>
          <w:color w:val="000000"/>
          <w:szCs w:val="21"/>
        </w:rPr>
        <w:t xml:space="preserve"> TTe0.3</w:t>
      </w:r>
      <w:r>
        <w:rPr>
          <w:rFonts w:ascii="黑体" w:eastAsia="黑体" w:hAnsi="黑体" w:hint="eastAsia"/>
          <w:color w:val="000000"/>
          <w:szCs w:val="21"/>
        </w:rPr>
        <w:t>、</w:t>
      </w:r>
      <w:r>
        <w:rPr>
          <w:rFonts w:ascii="黑体" w:eastAsia="黑体" w:hAnsi="黑体"/>
          <w:color w:val="000000"/>
          <w:szCs w:val="21"/>
        </w:rPr>
        <w:t>TTe0.5、TTe0.5-0.02、TPb1</w:t>
      </w:r>
      <w:r>
        <w:rPr>
          <w:rFonts w:ascii="黑体" w:eastAsia="黑体" w:hAnsi="黑体" w:hint="eastAsia"/>
          <w:color w:val="000000"/>
          <w:szCs w:val="21"/>
        </w:rPr>
        <w:t xml:space="preserve"> H02态抗拉强度、伸长率</w:t>
      </w:r>
    </w:p>
    <w:p w14:paraId="18C7D749"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146</w:t>
      </w:r>
      <w:r>
        <w:rPr>
          <w:rFonts w:ascii="Times New Roman" w:hAnsi="Times New Roman" w:cs="Times New Roman"/>
          <w:kern w:val="0"/>
          <w:szCs w:val="21"/>
        </w:rPr>
        <w:t>个，平均值</w:t>
      </w:r>
      <w:r>
        <w:rPr>
          <w:rFonts w:ascii="Times New Roman" w:hAnsi="Times New Roman" w:cs="Times New Roman" w:hint="eastAsia"/>
          <w:kern w:val="0"/>
          <w:szCs w:val="21"/>
        </w:rPr>
        <w:t>292.53</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18.9544</w:t>
      </w:r>
      <w:r>
        <w:rPr>
          <w:rFonts w:ascii="Times New Roman" w:hAnsi="Times New Roman" w:cs="Times New Roman"/>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260M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97.85%</w:t>
      </w:r>
      <w:r>
        <w:rPr>
          <w:rFonts w:ascii="Times New Roman" w:hAnsi="Times New Roman" w:cs="Times New Roman" w:hint="eastAsia"/>
          <w:kern w:val="0"/>
        </w:rPr>
        <w:t>。</w:t>
      </w:r>
    </w:p>
    <w:p w14:paraId="5BF19611"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kern w:val="0"/>
        </w:rPr>
        <w:t>1</w:t>
      </w:r>
      <w:r>
        <w:rPr>
          <w:rFonts w:ascii="Times New Roman" w:hAnsi="Times New Roman" w:cs="Times New Roman" w:hint="eastAsia"/>
          <w:kern w:val="0"/>
        </w:rPr>
        <w:t>46</w:t>
      </w:r>
      <w:r>
        <w:rPr>
          <w:rFonts w:ascii="Times New Roman" w:hAnsi="Times New Roman" w:cs="Times New Roman"/>
          <w:kern w:val="0"/>
        </w:rPr>
        <w:t>个，平均值</w:t>
      </w:r>
      <w:r>
        <w:rPr>
          <w:rFonts w:ascii="Times New Roman" w:hAnsi="Times New Roman" w:cs="Times New Roman" w:hint="eastAsia"/>
          <w:kern w:val="0"/>
        </w:rPr>
        <w:t>10.88</w:t>
      </w:r>
      <w:r>
        <w:rPr>
          <w:rFonts w:ascii="Times New Roman" w:hAnsi="Times New Roman" w:cs="Times New Roman"/>
          <w:kern w:val="0"/>
        </w:rPr>
        <w:t>，标准差</w:t>
      </w:r>
      <w:r>
        <w:rPr>
          <w:rFonts w:ascii="Times New Roman" w:hAnsi="Times New Roman" w:cs="Times New Roman"/>
          <w:kern w:val="0"/>
        </w:rPr>
        <w:t>1.</w:t>
      </w:r>
      <w:r>
        <w:rPr>
          <w:rFonts w:ascii="Times New Roman" w:hAnsi="Times New Roman" w:cs="Times New Roman" w:hint="eastAsia"/>
          <w:kern w:val="0"/>
        </w:rPr>
        <w:t>9318</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kern w:val="0"/>
        </w:rPr>
        <w:t>9</w:t>
      </w:r>
      <w:r>
        <w:rPr>
          <w:rFonts w:ascii="Times New Roman" w:hAnsi="Times New Roman" w:cs="Times New Roman" w:hint="eastAsia"/>
          <w:kern w:val="0"/>
        </w:rPr>
        <w:t>9.42%</w:t>
      </w:r>
      <w:r>
        <w:rPr>
          <w:rFonts w:ascii="Times New Roman" w:hAnsi="Times New Roman" w:cs="Times New Roman" w:hint="eastAsia"/>
          <w:kern w:val="0"/>
        </w:rPr>
        <w:t>。</w:t>
      </w:r>
    </w:p>
    <w:p w14:paraId="4A64A036"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3.4.1.2 </w:t>
      </w:r>
      <w:r>
        <w:rPr>
          <w:rFonts w:ascii="黑体" w:eastAsia="黑体" w:hAnsi="黑体"/>
          <w:color w:val="000000"/>
          <w:szCs w:val="21"/>
        </w:rPr>
        <w:t>TTe0.3</w:t>
      </w:r>
      <w:r>
        <w:rPr>
          <w:rFonts w:ascii="黑体" w:eastAsia="黑体" w:hAnsi="黑体" w:hint="eastAsia"/>
          <w:color w:val="000000"/>
          <w:szCs w:val="21"/>
        </w:rPr>
        <w:t>、</w:t>
      </w:r>
      <w:r>
        <w:rPr>
          <w:rFonts w:ascii="黑体" w:eastAsia="黑体" w:hAnsi="黑体"/>
          <w:color w:val="000000"/>
          <w:szCs w:val="21"/>
        </w:rPr>
        <w:t>TTe0.5、TTe0.5-0.02、TPb1</w:t>
      </w:r>
      <w:r>
        <w:rPr>
          <w:rFonts w:ascii="黑体" w:eastAsia="黑体" w:hAnsi="黑体" w:hint="eastAsia"/>
          <w:color w:val="000000"/>
          <w:szCs w:val="21"/>
        </w:rPr>
        <w:t xml:space="preserve"> H04态</w:t>
      </w:r>
    </w:p>
    <w:p w14:paraId="15F1BD51" w14:textId="77777777" w:rsidR="004426E6" w:rsidRDefault="00000000">
      <w:pPr>
        <w:pStyle w:val="a0"/>
        <w:jc w:val="center"/>
      </w:pPr>
      <w:r>
        <w:rPr>
          <w:noProof/>
        </w:rPr>
        <w:lastRenderedPageBreak/>
        <w:drawing>
          <wp:inline distT="0" distB="0" distL="0" distR="0" wp14:anchorId="127AB977" wp14:editId="0929B6E4">
            <wp:extent cx="2432050" cy="1861185"/>
            <wp:effectExtent l="0" t="0" r="6350" b="5715"/>
            <wp:docPr id="3946743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74300" name="图片 1"/>
                    <pic:cNvPicPr>
                      <a:picLocks noChangeAspect="1"/>
                    </pic:cNvPicPr>
                  </pic:nvPicPr>
                  <pic:blipFill>
                    <a:blip r:embed="rId9"/>
                    <a:stretch>
                      <a:fillRect/>
                    </a:stretch>
                  </pic:blipFill>
                  <pic:spPr>
                    <a:xfrm>
                      <a:off x="0" y="0"/>
                      <a:ext cx="2432061" cy="1861200"/>
                    </a:xfrm>
                    <a:prstGeom prst="rect">
                      <a:avLst/>
                    </a:prstGeom>
                  </pic:spPr>
                </pic:pic>
              </a:graphicData>
            </a:graphic>
          </wp:inline>
        </w:drawing>
      </w:r>
      <w:r>
        <w:rPr>
          <w:noProof/>
        </w:rPr>
        <w:drawing>
          <wp:inline distT="0" distB="0" distL="0" distR="0" wp14:anchorId="205A0632" wp14:editId="38AC7CF0">
            <wp:extent cx="2409825" cy="1861185"/>
            <wp:effectExtent l="0" t="0" r="9525" b="5715"/>
            <wp:docPr id="6494209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20924" name="图片 1"/>
                    <pic:cNvPicPr>
                      <a:picLocks noChangeAspect="1"/>
                    </pic:cNvPicPr>
                  </pic:nvPicPr>
                  <pic:blipFill>
                    <a:blip r:embed="rId10"/>
                    <a:stretch>
                      <a:fillRect/>
                    </a:stretch>
                  </pic:blipFill>
                  <pic:spPr>
                    <a:xfrm>
                      <a:off x="0" y="0"/>
                      <a:ext cx="2410175" cy="1861200"/>
                    </a:xfrm>
                    <a:prstGeom prst="rect">
                      <a:avLst/>
                    </a:prstGeom>
                  </pic:spPr>
                </pic:pic>
              </a:graphicData>
            </a:graphic>
          </wp:inline>
        </w:drawing>
      </w:r>
    </w:p>
    <w:p w14:paraId="25D84C5F"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图3、图4</w:t>
      </w:r>
      <w:r>
        <w:rPr>
          <w:rFonts w:ascii="黑体" w:eastAsia="黑体" w:hAnsi="黑体"/>
          <w:color w:val="000000"/>
          <w:szCs w:val="21"/>
        </w:rPr>
        <w:t xml:space="preserve"> TTe0.3</w:t>
      </w:r>
      <w:r>
        <w:rPr>
          <w:rFonts w:ascii="黑体" w:eastAsia="黑体" w:hAnsi="黑体" w:hint="eastAsia"/>
          <w:color w:val="000000"/>
          <w:szCs w:val="21"/>
        </w:rPr>
        <w:t>、</w:t>
      </w:r>
      <w:r>
        <w:rPr>
          <w:rFonts w:ascii="黑体" w:eastAsia="黑体" w:hAnsi="黑体"/>
          <w:color w:val="000000"/>
          <w:szCs w:val="21"/>
        </w:rPr>
        <w:t>TTe0.5、TTe0.5-0.02、TP</w:t>
      </w:r>
      <w:r>
        <w:rPr>
          <w:rFonts w:ascii="黑体" w:eastAsia="黑体" w:hAnsi="黑体" w:hint="eastAsia"/>
          <w:color w:val="000000"/>
          <w:szCs w:val="21"/>
        </w:rPr>
        <w:t>b</w:t>
      </w:r>
      <w:r>
        <w:rPr>
          <w:rFonts w:ascii="黑体" w:eastAsia="黑体" w:hAnsi="黑体"/>
          <w:color w:val="000000"/>
          <w:szCs w:val="21"/>
        </w:rPr>
        <w:t>1</w:t>
      </w:r>
      <w:r>
        <w:rPr>
          <w:rFonts w:ascii="黑体" w:eastAsia="黑体" w:hAnsi="黑体" w:hint="eastAsia"/>
          <w:color w:val="000000"/>
          <w:szCs w:val="21"/>
        </w:rPr>
        <w:t xml:space="preserve"> H04态抗拉强度、伸长率</w:t>
      </w:r>
    </w:p>
    <w:p w14:paraId="2AAA261C"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154</w:t>
      </w:r>
      <w:r>
        <w:rPr>
          <w:rFonts w:ascii="Times New Roman" w:hAnsi="Times New Roman" w:cs="Times New Roman"/>
          <w:kern w:val="0"/>
          <w:szCs w:val="21"/>
        </w:rPr>
        <w:t>个，平均值</w:t>
      </w:r>
      <w:r>
        <w:rPr>
          <w:rFonts w:ascii="Times New Roman" w:hAnsi="Times New Roman" w:cs="Times New Roman" w:hint="eastAsia"/>
          <w:kern w:val="0"/>
          <w:szCs w:val="21"/>
        </w:rPr>
        <w:t>369.71</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18.9471</w:t>
      </w:r>
      <w:r>
        <w:rPr>
          <w:rFonts w:ascii="Times New Roman" w:hAnsi="Times New Roman" w:cs="Times New Roman"/>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330M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98.19%</w:t>
      </w:r>
      <w:r>
        <w:rPr>
          <w:rFonts w:ascii="Times New Roman" w:hAnsi="Times New Roman" w:cs="Times New Roman" w:hint="eastAsia"/>
          <w:kern w:val="0"/>
        </w:rPr>
        <w:t>。</w:t>
      </w:r>
    </w:p>
    <w:p w14:paraId="5C84D4B1"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kern w:val="0"/>
        </w:rPr>
        <w:t>1</w:t>
      </w:r>
      <w:r>
        <w:rPr>
          <w:rFonts w:ascii="Times New Roman" w:hAnsi="Times New Roman" w:cs="Times New Roman" w:hint="eastAsia"/>
          <w:kern w:val="0"/>
        </w:rPr>
        <w:t>54</w:t>
      </w:r>
      <w:r>
        <w:rPr>
          <w:rFonts w:ascii="Times New Roman" w:hAnsi="Times New Roman" w:cs="Times New Roman"/>
          <w:kern w:val="0"/>
        </w:rPr>
        <w:t>个，平均值</w:t>
      </w:r>
      <w:r>
        <w:rPr>
          <w:rFonts w:ascii="Times New Roman" w:hAnsi="Times New Roman" w:cs="Times New Roman" w:hint="eastAsia"/>
          <w:kern w:val="0"/>
        </w:rPr>
        <w:t>7.93</w:t>
      </w:r>
      <w:r>
        <w:rPr>
          <w:rFonts w:ascii="Times New Roman" w:hAnsi="Times New Roman" w:cs="Times New Roman"/>
          <w:kern w:val="0"/>
        </w:rPr>
        <w:t>，标准差</w:t>
      </w:r>
      <w:r>
        <w:rPr>
          <w:rFonts w:ascii="Times New Roman" w:hAnsi="Times New Roman" w:cs="Times New Roman" w:hint="eastAsia"/>
          <w:kern w:val="0"/>
        </w:rPr>
        <w:t>2.0231</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kern w:val="0"/>
        </w:rPr>
        <w:t>9</w:t>
      </w:r>
      <w:r>
        <w:rPr>
          <w:rFonts w:ascii="Times New Roman" w:hAnsi="Times New Roman" w:cs="Times New Roman" w:hint="eastAsia"/>
          <w:kern w:val="0"/>
        </w:rPr>
        <w:t>7.39%</w:t>
      </w:r>
      <w:r>
        <w:rPr>
          <w:rFonts w:ascii="Times New Roman" w:hAnsi="Times New Roman" w:cs="Times New Roman" w:hint="eastAsia"/>
          <w:kern w:val="0"/>
        </w:rPr>
        <w:t>。</w:t>
      </w:r>
    </w:p>
    <w:p w14:paraId="625AE30F"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3.4.2 </w:t>
      </w:r>
      <w:r>
        <w:rPr>
          <w:rFonts w:ascii="黑体" w:eastAsia="黑体" w:hAnsi="黑体"/>
          <w:color w:val="000000"/>
          <w:szCs w:val="21"/>
        </w:rPr>
        <w:t>TN</w:t>
      </w:r>
      <w:r>
        <w:rPr>
          <w:rFonts w:ascii="黑体" w:eastAsia="黑体" w:hAnsi="黑体" w:hint="eastAsia"/>
          <w:color w:val="000000"/>
          <w:szCs w:val="21"/>
        </w:rPr>
        <w:t>i</w:t>
      </w:r>
      <w:r>
        <w:rPr>
          <w:rFonts w:ascii="黑体" w:eastAsia="黑体" w:hAnsi="黑体"/>
          <w:color w:val="000000"/>
          <w:szCs w:val="21"/>
        </w:rPr>
        <w:t>1-0.6-0.25</w:t>
      </w:r>
    </w:p>
    <w:p w14:paraId="15BDD271"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3.4.2.1 </w:t>
      </w:r>
      <w:r>
        <w:rPr>
          <w:rFonts w:ascii="黑体" w:eastAsia="黑体" w:hAnsi="黑体"/>
          <w:color w:val="000000"/>
          <w:szCs w:val="21"/>
        </w:rPr>
        <w:t>TNi1-0.6-0.25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1.</w:t>
      </w:r>
      <w:r>
        <w:rPr>
          <w:rFonts w:ascii="黑体" w:eastAsia="黑体" w:hAnsi="黑体"/>
          <w:color w:val="000000"/>
          <w:szCs w:val="21"/>
        </w:rPr>
        <w:t>0-</w:t>
      </w:r>
      <w:r>
        <w:rPr>
          <w:rFonts w:ascii="黑体" w:eastAsia="黑体" w:hAnsi="黑体" w:hint="eastAsia"/>
          <w:color w:val="000000"/>
          <w:szCs w:val="21"/>
        </w:rPr>
        <w:t>5.</w:t>
      </w:r>
      <w:r>
        <w:rPr>
          <w:rFonts w:ascii="黑体" w:eastAsia="黑体" w:hAnsi="黑体"/>
          <w:color w:val="000000"/>
          <w:szCs w:val="21"/>
        </w:rPr>
        <w:t>0）</w:t>
      </w:r>
    </w:p>
    <w:p w14:paraId="6FF1087F" w14:textId="4C5B7B1A" w:rsidR="004426E6" w:rsidRDefault="001D60A2">
      <w:pPr>
        <w:pStyle w:val="a0"/>
        <w:jc w:val="center"/>
      </w:pPr>
      <w:r w:rsidRPr="001D60A2">
        <w:rPr>
          <w:noProof/>
        </w:rPr>
        <w:t xml:space="preserve"> </w:t>
      </w:r>
      <w:r>
        <w:rPr>
          <w:noProof/>
        </w:rPr>
        <w:drawing>
          <wp:inline distT="0" distB="0" distL="0" distR="0" wp14:anchorId="0D23C044" wp14:editId="7D4EA9B8">
            <wp:extent cx="2471531" cy="1861200"/>
            <wp:effectExtent l="0" t="0" r="5080" b="5715"/>
            <wp:docPr id="19367908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90813" name=""/>
                    <pic:cNvPicPr/>
                  </pic:nvPicPr>
                  <pic:blipFill>
                    <a:blip r:embed="rId11"/>
                    <a:stretch>
                      <a:fillRect/>
                    </a:stretch>
                  </pic:blipFill>
                  <pic:spPr>
                    <a:xfrm>
                      <a:off x="0" y="0"/>
                      <a:ext cx="2471531" cy="1861200"/>
                    </a:xfrm>
                    <a:prstGeom prst="rect">
                      <a:avLst/>
                    </a:prstGeom>
                  </pic:spPr>
                </pic:pic>
              </a:graphicData>
            </a:graphic>
          </wp:inline>
        </w:drawing>
      </w:r>
      <w:r>
        <w:rPr>
          <w:noProof/>
        </w:rPr>
        <w:drawing>
          <wp:inline distT="0" distB="0" distL="0" distR="0" wp14:anchorId="7758BB4E" wp14:editId="45FFA00A">
            <wp:extent cx="2415046" cy="1861200"/>
            <wp:effectExtent l="0" t="0" r="4445" b="5715"/>
            <wp:docPr id="10239348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34877" name=""/>
                    <pic:cNvPicPr/>
                  </pic:nvPicPr>
                  <pic:blipFill>
                    <a:blip r:embed="rId12"/>
                    <a:stretch>
                      <a:fillRect/>
                    </a:stretch>
                  </pic:blipFill>
                  <pic:spPr>
                    <a:xfrm>
                      <a:off x="0" y="0"/>
                      <a:ext cx="2415046" cy="1861200"/>
                    </a:xfrm>
                    <a:prstGeom prst="rect">
                      <a:avLst/>
                    </a:prstGeom>
                  </pic:spPr>
                </pic:pic>
              </a:graphicData>
            </a:graphic>
          </wp:inline>
        </w:drawing>
      </w:r>
    </w:p>
    <w:p w14:paraId="600DCF6F"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图5、图6</w:t>
      </w:r>
      <w:r>
        <w:rPr>
          <w:rFonts w:ascii="黑体" w:eastAsia="黑体" w:hAnsi="黑体"/>
          <w:color w:val="000000"/>
          <w:szCs w:val="21"/>
        </w:rPr>
        <w:t xml:space="preserve"> TNi1-0.6-0.25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1.</w:t>
      </w:r>
      <w:r>
        <w:rPr>
          <w:rFonts w:ascii="黑体" w:eastAsia="黑体" w:hAnsi="黑体"/>
          <w:color w:val="000000"/>
          <w:szCs w:val="21"/>
        </w:rPr>
        <w:t>0-</w:t>
      </w:r>
      <w:r>
        <w:rPr>
          <w:rFonts w:ascii="黑体" w:eastAsia="黑体" w:hAnsi="黑体" w:hint="eastAsia"/>
          <w:color w:val="000000"/>
          <w:szCs w:val="21"/>
        </w:rPr>
        <w:t>5.</w:t>
      </w:r>
      <w:r>
        <w:rPr>
          <w:rFonts w:ascii="黑体" w:eastAsia="黑体" w:hAnsi="黑体"/>
          <w:color w:val="000000"/>
          <w:szCs w:val="21"/>
        </w:rPr>
        <w:t>0）</w:t>
      </w:r>
      <w:r>
        <w:rPr>
          <w:rFonts w:ascii="黑体" w:eastAsia="黑体" w:hAnsi="黑体" w:hint="eastAsia"/>
          <w:color w:val="000000"/>
          <w:szCs w:val="21"/>
        </w:rPr>
        <w:t>抗拉强度、伸长率</w:t>
      </w:r>
    </w:p>
    <w:p w14:paraId="5DE167BF" w14:textId="31E177DD"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sidR="006752D4">
        <w:rPr>
          <w:rFonts w:ascii="Times New Roman" w:hAnsi="Times New Roman" w:cs="Times New Roman" w:hint="eastAsia"/>
          <w:kern w:val="0"/>
          <w:szCs w:val="21"/>
        </w:rPr>
        <w:t>108</w:t>
      </w:r>
      <w:r>
        <w:rPr>
          <w:rFonts w:ascii="Times New Roman" w:hAnsi="Times New Roman" w:cs="Times New Roman"/>
          <w:kern w:val="0"/>
          <w:szCs w:val="21"/>
        </w:rPr>
        <w:t>个，平均值</w:t>
      </w:r>
      <w:r w:rsidR="006752D4">
        <w:rPr>
          <w:rFonts w:ascii="Times New Roman" w:hAnsi="Times New Roman" w:cs="Times New Roman" w:hint="eastAsia"/>
          <w:kern w:val="0"/>
          <w:szCs w:val="21"/>
        </w:rPr>
        <w:t>624.76</w:t>
      </w:r>
      <w:r>
        <w:rPr>
          <w:rFonts w:ascii="Times New Roman" w:hAnsi="Times New Roman" w:cs="Times New Roman"/>
          <w:kern w:val="0"/>
          <w:szCs w:val="21"/>
        </w:rPr>
        <w:t>MPa</w:t>
      </w:r>
      <w:r>
        <w:rPr>
          <w:rFonts w:ascii="Times New Roman" w:hAnsi="Times New Roman" w:cs="Times New Roman"/>
          <w:kern w:val="0"/>
          <w:szCs w:val="21"/>
        </w:rPr>
        <w:t>，标准差</w:t>
      </w:r>
      <w:r w:rsidR="006752D4">
        <w:rPr>
          <w:rFonts w:ascii="Times New Roman" w:hAnsi="Times New Roman" w:cs="Times New Roman" w:hint="eastAsia"/>
          <w:kern w:val="0"/>
          <w:szCs w:val="21"/>
        </w:rPr>
        <w:t>24.4226</w:t>
      </w:r>
      <w:r>
        <w:rPr>
          <w:rFonts w:ascii="Times New Roman" w:hAnsi="Times New Roman" w:cs="Times New Roman"/>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580M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sidR="006752D4">
        <w:rPr>
          <w:rFonts w:ascii="Times New Roman" w:hAnsi="Times New Roman" w:cs="Times New Roman" w:hint="eastAsia"/>
          <w:kern w:val="0"/>
        </w:rPr>
        <w:t>96.66</w:t>
      </w:r>
      <w:r>
        <w:rPr>
          <w:rFonts w:ascii="Times New Roman" w:hAnsi="Times New Roman" w:cs="Times New Roman" w:hint="eastAsia"/>
          <w:kern w:val="0"/>
        </w:rPr>
        <w:t>%</w:t>
      </w:r>
      <w:r>
        <w:rPr>
          <w:rFonts w:ascii="Times New Roman" w:hAnsi="Times New Roman" w:cs="Times New Roman" w:hint="eastAsia"/>
          <w:kern w:val="0"/>
        </w:rPr>
        <w:t>。</w:t>
      </w:r>
    </w:p>
    <w:p w14:paraId="0FFF2615" w14:textId="7BF0317D"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sidR="006752D4">
        <w:rPr>
          <w:rFonts w:ascii="Times New Roman" w:hAnsi="Times New Roman" w:cs="Times New Roman" w:hint="eastAsia"/>
          <w:kern w:val="0"/>
        </w:rPr>
        <w:t>108</w:t>
      </w:r>
      <w:r>
        <w:rPr>
          <w:rFonts w:ascii="Times New Roman" w:hAnsi="Times New Roman" w:cs="Times New Roman"/>
          <w:kern w:val="0"/>
        </w:rPr>
        <w:t>个，平均值</w:t>
      </w:r>
      <w:r>
        <w:rPr>
          <w:rFonts w:ascii="Times New Roman" w:hAnsi="Times New Roman" w:cs="Times New Roman" w:hint="eastAsia"/>
          <w:kern w:val="0"/>
        </w:rPr>
        <w:t>5.</w:t>
      </w:r>
      <w:r w:rsidR="006752D4">
        <w:rPr>
          <w:rFonts w:ascii="Times New Roman" w:hAnsi="Times New Roman" w:cs="Times New Roman" w:hint="eastAsia"/>
          <w:kern w:val="0"/>
        </w:rPr>
        <w:t>13</w:t>
      </w:r>
      <w:r>
        <w:rPr>
          <w:rFonts w:ascii="Times New Roman" w:hAnsi="Times New Roman" w:cs="Times New Roman"/>
          <w:kern w:val="0"/>
        </w:rPr>
        <w:t>，标准差</w:t>
      </w:r>
      <w:r>
        <w:rPr>
          <w:rFonts w:ascii="Times New Roman" w:hAnsi="Times New Roman" w:cs="Times New Roman" w:hint="eastAsia"/>
          <w:kern w:val="0"/>
        </w:rPr>
        <w:t>1.</w:t>
      </w:r>
      <w:r w:rsidR="006752D4">
        <w:rPr>
          <w:rFonts w:ascii="Times New Roman" w:hAnsi="Times New Roman" w:cs="Times New Roman" w:hint="eastAsia"/>
          <w:kern w:val="0"/>
        </w:rPr>
        <w:t>7673</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2</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sidR="006752D4">
        <w:rPr>
          <w:rFonts w:ascii="Times New Roman" w:hAnsi="Times New Roman" w:cs="Times New Roman" w:hint="eastAsia"/>
          <w:kern w:val="0"/>
        </w:rPr>
        <w:t>96.17</w:t>
      </w:r>
      <w:r>
        <w:rPr>
          <w:rFonts w:ascii="Times New Roman" w:hAnsi="Times New Roman" w:cs="Times New Roman" w:hint="eastAsia"/>
          <w:kern w:val="0"/>
        </w:rPr>
        <w:t>%</w:t>
      </w:r>
    </w:p>
    <w:p w14:paraId="6FF6A002"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3.4.2.2 </w:t>
      </w:r>
      <w:r>
        <w:rPr>
          <w:rFonts w:ascii="黑体" w:eastAsia="黑体" w:hAnsi="黑体"/>
          <w:color w:val="000000"/>
          <w:szCs w:val="21"/>
        </w:rPr>
        <w:t>TNi1-0.6-0.25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5.</w:t>
      </w:r>
      <w:r>
        <w:rPr>
          <w:rFonts w:ascii="黑体" w:eastAsia="黑体" w:hAnsi="黑体"/>
          <w:color w:val="000000"/>
          <w:szCs w:val="21"/>
        </w:rPr>
        <w:t>0-</w:t>
      </w:r>
      <w:r>
        <w:rPr>
          <w:rFonts w:ascii="黑体" w:eastAsia="黑体" w:hAnsi="黑体" w:hint="eastAsia"/>
          <w:color w:val="000000"/>
          <w:szCs w:val="21"/>
        </w:rPr>
        <w:t>6.</w:t>
      </w:r>
      <w:r>
        <w:rPr>
          <w:rFonts w:ascii="黑体" w:eastAsia="黑体" w:hAnsi="黑体"/>
          <w:color w:val="000000"/>
          <w:szCs w:val="21"/>
        </w:rPr>
        <w:t>0）</w:t>
      </w:r>
    </w:p>
    <w:p w14:paraId="636572D9" w14:textId="77777777" w:rsidR="004426E6" w:rsidRDefault="00000000">
      <w:pPr>
        <w:pStyle w:val="a0"/>
        <w:jc w:val="center"/>
      </w:pPr>
      <w:r>
        <w:rPr>
          <w:noProof/>
        </w:rPr>
        <w:drawing>
          <wp:inline distT="0" distB="0" distL="0" distR="0" wp14:anchorId="24D52041" wp14:editId="1F431BA8">
            <wp:extent cx="2440305" cy="1861185"/>
            <wp:effectExtent l="0" t="0" r="0" b="5715"/>
            <wp:docPr id="9172076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07679" name="图片 1"/>
                    <pic:cNvPicPr>
                      <a:picLocks noChangeAspect="1"/>
                    </pic:cNvPicPr>
                  </pic:nvPicPr>
                  <pic:blipFill>
                    <a:blip r:embed="rId13"/>
                    <a:stretch>
                      <a:fillRect/>
                    </a:stretch>
                  </pic:blipFill>
                  <pic:spPr>
                    <a:xfrm>
                      <a:off x="0" y="0"/>
                      <a:ext cx="2440851" cy="1861200"/>
                    </a:xfrm>
                    <a:prstGeom prst="rect">
                      <a:avLst/>
                    </a:prstGeom>
                  </pic:spPr>
                </pic:pic>
              </a:graphicData>
            </a:graphic>
          </wp:inline>
        </w:drawing>
      </w:r>
      <w:r>
        <w:rPr>
          <w:noProof/>
        </w:rPr>
        <w:drawing>
          <wp:inline distT="0" distB="0" distL="0" distR="0" wp14:anchorId="6C88BECA" wp14:editId="550C4584">
            <wp:extent cx="2480310" cy="1861185"/>
            <wp:effectExtent l="0" t="0" r="0" b="5715"/>
            <wp:docPr id="1351690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90999" name="图片 1"/>
                    <pic:cNvPicPr>
                      <a:picLocks noChangeAspect="1"/>
                    </pic:cNvPicPr>
                  </pic:nvPicPr>
                  <pic:blipFill>
                    <a:blip r:embed="rId14"/>
                    <a:stretch>
                      <a:fillRect/>
                    </a:stretch>
                  </pic:blipFill>
                  <pic:spPr>
                    <a:xfrm>
                      <a:off x="0" y="0"/>
                      <a:ext cx="2480609" cy="1861200"/>
                    </a:xfrm>
                    <a:prstGeom prst="rect">
                      <a:avLst/>
                    </a:prstGeom>
                  </pic:spPr>
                </pic:pic>
              </a:graphicData>
            </a:graphic>
          </wp:inline>
        </w:drawing>
      </w:r>
    </w:p>
    <w:p w14:paraId="01DE2B08"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lastRenderedPageBreak/>
        <w:t>图7、图8</w:t>
      </w:r>
      <w:r>
        <w:rPr>
          <w:rFonts w:ascii="黑体" w:eastAsia="黑体" w:hAnsi="黑体"/>
          <w:color w:val="000000"/>
          <w:szCs w:val="21"/>
        </w:rPr>
        <w:t xml:space="preserve"> TNi1-0.6-0.25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5.</w:t>
      </w:r>
      <w:r>
        <w:rPr>
          <w:rFonts w:ascii="黑体" w:eastAsia="黑体" w:hAnsi="黑体"/>
          <w:color w:val="000000"/>
          <w:szCs w:val="21"/>
        </w:rPr>
        <w:t>0-</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抗拉强度、伸长率</w:t>
      </w:r>
    </w:p>
    <w:p w14:paraId="45F3CE11"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133</w:t>
      </w:r>
      <w:r>
        <w:rPr>
          <w:rFonts w:ascii="Times New Roman" w:hAnsi="Times New Roman" w:cs="Times New Roman"/>
          <w:kern w:val="0"/>
          <w:szCs w:val="21"/>
        </w:rPr>
        <w:t>个，平均值</w:t>
      </w:r>
      <w:r>
        <w:rPr>
          <w:rFonts w:ascii="Times New Roman" w:hAnsi="Times New Roman" w:cs="Times New Roman" w:hint="eastAsia"/>
          <w:kern w:val="0"/>
          <w:szCs w:val="21"/>
        </w:rPr>
        <w:t>617.53</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25.6328</w:t>
      </w:r>
      <w:r>
        <w:rPr>
          <w:rFonts w:ascii="Times New Roman" w:hAnsi="Times New Roman" w:cs="Times New Roman"/>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560M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98.76%</w:t>
      </w:r>
      <w:r>
        <w:rPr>
          <w:rFonts w:ascii="Times New Roman" w:hAnsi="Times New Roman" w:cs="Times New Roman" w:hint="eastAsia"/>
          <w:kern w:val="0"/>
        </w:rPr>
        <w:t>。</w:t>
      </w:r>
    </w:p>
    <w:p w14:paraId="353536D9"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133</w:t>
      </w:r>
      <w:r>
        <w:rPr>
          <w:rFonts w:ascii="Times New Roman" w:hAnsi="Times New Roman" w:cs="Times New Roman"/>
          <w:kern w:val="0"/>
        </w:rPr>
        <w:t>个，平均值</w:t>
      </w:r>
      <w:r>
        <w:rPr>
          <w:rFonts w:ascii="Times New Roman" w:hAnsi="Times New Roman" w:cs="Times New Roman" w:hint="eastAsia"/>
          <w:kern w:val="0"/>
        </w:rPr>
        <w:t>6.09</w:t>
      </w:r>
      <w:r>
        <w:rPr>
          <w:rFonts w:ascii="Times New Roman" w:hAnsi="Times New Roman" w:cs="Times New Roman"/>
          <w:kern w:val="0"/>
        </w:rPr>
        <w:t>，标准差</w:t>
      </w:r>
      <w:r>
        <w:rPr>
          <w:rFonts w:ascii="Times New Roman" w:hAnsi="Times New Roman" w:cs="Times New Roman" w:hint="eastAsia"/>
          <w:kern w:val="0"/>
        </w:rPr>
        <w:t>1.6763</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96.74%</w:t>
      </w:r>
    </w:p>
    <w:p w14:paraId="5585E00C"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3.4.2.3 </w:t>
      </w:r>
      <w:r>
        <w:rPr>
          <w:rFonts w:ascii="黑体" w:eastAsia="黑体" w:hAnsi="黑体"/>
          <w:color w:val="000000"/>
          <w:szCs w:val="21"/>
        </w:rPr>
        <w:t>TNi1-0.6-0.25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10.</w:t>
      </w:r>
      <w:r>
        <w:rPr>
          <w:rFonts w:ascii="黑体" w:eastAsia="黑体" w:hAnsi="黑体"/>
          <w:color w:val="000000"/>
          <w:szCs w:val="21"/>
        </w:rPr>
        <w:t>0）</w:t>
      </w:r>
    </w:p>
    <w:p w14:paraId="0BF11590" w14:textId="77777777" w:rsidR="004426E6" w:rsidRDefault="00000000">
      <w:pPr>
        <w:pStyle w:val="a0"/>
        <w:jc w:val="center"/>
      </w:pPr>
      <w:r>
        <w:rPr>
          <w:noProof/>
        </w:rPr>
        <w:drawing>
          <wp:inline distT="0" distB="0" distL="0" distR="0" wp14:anchorId="52D3B5CA" wp14:editId="1EF1E23F">
            <wp:extent cx="2435860" cy="1861185"/>
            <wp:effectExtent l="0" t="0" r="2540" b="5715"/>
            <wp:docPr id="14519963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96307" name="图片 1"/>
                    <pic:cNvPicPr>
                      <a:picLocks noChangeAspect="1"/>
                    </pic:cNvPicPr>
                  </pic:nvPicPr>
                  <pic:blipFill>
                    <a:blip r:embed="rId15"/>
                    <a:stretch>
                      <a:fillRect/>
                    </a:stretch>
                  </pic:blipFill>
                  <pic:spPr>
                    <a:xfrm>
                      <a:off x="0" y="0"/>
                      <a:ext cx="2436257" cy="1861200"/>
                    </a:xfrm>
                    <a:prstGeom prst="rect">
                      <a:avLst/>
                    </a:prstGeom>
                  </pic:spPr>
                </pic:pic>
              </a:graphicData>
            </a:graphic>
          </wp:inline>
        </w:drawing>
      </w:r>
      <w:r>
        <w:rPr>
          <w:noProof/>
        </w:rPr>
        <w:drawing>
          <wp:inline distT="0" distB="0" distL="0" distR="0" wp14:anchorId="408158E3" wp14:editId="3D3BD9AD">
            <wp:extent cx="2463165" cy="1861185"/>
            <wp:effectExtent l="0" t="0" r="0" b="5715"/>
            <wp:docPr id="15277796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79604" name="图片 1"/>
                    <pic:cNvPicPr>
                      <a:picLocks noChangeAspect="1"/>
                    </pic:cNvPicPr>
                  </pic:nvPicPr>
                  <pic:blipFill>
                    <a:blip r:embed="rId16"/>
                    <a:stretch>
                      <a:fillRect/>
                    </a:stretch>
                  </pic:blipFill>
                  <pic:spPr>
                    <a:xfrm>
                      <a:off x="0" y="0"/>
                      <a:ext cx="2463692" cy="1861200"/>
                    </a:xfrm>
                    <a:prstGeom prst="rect">
                      <a:avLst/>
                    </a:prstGeom>
                  </pic:spPr>
                </pic:pic>
              </a:graphicData>
            </a:graphic>
          </wp:inline>
        </w:drawing>
      </w:r>
    </w:p>
    <w:p w14:paraId="299F3AB9"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图9、图10</w:t>
      </w:r>
      <w:r>
        <w:rPr>
          <w:rFonts w:ascii="黑体" w:eastAsia="黑体" w:hAnsi="黑体"/>
          <w:color w:val="000000"/>
          <w:szCs w:val="21"/>
        </w:rPr>
        <w:t xml:space="preserve"> TNi1-0.6-0.25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10.</w:t>
      </w:r>
      <w:r>
        <w:rPr>
          <w:rFonts w:ascii="黑体" w:eastAsia="黑体" w:hAnsi="黑体"/>
          <w:color w:val="000000"/>
          <w:szCs w:val="21"/>
        </w:rPr>
        <w:t>0）</w:t>
      </w:r>
      <w:r>
        <w:rPr>
          <w:rFonts w:ascii="黑体" w:eastAsia="黑体" w:hAnsi="黑体" w:hint="eastAsia"/>
          <w:color w:val="000000"/>
          <w:szCs w:val="21"/>
        </w:rPr>
        <w:t>抗拉强度、伸长率</w:t>
      </w:r>
    </w:p>
    <w:p w14:paraId="3AD4E9B0"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132</w:t>
      </w:r>
      <w:r>
        <w:rPr>
          <w:rFonts w:ascii="Times New Roman" w:hAnsi="Times New Roman" w:cs="Times New Roman"/>
          <w:kern w:val="0"/>
          <w:szCs w:val="21"/>
        </w:rPr>
        <w:t>个，平均值</w:t>
      </w:r>
      <w:r>
        <w:rPr>
          <w:rFonts w:ascii="Times New Roman" w:hAnsi="Times New Roman" w:cs="Times New Roman" w:hint="eastAsia"/>
          <w:kern w:val="0"/>
          <w:szCs w:val="21"/>
        </w:rPr>
        <w:t>614.30</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32.0226</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540M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98.98%</w:t>
      </w:r>
      <w:r>
        <w:rPr>
          <w:rFonts w:ascii="Times New Roman" w:hAnsi="Times New Roman" w:cs="Times New Roman" w:hint="eastAsia"/>
          <w:kern w:val="0"/>
        </w:rPr>
        <w:t>。</w:t>
      </w:r>
    </w:p>
    <w:p w14:paraId="1515DD81"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132</w:t>
      </w:r>
      <w:r>
        <w:rPr>
          <w:rFonts w:ascii="Times New Roman" w:hAnsi="Times New Roman" w:cs="Times New Roman"/>
          <w:kern w:val="0"/>
        </w:rPr>
        <w:t>个，平均值</w:t>
      </w:r>
      <w:r>
        <w:rPr>
          <w:rFonts w:ascii="Times New Roman" w:hAnsi="Times New Roman" w:cs="Times New Roman" w:hint="eastAsia"/>
          <w:kern w:val="0"/>
        </w:rPr>
        <w:t>6.70</w:t>
      </w:r>
      <w:r>
        <w:rPr>
          <w:rFonts w:ascii="Times New Roman" w:hAnsi="Times New Roman" w:cs="Times New Roman"/>
          <w:kern w:val="0"/>
        </w:rPr>
        <w:t>，标准差</w:t>
      </w:r>
      <w:r>
        <w:rPr>
          <w:rFonts w:ascii="Times New Roman" w:hAnsi="Times New Roman" w:cs="Times New Roman" w:hint="eastAsia"/>
          <w:kern w:val="0"/>
        </w:rPr>
        <w:t>1.5320</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96.12%</w:t>
      </w:r>
    </w:p>
    <w:p w14:paraId="6C92D901"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3.4.3 </w:t>
      </w:r>
      <w:r>
        <w:rPr>
          <w:rFonts w:ascii="黑体" w:eastAsia="黑体" w:hAnsi="黑体"/>
          <w:color w:val="000000"/>
          <w:szCs w:val="21"/>
        </w:rPr>
        <w:t>TNi1-</w:t>
      </w:r>
      <w:r>
        <w:rPr>
          <w:rFonts w:ascii="黑体" w:eastAsia="黑体" w:hAnsi="黑体" w:hint="eastAsia"/>
          <w:color w:val="000000"/>
          <w:szCs w:val="21"/>
        </w:rPr>
        <w:t>1</w:t>
      </w:r>
      <w:r>
        <w:rPr>
          <w:rFonts w:ascii="黑体" w:eastAsia="黑体" w:hAnsi="黑体"/>
          <w:color w:val="000000"/>
          <w:szCs w:val="21"/>
        </w:rPr>
        <w:t>-0.25</w:t>
      </w:r>
    </w:p>
    <w:p w14:paraId="589BEF20"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3.4.3.1 </w:t>
      </w:r>
      <w:r>
        <w:rPr>
          <w:rFonts w:ascii="黑体" w:eastAsia="黑体" w:hAnsi="黑体"/>
          <w:color w:val="000000"/>
          <w:szCs w:val="21"/>
        </w:rPr>
        <w:t>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1.</w:t>
      </w:r>
      <w:r>
        <w:rPr>
          <w:rFonts w:ascii="黑体" w:eastAsia="黑体" w:hAnsi="黑体"/>
          <w:color w:val="000000"/>
          <w:szCs w:val="21"/>
        </w:rPr>
        <w:t>0-</w:t>
      </w:r>
      <w:r>
        <w:rPr>
          <w:rFonts w:ascii="黑体" w:eastAsia="黑体" w:hAnsi="黑体" w:hint="eastAsia"/>
          <w:color w:val="000000"/>
          <w:szCs w:val="21"/>
        </w:rPr>
        <w:t>5.</w:t>
      </w:r>
      <w:r>
        <w:rPr>
          <w:rFonts w:ascii="黑体" w:eastAsia="黑体" w:hAnsi="黑体"/>
          <w:color w:val="000000"/>
          <w:szCs w:val="21"/>
        </w:rPr>
        <w:t>0）</w:t>
      </w:r>
    </w:p>
    <w:p w14:paraId="616D3C89" w14:textId="77777777" w:rsidR="004426E6" w:rsidRDefault="00000000">
      <w:pPr>
        <w:pStyle w:val="a0"/>
        <w:jc w:val="center"/>
      </w:pPr>
      <w:r>
        <w:rPr>
          <w:noProof/>
        </w:rPr>
        <w:drawing>
          <wp:inline distT="0" distB="0" distL="0" distR="0" wp14:anchorId="3C1A9A30" wp14:editId="639A0332">
            <wp:extent cx="2415540" cy="1861185"/>
            <wp:effectExtent l="0" t="0" r="3810" b="5715"/>
            <wp:docPr id="3273660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66045" name="图片 1"/>
                    <pic:cNvPicPr>
                      <a:picLocks noChangeAspect="1"/>
                    </pic:cNvPicPr>
                  </pic:nvPicPr>
                  <pic:blipFill>
                    <a:blip r:embed="rId17"/>
                    <a:stretch>
                      <a:fillRect/>
                    </a:stretch>
                  </pic:blipFill>
                  <pic:spPr>
                    <a:xfrm>
                      <a:off x="0" y="0"/>
                      <a:ext cx="2415797" cy="1861200"/>
                    </a:xfrm>
                    <a:prstGeom prst="rect">
                      <a:avLst/>
                    </a:prstGeom>
                  </pic:spPr>
                </pic:pic>
              </a:graphicData>
            </a:graphic>
          </wp:inline>
        </w:drawing>
      </w:r>
      <w:r>
        <w:rPr>
          <w:noProof/>
        </w:rPr>
        <w:drawing>
          <wp:inline distT="0" distB="0" distL="0" distR="0" wp14:anchorId="26797440" wp14:editId="1C6D81FC">
            <wp:extent cx="2377440" cy="1861185"/>
            <wp:effectExtent l="0" t="0" r="3810" b="5715"/>
            <wp:docPr id="5941707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70739" name="图片 1"/>
                    <pic:cNvPicPr>
                      <a:picLocks noChangeAspect="1"/>
                    </pic:cNvPicPr>
                  </pic:nvPicPr>
                  <pic:blipFill>
                    <a:blip r:embed="rId18"/>
                    <a:stretch>
                      <a:fillRect/>
                    </a:stretch>
                  </pic:blipFill>
                  <pic:spPr>
                    <a:xfrm>
                      <a:off x="0" y="0"/>
                      <a:ext cx="2378073" cy="1861200"/>
                    </a:xfrm>
                    <a:prstGeom prst="rect">
                      <a:avLst/>
                    </a:prstGeom>
                  </pic:spPr>
                </pic:pic>
              </a:graphicData>
            </a:graphic>
          </wp:inline>
        </w:drawing>
      </w:r>
    </w:p>
    <w:p w14:paraId="246819D6"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图11、图12</w:t>
      </w:r>
      <w:r>
        <w:rPr>
          <w:rFonts w:ascii="黑体" w:eastAsia="黑体" w:hAnsi="黑体"/>
          <w:color w:val="000000"/>
          <w:szCs w:val="21"/>
        </w:rPr>
        <w:t xml:space="preserve"> 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1.</w:t>
      </w:r>
      <w:r>
        <w:rPr>
          <w:rFonts w:ascii="黑体" w:eastAsia="黑体" w:hAnsi="黑体"/>
          <w:color w:val="000000"/>
          <w:szCs w:val="21"/>
        </w:rPr>
        <w:t>0-</w:t>
      </w:r>
      <w:r>
        <w:rPr>
          <w:rFonts w:ascii="黑体" w:eastAsia="黑体" w:hAnsi="黑体" w:hint="eastAsia"/>
          <w:color w:val="000000"/>
          <w:szCs w:val="21"/>
        </w:rPr>
        <w:t>5.</w:t>
      </w:r>
      <w:r>
        <w:rPr>
          <w:rFonts w:ascii="黑体" w:eastAsia="黑体" w:hAnsi="黑体"/>
          <w:color w:val="000000"/>
          <w:szCs w:val="21"/>
        </w:rPr>
        <w:t>0）</w:t>
      </w:r>
      <w:r>
        <w:rPr>
          <w:rFonts w:ascii="黑体" w:eastAsia="黑体" w:hAnsi="黑体" w:hint="eastAsia"/>
          <w:color w:val="000000"/>
          <w:szCs w:val="21"/>
        </w:rPr>
        <w:t>抗拉强度、伸长率</w:t>
      </w:r>
    </w:p>
    <w:p w14:paraId="2C77915C"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110</w:t>
      </w:r>
      <w:r>
        <w:rPr>
          <w:rFonts w:ascii="Times New Roman" w:hAnsi="Times New Roman" w:cs="Times New Roman"/>
          <w:kern w:val="0"/>
          <w:szCs w:val="21"/>
        </w:rPr>
        <w:t>个，平均值</w:t>
      </w:r>
      <w:r>
        <w:rPr>
          <w:rFonts w:ascii="Times New Roman" w:hAnsi="Times New Roman" w:cs="Times New Roman" w:hint="eastAsia"/>
          <w:kern w:val="0"/>
          <w:szCs w:val="21"/>
        </w:rPr>
        <w:t>659.19</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23.0983</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620M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95.51%</w:t>
      </w:r>
      <w:r>
        <w:rPr>
          <w:rFonts w:ascii="Times New Roman" w:hAnsi="Times New Roman" w:cs="Times New Roman" w:hint="eastAsia"/>
          <w:kern w:val="0"/>
        </w:rPr>
        <w:t>。</w:t>
      </w:r>
    </w:p>
    <w:p w14:paraId="021031C5"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110</w:t>
      </w:r>
      <w:r>
        <w:rPr>
          <w:rFonts w:ascii="Times New Roman" w:hAnsi="Times New Roman" w:cs="Times New Roman"/>
          <w:kern w:val="0"/>
        </w:rPr>
        <w:t>个，平均值</w:t>
      </w:r>
      <w:r>
        <w:rPr>
          <w:rFonts w:ascii="Times New Roman" w:hAnsi="Times New Roman" w:cs="Times New Roman" w:hint="eastAsia"/>
          <w:kern w:val="0"/>
        </w:rPr>
        <w:t>5.69</w:t>
      </w:r>
      <w:r>
        <w:rPr>
          <w:rFonts w:ascii="Times New Roman" w:hAnsi="Times New Roman" w:cs="Times New Roman"/>
          <w:kern w:val="0"/>
        </w:rPr>
        <w:t>，标准差</w:t>
      </w:r>
      <w:r>
        <w:rPr>
          <w:rFonts w:ascii="Times New Roman" w:hAnsi="Times New Roman" w:cs="Times New Roman" w:hint="eastAsia"/>
          <w:kern w:val="0"/>
        </w:rPr>
        <w:t>1.8902</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2</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97.46%</w:t>
      </w:r>
    </w:p>
    <w:p w14:paraId="7DF6FE2C"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3.4.3.2 </w:t>
      </w:r>
      <w:r>
        <w:rPr>
          <w:rFonts w:ascii="黑体" w:eastAsia="黑体" w:hAnsi="黑体"/>
          <w:color w:val="000000"/>
          <w:szCs w:val="21"/>
        </w:rPr>
        <w:t>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5.</w:t>
      </w:r>
      <w:r>
        <w:rPr>
          <w:rFonts w:ascii="黑体" w:eastAsia="黑体" w:hAnsi="黑体"/>
          <w:color w:val="000000"/>
          <w:szCs w:val="21"/>
        </w:rPr>
        <w:t>0-</w:t>
      </w:r>
      <w:r>
        <w:rPr>
          <w:rFonts w:ascii="黑体" w:eastAsia="黑体" w:hAnsi="黑体" w:hint="eastAsia"/>
          <w:color w:val="000000"/>
          <w:szCs w:val="21"/>
        </w:rPr>
        <w:t>6.</w:t>
      </w:r>
      <w:r>
        <w:rPr>
          <w:rFonts w:ascii="黑体" w:eastAsia="黑体" w:hAnsi="黑体"/>
          <w:color w:val="000000"/>
          <w:szCs w:val="21"/>
        </w:rPr>
        <w:t>0）</w:t>
      </w:r>
    </w:p>
    <w:p w14:paraId="3F48F962" w14:textId="77777777" w:rsidR="004426E6" w:rsidRDefault="00000000">
      <w:pPr>
        <w:pStyle w:val="a0"/>
        <w:jc w:val="center"/>
      </w:pPr>
      <w:r>
        <w:rPr>
          <w:noProof/>
        </w:rPr>
        <w:lastRenderedPageBreak/>
        <w:drawing>
          <wp:inline distT="0" distB="0" distL="0" distR="0" wp14:anchorId="30206602" wp14:editId="65F61CD0">
            <wp:extent cx="2423160" cy="1861185"/>
            <wp:effectExtent l="0" t="0" r="0" b="5715"/>
            <wp:docPr id="1483761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761157" name="图片 1"/>
                    <pic:cNvPicPr>
                      <a:picLocks noChangeAspect="1"/>
                    </pic:cNvPicPr>
                  </pic:nvPicPr>
                  <pic:blipFill>
                    <a:blip r:embed="rId19"/>
                    <a:stretch>
                      <a:fillRect/>
                    </a:stretch>
                  </pic:blipFill>
                  <pic:spPr>
                    <a:xfrm>
                      <a:off x="0" y="0"/>
                      <a:ext cx="2423335" cy="1861200"/>
                    </a:xfrm>
                    <a:prstGeom prst="rect">
                      <a:avLst/>
                    </a:prstGeom>
                  </pic:spPr>
                </pic:pic>
              </a:graphicData>
            </a:graphic>
          </wp:inline>
        </w:drawing>
      </w:r>
      <w:r>
        <w:rPr>
          <w:noProof/>
        </w:rPr>
        <w:drawing>
          <wp:inline distT="0" distB="0" distL="0" distR="0" wp14:anchorId="2DBC3958" wp14:editId="28F0C062">
            <wp:extent cx="2475865" cy="1861185"/>
            <wp:effectExtent l="0" t="0" r="635" b="5715"/>
            <wp:docPr id="1305429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29698" name="图片 1"/>
                    <pic:cNvPicPr>
                      <a:picLocks noChangeAspect="1"/>
                    </pic:cNvPicPr>
                  </pic:nvPicPr>
                  <pic:blipFill>
                    <a:blip r:embed="rId20"/>
                    <a:stretch>
                      <a:fillRect/>
                    </a:stretch>
                  </pic:blipFill>
                  <pic:spPr>
                    <a:xfrm>
                      <a:off x="0" y="0"/>
                      <a:ext cx="2476259" cy="1861200"/>
                    </a:xfrm>
                    <a:prstGeom prst="rect">
                      <a:avLst/>
                    </a:prstGeom>
                  </pic:spPr>
                </pic:pic>
              </a:graphicData>
            </a:graphic>
          </wp:inline>
        </w:drawing>
      </w:r>
    </w:p>
    <w:p w14:paraId="3A8058CE"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图13、图14</w:t>
      </w:r>
      <w:r>
        <w:rPr>
          <w:rFonts w:ascii="黑体" w:eastAsia="黑体" w:hAnsi="黑体"/>
          <w:color w:val="000000"/>
          <w:szCs w:val="21"/>
        </w:rPr>
        <w:t xml:space="preserve"> 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5.</w:t>
      </w:r>
      <w:r>
        <w:rPr>
          <w:rFonts w:ascii="黑体" w:eastAsia="黑体" w:hAnsi="黑体"/>
          <w:color w:val="000000"/>
          <w:szCs w:val="21"/>
        </w:rPr>
        <w:t>0-</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抗拉强度、伸长率</w:t>
      </w:r>
    </w:p>
    <w:p w14:paraId="0781CA8F"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107</w:t>
      </w:r>
      <w:r>
        <w:rPr>
          <w:rFonts w:ascii="Times New Roman" w:hAnsi="Times New Roman" w:cs="Times New Roman"/>
          <w:kern w:val="0"/>
          <w:szCs w:val="21"/>
        </w:rPr>
        <w:t>个，平均值</w:t>
      </w:r>
      <w:r>
        <w:rPr>
          <w:rFonts w:ascii="Times New Roman" w:hAnsi="Times New Roman" w:cs="Times New Roman" w:hint="eastAsia"/>
          <w:kern w:val="0"/>
          <w:szCs w:val="21"/>
        </w:rPr>
        <w:t>628.50</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22.3630</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590M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95.74%</w:t>
      </w:r>
      <w:r>
        <w:rPr>
          <w:rFonts w:ascii="Times New Roman" w:hAnsi="Times New Roman" w:cs="Times New Roman" w:hint="eastAsia"/>
          <w:kern w:val="0"/>
        </w:rPr>
        <w:t>。</w:t>
      </w:r>
    </w:p>
    <w:p w14:paraId="76E85174"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107</w:t>
      </w:r>
      <w:r>
        <w:rPr>
          <w:rFonts w:ascii="Times New Roman" w:hAnsi="Times New Roman" w:cs="Times New Roman"/>
          <w:kern w:val="0"/>
        </w:rPr>
        <w:t>个，平均值</w:t>
      </w:r>
      <w:r>
        <w:rPr>
          <w:rFonts w:ascii="Times New Roman" w:hAnsi="Times New Roman" w:cs="Times New Roman" w:hint="eastAsia"/>
          <w:kern w:val="0"/>
        </w:rPr>
        <w:t>5.90</w:t>
      </w:r>
      <w:r>
        <w:rPr>
          <w:rFonts w:ascii="Times New Roman" w:hAnsi="Times New Roman" w:cs="Times New Roman"/>
          <w:kern w:val="0"/>
        </w:rPr>
        <w:t>，标准差</w:t>
      </w:r>
      <w:r>
        <w:rPr>
          <w:rFonts w:ascii="Times New Roman" w:hAnsi="Times New Roman" w:cs="Times New Roman" w:hint="eastAsia"/>
          <w:kern w:val="0"/>
        </w:rPr>
        <w:t>1.4980</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97.34%</w:t>
      </w:r>
      <w:r>
        <w:rPr>
          <w:rFonts w:ascii="Times New Roman" w:hAnsi="Times New Roman" w:cs="Times New Roman" w:hint="eastAsia"/>
          <w:kern w:val="0"/>
        </w:rPr>
        <w:t>。</w:t>
      </w:r>
    </w:p>
    <w:p w14:paraId="7597F113"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3.4.3.3 </w:t>
      </w:r>
      <w:r>
        <w:rPr>
          <w:rFonts w:ascii="黑体" w:eastAsia="黑体" w:hAnsi="黑体"/>
          <w:color w:val="000000"/>
          <w:szCs w:val="21"/>
        </w:rPr>
        <w:t>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8.</w:t>
      </w:r>
      <w:r>
        <w:rPr>
          <w:rFonts w:ascii="黑体" w:eastAsia="黑体" w:hAnsi="黑体"/>
          <w:color w:val="000000"/>
          <w:szCs w:val="21"/>
        </w:rPr>
        <w:t>0）</w:t>
      </w:r>
    </w:p>
    <w:p w14:paraId="3DB18218" w14:textId="77777777" w:rsidR="004426E6" w:rsidRDefault="00000000">
      <w:pPr>
        <w:autoSpaceDE w:val="0"/>
        <w:autoSpaceDN w:val="0"/>
        <w:adjustRightInd w:val="0"/>
        <w:contextualSpacing/>
        <w:jc w:val="center"/>
        <w:rPr>
          <w:rFonts w:ascii="Times New Roman" w:hAnsi="Times New Roman" w:cs="Times New Roman"/>
          <w:b/>
          <w:bCs/>
          <w:kern w:val="0"/>
          <w:szCs w:val="21"/>
        </w:rPr>
      </w:pPr>
      <w:r>
        <w:rPr>
          <w:noProof/>
        </w:rPr>
        <w:drawing>
          <wp:inline distT="0" distB="0" distL="0" distR="0" wp14:anchorId="37113A28" wp14:editId="2AF0E01B">
            <wp:extent cx="2358390" cy="1861185"/>
            <wp:effectExtent l="0" t="0" r="3810" b="5715"/>
            <wp:docPr id="1069032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32094" name="图片 1"/>
                    <pic:cNvPicPr>
                      <a:picLocks noChangeAspect="1"/>
                    </pic:cNvPicPr>
                  </pic:nvPicPr>
                  <pic:blipFill>
                    <a:blip r:embed="rId21"/>
                    <a:stretch>
                      <a:fillRect/>
                    </a:stretch>
                  </pic:blipFill>
                  <pic:spPr>
                    <a:xfrm>
                      <a:off x="0" y="0"/>
                      <a:ext cx="2358933" cy="1861200"/>
                    </a:xfrm>
                    <a:prstGeom prst="rect">
                      <a:avLst/>
                    </a:prstGeom>
                  </pic:spPr>
                </pic:pic>
              </a:graphicData>
            </a:graphic>
          </wp:inline>
        </w:drawing>
      </w:r>
      <w:r>
        <w:rPr>
          <w:noProof/>
        </w:rPr>
        <w:drawing>
          <wp:inline distT="0" distB="0" distL="0" distR="0" wp14:anchorId="75D241E6" wp14:editId="1E370972">
            <wp:extent cx="2477135" cy="1861185"/>
            <wp:effectExtent l="0" t="0" r="0" b="5715"/>
            <wp:docPr id="13230920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92087" name="图片 1"/>
                    <pic:cNvPicPr>
                      <a:picLocks noChangeAspect="1"/>
                    </pic:cNvPicPr>
                  </pic:nvPicPr>
                  <pic:blipFill>
                    <a:blip r:embed="rId22"/>
                    <a:stretch>
                      <a:fillRect/>
                    </a:stretch>
                  </pic:blipFill>
                  <pic:spPr>
                    <a:xfrm>
                      <a:off x="0" y="0"/>
                      <a:ext cx="2477444" cy="1861200"/>
                    </a:xfrm>
                    <a:prstGeom prst="rect">
                      <a:avLst/>
                    </a:prstGeom>
                  </pic:spPr>
                </pic:pic>
              </a:graphicData>
            </a:graphic>
          </wp:inline>
        </w:drawing>
      </w:r>
    </w:p>
    <w:p w14:paraId="5B4C5CB2"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图15、图16</w:t>
      </w:r>
      <w:r>
        <w:rPr>
          <w:rFonts w:ascii="黑体" w:eastAsia="黑体" w:hAnsi="黑体"/>
          <w:color w:val="000000"/>
          <w:szCs w:val="21"/>
        </w:rPr>
        <w:t xml:space="preserve"> 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8.</w:t>
      </w:r>
      <w:r>
        <w:rPr>
          <w:rFonts w:ascii="黑体" w:eastAsia="黑体" w:hAnsi="黑体"/>
          <w:color w:val="000000"/>
          <w:szCs w:val="21"/>
        </w:rPr>
        <w:t>0）</w:t>
      </w:r>
      <w:r>
        <w:rPr>
          <w:rFonts w:ascii="黑体" w:eastAsia="黑体" w:hAnsi="黑体" w:hint="eastAsia"/>
          <w:color w:val="000000"/>
          <w:szCs w:val="21"/>
        </w:rPr>
        <w:t>抗拉强度、伸长率</w:t>
      </w:r>
    </w:p>
    <w:p w14:paraId="6108674D"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133</w:t>
      </w:r>
      <w:r>
        <w:rPr>
          <w:rFonts w:ascii="Times New Roman" w:hAnsi="Times New Roman" w:cs="Times New Roman"/>
          <w:kern w:val="0"/>
          <w:szCs w:val="21"/>
        </w:rPr>
        <w:t>个，平均值</w:t>
      </w:r>
      <w:r>
        <w:rPr>
          <w:rFonts w:ascii="Times New Roman" w:hAnsi="Times New Roman" w:cs="Times New Roman" w:hint="eastAsia"/>
          <w:kern w:val="0"/>
          <w:szCs w:val="21"/>
        </w:rPr>
        <w:t>617.08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27.5122</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570M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95.65%</w:t>
      </w:r>
      <w:r>
        <w:rPr>
          <w:rFonts w:ascii="Times New Roman" w:hAnsi="Times New Roman" w:cs="Times New Roman" w:hint="eastAsia"/>
          <w:kern w:val="0"/>
        </w:rPr>
        <w:t>。</w:t>
      </w:r>
    </w:p>
    <w:p w14:paraId="33BD81CA"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133</w:t>
      </w:r>
      <w:r>
        <w:rPr>
          <w:rFonts w:ascii="Times New Roman" w:hAnsi="Times New Roman" w:cs="Times New Roman"/>
          <w:kern w:val="0"/>
        </w:rPr>
        <w:t>个，平均值</w:t>
      </w:r>
      <w:r>
        <w:rPr>
          <w:rFonts w:ascii="Times New Roman" w:hAnsi="Times New Roman" w:cs="Times New Roman" w:hint="eastAsia"/>
          <w:kern w:val="0"/>
        </w:rPr>
        <w:t>6.65</w:t>
      </w:r>
      <w:r>
        <w:rPr>
          <w:rFonts w:ascii="Times New Roman" w:hAnsi="Times New Roman" w:cs="Times New Roman"/>
          <w:kern w:val="0"/>
        </w:rPr>
        <w:t>，标准差</w:t>
      </w:r>
      <w:r>
        <w:rPr>
          <w:rFonts w:ascii="Times New Roman" w:hAnsi="Times New Roman" w:cs="Times New Roman" w:hint="eastAsia"/>
          <w:kern w:val="0"/>
        </w:rPr>
        <w:t>1.4926</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96.23%</w:t>
      </w:r>
      <w:r>
        <w:rPr>
          <w:rFonts w:ascii="Times New Roman" w:hAnsi="Times New Roman" w:cs="Times New Roman" w:hint="eastAsia"/>
          <w:kern w:val="0"/>
        </w:rPr>
        <w:t>。</w:t>
      </w:r>
    </w:p>
    <w:p w14:paraId="057A4F98"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3.4.3.4 </w:t>
      </w:r>
      <w:r>
        <w:rPr>
          <w:rFonts w:ascii="黑体" w:eastAsia="黑体" w:hAnsi="黑体"/>
          <w:color w:val="000000"/>
          <w:szCs w:val="21"/>
        </w:rPr>
        <w:t>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8.</w:t>
      </w:r>
      <w:r>
        <w:rPr>
          <w:rFonts w:ascii="黑体" w:eastAsia="黑体" w:hAnsi="黑体"/>
          <w:color w:val="000000"/>
          <w:szCs w:val="21"/>
        </w:rPr>
        <w:t>0-</w:t>
      </w:r>
      <w:r>
        <w:rPr>
          <w:rFonts w:ascii="黑体" w:eastAsia="黑体" w:hAnsi="黑体" w:hint="eastAsia"/>
          <w:color w:val="000000"/>
          <w:szCs w:val="21"/>
        </w:rPr>
        <w:t>10.</w:t>
      </w:r>
      <w:r>
        <w:rPr>
          <w:rFonts w:ascii="黑体" w:eastAsia="黑体" w:hAnsi="黑体"/>
          <w:color w:val="000000"/>
          <w:szCs w:val="21"/>
        </w:rPr>
        <w:t>0）</w:t>
      </w:r>
    </w:p>
    <w:p w14:paraId="1C6A9212" w14:textId="77777777" w:rsidR="004426E6" w:rsidRDefault="00000000">
      <w:pPr>
        <w:pStyle w:val="a0"/>
        <w:jc w:val="center"/>
      </w:pPr>
      <w:r>
        <w:rPr>
          <w:noProof/>
        </w:rPr>
        <w:drawing>
          <wp:inline distT="0" distB="0" distL="0" distR="0" wp14:anchorId="40721BAD" wp14:editId="749C9DB3">
            <wp:extent cx="2474595" cy="1861185"/>
            <wp:effectExtent l="0" t="0" r="1905" b="5715"/>
            <wp:docPr id="721852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52879" name="图片 1"/>
                    <pic:cNvPicPr>
                      <a:picLocks noChangeAspect="1"/>
                    </pic:cNvPicPr>
                  </pic:nvPicPr>
                  <pic:blipFill>
                    <a:blip r:embed="rId23"/>
                    <a:stretch>
                      <a:fillRect/>
                    </a:stretch>
                  </pic:blipFill>
                  <pic:spPr>
                    <a:xfrm>
                      <a:off x="0" y="0"/>
                      <a:ext cx="2475076" cy="1861200"/>
                    </a:xfrm>
                    <a:prstGeom prst="rect">
                      <a:avLst/>
                    </a:prstGeom>
                  </pic:spPr>
                </pic:pic>
              </a:graphicData>
            </a:graphic>
          </wp:inline>
        </w:drawing>
      </w:r>
      <w:r>
        <w:rPr>
          <w:noProof/>
        </w:rPr>
        <w:drawing>
          <wp:inline distT="0" distB="0" distL="0" distR="0" wp14:anchorId="375AE4C6" wp14:editId="35074670">
            <wp:extent cx="2466975" cy="1861185"/>
            <wp:effectExtent l="0" t="0" r="9525" b="5715"/>
            <wp:docPr id="1747508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08779" name="图片 1"/>
                    <pic:cNvPicPr>
                      <a:picLocks noChangeAspect="1"/>
                    </pic:cNvPicPr>
                  </pic:nvPicPr>
                  <pic:blipFill>
                    <a:blip r:embed="rId24"/>
                    <a:stretch>
                      <a:fillRect/>
                    </a:stretch>
                  </pic:blipFill>
                  <pic:spPr>
                    <a:xfrm>
                      <a:off x="0" y="0"/>
                      <a:ext cx="2467213" cy="1861200"/>
                    </a:xfrm>
                    <a:prstGeom prst="rect">
                      <a:avLst/>
                    </a:prstGeom>
                  </pic:spPr>
                </pic:pic>
              </a:graphicData>
            </a:graphic>
          </wp:inline>
        </w:drawing>
      </w:r>
    </w:p>
    <w:p w14:paraId="23C05492"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图17、图18</w:t>
      </w:r>
      <w:r>
        <w:rPr>
          <w:rFonts w:ascii="黑体" w:eastAsia="黑体" w:hAnsi="黑体"/>
          <w:color w:val="000000"/>
          <w:szCs w:val="21"/>
        </w:rPr>
        <w:t xml:space="preserve"> TNi1-</w:t>
      </w:r>
      <w:r>
        <w:rPr>
          <w:rFonts w:ascii="黑体" w:eastAsia="黑体" w:hAnsi="黑体" w:hint="eastAsia"/>
          <w:color w:val="000000"/>
          <w:szCs w:val="21"/>
        </w:rPr>
        <w:t>1</w:t>
      </w:r>
      <w:r>
        <w:rPr>
          <w:rFonts w:ascii="黑体" w:eastAsia="黑体" w:hAnsi="黑体"/>
          <w:color w:val="000000"/>
          <w:szCs w:val="21"/>
        </w:rPr>
        <w:t>-0.25</w:t>
      </w:r>
      <w:r>
        <w:rPr>
          <w:rFonts w:ascii="黑体" w:eastAsia="黑体" w:hAnsi="黑体" w:hint="eastAsia"/>
          <w:color w:val="000000"/>
          <w:szCs w:val="21"/>
        </w:rPr>
        <w:t xml:space="preserve"> TL02态</w:t>
      </w:r>
      <w:r>
        <w:rPr>
          <w:rFonts w:ascii="黑体" w:eastAsia="黑体" w:hAnsi="黑体"/>
          <w:color w:val="000000"/>
          <w:szCs w:val="21"/>
        </w:rPr>
        <w:t>（规格</w:t>
      </w:r>
      <w:r>
        <w:rPr>
          <w:rFonts w:ascii="黑体" w:eastAsia="黑体" w:hAnsi="黑体" w:hint="eastAsia"/>
          <w:color w:val="000000"/>
          <w:szCs w:val="21"/>
        </w:rPr>
        <w:t>8.</w:t>
      </w:r>
      <w:r>
        <w:rPr>
          <w:rFonts w:ascii="黑体" w:eastAsia="黑体" w:hAnsi="黑体"/>
          <w:color w:val="000000"/>
          <w:szCs w:val="21"/>
        </w:rPr>
        <w:t>0-</w:t>
      </w:r>
      <w:r>
        <w:rPr>
          <w:rFonts w:ascii="黑体" w:eastAsia="黑体" w:hAnsi="黑体" w:hint="eastAsia"/>
          <w:color w:val="000000"/>
          <w:szCs w:val="21"/>
        </w:rPr>
        <w:t>10.</w:t>
      </w:r>
      <w:r>
        <w:rPr>
          <w:rFonts w:ascii="黑体" w:eastAsia="黑体" w:hAnsi="黑体"/>
          <w:color w:val="000000"/>
          <w:szCs w:val="21"/>
        </w:rPr>
        <w:t>0）</w:t>
      </w:r>
      <w:r>
        <w:rPr>
          <w:rFonts w:ascii="黑体" w:eastAsia="黑体" w:hAnsi="黑体" w:hint="eastAsia"/>
          <w:color w:val="000000"/>
          <w:szCs w:val="21"/>
        </w:rPr>
        <w:t>抗拉强度、伸长率</w:t>
      </w:r>
    </w:p>
    <w:p w14:paraId="404C3869"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lastRenderedPageBreak/>
        <w:t>抗拉强度：</w:t>
      </w:r>
      <w:r>
        <w:rPr>
          <w:rFonts w:ascii="Times New Roman" w:hAnsi="Times New Roman" w:cs="Times New Roman"/>
          <w:kern w:val="0"/>
          <w:szCs w:val="21"/>
        </w:rPr>
        <w:t>样本个数</w:t>
      </w:r>
      <w:r>
        <w:rPr>
          <w:rFonts w:ascii="Times New Roman" w:hAnsi="Times New Roman" w:cs="Times New Roman" w:hint="eastAsia"/>
          <w:kern w:val="0"/>
          <w:szCs w:val="21"/>
        </w:rPr>
        <w:t>118</w:t>
      </w:r>
      <w:r>
        <w:rPr>
          <w:rFonts w:ascii="Times New Roman" w:hAnsi="Times New Roman" w:cs="Times New Roman"/>
          <w:kern w:val="0"/>
          <w:szCs w:val="21"/>
        </w:rPr>
        <w:t>个，平均值</w:t>
      </w:r>
      <w:r>
        <w:rPr>
          <w:rFonts w:ascii="Times New Roman" w:hAnsi="Times New Roman" w:cs="Times New Roman" w:hint="eastAsia"/>
          <w:kern w:val="0"/>
          <w:szCs w:val="21"/>
        </w:rPr>
        <w:t>619.18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25.9871</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99.61%</w:t>
      </w:r>
      <w:r>
        <w:rPr>
          <w:rFonts w:ascii="Times New Roman" w:hAnsi="Times New Roman" w:cs="Times New Roman" w:hint="eastAsia"/>
          <w:kern w:val="0"/>
        </w:rPr>
        <w:t>。</w:t>
      </w:r>
    </w:p>
    <w:p w14:paraId="471CE4D8"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118</w:t>
      </w:r>
      <w:r>
        <w:rPr>
          <w:rFonts w:ascii="Times New Roman" w:hAnsi="Times New Roman" w:cs="Times New Roman"/>
          <w:kern w:val="0"/>
        </w:rPr>
        <w:t>个，平均值</w:t>
      </w:r>
      <w:r>
        <w:rPr>
          <w:rFonts w:ascii="Times New Roman" w:hAnsi="Times New Roman" w:cs="Times New Roman" w:hint="eastAsia"/>
          <w:kern w:val="0"/>
        </w:rPr>
        <w:t>7.43</w:t>
      </w:r>
      <w:r>
        <w:rPr>
          <w:rFonts w:ascii="Times New Roman" w:hAnsi="Times New Roman" w:cs="Times New Roman"/>
          <w:kern w:val="0"/>
        </w:rPr>
        <w:t>，标准差</w:t>
      </w:r>
      <w:r>
        <w:rPr>
          <w:rFonts w:ascii="Times New Roman" w:hAnsi="Times New Roman" w:cs="Times New Roman" w:hint="eastAsia"/>
          <w:kern w:val="0"/>
        </w:rPr>
        <w:t>1.6819</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97.94%</w:t>
      </w:r>
    </w:p>
    <w:p w14:paraId="47797F9F"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3.4.4 </w:t>
      </w:r>
      <w:r>
        <w:rPr>
          <w:rFonts w:ascii="黑体" w:eastAsia="黑体" w:hAnsi="黑体"/>
          <w:color w:val="000000"/>
          <w:szCs w:val="21"/>
        </w:rPr>
        <w:t>HPb63-3、HPb62-3</w:t>
      </w:r>
    </w:p>
    <w:p w14:paraId="64ECA909"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3.4.4.1 </w:t>
      </w:r>
      <w:r>
        <w:rPr>
          <w:rFonts w:ascii="黑体" w:eastAsia="黑体" w:hAnsi="黑体"/>
          <w:color w:val="000000"/>
          <w:szCs w:val="21"/>
        </w:rPr>
        <w:t>HPb63-3、HPb62-3</w:t>
      </w:r>
      <w:r>
        <w:rPr>
          <w:rFonts w:ascii="黑体" w:eastAsia="黑体" w:hAnsi="黑体" w:hint="eastAsia"/>
          <w:color w:val="000000"/>
          <w:szCs w:val="21"/>
        </w:rPr>
        <w:t xml:space="preserve"> H02态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70B6884B" w14:textId="77777777" w:rsidR="004426E6" w:rsidRDefault="00000000">
      <w:pPr>
        <w:pStyle w:val="a0"/>
        <w:jc w:val="center"/>
      </w:pPr>
      <w:r>
        <w:rPr>
          <w:noProof/>
        </w:rPr>
        <w:drawing>
          <wp:inline distT="0" distB="0" distL="0" distR="0" wp14:anchorId="73260D9A" wp14:editId="15E4C1C3">
            <wp:extent cx="2438400" cy="1861185"/>
            <wp:effectExtent l="0" t="0" r="0" b="5715"/>
            <wp:docPr id="419371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371809" name="图片 1"/>
                    <pic:cNvPicPr>
                      <a:picLocks noChangeAspect="1"/>
                    </pic:cNvPicPr>
                  </pic:nvPicPr>
                  <pic:blipFill>
                    <a:blip r:embed="rId25"/>
                    <a:stretch>
                      <a:fillRect/>
                    </a:stretch>
                  </pic:blipFill>
                  <pic:spPr>
                    <a:xfrm>
                      <a:off x="0" y="0"/>
                      <a:ext cx="2438935" cy="1861200"/>
                    </a:xfrm>
                    <a:prstGeom prst="rect">
                      <a:avLst/>
                    </a:prstGeom>
                  </pic:spPr>
                </pic:pic>
              </a:graphicData>
            </a:graphic>
          </wp:inline>
        </w:drawing>
      </w:r>
      <w:r>
        <w:rPr>
          <w:noProof/>
        </w:rPr>
        <w:drawing>
          <wp:inline distT="0" distB="0" distL="0" distR="0" wp14:anchorId="03EA1037" wp14:editId="457CAE33">
            <wp:extent cx="2473325" cy="1861185"/>
            <wp:effectExtent l="0" t="0" r="3175" b="5715"/>
            <wp:docPr id="61593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327" name="图片 1"/>
                    <pic:cNvPicPr>
                      <a:picLocks noChangeAspect="1"/>
                    </pic:cNvPicPr>
                  </pic:nvPicPr>
                  <pic:blipFill>
                    <a:blip r:embed="rId26"/>
                    <a:stretch>
                      <a:fillRect/>
                    </a:stretch>
                  </pic:blipFill>
                  <pic:spPr>
                    <a:xfrm>
                      <a:off x="0" y="0"/>
                      <a:ext cx="2473499" cy="1861200"/>
                    </a:xfrm>
                    <a:prstGeom prst="rect">
                      <a:avLst/>
                    </a:prstGeom>
                  </pic:spPr>
                </pic:pic>
              </a:graphicData>
            </a:graphic>
          </wp:inline>
        </w:drawing>
      </w:r>
    </w:p>
    <w:p w14:paraId="5C3E7D41"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图19、图20</w:t>
      </w:r>
      <w:r>
        <w:rPr>
          <w:rFonts w:ascii="黑体" w:eastAsia="黑体" w:hAnsi="黑体"/>
          <w:color w:val="000000"/>
          <w:szCs w:val="21"/>
        </w:rPr>
        <w:t xml:space="preserve"> HPb63-3、HPb62-3</w:t>
      </w:r>
      <w:r>
        <w:rPr>
          <w:rFonts w:ascii="黑体" w:eastAsia="黑体" w:hAnsi="黑体" w:hint="eastAsia"/>
          <w:color w:val="000000"/>
          <w:szCs w:val="21"/>
        </w:rPr>
        <w:t xml:space="preserve"> H02态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r>
        <w:rPr>
          <w:rFonts w:ascii="黑体" w:eastAsia="黑体" w:hAnsi="黑体" w:hint="eastAsia"/>
          <w:color w:val="000000"/>
          <w:szCs w:val="21"/>
        </w:rPr>
        <w:t>抗拉强度、伸长率</w:t>
      </w:r>
    </w:p>
    <w:p w14:paraId="17198807"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162</w:t>
      </w:r>
      <w:r>
        <w:rPr>
          <w:rFonts w:ascii="Times New Roman" w:hAnsi="Times New Roman" w:cs="Times New Roman"/>
          <w:kern w:val="0"/>
          <w:szCs w:val="21"/>
        </w:rPr>
        <w:t>个，平均值</w:t>
      </w:r>
      <w:r>
        <w:rPr>
          <w:rFonts w:ascii="Times New Roman" w:hAnsi="Times New Roman" w:cs="Times New Roman" w:hint="eastAsia"/>
          <w:kern w:val="0"/>
          <w:szCs w:val="21"/>
        </w:rPr>
        <w:t>475.90</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27.5249</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420M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97.89%</w:t>
      </w:r>
      <w:r>
        <w:rPr>
          <w:rFonts w:ascii="Times New Roman" w:hAnsi="Times New Roman" w:cs="Times New Roman" w:hint="eastAsia"/>
          <w:kern w:val="0"/>
        </w:rPr>
        <w:t>。</w:t>
      </w:r>
    </w:p>
    <w:p w14:paraId="4DA91C3F"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162</w:t>
      </w:r>
      <w:r>
        <w:rPr>
          <w:rFonts w:ascii="Times New Roman" w:hAnsi="Times New Roman" w:cs="Times New Roman"/>
          <w:kern w:val="0"/>
        </w:rPr>
        <w:t>个，平均值</w:t>
      </w:r>
      <w:r>
        <w:rPr>
          <w:rFonts w:ascii="Times New Roman" w:hAnsi="Times New Roman" w:cs="Times New Roman" w:hint="eastAsia"/>
          <w:kern w:val="0"/>
        </w:rPr>
        <w:t>6.35</w:t>
      </w:r>
      <w:r>
        <w:rPr>
          <w:rFonts w:ascii="Times New Roman" w:hAnsi="Times New Roman" w:cs="Times New Roman"/>
          <w:kern w:val="0"/>
        </w:rPr>
        <w:t>，标准差</w:t>
      </w:r>
      <w:r>
        <w:rPr>
          <w:rFonts w:ascii="Times New Roman" w:hAnsi="Times New Roman" w:cs="Times New Roman" w:hint="eastAsia"/>
          <w:kern w:val="0"/>
        </w:rPr>
        <w:t>1.9571</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95.63%</w:t>
      </w:r>
    </w:p>
    <w:p w14:paraId="7EEEE741"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3.4.4.2 </w:t>
      </w:r>
      <w:r>
        <w:rPr>
          <w:rFonts w:ascii="黑体" w:eastAsia="黑体" w:hAnsi="黑体"/>
          <w:color w:val="000000"/>
          <w:szCs w:val="21"/>
        </w:rPr>
        <w:t>HPb63-3、HPb62-3</w:t>
      </w:r>
      <w:r>
        <w:rPr>
          <w:rFonts w:ascii="黑体" w:eastAsia="黑体" w:hAnsi="黑体" w:hint="eastAsia"/>
          <w:color w:val="000000"/>
          <w:szCs w:val="21"/>
        </w:rPr>
        <w:t xml:space="preserve"> H02态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p>
    <w:p w14:paraId="70E47648" w14:textId="77777777" w:rsidR="004426E6" w:rsidRDefault="00000000">
      <w:pPr>
        <w:pStyle w:val="a0"/>
        <w:jc w:val="center"/>
      </w:pPr>
      <w:r>
        <w:rPr>
          <w:noProof/>
        </w:rPr>
        <w:drawing>
          <wp:inline distT="0" distB="0" distL="0" distR="0" wp14:anchorId="5B33B869" wp14:editId="6A3684D6">
            <wp:extent cx="2534285" cy="1861185"/>
            <wp:effectExtent l="0" t="0" r="0" b="5715"/>
            <wp:docPr id="20419808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80871" name="图片 1"/>
                    <pic:cNvPicPr>
                      <a:picLocks noChangeAspect="1"/>
                    </pic:cNvPicPr>
                  </pic:nvPicPr>
                  <pic:blipFill>
                    <a:blip r:embed="rId27"/>
                    <a:stretch>
                      <a:fillRect/>
                    </a:stretch>
                  </pic:blipFill>
                  <pic:spPr>
                    <a:xfrm>
                      <a:off x="0" y="0"/>
                      <a:ext cx="2534852" cy="1861200"/>
                    </a:xfrm>
                    <a:prstGeom prst="rect">
                      <a:avLst/>
                    </a:prstGeom>
                  </pic:spPr>
                </pic:pic>
              </a:graphicData>
            </a:graphic>
          </wp:inline>
        </w:drawing>
      </w:r>
      <w:r>
        <w:rPr>
          <w:noProof/>
        </w:rPr>
        <w:drawing>
          <wp:inline distT="0" distB="0" distL="0" distR="0" wp14:anchorId="4892E6C6" wp14:editId="46AC1C63">
            <wp:extent cx="2526030" cy="1861185"/>
            <wp:effectExtent l="0" t="0" r="7620" b="5715"/>
            <wp:docPr id="11322557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55714" name="图片 1"/>
                    <pic:cNvPicPr>
                      <a:picLocks noChangeAspect="1"/>
                    </pic:cNvPicPr>
                  </pic:nvPicPr>
                  <pic:blipFill>
                    <a:blip r:embed="rId28"/>
                    <a:stretch>
                      <a:fillRect/>
                    </a:stretch>
                  </pic:blipFill>
                  <pic:spPr>
                    <a:xfrm>
                      <a:off x="0" y="0"/>
                      <a:ext cx="2526606" cy="1861200"/>
                    </a:xfrm>
                    <a:prstGeom prst="rect">
                      <a:avLst/>
                    </a:prstGeom>
                  </pic:spPr>
                </pic:pic>
              </a:graphicData>
            </a:graphic>
          </wp:inline>
        </w:drawing>
      </w:r>
    </w:p>
    <w:p w14:paraId="48A0973B"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图21、图22</w:t>
      </w:r>
      <w:r>
        <w:rPr>
          <w:rFonts w:ascii="黑体" w:eastAsia="黑体" w:hAnsi="黑体"/>
          <w:color w:val="000000"/>
          <w:szCs w:val="21"/>
        </w:rPr>
        <w:t xml:space="preserve"> HPb63-3、HPb62-3</w:t>
      </w:r>
      <w:r>
        <w:rPr>
          <w:rFonts w:ascii="黑体" w:eastAsia="黑体" w:hAnsi="黑体" w:hint="eastAsia"/>
          <w:color w:val="000000"/>
          <w:szCs w:val="21"/>
        </w:rPr>
        <w:t xml:space="preserve"> H02态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2E2A9F3A"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146</w:t>
      </w:r>
      <w:r>
        <w:rPr>
          <w:rFonts w:ascii="Times New Roman" w:hAnsi="Times New Roman" w:cs="Times New Roman"/>
          <w:kern w:val="0"/>
          <w:szCs w:val="21"/>
        </w:rPr>
        <w:t>个，平均值</w:t>
      </w:r>
      <w:r>
        <w:rPr>
          <w:rFonts w:ascii="Times New Roman" w:hAnsi="Times New Roman" w:cs="Times New Roman" w:hint="eastAsia"/>
          <w:kern w:val="0"/>
          <w:szCs w:val="21"/>
        </w:rPr>
        <w:t>482.38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35.3546</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410M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97.97%</w:t>
      </w:r>
      <w:r>
        <w:rPr>
          <w:rFonts w:ascii="Times New Roman" w:hAnsi="Times New Roman" w:cs="Times New Roman" w:hint="eastAsia"/>
          <w:kern w:val="0"/>
        </w:rPr>
        <w:t>。</w:t>
      </w:r>
    </w:p>
    <w:p w14:paraId="342B3C3A"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146</w:t>
      </w:r>
      <w:r>
        <w:rPr>
          <w:rFonts w:ascii="Times New Roman" w:hAnsi="Times New Roman" w:cs="Times New Roman"/>
          <w:kern w:val="0"/>
        </w:rPr>
        <w:t>个，平均值</w:t>
      </w:r>
      <w:r>
        <w:rPr>
          <w:rFonts w:ascii="Times New Roman" w:hAnsi="Times New Roman" w:cs="Times New Roman" w:hint="eastAsia"/>
          <w:kern w:val="0"/>
        </w:rPr>
        <w:t>7.87</w:t>
      </w:r>
      <w:r>
        <w:rPr>
          <w:rFonts w:ascii="Times New Roman" w:hAnsi="Times New Roman" w:cs="Times New Roman"/>
          <w:kern w:val="0"/>
        </w:rPr>
        <w:t>，标准差</w:t>
      </w:r>
      <w:r>
        <w:rPr>
          <w:rFonts w:ascii="Times New Roman" w:hAnsi="Times New Roman" w:cs="Times New Roman" w:hint="eastAsia"/>
          <w:kern w:val="0"/>
        </w:rPr>
        <w:t>2.1472</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96.42%</w:t>
      </w:r>
    </w:p>
    <w:p w14:paraId="75320FA8"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3.4.4.3 </w:t>
      </w:r>
      <w:r>
        <w:rPr>
          <w:rFonts w:ascii="黑体" w:eastAsia="黑体" w:hAnsi="黑体"/>
          <w:color w:val="000000"/>
          <w:szCs w:val="21"/>
        </w:rPr>
        <w:t>HPb63-3、HPb62-3</w:t>
      </w:r>
      <w:r>
        <w:rPr>
          <w:rFonts w:ascii="黑体" w:eastAsia="黑体" w:hAnsi="黑体" w:hint="eastAsia"/>
          <w:color w:val="000000"/>
          <w:szCs w:val="21"/>
        </w:rPr>
        <w:t xml:space="preserve"> H02态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21EE5B4F" w14:textId="77777777" w:rsidR="004426E6" w:rsidRDefault="00000000">
      <w:pPr>
        <w:pStyle w:val="a0"/>
        <w:jc w:val="center"/>
      </w:pPr>
      <w:r>
        <w:rPr>
          <w:noProof/>
        </w:rPr>
        <w:lastRenderedPageBreak/>
        <w:drawing>
          <wp:inline distT="0" distB="0" distL="0" distR="0" wp14:anchorId="53C9CF5D" wp14:editId="002514FB">
            <wp:extent cx="2526665" cy="1861185"/>
            <wp:effectExtent l="0" t="0" r="6985" b="5715"/>
            <wp:docPr id="1125262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262122" name="图片 1"/>
                    <pic:cNvPicPr>
                      <a:picLocks noChangeAspect="1"/>
                    </pic:cNvPicPr>
                  </pic:nvPicPr>
                  <pic:blipFill>
                    <a:blip r:embed="rId29"/>
                    <a:stretch>
                      <a:fillRect/>
                    </a:stretch>
                  </pic:blipFill>
                  <pic:spPr>
                    <a:xfrm>
                      <a:off x="0" y="0"/>
                      <a:ext cx="2527017" cy="1861200"/>
                    </a:xfrm>
                    <a:prstGeom prst="rect">
                      <a:avLst/>
                    </a:prstGeom>
                  </pic:spPr>
                </pic:pic>
              </a:graphicData>
            </a:graphic>
          </wp:inline>
        </w:drawing>
      </w:r>
      <w:r>
        <w:rPr>
          <w:noProof/>
        </w:rPr>
        <w:drawing>
          <wp:inline distT="0" distB="0" distL="0" distR="0" wp14:anchorId="29A28DC5" wp14:editId="5C2574F7">
            <wp:extent cx="2419350" cy="1861185"/>
            <wp:effectExtent l="0" t="0" r="0" b="5715"/>
            <wp:docPr id="14124538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53827" name="图片 1"/>
                    <pic:cNvPicPr>
                      <a:picLocks noChangeAspect="1"/>
                    </pic:cNvPicPr>
                  </pic:nvPicPr>
                  <pic:blipFill>
                    <a:blip r:embed="rId30"/>
                    <a:stretch>
                      <a:fillRect/>
                    </a:stretch>
                  </pic:blipFill>
                  <pic:spPr>
                    <a:xfrm>
                      <a:off x="0" y="0"/>
                      <a:ext cx="2419560" cy="1861200"/>
                    </a:xfrm>
                    <a:prstGeom prst="rect">
                      <a:avLst/>
                    </a:prstGeom>
                  </pic:spPr>
                </pic:pic>
              </a:graphicData>
            </a:graphic>
          </wp:inline>
        </w:drawing>
      </w:r>
    </w:p>
    <w:p w14:paraId="474DF9DB"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图23、图24</w:t>
      </w:r>
      <w:r>
        <w:rPr>
          <w:rFonts w:ascii="黑体" w:eastAsia="黑体" w:hAnsi="黑体"/>
          <w:color w:val="000000"/>
          <w:szCs w:val="21"/>
        </w:rPr>
        <w:t xml:space="preserve"> HPb63-3、HPb62-3</w:t>
      </w:r>
      <w:r>
        <w:rPr>
          <w:rFonts w:ascii="黑体" w:eastAsia="黑体" w:hAnsi="黑体" w:hint="eastAsia"/>
          <w:color w:val="000000"/>
          <w:szCs w:val="21"/>
        </w:rPr>
        <w:t xml:space="preserve"> H02态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抗拉强度、伸长率</w:t>
      </w:r>
    </w:p>
    <w:p w14:paraId="1C8FA6D4"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146</w:t>
      </w:r>
      <w:r>
        <w:rPr>
          <w:rFonts w:ascii="Times New Roman" w:hAnsi="Times New Roman" w:cs="Times New Roman"/>
          <w:kern w:val="0"/>
          <w:szCs w:val="21"/>
        </w:rPr>
        <w:t>个，平均值</w:t>
      </w:r>
      <w:r>
        <w:rPr>
          <w:rFonts w:ascii="Times New Roman" w:hAnsi="Times New Roman" w:cs="Times New Roman" w:hint="eastAsia"/>
          <w:kern w:val="0"/>
          <w:szCs w:val="21"/>
        </w:rPr>
        <w:t>484.08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37.5851</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98.73%</w:t>
      </w:r>
      <w:r>
        <w:rPr>
          <w:rFonts w:ascii="Times New Roman" w:hAnsi="Times New Roman" w:cs="Times New Roman" w:hint="eastAsia"/>
          <w:kern w:val="0"/>
        </w:rPr>
        <w:t>。</w:t>
      </w:r>
    </w:p>
    <w:p w14:paraId="4DFFE42A"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146</w:t>
      </w:r>
      <w:r>
        <w:rPr>
          <w:rFonts w:ascii="Times New Roman" w:hAnsi="Times New Roman" w:cs="Times New Roman"/>
          <w:kern w:val="0"/>
        </w:rPr>
        <w:t>个，平均值</w:t>
      </w:r>
      <w:r>
        <w:rPr>
          <w:rFonts w:ascii="Times New Roman" w:hAnsi="Times New Roman" w:cs="Times New Roman" w:hint="eastAsia"/>
          <w:kern w:val="0"/>
        </w:rPr>
        <w:t>8.23</w:t>
      </w:r>
      <w:r>
        <w:rPr>
          <w:rFonts w:ascii="Times New Roman" w:hAnsi="Times New Roman" w:cs="Times New Roman"/>
          <w:kern w:val="0"/>
        </w:rPr>
        <w:t>，标准差</w:t>
      </w:r>
      <w:r>
        <w:rPr>
          <w:rFonts w:ascii="Times New Roman" w:hAnsi="Times New Roman" w:cs="Times New Roman" w:hint="eastAsia"/>
          <w:kern w:val="0"/>
        </w:rPr>
        <w:t>2.2214</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97.14%</w:t>
      </w:r>
      <w:r>
        <w:rPr>
          <w:rFonts w:ascii="Times New Roman" w:hAnsi="Times New Roman" w:cs="Times New Roman" w:hint="eastAsia"/>
          <w:kern w:val="0"/>
        </w:rPr>
        <w:t>。</w:t>
      </w:r>
    </w:p>
    <w:p w14:paraId="6CE0EE3B"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3.4.4.4 </w:t>
      </w:r>
      <w:r>
        <w:rPr>
          <w:rFonts w:ascii="黑体" w:eastAsia="黑体" w:hAnsi="黑体"/>
          <w:color w:val="000000"/>
          <w:szCs w:val="21"/>
        </w:rPr>
        <w:t>HPb63-3、HPb62-3</w:t>
      </w:r>
      <w:r>
        <w:rPr>
          <w:rFonts w:ascii="黑体" w:eastAsia="黑体" w:hAnsi="黑体" w:hint="eastAsia"/>
          <w:color w:val="000000"/>
          <w:szCs w:val="21"/>
        </w:rPr>
        <w:t xml:space="preserve"> H04态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0C203882"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121</w:t>
      </w:r>
      <w:r>
        <w:rPr>
          <w:rFonts w:ascii="Times New Roman" w:hAnsi="Times New Roman" w:cs="Times New Roman"/>
          <w:kern w:val="0"/>
          <w:szCs w:val="21"/>
        </w:rPr>
        <w:t>个，平均值</w:t>
      </w:r>
      <w:r>
        <w:rPr>
          <w:rFonts w:ascii="Times New Roman" w:hAnsi="Times New Roman" w:cs="Times New Roman" w:hint="eastAsia"/>
          <w:kern w:val="0"/>
          <w:szCs w:val="21"/>
        </w:rPr>
        <w:t>476.78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26.65</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430M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96.04%</w:t>
      </w:r>
      <w:r>
        <w:rPr>
          <w:rFonts w:ascii="Times New Roman" w:hAnsi="Times New Roman" w:cs="Times New Roman" w:hint="eastAsia"/>
          <w:kern w:val="0"/>
        </w:rPr>
        <w:t>。</w:t>
      </w:r>
    </w:p>
    <w:p w14:paraId="35F8C1A9" w14:textId="77777777" w:rsidR="004426E6" w:rsidRDefault="00000000">
      <w:pPr>
        <w:pStyle w:val="TOC1"/>
        <w:widowControl w:val="0"/>
        <w:adjustRightInd w:val="0"/>
        <w:ind w:firstLineChars="200" w:firstLine="420"/>
        <w:contextualSpacing/>
        <w:jc w:val="center"/>
        <w:textAlignment w:val="baseline"/>
        <w:rPr>
          <w:rFonts w:ascii="黑体" w:eastAsia="黑体" w:hAnsi="黑体" w:cs="黑体" w:hint="eastAsia"/>
          <w:caps/>
          <w:szCs w:val="21"/>
        </w:rPr>
      </w:pPr>
      <w:r>
        <w:rPr>
          <w:noProof/>
        </w:rPr>
        <w:drawing>
          <wp:inline distT="0" distB="0" distL="0" distR="0" wp14:anchorId="24050B03" wp14:editId="70843F6A">
            <wp:extent cx="2397125" cy="1861185"/>
            <wp:effectExtent l="0" t="0" r="3175" b="5715"/>
            <wp:docPr id="1735495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95601" name="图片 1"/>
                    <pic:cNvPicPr>
                      <a:picLocks noChangeAspect="1"/>
                    </pic:cNvPicPr>
                  </pic:nvPicPr>
                  <pic:blipFill>
                    <a:blip r:embed="rId31"/>
                    <a:stretch>
                      <a:fillRect/>
                    </a:stretch>
                  </pic:blipFill>
                  <pic:spPr>
                    <a:xfrm>
                      <a:off x="0" y="0"/>
                      <a:ext cx="2397527" cy="1861200"/>
                    </a:xfrm>
                    <a:prstGeom prst="rect">
                      <a:avLst/>
                    </a:prstGeom>
                  </pic:spPr>
                </pic:pic>
              </a:graphicData>
            </a:graphic>
          </wp:inline>
        </w:drawing>
      </w:r>
    </w:p>
    <w:p w14:paraId="3FE2A412"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图25</w:t>
      </w:r>
      <w:r>
        <w:rPr>
          <w:rFonts w:ascii="黑体" w:eastAsia="黑体" w:hAnsi="黑体"/>
          <w:color w:val="000000"/>
          <w:szCs w:val="21"/>
        </w:rPr>
        <w:t xml:space="preserve"> HPb63-3、HPb62-3</w:t>
      </w:r>
      <w:r>
        <w:rPr>
          <w:rFonts w:ascii="黑体" w:eastAsia="黑体" w:hAnsi="黑体" w:hint="eastAsia"/>
          <w:color w:val="000000"/>
          <w:szCs w:val="21"/>
        </w:rPr>
        <w:t xml:space="preserve"> H04态</w:t>
      </w:r>
      <w:r>
        <w:rPr>
          <w:rFonts w:ascii="黑体" w:eastAsia="黑体" w:hAnsi="黑体"/>
          <w:color w:val="000000"/>
          <w:szCs w:val="21"/>
        </w:rPr>
        <w:t>（规格</w:t>
      </w:r>
      <w:r>
        <w:rPr>
          <w:rFonts w:ascii="黑体" w:eastAsia="黑体" w:hAnsi="黑体" w:hint="eastAsia"/>
          <w:color w:val="000000"/>
          <w:szCs w:val="21"/>
        </w:rPr>
        <w:t>0.5-12.0</w:t>
      </w:r>
      <w:r>
        <w:rPr>
          <w:rFonts w:ascii="黑体" w:eastAsia="黑体" w:hAnsi="黑体"/>
          <w:color w:val="000000"/>
          <w:szCs w:val="21"/>
        </w:rPr>
        <w:t>）</w:t>
      </w:r>
      <w:r>
        <w:rPr>
          <w:rFonts w:ascii="黑体" w:eastAsia="黑体" w:hAnsi="黑体" w:hint="eastAsia"/>
          <w:color w:val="000000"/>
          <w:szCs w:val="21"/>
        </w:rPr>
        <w:t>抗拉强度</w:t>
      </w:r>
    </w:p>
    <w:p w14:paraId="2405843A"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3.4.5 </w:t>
      </w:r>
      <w:r>
        <w:rPr>
          <w:rFonts w:ascii="黑体" w:eastAsia="黑体" w:hAnsi="黑体"/>
          <w:color w:val="000000"/>
          <w:szCs w:val="21"/>
        </w:rPr>
        <w:t>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w:t>
      </w:r>
    </w:p>
    <w:p w14:paraId="02AE7C37"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3.4.5.1 </w:t>
      </w:r>
      <w:r>
        <w:rPr>
          <w:rFonts w:ascii="黑体" w:eastAsia="黑体" w:hAnsi="黑体"/>
          <w:color w:val="000000"/>
          <w:szCs w:val="21"/>
        </w:rPr>
        <w:t>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0AAFA8C0" w14:textId="77777777" w:rsidR="004426E6" w:rsidRDefault="00000000">
      <w:pPr>
        <w:pStyle w:val="a0"/>
        <w:jc w:val="center"/>
      </w:pPr>
      <w:r>
        <w:rPr>
          <w:noProof/>
        </w:rPr>
        <w:drawing>
          <wp:inline distT="0" distB="0" distL="0" distR="0" wp14:anchorId="1C81B0BC" wp14:editId="3665CD13">
            <wp:extent cx="2487930" cy="1861185"/>
            <wp:effectExtent l="0" t="0" r="7620" b="5715"/>
            <wp:docPr id="14681077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07791" name="图片 1"/>
                    <pic:cNvPicPr>
                      <a:picLocks noChangeAspect="1"/>
                    </pic:cNvPicPr>
                  </pic:nvPicPr>
                  <pic:blipFill>
                    <a:blip r:embed="rId32"/>
                    <a:stretch>
                      <a:fillRect/>
                    </a:stretch>
                  </pic:blipFill>
                  <pic:spPr>
                    <a:xfrm>
                      <a:off x="0" y="0"/>
                      <a:ext cx="2488159" cy="1861200"/>
                    </a:xfrm>
                    <a:prstGeom prst="rect">
                      <a:avLst/>
                    </a:prstGeom>
                  </pic:spPr>
                </pic:pic>
              </a:graphicData>
            </a:graphic>
          </wp:inline>
        </w:drawing>
      </w:r>
      <w:r>
        <w:rPr>
          <w:noProof/>
        </w:rPr>
        <w:drawing>
          <wp:inline distT="0" distB="0" distL="0" distR="0" wp14:anchorId="7A793541" wp14:editId="16FCF946">
            <wp:extent cx="2449195" cy="1861185"/>
            <wp:effectExtent l="0" t="0" r="8255" b="5715"/>
            <wp:docPr id="6928695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69558" name="图片 1"/>
                    <pic:cNvPicPr>
                      <a:picLocks noChangeAspect="1"/>
                    </pic:cNvPicPr>
                  </pic:nvPicPr>
                  <pic:blipFill>
                    <a:blip r:embed="rId33"/>
                    <a:stretch>
                      <a:fillRect/>
                    </a:stretch>
                  </pic:blipFill>
                  <pic:spPr>
                    <a:xfrm>
                      <a:off x="0" y="0"/>
                      <a:ext cx="2449318" cy="1861200"/>
                    </a:xfrm>
                    <a:prstGeom prst="rect">
                      <a:avLst/>
                    </a:prstGeom>
                  </pic:spPr>
                </pic:pic>
              </a:graphicData>
            </a:graphic>
          </wp:inline>
        </w:drawing>
      </w:r>
    </w:p>
    <w:p w14:paraId="3BC9C108"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图26、图27</w:t>
      </w:r>
      <w:r>
        <w:rPr>
          <w:rFonts w:ascii="黑体" w:eastAsia="黑体" w:hAnsi="黑体"/>
          <w:color w:val="000000"/>
          <w:szCs w:val="21"/>
        </w:rPr>
        <w:t xml:space="preserve"> 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r>
        <w:rPr>
          <w:rFonts w:ascii="黑体" w:eastAsia="黑体" w:hAnsi="黑体" w:hint="eastAsia"/>
          <w:color w:val="000000"/>
          <w:szCs w:val="21"/>
        </w:rPr>
        <w:t>抗拉强度、伸长率</w:t>
      </w:r>
    </w:p>
    <w:p w14:paraId="02991A58"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162</w:t>
      </w:r>
      <w:r>
        <w:rPr>
          <w:rFonts w:ascii="Times New Roman" w:hAnsi="Times New Roman" w:cs="Times New Roman"/>
          <w:kern w:val="0"/>
          <w:szCs w:val="21"/>
        </w:rPr>
        <w:t>个，平均值</w:t>
      </w:r>
      <w:r>
        <w:rPr>
          <w:rFonts w:ascii="Times New Roman" w:hAnsi="Times New Roman" w:cs="Times New Roman" w:hint="eastAsia"/>
          <w:kern w:val="0"/>
          <w:szCs w:val="21"/>
        </w:rPr>
        <w:t>494.19</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24.3752</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lastRenderedPageBreak/>
        <w:t>≥</w:t>
      </w:r>
      <w:r>
        <w:rPr>
          <w:rFonts w:ascii="Times New Roman" w:hAnsi="Times New Roman" w:cs="Times New Roman" w:hint="eastAsia"/>
          <w:kern w:val="0"/>
        </w:rPr>
        <w:t>450M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96.51%</w:t>
      </w:r>
      <w:r>
        <w:rPr>
          <w:rFonts w:ascii="Times New Roman" w:hAnsi="Times New Roman" w:cs="Times New Roman" w:hint="eastAsia"/>
          <w:kern w:val="0"/>
        </w:rPr>
        <w:t>。</w:t>
      </w:r>
    </w:p>
    <w:p w14:paraId="46945106"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162</w:t>
      </w:r>
      <w:r>
        <w:rPr>
          <w:rFonts w:ascii="Times New Roman" w:hAnsi="Times New Roman" w:cs="Times New Roman"/>
          <w:kern w:val="0"/>
        </w:rPr>
        <w:t>个，平均值</w:t>
      </w:r>
      <w:r>
        <w:rPr>
          <w:rFonts w:ascii="Times New Roman" w:hAnsi="Times New Roman" w:cs="Times New Roman" w:hint="eastAsia"/>
          <w:kern w:val="0"/>
        </w:rPr>
        <w:t>9.48</w:t>
      </w:r>
      <w:r>
        <w:rPr>
          <w:rFonts w:ascii="Times New Roman" w:hAnsi="Times New Roman" w:cs="Times New Roman"/>
          <w:kern w:val="0"/>
        </w:rPr>
        <w:t>，标准差</w:t>
      </w:r>
      <w:r>
        <w:rPr>
          <w:rFonts w:ascii="Times New Roman" w:hAnsi="Times New Roman" w:cs="Times New Roman" w:hint="eastAsia"/>
          <w:kern w:val="0"/>
        </w:rPr>
        <w:t>1.9215</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96.50%</w:t>
      </w:r>
      <w:r>
        <w:rPr>
          <w:rFonts w:ascii="Times New Roman" w:hAnsi="Times New Roman" w:cs="Times New Roman" w:hint="eastAsia"/>
          <w:kern w:val="0"/>
        </w:rPr>
        <w:t>。</w:t>
      </w:r>
    </w:p>
    <w:p w14:paraId="3C6E486E" w14:textId="77777777"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3.4.5.2 </w:t>
      </w:r>
      <w:r>
        <w:rPr>
          <w:rFonts w:ascii="黑体" w:eastAsia="黑体" w:hAnsi="黑体"/>
          <w:color w:val="000000"/>
          <w:szCs w:val="21"/>
        </w:rPr>
        <w:t>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p>
    <w:p w14:paraId="5D7F8BFF" w14:textId="77777777" w:rsidR="004426E6" w:rsidRDefault="00000000">
      <w:pPr>
        <w:pStyle w:val="a0"/>
        <w:jc w:val="center"/>
      </w:pPr>
      <w:r>
        <w:rPr>
          <w:noProof/>
        </w:rPr>
        <w:drawing>
          <wp:inline distT="0" distB="0" distL="0" distR="0" wp14:anchorId="01F3B33F" wp14:editId="7D302FEE">
            <wp:extent cx="2413000" cy="1861185"/>
            <wp:effectExtent l="0" t="0" r="6350" b="5715"/>
            <wp:docPr id="17043068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06822" name="图片 1"/>
                    <pic:cNvPicPr>
                      <a:picLocks noChangeAspect="1"/>
                    </pic:cNvPicPr>
                  </pic:nvPicPr>
                  <pic:blipFill>
                    <a:blip r:embed="rId34"/>
                    <a:stretch>
                      <a:fillRect/>
                    </a:stretch>
                  </pic:blipFill>
                  <pic:spPr>
                    <a:xfrm>
                      <a:off x="0" y="0"/>
                      <a:ext cx="2413545" cy="1861200"/>
                    </a:xfrm>
                    <a:prstGeom prst="rect">
                      <a:avLst/>
                    </a:prstGeom>
                  </pic:spPr>
                </pic:pic>
              </a:graphicData>
            </a:graphic>
          </wp:inline>
        </w:drawing>
      </w:r>
      <w:r>
        <w:rPr>
          <w:noProof/>
        </w:rPr>
        <w:drawing>
          <wp:inline distT="0" distB="0" distL="0" distR="0" wp14:anchorId="3CABB892" wp14:editId="22D4943B">
            <wp:extent cx="2430780" cy="1861185"/>
            <wp:effectExtent l="0" t="0" r="7620" b="5715"/>
            <wp:docPr id="15014499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49988" name="图片 1"/>
                    <pic:cNvPicPr>
                      <a:picLocks noChangeAspect="1"/>
                    </pic:cNvPicPr>
                  </pic:nvPicPr>
                  <pic:blipFill>
                    <a:blip r:embed="rId35"/>
                    <a:stretch>
                      <a:fillRect/>
                    </a:stretch>
                  </pic:blipFill>
                  <pic:spPr>
                    <a:xfrm>
                      <a:off x="0" y="0"/>
                      <a:ext cx="2430919" cy="1861200"/>
                    </a:xfrm>
                    <a:prstGeom prst="rect">
                      <a:avLst/>
                    </a:prstGeom>
                  </pic:spPr>
                </pic:pic>
              </a:graphicData>
            </a:graphic>
          </wp:inline>
        </w:drawing>
      </w:r>
    </w:p>
    <w:p w14:paraId="343075E2"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图28、图29</w:t>
      </w:r>
      <w:r>
        <w:rPr>
          <w:rFonts w:ascii="黑体" w:eastAsia="黑体" w:hAnsi="黑体"/>
          <w:color w:val="000000"/>
          <w:szCs w:val="21"/>
        </w:rPr>
        <w:t xml:space="preserve"> 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6DDD8A4F"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142</w:t>
      </w:r>
      <w:r>
        <w:rPr>
          <w:rFonts w:ascii="Times New Roman" w:hAnsi="Times New Roman" w:cs="Times New Roman"/>
          <w:kern w:val="0"/>
          <w:szCs w:val="21"/>
        </w:rPr>
        <w:t>个，平均值</w:t>
      </w:r>
      <w:r>
        <w:rPr>
          <w:rFonts w:ascii="Times New Roman" w:hAnsi="Times New Roman" w:cs="Times New Roman" w:hint="eastAsia"/>
          <w:kern w:val="0"/>
          <w:szCs w:val="21"/>
        </w:rPr>
        <w:t>468.77</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45.6175</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380M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97.42%</w:t>
      </w:r>
      <w:r>
        <w:rPr>
          <w:rFonts w:ascii="Times New Roman" w:hAnsi="Times New Roman" w:cs="Times New Roman" w:hint="eastAsia"/>
          <w:kern w:val="0"/>
        </w:rPr>
        <w:t>。</w:t>
      </w:r>
    </w:p>
    <w:p w14:paraId="670FFD8C"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142</w:t>
      </w:r>
      <w:r>
        <w:rPr>
          <w:rFonts w:ascii="Times New Roman" w:hAnsi="Times New Roman" w:cs="Times New Roman"/>
          <w:kern w:val="0"/>
        </w:rPr>
        <w:t>个，平均值</w:t>
      </w:r>
      <w:r>
        <w:rPr>
          <w:rFonts w:ascii="Times New Roman" w:hAnsi="Times New Roman" w:cs="Times New Roman" w:hint="eastAsia"/>
          <w:kern w:val="0"/>
        </w:rPr>
        <w:t>9.42</w:t>
      </w:r>
      <w:r>
        <w:rPr>
          <w:rFonts w:ascii="Times New Roman" w:hAnsi="Times New Roman" w:cs="Times New Roman"/>
          <w:kern w:val="0"/>
        </w:rPr>
        <w:t>，标准差</w:t>
      </w:r>
      <w:r>
        <w:rPr>
          <w:rFonts w:ascii="Times New Roman" w:hAnsi="Times New Roman" w:cs="Times New Roman" w:hint="eastAsia"/>
          <w:kern w:val="0"/>
        </w:rPr>
        <w:t>2.0082</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95.58%</w:t>
      </w:r>
      <w:r>
        <w:rPr>
          <w:rFonts w:ascii="Times New Roman" w:hAnsi="Times New Roman" w:cs="Times New Roman" w:hint="eastAsia"/>
          <w:kern w:val="0"/>
        </w:rPr>
        <w:t>。</w:t>
      </w:r>
    </w:p>
    <w:p w14:paraId="6558F24C" w14:textId="77777777" w:rsidR="004426E6" w:rsidRDefault="00000000">
      <w:pPr>
        <w:spacing w:line="380" w:lineRule="exact"/>
        <w:ind w:firstLineChars="200" w:firstLine="420"/>
        <w:jc w:val="left"/>
        <w:rPr>
          <w:rFonts w:ascii="Times New Roman" w:eastAsia="宋体" w:hAnsi="Times New Roman" w:cs="Times New Roman"/>
          <w:kern w:val="0"/>
          <w:szCs w:val="21"/>
        </w:rPr>
      </w:pPr>
      <w:r>
        <w:rPr>
          <w:rFonts w:ascii="黑体" w:eastAsia="黑体" w:hAnsi="黑体" w:cs="黑体" w:hint="eastAsia"/>
          <w:caps/>
          <w:szCs w:val="21"/>
        </w:rPr>
        <w:t>3</w:t>
      </w:r>
      <w:r>
        <w:rPr>
          <w:rFonts w:ascii="黑体" w:eastAsia="黑体" w:hAnsi="黑体" w:hint="eastAsia"/>
          <w:color w:val="000000"/>
          <w:szCs w:val="21"/>
        </w:rPr>
        <w:t xml:space="preserve">.4.5.3 </w:t>
      </w:r>
      <w:r>
        <w:rPr>
          <w:rFonts w:ascii="黑体" w:eastAsia="黑体" w:hAnsi="黑体"/>
          <w:color w:val="000000"/>
          <w:szCs w:val="21"/>
        </w:rPr>
        <w:t>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H02态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11F75451" w14:textId="77777777" w:rsidR="004426E6" w:rsidRDefault="00000000">
      <w:pPr>
        <w:pStyle w:val="a0"/>
        <w:jc w:val="center"/>
      </w:pPr>
      <w:r>
        <w:rPr>
          <w:noProof/>
        </w:rPr>
        <w:drawing>
          <wp:inline distT="0" distB="0" distL="0" distR="0" wp14:anchorId="50475115" wp14:editId="5AFE6E91">
            <wp:extent cx="2440940" cy="1861185"/>
            <wp:effectExtent l="0" t="0" r="0" b="5715"/>
            <wp:docPr id="2548958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95851" name="图片 1"/>
                    <pic:cNvPicPr>
                      <a:picLocks noChangeAspect="1"/>
                    </pic:cNvPicPr>
                  </pic:nvPicPr>
                  <pic:blipFill>
                    <a:blip r:embed="rId36"/>
                    <a:stretch>
                      <a:fillRect/>
                    </a:stretch>
                  </pic:blipFill>
                  <pic:spPr>
                    <a:xfrm>
                      <a:off x="0" y="0"/>
                      <a:ext cx="2441235" cy="1861200"/>
                    </a:xfrm>
                    <a:prstGeom prst="rect">
                      <a:avLst/>
                    </a:prstGeom>
                  </pic:spPr>
                </pic:pic>
              </a:graphicData>
            </a:graphic>
          </wp:inline>
        </w:drawing>
      </w:r>
      <w:r>
        <w:rPr>
          <w:noProof/>
        </w:rPr>
        <w:drawing>
          <wp:inline distT="0" distB="0" distL="0" distR="0" wp14:anchorId="6DE485A4" wp14:editId="72E7E407">
            <wp:extent cx="2475230" cy="1861185"/>
            <wp:effectExtent l="0" t="0" r="1270" b="5715"/>
            <wp:docPr id="11471169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16901" name="图片 1"/>
                    <pic:cNvPicPr>
                      <a:picLocks noChangeAspect="1"/>
                    </pic:cNvPicPr>
                  </pic:nvPicPr>
                  <pic:blipFill>
                    <a:blip r:embed="rId37"/>
                    <a:stretch>
                      <a:fillRect/>
                    </a:stretch>
                  </pic:blipFill>
                  <pic:spPr>
                    <a:xfrm>
                      <a:off x="0" y="0"/>
                      <a:ext cx="2475470" cy="1861200"/>
                    </a:xfrm>
                    <a:prstGeom prst="rect">
                      <a:avLst/>
                    </a:prstGeom>
                  </pic:spPr>
                </pic:pic>
              </a:graphicData>
            </a:graphic>
          </wp:inline>
        </w:drawing>
      </w:r>
    </w:p>
    <w:p w14:paraId="1669DCF0"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图30、图31</w:t>
      </w:r>
      <w:r>
        <w:rPr>
          <w:rFonts w:ascii="黑体" w:eastAsia="黑体" w:hAnsi="黑体"/>
          <w:color w:val="000000"/>
          <w:szCs w:val="21"/>
        </w:rPr>
        <w:t xml:space="preserve"> 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H02态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抗拉强度、伸长率</w:t>
      </w:r>
    </w:p>
    <w:p w14:paraId="20543D2E"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142</w:t>
      </w:r>
      <w:r>
        <w:rPr>
          <w:rFonts w:ascii="Times New Roman" w:hAnsi="Times New Roman" w:cs="Times New Roman"/>
          <w:kern w:val="0"/>
          <w:szCs w:val="21"/>
        </w:rPr>
        <w:t>个，平均值</w:t>
      </w:r>
      <w:r>
        <w:rPr>
          <w:rFonts w:ascii="Times New Roman" w:hAnsi="Times New Roman" w:cs="Times New Roman" w:hint="eastAsia"/>
          <w:kern w:val="0"/>
          <w:szCs w:val="21"/>
        </w:rPr>
        <w:t>481.86</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37.0050</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385M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99.56%</w:t>
      </w:r>
      <w:r>
        <w:rPr>
          <w:rFonts w:ascii="Times New Roman" w:hAnsi="Times New Roman" w:cs="Times New Roman" w:hint="eastAsia"/>
          <w:kern w:val="0"/>
        </w:rPr>
        <w:t>。</w:t>
      </w:r>
    </w:p>
    <w:p w14:paraId="5ABBD2F2" w14:textId="5E6A3E32"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142</w:t>
      </w:r>
      <w:r>
        <w:rPr>
          <w:rFonts w:ascii="Times New Roman" w:hAnsi="Times New Roman" w:cs="Times New Roman"/>
          <w:kern w:val="0"/>
        </w:rPr>
        <w:t>个，平均值</w:t>
      </w:r>
      <w:r>
        <w:rPr>
          <w:rFonts w:ascii="Times New Roman" w:hAnsi="Times New Roman" w:cs="Times New Roman" w:hint="eastAsia"/>
          <w:kern w:val="0"/>
        </w:rPr>
        <w:t>11.88</w:t>
      </w:r>
      <w:r>
        <w:rPr>
          <w:rFonts w:ascii="Times New Roman" w:hAnsi="Times New Roman" w:cs="Times New Roman"/>
          <w:kern w:val="0"/>
        </w:rPr>
        <w:t>，标准差</w:t>
      </w:r>
      <w:r>
        <w:rPr>
          <w:rFonts w:ascii="Times New Roman" w:hAnsi="Times New Roman" w:cs="Times New Roman" w:hint="eastAsia"/>
          <w:kern w:val="0"/>
        </w:rPr>
        <w:t>1.9911</w:t>
      </w:r>
      <w:r>
        <w:rPr>
          <w:rFonts w:ascii="Times New Roman" w:hAnsi="Times New Roman" w:cs="Times New Roman"/>
          <w:kern w:val="0"/>
        </w:rPr>
        <w:t>。当标准指标定为</w:t>
      </w:r>
      <w:r>
        <w:rPr>
          <w:rFonts w:ascii="Times New Roman" w:hAnsi="Times New Roman" w:cs="Times New Roman"/>
          <w:kern w:val="0"/>
        </w:rPr>
        <w:t>≥</w:t>
      </w:r>
      <w:r w:rsidR="002D3B5E">
        <w:rPr>
          <w:rFonts w:ascii="Times New Roman" w:hAnsi="Times New Roman" w:cs="Times New Roman" w:hint="eastAsia"/>
          <w:kern w:val="0"/>
        </w:rPr>
        <w:t>8</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sidR="00E56906">
        <w:rPr>
          <w:rFonts w:ascii="Times New Roman" w:hAnsi="Times New Roman" w:cs="Times New Roman" w:hint="eastAsia"/>
          <w:kern w:val="0"/>
        </w:rPr>
        <w:t>97.43</w:t>
      </w:r>
      <w:r>
        <w:rPr>
          <w:rFonts w:ascii="Times New Roman" w:hAnsi="Times New Roman" w:cs="Times New Roman" w:hint="eastAsia"/>
          <w:kern w:val="0"/>
        </w:rPr>
        <w:t>%</w:t>
      </w:r>
      <w:r>
        <w:rPr>
          <w:rFonts w:ascii="Times New Roman" w:hAnsi="Times New Roman" w:cs="Times New Roman" w:hint="eastAsia"/>
          <w:kern w:val="0"/>
        </w:rPr>
        <w:t>。</w:t>
      </w:r>
    </w:p>
    <w:p w14:paraId="72986175"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3.4.5.4 </w:t>
      </w:r>
      <w:r>
        <w:rPr>
          <w:rFonts w:ascii="黑体" w:eastAsia="黑体" w:hAnsi="黑体"/>
          <w:color w:val="000000"/>
          <w:szCs w:val="21"/>
        </w:rPr>
        <w:t>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4E28A769" w14:textId="77777777" w:rsidR="004426E6" w:rsidRDefault="00000000">
      <w:pPr>
        <w:pStyle w:val="a0"/>
        <w:jc w:val="center"/>
      </w:pPr>
      <w:r>
        <w:rPr>
          <w:noProof/>
        </w:rPr>
        <w:lastRenderedPageBreak/>
        <w:drawing>
          <wp:inline distT="0" distB="0" distL="0" distR="0" wp14:anchorId="4523DFB2" wp14:editId="0C4992F3">
            <wp:extent cx="2514600" cy="1861185"/>
            <wp:effectExtent l="0" t="0" r="0" b="5715"/>
            <wp:docPr id="14283226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22605" name="图片 1"/>
                    <pic:cNvPicPr>
                      <a:picLocks noChangeAspect="1"/>
                    </pic:cNvPicPr>
                  </pic:nvPicPr>
                  <pic:blipFill>
                    <a:blip r:embed="rId38"/>
                    <a:stretch>
                      <a:fillRect/>
                    </a:stretch>
                  </pic:blipFill>
                  <pic:spPr>
                    <a:xfrm>
                      <a:off x="0" y="0"/>
                      <a:ext cx="2514744" cy="1861200"/>
                    </a:xfrm>
                    <a:prstGeom prst="rect">
                      <a:avLst/>
                    </a:prstGeom>
                  </pic:spPr>
                </pic:pic>
              </a:graphicData>
            </a:graphic>
          </wp:inline>
        </w:drawing>
      </w:r>
    </w:p>
    <w:p w14:paraId="689E14FF" w14:textId="77777777" w:rsidR="004426E6" w:rsidRDefault="00000000">
      <w:pPr>
        <w:ind w:firstLineChars="200" w:firstLine="360"/>
        <w:contextualSpacing/>
        <w:jc w:val="center"/>
        <w:rPr>
          <w:rFonts w:ascii="黑体" w:eastAsia="黑体" w:hAnsi="黑体" w:hint="eastAsia"/>
          <w:color w:val="000000"/>
          <w:sz w:val="18"/>
          <w:szCs w:val="18"/>
        </w:rPr>
      </w:pPr>
      <w:r>
        <w:rPr>
          <w:rFonts w:ascii="黑体" w:eastAsia="黑体" w:hAnsi="黑体" w:hint="eastAsia"/>
          <w:color w:val="000000"/>
          <w:sz w:val="18"/>
          <w:szCs w:val="18"/>
        </w:rPr>
        <w:t>图</w:t>
      </w:r>
      <w:r>
        <w:rPr>
          <w:rFonts w:ascii="黑体" w:eastAsia="黑体" w:hAnsi="黑体" w:hint="eastAsia"/>
          <w:color w:val="000000"/>
          <w:szCs w:val="21"/>
        </w:rPr>
        <w:t>32</w:t>
      </w:r>
      <w:r>
        <w:rPr>
          <w:rFonts w:ascii="黑体" w:eastAsia="黑体" w:hAnsi="黑体"/>
          <w:color w:val="000000"/>
          <w:szCs w:val="21"/>
        </w:rPr>
        <w:t xml:space="preserve"> 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5ADFB3A6"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152</w:t>
      </w:r>
      <w:r>
        <w:rPr>
          <w:rFonts w:ascii="Times New Roman" w:hAnsi="Times New Roman" w:cs="Times New Roman"/>
          <w:kern w:val="0"/>
          <w:szCs w:val="21"/>
        </w:rPr>
        <w:t>个，平均值</w:t>
      </w:r>
      <w:r>
        <w:rPr>
          <w:rFonts w:ascii="Times New Roman" w:hAnsi="Times New Roman" w:cs="Times New Roman" w:hint="eastAsia"/>
          <w:kern w:val="0"/>
          <w:szCs w:val="21"/>
        </w:rPr>
        <w:t>582.89</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28.2795</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530M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96.93%</w:t>
      </w:r>
      <w:r>
        <w:rPr>
          <w:rFonts w:ascii="Times New Roman" w:hAnsi="Times New Roman" w:cs="Times New Roman" w:hint="eastAsia"/>
          <w:kern w:val="0"/>
        </w:rPr>
        <w:t>。</w:t>
      </w:r>
    </w:p>
    <w:p w14:paraId="1F447915"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3.4.5.5 </w:t>
      </w:r>
      <w:r>
        <w:rPr>
          <w:rFonts w:ascii="黑体" w:eastAsia="黑体" w:hAnsi="黑体"/>
          <w:color w:val="000000"/>
          <w:szCs w:val="21"/>
        </w:rPr>
        <w:t>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H04态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p>
    <w:p w14:paraId="5027044B" w14:textId="77777777" w:rsidR="004426E6" w:rsidRDefault="00000000">
      <w:pPr>
        <w:pStyle w:val="a0"/>
        <w:jc w:val="center"/>
      </w:pPr>
      <w:r>
        <w:rPr>
          <w:noProof/>
        </w:rPr>
        <w:drawing>
          <wp:inline distT="0" distB="0" distL="0" distR="0" wp14:anchorId="7D971B3D" wp14:editId="28FCDE62">
            <wp:extent cx="2428875" cy="1861185"/>
            <wp:effectExtent l="0" t="0" r="9525" b="5715"/>
            <wp:docPr id="1622790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90460" name="图片 1"/>
                    <pic:cNvPicPr>
                      <a:picLocks noChangeAspect="1"/>
                    </pic:cNvPicPr>
                  </pic:nvPicPr>
                  <pic:blipFill>
                    <a:blip r:embed="rId39"/>
                    <a:stretch>
                      <a:fillRect/>
                    </a:stretch>
                  </pic:blipFill>
                  <pic:spPr>
                    <a:xfrm>
                      <a:off x="0" y="0"/>
                      <a:ext cx="2429019" cy="1861200"/>
                    </a:xfrm>
                    <a:prstGeom prst="rect">
                      <a:avLst/>
                    </a:prstGeom>
                  </pic:spPr>
                </pic:pic>
              </a:graphicData>
            </a:graphic>
          </wp:inline>
        </w:drawing>
      </w:r>
      <w:r>
        <w:rPr>
          <w:noProof/>
        </w:rPr>
        <w:drawing>
          <wp:inline distT="0" distB="0" distL="0" distR="0" wp14:anchorId="07EC2CBF" wp14:editId="0A7D5862">
            <wp:extent cx="2456180" cy="1861185"/>
            <wp:effectExtent l="0" t="0" r="1270" b="5715"/>
            <wp:docPr id="6468368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36829" name="图片 1"/>
                    <pic:cNvPicPr>
                      <a:picLocks noChangeAspect="1"/>
                    </pic:cNvPicPr>
                  </pic:nvPicPr>
                  <pic:blipFill>
                    <a:blip r:embed="rId40"/>
                    <a:stretch>
                      <a:fillRect/>
                    </a:stretch>
                  </pic:blipFill>
                  <pic:spPr>
                    <a:xfrm>
                      <a:off x="0" y="0"/>
                      <a:ext cx="2456290" cy="1861200"/>
                    </a:xfrm>
                    <a:prstGeom prst="rect">
                      <a:avLst/>
                    </a:prstGeom>
                  </pic:spPr>
                </pic:pic>
              </a:graphicData>
            </a:graphic>
          </wp:inline>
        </w:drawing>
      </w:r>
    </w:p>
    <w:p w14:paraId="442C2A57"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图33、图34</w:t>
      </w:r>
      <w:r>
        <w:rPr>
          <w:rFonts w:ascii="黑体" w:eastAsia="黑体" w:hAnsi="黑体"/>
          <w:color w:val="000000"/>
          <w:szCs w:val="21"/>
        </w:rPr>
        <w:t xml:space="preserve"> 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H04态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20E5D30D"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143</w:t>
      </w:r>
      <w:r>
        <w:rPr>
          <w:rFonts w:ascii="Times New Roman" w:hAnsi="Times New Roman" w:cs="Times New Roman"/>
          <w:kern w:val="0"/>
          <w:szCs w:val="21"/>
        </w:rPr>
        <w:t>个，平均值</w:t>
      </w:r>
      <w:r>
        <w:rPr>
          <w:rFonts w:ascii="Times New Roman" w:hAnsi="Times New Roman" w:cs="Times New Roman" w:hint="eastAsia"/>
          <w:kern w:val="0"/>
          <w:szCs w:val="21"/>
        </w:rPr>
        <w:t>576.07</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28.7110</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520M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97.46%</w:t>
      </w:r>
      <w:r>
        <w:rPr>
          <w:rFonts w:ascii="Times New Roman" w:hAnsi="Times New Roman" w:cs="Times New Roman" w:hint="eastAsia"/>
          <w:kern w:val="0"/>
        </w:rPr>
        <w:t>。</w:t>
      </w:r>
    </w:p>
    <w:p w14:paraId="2BDE6AF2"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143</w:t>
      </w:r>
      <w:r>
        <w:rPr>
          <w:rFonts w:ascii="Times New Roman" w:hAnsi="Times New Roman" w:cs="Times New Roman"/>
          <w:kern w:val="0"/>
        </w:rPr>
        <w:t>个，平均值</w:t>
      </w:r>
      <w:r>
        <w:rPr>
          <w:rFonts w:ascii="Times New Roman" w:hAnsi="Times New Roman" w:cs="Times New Roman" w:hint="eastAsia"/>
          <w:kern w:val="0"/>
        </w:rPr>
        <w:t>4.03</w:t>
      </w:r>
      <w:r>
        <w:rPr>
          <w:rFonts w:ascii="Times New Roman" w:hAnsi="Times New Roman" w:cs="Times New Roman"/>
          <w:kern w:val="0"/>
        </w:rPr>
        <w:t>，标准差</w:t>
      </w:r>
      <w:r>
        <w:rPr>
          <w:rFonts w:ascii="Times New Roman" w:hAnsi="Times New Roman" w:cs="Times New Roman" w:hint="eastAsia"/>
          <w:kern w:val="0"/>
        </w:rPr>
        <w:t>1.7878</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1</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95.48%</w:t>
      </w:r>
      <w:r>
        <w:rPr>
          <w:rFonts w:ascii="Times New Roman" w:hAnsi="Times New Roman" w:cs="Times New Roman" w:hint="eastAsia"/>
          <w:kern w:val="0"/>
        </w:rPr>
        <w:t>。</w:t>
      </w:r>
    </w:p>
    <w:p w14:paraId="0EB99BDC"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3.4.5.6 </w:t>
      </w:r>
      <w:r>
        <w:rPr>
          <w:rFonts w:ascii="黑体" w:eastAsia="黑体" w:hAnsi="黑体"/>
          <w:color w:val="000000"/>
          <w:szCs w:val="21"/>
        </w:rPr>
        <w:t>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H04态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1BB94795" w14:textId="77777777" w:rsidR="004426E6" w:rsidRDefault="00000000">
      <w:pPr>
        <w:pStyle w:val="a0"/>
        <w:jc w:val="center"/>
      </w:pPr>
      <w:r>
        <w:rPr>
          <w:noProof/>
        </w:rPr>
        <w:drawing>
          <wp:inline distT="0" distB="0" distL="0" distR="0" wp14:anchorId="05B45589" wp14:editId="72422981">
            <wp:extent cx="2449830" cy="1861185"/>
            <wp:effectExtent l="0" t="0" r="7620" b="5715"/>
            <wp:docPr id="1873299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9967" name="图片 1"/>
                    <pic:cNvPicPr>
                      <a:picLocks noChangeAspect="1"/>
                    </pic:cNvPicPr>
                  </pic:nvPicPr>
                  <pic:blipFill>
                    <a:blip r:embed="rId41"/>
                    <a:stretch>
                      <a:fillRect/>
                    </a:stretch>
                  </pic:blipFill>
                  <pic:spPr>
                    <a:xfrm>
                      <a:off x="0" y="0"/>
                      <a:ext cx="2450091" cy="1861200"/>
                    </a:xfrm>
                    <a:prstGeom prst="rect">
                      <a:avLst/>
                    </a:prstGeom>
                  </pic:spPr>
                </pic:pic>
              </a:graphicData>
            </a:graphic>
          </wp:inline>
        </w:drawing>
      </w:r>
      <w:r>
        <w:rPr>
          <w:noProof/>
        </w:rPr>
        <w:drawing>
          <wp:inline distT="0" distB="0" distL="0" distR="0" wp14:anchorId="6F3F37AA" wp14:editId="6747740F">
            <wp:extent cx="2522855" cy="1861185"/>
            <wp:effectExtent l="0" t="0" r="0" b="5715"/>
            <wp:docPr id="3940856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85641" name="图片 1"/>
                    <pic:cNvPicPr>
                      <a:picLocks noChangeAspect="1"/>
                    </pic:cNvPicPr>
                  </pic:nvPicPr>
                  <pic:blipFill>
                    <a:blip r:embed="rId42"/>
                    <a:stretch>
                      <a:fillRect/>
                    </a:stretch>
                  </pic:blipFill>
                  <pic:spPr>
                    <a:xfrm>
                      <a:off x="0" y="0"/>
                      <a:ext cx="2523323" cy="1861200"/>
                    </a:xfrm>
                    <a:prstGeom prst="rect">
                      <a:avLst/>
                    </a:prstGeom>
                  </pic:spPr>
                </pic:pic>
              </a:graphicData>
            </a:graphic>
          </wp:inline>
        </w:drawing>
      </w:r>
    </w:p>
    <w:p w14:paraId="5AFFA68E" w14:textId="77777777" w:rsidR="004426E6" w:rsidRDefault="00000000">
      <w:pPr>
        <w:ind w:firstLineChars="200" w:firstLine="420"/>
        <w:contextualSpacing/>
        <w:jc w:val="center"/>
        <w:rPr>
          <w:rFonts w:ascii="黑体" w:eastAsia="黑体" w:hAnsi="黑体" w:hint="eastAsia"/>
          <w:color w:val="000000"/>
          <w:szCs w:val="21"/>
        </w:rPr>
      </w:pPr>
      <w:r>
        <w:rPr>
          <w:rFonts w:ascii="黑体" w:eastAsia="黑体" w:hAnsi="黑体" w:hint="eastAsia"/>
          <w:color w:val="000000"/>
          <w:szCs w:val="21"/>
        </w:rPr>
        <w:t>图35、图36</w:t>
      </w:r>
      <w:r>
        <w:rPr>
          <w:rFonts w:ascii="黑体" w:eastAsia="黑体" w:hAnsi="黑体"/>
          <w:color w:val="000000"/>
          <w:szCs w:val="21"/>
        </w:rPr>
        <w:t xml:space="preserve"> HPb6</w:t>
      </w:r>
      <w:r>
        <w:rPr>
          <w:rFonts w:ascii="黑体" w:eastAsia="黑体" w:hAnsi="黑体" w:hint="eastAsia"/>
          <w:color w:val="000000"/>
          <w:szCs w:val="21"/>
        </w:rPr>
        <w:t>0</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1 H04态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抗拉强度、伸长率</w:t>
      </w:r>
    </w:p>
    <w:p w14:paraId="019D0784"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143</w:t>
      </w:r>
      <w:r>
        <w:rPr>
          <w:rFonts w:ascii="Times New Roman" w:hAnsi="Times New Roman" w:cs="Times New Roman"/>
          <w:kern w:val="0"/>
          <w:szCs w:val="21"/>
        </w:rPr>
        <w:t>个，平均值</w:t>
      </w:r>
      <w:r>
        <w:rPr>
          <w:rFonts w:ascii="Times New Roman" w:hAnsi="Times New Roman" w:cs="Times New Roman" w:hint="eastAsia"/>
          <w:kern w:val="0"/>
          <w:szCs w:val="21"/>
        </w:rPr>
        <w:t>574.95</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34.5574</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lastRenderedPageBreak/>
        <w:t>≥</w:t>
      </w:r>
      <w:r>
        <w:rPr>
          <w:rFonts w:ascii="Times New Roman" w:hAnsi="Times New Roman" w:cs="Times New Roman" w:hint="eastAsia"/>
          <w:kern w:val="0"/>
        </w:rPr>
        <w:t>500M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98.50%</w:t>
      </w:r>
      <w:r>
        <w:rPr>
          <w:rFonts w:ascii="Times New Roman" w:hAnsi="Times New Roman" w:cs="Times New Roman" w:hint="eastAsia"/>
          <w:kern w:val="0"/>
        </w:rPr>
        <w:t>。</w:t>
      </w:r>
    </w:p>
    <w:p w14:paraId="08C98DE5"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143</w:t>
      </w:r>
      <w:r>
        <w:rPr>
          <w:rFonts w:ascii="Times New Roman" w:hAnsi="Times New Roman" w:cs="Times New Roman"/>
          <w:kern w:val="0"/>
        </w:rPr>
        <w:t>个，平均值</w:t>
      </w:r>
      <w:r>
        <w:rPr>
          <w:rFonts w:ascii="Times New Roman" w:hAnsi="Times New Roman" w:cs="Times New Roman" w:hint="eastAsia"/>
          <w:kern w:val="0"/>
        </w:rPr>
        <w:t>4.17</w:t>
      </w:r>
      <w:r>
        <w:rPr>
          <w:rFonts w:ascii="Times New Roman" w:hAnsi="Times New Roman" w:cs="Times New Roman"/>
          <w:kern w:val="0"/>
        </w:rPr>
        <w:t>，标准差</w:t>
      </w:r>
      <w:r>
        <w:rPr>
          <w:rFonts w:ascii="Times New Roman" w:hAnsi="Times New Roman" w:cs="Times New Roman" w:hint="eastAsia"/>
          <w:kern w:val="0"/>
        </w:rPr>
        <w:t>1.8576</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1</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95.59%</w:t>
      </w:r>
      <w:r>
        <w:rPr>
          <w:rFonts w:ascii="Times New Roman" w:hAnsi="Times New Roman" w:cs="Times New Roman" w:hint="eastAsia"/>
          <w:kern w:val="0"/>
        </w:rPr>
        <w:t>。</w:t>
      </w:r>
    </w:p>
    <w:p w14:paraId="7B5F0649"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3.4.6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3</w:t>
      </w:r>
    </w:p>
    <w:p w14:paraId="078129F7"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3.4.6.1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3 H02态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0D34FF4D" w14:textId="77777777" w:rsidR="004426E6" w:rsidRDefault="00000000">
      <w:pPr>
        <w:pStyle w:val="a0"/>
        <w:jc w:val="center"/>
      </w:pPr>
      <w:r>
        <w:rPr>
          <w:noProof/>
        </w:rPr>
        <w:drawing>
          <wp:inline distT="0" distB="0" distL="0" distR="0" wp14:anchorId="3B3C54AB" wp14:editId="1488E935">
            <wp:extent cx="2432685" cy="1861185"/>
            <wp:effectExtent l="0" t="0" r="5715" b="5715"/>
            <wp:docPr id="1591977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77926" name="图片 1"/>
                    <pic:cNvPicPr>
                      <a:picLocks noChangeAspect="1"/>
                    </pic:cNvPicPr>
                  </pic:nvPicPr>
                  <pic:blipFill>
                    <a:blip r:embed="rId43"/>
                    <a:stretch>
                      <a:fillRect/>
                    </a:stretch>
                  </pic:blipFill>
                  <pic:spPr>
                    <a:xfrm>
                      <a:off x="0" y="0"/>
                      <a:ext cx="2432823" cy="1861200"/>
                    </a:xfrm>
                    <a:prstGeom prst="rect">
                      <a:avLst/>
                    </a:prstGeom>
                  </pic:spPr>
                </pic:pic>
              </a:graphicData>
            </a:graphic>
          </wp:inline>
        </w:drawing>
      </w:r>
      <w:r>
        <w:rPr>
          <w:noProof/>
        </w:rPr>
        <w:drawing>
          <wp:inline distT="0" distB="0" distL="0" distR="0" wp14:anchorId="63675BDC" wp14:editId="0F3BFD50">
            <wp:extent cx="2488565" cy="1861185"/>
            <wp:effectExtent l="0" t="0" r="6985" b="5715"/>
            <wp:docPr id="6791405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40557" name="图片 1"/>
                    <pic:cNvPicPr>
                      <a:picLocks noChangeAspect="1"/>
                    </pic:cNvPicPr>
                  </pic:nvPicPr>
                  <pic:blipFill>
                    <a:blip r:embed="rId44"/>
                    <a:stretch>
                      <a:fillRect/>
                    </a:stretch>
                  </pic:blipFill>
                  <pic:spPr>
                    <a:xfrm>
                      <a:off x="0" y="0"/>
                      <a:ext cx="2488956" cy="1861200"/>
                    </a:xfrm>
                    <a:prstGeom prst="rect">
                      <a:avLst/>
                    </a:prstGeom>
                  </pic:spPr>
                </pic:pic>
              </a:graphicData>
            </a:graphic>
          </wp:inline>
        </w:drawing>
      </w:r>
    </w:p>
    <w:p w14:paraId="21E6E9C2"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t>图37、图38</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3 H02态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r>
        <w:rPr>
          <w:rFonts w:ascii="黑体" w:eastAsia="黑体" w:hAnsi="黑体" w:hint="eastAsia"/>
          <w:color w:val="000000"/>
          <w:szCs w:val="21"/>
        </w:rPr>
        <w:t>抗拉强度、伸长率</w:t>
      </w:r>
    </w:p>
    <w:p w14:paraId="01339D8F"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182</w:t>
      </w:r>
      <w:r>
        <w:rPr>
          <w:rFonts w:ascii="Times New Roman" w:hAnsi="Times New Roman" w:cs="Times New Roman"/>
          <w:kern w:val="0"/>
          <w:szCs w:val="21"/>
        </w:rPr>
        <w:t>个，平均值</w:t>
      </w:r>
      <w:r>
        <w:rPr>
          <w:rFonts w:ascii="Times New Roman" w:hAnsi="Times New Roman" w:cs="Times New Roman" w:hint="eastAsia"/>
          <w:kern w:val="0"/>
          <w:szCs w:val="21"/>
        </w:rPr>
        <w:t>456.25</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41.9902</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385M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95.51%</w:t>
      </w:r>
      <w:r>
        <w:rPr>
          <w:rFonts w:ascii="Times New Roman" w:hAnsi="Times New Roman" w:cs="Times New Roman" w:hint="eastAsia"/>
          <w:kern w:val="0"/>
        </w:rPr>
        <w:t>。</w:t>
      </w:r>
    </w:p>
    <w:p w14:paraId="34302C99"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182</w:t>
      </w:r>
      <w:r>
        <w:rPr>
          <w:rFonts w:ascii="Times New Roman" w:hAnsi="Times New Roman" w:cs="Times New Roman"/>
          <w:kern w:val="0"/>
        </w:rPr>
        <w:t>个，平均值</w:t>
      </w:r>
      <w:r>
        <w:rPr>
          <w:rFonts w:ascii="Times New Roman" w:hAnsi="Times New Roman" w:cs="Times New Roman" w:hint="eastAsia"/>
          <w:kern w:val="0"/>
        </w:rPr>
        <w:t>13.25</w:t>
      </w:r>
      <w:r>
        <w:rPr>
          <w:rFonts w:ascii="Times New Roman" w:hAnsi="Times New Roman" w:cs="Times New Roman"/>
          <w:kern w:val="0"/>
        </w:rPr>
        <w:t>，标准差</w:t>
      </w:r>
      <w:r>
        <w:rPr>
          <w:rFonts w:ascii="Times New Roman" w:hAnsi="Times New Roman" w:cs="Times New Roman" w:hint="eastAsia"/>
          <w:kern w:val="0"/>
        </w:rPr>
        <w:t>3.0265</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8</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95.85%</w:t>
      </w:r>
      <w:r>
        <w:rPr>
          <w:rFonts w:ascii="Times New Roman" w:hAnsi="Times New Roman" w:cs="Times New Roman" w:hint="eastAsia"/>
          <w:kern w:val="0"/>
        </w:rPr>
        <w:t>。</w:t>
      </w:r>
    </w:p>
    <w:p w14:paraId="372BC585"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3.4.6.2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3 H02态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p>
    <w:p w14:paraId="6C904C9A" w14:textId="77777777" w:rsidR="004426E6" w:rsidRDefault="00000000">
      <w:pPr>
        <w:pStyle w:val="a0"/>
        <w:jc w:val="center"/>
      </w:pPr>
      <w:r>
        <w:rPr>
          <w:noProof/>
        </w:rPr>
        <w:drawing>
          <wp:inline distT="0" distB="0" distL="0" distR="0" wp14:anchorId="0B71993E" wp14:editId="20109553">
            <wp:extent cx="2477770" cy="1861185"/>
            <wp:effectExtent l="0" t="0" r="0" b="5715"/>
            <wp:docPr id="20753579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57931" name="图片 1"/>
                    <pic:cNvPicPr>
                      <a:picLocks noChangeAspect="1"/>
                    </pic:cNvPicPr>
                  </pic:nvPicPr>
                  <pic:blipFill>
                    <a:blip r:embed="rId45"/>
                    <a:stretch>
                      <a:fillRect/>
                    </a:stretch>
                  </pic:blipFill>
                  <pic:spPr>
                    <a:xfrm>
                      <a:off x="0" y="0"/>
                      <a:ext cx="2477839" cy="1861200"/>
                    </a:xfrm>
                    <a:prstGeom prst="rect">
                      <a:avLst/>
                    </a:prstGeom>
                  </pic:spPr>
                </pic:pic>
              </a:graphicData>
            </a:graphic>
          </wp:inline>
        </w:drawing>
      </w:r>
      <w:r>
        <w:rPr>
          <w:noProof/>
        </w:rPr>
        <w:drawing>
          <wp:inline distT="0" distB="0" distL="0" distR="0" wp14:anchorId="373D54AA" wp14:editId="46E5CA7C">
            <wp:extent cx="2494915" cy="1861185"/>
            <wp:effectExtent l="0" t="0" r="635" b="5715"/>
            <wp:docPr id="18103133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13364" name="图片 1"/>
                    <pic:cNvPicPr>
                      <a:picLocks noChangeAspect="1"/>
                    </pic:cNvPicPr>
                  </pic:nvPicPr>
                  <pic:blipFill>
                    <a:blip r:embed="rId46"/>
                    <a:stretch>
                      <a:fillRect/>
                    </a:stretch>
                  </pic:blipFill>
                  <pic:spPr>
                    <a:xfrm>
                      <a:off x="0" y="0"/>
                      <a:ext cx="2495353" cy="1861200"/>
                    </a:xfrm>
                    <a:prstGeom prst="rect">
                      <a:avLst/>
                    </a:prstGeom>
                  </pic:spPr>
                </pic:pic>
              </a:graphicData>
            </a:graphic>
          </wp:inline>
        </w:drawing>
      </w:r>
    </w:p>
    <w:p w14:paraId="1E65BEFF"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t>图39、图40</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3 H02态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25455FCA"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191</w:t>
      </w:r>
      <w:r>
        <w:rPr>
          <w:rFonts w:ascii="Times New Roman" w:hAnsi="Times New Roman" w:cs="Times New Roman"/>
          <w:kern w:val="0"/>
          <w:szCs w:val="21"/>
        </w:rPr>
        <w:t>个，平均值</w:t>
      </w:r>
      <w:r>
        <w:rPr>
          <w:rFonts w:ascii="Times New Roman" w:hAnsi="Times New Roman" w:cs="Times New Roman" w:hint="eastAsia"/>
          <w:kern w:val="0"/>
          <w:szCs w:val="21"/>
        </w:rPr>
        <w:t>469.02</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50.0776</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380M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96.23%</w:t>
      </w:r>
      <w:r>
        <w:rPr>
          <w:rFonts w:ascii="Times New Roman" w:hAnsi="Times New Roman" w:cs="Times New Roman" w:hint="eastAsia"/>
          <w:kern w:val="0"/>
        </w:rPr>
        <w:t>。</w:t>
      </w:r>
    </w:p>
    <w:p w14:paraId="717889B8"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191</w:t>
      </w:r>
      <w:r>
        <w:rPr>
          <w:rFonts w:ascii="Times New Roman" w:hAnsi="Times New Roman" w:cs="Times New Roman"/>
          <w:kern w:val="0"/>
        </w:rPr>
        <w:t>个，平均值</w:t>
      </w:r>
      <w:r>
        <w:rPr>
          <w:rFonts w:ascii="Times New Roman" w:hAnsi="Times New Roman" w:cs="Times New Roman" w:hint="eastAsia"/>
          <w:kern w:val="0"/>
        </w:rPr>
        <w:t>14.68</w:t>
      </w:r>
      <w:r>
        <w:rPr>
          <w:rFonts w:ascii="Times New Roman" w:hAnsi="Times New Roman" w:cs="Times New Roman"/>
          <w:kern w:val="0"/>
        </w:rPr>
        <w:t>，标准差</w:t>
      </w:r>
      <w:r>
        <w:rPr>
          <w:rFonts w:ascii="Times New Roman" w:hAnsi="Times New Roman" w:cs="Times New Roman" w:hint="eastAsia"/>
          <w:kern w:val="0"/>
        </w:rPr>
        <w:t>3.3447</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8</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97.71%</w:t>
      </w:r>
      <w:r>
        <w:rPr>
          <w:rFonts w:ascii="Times New Roman" w:hAnsi="Times New Roman" w:cs="Times New Roman" w:hint="eastAsia"/>
          <w:kern w:val="0"/>
        </w:rPr>
        <w:t>。</w:t>
      </w:r>
    </w:p>
    <w:p w14:paraId="384840AB"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3.4.6.3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3 H02态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6.0）</w:t>
      </w:r>
    </w:p>
    <w:p w14:paraId="15A747D0" w14:textId="77777777" w:rsidR="004426E6" w:rsidRDefault="00000000">
      <w:pPr>
        <w:pStyle w:val="a0"/>
        <w:jc w:val="center"/>
      </w:pPr>
      <w:r>
        <w:rPr>
          <w:noProof/>
        </w:rPr>
        <w:lastRenderedPageBreak/>
        <w:drawing>
          <wp:inline distT="0" distB="0" distL="0" distR="0" wp14:anchorId="7895D0E2" wp14:editId="267B6623">
            <wp:extent cx="2453005" cy="1861185"/>
            <wp:effectExtent l="0" t="0" r="4445" b="5715"/>
            <wp:docPr id="21290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454" name="图片 1"/>
                    <pic:cNvPicPr>
                      <a:picLocks noChangeAspect="1"/>
                    </pic:cNvPicPr>
                  </pic:nvPicPr>
                  <pic:blipFill>
                    <a:blip r:embed="rId47"/>
                    <a:stretch>
                      <a:fillRect/>
                    </a:stretch>
                  </pic:blipFill>
                  <pic:spPr>
                    <a:xfrm>
                      <a:off x="0" y="0"/>
                      <a:ext cx="2453186" cy="1861200"/>
                    </a:xfrm>
                    <a:prstGeom prst="rect">
                      <a:avLst/>
                    </a:prstGeom>
                  </pic:spPr>
                </pic:pic>
              </a:graphicData>
            </a:graphic>
          </wp:inline>
        </w:drawing>
      </w:r>
      <w:r>
        <w:rPr>
          <w:noProof/>
        </w:rPr>
        <w:drawing>
          <wp:inline distT="0" distB="0" distL="0" distR="0" wp14:anchorId="670A2641" wp14:editId="0B6A67C7">
            <wp:extent cx="2443480" cy="1861185"/>
            <wp:effectExtent l="0" t="0" r="0" b="5715"/>
            <wp:docPr id="1452178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78227" name="图片 1"/>
                    <pic:cNvPicPr>
                      <a:picLocks noChangeAspect="1"/>
                    </pic:cNvPicPr>
                  </pic:nvPicPr>
                  <pic:blipFill>
                    <a:blip r:embed="rId48"/>
                    <a:stretch>
                      <a:fillRect/>
                    </a:stretch>
                  </pic:blipFill>
                  <pic:spPr>
                    <a:xfrm>
                      <a:off x="0" y="0"/>
                      <a:ext cx="2443539" cy="1861200"/>
                    </a:xfrm>
                    <a:prstGeom prst="rect">
                      <a:avLst/>
                    </a:prstGeom>
                  </pic:spPr>
                </pic:pic>
              </a:graphicData>
            </a:graphic>
          </wp:inline>
        </w:drawing>
      </w:r>
    </w:p>
    <w:p w14:paraId="1BB50244"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t>图41、图42</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Pr>
          <w:rFonts w:ascii="黑体" w:eastAsia="黑体" w:hAnsi="黑体"/>
          <w:color w:val="000000"/>
          <w:szCs w:val="21"/>
        </w:rPr>
        <w:t>H</w:t>
      </w:r>
      <w:r>
        <w:rPr>
          <w:rFonts w:ascii="黑体" w:eastAsia="黑体" w:hAnsi="黑体" w:hint="eastAsia"/>
          <w:color w:val="000000"/>
          <w:szCs w:val="21"/>
        </w:rPr>
        <w:t>02态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46E5BE75"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144</w:t>
      </w:r>
      <w:r>
        <w:rPr>
          <w:rFonts w:ascii="Times New Roman" w:hAnsi="Times New Roman" w:cs="Times New Roman"/>
          <w:kern w:val="0"/>
          <w:szCs w:val="21"/>
        </w:rPr>
        <w:t>个，平均值</w:t>
      </w:r>
      <w:r>
        <w:rPr>
          <w:rFonts w:ascii="Times New Roman" w:hAnsi="Times New Roman" w:cs="Times New Roman" w:hint="eastAsia"/>
          <w:kern w:val="0"/>
          <w:szCs w:val="21"/>
        </w:rPr>
        <w:t>451.01</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33.2591</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370M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99.26%</w:t>
      </w:r>
      <w:r>
        <w:rPr>
          <w:rFonts w:ascii="Times New Roman" w:hAnsi="Times New Roman" w:cs="Times New Roman" w:hint="eastAsia"/>
          <w:kern w:val="0"/>
        </w:rPr>
        <w:t>。</w:t>
      </w:r>
    </w:p>
    <w:p w14:paraId="76C85C47" w14:textId="49D13C9D"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144</w:t>
      </w:r>
      <w:r>
        <w:rPr>
          <w:rFonts w:ascii="Times New Roman" w:hAnsi="Times New Roman" w:cs="Times New Roman"/>
          <w:kern w:val="0"/>
        </w:rPr>
        <w:t>个，平均值</w:t>
      </w:r>
      <w:r>
        <w:rPr>
          <w:rFonts w:ascii="Times New Roman" w:hAnsi="Times New Roman" w:cs="Times New Roman" w:hint="eastAsia"/>
          <w:kern w:val="0"/>
        </w:rPr>
        <w:t>15.33</w:t>
      </w:r>
      <w:r>
        <w:rPr>
          <w:rFonts w:ascii="Times New Roman" w:hAnsi="Times New Roman" w:cs="Times New Roman"/>
          <w:kern w:val="0"/>
        </w:rPr>
        <w:t>，标准差</w:t>
      </w:r>
      <w:r>
        <w:rPr>
          <w:rFonts w:ascii="Times New Roman" w:hAnsi="Times New Roman" w:cs="Times New Roman" w:hint="eastAsia"/>
          <w:kern w:val="0"/>
        </w:rPr>
        <w:t>3.9825</w:t>
      </w:r>
      <w:r>
        <w:rPr>
          <w:rFonts w:ascii="Times New Roman" w:hAnsi="Times New Roman" w:cs="Times New Roman"/>
          <w:kern w:val="0"/>
        </w:rPr>
        <w:t>。当标准指标定为</w:t>
      </w:r>
      <w:r>
        <w:rPr>
          <w:rFonts w:ascii="Times New Roman" w:hAnsi="Times New Roman" w:cs="Times New Roman"/>
          <w:kern w:val="0"/>
        </w:rPr>
        <w:t>≥</w:t>
      </w:r>
      <w:r w:rsidR="002D3B5E">
        <w:rPr>
          <w:rFonts w:ascii="Times New Roman" w:hAnsi="Times New Roman" w:cs="Times New Roman" w:hint="eastAsia"/>
          <w:kern w:val="0"/>
        </w:rPr>
        <w:t>6</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sidR="002D3B5E">
        <w:rPr>
          <w:rFonts w:ascii="Times New Roman" w:hAnsi="Times New Roman" w:cs="Times New Roman" w:hint="eastAsia"/>
          <w:kern w:val="0"/>
        </w:rPr>
        <w:t>99.05</w:t>
      </w:r>
      <w:r>
        <w:rPr>
          <w:rFonts w:ascii="Times New Roman" w:hAnsi="Times New Roman" w:cs="Times New Roman" w:hint="eastAsia"/>
          <w:kern w:val="0"/>
        </w:rPr>
        <w:t>%</w:t>
      </w:r>
      <w:r>
        <w:rPr>
          <w:rFonts w:ascii="Times New Roman" w:hAnsi="Times New Roman" w:cs="Times New Roman" w:hint="eastAsia"/>
          <w:kern w:val="0"/>
        </w:rPr>
        <w:t>。</w:t>
      </w:r>
    </w:p>
    <w:p w14:paraId="173B30DD"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3.4.6.4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3 H02态</w:t>
      </w:r>
      <w:r>
        <w:rPr>
          <w:rFonts w:ascii="黑体" w:eastAsia="黑体" w:hAnsi="黑体"/>
          <w:color w:val="000000"/>
          <w:szCs w:val="21"/>
        </w:rPr>
        <w:t>（规格</w:t>
      </w:r>
      <w:r>
        <w:rPr>
          <w:rFonts w:ascii="黑体" w:eastAsia="黑体" w:hAnsi="黑体" w:hint="eastAsia"/>
          <w:color w:val="000000"/>
          <w:szCs w:val="21"/>
        </w:rPr>
        <w:t>6.0</w:t>
      </w:r>
      <w:r>
        <w:rPr>
          <w:rFonts w:ascii="黑体" w:eastAsia="黑体" w:hAnsi="黑体"/>
          <w:color w:val="000000"/>
          <w:szCs w:val="21"/>
        </w:rPr>
        <w:t>-</w:t>
      </w:r>
      <w:r>
        <w:rPr>
          <w:rFonts w:ascii="黑体" w:eastAsia="黑体" w:hAnsi="黑体" w:hint="eastAsia"/>
          <w:color w:val="000000"/>
          <w:szCs w:val="21"/>
        </w:rPr>
        <w:t>12.0）</w:t>
      </w:r>
    </w:p>
    <w:p w14:paraId="651C7DDC" w14:textId="77777777" w:rsidR="004426E6" w:rsidRDefault="00000000">
      <w:pPr>
        <w:pStyle w:val="a0"/>
        <w:jc w:val="center"/>
      </w:pPr>
      <w:r>
        <w:rPr>
          <w:noProof/>
        </w:rPr>
        <w:drawing>
          <wp:inline distT="0" distB="0" distL="0" distR="0" wp14:anchorId="0C1C00CF" wp14:editId="2957AB90">
            <wp:extent cx="2609215" cy="1861185"/>
            <wp:effectExtent l="0" t="0" r="635" b="5715"/>
            <wp:docPr id="467290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9027" name="图片 1"/>
                    <pic:cNvPicPr>
                      <a:picLocks noChangeAspect="1"/>
                    </pic:cNvPicPr>
                  </pic:nvPicPr>
                  <pic:blipFill>
                    <a:blip r:embed="rId49"/>
                    <a:stretch>
                      <a:fillRect/>
                    </a:stretch>
                  </pic:blipFill>
                  <pic:spPr>
                    <a:xfrm>
                      <a:off x="0" y="0"/>
                      <a:ext cx="2609808" cy="1861200"/>
                    </a:xfrm>
                    <a:prstGeom prst="rect">
                      <a:avLst/>
                    </a:prstGeom>
                  </pic:spPr>
                </pic:pic>
              </a:graphicData>
            </a:graphic>
          </wp:inline>
        </w:drawing>
      </w:r>
      <w:r>
        <w:rPr>
          <w:noProof/>
        </w:rPr>
        <w:drawing>
          <wp:inline distT="0" distB="0" distL="0" distR="0" wp14:anchorId="235D8D27" wp14:editId="56FCE2D7">
            <wp:extent cx="2426970" cy="1861185"/>
            <wp:effectExtent l="0" t="0" r="0" b="5715"/>
            <wp:docPr id="16498943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94300" name="图片 1"/>
                    <pic:cNvPicPr>
                      <a:picLocks noChangeAspect="1"/>
                    </pic:cNvPicPr>
                  </pic:nvPicPr>
                  <pic:blipFill>
                    <a:blip r:embed="rId50"/>
                    <a:stretch>
                      <a:fillRect/>
                    </a:stretch>
                  </pic:blipFill>
                  <pic:spPr>
                    <a:xfrm>
                      <a:off x="0" y="0"/>
                      <a:ext cx="2427121" cy="1861200"/>
                    </a:xfrm>
                    <a:prstGeom prst="rect">
                      <a:avLst/>
                    </a:prstGeom>
                  </pic:spPr>
                </pic:pic>
              </a:graphicData>
            </a:graphic>
          </wp:inline>
        </w:drawing>
      </w:r>
    </w:p>
    <w:p w14:paraId="67B2A776"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t>图43、图44</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Pr>
          <w:rFonts w:ascii="黑体" w:eastAsia="黑体" w:hAnsi="黑体"/>
          <w:color w:val="000000"/>
          <w:szCs w:val="21"/>
        </w:rPr>
        <w:t>H</w:t>
      </w:r>
      <w:r>
        <w:rPr>
          <w:rFonts w:ascii="黑体" w:eastAsia="黑体" w:hAnsi="黑体" w:hint="eastAsia"/>
          <w:color w:val="000000"/>
          <w:szCs w:val="21"/>
        </w:rPr>
        <w:t>02态</w:t>
      </w:r>
      <w:r>
        <w:rPr>
          <w:rFonts w:ascii="黑体" w:eastAsia="黑体" w:hAnsi="黑体"/>
          <w:color w:val="000000"/>
          <w:szCs w:val="21"/>
        </w:rPr>
        <w:t>（规格</w:t>
      </w:r>
      <w:r>
        <w:rPr>
          <w:rFonts w:ascii="黑体" w:eastAsia="黑体" w:hAnsi="黑体" w:hint="eastAsia"/>
          <w:color w:val="000000"/>
          <w:szCs w:val="21"/>
        </w:rPr>
        <w:t>6.0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抗拉强度、伸长率</w:t>
      </w:r>
    </w:p>
    <w:p w14:paraId="4596D9A5"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131</w:t>
      </w:r>
      <w:r>
        <w:rPr>
          <w:rFonts w:ascii="Times New Roman" w:hAnsi="Times New Roman" w:cs="Times New Roman"/>
          <w:kern w:val="0"/>
          <w:szCs w:val="21"/>
        </w:rPr>
        <w:t>个，平均值</w:t>
      </w:r>
      <w:r>
        <w:rPr>
          <w:rFonts w:ascii="Times New Roman" w:hAnsi="Times New Roman" w:cs="Times New Roman" w:hint="eastAsia"/>
          <w:kern w:val="0"/>
          <w:szCs w:val="21"/>
        </w:rPr>
        <w:t>447.06</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32.3497</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360M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99.64%</w:t>
      </w:r>
      <w:r>
        <w:rPr>
          <w:rFonts w:ascii="Times New Roman" w:hAnsi="Times New Roman" w:cs="Times New Roman" w:hint="eastAsia"/>
          <w:kern w:val="0"/>
        </w:rPr>
        <w:t>。</w:t>
      </w:r>
    </w:p>
    <w:p w14:paraId="43607A02"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131</w:t>
      </w:r>
      <w:r>
        <w:rPr>
          <w:rFonts w:ascii="Times New Roman" w:hAnsi="Times New Roman" w:cs="Times New Roman"/>
          <w:kern w:val="0"/>
        </w:rPr>
        <w:t>个，平均值</w:t>
      </w:r>
      <w:r>
        <w:rPr>
          <w:rFonts w:ascii="Times New Roman" w:hAnsi="Times New Roman" w:cs="Times New Roman" w:hint="eastAsia"/>
          <w:kern w:val="0"/>
        </w:rPr>
        <w:t>15.55</w:t>
      </w:r>
      <w:r>
        <w:rPr>
          <w:rFonts w:ascii="Times New Roman" w:hAnsi="Times New Roman" w:cs="Times New Roman"/>
          <w:kern w:val="0"/>
        </w:rPr>
        <w:t>，标准差</w:t>
      </w:r>
      <w:r>
        <w:rPr>
          <w:rFonts w:ascii="Times New Roman" w:hAnsi="Times New Roman" w:cs="Times New Roman" w:hint="eastAsia"/>
          <w:kern w:val="0"/>
        </w:rPr>
        <w:t>3.8595</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8</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97.48%</w:t>
      </w:r>
      <w:r>
        <w:rPr>
          <w:rFonts w:ascii="Times New Roman" w:hAnsi="Times New Roman" w:cs="Times New Roman" w:hint="eastAsia"/>
          <w:kern w:val="0"/>
        </w:rPr>
        <w:t>。</w:t>
      </w:r>
    </w:p>
    <w:p w14:paraId="4728749E" w14:textId="7B0F2574"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3.4.6.5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sidR="002D3B5E">
        <w:rPr>
          <w:rFonts w:ascii="黑体" w:eastAsia="黑体" w:hAnsi="黑体" w:hint="eastAsia"/>
          <w:color w:val="000000"/>
          <w:szCs w:val="21"/>
        </w:rPr>
        <w:t>H04</w:t>
      </w:r>
      <w:r>
        <w:rPr>
          <w:rFonts w:ascii="黑体" w:eastAsia="黑体" w:hAnsi="黑体" w:hint="eastAsia"/>
          <w:color w:val="000000"/>
          <w:szCs w:val="21"/>
        </w:rPr>
        <w:t>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30DE9000" w14:textId="77777777" w:rsidR="004426E6" w:rsidRDefault="00000000">
      <w:pPr>
        <w:pStyle w:val="a0"/>
        <w:jc w:val="center"/>
      </w:pPr>
      <w:r>
        <w:rPr>
          <w:noProof/>
        </w:rPr>
        <w:drawing>
          <wp:inline distT="0" distB="0" distL="0" distR="0" wp14:anchorId="3E972B7F" wp14:editId="486C755D">
            <wp:extent cx="2479675" cy="1861185"/>
            <wp:effectExtent l="0" t="0" r="0" b="5715"/>
            <wp:docPr id="18903938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3873" name="图片 1"/>
                    <pic:cNvPicPr>
                      <a:picLocks noChangeAspect="1"/>
                    </pic:cNvPicPr>
                  </pic:nvPicPr>
                  <pic:blipFill>
                    <a:blip r:embed="rId51"/>
                    <a:stretch>
                      <a:fillRect/>
                    </a:stretch>
                  </pic:blipFill>
                  <pic:spPr>
                    <a:xfrm>
                      <a:off x="0" y="0"/>
                      <a:ext cx="2480213" cy="1861200"/>
                    </a:xfrm>
                    <a:prstGeom prst="rect">
                      <a:avLst/>
                    </a:prstGeom>
                  </pic:spPr>
                </pic:pic>
              </a:graphicData>
            </a:graphic>
          </wp:inline>
        </w:drawing>
      </w:r>
      <w:r>
        <w:rPr>
          <w:noProof/>
        </w:rPr>
        <w:drawing>
          <wp:inline distT="0" distB="0" distL="0" distR="0" wp14:anchorId="03DF3C8B" wp14:editId="2622461D">
            <wp:extent cx="2398395" cy="1861185"/>
            <wp:effectExtent l="0" t="0" r="1905" b="5715"/>
            <wp:docPr id="16796933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93328" name="图片 1"/>
                    <pic:cNvPicPr>
                      <a:picLocks noChangeAspect="1"/>
                    </pic:cNvPicPr>
                  </pic:nvPicPr>
                  <pic:blipFill>
                    <a:blip r:embed="rId52"/>
                    <a:stretch>
                      <a:fillRect/>
                    </a:stretch>
                  </pic:blipFill>
                  <pic:spPr>
                    <a:xfrm>
                      <a:off x="0" y="0"/>
                      <a:ext cx="2399008" cy="1861200"/>
                    </a:xfrm>
                    <a:prstGeom prst="rect">
                      <a:avLst/>
                    </a:prstGeom>
                  </pic:spPr>
                </pic:pic>
              </a:graphicData>
            </a:graphic>
          </wp:inline>
        </w:drawing>
      </w:r>
    </w:p>
    <w:p w14:paraId="5A1AFD03"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lastRenderedPageBreak/>
        <w:t>图45、图46</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Pr>
          <w:rFonts w:ascii="黑体" w:eastAsia="黑体" w:hAnsi="黑体"/>
          <w:color w:val="000000"/>
          <w:szCs w:val="21"/>
        </w:rPr>
        <w:t>H</w:t>
      </w:r>
      <w:r>
        <w:rPr>
          <w:rFonts w:ascii="黑体" w:eastAsia="黑体" w:hAnsi="黑体" w:hint="eastAsia"/>
          <w:color w:val="000000"/>
          <w:szCs w:val="21"/>
        </w:rPr>
        <w:t>04态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r>
        <w:rPr>
          <w:rFonts w:ascii="黑体" w:eastAsia="黑体" w:hAnsi="黑体" w:hint="eastAsia"/>
          <w:color w:val="000000"/>
          <w:szCs w:val="21"/>
        </w:rPr>
        <w:t>抗拉强度、伸长率</w:t>
      </w:r>
    </w:p>
    <w:p w14:paraId="760EBDE4"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166</w:t>
      </w:r>
      <w:r>
        <w:rPr>
          <w:rFonts w:ascii="Times New Roman" w:hAnsi="Times New Roman" w:cs="Times New Roman"/>
          <w:kern w:val="0"/>
          <w:szCs w:val="21"/>
        </w:rPr>
        <w:t>个，平均值</w:t>
      </w:r>
      <w:r>
        <w:rPr>
          <w:rFonts w:ascii="Times New Roman" w:hAnsi="Times New Roman" w:cs="Times New Roman" w:hint="eastAsia"/>
          <w:kern w:val="0"/>
          <w:szCs w:val="21"/>
        </w:rPr>
        <w:t>554.95</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40.3878</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480M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96.83%</w:t>
      </w:r>
      <w:r>
        <w:rPr>
          <w:rFonts w:ascii="Times New Roman" w:hAnsi="Times New Roman" w:cs="Times New Roman" w:hint="eastAsia"/>
          <w:kern w:val="0"/>
        </w:rPr>
        <w:t>。</w:t>
      </w:r>
    </w:p>
    <w:p w14:paraId="2E97D4A2" w14:textId="7777777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166</w:t>
      </w:r>
      <w:r>
        <w:rPr>
          <w:rFonts w:ascii="Times New Roman" w:hAnsi="Times New Roman" w:cs="Times New Roman"/>
          <w:kern w:val="0"/>
        </w:rPr>
        <w:t>个，平均值</w:t>
      </w:r>
      <w:r>
        <w:rPr>
          <w:rFonts w:ascii="Times New Roman" w:hAnsi="Times New Roman" w:cs="Times New Roman" w:hint="eastAsia"/>
          <w:kern w:val="0"/>
        </w:rPr>
        <w:t>4.76</w:t>
      </w:r>
      <w:r>
        <w:rPr>
          <w:rFonts w:ascii="Times New Roman" w:hAnsi="Times New Roman" w:cs="Times New Roman"/>
          <w:kern w:val="0"/>
        </w:rPr>
        <w:t>，标准差</w:t>
      </w:r>
      <w:r>
        <w:rPr>
          <w:rFonts w:ascii="Times New Roman" w:hAnsi="Times New Roman" w:cs="Times New Roman" w:hint="eastAsia"/>
          <w:kern w:val="0"/>
        </w:rPr>
        <w:t>1.6667</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1</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98.79%</w:t>
      </w:r>
      <w:r>
        <w:rPr>
          <w:rFonts w:ascii="Times New Roman" w:hAnsi="Times New Roman" w:cs="Times New Roman" w:hint="eastAsia"/>
          <w:kern w:val="0"/>
        </w:rPr>
        <w:t>。</w:t>
      </w:r>
    </w:p>
    <w:p w14:paraId="11C5079F" w14:textId="0F1CCBDA"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3.4.6.6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sidR="002D3B5E">
        <w:rPr>
          <w:rFonts w:ascii="黑体" w:eastAsia="黑体" w:hAnsi="黑体" w:hint="eastAsia"/>
          <w:color w:val="000000"/>
          <w:szCs w:val="21"/>
        </w:rPr>
        <w:t>H04</w:t>
      </w:r>
      <w:r>
        <w:rPr>
          <w:rFonts w:ascii="黑体" w:eastAsia="黑体" w:hAnsi="黑体" w:hint="eastAsia"/>
          <w:color w:val="000000"/>
          <w:szCs w:val="21"/>
        </w:rPr>
        <w:t>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p>
    <w:p w14:paraId="1EB941C4" w14:textId="77777777" w:rsidR="004426E6" w:rsidRDefault="00000000">
      <w:pPr>
        <w:pStyle w:val="a0"/>
        <w:jc w:val="center"/>
      </w:pPr>
      <w:r>
        <w:rPr>
          <w:noProof/>
        </w:rPr>
        <w:drawing>
          <wp:inline distT="0" distB="0" distL="0" distR="0" wp14:anchorId="0BE8810F" wp14:editId="71ABCA9A">
            <wp:extent cx="2469515" cy="1861185"/>
            <wp:effectExtent l="0" t="0" r="6985" b="5715"/>
            <wp:docPr id="13326679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67963" name="图片 1"/>
                    <pic:cNvPicPr>
                      <a:picLocks noChangeAspect="1"/>
                    </pic:cNvPicPr>
                  </pic:nvPicPr>
                  <pic:blipFill>
                    <a:blip r:embed="rId53"/>
                    <a:stretch>
                      <a:fillRect/>
                    </a:stretch>
                  </pic:blipFill>
                  <pic:spPr>
                    <a:xfrm>
                      <a:off x="0" y="0"/>
                      <a:ext cx="2469959" cy="1861200"/>
                    </a:xfrm>
                    <a:prstGeom prst="rect">
                      <a:avLst/>
                    </a:prstGeom>
                  </pic:spPr>
                </pic:pic>
              </a:graphicData>
            </a:graphic>
          </wp:inline>
        </w:drawing>
      </w:r>
      <w:r>
        <w:rPr>
          <w:noProof/>
        </w:rPr>
        <w:drawing>
          <wp:inline distT="0" distB="0" distL="0" distR="0" wp14:anchorId="668871F3" wp14:editId="1B8868CC">
            <wp:extent cx="2441575" cy="1861185"/>
            <wp:effectExtent l="0" t="0" r="0" b="5715"/>
            <wp:docPr id="139140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0145" name="图片 1"/>
                    <pic:cNvPicPr>
                      <a:picLocks noChangeAspect="1"/>
                    </pic:cNvPicPr>
                  </pic:nvPicPr>
                  <pic:blipFill>
                    <a:blip r:embed="rId54"/>
                    <a:stretch>
                      <a:fillRect/>
                    </a:stretch>
                  </pic:blipFill>
                  <pic:spPr>
                    <a:xfrm>
                      <a:off x="0" y="0"/>
                      <a:ext cx="2442002" cy="1861200"/>
                    </a:xfrm>
                    <a:prstGeom prst="rect">
                      <a:avLst/>
                    </a:prstGeom>
                  </pic:spPr>
                </pic:pic>
              </a:graphicData>
            </a:graphic>
          </wp:inline>
        </w:drawing>
      </w:r>
    </w:p>
    <w:p w14:paraId="3E343CE3"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t>图47、图48</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Pr>
          <w:rFonts w:ascii="黑体" w:eastAsia="黑体" w:hAnsi="黑体"/>
          <w:color w:val="000000"/>
          <w:szCs w:val="21"/>
        </w:rPr>
        <w:t>H</w:t>
      </w:r>
      <w:r>
        <w:rPr>
          <w:rFonts w:ascii="黑体" w:eastAsia="黑体" w:hAnsi="黑体" w:hint="eastAsia"/>
          <w:color w:val="000000"/>
          <w:szCs w:val="21"/>
        </w:rPr>
        <w:t>04态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4EC21E27"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132</w:t>
      </w:r>
      <w:r>
        <w:rPr>
          <w:rFonts w:ascii="Times New Roman" w:hAnsi="Times New Roman" w:cs="Times New Roman"/>
          <w:kern w:val="0"/>
          <w:szCs w:val="21"/>
        </w:rPr>
        <w:t>个，平均值</w:t>
      </w:r>
      <w:r>
        <w:rPr>
          <w:rFonts w:ascii="Times New Roman" w:hAnsi="Times New Roman" w:cs="Times New Roman" w:hint="eastAsia"/>
          <w:kern w:val="0"/>
          <w:szCs w:val="21"/>
        </w:rPr>
        <w:t>533.96</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34.1515</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460M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98.48%</w:t>
      </w:r>
      <w:r>
        <w:rPr>
          <w:rFonts w:ascii="Times New Roman" w:hAnsi="Times New Roman" w:cs="Times New Roman" w:hint="eastAsia"/>
          <w:kern w:val="0"/>
        </w:rPr>
        <w:t>。</w:t>
      </w:r>
    </w:p>
    <w:p w14:paraId="080B8B46"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132</w:t>
      </w:r>
      <w:r>
        <w:rPr>
          <w:rFonts w:ascii="Times New Roman" w:hAnsi="Times New Roman" w:cs="Times New Roman"/>
          <w:kern w:val="0"/>
        </w:rPr>
        <w:t>个，平均值</w:t>
      </w:r>
      <w:r>
        <w:rPr>
          <w:rFonts w:ascii="Times New Roman" w:hAnsi="Times New Roman" w:cs="Times New Roman" w:hint="eastAsia"/>
          <w:kern w:val="0"/>
        </w:rPr>
        <w:t>5.45</w:t>
      </w:r>
      <w:r>
        <w:rPr>
          <w:rFonts w:ascii="Times New Roman" w:hAnsi="Times New Roman" w:cs="Times New Roman"/>
          <w:kern w:val="0"/>
        </w:rPr>
        <w:t>，标准差</w:t>
      </w:r>
      <w:r>
        <w:rPr>
          <w:rFonts w:ascii="Times New Roman" w:hAnsi="Times New Roman" w:cs="Times New Roman" w:hint="eastAsia"/>
          <w:kern w:val="0"/>
        </w:rPr>
        <w:t>2.4723</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1</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96.42%</w:t>
      </w:r>
      <w:r>
        <w:rPr>
          <w:rFonts w:ascii="Times New Roman" w:hAnsi="Times New Roman" w:cs="Times New Roman" w:hint="eastAsia"/>
          <w:kern w:val="0"/>
        </w:rPr>
        <w:t>。</w:t>
      </w:r>
    </w:p>
    <w:p w14:paraId="3708259C" w14:textId="5EC535A6" w:rsidR="004426E6" w:rsidRDefault="00000000">
      <w:pPr>
        <w:spacing w:line="380" w:lineRule="exact"/>
        <w:ind w:firstLineChars="200" w:firstLine="420"/>
        <w:rPr>
          <w:rFonts w:ascii="黑体" w:eastAsia="黑体" w:hAnsi="黑体" w:hint="eastAsia"/>
          <w:color w:val="000000"/>
          <w:szCs w:val="21"/>
        </w:rPr>
      </w:pPr>
      <w:r w:rsidRPr="007A6BC2">
        <w:rPr>
          <w:rFonts w:ascii="黑体" w:eastAsia="黑体" w:hAnsi="黑体" w:hint="eastAsia"/>
          <w:color w:val="000000"/>
          <w:szCs w:val="21"/>
        </w:rPr>
        <w:t xml:space="preserve">3.4.6.7 HPb59-2.8、HPb59-3、HPb58-3 </w:t>
      </w:r>
      <w:r w:rsidR="002D3B5E" w:rsidRPr="007A6BC2">
        <w:rPr>
          <w:rFonts w:ascii="黑体" w:eastAsia="黑体" w:hAnsi="黑体" w:hint="eastAsia"/>
          <w:color w:val="000000"/>
          <w:szCs w:val="21"/>
        </w:rPr>
        <w:t>H04</w:t>
      </w:r>
      <w:r w:rsidRPr="007A6BC2">
        <w:rPr>
          <w:rFonts w:ascii="黑体" w:eastAsia="黑体" w:hAnsi="黑体" w:hint="eastAsia"/>
          <w:color w:val="000000"/>
          <w:szCs w:val="21"/>
        </w:rPr>
        <w:t>态（规格4.0-6.0）</w:t>
      </w:r>
    </w:p>
    <w:p w14:paraId="6C038DA6" w14:textId="0821A2FE" w:rsidR="004426E6" w:rsidRDefault="0076448F">
      <w:pPr>
        <w:pStyle w:val="a0"/>
        <w:jc w:val="center"/>
      </w:pPr>
      <w:r>
        <w:rPr>
          <w:noProof/>
        </w:rPr>
        <w:drawing>
          <wp:inline distT="0" distB="0" distL="0" distR="0" wp14:anchorId="204482C2" wp14:editId="46521A29">
            <wp:extent cx="2443923" cy="1861200"/>
            <wp:effectExtent l="0" t="0" r="0" b="5715"/>
            <wp:docPr id="19733966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96639" name=""/>
                    <pic:cNvPicPr/>
                  </pic:nvPicPr>
                  <pic:blipFill>
                    <a:blip r:embed="rId55"/>
                    <a:stretch>
                      <a:fillRect/>
                    </a:stretch>
                  </pic:blipFill>
                  <pic:spPr>
                    <a:xfrm>
                      <a:off x="0" y="0"/>
                      <a:ext cx="2443923" cy="1861200"/>
                    </a:xfrm>
                    <a:prstGeom prst="rect">
                      <a:avLst/>
                    </a:prstGeom>
                  </pic:spPr>
                </pic:pic>
              </a:graphicData>
            </a:graphic>
          </wp:inline>
        </w:drawing>
      </w:r>
      <w:r>
        <w:rPr>
          <w:noProof/>
        </w:rPr>
        <w:drawing>
          <wp:inline distT="0" distB="0" distL="0" distR="0" wp14:anchorId="54DA43DB" wp14:editId="0036B647">
            <wp:extent cx="2406068" cy="1861200"/>
            <wp:effectExtent l="0" t="0" r="0" b="5715"/>
            <wp:docPr id="2038242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42211" name=""/>
                    <pic:cNvPicPr/>
                  </pic:nvPicPr>
                  <pic:blipFill>
                    <a:blip r:embed="rId56"/>
                    <a:stretch>
                      <a:fillRect/>
                    </a:stretch>
                  </pic:blipFill>
                  <pic:spPr>
                    <a:xfrm>
                      <a:off x="0" y="0"/>
                      <a:ext cx="2406068" cy="1861200"/>
                    </a:xfrm>
                    <a:prstGeom prst="rect">
                      <a:avLst/>
                    </a:prstGeom>
                  </pic:spPr>
                </pic:pic>
              </a:graphicData>
            </a:graphic>
          </wp:inline>
        </w:drawing>
      </w:r>
    </w:p>
    <w:p w14:paraId="7008EB90"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t>图49、图50</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Pr>
          <w:rFonts w:ascii="黑体" w:eastAsia="黑体" w:hAnsi="黑体"/>
          <w:color w:val="000000"/>
          <w:szCs w:val="21"/>
        </w:rPr>
        <w:t>H</w:t>
      </w:r>
      <w:r>
        <w:rPr>
          <w:rFonts w:ascii="黑体" w:eastAsia="黑体" w:hAnsi="黑体" w:hint="eastAsia"/>
          <w:color w:val="000000"/>
          <w:szCs w:val="21"/>
        </w:rPr>
        <w:t>04态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抗拉强度、伸长率</w:t>
      </w:r>
    </w:p>
    <w:p w14:paraId="4E97ABCF" w14:textId="7077C332"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sidR="0039699F">
        <w:rPr>
          <w:rFonts w:ascii="Times New Roman" w:hAnsi="Times New Roman" w:cs="Times New Roman" w:hint="eastAsia"/>
          <w:kern w:val="0"/>
          <w:szCs w:val="21"/>
        </w:rPr>
        <w:t>186</w:t>
      </w:r>
      <w:r>
        <w:rPr>
          <w:rFonts w:ascii="Times New Roman" w:hAnsi="Times New Roman" w:cs="Times New Roman"/>
          <w:kern w:val="0"/>
          <w:szCs w:val="21"/>
        </w:rPr>
        <w:t>个，平均值</w:t>
      </w:r>
      <w:r w:rsidR="0039699F">
        <w:rPr>
          <w:rFonts w:ascii="Times New Roman" w:hAnsi="Times New Roman" w:cs="Times New Roman" w:hint="eastAsia"/>
          <w:kern w:val="0"/>
          <w:szCs w:val="21"/>
        </w:rPr>
        <w:t>532.27</w:t>
      </w:r>
      <w:r>
        <w:rPr>
          <w:rFonts w:ascii="Times New Roman" w:hAnsi="Times New Roman" w:cs="Times New Roman"/>
          <w:kern w:val="0"/>
          <w:szCs w:val="21"/>
        </w:rPr>
        <w:t>MPa</w:t>
      </w:r>
      <w:r>
        <w:rPr>
          <w:rFonts w:ascii="Times New Roman" w:hAnsi="Times New Roman" w:cs="Times New Roman"/>
          <w:kern w:val="0"/>
          <w:szCs w:val="21"/>
        </w:rPr>
        <w:t>，标准差</w:t>
      </w:r>
      <w:r w:rsidR="0039699F">
        <w:rPr>
          <w:rFonts w:ascii="Times New Roman" w:hAnsi="Times New Roman" w:cs="Times New Roman" w:hint="eastAsia"/>
          <w:kern w:val="0"/>
          <w:szCs w:val="21"/>
        </w:rPr>
        <w:t>54.71</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435M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w:t>
      </w:r>
      <w:r w:rsidR="0039699F">
        <w:rPr>
          <w:rFonts w:ascii="Times New Roman" w:hAnsi="Times New Roman" w:cs="Times New Roman" w:hint="eastAsia"/>
          <w:kern w:val="0"/>
        </w:rPr>
        <w:t>23</w:t>
      </w:r>
      <w:r>
        <w:rPr>
          <w:rFonts w:ascii="Times New Roman" w:hAnsi="Times New Roman" w:cs="Times New Roman" w:hint="eastAsia"/>
          <w:kern w:val="0"/>
        </w:rPr>
        <w:t>%</w:t>
      </w:r>
      <w:r>
        <w:rPr>
          <w:rFonts w:ascii="Times New Roman" w:hAnsi="Times New Roman" w:cs="Times New Roman" w:hint="eastAsia"/>
          <w:kern w:val="0"/>
        </w:rPr>
        <w:t>。</w:t>
      </w:r>
    </w:p>
    <w:p w14:paraId="2BA711BF" w14:textId="2BE05FB7"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sidR="0039699F">
        <w:rPr>
          <w:rFonts w:ascii="Times New Roman" w:hAnsi="Times New Roman" w:cs="Times New Roman" w:hint="eastAsia"/>
          <w:kern w:val="0"/>
        </w:rPr>
        <w:t>186</w:t>
      </w:r>
      <w:r>
        <w:rPr>
          <w:rFonts w:ascii="Times New Roman" w:hAnsi="Times New Roman" w:cs="Times New Roman"/>
          <w:kern w:val="0"/>
        </w:rPr>
        <w:t>个，平均值</w:t>
      </w:r>
      <w:r>
        <w:rPr>
          <w:rFonts w:ascii="Times New Roman" w:hAnsi="Times New Roman" w:cs="Times New Roman" w:hint="eastAsia"/>
          <w:kern w:val="0"/>
        </w:rPr>
        <w:t>6.</w:t>
      </w:r>
      <w:r w:rsidR="0039699F">
        <w:rPr>
          <w:rFonts w:ascii="Times New Roman" w:hAnsi="Times New Roman" w:cs="Times New Roman" w:hint="eastAsia"/>
          <w:kern w:val="0"/>
        </w:rPr>
        <w:t>26</w:t>
      </w:r>
      <w:r>
        <w:rPr>
          <w:rFonts w:ascii="Times New Roman" w:hAnsi="Times New Roman" w:cs="Times New Roman"/>
          <w:kern w:val="0"/>
        </w:rPr>
        <w:t>，标准差</w:t>
      </w:r>
      <w:r>
        <w:rPr>
          <w:rFonts w:ascii="Times New Roman" w:hAnsi="Times New Roman" w:cs="Times New Roman" w:hint="eastAsia"/>
          <w:kern w:val="0"/>
        </w:rPr>
        <w:t>2.</w:t>
      </w:r>
      <w:r w:rsidR="0039699F">
        <w:rPr>
          <w:rFonts w:ascii="Times New Roman" w:hAnsi="Times New Roman" w:cs="Times New Roman" w:hint="eastAsia"/>
          <w:kern w:val="0"/>
        </w:rPr>
        <w:t>2398</w:t>
      </w:r>
      <w:r>
        <w:rPr>
          <w:rFonts w:ascii="Times New Roman" w:hAnsi="Times New Roman" w:cs="Times New Roman"/>
          <w:kern w:val="0"/>
        </w:rPr>
        <w:t>。当标准指标定为</w:t>
      </w:r>
      <w:r>
        <w:rPr>
          <w:rFonts w:ascii="Times New Roman" w:hAnsi="Times New Roman" w:cs="Times New Roman"/>
          <w:kern w:val="0"/>
        </w:rPr>
        <w:t>≥</w:t>
      </w:r>
      <w:r w:rsidR="0039699F">
        <w:rPr>
          <w:rFonts w:ascii="Times New Roman" w:hAnsi="Times New Roman" w:cs="Times New Roman" w:hint="eastAsia"/>
          <w:kern w:val="0"/>
        </w:rPr>
        <w:t>1</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sidR="0039699F">
        <w:rPr>
          <w:rFonts w:ascii="Times New Roman" w:hAnsi="Times New Roman" w:cs="Times New Roman" w:hint="eastAsia"/>
          <w:kern w:val="0"/>
        </w:rPr>
        <w:t>99.06</w:t>
      </w:r>
      <w:r>
        <w:rPr>
          <w:rFonts w:ascii="Times New Roman" w:hAnsi="Times New Roman" w:cs="Times New Roman" w:hint="eastAsia"/>
          <w:kern w:val="0"/>
        </w:rPr>
        <w:t>%</w:t>
      </w:r>
      <w:r>
        <w:rPr>
          <w:rFonts w:ascii="Times New Roman" w:hAnsi="Times New Roman" w:cs="Times New Roman" w:hint="eastAsia"/>
          <w:kern w:val="0"/>
        </w:rPr>
        <w:t>。</w:t>
      </w:r>
    </w:p>
    <w:p w14:paraId="4360954B" w14:textId="4EA7F7C5" w:rsidR="004426E6" w:rsidRDefault="00000000">
      <w:pPr>
        <w:spacing w:line="380" w:lineRule="exact"/>
        <w:ind w:firstLineChars="200" w:firstLine="420"/>
        <w:rPr>
          <w:rFonts w:ascii="黑体" w:eastAsia="黑体" w:hAnsi="黑体" w:hint="eastAsia"/>
          <w:color w:val="000000"/>
          <w:szCs w:val="21"/>
        </w:rPr>
      </w:pPr>
      <w:r w:rsidRPr="007A6BC2">
        <w:rPr>
          <w:rFonts w:ascii="黑体" w:eastAsia="黑体" w:hAnsi="黑体" w:hint="eastAsia"/>
          <w:color w:val="000000"/>
          <w:szCs w:val="21"/>
        </w:rPr>
        <w:t xml:space="preserve">3.4.6.8 HPb59-2.8、HPb59-3、HPb58-3 </w:t>
      </w:r>
      <w:r w:rsidR="002D3B5E" w:rsidRPr="007A6BC2">
        <w:rPr>
          <w:rFonts w:ascii="黑体" w:eastAsia="黑体" w:hAnsi="黑体" w:hint="eastAsia"/>
          <w:color w:val="000000"/>
          <w:szCs w:val="21"/>
        </w:rPr>
        <w:t>H04</w:t>
      </w:r>
      <w:r w:rsidRPr="007A6BC2">
        <w:rPr>
          <w:rFonts w:ascii="黑体" w:eastAsia="黑体" w:hAnsi="黑体" w:hint="eastAsia"/>
          <w:color w:val="000000"/>
          <w:szCs w:val="21"/>
        </w:rPr>
        <w:t>态（规格6.0-12.0）</w:t>
      </w:r>
    </w:p>
    <w:p w14:paraId="2252448E" w14:textId="6A2A85F7" w:rsidR="004426E6" w:rsidRDefault="0076448F">
      <w:pPr>
        <w:pStyle w:val="a0"/>
        <w:jc w:val="center"/>
      </w:pPr>
      <w:r>
        <w:rPr>
          <w:noProof/>
        </w:rPr>
        <w:lastRenderedPageBreak/>
        <w:drawing>
          <wp:inline distT="0" distB="0" distL="0" distR="0" wp14:anchorId="726AAC25" wp14:editId="78EAB617">
            <wp:extent cx="2439318" cy="1861200"/>
            <wp:effectExtent l="0" t="0" r="0" b="5715"/>
            <wp:docPr id="566282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82228" name=""/>
                    <pic:cNvPicPr/>
                  </pic:nvPicPr>
                  <pic:blipFill>
                    <a:blip r:embed="rId57"/>
                    <a:stretch>
                      <a:fillRect/>
                    </a:stretch>
                  </pic:blipFill>
                  <pic:spPr>
                    <a:xfrm>
                      <a:off x="0" y="0"/>
                      <a:ext cx="2439318" cy="1861200"/>
                    </a:xfrm>
                    <a:prstGeom prst="rect">
                      <a:avLst/>
                    </a:prstGeom>
                  </pic:spPr>
                </pic:pic>
              </a:graphicData>
            </a:graphic>
          </wp:inline>
        </w:drawing>
      </w:r>
      <w:r>
        <w:rPr>
          <w:noProof/>
        </w:rPr>
        <w:drawing>
          <wp:inline distT="0" distB="0" distL="0" distR="0" wp14:anchorId="75171BD8" wp14:editId="310BC0E2">
            <wp:extent cx="2433585" cy="1861200"/>
            <wp:effectExtent l="0" t="0" r="5080" b="5715"/>
            <wp:docPr id="8477816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81666" name=""/>
                    <pic:cNvPicPr/>
                  </pic:nvPicPr>
                  <pic:blipFill>
                    <a:blip r:embed="rId58"/>
                    <a:stretch>
                      <a:fillRect/>
                    </a:stretch>
                  </pic:blipFill>
                  <pic:spPr>
                    <a:xfrm>
                      <a:off x="0" y="0"/>
                      <a:ext cx="2433585" cy="1861200"/>
                    </a:xfrm>
                    <a:prstGeom prst="rect">
                      <a:avLst/>
                    </a:prstGeom>
                  </pic:spPr>
                </pic:pic>
              </a:graphicData>
            </a:graphic>
          </wp:inline>
        </w:drawing>
      </w:r>
    </w:p>
    <w:p w14:paraId="21398AD6" w14:textId="77777777" w:rsidR="004426E6" w:rsidRDefault="00000000">
      <w:pPr>
        <w:contextualSpacing/>
        <w:rPr>
          <w:rFonts w:ascii="黑体" w:eastAsia="黑体" w:hAnsi="黑体" w:hint="eastAsia"/>
          <w:color w:val="000000"/>
          <w:szCs w:val="21"/>
        </w:rPr>
      </w:pPr>
      <w:r>
        <w:rPr>
          <w:rFonts w:ascii="黑体" w:eastAsia="黑体" w:hAnsi="黑体" w:hint="eastAsia"/>
          <w:color w:val="000000"/>
          <w:szCs w:val="21"/>
        </w:rPr>
        <w:t>图51、图52</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3、</w:t>
      </w:r>
      <w:r>
        <w:rPr>
          <w:rFonts w:ascii="黑体" w:eastAsia="黑体" w:hAnsi="黑体"/>
          <w:color w:val="000000"/>
          <w:szCs w:val="21"/>
        </w:rPr>
        <w:t>HPb</w:t>
      </w:r>
      <w:r>
        <w:rPr>
          <w:rFonts w:ascii="黑体" w:eastAsia="黑体" w:hAnsi="黑体" w:hint="eastAsia"/>
          <w:color w:val="000000"/>
          <w:szCs w:val="21"/>
        </w:rPr>
        <w:t>58</w:t>
      </w:r>
      <w:r>
        <w:rPr>
          <w:rFonts w:ascii="黑体" w:eastAsia="黑体" w:hAnsi="黑体"/>
          <w:color w:val="000000"/>
          <w:szCs w:val="21"/>
        </w:rPr>
        <w:t>-</w:t>
      </w:r>
      <w:r>
        <w:rPr>
          <w:rFonts w:ascii="黑体" w:eastAsia="黑体" w:hAnsi="黑体" w:hint="eastAsia"/>
          <w:color w:val="000000"/>
          <w:szCs w:val="21"/>
        </w:rPr>
        <w:t xml:space="preserve">3 </w:t>
      </w:r>
      <w:r>
        <w:rPr>
          <w:rFonts w:ascii="黑体" w:eastAsia="黑体" w:hAnsi="黑体"/>
          <w:color w:val="000000"/>
          <w:szCs w:val="21"/>
        </w:rPr>
        <w:t>H</w:t>
      </w:r>
      <w:r>
        <w:rPr>
          <w:rFonts w:ascii="黑体" w:eastAsia="黑体" w:hAnsi="黑体" w:hint="eastAsia"/>
          <w:color w:val="000000"/>
          <w:szCs w:val="21"/>
        </w:rPr>
        <w:t>04态</w:t>
      </w:r>
      <w:r>
        <w:rPr>
          <w:rFonts w:ascii="黑体" w:eastAsia="黑体" w:hAnsi="黑体"/>
          <w:color w:val="000000"/>
          <w:szCs w:val="21"/>
        </w:rPr>
        <w:t>（规格</w:t>
      </w:r>
      <w:r>
        <w:rPr>
          <w:rFonts w:ascii="黑体" w:eastAsia="黑体" w:hAnsi="黑体" w:hint="eastAsia"/>
          <w:color w:val="000000"/>
          <w:szCs w:val="21"/>
        </w:rPr>
        <w:t>6.0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抗拉强度、伸长率</w:t>
      </w:r>
    </w:p>
    <w:p w14:paraId="6B4C2DF8" w14:textId="204C82CB"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sidR="0039699F">
        <w:rPr>
          <w:rFonts w:ascii="Times New Roman" w:hAnsi="Times New Roman" w:cs="Times New Roman" w:hint="eastAsia"/>
          <w:kern w:val="0"/>
          <w:szCs w:val="21"/>
        </w:rPr>
        <w:t>145</w:t>
      </w:r>
      <w:r>
        <w:rPr>
          <w:rFonts w:ascii="Times New Roman" w:hAnsi="Times New Roman" w:cs="Times New Roman"/>
          <w:kern w:val="0"/>
          <w:szCs w:val="21"/>
        </w:rPr>
        <w:t>个，平均值</w:t>
      </w:r>
      <w:r w:rsidR="0039699F">
        <w:rPr>
          <w:rFonts w:ascii="Times New Roman" w:hAnsi="Times New Roman" w:cs="Times New Roman" w:hint="eastAsia"/>
          <w:kern w:val="0"/>
          <w:szCs w:val="21"/>
        </w:rPr>
        <w:t>521.34</w:t>
      </w:r>
      <w:r>
        <w:rPr>
          <w:rFonts w:ascii="Times New Roman" w:hAnsi="Times New Roman" w:cs="Times New Roman"/>
          <w:kern w:val="0"/>
          <w:szCs w:val="21"/>
        </w:rPr>
        <w:t>MPa</w:t>
      </w:r>
      <w:r>
        <w:rPr>
          <w:rFonts w:ascii="Times New Roman" w:hAnsi="Times New Roman" w:cs="Times New Roman"/>
          <w:kern w:val="0"/>
          <w:szCs w:val="21"/>
        </w:rPr>
        <w:t>，标准差</w:t>
      </w:r>
      <w:r w:rsidR="0039699F">
        <w:rPr>
          <w:rFonts w:ascii="Times New Roman" w:hAnsi="Times New Roman" w:cs="Times New Roman" w:hint="eastAsia"/>
          <w:kern w:val="0"/>
          <w:szCs w:val="21"/>
        </w:rPr>
        <w:t>44.9718</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430M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w:t>
      </w:r>
      <w:r w:rsidR="0039699F">
        <w:rPr>
          <w:rFonts w:ascii="Times New Roman" w:hAnsi="Times New Roman" w:cs="Times New Roman" w:hint="eastAsia"/>
          <w:kern w:val="0"/>
        </w:rPr>
        <w:t>7.88</w:t>
      </w:r>
      <w:r>
        <w:rPr>
          <w:rFonts w:ascii="Times New Roman" w:hAnsi="Times New Roman" w:cs="Times New Roman" w:hint="eastAsia"/>
          <w:kern w:val="0"/>
        </w:rPr>
        <w:t>%</w:t>
      </w:r>
      <w:r>
        <w:rPr>
          <w:rFonts w:ascii="Times New Roman" w:hAnsi="Times New Roman" w:cs="Times New Roman" w:hint="eastAsia"/>
          <w:kern w:val="0"/>
        </w:rPr>
        <w:t>。</w:t>
      </w:r>
    </w:p>
    <w:p w14:paraId="648C671F" w14:textId="2E216000" w:rsidR="004426E6" w:rsidRDefault="00000000">
      <w:pPr>
        <w:spacing w:line="380" w:lineRule="exact"/>
        <w:ind w:firstLineChars="200" w:firstLine="422"/>
        <w:jc w:val="left"/>
      </w:pPr>
      <w:r>
        <w:rPr>
          <w:rFonts w:ascii="Times New Roman" w:hAnsi="Times New Roman" w:cs="Times New Roman"/>
          <w:b/>
          <w:bCs/>
          <w:kern w:val="0"/>
        </w:rPr>
        <w:t>伸长率：</w:t>
      </w:r>
      <w:r>
        <w:rPr>
          <w:rFonts w:ascii="Times New Roman" w:hAnsi="Times New Roman" w:cs="Times New Roman"/>
          <w:kern w:val="0"/>
        </w:rPr>
        <w:t>样本个数</w:t>
      </w:r>
      <w:r w:rsidR="0039699F">
        <w:rPr>
          <w:rFonts w:ascii="Times New Roman" w:hAnsi="Times New Roman" w:cs="Times New Roman" w:hint="eastAsia"/>
          <w:kern w:val="0"/>
        </w:rPr>
        <w:t>145</w:t>
      </w:r>
      <w:r>
        <w:rPr>
          <w:rFonts w:ascii="Times New Roman" w:hAnsi="Times New Roman" w:cs="Times New Roman"/>
          <w:kern w:val="0"/>
        </w:rPr>
        <w:t>个，平均值</w:t>
      </w:r>
      <w:r>
        <w:rPr>
          <w:rFonts w:ascii="Times New Roman" w:hAnsi="Times New Roman" w:cs="Times New Roman" w:hint="eastAsia"/>
          <w:kern w:val="0"/>
        </w:rPr>
        <w:t>6.</w:t>
      </w:r>
      <w:r w:rsidR="0039699F">
        <w:rPr>
          <w:rFonts w:ascii="Times New Roman" w:hAnsi="Times New Roman" w:cs="Times New Roman" w:hint="eastAsia"/>
          <w:kern w:val="0"/>
        </w:rPr>
        <w:t>49</w:t>
      </w:r>
      <w:r>
        <w:rPr>
          <w:rFonts w:ascii="Times New Roman" w:hAnsi="Times New Roman" w:cs="Times New Roman"/>
          <w:kern w:val="0"/>
        </w:rPr>
        <w:t>，标准差</w:t>
      </w:r>
      <w:r>
        <w:rPr>
          <w:rFonts w:ascii="Times New Roman" w:hAnsi="Times New Roman" w:cs="Times New Roman" w:hint="eastAsia"/>
          <w:kern w:val="0"/>
        </w:rPr>
        <w:t>2.</w:t>
      </w:r>
      <w:r w:rsidR="0039699F">
        <w:rPr>
          <w:rFonts w:ascii="Times New Roman" w:hAnsi="Times New Roman" w:cs="Times New Roman" w:hint="eastAsia"/>
          <w:kern w:val="0"/>
        </w:rPr>
        <w:t>6197</w:t>
      </w:r>
      <w:r>
        <w:rPr>
          <w:rFonts w:ascii="Times New Roman" w:hAnsi="Times New Roman" w:cs="Times New Roman"/>
          <w:kern w:val="0"/>
        </w:rPr>
        <w:t>。当标准指标定为</w:t>
      </w:r>
      <w:r>
        <w:rPr>
          <w:rFonts w:ascii="Times New Roman" w:hAnsi="Times New Roman" w:cs="Times New Roman"/>
          <w:kern w:val="0"/>
        </w:rPr>
        <w:t>≥</w:t>
      </w:r>
      <w:r w:rsidR="0039699F">
        <w:rPr>
          <w:rFonts w:ascii="Times New Roman" w:hAnsi="Times New Roman" w:cs="Times New Roman" w:hint="eastAsia"/>
          <w:kern w:val="0"/>
        </w:rPr>
        <w:t>1</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w:t>
      </w:r>
      <w:r w:rsidR="0039699F">
        <w:rPr>
          <w:rFonts w:ascii="Times New Roman" w:hAnsi="Times New Roman" w:cs="Times New Roman" w:hint="eastAsia"/>
          <w:kern w:val="0"/>
        </w:rPr>
        <w:t>8.19</w:t>
      </w:r>
      <w:r>
        <w:rPr>
          <w:rFonts w:ascii="Times New Roman" w:hAnsi="Times New Roman" w:cs="Times New Roman" w:hint="eastAsia"/>
          <w:kern w:val="0"/>
        </w:rPr>
        <w:t>%</w:t>
      </w:r>
      <w:r>
        <w:rPr>
          <w:rFonts w:ascii="Times New Roman" w:hAnsi="Times New Roman" w:cs="Times New Roman" w:hint="eastAsia"/>
          <w:kern w:val="0"/>
        </w:rPr>
        <w:t>。</w:t>
      </w:r>
    </w:p>
    <w:p w14:paraId="4172B28D"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3.4.7 </w:t>
      </w:r>
      <w:r>
        <w:rPr>
          <w:rFonts w:ascii="黑体" w:eastAsia="黑体" w:hAnsi="黑体"/>
          <w:color w:val="000000"/>
          <w:szCs w:val="21"/>
        </w:rPr>
        <w:t>HPb</w:t>
      </w:r>
      <w:r>
        <w:rPr>
          <w:rFonts w:ascii="黑体" w:eastAsia="黑体" w:hAnsi="黑体" w:hint="eastAsia"/>
          <w:color w:val="000000"/>
          <w:szCs w:val="21"/>
        </w:rPr>
        <w:t>57</w:t>
      </w:r>
      <w:r>
        <w:rPr>
          <w:rFonts w:ascii="黑体" w:eastAsia="黑体" w:hAnsi="黑体"/>
          <w:color w:val="000000"/>
          <w:szCs w:val="21"/>
        </w:rPr>
        <w:t>-</w:t>
      </w:r>
      <w:r>
        <w:rPr>
          <w:rFonts w:ascii="黑体" w:eastAsia="黑体" w:hAnsi="黑体" w:hint="eastAsia"/>
          <w:color w:val="000000"/>
          <w:szCs w:val="21"/>
        </w:rPr>
        <w:t>2.8</w:t>
      </w:r>
    </w:p>
    <w:p w14:paraId="68389134"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3.4.7.1 </w:t>
      </w:r>
      <w:r>
        <w:rPr>
          <w:rFonts w:ascii="黑体" w:eastAsia="黑体" w:hAnsi="黑体"/>
          <w:color w:val="000000"/>
          <w:szCs w:val="21"/>
        </w:rPr>
        <w:t>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 HO2态</w:t>
      </w:r>
      <w:r>
        <w:rPr>
          <w:rFonts w:ascii="黑体" w:eastAsia="黑体" w:hAnsi="黑体"/>
          <w:color w:val="000000"/>
          <w:szCs w:val="21"/>
        </w:rPr>
        <w:t>（规格</w:t>
      </w:r>
      <w:r>
        <w:rPr>
          <w:rFonts w:ascii="黑体" w:eastAsia="黑体" w:hAnsi="黑体" w:hint="eastAsia"/>
          <w:color w:val="000000"/>
          <w:szCs w:val="21"/>
        </w:rPr>
        <w:t>1.5</w:t>
      </w:r>
      <w:r>
        <w:rPr>
          <w:rFonts w:ascii="黑体" w:eastAsia="黑体" w:hAnsi="黑体"/>
          <w:color w:val="000000"/>
          <w:szCs w:val="21"/>
        </w:rPr>
        <w:t>-</w:t>
      </w:r>
      <w:r>
        <w:rPr>
          <w:rFonts w:ascii="黑体" w:eastAsia="黑体" w:hAnsi="黑体" w:hint="eastAsia"/>
          <w:color w:val="000000"/>
          <w:szCs w:val="21"/>
        </w:rPr>
        <w:t>6.</w:t>
      </w:r>
      <w:r>
        <w:rPr>
          <w:rFonts w:ascii="黑体" w:eastAsia="黑体" w:hAnsi="黑体"/>
          <w:color w:val="000000"/>
          <w:szCs w:val="21"/>
        </w:rPr>
        <w:t>0）</w:t>
      </w:r>
    </w:p>
    <w:p w14:paraId="38121697" w14:textId="77777777" w:rsidR="004426E6" w:rsidRDefault="00000000">
      <w:pPr>
        <w:pStyle w:val="a0"/>
        <w:jc w:val="center"/>
      </w:pPr>
      <w:r>
        <w:rPr>
          <w:noProof/>
        </w:rPr>
        <w:drawing>
          <wp:inline distT="0" distB="0" distL="0" distR="0" wp14:anchorId="53F2268E" wp14:editId="0BBDE816">
            <wp:extent cx="2388235" cy="1861185"/>
            <wp:effectExtent l="0" t="0" r="0" b="5715"/>
            <wp:docPr id="13419964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96492" name="图片 1"/>
                    <pic:cNvPicPr>
                      <a:picLocks noChangeAspect="1"/>
                    </pic:cNvPicPr>
                  </pic:nvPicPr>
                  <pic:blipFill>
                    <a:blip r:embed="rId59"/>
                    <a:stretch>
                      <a:fillRect/>
                    </a:stretch>
                  </pic:blipFill>
                  <pic:spPr>
                    <a:xfrm>
                      <a:off x="0" y="0"/>
                      <a:ext cx="2388678" cy="1861200"/>
                    </a:xfrm>
                    <a:prstGeom prst="rect">
                      <a:avLst/>
                    </a:prstGeom>
                  </pic:spPr>
                </pic:pic>
              </a:graphicData>
            </a:graphic>
          </wp:inline>
        </w:drawing>
      </w:r>
      <w:r>
        <w:rPr>
          <w:noProof/>
        </w:rPr>
        <w:drawing>
          <wp:inline distT="0" distB="0" distL="0" distR="0" wp14:anchorId="0F7D46F2" wp14:editId="5417792C">
            <wp:extent cx="2447925" cy="1861185"/>
            <wp:effectExtent l="0" t="0" r="9525" b="5715"/>
            <wp:docPr id="7418378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37823" name="图片 1"/>
                    <pic:cNvPicPr>
                      <a:picLocks noChangeAspect="1"/>
                    </pic:cNvPicPr>
                  </pic:nvPicPr>
                  <pic:blipFill>
                    <a:blip r:embed="rId60"/>
                    <a:stretch>
                      <a:fillRect/>
                    </a:stretch>
                  </pic:blipFill>
                  <pic:spPr>
                    <a:xfrm>
                      <a:off x="0" y="0"/>
                      <a:ext cx="2448160" cy="1861200"/>
                    </a:xfrm>
                    <a:prstGeom prst="rect">
                      <a:avLst/>
                    </a:prstGeom>
                  </pic:spPr>
                </pic:pic>
              </a:graphicData>
            </a:graphic>
          </wp:inline>
        </w:drawing>
      </w:r>
    </w:p>
    <w:p w14:paraId="173D97ED"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图53、图54</w:t>
      </w:r>
      <w:r>
        <w:rPr>
          <w:rFonts w:ascii="黑体" w:eastAsia="黑体" w:hAnsi="黑体"/>
          <w:color w:val="000000"/>
          <w:szCs w:val="21"/>
        </w:rPr>
        <w:t xml:space="preserve"> HPb</w:t>
      </w:r>
      <w:r>
        <w:rPr>
          <w:rFonts w:ascii="黑体" w:eastAsia="黑体" w:hAnsi="黑体" w:hint="eastAsia"/>
          <w:color w:val="000000"/>
          <w:szCs w:val="21"/>
        </w:rPr>
        <w:t>59</w:t>
      </w:r>
      <w:r>
        <w:rPr>
          <w:rFonts w:ascii="黑体" w:eastAsia="黑体" w:hAnsi="黑体"/>
          <w:color w:val="000000"/>
          <w:szCs w:val="21"/>
        </w:rPr>
        <w:t>-</w:t>
      </w:r>
      <w:r>
        <w:rPr>
          <w:rFonts w:ascii="黑体" w:eastAsia="黑体" w:hAnsi="黑体" w:hint="eastAsia"/>
          <w:color w:val="000000"/>
          <w:szCs w:val="21"/>
        </w:rPr>
        <w:t>2.8 HO2态</w:t>
      </w:r>
      <w:r>
        <w:rPr>
          <w:rFonts w:ascii="黑体" w:eastAsia="黑体" w:hAnsi="黑体"/>
          <w:color w:val="000000"/>
          <w:szCs w:val="21"/>
        </w:rPr>
        <w:t>（规格</w:t>
      </w:r>
      <w:r>
        <w:rPr>
          <w:rFonts w:ascii="黑体" w:eastAsia="黑体" w:hAnsi="黑体" w:hint="eastAsia"/>
          <w:color w:val="000000"/>
          <w:szCs w:val="21"/>
        </w:rPr>
        <w:t>1.5</w:t>
      </w:r>
      <w:r>
        <w:rPr>
          <w:rFonts w:ascii="黑体" w:eastAsia="黑体" w:hAnsi="黑体"/>
          <w:color w:val="000000"/>
          <w:szCs w:val="21"/>
        </w:rPr>
        <w:t>-</w:t>
      </w:r>
      <w:r>
        <w:rPr>
          <w:rFonts w:ascii="黑体" w:eastAsia="黑体" w:hAnsi="黑体" w:hint="eastAsia"/>
          <w:color w:val="000000"/>
          <w:szCs w:val="21"/>
        </w:rPr>
        <w:t>6.</w:t>
      </w:r>
      <w:r>
        <w:rPr>
          <w:rFonts w:ascii="黑体" w:eastAsia="黑体" w:hAnsi="黑体"/>
          <w:color w:val="000000"/>
          <w:szCs w:val="21"/>
        </w:rPr>
        <w:t>0）</w:t>
      </w:r>
      <w:r>
        <w:rPr>
          <w:rFonts w:ascii="黑体" w:eastAsia="黑体" w:hAnsi="黑体" w:hint="eastAsia"/>
          <w:color w:val="000000"/>
          <w:szCs w:val="21"/>
        </w:rPr>
        <w:t>抗拉强度、伸长率</w:t>
      </w:r>
    </w:p>
    <w:p w14:paraId="7180A7A2"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196</w:t>
      </w:r>
      <w:r>
        <w:rPr>
          <w:rFonts w:ascii="Times New Roman" w:hAnsi="Times New Roman" w:cs="Times New Roman"/>
          <w:kern w:val="0"/>
          <w:szCs w:val="21"/>
        </w:rPr>
        <w:t>个，平均值</w:t>
      </w:r>
      <w:r>
        <w:rPr>
          <w:rFonts w:ascii="Times New Roman" w:hAnsi="Times New Roman" w:cs="Times New Roman" w:hint="eastAsia"/>
          <w:kern w:val="0"/>
          <w:szCs w:val="21"/>
        </w:rPr>
        <w:t>469.68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68.6977</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95.93%</w:t>
      </w:r>
      <w:r>
        <w:rPr>
          <w:rFonts w:ascii="Times New Roman" w:hAnsi="Times New Roman" w:cs="Times New Roman" w:hint="eastAsia"/>
          <w:kern w:val="0"/>
        </w:rPr>
        <w:t>。</w:t>
      </w:r>
    </w:p>
    <w:p w14:paraId="220B3BE5"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196</w:t>
      </w:r>
      <w:r>
        <w:rPr>
          <w:rFonts w:ascii="Times New Roman" w:hAnsi="Times New Roman" w:cs="Times New Roman"/>
          <w:kern w:val="0"/>
        </w:rPr>
        <w:t>个，平均值</w:t>
      </w:r>
      <w:r>
        <w:rPr>
          <w:rFonts w:ascii="Times New Roman" w:hAnsi="Times New Roman" w:cs="Times New Roman" w:hint="eastAsia"/>
          <w:kern w:val="0"/>
        </w:rPr>
        <w:t>5.73</w:t>
      </w:r>
      <w:r>
        <w:rPr>
          <w:rFonts w:ascii="Times New Roman" w:hAnsi="Times New Roman" w:cs="Times New Roman"/>
          <w:kern w:val="0"/>
        </w:rPr>
        <w:t>，标准差</w:t>
      </w:r>
      <w:r>
        <w:rPr>
          <w:rFonts w:ascii="Times New Roman" w:hAnsi="Times New Roman" w:cs="Times New Roman" w:hint="eastAsia"/>
          <w:kern w:val="0"/>
        </w:rPr>
        <w:t>2.2080</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1</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98.39%</w:t>
      </w:r>
      <w:r>
        <w:rPr>
          <w:rFonts w:ascii="Times New Roman" w:hAnsi="Times New Roman" w:cs="Times New Roman" w:hint="eastAsia"/>
          <w:kern w:val="0"/>
        </w:rPr>
        <w:t>。</w:t>
      </w:r>
    </w:p>
    <w:p w14:paraId="770B0DD4" w14:textId="7064E702" w:rsidR="004426E6" w:rsidRDefault="00000000">
      <w:pPr>
        <w:ind w:firstLineChars="200" w:firstLine="420"/>
        <w:contextualSpacing/>
        <w:jc w:val="left"/>
        <w:rPr>
          <w:rFonts w:ascii="黑体" w:eastAsia="黑体" w:hAnsi="黑体" w:hint="eastAsia"/>
          <w:color w:val="000000"/>
          <w:szCs w:val="21"/>
        </w:rPr>
      </w:pPr>
      <w:r>
        <w:rPr>
          <w:rFonts w:ascii="黑体" w:eastAsia="黑体" w:hAnsi="黑体" w:cs="黑体" w:hint="eastAsia"/>
          <w:caps/>
          <w:szCs w:val="21"/>
        </w:rPr>
        <w:t xml:space="preserve">3.4.8 </w:t>
      </w:r>
      <w:r>
        <w:rPr>
          <w:rFonts w:ascii="黑体" w:eastAsia="黑体" w:hAnsi="黑体"/>
          <w:color w:val="000000"/>
          <w:szCs w:val="21"/>
        </w:rPr>
        <w:t>HBi58-1.5、HBi60-1.3、HBi60-1-0.05、HBi62-1.4-1、HBi59-1</w:t>
      </w:r>
      <w:r>
        <w:rPr>
          <w:rFonts w:ascii="黑体" w:eastAsia="黑体" w:hAnsi="黑体" w:hint="eastAsia"/>
          <w:color w:val="000000"/>
          <w:szCs w:val="21"/>
        </w:rPr>
        <w:t>、</w:t>
      </w:r>
      <w:r w:rsidR="004B00A5">
        <w:rPr>
          <w:rFonts w:ascii="黑体" w:eastAsia="黑体" w:hAnsi="黑体"/>
          <w:color w:val="000000"/>
          <w:szCs w:val="21"/>
        </w:rPr>
        <w:t>HBi59-1</w:t>
      </w:r>
      <w:r w:rsidR="004B00A5">
        <w:rPr>
          <w:rFonts w:ascii="黑体" w:eastAsia="黑体" w:hAnsi="黑体" w:hint="eastAsia"/>
          <w:color w:val="000000"/>
          <w:szCs w:val="21"/>
        </w:rPr>
        <w:t>.5、</w:t>
      </w:r>
      <w:r>
        <w:rPr>
          <w:rFonts w:ascii="黑体" w:eastAsia="黑体" w:hAnsi="黑体" w:hint="eastAsia"/>
          <w:color w:val="000000"/>
          <w:szCs w:val="21"/>
        </w:rPr>
        <w:t>HBi59-2</w:t>
      </w:r>
    </w:p>
    <w:p w14:paraId="72F3A23C" w14:textId="37998CE0" w:rsidR="004426E6" w:rsidRDefault="00000000" w:rsidP="005C15BC">
      <w:pPr>
        <w:ind w:firstLineChars="200" w:firstLine="420"/>
        <w:contextualSpacing/>
        <w:jc w:val="left"/>
        <w:rPr>
          <w:rFonts w:ascii="黑体" w:eastAsia="黑体" w:hAnsi="黑体" w:hint="eastAsia"/>
          <w:color w:val="000000"/>
          <w:szCs w:val="21"/>
        </w:rPr>
      </w:pPr>
      <w:r>
        <w:rPr>
          <w:rFonts w:ascii="黑体" w:eastAsia="黑体" w:hAnsi="黑体" w:hint="eastAsia"/>
          <w:color w:val="000000"/>
          <w:szCs w:val="21"/>
        </w:rPr>
        <w:t xml:space="preserve">3.4.8.1 </w:t>
      </w:r>
      <w:r>
        <w:rPr>
          <w:rFonts w:ascii="黑体" w:eastAsia="黑体" w:hAnsi="黑体"/>
          <w:color w:val="000000"/>
          <w:szCs w:val="21"/>
        </w:rPr>
        <w:t>HBi58-1.5、HBi60-1.3、HBi60-1-0.05、HBi62-1.4-1、HBi59-1</w:t>
      </w:r>
      <w:r>
        <w:rPr>
          <w:rFonts w:ascii="黑体" w:eastAsia="黑体" w:hAnsi="黑体" w:hint="eastAsia"/>
          <w:color w:val="000000"/>
          <w:szCs w:val="21"/>
        </w:rPr>
        <w:t>、</w:t>
      </w:r>
      <w:r w:rsidR="004B00A5">
        <w:rPr>
          <w:rFonts w:ascii="黑体" w:eastAsia="黑体" w:hAnsi="黑体"/>
          <w:color w:val="000000"/>
          <w:szCs w:val="21"/>
        </w:rPr>
        <w:t>HBi59-1</w:t>
      </w:r>
      <w:r w:rsidR="004B00A5">
        <w:rPr>
          <w:rFonts w:ascii="黑体" w:eastAsia="黑体" w:hAnsi="黑体" w:hint="eastAsia"/>
          <w:color w:val="000000"/>
          <w:szCs w:val="21"/>
        </w:rPr>
        <w:t>.5、</w:t>
      </w:r>
      <w:r>
        <w:rPr>
          <w:rFonts w:ascii="黑体" w:eastAsia="黑体" w:hAnsi="黑体" w:hint="eastAsia"/>
          <w:color w:val="000000"/>
          <w:szCs w:val="21"/>
        </w:rPr>
        <w:t>HBi59-2</w:t>
      </w:r>
      <w:r w:rsidR="005C15BC">
        <w:rPr>
          <w:rFonts w:ascii="黑体" w:eastAsia="黑体" w:hAnsi="黑体" w:hint="eastAsia"/>
          <w:color w:val="000000"/>
          <w:szCs w:val="21"/>
        </w:rPr>
        <w:t xml:space="preserve"> </w:t>
      </w:r>
      <w:r>
        <w:rPr>
          <w:rFonts w:ascii="黑体" w:eastAsia="黑体" w:hAnsi="黑体" w:hint="eastAsia"/>
          <w:color w:val="000000"/>
          <w:szCs w:val="21"/>
        </w:rPr>
        <w:t>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7D8EE2C9" w14:textId="77777777" w:rsidR="004426E6" w:rsidRDefault="00000000">
      <w:pPr>
        <w:pStyle w:val="a0"/>
        <w:jc w:val="center"/>
      </w:pPr>
      <w:r>
        <w:rPr>
          <w:noProof/>
        </w:rPr>
        <w:lastRenderedPageBreak/>
        <w:drawing>
          <wp:inline distT="0" distB="0" distL="0" distR="0" wp14:anchorId="23905CDC" wp14:editId="74472F86">
            <wp:extent cx="2489200" cy="1861185"/>
            <wp:effectExtent l="0" t="0" r="6350" b="5715"/>
            <wp:docPr id="13926785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78504" name="图片 1"/>
                    <pic:cNvPicPr>
                      <a:picLocks noChangeAspect="1"/>
                    </pic:cNvPicPr>
                  </pic:nvPicPr>
                  <pic:blipFill>
                    <a:blip r:embed="rId61"/>
                    <a:stretch>
                      <a:fillRect/>
                    </a:stretch>
                  </pic:blipFill>
                  <pic:spPr>
                    <a:xfrm>
                      <a:off x="0" y="0"/>
                      <a:ext cx="2489355" cy="1861200"/>
                    </a:xfrm>
                    <a:prstGeom prst="rect">
                      <a:avLst/>
                    </a:prstGeom>
                  </pic:spPr>
                </pic:pic>
              </a:graphicData>
            </a:graphic>
          </wp:inline>
        </w:drawing>
      </w:r>
      <w:r>
        <w:rPr>
          <w:noProof/>
        </w:rPr>
        <w:drawing>
          <wp:inline distT="0" distB="0" distL="0" distR="0" wp14:anchorId="69F70C15" wp14:editId="45976AC1">
            <wp:extent cx="2418715" cy="1861185"/>
            <wp:effectExtent l="0" t="0" r="635" b="5715"/>
            <wp:docPr id="15277673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67323" name="图片 1"/>
                    <pic:cNvPicPr>
                      <a:picLocks noChangeAspect="1"/>
                    </pic:cNvPicPr>
                  </pic:nvPicPr>
                  <pic:blipFill>
                    <a:blip r:embed="rId62"/>
                    <a:stretch>
                      <a:fillRect/>
                    </a:stretch>
                  </pic:blipFill>
                  <pic:spPr>
                    <a:xfrm>
                      <a:off x="0" y="0"/>
                      <a:ext cx="2419183" cy="1861200"/>
                    </a:xfrm>
                    <a:prstGeom prst="rect">
                      <a:avLst/>
                    </a:prstGeom>
                  </pic:spPr>
                </pic:pic>
              </a:graphicData>
            </a:graphic>
          </wp:inline>
        </w:drawing>
      </w:r>
    </w:p>
    <w:p w14:paraId="224E258B" w14:textId="446B30BA"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图55、图56</w:t>
      </w:r>
      <w:r>
        <w:rPr>
          <w:rFonts w:ascii="黑体" w:eastAsia="黑体" w:hAnsi="黑体"/>
          <w:color w:val="000000"/>
          <w:szCs w:val="21"/>
        </w:rPr>
        <w:t xml:space="preserve"> HBi58-1.5、HBi60-1.3、HBi60-1-0.05、HBi62-1.4-1、HBi59-1</w:t>
      </w:r>
      <w:r>
        <w:rPr>
          <w:rFonts w:ascii="黑体" w:eastAsia="黑体" w:hAnsi="黑体" w:hint="eastAsia"/>
          <w:color w:val="000000"/>
          <w:szCs w:val="21"/>
        </w:rPr>
        <w:t>、</w:t>
      </w:r>
      <w:r w:rsidR="004B00A5">
        <w:rPr>
          <w:rFonts w:ascii="黑体" w:eastAsia="黑体" w:hAnsi="黑体"/>
          <w:color w:val="000000"/>
          <w:szCs w:val="21"/>
        </w:rPr>
        <w:t>HBi59-1</w:t>
      </w:r>
      <w:r w:rsidR="004B00A5">
        <w:rPr>
          <w:rFonts w:ascii="黑体" w:eastAsia="黑体" w:hAnsi="黑体" w:hint="eastAsia"/>
          <w:color w:val="000000"/>
          <w:szCs w:val="21"/>
        </w:rPr>
        <w:t>.5、</w:t>
      </w:r>
      <w:r>
        <w:rPr>
          <w:rFonts w:ascii="黑体" w:eastAsia="黑体" w:hAnsi="黑体" w:hint="eastAsia"/>
          <w:color w:val="000000"/>
          <w:szCs w:val="21"/>
        </w:rPr>
        <w:t>HBi59-2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抗拉强度、伸长率</w:t>
      </w:r>
    </w:p>
    <w:p w14:paraId="0729B77F"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122</w:t>
      </w:r>
      <w:r>
        <w:rPr>
          <w:rFonts w:ascii="Times New Roman" w:hAnsi="Times New Roman" w:cs="Times New Roman"/>
          <w:kern w:val="0"/>
          <w:szCs w:val="21"/>
        </w:rPr>
        <w:t>个，平均值</w:t>
      </w:r>
      <w:r>
        <w:rPr>
          <w:rFonts w:ascii="Times New Roman" w:hAnsi="Times New Roman" w:cs="Times New Roman" w:hint="eastAsia"/>
          <w:kern w:val="0"/>
          <w:szCs w:val="21"/>
        </w:rPr>
        <w:t>431.54</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40.7865</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97.72%</w:t>
      </w:r>
      <w:r>
        <w:rPr>
          <w:rFonts w:ascii="Times New Roman" w:hAnsi="Times New Roman" w:cs="Times New Roman" w:hint="eastAsia"/>
          <w:kern w:val="0"/>
        </w:rPr>
        <w:t>。</w:t>
      </w:r>
    </w:p>
    <w:p w14:paraId="0516BFC9"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122</w:t>
      </w:r>
      <w:r>
        <w:rPr>
          <w:rFonts w:ascii="Times New Roman" w:hAnsi="Times New Roman" w:cs="Times New Roman"/>
          <w:kern w:val="0"/>
        </w:rPr>
        <w:t>个，平均值</w:t>
      </w:r>
      <w:r>
        <w:rPr>
          <w:rFonts w:ascii="Times New Roman" w:hAnsi="Times New Roman" w:cs="Times New Roman" w:hint="eastAsia"/>
          <w:kern w:val="0"/>
        </w:rPr>
        <w:t>16.43</w:t>
      </w:r>
      <w:r>
        <w:rPr>
          <w:rFonts w:ascii="Times New Roman" w:hAnsi="Times New Roman" w:cs="Times New Roman"/>
          <w:kern w:val="0"/>
        </w:rPr>
        <w:t>，标准差</w:t>
      </w:r>
      <w:r>
        <w:rPr>
          <w:rFonts w:ascii="Times New Roman" w:hAnsi="Times New Roman" w:cs="Times New Roman" w:hint="eastAsia"/>
          <w:kern w:val="0"/>
        </w:rPr>
        <w:t>4.5761</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8</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96.72%</w:t>
      </w:r>
      <w:r>
        <w:rPr>
          <w:rFonts w:ascii="Times New Roman" w:hAnsi="Times New Roman" w:cs="Times New Roman" w:hint="eastAsia"/>
          <w:kern w:val="0"/>
        </w:rPr>
        <w:t>。</w:t>
      </w:r>
    </w:p>
    <w:p w14:paraId="064C2238" w14:textId="77777777" w:rsidR="004426E6" w:rsidRDefault="004426E6">
      <w:pPr>
        <w:ind w:firstLineChars="200" w:firstLine="420"/>
        <w:contextualSpacing/>
        <w:jc w:val="left"/>
        <w:rPr>
          <w:rFonts w:ascii="黑体" w:eastAsia="黑体" w:hAnsi="黑体" w:hint="eastAsia"/>
          <w:color w:val="000000"/>
          <w:szCs w:val="21"/>
        </w:rPr>
      </w:pPr>
    </w:p>
    <w:p w14:paraId="0D8BE098" w14:textId="77777777" w:rsidR="004426E6" w:rsidRDefault="00000000">
      <w:pPr>
        <w:pStyle w:val="a0"/>
        <w:jc w:val="center"/>
      </w:pPr>
      <w:r>
        <w:rPr>
          <w:noProof/>
        </w:rPr>
        <w:drawing>
          <wp:inline distT="0" distB="0" distL="0" distR="0" wp14:anchorId="5CE741E2" wp14:editId="2ED757CA">
            <wp:extent cx="2456180" cy="1861185"/>
            <wp:effectExtent l="0" t="0" r="1270" b="5715"/>
            <wp:docPr id="1607237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37659" name="图片 1"/>
                    <pic:cNvPicPr>
                      <a:picLocks noChangeAspect="1"/>
                    </pic:cNvPicPr>
                  </pic:nvPicPr>
                  <pic:blipFill>
                    <a:blip r:embed="rId63"/>
                    <a:stretch>
                      <a:fillRect/>
                    </a:stretch>
                  </pic:blipFill>
                  <pic:spPr>
                    <a:xfrm>
                      <a:off x="0" y="0"/>
                      <a:ext cx="2456678" cy="1861200"/>
                    </a:xfrm>
                    <a:prstGeom prst="rect">
                      <a:avLst/>
                    </a:prstGeom>
                  </pic:spPr>
                </pic:pic>
              </a:graphicData>
            </a:graphic>
          </wp:inline>
        </w:drawing>
      </w:r>
      <w:r>
        <w:rPr>
          <w:noProof/>
        </w:rPr>
        <w:drawing>
          <wp:inline distT="0" distB="0" distL="0" distR="0" wp14:anchorId="164FAE50" wp14:editId="09DEE2F2">
            <wp:extent cx="2433955" cy="1861185"/>
            <wp:effectExtent l="0" t="0" r="4445" b="5715"/>
            <wp:docPr id="20208683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68363" name="图片 1"/>
                    <pic:cNvPicPr>
                      <a:picLocks noChangeAspect="1"/>
                    </pic:cNvPicPr>
                  </pic:nvPicPr>
                  <pic:blipFill>
                    <a:blip r:embed="rId64"/>
                    <a:stretch>
                      <a:fillRect/>
                    </a:stretch>
                  </pic:blipFill>
                  <pic:spPr>
                    <a:xfrm>
                      <a:off x="0" y="0"/>
                      <a:ext cx="2433967" cy="1861200"/>
                    </a:xfrm>
                    <a:prstGeom prst="rect">
                      <a:avLst/>
                    </a:prstGeom>
                  </pic:spPr>
                </pic:pic>
              </a:graphicData>
            </a:graphic>
          </wp:inline>
        </w:drawing>
      </w:r>
    </w:p>
    <w:p w14:paraId="119670AC" w14:textId="0759045D"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图57、图58</w:t>
      </w:r>
      <w:r>
        <w:rPr>
          <w:rFonts w:ascii="黑体" w:eastAsia="黑体" w:hAnsi="黑体"/>
          <w:color w:val="000000"/>
          <w:szCs w:val="21"/>
        </w:rPr>
        <w:t xml:space="preserve"> HBi58-1.5、HBi60-1.3、HBi60-1-0.05、HBi62-1.4-1、HBi59-1</w:t>
      </w:r>
      <w:r>
        <w:rPr>
          <w:rFonts w:ascii="黑体" w:eastAsia="黑体" w:hAnsi="黑体" w:hint="eastAsia"/>
          <w:color w:val="000000"/>
          <w:szCs w:val="21"/>
        </w:rPr>
        <w:t>、</w:t>
      </w:r>
      <w:r w:rsidR="004B00A5">
        <w:rPr>
          <w:rFonts w:ascii="黑体" w:eastAsia="黑体" w:hAnsi="黑体"/>
          <w:color w:val="000000"/>
          <w:szCs w:val="21"/>
        </w:rPr>
        <w:t>HBi59-1</w:t>
      </w:r>
      <w:r w:rsidR="004B00A5">
        <w:rPr>
          <w:rFonts w:ascii="黑体" w:eastAsia="黑体" w:hAnsi="黑体" w:hint="eastAsia"/>
          <w:color w:val="000000"/>
          <w:szCs w:val="21"/>
        </w:rPr>
        <w:t>.5、</w:t>
      </w:r>
      <w:r>
        <w:rPr>
          <w:rFonts w:ascii="黑体" w:eastAsia="黑体" w:hAnsi="黑体" w:hint="eastAsia"/>
          <w:color w:val="000000"/>
          <w:szCs w:val="21"/>
        </w:rPr>
        <w:t>HBi59-2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抗拉强度、伸长率</w:t>
      </w:r>
    </w:p>
    <w:p w14:paraId="1E68EC4F"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108</w:t>
      </w:r>
      <w:r>
        <w:rPr>
          <w:rFonts w:ascii="Times New Roman" w:hAnsi="Times New Roman" w:cs="Times New Roman"/>
          <w:kern w:val="0"/>
          <w:szCs w:val="21"/>
        </w:rPr>
        <w:t>个，平均值</w:t>
      </w:r>
      <w:r>
        <w:rPr>
          <w:rFonts w:ascii="Times New Roman" w:hAnsi="Times New Roman" w:cs="Times New Roman" w:hint="eastAsia"/>
          <w:kern w:val="0"/>
          <w:szCs w:val="21"/>
        </w:rPr>
        <w:t>468.37</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38.1379</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96.35%</w:t>
      </w:r>
      <w:r>
        <w:rPr>
          <w:rFonts w:ascii="Times New Roman" w:hAnsi="Times New Roman" w:cs="Times New Roman" w:hint="eastAsia"/>
          <w:kern w:val="0"/>
        </w:rPr>
        <w:t>。</w:t>
      </w:r>
    </w:p>
    <w:p w14:paraId="3A3E4367"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108</w:t>
      </w:r>
      <w:r>
        <w:rPr>
          <w:rFonts w:ascii="Times New Roman" w:hAnsi="Times New Roman" w:cs="Times New Roman"/>
          <w:kern w:val="0"/>
        </w:rPr>
        <w:t>个，平均值</w:t>
      </w:r>
      <w:r>
        <w:rPr>
          <w:rFonts w:ascii="Times New Roman" w:hAnsi="Times New Roman" w:cs="Times New Roman" w:hint="eastAsia"/>
          <w:kern w:val="0"/>
        </w:rPr>
        <w:t>7.31</w:t>
      </w:r>
      <w:r>
        <w:rPr>
          <w:rFonts w:ascii="Times New Roman" w:hAnsi="Times New Roman" w:cs="Times New Roman"/>
          <w:kern w:val="0"/>
        </w:rPr>
        <w:t>，标准差</w:t>
      </w:r>
      <w:r>
        <w:rPr>
          <w:rFonts w:ascii="Times New Roman" w:hAnsi="Times New Roman" w:cs="Times New Roman" w:hint="eastAsia"/>
          <w:kern w:val="0"/>
        </w:rPr>
        <w:t>1.9510</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95.53%</w:t>
      </w:r>
      <w:r>
        <w:rPr>
          <w:rFonts w:ascii="Times New Roman" w:hAnsi="Times New Roman" w:cs="Times New Roman" w:hint="eastAsia"/>
          <w:kern w:val="0"/>
        </w:rPr>
        <w:t>。</w:t>
      </w:r>
    </w:p>
    <w:p w14:paraId="13543468" w14:textId="77777777" w:rsidR="004426E6" w:rsidRDefault="00000000">
      <w:pPr>
        <w:spacing w:line="380" w:lineRule="exact"/>
        <w:ind w:firstLineChars="200" w:firstLine="420"/>
        <w:jc w:val="left"/>
        <w:rPr>
          <w:rFonts w:ascii="黑体" w:eastAsia="黑体" w:hAnsi="黑体" w:hint="eastAsia"/>
          <w:color w:val="000000"/>
          <w:szCs w:val="21"/>
        </w:rPr>
      </w:pPr>
      <w:r>
        <w:rPr>
          <w:rFonts w:ascii="黑体" w:eastAsia="黑体" w:hAnsi="黑体" w:cs="黑体" w:hint="eastAsia"/>
          <w:caps/>
          <w:szCs w:val="21"/>
        </w:rPr>
        <w:t xml:space="preserve">3.4.9 </w:t>
      </w:r>
      <w:r>
        <w:rPr>
          <w:rFonts w:ascii="黑体" w:eastAsia="黑体" w:hAnsi="黑体" w:hint="eastAsia"/>
          <w:color w:val="000000"/>
          <w:szCs w:val="21"/>
        </w:rPr>
        <w:t>Q</w:t>
      </w:r>
      <w:r>
        <w:rPr>
          <w:rFonts w:ascii="黑体" w:eastAsia="黑体" w:hAnsi="黑体"/>
          <w:color w:val="000000"/>
          <w:szCs w:val="21"/>
        </w:rPr>
        <w:t>Sn4.6-1-0.2、QSn4-4-4</w:t>
      </w:r>
    </w:p>
    <w:p w14:paraId="03A4B9C0" w14:textId="77777777" w:rsidR="004426E6" w:rsidRDefault="00000000">
      <w:pPr>
        <w:spacing w:line="380" w:lineRule="exact"/>
        <w:ind w:firstLineChars="200" w:firstLine="420"/>
        <w:jc w:val="left"/>
        <w:rPr>
          <w:rFonts w:ascii="Times New Roman" w:eastAsia="宋体" w:hAnsi="Times New Roman" w:cs="Times New Roman"/>
          <w:kern w:val="0"/>
          <w:szCs w:val="21"/>
        </w:rPr>
      </w:pPr>
      <w:r>
        <w:rPr>
          <w:rFonts w:ascii="黑体" w:eastAsia="黑体" w:hAnsi="黑体" w:cs="黑体" w:hint="eastAsia"/>
          <w:caps/>
          <w:szCs w:val="21"/>
        </w:rPr>
        <w:t xml:space="preserve">3.4.9.1 </w:t>
      </w:r>
      <w:r>
        <w:rPr>
          <w:rFonts w:ascii="黑体" w:eastAsia="黑体" w:hAnsi="黑体"/>
          <w:color w:val="000000"/>
          <w:szCs w:val="21"/>
        </w:rPr>
        <w:t>QSn4.6-1-0.2、QSn4-4-4</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317FBACE" w14:textId="77777777" w:rsidR="004426E6" w:rsidRDefault="00000000">
      <w:pPr>
        <w:pStyle w:val="a0"/>
        <w:jc w:val="center"/>
      </w:pPr>
      <w:r>
        <w:rPr>
          <w:noProof/>
        </w:rPr>
        <w:lastRenderedPageBreak/>
        <w:drawing>
          <wp:inline distT="0" distB="0" distL="0" distR="0" wp14:anchorId="46B51403" wp14:editId="2BCD967A">
            <wp:extent cx="2470785" cy="1861185"/>
            <wp:effectExtent l="0" t="0" r="5715" b="5715"/>
            <wp:docPr id="11383050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05081" name="图片 1"/>
                    <pic:cNvPicPr>
                      <a:picLocks noChangeAspect="1"/>
                    </pic:cNvPicPr>
                  </pic:nvPicPr>
                  <pic:blipFill>
                    <a:blip r:embed="rId65"/>
                    <a:stretch>
                      <a:fillRect/>
                    </a:stretch>
                  </pic:blipFill>
                  <pic:spPr>
                    <a:xfrm>
                      <a:off x="0" y="0"/>
                      <a:ext cx="2471138" cy="1861200"/>
                    </a:xfrm>
                    <a:prstGeom prst="rect">
                      <a:avLst/>
                    </a:prstGeom>
                  </pic:spPr>
                </pic:pic>
              </a:graphicData>
            </a:graphic>
          </wp:inline>
        </w:drawing>
      </w:r>
      <w:r>
        <w:rPr>
          <w:noProof/>
        </w:rPr>
        <w:drawing>
          <wp:inline distT="0" distB="0" distL="0" distR="0" wp14:anchorId="09128291" wp14:editId="2627A9A7">
            <wp:extent cx="2392045" cy="1861185"/>
            <wp:effectExtent l="0" t="0" r="8255" b="5715"/>
            <wp:docPr id="11164858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85813" name="图片 1"/>
                    <pic:cNvPicPr>
                      <a:picLocks noChangeAspect="1"/>
                    </pic:cNvPicPr>
                  </pic:nvPicPr>
                  <pic:blipFill>
                    <a:blip r:embed="rId66"/>
                    <a:stretch>
                      <a:fillRect/>
                    </a:stretch>
                  </pic:blipFill>
                  <pic:spPr>
                    <a:xfrm>
                      <a:off x="0" y="0"/>
                      <a:ext cx="2392357" cy="1861200"/>
                    </a:xfrm>
                    <a:prstGeom prst="rect">
                      <a:avLst/>
                    </a:prstGeom>
                  </pic:spPr>
                </pic:pic>
              </a:graphicData>
            </a:graphic>
          </wp:inline>
        </w:drawing>
      </w:r>
    </w:p>
    <w:p w14:paraId="1DBA7BE4"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图59、图60</w:t>
      </w:r>
      <w:r>
        <w:rPr>
          <w:rFonts w:ascii="黑体" w:eastAsia="黑体" w:hAnsi="黑体"/>
          <w:color w:val="000000"/>
          <w:szCs w:val="21"/>
        </w:rPr>
        <w:t xml:space="preserve"> QSn4.6-1-0.2、QSn4-4-4</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r>
        <w:rPr>
          <w:rFonts w:ascii="黑体" w:eastAsia="黑体" w:hAnsi="黑体" w:hint="eastAsia"/>
          <w:color w:val="000000"/>
          <w:szCs w:val="21"/>
        </w:rPr>
        <w:t>抗拉强度、伸长率</w:t>
      </w:r>
    </w:p>
    <w:p w14:paraId="3EA4F119"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121</w:t>
      </w:r>
      <w:r>
        <w:rPr>
          <w:rFonts w:ascii="Times New Roman" w:hAnsi="Times New Roman" w:cs="Times New Roman"/>
          <w:kern w:val="0"/>
          <w:szCs w:val="21"/>
        </w:rPr>
        <w:t>个，平均值</w:t>
      </w:r>
      <w:r>
        <w:rPr>
          <w:rFonts w:ascii="Times New Roman" w:hAnsi="Times New Roman" w:cs="Times New Roman" w:hint="eastAsia"/>
          <w:kern w:val="0"/>
          <w:szCs w:val="21"/>
        </w:rPr>
        <w:t>542.22</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31.4347</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480M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97.61%</w:t>
      </w:r>
      <w:r>
        <w:rPr>
          <w:rFonts w:ascii="Times New Roman" w:hAnsi="Times New Roman" w:cs="Times New Roman" w:hint="eastAsia"/>
          <w:kern w:val="0"/>
        </w:rPr>
        <w:t>。</w:t>
      </w:r>
    </w:p>
    <w:p w14:paraId="58C222FF"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121</w:t>
      </w:r>
      <w:r>
        <w:rPr>
          <w:rFonts w:ascii="Times New Roman" w:hAnsi="Times New Roman" w:cs="Times New Roman"/>
          <w:kern w:val="0"/>
        </w:rPr>
        <w:t>个，平均值</w:t>
      </w:r>
      <w:r>
        <w:rPr>
          <w:rFonts w:ascii="Times New Roman" w:hAnsi="Times New Roman" w:cs="Times New Roman" w:hint="eastAsia"/>
          <w:kern w:val="0"/>
        </w:rPr>
        <w:t>9.19</w:t>
      </w:r>
      <w:r>
        <w:rPr>
          <w:rFonts w:ascii="Times New Roman" w:hAnsi="Times New Roman" w:cs="Times New Roman"/>
          <w:kern w:val="0"/>
        </w:rPr>
        <w:t>，标准差</w:t>
      </w:r>
      <w:r>
        <w:rPr>
          <w:rFonts w:ascii="Times New Roman" w:hAnsi="Times New Roman" w:cs="Times New Roman" w:hint="eastAsia"/>
          <w:kern w:val="0"/>
        </w:rPr>
        <w:t>2.6436</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97.52%</w:t>
      </w:r>
      <w:r>
        <w:rPr>
          <w:rFonts w:ascii="Times New Roman" w:hAnsi="Times New Roman" w:cs="Times New Roman" w:hint="eastAsia"/>
          <w:kern w:val="0"/>
        </w:rPr>
        <w:t>。</w:t>
      </w:r>
    </w:p>
    <w:p w14:paraId="0516690F" w14:textId="77777777" w:rsidR="004426E6" w:rsidRDefault="00000000">
      <w:pPr>
        <w:spacing w:line="380" w:lineRule="exact"/>
        <w:ind w:firstLineChars="200" w:firstLine="420"/>
        <w:jc w:val="left"/>
        <w:rPr>
          <w:rFonts w:ascii="Times New Roman" w:eastAsia="宋体" w:hAnsi="Times New Roman" w:cs="Times New Roman"/>
          <w:kern w:val="0"/>
          <w:szCs w:val="21"/>
        </w:rPr>
      </w:pPr>
      <w:r>
        <w:rPr>
          <w:rFonts w:ascii="黑体" w:eastAsia="黑体" w:hAnsi="黑体" w:cs="黑体" w:hint="eastAsia"/>
          <w:caps/>
          <w:szCs w:val="21"/>
        </w:rPr>
        <w:t xml:space="preserve">3.4.9.2 </w:t>
      </w:r>
      <w:r>
        <w:rPr>
          <w:rFonts w:ascii="黑体" w:eastAsia="黑体" w:hAnsi="黑体"/>
          <w:color w:val="000000"/>
          <w:szCs w:val="21"/>
        </w:rPr>
        <w:t>QSn4.6-1-0.2、QSn4-4-4</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p>
    <w:p w14:paraId="21834850" w14:textId="77777777" w:rsidR="004426E6" w:rsidRDefault="00000000">
      <w:pPr>
        <w:pStyle w:val="a0"/>
        <w:jc w:val="center"/>
      </w:pPr>
      <w:r>
        <w:rPr>
          <w:noProof/>
        </w:rPr>
        <w:drawing>
          <wp:inline distT="0" distB="0" distL="0" distR="0" wp14:anchorId="5AA42F41" wp14:editId="67B5A44E">
            <wp:extent cx="2505710" cy="1861185"/>
            <wp:effectExtent l="0" t="0" r="8890" b="5715"/>
            <wp:docPr id="490284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4835" name="图片 1"/>
                    <pic:cNvPicPr>
                      <a:picLocks noChangeAspect="1"/>
                    </pic:cNvPicPr>
                  </pic:nvPicPr>
                  <pic:blipFill>
                    <a:blip r:embed="rId67"/>
                    <a:stretch>
                      <a:fillRect/>
                    </a:stretch>
                  </pic:blipFill>
                  <pic:spPr>
                    <a:xfrm>
                      <a:off x="0" y="0"/>
                      <a:ext cx="2506224" cy="1861200"/>
                    </a:xfrm>
                    <a:prstGeom prst="rect">
                      <a:avLst/>
                    </a:prstGeom>
                  </pic:spPr>
                </pic:pic>
              </a:graphicData>
            </a:graphic>
          </wp:inline>
        </w:drawing>
      </w:r>
      <w:r>
        <w:rPr>
          <w:noProof/>
        </w:rPr>
        <w:drawing>
          <wp:inline distT="0" distB="0" distL="0" distR="0" wp14:anchorId="3E6D406B" wp14:editId="004D1AEC">
            <wp:extent cx="2444115" cy="1861185"/>
            <wp:effectExtent l="0" t="0" r="0" b="5715"/>
            <wp:docPr id="8754244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24480" name="图片 1"/>
                    <pic:cNvPicPr>
                      <a:picLocks noChangeAspect="1"/>
                    </pic:cNvPicPr>
                  </pic:nvPicPr>
                  <pic:blipFill>
                    <a:blip r:embed="rId68"/>
                    <a:stretch>
                      <a:fillRect/>
                    </a:stretch>
                  </pic:blipFill>
                  <pic:spPr>
                    <a:xfrm>
                      <a:off x="0" y="0"/>
                      <a:ext cx="2444692" cy="1861200"/>
                    </a:xfrm>
                    <a:prstGeom prst="rect">
                      <a:avLst/>
                    </a:prstGeom>
                  </pic:spPr>
                </pic:pic>
              </a:graphicData>
            </a:graphic>
          </wp:inline>
        </w:drawing>
      </w:r>
    </w:p>
    <w:p w14:paraId="3A382E77"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图61、图62</w:t>
      </w:r>
      <w:r>
        <w:rPr>
          <w:rFonts w:ascii="黑体" w:eastAsia="黑体" w:hAnsi="黑体"/>
          <w:color w:val="000000"/>
          <w:szCs w:val="21"/>
        </w:rPr>
        <w:t xml:space="preserve"> QSn4.6-1-0.2、QSn4-4-4</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47C90F02"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130</w:t>
      </w:r>
      <w:r>
        <w:rPr>
          <w:rFonts w:ascii="Times New Roman" w:hAnsi="Times New Roman" w:cs="Times New Roman"/>
          <w:kern w:val="0"/>
          <w:szCs w:val="21"/>
        </w:rPr>
        <w:t>个，平均值</w:t>
      </w:r>
      <w:r>
        <w:rPr>
          <w:rFonts w:ascii="Times New Roman" w:hAnsi="Times New Roman" w:cs="Times New Roman" w:hint="eastAsia"/>
          <w:kern w:val="0"/>
          <w:szCs w:val="21"/>
        </w:rPr>
        <w:t>517.46</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32.7725</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98.02%</w:t>
      </w:r>
      <w:r>
        <w:rPr>
          <w:rFonts w:ascii="Times New Roman" w:hAnsi="Times New Roman" w:cs="Times New Roman" w:hint="eastAsia"/>
          <w:kern w:val="0"/>
        </w:rPr>
        <w:t>。</w:t>
      </w:r>
    </w:p>
    <w:p w14:paraId="0751A02A"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130</w:t>
      </w:r>
      <w:r>
        <w:rPr>
          <w:rFonts w:ascii="Times New Roman" w:hAnsi="Times New Roman" w:cs="Times New Roman"/>
          <w:kern w:val="0"/>
        </w:rPr>
        <w:t>个，平均值</w:t>
      </w:r>
      <w:r>
        <w:rPr>
          <w:rFonts w:ascii="Times New Roman" w:hAnsi="Times New Roman" w:cs="Times New Roman" w:hint="eastAsia"/>
          <w:kern w:val="0"/>
        </w:rPr>
        <w:t>11.34</w:t>
      </w:r>
      <w:r>
        <w:rPr>
          <w:rFonts w:ascii="Times New Roman" w:hAnsi="Times New Roman" w:cs="Times New Roman"/>
          <w:kern w:val="0"/>
        </w:rPr>
        <w:t>，标准差</w:t>
      </w:r>
      <w:r>
        <w:rPr>
          <w:rFonts w:ascii="Times New Roman" w:hAnsi="Times New Roman" w:cs="Times New Roman" w:hint="eastAsia"/>
          <w:kern w:val="0"/>
        </w:rPr>
        <w:t>2.6779</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97.69%</w:t>
      </w:r>
      <w:r>
        <w:rPr>
          <w:rFonts w:ascii="Times New Roman" w:hAnsi="Times New Roman" w:cs="Times New Roman" w:hint="eastAsia"/>
          <w:kern w:val="0"/>
        </w:rPr>
        <w:t>。</w:t>
      </w:r>
    </w:p>
    <w:p w14:paraId="5D3E5E9A" w14:textId="77777777" w:rsidR="004426E6" w:rsidRDefault="00000000">
      <w:pPr>
        <w:spacing w:line="380" w:lineRule="exact"/>
        <w:ind w:firstLineChars="200" w:firstLine="420"/>
        <w:jc w:val="left"/>
        <w:rPr>
          <w:rFonts w:ascii="Times New Roman" w:eastAsia="宋体" w:hAnsi="Times New Roman" w:cs="Times New Roman"/>
          <w:kern w:val="0"/>
          <w:szCs w:val="21"/>
        </w:rPr>
      </w:pPr>
      <w:r>
        <w:rPr>
          <w:rFonts w:ascii="黑体" w:eastAsia="黑体" w:hAnsi="黑体" w:cs="黑体" w:hint="eastAsia"/>
          <w:caps/>
          <w:szCs w:val="21"/>
        </w:rPr>
        <w:t xml:space="preserve">3.4.9.3 </w:t>
      </w:r>
      <w:r>
        <w:rPr>
          <w:rFonts w:ascii="黑体" w:eastAsia="黑体" w:hAnsi="黑体"/>
          <w:color w:val="000000"/>
          <w:szCs w:val="21"/>
        </w:rPr>
        <w:t>QSn4.6-1-0.2、QSn4-4-4</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178DAA14" w14:textId="77777777" w:rsidR="004426E6" w:rsidRDefault="00000000">
      <w:pPr>
        <w:contextualSpacing/>
        <w:jc w:val="center"/>
        <w:rPr>
          <w:rFonts w:ascii="黑体" w:eastAsia="黑体" w:hAnsi="黑体" w:hint="eastAsia"/>
          <w:color w:val="000000"/>
          <w:szCs w:val="21"/>
        </w:rPr>
      </w:pPr>
      <w:r>
        <w:rPr>
          <w:rFonts w:ascii="黑体" w:eastAsia="黑体" w:hAnsi="黑体"/>
          <w:noProof/>
          <w:color w:val="000000"/>
          <w:szCs w:val="21"/>
        </w:rPr>
        <w:drawing>
          <wp:inline distT="0" distB="0" distL="0" distR="0" wp14:anchorId="290E7F3E" wp14:editId="2C342725">
            <wp:extent cx="2449195" cy="1861185"/>
            <wp:effectExtent l="0" t="0" r="8255" b="5715"/>
            <wp:docPr id="11257293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29391" name="图片 1"/>
                    <pic:cNvPicPr>
                      <a:picLocks noChangeAspect="1"/>
                    </pic:cNvPicPr>
                  </pic:nvPicPr>
                  <pic:blipFill>
                    <a:blip r:embed="rId69"/>
                    <a:stretch>
                      <a:fillRect/>
                    </a:stretch>
                  </pic:blipFill>
                  <pic:spPr>
                    <a:xfrm>
                      <a:off x="0" y="0"/>
                      <a:ext cx="2449318" cy="1861200"/>
                    </a:xfrm>
                    <a:prstGeom prst="rect">
                      <a:avLst/>
                    </a:prstGeom>
                  </pic:spPr>
                </pic:pic>
              </a:graphicData>
            </a:graphic>
          </wp:inline>
        </w:drawing>
      </w:r>
      <w:r>
        <w:rPr>
          <w:rFonts w:ascii="黑体" w:eastAsia="黑体" w:hAnsi="黑体"/>
          <w:noProof/>
          <w:color w:val="000000"/>
          <w:szCs w:val="21"/>
        </w:rPr>
        <w:drawing>
          <wp:inline distT="0" distB="0" distL="0" distR="0" wp14:anchorId="67CE9274" wp14:editId="7AD54813">
            <wp:extent cx="2461895" cy="1861185"/>
            <wp:effectExtent l="0" t="0" r="0" b="5715"/>
            <wp:docPr id="681153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5370" name="图片 1"/>
                    <pic:cNvPicPr>
                      <a:picLocks noChangeAspect="1"/>
                    </pic:cNvPicPr>
                  </pic:nvPicPr>
                  <pic:blipFill>
                    <a:blip r:embed="rId70"/>
                    <a:stretch>
                      <a:fillRect/>
                    </a:stretch>
                  </pic:blipFill>
                  <pic:spPr>
                    <a:xfrm>
                      <a:off x="0" y="0"/>
                      <a:ext cx="2462130" cy="1861200"/>
                    </a:xfrm>
                    <a:prstGeom prst="rect">
                      <a:avLst/>
                    </a:prstGeom>
                  </pic:spPr>
                </pic:pic>
              </a:graphicData>
            </a:graphic>
          </wp:inline>
        </w:drawing>
      </w:r>
    </w:p>
    <w:p w14:paraId="0391578C"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lastRenderedPageBreak/>
        <w:t>图63、图64</w:t>
      </w:r>
      <w:r>
        <w:rPr>
          <w:rFonts w:ascii="黑体" w:eastAsia="黑体" w:hAnsi="黑体"/>
          <w:color w:val="000000"/>
          <w:szCs w:val="21"/>
        </w:rPr>
        <w:t xml:space="preserve"> QSn4.6-1-0.2、QSn4-4-4</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抗拉强度、伸长率</w:t>
      </w:r>
    </w:p>
    <w:p w14:paraId="3CC034C1"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130</w:t>
      </w:r>
      <w:r>
        <w:rPr>
          <w:rFonts w:ascii="Times New Roman" w:hAnsi="Times New Roman" w:cs="Times New Roman"/>
          <w:kern w:val="0"/>
          <w:szCs w:val="21"/>
        </w:rPr>
        <w:t>个，平均值</w:t>
      </w:r>
      <w:r>
        <w:rPr>
          <w:rFonts w:ascii="Times New Roman" w:hAnsi="Times New Roman" w:cs="Times New Roman" w:hint="eastAsia"/>
          <w:kern w:val="0"/>
          <w:szCs w:val="21"/>
        </w:rPr>
        <w:t>494.87</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33.1011</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430M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97.50%</w:t>
      </w:r>
      <w:r>
        <w:rPr>
          <w:rFonts w:ascii="Times New Roman" w:hAnsi="Times New Roman" w:cs="Times New Roman" w:hint="eastAsia"/>
          <w:kern w:val="0"/>
        </w:rPr>
        <w:t>。</w:t>
      </w:r>
    </w:p>
    <w:p w14:paraId="136574F0"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130</w:t>
      </w:r>
      <w:r>
        <w:rPr>
          <w:rFonts w:ascii="Times New Roman" w:hAnsi="Times New Roman" w:cs="Times New Roman"/>
          <w:kern w:val="0"/>
        </w:rPr>
        <w:t>个，平均值</w:t>
      </w:r>
      <w:r>
        <w:rPr>
          <w:rFonts w:ascii="Times New Roman" w:hAnsi="Times New Roman" w:cs="Times New Roman" w:hint="eastAsia"/>
          <w:kern w:val="0"/>
        </w:rPr>
        <w:t>12.28</w:t>
      </w:r>
      <w:r>
        <w:rPr>
          <w:rFonts w:ascii="Times New Roman" w:hAnsi="Times New Roman" w:cs="Times New Roman"/>
          <w:kern w:val="0"/>
        </w:rPr>
        <w:t>，标准差</w:t>
      </w:r>
      <w:r>
        <w:rPr>
          <w:rFonts w:ascii="Times New Roman" w:hAnsi="Times New Roman" w:cs="Times New Roman" w:hint="eastAsia"/>
          <w:kern w:val="0"/>
        </w:rPr>
        <w:t>2.5096</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8</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95.61%</w:t>
      </w:r>
      <w:r>
        <w:rPr>
          <w:rFonts w:ascii="Times New Roman" w:hAnsi="Times New Roman" w:cs="Times New Roman" w:hint="eastAsia"/>
          <w:kern w:val="0"/>
        </w:rPr>
        <w:t>。</w:t>
      </w:r>
    </w:p>
    <w:p w14:paraId="3B110B02" w14:textId="77777777" w:rsidR="004426E6" w:rsidRDefault="00000000">
      <w:pPr>
        <w:spacing w:line="380" w:lineRule="exact"/>
        <w:ind w:firstLineChars="200" w:firstLine="420"/>
        <w:jc w:val="left"/>
        <w:rPr>
          <w:rFonts w:ascii="黑体" w:eastAsia="黑体" w:hAnsi="黑体" w:hint="eastAsia"/>
          <w:color w:val="000000"/>
          <w:szCs w:val="21"/>
        </w:rPr>
      </w:pPr>
      <w:r>
        <w:rPr>
          <w:rFonts w:ascii="黑体" w:eastAsia="黑体" w:hAnsi="黑体" w:cs="黑体" w:hint="eastAsia"/>
          <w:caps/>
          <w:szCs w:val="21"/>
        </w:rPr>
        <w:t xml:space="preserve">3.4.9.4 </w:t>
      </w:r>
      <w:r>
        <w:rPr>
          <w:rFonts w:ascii="黑体" w:eastAsia="黑体" w:hAnsi="黑体"/>
          <w:color w:val="000000"/>
          <w:szCs w:val="21"/>
        </w:rPr>
        <w:t>QSn4.6-1-0.2、QSn4-4-4</w:t>
      </w:r>
      <w:r>
        <w:rPr>
          <w:rFonts w:ascii="黑体" w:eastAsia="黑体" w:hAnsi="黑体" w:hint="eastAsia"/>
          <w:color w:val="000000"/>
          <w:szCs w:val="21"/>
        </w:rPr>
        <w:t xml:space="preserve">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p>
    <w:p w14:paraId="23BB1F22" w14:textId="77777777" w:rsidR="004426E6" w:rsidRDefault="00000000">
      <w:pPr>
        <w:pStyle w:val="a0"/>
        <w:jc w:val="center"/>
      </w:pPr>
      <w:r>
        <w:rPr>
          <w:noProof/>
        </w:rPr>
        <w:drawing>
          <wp:inline distT="0" distB="0" distL="0" distR="0" wp14:anchorId="633AFC3C" wp14:editId="68EB6309">
            <wp:extent cx="2510155" cy="1861185"/>
            <wp:effectExtent l="0" t="0" r="4445" b="5715"/>
            <wp:docPr id="16364927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92739" name="图片 1"/>
                    <pic:cNvPicPr>
                      <a:picLocks noChangeAspect="1"/>
                    </pic:cNvPicPr>
                  </pic:nvPicPr>
                  <pic:blipFill>
                    <a:blip r:embed="rId71"/>
                    <a:stretch>
                      <a:fillRect/>
                    </a:stretch>
                  </pic:blipFill>
                  <pic:spPr>
                    <a:xfrm>
                      <a:off x="0" y="0"/>
                      <a:ext cx="2510274" cy="1861200"/>
                    </a:xfrm>
                    <a:prstGeom prst="rect">
                      <a:avLst/>
                    </a:prstGeom>
                  </pic:spPr>
                </pic:pic>
              </a:graphicData>
            </a:graphic>
          </wp:inline>
        </w:drawing>
      </w:r>
    </w:p>
    <w:p w14:paraId="465DCF22"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图65</w:t>
      </w:r>
      <w:r>
        <w:rPr>
          <w:rFonts w:ascii="黑体" w:eastAsia="黑体" w:hAnsi="黑体"/>
          <w:color w:val="000000"/>
          <w:szCs w:val="21"/>
        </w:rPr>
        <w:t xml:space="preserve"> QSn4.6-1-0.2、QSn4-4-4</w:t>
      </w:r>
      <w:r>
        <w:rPr>
          <w:rFonts w:ascii="黑体" w:eastAsia="黑体" w:hAnsi="黑体" w:hint="eastAsia"/>
          <w:color w:val="000000"/>
          <w:szCs w:val="21"/>
        </w:rPr>
        <w:t xml:space="preserve">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2.</w:t>
      </w:r>
      <w:r>
        <w:rPr>
          <w:rFonts w:ascii="黑体" w:eastAsia="黑体" w:hAnsi="黑体"/>
          <w:color w:val="000000"/>
          <w:szCs w:val="21"/>
        </w:rPr>
        <w:t>0）</w:t>
      </w:r>
      <w:r>
        <w:rPr>
          <w:rFonts w:ascii="黑体" w:eastAsia="黑体" w:hAnsi="黑体" w:hint="eastAsia"/>
          <w:color w:val="000000"/>
          <w:szCs w:val="21"/>
        </w:rPr>
        <w:t>抗拉强度</w:t>
      </w:r>
    </w:p>
    <w:p w14:paraId="17E014C9"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142</w:t>
      </w:r>
      <w:r>
        <w:rPr>
          <w:rFonts w:ascii="Times New Roman" w:hAnsi="Times New Roman" w:cs="Times New Roman"/>
          <w:kern w:val="0"/>
          <w:szCs w:val="21"/>
        </w:rPr>
        <w:t>个，平均值</w:t>
      </w:r>
      <w:r>
        <w:rPr>
          <w:rFonts w:ascii="Times New Roman" w:hAnsi="Times New Roman" w:cs="Times New Roman" w:hint="eastAsia"/>
          <w:kern w:val="0"/>
          <w:szCs w:val="21"/>
        </w:rPr>
        <w:t>582.10</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34.0778</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520M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96.58%</w:t>
      </w:r>
      <w:r>
        <w:rPr>
          <w:rFonts w:ascii="Times New Roman" w:hAnsi="Times New Roman" w:cs="Times New Roman" w:hint="eastAsia"/>
          <w:kern w:val="0"/>
        </w:rPr>
        <w:t>。</w:t>
      </w:r>
    </w:p>
    <w:p w14:paraId="6F207136" w14:textId="77777777" w:rsidR="004426E6" w:rsidRDefault="00000000">
      <w:pPr>
        <w:spacing w:line="380" w:lineRule="exact"/>
        <w:ind w:firstLineChars="200" w:firstLine="420"/>
        <w:jc w:val="left"/>
        <w:rPr>
          <w:rFonts w:ascii="Times New Roman" w:eastAsia="宋体" w:hAnsi="Times New Roman" w:cs="Times New Roman"/>
          <w:kern w:val="0"/>
          <w:szCs w:val="21"/>
        </w:rPr>
      </w:pPr>
      <w:r>
        <w:rPr>
          <w:rFonts w:ascii="黑体" w:eastAsia="黑体" w:hAnsi="黑体" w:cs="黑体" w:hint="eastAsia"/>
          <w:caps/>
          <w:szCs w:val="21"/>
        </w:rPr>
        <w:t xml:space="preserve">3.4.9.5 </w:t>
      </w:r>
      <w:r>
        <w:rPr>
          <w:rFonts w:ascii="黑体" w:eastAsia="黑体" w:hAnsi="黑体"/>
          <w:color w:val="000000"/>
          <w:szCs w:val="21"/>
        </w:rPr>
        <w:t>QSn4.6-1-0.2、QSn4-4-4</w:t>
      </w:r>
      <w:r>
        <w:rPr>
          <w:rFonts w:ascii="黑体" w:eastAsia="黑体" w:hAnsi="黑体" w:hint="eastAsia"/>
          <w:color w:val="000000"/>
          <w:szCs w:val="21"/>
        </w:rPr>
        <w:t xml:space="preserve"> HO4态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p>
    <w:p w14:paraId="6B95C7E7" w14:textId="77777777" w:rsidR="004426E6" w:rsidRDefault="00000000">
      <w:pPr>
        <w:pStyle w:val="a0"/>
        <w:jc w:val="center"/>
      </w:pPr>
      <w:r>
        <w:rPr>
          <w:noProof/>
        </w:rPr>
        <w:drawing>
          <wp:inline distT="0" distB="0" distL="0" distR="0" wp14:anchorId="294336EC" wp14:editId="129ECFBB">
            <wp:extent cx="2374265" cy="1861185"/>
            <wp:effectExtent l="0" t="0" r="6985" b="5715"/>
            <wp:docPr id="9887875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87535" name="图片 1"/>
                    <pic:cNvPicPr>
                      <a:picLocks noChangeAspect="1"/>
                    </pic:cNvPicPr>
                  </pic:nvPicPr>
                  <pic:blipFill>
                    <a:blip r:embed="rId72"/>
                    <a:stretch>
                      <a:fillRect/>
                    </a:stretch>
                  </pic:blipFill>
                  <pic:spPr>
                    <a:xfrm>
                      <a:off x="0" y="0"/>
                      <a:ext cx="2374801" cy="1861200"/>
                    </a:xfrm>
                    <a:prstGeom prst="rect">
                      <a:avLst/>
                    </a:prstGeom>
                  </pic:spPr>
                </pic:pic>
              </a:graphicData>
            </a:graphic>
          </wp:inline>
        </w:drawing>
      </w:r>
    </w:p>
    <w:p w14:paraId="6C3BA562"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图66</w:t>
      </w:r>
      <w:r>
        <w:rPr>
          <w:rFonts w:ascii="黑体" w:eastAsia="黑体" w:hAnsi="黑体"/>
          <w:color w:val="000000"/>
          <w:szCs w:val="21"/>
        </w:rPr>
        <w:t xml:space="preserve"> QSn4.6-1-0.2、QSn4-4-4</w:t>
      </w:r>
      <w:r>
        <w:rPr>
          <w:rFonts w:ascii="黑体" w:eastAsia="黑体" w:hAnsi="黑体" w:hint="eastAsia"/>
          <w:color w:val="000000"/>
          <w:szCs w:val="21"/>
        </w:rPr>
        <w:t xml:space="preserve"> HO4态</w:t>
      </w:r>
      <w:r>
        <w:rPr>
          <w:rFonts w:ascii="黑体" w:eastAsia="黑体" w:hAnsi="黑体"/>
          <w:color w:val="000000"/>
          <w:szCs w:val="21"/>
        </w:rPr>
        <w:t>（规格</w:t>
      </w:r>
      <w:r>
        <w:rPr>
          <w:rFonts w:ascii="黑体" w:eastAsia="黑体" w:hAnsi="黑体" w:hint="eastAsia"/>
          <w:color w:val="000000"/>
          <w:szCs w:val="21"/>
        </w:rPr>
        <w:t>2.0</w:t>
      </w:r>
      <w:r>
        <w:rPr>
          <w:rFonts w:ascii="黑体" w:eastAsia="黑体" w:hAnsi="黑体"/>
          <w:color w:val="000000"/>
          <w:szCs w:val="21"/>
        </w:rPr>
        <w:t>-</w:t>
      </w:r>
      <w:r>
        <w:rPr>
          <w:rFonts w:ascii="黑体" w:eastAsia="黑体" w:hAnsi="黑体" w:hint="eastAsia"/>
          <w:color w:val="000000"/>
          <w:szCs w:val="21"/>
        </w:rPr>
        <w:t>4.</w:t>
      </w:r>
      <w:r>
        <w:rPr>
          <w:rFonts w:ascii="黑体" w:eastAsia="黑体" w:hAnsi="黑体"/>
          <w:color w:val="000000"/>
          <w:szCs w:val="21"/>
        </w:rPr>
        <w:t>0）</w:t>
      </w:r>
      <w:r>
        <w:rPr>
          <w:rFonts w:ascii="黑体" w:eastAsia="黑体" w:hAnsi="黑体" w:hint="eastAsia"/>
          <w:color w:val="000000"/>
          <w:szCs w:val="21"/>
        </w:rPr>
        <w:t>抗拉强度</w:t>
      </w:r>
    </w:p>
    <w:p w14:paraId="4AA41203"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140</w:t>
      </w:r>
      <w:r>
        <w:rPr>
          <w:rFonts w:ascii="Times New Roman" w:hAnsi="Times New Roman" w:cs="Times New Roman"/>
          <w:kern w:val="0"/>
          <w:szCs w:val="21"/>
        </w:rPr>
        <w:t>个，平均值</w:t>
      </w:r>
      <w:r>
        <w:rPr>
          <w:rFonts w:ascii="Times New Roman" w:hAnsi="Times New Roman" w:cs="Times New Roman" w:hint="eastAsia"/>
          <w:kern w:val="0"/>
          <w:szCs w:val="21"/>
        </w:rPr>
        <w:t>556.21</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31.4569</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96.30%</w:t>
      </w:r>
      <w:r>
        <w:rPr>
          <w:rFonts w:ascii="Times New Roman" w:hAnsi="Times New Roman" w:cs="Times New Roman" w:hint="eastAsia"/>
          <w:kern w:val="0"/>
        </w:rPr>
        <w:t>。</w:t>
      </w:r>
    </w:p>
    <w:p w14:paraId="1388AD34"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3.4.9.6 </w:t>
      </w:r>
      <w:r>
        <w:rPr>
          <w:rFonts w:ascii="黑体" w:eastAsia="黑体" w:hAnsi="黑体"/>
          <w:color w:val="000000"/>
          <w:szCs w:val="21"/>
        </w:rPr>
        <w:t>QSn4.6-1-0.2、QS</w:t>
      </w:r>
      <w:r>
        <w:rPr>
          <w:rFonts w:ascii="黑体" w:eastAsia="黑体" w:hAnsi="黑体" w:hint="eastAsia"/>
          <w:color w:val="000000"/>
          <w:szCs w:val="21"/>
        </w:rPr>
        <w:t>n</w:t>
      </w:r>
      <w:r>
        <w:rPr>
          <w:rFonts w:ascii="黑体" w:eastAsia="黑体" w:hAnsi="黑体"/>
          <w:color w:val="000000"/>
          <w:szCs w:val="21"/>
        </w:rPr>
        <w:t>4-4-4</w:t>
      </w:r>
      <w:r>
        <w:rPr>
          <w:rFonts w:ascii="黑体" w:eastAsia="黑体" w:hAnsi="黑体" w:hint="eastAsia"/>
          <w:color w:val="000000"/>
          <w:szCs w:val="21"/>
        </w:rPr>
        <w:t xml:space="preserve"> HO4态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683EB84B" w14:textId="77777777" w:rsidR="004426E6" w:rsidRDefault="00000000">
      <w:pPr>
        <w:pStyle w:val="a0"/>
        <w:jc w:val="center"/>
      </w:pPr>
      <w:r>
        <w:rPr>
          <w:noProof/>
        </w:rPr>
        <w:lastRenderedPageBreak/>
        <w:drawing>
          <wp:inline distT="0" distB="0" distL="0" distR="0" wp14:anchorId="71940429" wp14:editId="567080D2">
            <wp:extent cx="2460625" cy="1861185"/>
            <wp:effectExtent l="0" t="0" r="0" b="5715"/>
            <wp:docPr id="21391311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31175" name="图片 1"/>
                    <pic:cNvPicPr>
                      <a:picLocks noChangeAspect="1"/>
                    </pic:cNvPicPr>
                  </pic:nvPicPr>
                  <pic:blipFill>
                    <a:blip r:embed="rId73"/>
                    <a:stretch>
                      <a:fillRect/>
                    </a:stretch>
                  </pic:blipFill>
                  <pic:spPr>
                    <a:xfrm>
                      <a:off x="0" y="0"/>
                      <a:ext cx="2460959" cy="1861200"/>
                    </a:xfrm>
                    <a:prstGeom prst="rect">
                      <a:avLst/>
                    </a:prstGeom>
                  </pic:spPr>
                </pic:pic>
              </a:graphicData>
            </a:graphic>
          </wp:inline>
        </w:drawing>
      </w:r>
    </w:p>
    <w:p w14:paraId="204B0B1A"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图67</w:t>
      </w:r>
      <w:r>
        <w:rPr>
          <w:rFonts w:ascii="黑体" w:eastAsia="黑体" w:hAnsi="黑体"/>
          <w:color w:val="000000"/>
          <w:szCs w:val="21"/>
        </w:rPr>
        <w:t xml:space="preserve"> QSn4.6-1-0.2、QSn4-4-4</w:t>
      </w:r>
      <w:r>
        <w:rPr>
          <w:rFonts w:ascii="黑体" w:eastAsia="黑体" w:hAnsi="黑体" w:hint="eastAsia"/>
          <w:color w:val="000000"/>
          <w:szCs w:val="21"/>
        </w:rPr>
        <w:t xml:space="preserve"> HO4态</w:t>
      </w:r>
      <w:r>
        <w:rPr>
          <w:rFonts w:ascii="黑体" w:eastAsia="黑体" w:hAnsi="黑体"/>
          <w:color w:val="000000"/>
          <w:szCs w:val="21"/>
        </w:rPr>
        <w:t>（规格</w:t>
      </w:r>
      <w:r>
        <w:rPr>
          <w:rFonts w:ascii="黑体" w:eastAsia="黑体" w:hAnsi="黑体" w:hint="eastAsia"/>
          <w:color w:val="000000"/>
          <w:szCs w:val="21"/>
        </w:rPr>
        <w:t>4.0</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7D6960CE"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122</w:t>
      </w:r>
      <w:r>
        <w:rPr>
          <w:rFonts w:ascii="Times New Roman" w:hAnsi="Times New Roman" w:cs="Times New Roman"/>
          <w:kern w:val="0"/>
          <w:szCs w:val="21"/>
        </w:rPr>
        <w:t>个，平均值</w:t>
      </w:r>
      <w:r>
        <w:rPr>
          <w:rFonts w:ascii="Times New Roman" w:hAnsi="Times New Roman" w:cs="Times New Roman" w:hint="eastAsia"/>
          <w:kern w:val="0"/>
          <w:szCs w:val="21"/>
        </w:rPr>
        <w:t>504.09</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26.9557</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97.76%</w:t>
      </w:r>
      <w:r>
        <w:rPr>
          <w:rFonts w:ascii="Times New Roman" w:hAnsi="Times New Roman" w:cs="Times New Roman" w:hint="eastAsia"/>
          <w:kern w:val="0"/>
        </w:rPr>
        <w:t>。</w:t>
      </w:r>
    </w:p>
    <w:p w14:paraId="0B9B0A10"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3.4.10 </w:t>
      </w:r>
      <w:r>
        <w:rPr>
          <w:rFonts w:ascii="黑体" w:eastAsia="黑体" w:hAnsi="黑体"/>
          <w:color w:val="000000"/>
          <w:szCs w:val="21"/>
        </w:rPr>
        <w:t>HSb61-0.8-0.5</w:t>
      </w:r>
      <w:r>
        <w:rPr>
          <w:rFonts w:ascii="黑体" w:eastAsia="黑体" w:hAnsi="黑体" w:hint="eastAsia"/>
          <w:color w:val="000000"/>
          <w:szCs w:val="21"/>
        </w:rPr>
        <w:t xml:space="preserve"> </w:t>
      </w:r>
    </w:p>
    <w:p w14:paraId="5AEE38AE"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3.4.10.1 </w:t>
      </w:r>
      <w:r>
        <w:rPr>
          <w:rFonts w:ascii="黑体" w:eastAsia="黑体" w:hAnsi="黑体"/>
          <w:color w:val="000000"/>
          <w:szCs w:val="21"/>
        </w:rPr>
        <w:t>HSb61-0.8-0.5</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46ECB1EE" w14:textId="77777777" w:rsidR="004426E6" w:rsidRDefault="00000000">
      <w:pPr>
        <w:pStyle w:val="a0"/>
        <w:jc w:val="center"/>
      </w:pPr>
      <w:r>
        <w:rPr>
          <w:noProof/>
        </w:rPr>
        <w:drawing>
          <wp:inline distT="0" distB="0" distL="0" distR="0" wp14:anchorId="350ACFBB" wp14:editId="7AD011CC">
            <wp:extent cx="2517140" cy="1861185"/>
            <wp:effectExtent l="0" t="0" r="0" b="5715"/>
            <wp:docPr id="4507098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09818" name="图片 1"/>
                    <pic:cNvPicPr>
                      <a:picLocks noChangeAspect="1"/>
                    </pic:cNvPicPr>
                  </pic:nvPicPr>
                  <pic:blipFill>
                    <a:blip r:embed="rId74"/>
                    <a:stretch>
                      <a:fillRect/>
                    </a:stretch>
                  </pic:blipFill>
                  <pic:spPr>
                    <a:xfrm>
                      <a:off x="0" y="0"/>
                      <a:ext cx="2517189" cy="1861200"/>
                    </a:xfrm>
                    <a:prstGeom prst="rect">
                      <a:avLst/>
                    </a:prstGeom>
                  </pic:spPr>
                </pic:pic>
              </a:graphicData>
            </a:graphic>
          </wp:inline>
        </w:drawing>
      </w:r>
      <w:r>
        <w:rPr>
          <w:noProof/>
        </w:rPr>
        <w:drawing>
          <wp:inline distT="0" distB="0" distL="0" distR="0" wp14:anchorId="1B47A949" wp14:editId="273617D5">
            <wp:extent cx="2430145" cy="1861185"/>
            <wp:effectExtent l="0" t="0" r="8255" b="5715"/>
            <wp:docPr id="77875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524" name="图片 1"/>
                    <pic:cNvPicPr>
                      <a:picLocks noChangeAspect="1"/>
                    </pic:cNvPicPr>
                  </pic:nvPicPr>
                  <pic:blipFill>
                    <a:blip r:embed="rId75"/>
                    <a:stretch>
                      <a:fillRect/>
                    </a:stretch>
                  </pic:blipFill>
                  <pic:spPr>
                    <a:xfrm>
                      <a:off x="0" y="0"/>
                      <a:ext cx="2430159" cy="1861200"/>
                    </a:xfrm>
                    <a:prstGeom prst="rect">
                      <a:avLst/>
                    </a:prstGeom>
                  </pic:spPr>
                </pic:pic>
              </a:graphicData>
            </a:graphic>
          </wp:inline>
        </w:drawing>
      </w:r>
    </w:p>
    <w:p w14:paraId="7803F065"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图67、图68</w:t>
      </w:r>
      <w:r>
        <w:rPr>
          <w:rFonts w:ascii="黑体" w:eastAsia="黑体" w:hAnsi="黑体"/>
          <w:color w:val="000000"/>
          <w:szCs w:val="21"/>
        </w:rPr>
        <w:t xml:space="preserve"> HSb61-0.8-0.5</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23F5E9C0"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170</w:t>
      </w:r>
      <w:r>
        <w:rPr>
          <w:rFonts w:ascii="Times New Roman" w:hAnsi="Times New Roman" w:cs="Times New Roman"/>
          <w:kern w:val="0"/>
          <w:szCs w:val="21"/>
        </w:rPr>
        <w:t>个，平均值</w:t>
      </w:r>
      <w:r>
        <w:rPr>
          <w:rFonts w:ascii="Times New Roman" w:hAnsi="Times New Roman" w:cs="Times New Roman" w:hint="eastAsia"/>
          <w:kern w:val="0"/>
          <w:szCs w:val="21"/>
        </w:rPr>
        <w:t>478.35</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46.6677</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380M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98.25%</w:t>
      </w:r>
      <w:r>
        <w:rPr>
          <w:rFonts w:ascii="Times New Roman" w:hAnsi="Times New Roman" w:cs="Times New Roman" w:hint="eastAsia"/>
          <w:kern w:val="0"/>
        </w:rPr>
        <w:t>。</w:t>
      </w:r>
    </w:p>
    <w:p w14:paraId="12781623"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170</w:t>
      </w:r>
      <w:r>
        <w:rPr>
          <w:rFonts w:ascii="Times New Roman" w:hAnsi="Times New Roman" w:cs="Times New Roman"/>
          <w:kern w:val="0"/>
        </w:rPr>
        <w:t>个，平均值</w:t>
      </w:r>
      <w:r>
        <w:rPr>
          <w:rFonts w:ascii="Times New Roman" w:hAnsi="Times New Roman" w:cs="Times New Roman" w:hint="eastAsia"/>
          <w:kern w:val="0"/>
        </w:rPr>
        <w:t>12.01</w:t>
      </w:r>
      <w:r>
        <w:rPr>
          <w:rFonts w:ascii="Times New Roman" w:hAnsi="Times New Roman" w:cs="Times New Roman"/>
          <w:kern w:val="0"/>
        </w:rPr>
        <w:t>，标准差</w:t>
      </w:r>
      <w:r>
        <w:rPr>
          <w:rFonts w:ascii="Times New Roman" w:hAnsi="Times New Roman" w:cs="Times New Roman" w:hint="eastAsia"/>
          <w:kern w:val="0"/>
        </w:rPr>
        <w:t>2.0395</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8</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97.52%</w:t>
      </w:r>
      <w:r>
        <w:rPr>
          <w:rFonts w:ascii="Times New Roman" w:hAnsi="Times New Roman" w:cs="Times New Roman" w:hint="eastAsia"/>
          <w:kern w:val="0"/>
        </w:rPr>
        <w:t>。</w:t>
      </w:r>
    </w:p>
    <w:p w14:paraId="34B49ECA"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3.4.10.2 </w:t>
      </w:r>
      <w:r>
        <w:rPr>
          <w:rFonts w:ascii="黑体" w:eastAsia="黑体" w:hAnsi="黑体"/>
          <w:color w:val="000000"/>
          <w:szCs w:val="21"/>
        </w:rPr>
        <w:t>HSb61-0.8-0.5</w:t>
      </w:r>
      <w:r>
        <w:rPr>
          <w:rFonts w:ascii="黑体" w:eastAsia="黑体" w:hAnsi="黑体" w:hint="eastAsia"/>
          <w:color w:val="000000"/>
          <w:szCs w:val="21"/>
        </w:rPr>
        <w:t xml:space="preserve">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w:t>
      </w:r>
    </w:p>
    <w:p w14:paraId="3FB22E63" w14:textId="77777777" w:rsidR="004426E6" w:rsidRDefault="00000000">
      <w:pPr>
        <w:pStyle w:val="a0"/>
        <w:jc w:val="center"/>
        <w:rPr>
          <w:highlight w:val="yellow"/>
        </w:rPr>
      </w:pPr>
      <w:r>
        <w:rPr>
          <w:noProof/>
        </w:rPr>
        <w:drawing>
          <wp:inline distT="0" distB="0" distL="0" distR="0" wp14:anchorId="613D16B3" wp14:editId="7F9CC670">
            <wp:extent cx="2381885" cy="1861185"/>
            <wp:effectExtent l="0" t="0" r="0" b="5715"/>
            <wp:docPr id="1510317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17292" name="图片 1"/>
                    <pic:cNvPicPr>
                      <a:picLocks noChangeAspect="1"/>
                    </pic:cNvPicPr>
                  </pic:nvPicPr>
                  <pic:blipFill>
                    <a:blip r:embed="rId76"/>
                    <a:stretch>
                      <a:fillRect/>
                    </a:stretch>
                  </pic:blipFill>
                  <pic:spPr>
                    <a:xfrm>
                      <a:off x="0" y="0"/>
                      <a:ext cx="2382085" cy="1861200"/>
                    </a:xfrm>
                    <a:prstGeom prst="rect">
                      <a:avLst/>
                    </a:prstGeom>
                  </pic:spPr>
                </pic:pic>
              </a:graphicData>
            </a:graphic>
          </wp:inline>
        </w:drawing>
      </w:r>
      <w:r>
        <w:rPr>
          <w:noProof/>
        </w:rPr>
        <w:drawing>
          <wp:inline distT="0" distB="0" distL="0" distR="0" wp14:anchorId="3C75A8BB" wp14:editId="08D6D319">
            <wp:extent cx="2527300" cy="1861185"/>
            <wp:effectExtent l="0" t="0" r="6350" b="5715"/>
            <wp:docPr id="1452665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6558" name="图片 1"/>
                    <pic:cNvPicPr>
                      <a:picLocks noChangeAspect="1"/>
                    </pic:cNvPicPr>
                  </pic:nvPicPr>
                  <pic:blipFill>
                    <a:blip r:embed="rId77"/>
                    <a:stretch>
                      <a:fillRect/>
                    </a:stretch>
                  </pic:blipFill>
                  <pic:spPr>
                    <a:xfrm>
                      <a:off x="0" y="0"/>
                      <a:ext cx="2527428" cy="1861200"/>
                    </a:xfrm>
                    <a:prstGeom prst="rect">
                      <a:avLst/>
                    </a:prstGeom>
                  </pic:spPr>
                </pic:pic>
              </a:graphicData>
            </a:graphic>
          </wp:inline>
        </w:drawing>
      </w:r>
    </w:p>
    <w:p w14:paraId="04EF668A"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图69、图70</w:t>
      </w:r>
      <w:r>
        <w:rPr>
          <w:rFonts w:ascii="黑体" w:eastAsia="黑体" w:hAnsi="黑体"/>
          <w:color w:val="000000"/>
          <w:szCs w:val="21"/>
        </w:rPr>
        <w:t xml:space="preserve"> HSb61-0.8-0.5</w:t>
      </w:r>
      <w:r>
        <w:rPr>
          <w:rFonts w:ascii="黑体" w:eastAsia="黑体" w:hAnsi="黑体" w:hint="eastAsia"/>
          <w:color w:val="000000"/>
          <w:szCs w:val="21"/>
        </w:rPr>
        <w:t xml:space="preserve">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4229BDC0"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lastRenderedPageBreak/>
        <w:t>抗拉强度：</w:t>
      </w:r>
      <w:r>
        <w:rPr>
          <w:rFonts w:ascii="Times New Roman" w:hAnsi="Times New Roman" w:cs="Times New Roman"/>
          <w:kern w:val="0"/>
          <w:szCs w:val="21"/>
        </w:rPr>
        <w:t>样本个数</w:t>
      </w:r>
      <w:r>
        <w:rPr>
          <w:rFonts w:ascii="Times New Roman" w:hAnsi="Times New Roman" w:cs="Times New Roman" w:hint="eastAsia"/>
          <w:kern w:val="0"/>
          <w:szCs w:val="21"/>
        </w:rPr>
        <w:t>160</w:t>
      </w:r>
      <w:r>
        <w:rPr>
          <w:rFonts w:ascii="Times New Roman" w:hAnsi="Times New Roman" w:cs="Times New Roman"/>
          <w:kern w:val="0"/>
          <w:szCs w:val="21"/>
        </w:rPr>
        <w:t>个，平均值</w:t>
      </w:r>
      <w:r>
        <w:rPr>
          <w:rFonts w:ascii="Times New Roman" w:hAnsi="Times New Roman" w:cs="Times New Roman" w:hint="eastAsia"/>
          <w:kern w:val="0"/>
          <w:szCs w:val="21"/>
        </w:rPr>
        <w:t>485.31</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42.3065</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97.81%</w:t>
      </w:r>
      <w:r>
        <w:rPr>
          <w:rFonts w:ascii="Times New Roman" w:hAnsi="Times New Roman" w:cs="Times New Roman" w:hint="eastAsia"/>
          <w:kern w:val="0"/>
        </w:rPr>
        <w:t>。</w:t>
      </w:r>
    </w:p>
    <w:p w14:paraId="24C82FA6"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160</w:t>
      </w:r>
      <w:r>
        <w:rPr>
          <w:rFonts w:ascii="Times New Roman" w:hAnsi="Times New Roman" w:cs="Times New Roman"/>
          <w:kern w:val="0"/>
        </w:rPr>
        <w:t>个，平均值</w:t>
      </w:r>
      <w:r>
        <w:rPr>
          <w:rFonts w:ascii="Times New Roman" w:hAnsi="Times New Roman" w:cs="Times New Roman" w:hint="eastAsia"/>
          <w:kern w:val="0"/>
        </w:rPr>
        <w:t>11.09</w:t>
      </w:r>
      <w:r>
        <w:rPr>
          <w:rFonts w:ascii="Times New Roman" w:hAnsi="Times New Roman" w:cs="Times New Roman"/>
          <w:kern w:val="0"/>
        </w:rPr>
        <w:t>，标准差</w:t>
      </w:r>
      <w:r>
        <w:rPr>
          <w:rFonts w:ascii="Times New Roman" w:hAnsi="Times New Roman" w:cs="Times New Roman" w:hint="eastAsia"/>
          <w:kern w:val="0"/>
        </w:rPr>
        <w:t>2.8646</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98.32%</w:t>
      </w:r>
      <w:r>
        <w:rPr>
          <w:rFonts w:ascii="Times New Roman" w:hAnsi="Times New Roman" w:cs="Times New Roman" w:hint="eastAsia"/>
          <w:kern w:val="0"/>
        </w:rPr>
        <w:t>。</w:t>
      </w:r>
    </w:p>
    <w:p w14:paraId="11F23F4D" w14:textId="4EEA55D6"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3.4.11 </w:t>
      </w:r>
      <w:r>
        <w:rPr>
          <w:rFonts w:ascii="黑体" w:eastAsia="黑体" w:hAnsi="黑体"/>
          <w:color w:val="000000"/>
          <w:szCs w:val="21"/>
        </w:rPr>
        <w:t>H</w:t>
      </w:r>
      <w:r>
        <w:rPr>
          <w:rFonts w:ascii="黑体" w:eastAsia="黑体" w:hAnsi="黑体" w:hint="eastAsia"/>
          <w:color w:val="000000"/>
          <w:szCs w:val="21"/>
        </w:rPr>
        <w:t>Si60-0.9</w:t>
      </w:r>
    </w:p>
    <w:p w14:paraId="157328D8" w14:textId="691111F2"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3.4.11.1 </w:t>
      </w:r>
      <w:r>
        <w:rPr>
          <w:rFonts w:ascii="黑体" w:eastAsia="黑体" w:hAnsi="黑体"/>
          <w:color w:val="000000"/>
          <w:szCs w:val="21"/>
        </w:rPr>
        <w:t>H</w:t>
      </w:r>
      <w:r>
        <w:rPr>
          <w:rFonts w:ascii="黑体" w:eastAsia="黑体" w:hAnsi="黑体" w:hint="eastAsia"/>
          <w:color w:val="000000"/>
          <w:szCs w:val="21"/>
        </w:rPr>
        <w:t>Si60-0.9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78AFE7C8" w14:textId="77777777" w:rsidR="004426E6" w:rsidRDefault="00000000">
      <w:pPr>
        <w:pStyle w:val="a0"/>
        <w:jc w:val="center"/>
      </w:pPr>
      <w:r>
        <w:rPr>
          <w:noProof/>
        </w:rPr>
        <w:drawing>
          <wp:inline distT="0" distB="0" distL="0" distR="0" wp14:anchorId="346D0C4C" wp14:editId="567D8B83">
            <wp:extent cx="2495550" cy="1861185"/>
            <wp:effectExtent l="0" t="0" r="0" b="5715"/>
            <wp:docPr id="305375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7519" name="图片 1"/>
                    <pic:cNvPicPr>
                      <a:picLocks noChangeAspect="1"/>
                    </pic:cNvPicPr>
                  </pic:nvPicPr>
                  <pic:blipFill>
                    <a:blip r:embed="rId78"/>
                    <a:stretch>
                      <a:fillRect/>
                    </a:stretch>
                  </pic:blipFill>
                  <pic:spPr>
                    <a:xfrm>
                      <a:off x="0" y="0"/>
                      <a:ext cx="2496155" cy="1861200"/>
                    </a:xfrm>
                    <a:prstGeom prst="rect">
                      <a:avLst/>
                    </a:prstGeom>
                  </pic:spPr>
                </pic:pic>
              </a:graphicData>
            </a:graphic>
          </wp:inline>
        </w:drawing>
      </w:r>
      <w:r>
        <w:rPr>
          <w:noProof/>
        </w:rPr>
        <w:drawing>
          <wp:inline distT="0" distB="0" distL="0" distR="0" wp14:anchorId="295DFA81" wp14:editId="155FFF82">
            <wp:extent cx="2402840" cy="1861185"/>
            <wp:effectExtent l="0" t="0" r="0" b="5715"/>
            <wp:docPr id="778972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7293" name="图片 1"/>
                    <pic:cNvPicPr>
                      <a:picLocks noChangeAspect="1"/>
                    </pic:cNvPicPr>
                  </pic:nvPicPr>
                  <pic:blipFill>
                    <a:blip r:embed="rId79"/>
                    <a:stretch>
                      <a:fillRect/>
                    </a:stretch>
                  </pic:blipFill>
                  <pic:spPr>
                    <a:xfrm>
                      <a:off x="0" y="0"/>
                      <a:ext cx="2403090" cy="1861200"/>
                    </a:xfrm>
                    <a:prstGeom prst="rect">
                      <a:avLst/>
                    </a:prstGeom>
                  </pic:spPr>
                </pic:pic>
              </a:graphicData>
            </a:graphic>
          </wp:inline>
        </w:drawing>
      </w:r>
    </w:p>
    <w:p w14:paraId="25C25EE5"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图71、图72</w:t>
      </w:r>
      <w:r>
        <w:rPr>
          <w:rFonts w:ascii="黑体" w:eastAsia="黑体" w:hAnsi="黑体"/>
          <w:color w:val="000000"/>
          <w:szCs w:val="21"/>
        </w:rPr>
        <w:t xml:space="preserve"> H</w:t>
      </w:r>
      <w:r>
        <w:rPr>
          <w:rFonts w:ascii="黑体" w:eastAsia="黑体" w:hAnsi="黑体" w:hint="eastAsia"/>
          <w:color w:val="000000"/>
          <w:szCs w:val="21"/>
        </w:rPr>
        <w:t>Si60-0.9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7DF29EF6"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122</w:t>
      </w:r>
      <w:r>
        <w:rPr>
          <w:rFonts w:ascii="Times New Roman" w:hAnsi="Times New Roman" w:cs="Times New Roman"/>
          <w:kern w:val="0"/>
          <w:szCs w:val="21"/>
        </w:rPr>
        <w:t>个，平均值</w:t>
      </w:r>
      <w:r>
        <w:rPr>
          <w:rFonts w:ascii="Times New Roman" w:hAnsi="Times New Roman" w:cs="Times New Roman" w:hint="eastAsia"/>
          <w:kern w:val="0"/>
          <w:szCs w:val="21"/>
        </w:rPr>
        <w:t>383.74</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30.5670</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330M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96.06%</w:t>
      </w:r>
      <w:r>
        <w:rPr>
          <w:rFonts w:ascii="Times New Roman" w:hAnsi="Times New Roman" w:cs="Times New Roman" w:hint="eastAsia"/>
          <w:kern w:val="0"/>
        </w:rPr>
        <w:t>。</w:t>
      </w:r>
    </w:p>
    <w:p w14:paraId="5FC941EB"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122</w:t>
      </w:r>
      <w:r>
        <w:rPr>
          <w:rFonts w:ascii="Times New Roman" w:hAnsi="Times New Roman" w:cs="Times New Roman"/>
          <w:kern w:val="0"/>
        </w:rPr>
        <w:t>个，平均值</w:t>
      </w:r>
      <w:r>
        <w:rPr>
          <w:rFonts w:ascii="Times New Roman" w:hAnsi="Times New Roman" w:cs="Times New Roman" w:hint="eastAsia"/>
          <w:kern w:val="0"/>
        </w:rPr>
        <w:t>16.19</w:t>
      </w:r>
      <w:r>
        <w:rPr>
          <w:rFonts w:ascii="Times New Roman" w:hAnsi="Times New Roman" w:cs="Times New Roman"/>
          <w:kern w:val="0"/>
        </w:rPr>
        <w:t>，标准差</w:t>
      </w:r>
      <w:r>
        <w:rPr>
          <w:rFonts w:ascii="Times New Roman" w:hAnsi="Times New Roman" w:cs="Times New Roman" w:hint="eastAsia"/>
          <w:kern w:val="0"/>
        </w:rPr>
        <w:t>2.8148</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10</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98.60%</w:t>
      </w:r>
      <w:r>
        <w:rPr>
          <w:rFonts w:ascii="Times New Roman" w:hAnsi="Times New Roman" w:cs="Times New Roman" w:hint="eastAsia"/>
          <w:kern w:val="0"/>
        </w:rPr>
        <w:t>。</w:t>
      </w:r>
    </w:p>
    <w:p w14:paraId="6BA12AC8" w14:textId="0EEBD32E"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3.4.11.2 </w:t>
      </w:r>
      <w:r>
        <w:rPr>
          <w:rFonts w:ascii="黑体" w:eastAsia="黑体" w:hAnsi="黑体"/>
          <w:color w:val="000000"/>
          <w:szCs w:val="21"/>
        </w:rPr>
        <w:t>H</w:t>
      </w:r>
      <w:r>
        <w:rPr>
          <w:rFonts w:ascii="黑体" w:eastAsia="黑体" w:hAnsi="黑体" w:hint="eastAsia"/>
          <w:color w:val="000000"/>
          <w:szCs w:val="21"/>
        </w:rPr>
        <w:t>Si60-0.9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4D6E1682" w14:textId="77777777" w:rsidR="004426E6" w:rsidRDefault="00000000">
      <w:pPr>
        <w:pStyle w:val="a0"/>
        <w:jc w:val="center"/>
      </w:pPr>
      <w:r>
        <w:rPr>
          <w:noProof/>
        </w:rPr>
        <w:drawing>
          <wp:inline distT="0" distB="0" distL="0" distR="0" wp14:anchorId="1ED9CD22" wp14:editId="249F5FF4">
            <wp:extent cx="2430780" cy="1861185"/>
            <wp:effectExtent l="0" t="0" r="7620" b="5715"/>
            <wp:docPr id="3963625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62552" name="图片 1"/>
                    <pic:cNvPicPr>
                      <a:picLocks noChangeAspect="1"/>
                    </pic:cNvPicPr>
                  </pic:nvPicPr>
                  <pic:blipFill>
                    <a:blip r:embed="rId80"/>
                    <a:stretch>
                      <a:fillRect/>
                    </a:stretch>
                  </pic:blipFill>
                  <pic:spPr>
                    <a:xfrm>
                      <a:off x="0" y="0"/>
                      <a:ext cx="2431300" cy="1861200"/>
                    </a:xfrm>
                    <a:prstGeom prst="rect">
                      <a:avLst/>
                    </a:prstGeom>
                  </pic:spPr>
                </pic:pic>
              </a:graphicData>
            </a:graphic>
          </wp:inline>
        </w:drawing>
      </w:r>
      <w:r>
        <w:rPr>
          <w:noProof/>
        </w:rPr>
        <w:drawing>
          <wp:inline distT="0" distB="0" distL="0" distR="0" wp14:anchorId="1130DBE0" wp14:editId="1A6FD7C0">
            <wp:extent cx="2533015" cy="1861185"/>
            <wp:effectExtent l="0" t="0" r="635" b="5715"/>
            <wp:docPr id="846598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98835" name="图片 1"/>
                    <pic:cNvPicPr>
                      <a:picLocks noChangeAspect="1"/>
                    </pic:cNvPicPr>
                  </pic:nvPicPr>
                  <pic:blipFill>
                    <a:blip r:embed="rId81"/>
                    <a:stretch>
                      <a:fillRect/>
                    </a:stretch>
                  </pic:blipFill>
                  <pic:spPr>
                    <a:xfrm>
                      <a:off x="0" y="0"/>
                      <a:ext cx="2533612" cy="1861200"/>
                    </a:xfrm>
                    <a:prstGeom prst="rect">
                      <a:avLst/>
                    </a:prstGeom>
                  </pic:spPr>
                </pic:pic>
              </a:graphicData>
            </a:graphic>
          </wp:inline>
        </w:drawing>
      </w:r>
    </w:p>
    <w:p w14:paraId="167B21BA"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图73、图74</w:t>
      </w:r>
      <w:r>
        <w:rPr>
          <w:rFonts w:ascii="黑体" w:eastAsia="黑体" w:hAnsi="黑体"/>
          <w:color w:val="000000"/>
          <w:szCs w:val="21"/>
        </w:rPr>
        <w:t xml:space="preserve"> H</w:t>
      </w:r>
      <w:r>
        <w:rPr>
          <w:rFonts w:ascii="黑体" w:eastAsia="黑体" w:hAnsi="黑体" w:hint="eastAsia"/>
          <w:color w:val="000000"/>
          <w:szCs w:val="21"/>
        </w:rPr>
        <w:t>Si60-0.9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20F322E2"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122</w:t>
      </w:r>
      <w:r>
        <w:rPr>
          <w:rFonts w:ascii="Times New Roman" w:hAnsi="Times New Roman" w:cs="Times New Roman"/>
          <w:kern w:val="0"/>
          <w:szCs w:val="21"/>
        </w:rPr>
        <w:t>个，平均值</w:t>
      </w:r>
      <w:r>
        <w:rPr>
          <w:rFonts w:ascii="Times New Roman" w:hAnsi="Times New Roman" w:cs="Times New Roman" w:hint="eastAsia"/>
          <w:kern w:val="0"/>
          <w:szCs w:val="21"/>
        </w:rPr>
        <w:t>435.32</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29.48</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380M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96.97%</w:t>
      </w:r>
      <w:r>
        <w:rPr>
          <w:rFonts w:ascii="Times New Roman" w:hAnsi="Times New Roman" w:cs="Times New Roman" w:hint="eastAsia"/>
          <w:kern w:val="0"/>
        </w:rPr>
        <w:t>。</w:t>
      </w:r>
    </w:p>
    <w:p w14:paraId="2A8E050E"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122</w:t>
      </w:r>
      <w:r>
        <w:rPr>
          <w:rFonts w:ascii="Times New Roman" w:hAnsi="Times New Roman" w:cs="Times New Roman"/>
          <w:kern w:val="0"/>
        </w:rPr>
        <w:t>个，平均值</w:t>
      </w:r>
      <w:r>
        <w:rPr>
          <w:rFonts w:ascii="Times New Roman" w:hAnsi="Times New Roman" w:cs="Times New Roman" w:hint="eastAsia"/>
          <w:kern w:val="0"/>
        </w:rPr>
        <w:t>12.75</w:t>
      </w:r>
      <w:r>
        <w:rPr>
          <w:rFonts w:ascii="Times New Roman" w:hAnsi="Times New Roman" w:cs="Times New Roman"/>
          <w:kern w:val="0"/>
        </w:rPr>
        <w:t>，标准差</w:t>
      </w:r>
      <w:r>
        <w:rPr>
          <w:rFonts w:ascii="Times New Roman" w:hAnsi="Times New Roman" w:cs="Times New Roman" w:hint="eastAsia"/>
          <w:kern w:val="0"/>
        </w:rPr>
        <w:t>3.6940</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98.20%</w:t>
      </w:r>
      <w:r>
        <w:rPr>
          <w:rFonts w:ascii="Times New Roman" w:hAnsi="Times New Roman" w:cs="Times New Roman" w:hint="eastAsia"/>
          <w:kern w:val="0"/>
        </w:rPr>
        <w:t>。</w:t>
      </w:r>
    </w:p>
    <w:p w14:paraId="53E43046" w14:textId="0811366C"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3.4.12 </w:t>
      </w:r>
      <w:r>
        <w:rPr>
          <w:rFonts w:ascii="黑体" w:eastAsia="黑体" w:hAnsi="黑体"/>
          <w:color w:val="000000"/>
          <w:szCs w:val="21"/>
        </w:rPr>
        <w:t>H</w:t>
      </w:r>
      <w:r>
        <w:rPr>
          <w:rFonts w:ascii="黑体" w:eastAsia="黑体" w:hAnsi="黑体" w:hint="eastAsia"/>
          <w:color w:val="000000"/>
          <w:szCs w:val="21"/>
        </w:rPr>
        <w:t>Si75</w:t>
      </w:r>
      <w:r>
        <w:rPr>
          <w:rFonts w:ascii="黑体" w:eastAsia="黑体" w:hAnsi="黑体"/>
          <w:color w:val="000000"/>
          <w:szCs w:val="21"/>
        </w:rPr>
        <w:t>-</w:t>
      </w:r>
      <w:r>
        <w:rPr>
          <w:rFonts w:ascii="黑体" w:eastAsia="黑体" w:hAnsi="黑体" w:hint="eastAsia"/>
          <w:color w:val="000000"/>
          <w:szCs w:val="21"/>
        </w:rPr>
        <w:t>3</w:t>
      </w:r>
    </w:p>
    <w:p w14:paraId="741CDA4C"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3.4.12.1 </w:t>
      </w:r>
      <w:r>
        <w:rPr>
          <w:rFonts w:ascii="黑体" w:eastAsia="黑体" w:hAnsi="黑体"/>
          <w:color w:val="000000"/>
          <w:szCs w:val="21"/>
        </w:rPr>
        <w:t>H</w:t>
      </w:r>
      <w:r>
        <w:rPr>
          <w:rFonts w:ascii="黑体" w:eastAsia="黑体" w:hAnsi="黑体" w:hint="eastAsia"/>
          <w:color w:val="000000"/>
          <w:szCs w:val="21"/>
        </w:rPr>
        <w:t>Si75</w:t>
      </w:r>
      <w:r>
        <w:rPr>
          <w:rFonts w:ascii="黑体" w:eastAsia="黑体" w:hAnsi="黑体"/>
          <w:color w:val="000000"/>
          <w:szCs w:val="21"/>
        </w:rPr>
        <w:t>-</w:t>
      </w:r>
      <w:r>
        <w:rPr>
          <w:rFonts w:ascii="黑体" w:eastAsia="黑体" w:hAnsi="黑体" w:hint="eastAsia"/>
          <w:color w:val="000000"/>
          <w:szCs w:val="21"/>
        </w:rPr>
        <w:t>3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1032C314" w14:textId="77777777" w:rsidR="004426E6" w:rsidRDefault="00000000">
      <w:pPr>
        <w:pStyle w:val="a0"/>
        <w:jc w:val="center"/>
      </w:pPr>
      <w:r>
        <w:rPr>
          <w:noProof/>
        </w:rPr>
        <w:lastRenderedPageBreak/>
        <w:drawing>
          <wp:inline distT="0" distB="0" distL="0" distR="0" wp14:anchorId="4FB49D24" wp14:editId="5EFD575A">
            <wp:extent cx="2381250" cy="1861185"/>
            <wp:effectExtent l="0" t="0" r="0" b="5715"/>
            <wp:docPr id="3017440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44037" name="图片 1"/>
                    <pic:cNvPicPr>
                      <a:picLocks noChangeAspect="1"/>
                    </pic:cNvPicPr>
                  </pic:nvPicPr>
                  <pic:blipFill>
                    <a:blip r:embed="rId82"/>
                    <a:stretch>
                      <a:fillRect/>
                    </a:stretch>
                  </pic:blipFill>
                  <pic:spPr>
                    <a:xfrm>
                      <a:off x="0" y="0"/>
                      <a:ext cx="2381720" cy="1861200"/>
                    </a:xfrm>
                    <a:prstGeom prst="rect">
                      <a:avLst/>
                    </a:prstGeom>
                  </pic:spPr>
                </pic:pic>
              </a:graphicData>
            </a:graphic>
          </wp:inline>
        </w:drawing>
      </w:r>
      <w:r>
        <w:rPr>
          <w:noProof/>
        </w:rPr>
        <w:drawing>
          <wp:inline distT="0" distB="0" distL="0" distR="0" wp14:anchorId="380CF967" wp14:editId="64C8B8DC">
            <wp:extent cx="2470150" cy="1861185"/>
            <wp:effectExtent l="0" t="0" r="6350" b="5715"/>
            <wp:docPr id="20280340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34030" name="图片 1"/>
                    <pic:cNvPicPr>
                      <a:picLocks noChangeAspect="1"/>
                    </pic:cNvPicPr>
                  </pic:nvPicPr>
                  <pic:blipFill>
                    <a:blip r:embed="rId83"/>
                    <a:stretch>
                      <a:fillRect/>
                    </a:stretch>
                  </pic:blipFill>
                  <pic:spPr>
                    <a:xfrm>
                      <a:off x="0" y="0"/>
                      <a:ext cx="2470352" cy="1861200"/>
                    </a:xfrm>
                    <a:prstGeom prst="rect">
                      <a:avLst/>
                    </a:prstGeom>
                  </pic:spPr>
                </pic:pic>
              </a:graphicData>
            </a:graphic>
          </wp:inline>
        </w:drawing>
      </w:r>
    </w:p>
    <w:p w14:paraId="7CBF3943"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图75、图76</w:t>
      </w:r>
      <w:r>
        <w:rPr>
          <w:rFonts w:ascii="黑体" w:eastAsia="黑体" w:hAnsi="黑体"/>
          <w:color w:val="000000"/>
          <w:szCs w:val="21"/>
        </w:rPr>
        <w:t xml:space="preserve"> H</w:t>
      </w:r>
      <w:r>
        <w:rPr>
          <w:rFonts w:ascii="黑体" w:eastAsia="黑体" w:hAnsi="黑体" w:hint="eastAsia"/>
          <w:color w:val="000000"/>
          <w:szCs w:val="21"/>
        </w:rPr>
        <w:t>Si75</w:t>
      </w:r>
      <w:r>
        <w:rPr>
          <w:rFonts w:ascii="黑体" w:eastAsia="黑体" w:hAnsi="黑体"/>
          <w:color w:val="000000"/>
          <w:szCs w:val="21"/>
        </w:rPr>
        <w:t>-</w:t>
      </w:r>
      <w:r>
        <w:rPr>
          <w:rFonts w:ascii="黑体" w:eastAsia="黑体" w:hAnsi="黑体" w:hint="eastAsia"/>
          <w:color w:val="000000"/>
          <w:szCs w:val="21"/>
        </w:rPr>
        <w:t>3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041763AB"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120</w:t>
      </w:r>
      <w:r>
        <w:rPr>
          <w:rFonts w:ascii="Times New Roman" w:hAnsi="Times New Roman" w:cs="Times New Roman"/>
          <w:kern w:val="0"/>
          <w:szCs w:val="21"/>
        </w:rPr>
        <w:t>个，平均值</w:t>
      </w:r>
      <w:r>
        <w:rPr>
          <w:rFonts w:ascii="Times New Roman" w:hAnsi="Times New Roman" w:cs="Times New Roman" w:hint="eastAsia"/>
          <w:kern w:val="0"/>
          <w:szCs w:val="21"/>
        </w:rPr>
        <w:t>576.47</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27.7301</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515M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98.07%</w:t>
      </w:r>
      <w:r>
        <w:rPr>
          <w:rFonts w:ascii="Times New Roman" w:hAnsi="Times New Roman" w:cs="Times New Roman" w:hint="eastAsia"/>
          <w:kern w:val="0"/>
        </w:rPr>
        <w:t>。</w:t>
      </w:r>
    </w:p>
    <w:p w14:paraId="105745A8"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120</w:t>
      </w:r>
      <w:r>
        <w:rPr>
          <w:rFonts w:ascii="Times New Roman" w:hAnsi="Times New Roman" w:cs="Times New Roman"/>
          <w:kern w:val="0"/>
        </w:rPr>
        <w:t>个，平均值</w:t>
      </w:r>
      <w:r>
        <w:rPr>
          <w:rFonts w:ascii="Times New Roman" w:hAnsi="Times New Roman" w:cs="Times New Roman" w:hint="eastAsia"/>
          <w:kern w:val="0"/>
        </w:rPr>
        <w:t>9.75</w:t>
      </w:r>
      <w:r>
        <w:rPr>
          <w:rFonts w:ascii="Times New Roman" w:hAnsi="Times New Roman" w:cs="Times New Roman"/>
          <w:kern w:val="0"/>
        </w:rPr>
        <w:t>，标准差</w:t>
      </w:r>
      <w:r>
        <w:rPr>
          <w:rFonts w:ascii="Times New Roman" w:hAnsi="Times New Roman" w:cs="Times New Roman" w:hint="eastAsia"/>
          <w:kern w:val="0"/>
        </w:rPr>
        <w:t>2.0639</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99.20%</w:t>
      </w:r>
      <w:r>
        <w:rPr>
          <w:rFonts w:ascii="Times New Roman" w:hAnsi="Times New Roman" w:cs="Times New Roman" w:hint="eastAsia"/>
          <w:kern w:val="0"/>
        </w:rPr>
        <w:t>。</w:t>
      </w:r>
    </w:p>
    <w:p w14:paraId="09CE7DAF"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3.4.12.2 </w:t>
      </w:r>
      <w:r>
        <w:rPr>
          <w:rFonts w:ascii="黑体" w:eastAsia="黑体" w:hAnsi="黑体"/>
          <w:color w:val="000000"/>
          <w:szCs w:val="21"/>
        </w:rPr>
        <w:t>H</w:t>
      </w:r>
      <w:r>
        <w:rPr>
          <w:rFonts w:ascii="黑体" w:eastAsia="黑体" w:hAnsi="黑体" w:hint="eastAsia"/>
          <w:color w:val="000000"/>
          <w:szCs w:val="21"/>
        </w:rPr>
        <w:t>Si75</w:t>
      </w:r>
      <w:r>
        <w:rPr>
          <w:rFonts w:ascii="黑体" w:eastAsia="黑体" w:hAnsi="黑体"/>
          <w:color w:val="000000"/>
          <w:szCs w:val="21"/>
        </w:rPr>
        <w:t>-</w:t>
      </w:r>
      <w:r>
        <w:rPr>
          <w:rFonts w:ascii="黑体" w:eastAsia="黑体" w:hAnsi="黑体" w:hint="eastAsia"/>
          <w:color w:val="000000"/>
          <w:szCs w:val="21"/>
        </w:rPr>
        <w:t>3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446340D3" w14:textId="77777777" w:rsidR="004426E6" w:rsidRDefault="00000000">
      <w:pPr>
        <w:pStyle w:val="a0"/>
        <w:jc w:val="center"/>
      </w:pPr>
      <w:r>
        <w:rPr>
          <w:noProof/>
        </w:rPr>
        <w:drawing>
          <wp:inline distT="0" distB="0" distL="0" distR="0" wp14:anchorId="0368C4F7" wp14:editId="6558E090">
            <wp:extent cx="2505710" cy="1861185"/>
            <wp:effectExtent l="0" t="0" r="8890" b="5715"/>
            <wp:docPr id="13966469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46990" name="图片 1"/>
                    <pic:cNvPicPr>
                      <a:picLocks noChangeAspect="1"/>
                    </pic:cNvPicPr>
                  </pic:nvPicPr>
                  <pic:blipFill>
                    <a:blip r:embed="rId84"/>
                    <a:stretch>
                      <a:fillRect/>
                    </a:stretch>
                  </pic:blipFill>
                  <pic:spPr>
                    <a:xfrm>
                      <a:off x="0" y="0"/>
                      <a:ext cx="2506224" cy="1861200"/>
                    </a:xfrm>
                    <a:prstGeom prst="rect">
                      <a:avLst/>
                    </a:prstGeom>
                  </pic:spPr>
                </pic:pic>
              </a:graphicData>
            </a:graphic>
          </wp:inline>
        </w:drawing>
      </w:r>
      <w:r>
        <w:rPr>
          <w:noProof/>
        </w:rPr>
        <w:drawing>
          <wp:inline distT="0" distB="0" distL="0" distR="0" wp14:anchorId="1DABF44B" wp14:editId="68C79E03">
            <wp:extent cx="2483485" cy="1861185"/>
            <wp:effectExtent l="0" t="0" r="0" b="5715"/>
            <wp:docPr id="1806608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08106" name="图片 1"/>
                    <pic:cNvPicPr>
                      <a:picLocks noChangeAspect="1"/>
                    </pic:cNvPicPr>
                  </pic:nvPicPr>
                  <pic:blipFill>
                    <a:blip r:embed="rId85"/>
                    <a:stretch>
                      <a:fillRect/>
                    </a:stretch>
                  </pic:blipFill>
                  <pic:spPr>
                    <a:xfrm>
                      <a:off x="0" y="0"/>
                      <a:ext cx="2483782" cy="1861200"/>
                    </a:xfrm>
                    <a:prstGeom prst="rect">
                      <a:avLst/>
                    </a:prstGeom>
                  </pic:spPr>
                </pic:pic>
              </a:graphicData>
            </a:graphic>
          </wp:inline>
        </w:drawing>
      </w:r>
    </w:p>
    <w:p w14:paraId="1781E509"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图77、图78</w:t>
      </w:r>
      <w:r>
        <w:rPr>
          <w:rFonts w:ascii="黑体" w:eastAsia="黑体" w:hAnsi="黑体"/>
          <w:color w:val="000000"/>
          <w:szCs w:val="21"/>
        </w:rPr>
        <w:t xml:space="preserve"> H</w:t>
      </w:r>
      <w:r>
        <w:rPr>
          <w:rFonts w:ascii="黑体" w:eastAsia="黑体" w:hAnsi="黑体" w:hint="eastAsia"/>
          <w:color w:val="000000"/>
          <w:szCs w:val="21"/>
        </w:rPr>
        <w:t>Si75</w:t>
      </w:r>
      <w:r>
        <w:rPr>
          <w:rFonts w:ascii="黑体" w:eastAsia="黑体" w:hAnsi="黑体"/>
          <w:color w:val="000000"/>
          <w:szCs w:val="21"/>
        </w:rPr>
        <w:t>-</w:t>
      </w:r>
      <w:r>
        <w:rPr>
          <w:rFonts w:ascii="黑体" w:eastAsia="黑体" w:hAnsi="黑体" w:hint="eastAsia"/>
          <w:color w:val="000000"/>
          <w:szCs w:val="21"/>
        </w:rPr>
        <w:t>3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7F17E9C9"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110</w:t>
      </w:r>
      <w:r>
        <w:rPr>
          <w:rFonts w:ascii="Times New Roman" w:hAnsi="Times New Roman" w:cs="Times New Roman"/>
          <w:kern w:val="0"/>
          <w:szCs w:val="21"/>
        </w:rPr>
        <w:t>个，平均值</w:t>
      </w:r>
      <w:r>
        <w:rPr>
          <w:rFonts w:ascii="Times New Roman" w:hAnsi="Times New Roman" w:cs="Times New Roman" w:hint="eastAsia"/>
          <w:kern w:val="0"/>
          <w:szCs w:val="21"/>
        </w:rPr>
        <w:t>739.18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33.1569</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670M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98.15%</w:t>
      </w:r>
      <w:r>
        <w:rPr>
          <w:rFonts w:ascii="Times New Roman" w:hAnsi="Times New Roman" w:cs="Times New Roman" w:hint="eastAsia"/>
          <w:kern w:val="0"/>
        </w:rPr>
        <w:t>。</w:t>
      </w:r>
    </w:p>
    <w:p w14:paraId="5370C738"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110</w:t>
      </w:r>
      <w:r>
        <w:rPr>
          <w:rFonts w:ascii="Times New Roman" w:hAnsi="Times New Roman" w:cs="Times New Roman"/>
          <w:kern w:val="0"/>
        </w:rPr>
        <w:t>个，平均值</w:t>
      </w:r>
      <w:r>
        <w:rPr>
          <w:rFonts w:ascii="Times New Roman" w:hAnsi="Times New Roman" w:cs="Times New Roman" w:hint="eastAsia"/>
          <w:kern w:val="0"/>
        </w:rPr>
        <w:t>7.51</w:t>
      </w:r>
      <w:r>
        <w:rPr>
          <w:rFonts w:ascii="Times New Roman" w:hAnsi="Times New Roman" w:cs="Times New Roman"/>
          <w:kern w:val="0"/>
        </w:rPr>
        <w:t>，标准差</w:t>
      </w:r>
      <w:r>
        <w:rPr>
          <w:rFonts w:ascii="Times New Roman" w:hAnsi="Times New Roman" w:cs="Times New Roman" w:hint="eastAsia"/>
          <w:kern w:val="0"/>
        </w:rPr>
        <w:t>1.9664</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98.91%</w:t>
      </w:r>
      <w:r>
        <w:rPr>
          <w:rFonts w:ascii="Times New Roman" w:hAnsi="Times New Roman" w:cs="Times New Roman" w:hint="eastAsia"/>
          <w:kern w:val="0"/>
        </w:rPr>
        <w:t>。</w:t>
      </w:r>
    </w:p>
    <w:p w14:paraId="45ABB99C"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3.4.13 </w:t>
      </w:r>
      <w:r>
        <w:rPr>
          <w:rFonts w:ascii="黑体" w:eastAsia="黑体" w:hAnsi="黑体"/>
          <w:color w:val="000000"/>
          <w:szCs w:val="21"/>
        </w:rPr>
        <w:t>H</w:t>
      </w:r>
      <w:r>
        <w:rPr>
          <w:rFonts w:ascii="黑体" w:eastAsia="黑体" w:hAnsi="黑体" w:hint="eastAsia"/>
          <w:color w:val="000000"/>
          <w:szCs w:val="21"/>
        </w:rPr>
        <w:t>Si61-0.6</w:t>
      </w:r>
    </w:p>
    <w:p w14:paraId="67FC5D87"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3.4.13.1 </w:t>
      </w:r>
      <w:r>
        <w:rPr>
          <w:rFonts w:ascii="黑体" w:eastAsia="黑体" w:hAnsi="黑体"/>
          <w:color w:val="000000"/>
          <w:szCs w:val="21"/>
        </w:rPr>
        <w:t>H</w:t>
      </w:r>
      <w:r>
        <w:rPr>
          <w:rFonts w:ascii="黑体" w:eastAsia="黑体" w:hAnsi="黑体" w:hint="eastAsia"/>
          <w:color w:val="000000"/>
          <w:szCs w:val="21"/>
        </w:rPr>
        <w:t>Si61-0.6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24F4B793" w14:textId="77777777" w:rsidR="004426E6" w:rsidRDefault="00000000">
      <w:pPr>
        <w:pStyle w:val="a0"/>
        <w:jc w:val="center"/>
      </w:pPr>
      <w:r>
        <w:rPr>
          <w:noProof/>
        </w:rPr>
        <w:lastRenderedPageBreak/>
        <w:drawing>
          <wp:inline distT="0" distB="0" distL="0" distR="0" wp14:anchorId="4D05BED8" wp14:editId="70773191">
            <wp:extent cx="2438400" cy="1861185"/>
            <wp:effectExtent l="0" t="0" r="0" b="5715"/>
            <wp:docPr id="1378294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94439" name="图片 1"/>
                    <pic:cNvPicPr>
                      <a:picLocks noChangeAspect="1"/>
                    </pic:cNvPicPr>
                  </pic:nvPicPr>
                  <pic:blipFill>
                    <a:blip r:embed="rId86"/>
                    <a:stretch>
                      <a:fillRect/>
                    </a:stretch>
                  </pic:blipFill>
                  <pic:spPr>
                    <a:xfrm>
                      <a:off x="0" y="0"/>
                      <a:ext cx="2438935" cy="1861200"/>
                    </a:xfrm>
                    <a:prstGeom prst="rect">
                      <a:avLst/>
                    </a:prstGeom>
                  </pic:spPr>
                </pic:pic>
              </a:graphicData>
            </a:graphic>
          </wp:inline>
        </w:drawing>
      </w:r>
      <w:r>
        <w:rPr>
          <w:noProof/>
        </w:rPr>
        <w:drawing>
          <wp:inline distT="0" distB="0" distL="0" distR="0" wp14:anchorId="27B5845C" wp14:editId="79A37A7C">
            <wp:extent cx="2419350" cy="1861185"/>
            <wp:effectExtent l="0" t="0" r="0" b="5715"/>
            <wp:docPr id="3357606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60613" name="图片 1"/>
                    <pic:cNvPicPr>
                      <a:picLocks noChangeAspect="1"/>
                    </pic:cNvPicPr>
                  </pic:nvPicPr>
                  <pic:blipFill>
                    <a:blip r:embed="rId87"/>
                    <a:stretch>
                      <a:fillRect/>
                    </a:stretch>
                  </pic:blipFill>
                  <pic:spPr>
                    <a:xfrm>
                      <a:off x="0" y="0"/>
                      <a:ext cx="2419937" cy="1861200"/>
                    </a:xfrm>
                    <a:prstGeom prst="rect">
                      <a:avLst/>
                    </a:prstGeom>
                  </pic:spPr>
                </pic:pic>
              </a:graphicData>
            </a:graphic>
          </wp:inline>
        </w:drawing>
      </w:r>
    </w:p>
    <w:p w14:paraId="68439EE0"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图79、图80</w:t>
      </w:r>
      <w:r>
        <w:rPr>
          <w:rFonts w:ascii="黑体" w:eastAsia="黑体" w:hAnsi="黑体"/>
          <w:color w:val="000000"/>
          <w:szCs w:val="21"/>
        </w:rPr>
        <w:t xml:space="preserve"> H</w:t>
      </w:r>
      <w:r>
        <w:rPr>
          <w:rFonts w:ascii="黑体" w:eastAsia="黑体" w:hAnsi="黑体" w:hint="eastAsia"/>
          <w:color w:val="000000"/>
          <w:szCs w:val="21"/>
        </w:rPr>
        <w:t>Si61-0.6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7D4EFB3F"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122</w:t>
      </w:r>
      <w:r>
        <w:rPr>
          <w:rFonts w:ascii="Times New Roman" w:hAnsi="Times New Roman" w:cs="Times New Roman"/>
          <w:kern w:val="0"/>
          <w:szCs w:val="21"/>
        </w:rPr>
        <w:t>个，平均值</w:t>
      </w:r>
      <w:r>
        <w:rPr>
          <w:rFonts w:ascii="Times New Roman" w:hAnsi="Times New Roman" w:cs="Times New Roman" w:hint="eastAsia"/>
          <w:kern w:val="0"/>
          <w:szCs w:val="21"/>
        </w:rPr>
        <w:t>455.14</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31.2093</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400M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96.14%</w:t>
      </w:r>
      <w:r>
        <w:rPr>
          <w:rFonts w:ascii="Times New Roman" w:hAnsi="Times New Roman" w:cs="Times New Roman" w:hint="eastAsia"/>
          <w:kern w:val="0"/>
        </w:rPr>
        <w:t>。</w:t>
      </w:r>
    </w:p>
    <w:p w14:paraId="511C1D82"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122</w:t>
      </w:r>
      <w:r>
        <w:rPr>
          <w:rFonts w:ascii="Times New Roman" w:hAnsi="Times New Roman" w:cs="Times New Roman"/>
          <w:kern w:val="0"/>
        </w:rPr>
        <w:t>个，平均值</w:t>
      </w:r>
      <w:r>
        <w:rPr>
          <w:rFonts w:ascii="Times New Roman" w:hAnsi="Times New Roman" w:cs="Times New Roman" w:hint="eastAsia"/>
          <w:kern w:val="0"/>
        </w:rPr>
        <w:t>9.55</w:t>
      </w:r>
      <w:r>
        <w:rPr>
          <w:rFonts w:ascii="Times New Roman" w:hAnsi="Times New Roman" w:cs="Times New Roman"/>
          <w:kern w:val="0"/>
        </w:rPr>
        <w:t>，标准差</w:t>
      </w:r>
      <w:r>
        <w:rPr>
          <w:rFonts w:ascii="Times New Roman" w:hAnsi="Times New Roman" w:cs="Times New Roman" w:hint="eastAsia"/>
          <w:kern w:val="0"/>
        </w:rPr>
        <w:t>2.3570</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97.32%</w:t>
      </w:r>
      <w:r>
        <w:rPr>
          <w:rFonts w:ascii="Times New Roman" w:hAnsi="Times New Roman" w:cs="Times New Roman" w:hint="eastAsia"/>
          <w:kern w:val="0"/>
        </w:rPr>
        <w:t>。</w:t>
      </w:r>
    </w:p>
    <w:p w14:paraId="33603835"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 xml:space="preserve">3.4.13.2 </w:t>
      </w:r>
      <w:r>
        <w:rPr>
          <w:rFonts w:ascii="黑体" w:eastAsia="黑体" w:hAnsi="黑体"/>
          <w:color w:val="000000"/>
          <w:szCs w:val="21"/>
        </w:rPr>
        <w:t>H</w:t>
      </w:r>
      <w:r>
        <w:rPr>
          <w:rFonts w:ascii="黑体" w:eastAsia="黑体" w:hAnsi="黑体" w:hint="eastAsia"/>
          <w:color w:val="000000"/>
          <w:szCs w:val="21"/>
        </w:rPr>
        <w:t>Si61-0.6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p>
    <w:p w14:paraId="5849FE9C" w14:textId="77777777" w:rsidR="004426E6" w:rsidRDefault="00000000">
      <w:pPr>
        <w:pStyle w:val="a0"/>
        <w:jc w:val="center"/>
      </w:pPr>
      <w:r>
        <w:rPr>
          <w:noProof/>
        </w:rPr>
        <w:drawing>
          <wp:inline distT="0" distB="0" distL="0" distR="0" wp14:anchorId="0F9EE8AD" wp14:editId="5E50F19D">
            <wp:extent cx="2511425" cy="1861185"/>
            <wp:effectExtent l="0" t="0" r="3175" b="5715"/>
            <wp:docPr id="1294419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19474" name="图片 1"/>
                    <pic:cNvPicPr>
                      <a:picLocks noChangeAspect="1"/>
                    </pic:cNvPicPr>
                  </pic:nvPicPr>
                  <pic:blipFill>
                    <a:blip r:embed="rId88"/>
                    <a:stretch>
                      <a:fillRect/>
                    </a:stretch>
                  </pic:blipFill>
                  <pic:spPr>
                    <a:xfrm>
                      <a:off x="0" y="0"/>
                      <a:ext cx="2511492" cy="1861200"/>
                    </a:xfrm>
                    <a:prstGeom prst="rect">
                      <a:avLst/>
                    </a:prstGeom>
                  </pic:spPr>
                </pic:pic>
              </a:graphicData>
            </a:graphic>
          </wp:inline>
        </w:drawing>
      </w:r>
      <w:r>
        <w:rPr>
          <w:noProof/>
        </w:rPr>
        <w:drawing>
          <wp:inline distT="0" distB="0" distL="0" distR="0" wp14:anchorId="6251F9C9" wp14:editId="7DE8877B">
            <wp:extent cx="2447290" cy="1861185"/>
            <wp:effectExtent l="0" t="0" r="0" b="5715"/>
            <wp:docPr id="1818555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55116" name="图片 1"/>
                    <pic:cNvPicPr>
                      <a:picLocks noChangeAspect="1"/>
                    </pic:cNvPicPr>
                  </pic:nvPicPr>
                  <pic:blipFill>
                    <a:blip r:embed="rId89"/>
                    <a:stretch>
                      <a:fillRect/>
                    </a:stretch>
                  </pic:blipFill>
                  <pic:spPr>
                    <a:xfrm>
                      <a:off x="0" y="0"/>
                      <a:ext cx="2447774" cy="1861200"/>
                    </a:xfrm>
                    <a:prstGeom prst="rect">
                      <a:avLst/>
                    </a:prstGeom>
                  </pic:spPr>
                </pic:pic>
              </a:graphicData>
            </a:graphic>
          </wp:inline>
        </w:drawing>
      </w:r>
    </w:p>
    <w:p w14:paraId="2452AF20"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图81、图82</w:t>
      </w:r>
      <w:r>
        <w:rPr>
          <w:rFonts w:ascii="黑体" w:eastAsia="黑体" w:hAnsi="黑体"/>
          <w:color w:val="000000"/>
          <w:szCs w:val="21"/>
        </w:rPr>
        <w:t xml:space="preserve"> H</w:t>
      </w:r>
      <w:r>
        <w:rPr>
          <w:rFonts w:ascii="黑体" w:eastAsia="黑体" w:hAnsi="黑体" w:hint="eastAsia"/>
          <w:color w:val="000000"/>
          <w:szCs w:val="21"/>
        </w:rPr>
        <w:t>Si61-0.6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12.</w:t>
      </w:r>
      <w:r>
        <w:rPr>
          <w:rFonts w:ascii="黑体" w:eastAsia="黑体" w:hAnsi="黑体"/>
          <w:color w:val="000000"/>
          <w:szCs w:val="21"/>
        </w:rPr>
        <w:t>0）</w:t>
      </w:r>
      <w:r>
        <w:rPr>
          <w:rFonts w:ascii="黑体" w:eastAsia="黑体" w:hAnsi="黑体" w:hint="eastAsia"/>
          <w:color w:val="000000"/>
          <w:szCs w:val="21"/>
        </w:rPr>
        <w:t>抗拉强度</w:t>
      </w:r>
    </w:p>
    <w:p w14:paraId="0D591FE0"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110</w:t>
      </w:r>
      <w:r>
        <w:rPr>
          <w:rFonts w:ascii="Times New Roman" w:hAnsi="Times New Roman" w:cs="Times New Roman"/>
          <w:kern w:val="0"/>
          <w:szCs w:val="21"/>
        </w:rPr>
        <w:t>个，平均值</w:t>
      </w:r>
      <w:r>
        <w:rPr>
          <w:rFonts w:ascii="Times New Roman" w:hAnsi="Times New Roman" w:cs="Times New Roman" w:hint="eastAsia"/>
          <w:kern w:val="0"/>
          <w:szCs w:val="21"/>
        </w:rPr>
        <w:t>739.18</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33.1569</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670M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98.15%</w:t>
      </w:r>
      <w:r>
        <w:rPr>
          <w:rFonts w:ascii="Times New Roman" w:hAnsi="Times New Roman" w:cs="Times New Roman" w:hint="eastAsia"/>
          <w:kern w:val="0"/>
        </w:rPr>
        <w:t>。</w:t>
      </w:r>
    </w:p>
    <w:p w14:paraId="4163CA6A"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110</w:t>
      </w:r>
      <w:r>
        <w:rPr>
          <w:rFonts w:ascii="Times New Roman" w:hAnsi="Times New Roman" w:cs="Times New Roman"/>
          <w:kern w:val="0"/>
        </w:rPr>
        <w:t>个，平均值</w:t>
      </w:r>
      <w:r>
        <w:rPr>
          <w:rFonts w:ascii="Times New Roman" w:hAnsi="Times New Roman" w:cs="Times New Roman" w:hint="eastAsia"/>
          <w:kern w:val="0"/>
        </w:rPr>
        <w:t>7.51</w:t>
      </w:r>
      <w:r>
        <w:rPr>
          <w:rFonts w:ascii="Times New Roman" w:hAnsi="Times New Roman" w:cs="Times New Roman"/>
          <w:kern w:val="0"/>
        </w:rPr>
        <w:t>，标准差</w:t>
      </w:r>
      <w:r>
        <w:rPr>
          <w:rFonts w:ascii="Times New Roman" w:hAnsi="Times New Roman" w:cs="Times New Roman" w:hint="eastAsia"/>
          <w:kern w:val="0"/>
        </w:rPr>
        <w:t>1.9664</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3</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98.91%</w:t>
      </w:r>
      <w:r>
        <w:rPr>
          <w:rFonts w:ascii="Times New Roman" w:hAnsi="Times New Roman" w:cs="Times New Roman" w:hint="eastAsia"/>
          <w:kern w:val="0"/>
        </w:rPr>
        <w:t>。</w:t>
      </w:r>
    </w:p>
    <w:p w14:paraId="3E7847BB"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3.4.14 BZn12-24-1.1</w:t>
      </w:r>
    </w:p>
    <w:p w14:paraId="2764B21E"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3.4.14.1 BZn12-24-1.1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p>
    <w:p w14:paraId="56DF09ED" w14:textId="77777777" w:rsidR="004426E6" w:rsidRDefault="00000000">
      <w:pPr>
        <w:pStyle w:val="a0"/>
        <w:jc w:val="center"/>
      </w:pPr>
      <w:r>
        <w:rPr>
          <w:noProof/>
        </w:rPr>
        <w:lastRenderedPageBreak/>
        <w:drawing>
          <wp:inline distT="0" distB="0" distL="0" distR="0" wp14:anchorId="5CA2765D" wp14:editId="5FA3B137">
            <wp:extent cx="2502535" cy="1861185"/>
            <wp:effectExtent l="0" t="0" r="0" b="5715"/>
            <wp:docPr id="6759174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17483" name="图片 1"/>
                    <pic:cNvPicPr>
                      <a:picLocks noChangeAspect="1"/>
                    </pic:cNvPicPr>
                  </pic:nvPicPr>
                  <pic:blipFill>
                    <a:blip r:embed="rId90"/>
                    <a:stretch>
                      <a:fillRect/>
                    </a:stretch>
                  </pic:blipFill>
                  <pic:spPr>
                    <a:xfrm>
                      <a:off x="0" y="0"/>
                      <a:ext cx="2502590" cy="1861200"/>
                    </a:xfrm>
                    <a:prstGeom prst="rect">
                      <a:avLst/>
                    </a:prstGeom>
                  </pic:spPr>
                </pic:pic>
              </a:graphicData>
            </a:graphic>
          </wp:inline>
        </w:drawing>
      </w:r>
      <w:r>
        <w:rPr>
          <w:noProof/>
        </w:rPr>
        <w:drawing>
          <wp:inline distT="0" distB="0" distL="0" distR="0" wp14:anchorId="25D2663F" wp14:editId="13A93B82">
            <wp:extent cx="2470150" cy="1861185"/>
            <wp:effectExtent l="0" t="0" r="6350" b="5715"/>
            <wp:docPr id="2214473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47361" name="图片 1"/>
                    <pic:cNvPicPr>
                      <a:picLocks noChangeAspect="1"/>
                    </pic:cNvPicPr>
                  </pic:nvPicPr>
                  <pic:blipFill>
                    <a:blip r:embed="rId91"/>
                    <a:stretch>
                      <a:fillRect/>
                    </a:stretch>
                  </pic:blipFill>
                  <pic:spPr>
                    <a:xfrm>
                      <a:off x="0" y="0"/>
                      <a:ext cx="2470352" cy="1861200"/>
                    </a:xfrm>
                    <a:prstGeom prst="rect">
                      <a:avLst/>
                    </a:prstGeom>
                  </pic:spPr>
                </pic:pic>
              </a:graphicData>
            </a:graphic>
          </wp:inline>
        </w:drawing>
      </w:r>
    </w:p>
    <w:p w14:paraId="61B725AA"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图83、图84</w:t>
      </w:r>
      <w:r>
        <w:rPr>
          <w:rFonts w:ascii="黑体" w:eastAsia="黑体" w:hAnsi="黑体"/>
          <w:color w:val="000000"/>
          <w:szCs w:val="21"/>
        </w:rPr>
        <w:t xml:space="preserve"> </w:t>
      </w:r>
      <w:r>
        <w:rPr>
          <w:rFonts w:ascii="黑体" w:eastAsia="黑体" w:hAnsi="黑体" w:hint="eastAsia"/>
          <w:color w:val="000000"/>
          <w:szCs w:val="21"/>
        </w:rPr>
        <w:t>BZn12-24-1.1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r>
        <w:rPr>
          <w:rFonts w:ascii="黑体" w:eastAsia="黑体" w:hAnsi="黑体" w:hint="eastAsia"/>
          <w:color w:val="000000"/>
          <w:szCs w:val="21"/>
        </w:rPr>
        <w:t>抗拉强度</w:t>
      </w:r>
    </w:p>
    <w:p w14:paraId="7BA8C00D"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120</w:t>
      </w:r>
      <w:r>
        <w:rPr>
          <w:rFonts w:ascii="Times New Roman" w:hAnsi="Times New Roman" w:cs="Times New Roman"/>
          <w:kern w:val="0"/>
          <w:szCs w:val="21"/>
        </w:rPr>
        <w:t>个，平均值</w:t>
      </w:r>
      <w:r>
        <w:rPr>
          <w:rFonts w:ascii="Times New Roman" w:hAnsi="Times New Roman" w:cs="Times New Roman" w:hint="eastAsia"/>
          <w:kern w:val="0"/>
          <w:szCs w:val="21"/>
        </w:rPr>
        <w:t>676.70</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42.5902</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96.41%</w:t>
      </w:r>
      <w:r>
        <w:rPr>
          <w:rFonts w:ascii="Times New Roman" w:hAnsi="Times New Roman" w:cs="Times New Roman" w:hint="eastAsia"/>
          <w:kern w:val="0"/>
        </w:rPr>
        <w:t>。</w:t>
      </w:r>
    </w:p>
    <w:p w14:paraId="13113641"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120</w:t>
      </w:r>
      <w:r>
        <w:rPr>
          <w:rFonts w:ascii="Times New Roman" w:hAnsi="Times New Roman" w:cs="Times New Roman"/>
          <w:kern w:val="0"/>
        </w:rPr>
        <w:t>个，平均值</w:t>
      </w:r>
      <w:r>
        <w:rPr>
          <w:rFonts w:ascii="Times New Roman" w:hAnsi="Times New Roman" w:cs="Times New Roman" w:hint="eastAsia"/>
          <w:kern w:val="0"/>
        </w:rPr>
        <w:t>13.03</w:t>
      </w:r>
      <w:r>
        <w:rPr>
          <w:rFonts w:ascii="Times New Roman" w:hAnsi="Times New Roman" w:cs="Times New Roman"/>
          <w:kern w:val="0"/>
        </w:rPr>
        <w:t>，标准差</w:t>
      </w:r>
      <w:r>
        <w:rPr>
          <w:rFonts w:ascii="Times New Roman" w:hAnsi="Times New Roman" w:cs="Times New Roman" w:hint="eastAsia"/>
          <w:kern w:val="0"/>
        </w:rPr>
        <w:t>4.7747</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2</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98.95%</w:t>
      </w:r>
      <w:r>
        <w:rPr>
          <w:rFonts w:ascii="Times New Roman" w:hAnsi="Times New Roman" w:cs="Times New Roman" w:hint="eastAsia"/>
          <w:kern w:val="0"/>
        </w:rPr>
        <w:t>。</w:t>
      </w:r>
    </w:p>
    <w:p w14:paraId="38CB5EE0"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3.4.14.2 BZn12-24-1.4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p>
    <w:p w14:paraId="4FDE4BA2" w14:textId="77777777" w:rsidR="004426E6" w:rsidRDefault="00000000">
      <w:pPr>
        <w:pStyle w:val="a0"/>
        <w:jc w:val="center"/>
      </w:pPr>
      <w:r>
        <w:rPr>
          <w:noProof/>
        </w:rPr>
        <w:drawing>
          <wp:inline distT="0" distB="0" distL="0" distR="0" wp14:anchorId="5E5C9BAD" wp14:editId="21CD378E">
            <wp:extent cx="2416810" cy="1861185"/>
            <wp:effectExtent l="0" t="0" r="2540" b="5715"/>
            <wp:docPr id="2346350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35024" name="图片 1"/>
                    <pic:cNvPicPr>
                      <a:picLocks noChangeAspect="1"/>
                    </pic:cNvPicPr>
                  </pic:nvPicPr>
                  <pic:blipFill>
                    <a:blip r:embed="rId92"/>
                    <a:stretch>
                      <a:fillRect/>
                    </a:stretch>
                  </pic:blipFill>
                  <pic:spPr>
                    <a:xfrm>
                      <a:off x="0" y="0"/>
                      <a:ext cx="2416925" cy="1861200"/>
                    </a:xfrm>
                    <a:prstGeom prst="rect">
                      <a:avLst/>
                    </a:prstGeom>
                  </pic:spPr>
                </pic:pic>
              </a:graphicData>
            </a:graphic>
          </wp:inline>
        </w:drawing>
      </w:r>
    </w:p>
    <w:p w14:paraId="10044B55"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图85</w:t>
      </w:r>
      <w:r>
        <w:rPr>
          <w:rFonts w:ascii="黑体" w:eastAsia="黑体" w:hAnsi="黑体"/>
          <w:color w:val="000000"/>
          <w:szCs w:val="21"/>
        </w:rPr>
        <w:t xml:space="preserve"> </w:t>
      </w:r>
      <w:r>
        <w:rPr>
          <w:rFonts w:ascii="黑体" w:eastAsia="黑体" w:hAnsi="黑体" w:hint="eastAsia"/>
          <w:color w:val="000000"/>
          <w:szCs w:val="21"/>
        </w:rPr>
        <w:t>BZn12-24-1.1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r>
        <w:rPr>
          <w:rFonts w:ascii="黑体" w:eastAsia="黑体" w:hAnsi="黑体" w:hint="eastAsia"/>
          <w:color w:val="000000"/>
          <w:szCs w:val="21"/>
        </w:rPr>
        <w:t>抗拉强度</w:t>
      </w:r>
    </w:p>
    <w:p w14:paraId="682B41FA"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126</w:t>
      </w:r>
      <w:r>
        <w:rPr>
          <w:rFonts w:ascii="Times New Roman" w:hAnsi="Times New Roman" w:cs="Times New Roman"/>
          <w:kern w:val="0"/>
          <w:szCs w:val="21"/>
        </w:rPr>
        <w:t>个，平均值</w:t>
      </w:r>
      <w:r>
        <w:rPr>
          <w:rFonts w:ascii="Times New Roman" w:hAnsi="Times New Roman" w:cs="Times New Roman" w:hint="eastAsia"/>
          <w:kern w:val="0"/>
          <w:szCs w:val="21"/>
        </w:rPr>
        <w:t>728.52</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36.3687</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98.46%</w:t>
      </w:r>
      <w:r>
        <w:rPr>
          <w:rFonts w:ascii="Times New Roman" w:hAnsi="Times New Roman" w:cs="Times New Roman" w:hint="eastAsia"/>
          <w:kern w:val="0"/>
        </w:rPr>
        <w:t>。</w:t>
      </w:r>
    </w:p>
    <w:p w14:paraId="4C85B844"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3.4.15 BZn12-37-1.5、BZn12-38-2</w:t>
      </w:r>
    </w:p>
    <w:p w14:paraId="40FAF832" w14:textId="77777777"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3.4.15.1 BZn12-37-1.5、BZn12-38-2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p>
    <w:p w14:paraId="05AEDA77" w14:textId="77777777" w:rsidR="004426E6" w:rsidRDefault="00000000">
      <w:pPr>
        <w:pStyle w:val="a0"/>
        <w:jc w:val="center"/>
      </w:pPr>
      <w:r>
        <w:rPr>
          <w:noProof/>
        </w:rPr>
        <w:drawing>
          <wp:inline distT="0" distB="0" distL="0" distR="0" wp14:anchorId="58D91827" wp14:editId="1B807AA5">
            <wp:extent cx="2465705" cy="1861185"/>
            <wp:effectExtent l="0" t="0" r="0" b="5715"/>
            <wp:docPr id="18575303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30305" name="图片 1"/>
                    <pic:cNvPicPr>
                      <a:picLocks noChangeAspect="1"/>
                    </pic:cNvPicPr>
                  </pic:nvPicPr>
                  <pic:blipFill>
                    <a:blip r:embed="rId93"/>
                    <a:stretch>
                      <a:fillRect/>
                    </a:stretch>
                  </pic:blipFill>
                  <pic:spPr>
                    <a:xfrm>
                      <a:off x="0" y="0"/>
                      <a:ext cx="2466038" cy="1861200"/>
                    </a:xfrm>
                    <a:prstGeom prst="rect">
                      <a:avLst/>
                    </a:prstGeom>
                  </pic:spPr>
                </pic:pic>
              </a:graphicData>
            </a:graphic>
          </wp:inline>
        </w:drawing>
      </w:r>
      <w:r>
        <w:rPr>
          <w:noProof/>
        </w:rPr>
        <w:drawing>
          <wp:inline distT="0" distB="0" distL="0" distR="0" wp14:anchorId="2AEDC3B1" wp14:editId="7E79162B">
            <wp:extent cx="2418715" cy="1861185"/>
            <wp:effectExtent l="0" t="0" r="635" b="5715"/>
            <wp:docPr id="7697248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4876" name="图片 1"/>
                    <pic:cNvPicPr>
                      <a:picLocks noChangeAspect="1"/>
                    </pic:cNvPicPr>
                  </pic:nvPicPr>
                  <pic:blipFill>
                    <a:blip r:embed="rId94"/>
                    <a:stretch>
                      <a:fillRect/>
                    </a:stretch>
                  </pic:blipFill>
                  <pic:spPr>
                    <a:xfrm>
                      <a:off x="0" y="0"/>
                      <a:ext cx="2418806" cy="1861200"/>
                    </a:xfrm>
                    <a:prstGeom prst="rect">
                      <a:avLst/>
                    </a:prstGeom>
                  </pic:spPr>
                </pic:pic>
              </a:graphicData>
            </a:graphic>
          </wp:inline>
        </w:drawing>
      </w:r>
    </w:p>
    <w:p w14:paraId="2B311AF2"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图86、图87</w:t>
      </w:r>
      <w:r>
        <w:rPr>
          <w:rFonts w:ascii="黑体" w:eastAsia="黑体" w:hAnsi="黑体"/>
          <w:color w:val="000000"/>
          <w:szCs w:val="21"/>
        </w:rPr>
        <w:t xml:space="preserve"> </w:t>
      </w:r>
      <w:r>
        <w:rPr>
          <w:rFonts w:ascii="黑体" w:eastAsia="黑体" w:hAnsi="黑体" w:hint="eastAsia"/>
          <w:color w:val="000000"/>
          <w:szCs w:val="21"/>
        </w:rPr>
        <w:t>BZn12-37-1.5、BZn12-38-2 HO2态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r>
        <w:rPr>
          <w:rFonts w:ascii="黑体" w:eastAsia="黑体" w:hAnsi="黑体" w:hint="eastAsia"/>
          <w:color w:val="000000"/>
          <w:szCs w:val="21"/>
        </w:rPr>
        <w:t>抗拉强度、伸长率</w:t>
      </w:r>
    </w:p>
    <w:p w14:paraId="77107ACA"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szCs w:val="21"/>
        </w:rPr>
        <w:lastRenderedPageBreak/>
        <w:t>抗拉强度：</w:t>
      </w:r>
      <w:r>
        <w:rPr>
          <w:rFonts w:ascii="Times New Roman" w:hAnsi="Times New Roman" w:cs="Times New Roman"/>
          <w:kern w:val="0"/>
          <w:szCs w:val="21"/>
        </w:rPr>
        <w:t>样本个数</w:t>
      </w:r>
      <w:r>
        <w:rPr>
          <w:rFonts w:ascii="Times New Roman" w:hAnsi="Times New Roman" w:cs="Times New Roman" w:hint="eastAsia"/>
          <w:kern w:val="0"/>
          <w:szCs w:val="21"/>
        </w:rPr>
        <w:t>109</w:t>
      </w:r>
      <w:r>
        <w:rPr>
          <w:rFonts w:ascii="Times New Roman" w:hAnsi="Times New Roman" w:cs="Times New Roman"/>
          <w:kern w:val="0"/>
          <w:szCs w:val="21"/>
        </w:rPr>
        <w:t>个，平均值</w:t>
      </w:r>
      <w:r>
        <w:rPr>
          <w:rFonts w:ascii="Times New Roman" w:hAnsi="Times New Roman" w:cs="Times New Roman" w:hint="eastAsia"/>
          <w:kern w:val="0"/>
          <w:szCs w:val="21"/>
        </w:rPr>
        <w:t>684.52</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41.9968</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600M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97.79%</w:t>
      </w:r>
      <w:r>
        <w:rPr>
          <w:rFonts w:ascii="Times New Roman" w:hAnsi="Times New Roman" w:cs="Times New Roman" w:hint="eastAsia"/>
          <w:kern w:val="0"/>
        </w:rPr>
        <w:t>。</w:t>
      </w:r>
    </w:p>
    <w:p w14:paraId="11C7CB11"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109</w:t>
      </w:r>
      <w:r>
        <w:rPr>
          <w:rFonts w:ascii="Times New Roman" w:hAnsi="Times New Roman" w:cs="Times New Roman"/>
          <w:kern w:val="0"/>
        </w:rPr>
        <w:t>个，平均值</w:t>
      </w:r>
      <w:r>
        <w:rPr>
          <w:rFonts w:ascii="Times New Roman" w:hAnsi="Times New Roman" w:cs="Times New Roman" w:hint="eastAsia"/>
          <w:kern w:val="0"/>
        </w:rPr>
        <w:t>12.6055</w:t>
      </w:r>
      <w:r>
        <w:rPr>
          <w:rFonts w:ascii="Times New Roman" w:hAnsi="Times New Roman" w:cs="Times New Roman"/>
          <w:kern w:val="0"/>
        </w:rPr>
        <w:t>，标准差</w:t>
      </w:r>
      <w:r>
        <w:rPr>
          <w:rFonts w:ascii="Times New Roman" w:hAnsi="Times New Roman" w:cs="Times New Roman" w:hint="eastAsia"/>
          <w:kern w:val="0"/>
        </w:rPr>
        <w:t>3.1682</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5</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99.18%</w:t>
      </w:r>
      <w:r>
        <w:rPr>
          <w:rFonts w:ascii="Times New Roman" w:hAnsi="Times New Roman" w:cs="Times New Roman" w:hint="eastAsia"/>
          <w:kern w:val="0"/>
        </w:rPr>
        <w:t>。</w:t>
      </w:r>
    </w:p>
    <w:p w14:paraId="38C6108F" w14:textId="03ECC566" w:rsidR="004426E6" w:rsidRDefault="00000000">
      <w:pPr>
        <w:spacing w:line="380" w:lineRule="exact"/>
        <w:ind w:firstLineChars="200" w:firstLine="420"/>
        <w:rPr>
          <w:rFonts w:ascii="黑体" w:eastAsia="黑体" w:hAnsi="黑体" w:hint="eastAsia"/>
          <w:color w:val="000000"/>
          <w:szCs w:val="21"/>
        </w:rPr>
      </w:pPr>
      <w:r>
        <w:rPr>
          <w:rFonts w:ascii="黑体" w:eastAsia="黑体" w:hAnsi="黑体" w:hint="eastAsia"/>
          <w:color w:val="000000"/>
          <w:szCs w:val="21"/>
        </w:rPr>
        <w:t>3.4.15.2 BZn12-37-1.5、BZn12-38-2 HO</w:t>
      </w:r>
      <w:r w:rsidR="00935096">
        <w:rPr>
          <w:rFonts w:ascii="黑体" w:eastAsia="黑体" w:hAnsi="黑体" w:hint="eastAsia"/>
          <w:color w:val="000000"/>
          <w:szCs w:val="21"/>
        </w:rPr>
        <w:t>4</w:t>
      </w:r>
      <w:r>
        <w:rPr>
          <w:rFonts w:ascii="黑体" w:eastAsia="黑体" w:hAnsi="黑体" w:hint="eastAsia"/>
          <w:color w:val="000000"/>
          <w:szCs w:val="21"/>
        </w:rPr>
        <w:t>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p>
    <w:p w14:paraId="4319B3C5" w14:textId="77777777" w:rsidR="004426E6" w:rsidRDefault="004426E6">
      <w:pPr>
        <w:autoSpaceDE w:val="0"/>
        <w:autoSpaceDN w:val="0"/>
        <w:adjustRightInd w:val="0"/>
        <w:ind w:firstLine="422"/>
        <w:contextualSpacing/>
        <w:jc w:val="left"/>
        <w:rPr>
          <w:rFonts w:ascii="Times New Roman" w:hAnsi="Times New Roman" w:cs="Times New Roman"/>
          <w:b/>
          <w:bCs/>
          <w:kern w:val="0"/>
          <w:szCs w:val="21"/>
        </w:rPr>
      </w:pPr>
    </w:p>
    <w:p w14:paraId="257C3051" w14:textId="77777777" w:rsidR="004426E6" w:rsidRDefault="00000000">
      <w:pPr>
        <w:autoSpaceDE w:val="0"/>
        <w:autoSpaceDN w:val="0"/>
        <w:adjustRightInd w:val="0"/>
        <w:ind w:firstLine="422"/>
        <w:contextualSpacing/>
        <w:jc w:val="center"/>
      </w:pPr>
      <w:r>
        <w:rPr>
          <w:noProof/>
        </w:rPr>
        <w:drawing>
          <wp:inline distT="0" distB="0" distL="0" distR="0" wp14:anchorId="06546AA8" wp14:editId="6F8C6C65">
            <wp:extent cx="2475865" cy="1861185"/>
            <wp:effectExtent l="0" t="0" r="635" b="5715"/>
            <wp:docPr id="2388666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66632" name="图片 1"/>
                    <pic:cNvPicPr>
                      <a:picLocks noChangeAspect="1"/>
                    </pic:cNvPicPr>
                  </pic:nvPicPr>
                  <pic:blipFill>
                    <a:blip r:embed="rId95"/>
                    <a:stretch>
                      <a:fillRect/>
                    </a:stretch>
                  </pic:blipFill>
                  <pic:spPr>
                    <a:xfrm>
                      <a:off x="0" y="0"/>
                      <a:ext cx="2476259" cy="1861200"/>
                    </a:xfrm>
                    <a:prstGeom prst="rect">
                      <a:avLst/>
                    </a:prstGeom>
                  </pic:spPr>
                </pic:pic>
              </a:graphicData>
            </a:graphic>
          </wp:inline>
        </w:drawing>
      </w:r>
      <w:r>
        <w:rPr>
          <w:noProof/>
        </w:rPr>
        <w:drawing>
          <wp:inline distT="0" distB="0" distL="0" distR="0" wp14:anchorId="792755D3" wp14:editId="751478A9">
            <wp:extent cx="2480310" cy="1861185"/>
            <wp:effectExtent l="0" t="0" r="0" b="5715"/>
            <wp:docPr id="16913108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10872" name="图片 1"/>
                    <pic:cNvPicPr>
                      <a:picLocks noChangeAspect="1"/>
                    </pic:cNvPicPr>
                  </pic:nvPicPr>
                  <pic:blipFill>
                    <a:blip r:embed="rId96"/>
                    <a:stretch>
                      <a:fillRect/>
                    </a:stretch>
                  </pic:blipFill>
                  <pic:spPr>
                    <a:xfrm>
                      <a:off x="0" y="0"/>
                      <a:ext cx="2480609" cy="1861200"/>
                    </a:xfrm>
                    <a:prstGeom prst="rect">
                      <a:avLst/>
                    </a:prstGeom>
                  </pic:spPr>
                </pic:pic>
              </a:graphicData>
            </a:graphic>
          </wp:inline>
        </w:drawing>
      </w:r>
    </w:p>
    <w:p w14:paraId="61656EE2"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图88、图89</w:t>
      </w:r>
      <w:r>
        <w:rPr>
          <w:rFonts w:ascii="黑体" w:eastAsia="黑体" w:hAnsi="黑体"/>
          <w:color w:val="000000"/>
          <w:szCs w:val="21"/>
        </w:rPr>
        <w:t xml:space="preserve"> </w:t>
      </w:r>
      <w:r>
        <w:rPr>
          <w:rFonts w:ascii="黑体" w:eastAsia="黑体" w:hAnsi="黑体" w:hint="eastAsia"/>
          <w:color w:val="000000"/>
          <w:szCs w:val="21"/>
        </w:rPr>
        <w:t>BZn12-37-1.5、BZn12-38-2 HO4态</w:t>
      </w:r>
      <w:r>
        <w:rPr>
          <w:rFonts w:ascii="黑体" w:eastAsia="黑体" w:hAnsi="黑体"/>
          <w:color w:val="000000"/>
          <w:szCs w:val="21"/>
        </w:rPr>
        <w:t>（规格</w:t>
      </w:r>
      <w:r>
        <w:rPr>
          <w:rFonts w:ascii="黑体" w:eastAsia="黑体" w:hAnsi="黑体" w:hint="eastAsia"/>
          <w:color w:val="000000"/>
          <w:szCs w:val="21"/>
        </w:rPr>
        <w:t>0.5</w:t>
      </w:r>
      <w:r>
        <w:rPr>
          <w:rFonts w:ascii="黑体" w:eastAsia="黑体" w:hAnsi="黑体"/>
          <w:color w:val="000000"/>
          <w:szCs w:val="21"/>
        </w:rPr>
        <w:t>-</w:t>
      </w:r>
      <w:r>
        <w:rPr>
          <w:rFonts w:ascii="黑体" w:eastAsia="黑体" w:hAnsi="黑体" w:hint="eastAsia"/>
          <w:color w:val="000000"/>
          <w:szCs w:val="21"/>
        </w:rPr>
        <w:t>9.</w:t>
      </w:r>
      <w:r>
        <w:rPr>
          <w:rFonts w:ascii="黑体" w:eastAsia="黑体" w:hAnsi="黑体"/>
          <w:color w:val="000000"/>
          <w:szCs w:val="21"/>
        </w:rPr>
        <w:t>0）</w:t>
      </w:r>
      <w:r>
        <w:rPr>
          <w:rFonts w:ascii="黑体" w:eastAsia="黑体" w:hAnsi="黑体" w:hint="eastAsia"/>
          <w:color w:val="000000"/>
          <w:szCs w:val="21"/>
        </w:rPr>
        <w:t>抗拉强度、伸长率</w:t>
      </w:r>
    </w:p>
    <w:p w14:paraId="21761F6F" w14:textId="77777777" w:rsidR="004426E6" w:rsidRDefault="00000000">
      <w:pPr>
        <w:autoSpaceDE w:val="0"/>
        <w:autoSpaceDN w:val="0"/>
        <w:adjustRightInd w:val="0"/>
        <w:ind w:firstLine="422"/>
        <w:contextualSpacing/>
        <w:jc w:val="left"/>
        <w:rPr>
          <w:rFonts w:ascii="Times New Roman" w:hAnsi="Times New Roman" w:cs="Times New Roman"/>
          <w:kern w:val="0"/>
        </w:rPr>
      </w:pPr>
      <w:r>
        <w:rPr>
          <w:rFonts w:ascii="Times New Roman" w:hAnsi="Times New Roman" w:cs="Times New Roman"/>
          <w:b/>
          <w:bCs/>
          <w:kern w:val="0"/>
          <w:szCs w:val="21"/>
        </w:rPr>
        <w:t>抗拉强度：</w:t>
      </w:r>
      <w:r>
        <w:rPr>
          <w:rFonts w:ascii="Times New Roman" w:hAnsi="Times New Roman" w:cs="Times New Roman"/>
          <w:kern w:val="0"/>
          <w:szCs w:val="21"/>
        </w:rPr>
        <w:t>样本个数</w:t>
      </w:r>
      <w:r>
        <w:rPr>
          <w:rFonts w:ascii="Times New Roman" w:hAnsi="Times New Roman" w:cs="Times New Roman" w:hint="eastAsia"/>
          <w:kern w:val="0"/>
          <w:szCs w:val="21"/>
        </w:rPr>
        <w:t>124</w:t>
      </w:r>
      <w:r>
        <w:rPr>
          <w:rFonts w:ascii="Times New Roman" w:hAnsi="Times New Roman" w:cs="Times New Roman"/>
          <w:kern w:val="0"/>
          <w:szCs w:val="21"/>
        </w:rPr>
        <w:t>个，平均值</w:t>
      </w:r>
      <w:r>
        <w:rPr>
          <w:rFonts w:ascii="Times New Roman" w:hAnsi="Times New Roman" w:cs="Times New Roman" w:hint="eastAsia"/>
          <w:kern w:val="0"/>
          <w:szCs w:val="21"/>
        </w:rPr>
        <w:t>695.15</w:t>
      </w:r>
      <w:r>
        <w:rPr>
          <w:rFonts w:ascii="Times New Roman" w:hAnsi="Times New Roman" w:cs="Times New Roman"/>
          <w:kern w:val="0"/>
          <w:szCs w:val="21"/>
        </w:rPr>
        <w:t>MPa</w:t>
      </w:r>
      <w:r>
        <w:rPr>
          <w:rFonts w:ascii="Times New Roman" w:hAnsi="Times New Roman" w:cs="Times New Roman"/>
          <w:kern w:val="0"/>
          <w:szCs w:val="21"/>
        </w:rPr>
        <w:t>，标准差</w:t>
      </w:r>
      <w:r>
        <w:rPr>
          <w:rFonts w:ascii="Times New Roman" w:hAnsi="Times New Roman" w:cs="Times New Roman" w:hint="eastAsia"/>
          <w:kern w:val="0"/>
          <w:szCs w:val="21"/>
        </w:rPr>
        <w:t>23.8914</w:t>
      </w:r>
      <w:r>
        <w:rPr>
          <w:rFonts w:ascii="Times New Roman" w:hAnsi="Times New Roman" w:cs="Times New Roman" w:hint="eastAsia"/>
          <w:kern w:val="0"/>
          <w:szCs w:val="21"/>
        </w:rPr>
        <w:t>。</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650M</w:t>
      </w:r>
      <w:r>
        <w:rPr>
          <w:rFonts w:ascii="Times New Roman" w:hAnsi="Times New Roman" w:cs="Times New Roman"/>
          <w:kern w:val="0"/>
          <w:szCs w:val="21"/>
        </w:rPr>
        <w:t>P</w:t>
      </w:r>
      <w:r>
        <w:rPr>
          <w:rFonts w:ascii="Times New Roman" w:hAnsi="Times New Roman" w:cs="Times New Roman" w:hint="eastAsia"/>
          <w:kern w:val="0"/>
        </w:rPr>
        <w:t>a</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szCs w:val="21"/>
        </w:rPr>
        <w:t>接收概率为</w:t>
      </w:r>
      <w:r>
        <w:rPr>
          <w:rFonts w:ascii="Times New Roman" w:hAnsi="Times New Roman" w:cs="Times New Roman" w:hint="eastAsia"/>
          <w:kern w:val="0"/>
        </w:rPr>
        <w:t>97.06%</w:t>
      </w:r>
      <w:r>
        <w:rPr>
          <w:rFonts w:ascii="Times New Roman" w:hAnsi="Times New Roman" w:cs="Times New Roman" w:hint="eastAsia"/>
          <w:kern w:val="0"/>
        </w:rPr>
        <w:t>。</w:t>
      </w:r>
    </w:p>
    <w:p w14:paraId="5FF4436C" w14:textId="77777777" w:rsidR="004426E6" w:rsidRDefault="00000000">
      <w:pPr>
        <w:spacing w:line="380" w:lineRule="exact"/>
        <w:ind w:firstLineChars="200" w:firstLine="422"/>
        <w:jc w:val="left"/>
        <w:rPr>
          <w:rFonts w:ascii="Times New Roman" w:hAnsi="Times New Roman" w:cs="Times New Roman"/>
          <w:kern w:val="0"/>
        </w:rPr>
      </w:pPr>
      <w:r>
        <w:rPr>
          <w:rFonts w:ascii="Times New Roman" w:hAnsi="Times New Roman" w:cs="Times New Roman"/>
          <w:b/>
          <w:bCs/>
          <w:kern w:val="0"/>
        </w:rPr>
        <w:t>伸长率：</w:t>
      </w:r>
      <w:r>
        <w:rPr>
          <w:rFonts w:ascii="Times New Roman" w:hAnsi="Times New Roman" w:cs="Times New Roman"/>
          <w:kern w:val="0"/>
        </w:rPr>
        <w:t>样本个数</w:t>
      </w:r>
      <w:r>
        <w:rPr>
          <w:rFonts w:ascii="Times New Roman" w:hAnsi="Times New Roman" w:cs="Times New Roman" w:hint="eastAsia"/>
          <w:kern w:val="0"/>
        </w:rPr>
        <w:t>124</w:t>
      </w:r>
      <w:r>
        <w:rPr>
          <w:rFonts w:ascii="Times New Roman" w:hAnsi="Times New Roman" w:cs="Times New Roman"/>
          <w:kern w:val="0"/>
        </w:rPr>
        <w:t>个，平均值</w:t>
      </w:r>
      <w:r>
        <w:rPr>
          <w:rFonts w:ascii="Times New Roman" w:hAnsi="Times New Roman" w:cs="Times New Roman" w:hint="eastAsia"/>
          <w:kern w:val="0"/>
        </w:rPr>
        <w:t>8.5968</w:t>
      </w:r>
      <w:r>
        <w:rPr>
          <w:rFonts w:ascii="Times New Roman" w:hAnsi="Times New Roman" w:cs="Times New Roman"/>
          <w:kern w:val="0"/>
        </w:rPr>
        <w:t>，标准差</w:t>
      </w:r>
      <w:r>
        <w:rPr>
          <w:rFonts w:ascii="Times New Roman" w:hAnsi="Times New Roman" w:cs="Times New Roman" w:hint="eastAsia"/>
          <w:kern w:val="0"/>
        </w:rPr>
        <w:t>3.2533</w:t>
      </w:r>
      <w:r>
        <w:rPr>
          <w:rFonts w:ascii="Times New Roman" w:hAnsi="Times New Roman" w:cs="Times New Roman"/>
          <w:kern w:val="0"/>
        </w:rPr>
        <w:t>。当标准指标定为</w:t>
      </w:r>
      <w:r>
        <w:rPr>
          <w:rFonts w:ascii="Times New Roman" w:hAnsi="Times New Roman" w:cs="Times New Roman"/>
          <w:kern w:val="0"/>
        </w:rPr>
        <w:t>≥</w:t>
      </w:r>
      <w:r>
        <w:rPr>
          <w:rFonts w:ascii="Times New Roman" w:hAnsi="Times New Roman" w:cs="Times New Roman" w:hint="eastAsia"/>
          <w:kern w:val="0"/>
        </w:rPr>
        <w:t>2</w:t>
      </w:r>
      <w:r>
        <w:rPr>
          <w:rFonts w:ascii="Times New Roman" w:hAnsi="Times New Roman" w:cs="Times New Roman"/>
          <w:kern w:val="0"/>
        </w:rPr>
        <w:t>时，</w:t>
      </w:r>
      <w:r>
        <w:rPr>
          <w:rFonts w:ascii="Times New Roman" w:hAnsi="Times New Roman" w:cs="Times New Roman" w:hint="eastAsia"/>
          <w:kern w:val="0"/>
        </w:rPr>
        <w:t>单向</w:t>
      </w:r>
      <w:r>
        <w:rPr>
          <w:rFonts w:ascii="Times New Roman" w:hAnsi="Times New Roman" w:cs="Times New Roman"/>
          <w:kern w:val="0"/>
        </w:rPr>
        <w:t>接收概率为</w:t>
      </w:r>
      <w:r>
        <w:rPr>
          <w:rFonts w:ascii="Times New Roman" w:hAnsi="Times New Roman" w:cs="Times New Roman" w:hint="eastAsia"/>
          <w:kern w:val="0"/>
        </w:rPr>
        <w:t>97.87%</w:t>
      </w:r>
      <w:r>
        <w:rPr>
          <w:rFonts w:ascii="Times New Roman" w:hAnsi="Times New Roman" w:cs="Times New Roman" w:hint="eastAsia"/>
          <w:kern w:val="0"/>
        </w:rPr>
        <w:t>。</w:t>
      </w:r>
    </w:p>
    <w:p w14:paraId="7381B7F3" w14:textId="77777777" w:rsidR="004426E6" w:rsidRDefault="00000000">
      <w:pPr>
        <w:pStyle w:val="TOC1"/>
        <w:widowControl w:val="0"/>
        <w:adjustRightInd w:val="0"/>
        <w:ind w:firstLineChars="200" w:firstLine="420"/>
        <w:contextualSpacing/>
        <w:jc w:val="left"/>
        <w:textAlignment w:val="baseline"/>
        <w:rPr>
          <w:rFonts w:ascii="黑体" w:eastAsia="黑体" w:hAnsi="黑体" w:cs="黑体" w:hint="eastAsia"/>
          <w:caps/>
          <w:szCs w:val="21"/>
        </w:rPr>
      </w:pPr>
      <w:r>
        <w:rPr>
          <w:rFonts w:ascii="黑体" w:eastAsia="黑体" w:hAnsi="黑体" w:cs="黑体"/>
          <w:caps/>
          <w:szCs w:val="21"/>
        </w:rPr>
        <w:t>3.</w:t>
      </w:r>
      <w:r>
        <w:rPr>
          <w:rFonts w:ascii="黑体" w:eastAsia="黑体" w:hAnsi="黑体" w:cs="黑体" w:hint="eastAsia"/>
          <w:caps/>
          <w:szCs w:val="21"/>
        </w:rPr>
        <w:t>5</w:t>
      </w:r>
      <w:r>
        <w:rPr>
          <w:rFonts w:ascii="黑体" w:eastAsia="黑体" w:hAnsi="黑体" w:cs="黑体"/>
          <w:caps/>
          <w:szCs w:val="21"/>
        </w:rPr>
        <w:t xml:space="preserve"> 电性能</w:t>
      </w:r>
    </w:p>
    <w:p w14:paraId="1E039456" w14:textId="77777777" w:rsidR="004426E6" w:rsidRDefault="00000000">
      <w:pPr>
        <w:autoSpaceDE w:val="0"/>
        <w:autoSpaceDN w:val="0"/>
        <w:adjustRightInd w:val="0"/>
        <w:ind w:firstLine="420"/>
        <w:contextualSpacing/>
        <w:jc w:val="left"/>
        <w:rPr>
          <w:rFonts w:ascii="Times New Roman"/>
          <w:szCs w:val="21"/>
        </w:rPr>
      </w:pPr>
      <w:r>
        <w:rPr>
          <w:rFonts w:ascii="Times New Roman" w:hAnsi="Times New Roman" w:cs="Times New Roman"/>
          <w:kern w:val="0"/>
          <w:szCs w:val="46"/>
        </w:rPr>
        <w:t>TTe0.3</w:t>
      </w:r>
      <w:r>
        <w:rPr>
          <w:rFonts w:ascii="Times New Roman" w:hAnsi="Times New Roman" w:cs="Times New Roman" w:hint="eastAsia"/>
          <w:kern w:val="0"/>
          <w:szCs w:val="46"/>
        </w:rPr>
        <w:t>、</w:t>
      </w:r>
      <w:r>
        <w:rPr>
          <w:rFonts w:ascii="Times New Roman" w:hAnsi="Times New Roman" w:cs="Times New Roman"/>
          <w:kern w:val="0"/>
          <w:szCs w:val="46"/>
        </w:rPr>
        <w:t>TTe0.5</w:t>
      </w:r>
      <w:r>
        <w:rPr>
          <w:rFonts w:ascii="Times New Roman" w:hAnsi="Times New Roman" w:cs="Times New Roman" w:hint="eastAsia"/>
          <w:kern w:val="0"/>
          <w:szCs w:val="46"/>
        </w:rPr>
        <w:t>、</w:t>
      </w:r>
      <w:r>
        <w:rPr>
          <w:rFonts w:ascii="Times New Roman" w:hAnsi="Times New Roman" w:cs="Times New Roman"/>
          <w:kern w:val="0"/>
          <w:szCs w:val="46"/>
        </w:rPr>
        <w:t>TPb1</w:t>
      </w:r>
      <w:r>
        <w:rPr>
          <w:rFonts w:ascii="Times New Roman" w:hAnsi="Times New Roman" w:cs="Times New Roman" w:hint="eastAsia"/>
          <w:kern w:val="0"/>
          <w:szCs w:val="46"/>
        </w:rPr>
        <w:t>、</w:t>
      </w:r>
      <w:r>
        <w:rPr>
          <w:rFonts w:ascii="Times New Roman" w:hAnsi="Times New Roman" w:cs="Times New Roman"/>
          <w:kern w:val="0"/>
          <w:szCs w:val="46"/>
        </w:rPr>
        <w:t>TNi1-0.6-0.25</w:t>
      </w:r>
      <w:r>
        <w:rPr>
          <w:rFonts w:ascii="Times New Roman" w:hAnsi="Times New Roman" w:cs="Times New Roman"/>
          <w:kern w:val="0"/>
          <w:szCs w:val="46"/>
        </w:rPr>
        <w:t>、</w:t>
      </w:r>
      <w:r>
        <w:rPr>
          <w:rFonts w:ascii="Times New Roman" w:hAnsi="Times New Roman" w:cs="Times New Roman"/>
          <w:kern w:val="0"/>
          <w:szCs w:val="46"/>
        </w:rPr>
        <w:t>TNi1-1-0.25</w:t>
      </w:r>
      <w:r>
        <w:rPr>
          <w:rFonts w:ascii="Times New Roman" w:hAnsi="Times New Roman" w:cs="Times New Roman" w:hint="eastAsia"/>
          <w:kern w:val="0"/>
          <w:szCs w:val="46"/>
        </w:rPr>
        <w:t>因其较高的导电性能常用于电连接领域，</w:t>
      </w:r>
      <w:r>
        <w:rPr>
          <w:rFonts w:ascii="Times New Roman" w:hAnsi="Times New Roman" w:cs="Times New Roman" w:hint="eastAsia"/>
        </w:rPr>
        <w:t>对</w:t>
      </w:r>
      <w:r>
        <w:rPr>
          <w:rFonts w:ascii="Times New Roman" w:hAnsi="Times New Roman" w:cs="Times New Roman"/>
        </w:rPr>
        <w:t>采用</w:t>
      </w:r>
      <w:r>
        <w:rPr>
          <w:rFonts w:ascii="Times New Roman" w:hAnsi="Times New Roman" w:cs="Times New Roman"/>
          <w:kern w:val="0"/>
          <w:szCs w:val="46"/>
        </w:rPr>
        <w:t>GB/T 351</w:t>
      </w:r>
      <w:r>
        <w:rPr>
          <w:rFonts w:ascii="Times New Roman" w:hAnsi="Times New Roman" w:cs="Times New Roman"/>
          <w:kern w:val="0"/>
          <w:szCs w:val="46"/>
        </w:rPr>
        <w:t>《金属材料</w:t>
      </w:r>
      <w:r>
        <w:rPr>
          <w:rFonts w:ascii="Times New Roman" w:hAnsi="Times New Roman" w:cs="Times New Roman" w:hint="eastAsia"/>
          <w:kern w:val="0"/>
          <w:szCs w:val="46"/>
        </w:rPr>
        <w:t xml:space="preserve"> </w:t>
      </w:r>
      <w:r>
        <w:rPr>
          <w:rFonts w:ascii="Times New Roman" w:hAnsi="Times New Roman" w:cs="Times New Roman"/>
          <w:kern w:val="0"/>
          <w:szCs w:val="46"/>
        </w:rPr>
        <w:t>电阻</w:t>
      </w:r>
      <w:r>
        <w:rPr>
          <w:rFonts w:ascii="Times New Roman" w:hAnsi="Times New Roman" w:cs="Times New Roman" w:hint="eastAsia"/>
          <w:kern w:val="0"/>
          <w:szCs w:val="46"/>
        </w:rPr>
        <w:t>率</w:t>
      </w:r>
      <w:r>
        <w:rPr>
          <w:rFonts w:ascii="Times New Roman" w:hAnsi="Times New Roman" w:cs="Times New Roman"/>
          <w:kern w:val="0"/>
          <w:szCs w:val="46"/>
        </w:rPr>
        <w:t>测量方法》进行检测</w:t>
      </w:r>
      <w:r>
        <w:rPr>
          <w:rFonts w:ascii="Times New Roman" w:hAnsi="Times New Roman" w:cs="Times New Roman" w:hint="eastAsia"/>
          <w:kern w:val="0"/>
          <w:szCs w:val="46"/>
        </w:rPr>
        <w:t>、</w:t>
      </w:r>
      <w:r>
        <w:rPr>
          <w:rFonts w:ascii="Times New Roman" w:hAnsi="Times New Roman" w:cs="Times New Roman"/>
          <w:kern w:val="0"/>
          <w:szCs w:val="46"/>
        </w:rPr>
        <w:t>仲裁。</w:t>
      </w:r>
      <w:r>
        <w:rPr>
          <w:rFonts w:ascii="Times New Roman" w:hAnsi="Times New Roman" w:cs="Times New Roman" w:hint="eastAsia"/>
          <w:kern w:val="0"/>
          <w:szCs w:val="46"/>
        </w:rPr>
        <w:t>线材</w:t>
      </w:r>
      <w:r>
        <w:rPr>
          <w:rFonts w:ascii="Times New Roman" w:hint="eastAsia"/>
          <w:szCs w:val="21"/>
        </w:rPr>
        <w:t>的导电率应符合表</w:t>
      </w:r>
      <w:r>
        <w:rPr>
          <w:rFonts w:ascii="Times New Roman" w:hint="eastAsia"/>
          <w:szCs w:val="21"/>
        </w:rPr>
        <w:t>7</w:t>
      </w:r>
      <w:r>
        <w:rPr>
          <w:rFonts w:ascii="Times New Roman" w:hint="eastAsia"/>
          <w:szCs w:val="21"/>
        </w:rPr>
        <w:t>的规定。</w:t>
      </w:r>
    </w:p>
    <w:p w14:paraId="509610D8" w14:textId="77777777" w:rsidR="004426E6" w:rsidRDefault="00000000">
      <w:pPr>
        <w:ind w:firstLineChars="200" w:firstLine="420"/>
        <w:contextualSpacing/>
        <w:rPr>
          <w:rFonts w:ascii="黑体" w:eastAsia="黑体" w:hAnsi="黑体" w:hint="eastAsia"/>
          <w:color w:val="000000"/>
          <w:szCs w:val="21"/>
        </w:rPr>
      </w:pPr>
      <w:r>
        <w:rPr>
          <w:rFonts w:ascii="黑体" w:eastAsia="黑体" w:hAnsi="黑体" w:hint="eastAsia"/>
          <w:szCs w:val="21"/>
        </w:rPr>
        <w:t xml:space="preserve">3.5.1 </w:t>
      </w:r>
      <w:r>
        <w:rPr>
          <w:rFonts w:ascii="黑体" w:eastAsia="黑体" w:hAnsi="黑体"/>
          <w:color w:val="000000"/>
          <w:szCs w:val="21"/>
        </w:rPr>
        <w:t>TTe0.3</w:t>
      </w:r>
    </w:p>
    <w:p w14:paraId="69641E5D" w14:textId="77777777" w:rsidR="004426E6" w:rsidRDefault="00000000">
      <w:pPr>
        <w:pStyle w:val="a0"/>
        <w:jc w:val="center"/>
      </w:pPr>
      <w:r>
        <w:rPr>
          <w:rFonts w:hint="eastAsia"/>
          <w:noProof/>
        </w:rPr>
        <w:drawing>
          <wp:inline distT="0" distB="0" distL="0" distR="0" wp14:anchorId="2D65D2B9" wp14:editId="3651C944">
            <wp:extent cx="2665730" cy="1861185"/>
            <wp:effectExtent l="0" t="0" r="0" b="0"/>
            <wp:docPr id="12871417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41733" name="图片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2666198" cy="1861200"/>
                    </a:xfrm>
                    <a:prstGeom prst="rect">
                      <a:avLst/>
                    </a:prstGeom>
                    <a:noFill/>
                    <a:ln>
                      <a:noFill/>
                    </a:ln>
                  </pic:spPr>
                </pic:pic>
              </a:graphicData>
            </a:graphic>
          </wp:inline>
        </w:drawing>
      </w:r>
    </w:p>
    <w:p w14:paraId="4296FC47"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 xml:space="preserve">图90 </w:t>
      </w:r>
      <w:r>
        <w:rPr>
          <w:rFonts w:ascii="黑体" w:eastAsia="黑体" w:hAnsi="黑体"/>
          <w:color w:val="000000"/>
          <w:szCs w:val="21"/>
        </w:rPr>
        <w:t>TTe0.3</w:t>
      </w:r>
      <w:r>
        <w:rPr>
          <w:rFonts w:ascii="黑体" w:eastAsia="黑体" w:hAnsi="黑体" w:hint="eastAsia"/>
          <w:color w:val="000000"/>
          <w:szCs w:val="21"/>
        </w:rPr>
        <w:t xml:space="preserve"> 电性能</w:t>
      </w:r>
    </w:p>
    <w:p w14:paraId="4F9CA2E5" w14:textId="104A6C39" w:rsidR="004426E6" w:rsidRDefault="00000000">
      <w:pPr>
        <w:pStyle w:val="a0"/>
        <w:spacing w:after="0"/>
        <w:ind w:firstLine="422"/>
        <w:contextualSpacing/>
        <w:rPr>
          <w:rFonts w:ascii="Times New Roman" w:eastAsiaTheme="minorEastAsia" w:hAnsi="Times New Roman" w:cs="Times New Roman"/>
          <w:kern w:val="0"/>
          <w:szCs w:val="21"/>
        </w:rPr>
      </w:pPr>
      <w:r>
        <w:rPr>
          <w:rFonts w:ascii="Times New Roman" w:eastAsiaTheme="minorEastAsia" w:hAnsi="Times New Roman" w:cs="Times New Roman"/>
          <w:b/>
          <w:bCs/>
          <w:kern w:val="0"/>
          <w:szCs w:val="21"/>
        </w:rPr>
        <w:t>导电率：</w:t>
      </w:r>
      <w:r>
        <w:rPr>
          <w:rFonts w:ascii="Times New Roman" w:eastAsiaTheme="minorEastAsia" w:hAnsi="Times New Roman" w:cs="Times New Roman"/>
          <w:kern w:val="0"/>
          <w:szCs w:val="21"/>
        </w:rPr>
        <w:t>样本个数</w:t>
      </w:r>
      <w:r>
        <w:rPr>
          <w:rFonts w:ascii="Times New Roman" w:eastAsiaTheme="minorEastAsia" w:hAnsi="Times New Roman" w:cs="Times New Roman"/>
          <w:kern w:val="0"/>
          <w:szCs w:val="21"/>
        </w:rPr>
        <w:t>1</w:t>
      </w:r>
      <w:r>
        <w:rPr>
          <w:rFonts w:ascii="Times New Roman" w:eastAsiaTheme="minorEastAsia" w:hAnsi="Times New Roman" w:cs="Times New Roman" w:hint="eastAsia"/>
          <w:kern w:val="0"/>
          <w:szCs w:val="21"/>
        </w:rPr>
        <w:t>00</w:t>
      </w:r>
      <w:r>
        <w:rPr>
          <w:rFonts w:ascii="Times New Roman" w:eastAsiaTheme="minorEastAsia" w:hAnsi="Times New Roman" w:cs="Times New Roman"/>
          <w:kern w:val="0"/>
          <w:szCs w:val="21"/>
        </w:rPr>
        <w:t>个，平均值</w:t>
      </w:r>
      <w:r>
        <w:rPr>
          <w:rFonts w:ascii="Times New Roman" w:eastAsiaTheme="minorEastAsia" w:hAnsi="Times New Roman" w:cs="Times New Roman" w:hint="eastAsia"/>
          <w:kern w:val="0"/>
          <w:szCs w:val="21"/>
        </w:rPr>
        <w:t>91.15</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，标准差</w:t>
      </w:r>
      <w:r>
        <w:rPr>
          <w:rFonts w:ascii="Times New Roman" w:eastAsiaTheme="minorEastAsia" w:hAnsi="Times New Roman" w:cs="Times New Roman" w:hint="eastAsia"/>
          <w:kern w:val="0"/>
          <w:szCs w:val="21"/>
        </w:rPr>
        <w:t>0.6942</w:t>
      </w:r>
      <w:r>
        <w:rPr>
          <w:rFonts w:ascii="Times New Roman" w:eastAsiaTheme="minorEastAsia" w:hAnsi="Times New Roman" w:cs="Times New Roman"/>
          <w:kern w:val="0"/>
          <w:szCs w:val="21"/>
        </w:rPr>
        <w:t>。当标准指标定为</w:t>
      </w:r>
      <w:r>
        <w:rPr>
          <w:rFonts w:ascii="Times New Roman" w:eastAsiaTheme="minorEastAsia" w:hAnsi="Times New Roman" w:cs="Times New Roman"/>
          <w:kern w:val="0"/>
          <w:szCs w:val="21"/>
        </w:rPr>
        <w:t>≥</w:t>
      </w:r>
      <w:r>
        <w:rPr>
          <w:rFonts w:ascii="Times New Roman" w:eastAsiaTheme="minorEastAsia" w:hAnsi="Times New Roman" w:cs="Times New Roman" w:hint="eastAsia"/>
          <w:kern w:val="0"/>
          <w:szCs w:val="21"/>
        </w:rPr>
        <w:t>90</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时，单向接收概率为</w:t>
      </w:r>
      <w:r>
        <w:rPr>
          <w:rFonts w:ascii="Times New Roman" w:eastAsiaTheme="minorEastAsia" w:hAnsi="Times New Roman" w:cs="Times New Roman" w:hint="eastAsia"/>
          <w:kern w:val="0"/>
          <w:szCs w:val="21"/>
        </w:rPr>
        <w:t>95.19</w:t>
      </w:r>
      <w:r>
        <w:rPr>
          <w:rFonts w:ascii="Times New Roman" w:eastAsiaTheme="minorEastAsia" w:hAnsi="Times New Roman" w:cs="Times New Roman"/>
          <w:kern w:val="0"/>
          <w:szCs w:val="21"/>
        </w:rPr>
        <w:t>%</w:t>
      </w:r>
      <w:r>
        <w:rPr>
          <w:rFonts w:ascii="Times New Roman" w:eastAsiaTheme="minorEastAsia" w:hAnsi="Times New Roman" w:cs="Times New Roman"/>
          <w:kern w:val="0"/>
          <w:szCs w:val="21"/>
        </w:rPr>
        <w:t>。</w:t>
      </w:r>
    </w:p>
    <w:p w14:paraId="5A0D9D92" w14:textId="4E76E56E" w:rsidR="004426E6" w:rsidRDefault="00000000">
      <w:pPr>
        <w:ind w:firstLineChars="200" w:firstLine="420"/>
        <w:contextualSpacing/>
        <w:rPr>
          <w:rFonts w:ascii="黑体" w:eastAsia="黑体" w:hAnsi="黑体" w:hint="eastAsia"/>
          <w:color w:val="000000"/>
          <w:szCs w:val="21"/>
        </w:rPr>
      </w:pPr>
      <w:r>
        <w:rPr>
          <w:rFonts w:ascii="黑体" w:eastAsia="黑体" w:hAnsi="黑体" w:hint="eastAsia"/>
          <w:szCs w:val="21"/>
        </w:rPr>
        <w:t xml:space="preserve">3.5.2 </w:t>
      </w:r>
      <w:r>
        <w:rPr>
          <w:rFonts w:ascii="黑体" w:eastAsia="黑体" w:hAnsi="黑体"/>
          <w:color w:val="000000"/>
          <w:szCs w:val="21"/>
        </w:rPr>
        <w:t>TTe0.</w:t>
      </w:r>
      <w:r>
        <w:rPr>
          <w:rFonts w:ascii="黑体" w:eastAsia="黑体" w:hAnsi="黑体" w:hint="eastAsia"/>
          <w:color w:val="000000"/>
          <w:szCs w:val="21"/>
        </w:rPr>
        <w:t>5</w:t>
      </w:r>
      <w:r w:rsidR="00FD3AFD">
        <w:rPr>
          <w:rFonts w:ascii="黑体" w:eastAsia="黑体" w:hAnsi="黑体" w:hint="eastAsia"/>
          <w:color w:val="000000"/>
          <w:szCs w:val="21"/>
        </w:rPr>
        <w:t>吗</w:t>
      </w:r>
    </w:p>
    <w:p w14:paraId="1FE9799D" w14:textId="77777777" w:rsidR="004426E6" w:rsidRDefault="00000000">
      <w:pPr>
        <w:pStyle w:val="a0"/>
        <w:jc w:val="center"/>
      </w:pPr>
      <w:r>
        <w:rPr>
          <w:noProof/>
        </w:rPr>
        <w:lastRenderedPageBreak/>
        <w:drawing>
          <wp:inline distT="0" distB="0" distL="0" distR="0" wp14:anchorId="7AA3092C" wp14:editId="5BA3C429">
            <wp:extent cx="2478405" cy="1861185"/>
            <wp:effectExtent l="0" t="0" r="0" b="5715"/>
            <wp:docPr id="15831735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73512" name="图片 1"/>
                    <pic:cNvPicPr>
                      <a:picLocks noChangeAspect="1"/>
                    </pic:cNvPicPr>
                  </pic:nvPicPr>
                  <pic:blipFill>
                    <a:blip r:embed="rId98"/>
                    <a:stretch>
                      <a:fillRect/>
                    </a:stretch>
                  </pic:blipFill>
                  <pic:spPr>
                    <a:xfrm>
                      <a:off x="0" y="0"/>
                      <a:ext cx="2478630" cy="1861200"/>
                    </a:xfrm>
                    <a:prstGeom prst="rect">
                      <a:avLst/>
                    </a:prstGeom>
                  </pic:spPr>
                </pic:pic>
              </a:graphicData>
            </a:graphic>
          </wp:inline>
        </w:drawing>
      </w:r>
    </w:p>
    <w:p w14:paraId="4B9E54CF"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 xml:space="preserve">图91 </w:t>
      </w:r>
      <w:r>
        <w:rPr>
          <w:rFonts w:ascii="黑体" w:eastAsia="黑体" w:hAnsi="黑体"/>
          <w:color w:val="000000"/>
          <w:szCs w:val="21"/>
        </w:rPr>
        <w:t>TTe0.</w:t>
      </w:r>
      <w:r>
        <w:rPr>
          <w:rFonts w:ascii="黑体" w:eastAsia="黑体" w:hAnsi="黑体" w:hint="eastAsia"/>
          <w:color w:val="000000"/>
          <w:szCs w:val="21"/>
        </w:rPr>
        <w:t>5电性能</w:t>
      </w:r>
    </w:p>
    <w:p w14:paraId="45F23BEA" w14:textId="77777777" w:rsidR="004426E6" w:rsidRDefault="00000000">
      <w:pPr>
        <w:pStyle w:val="a0"/>
        <w:spacing w:after="0"/>
        <w:ind w:firstLine="422"/>
        <w:contextualSpacing/>
        <w:rPr>
          <w:rFonts w:ascii="Times New Roman" w:eastAsiaTheme="minorEastAsia" w:hAnsi="Times New Roman" w:cs="Times New Roman"/>
          <w:kern w:val="0"/>
          <w:szCs w:val="21"/>
        </w:rPr>
      </w:pPr>
      <w:r>
        <w:rPr>
          <w:rFonts w:ascii="Times New Roman" w:eastAsiaTheme="minorEastAsia" w:hAnsi="Times New Roman" w:cs="Times New Roman"/>
          <w:b/>
          <w:bCs/>
          <w:kern w:val="0"/>
          <w:szCs w:val="21"/>
        </w:rPr>
        <w:t>导电率：</w:t>
      </w:r>
      <w:r>
        <w:rPr>
          <w:rFonts w:ascii="Times New Roman" w:eastAsiaTheme="minorEastAsia" w:hAnsi="Times New Roman" w:cs="Times New Roman"/>
          <w:kern w:val="0"/>
          <w:szCs w:val="21"/>
        </w:rPr>
        <w:t>样本个数</w:t>
      </w:r>
      <w:r>
        <w:rPr>
          <w:rFonts w:ascii="Times New Roman" w:eastAsiaTheme="minorEastAsia" w:hAnsi="Times New Roman" w:cs="Times New Roman"/>
          <w:kern w:val="0"/>
          <w:szCs w:val="21"/>
        </w:rPr>
        <w:t>1</w:t>
      </w:r>
      <w:r>
        <w:rPr>
          <w:rFonts w:ascii="Times New Roman" w:eastAsiaTheme="minorEastAsia" w:hAnsi="Times New Roman" w:cs="Times New Roman" w:hint="eastAsia"/>
          <w:kern w:val="0"/>
          <w:szCs w:val="21"/>
        </w:rPr>
        <w:t>11</w:t>
      </w:r>
      <w:r>
        <w:rPr>
          <w:rFonts w:ascii="Times New Roman" w:eastAsiaTheme="minorEastAsia" w:hAnsi="Times New Roman" w:cs="Times New Roman"/>
          <w:kern w:val="0"/>
          <w:szCs w:val="21"/>
        </w:rPr>
        <w:t>个，平均值</w:t>
      </w:r>
      <w:r>
        <w:rPr>
          <w:rFonts w:ascii="Times New Roman" w:eastAsiaTheme="minorEastAsia" w:hAnsi="Times New Roman" w:cs="Times New Roman" w:hint="eastAsia"/>
          <w:kern w:val="0"/>
          <w:szCs w:val="21"/>
        </w:rPr>
        <w:t>86.07</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，标准差</w:t>
      </w:r>
      <w:r>
        <w:rPr>
          <w:rFonts w:ascii="Times New Roman" w:eastAsiaTheme="minorEastAsia" w:hAnsi="Times New Roman" w:cs="Times New Roman" w:hint="eastAsia"/>
          <w:kern w:val="0"/>
          <w:szCs w:val="21"/>
        </w:rPr>
        <w:t>0.5815</w:t>
      </w:r>
      <w:r>
        <w:rPr>
          <w:rFonts w:ascii="Times New Roman" w:eastAsiaTheme="minorEastAsia" w:hAnsi="Times New Roman" w:cs="Times New Roman"/>
          <w:kern w:val="0"/>
          <w:szCs w:val="21"/>
        </w:rPr>
        <w:t>。当标准指标定为</w:t>
      </w:r>
      <w:r>
        <w:rPr>
          <w:rFonts w:ascii="Times New Roman" w:eastAsiaTheme="minorEastAsia" w:hAnsi="Times New Roman" w:cs="Times New Roman"/>
          <w:kern w:val="0"/>
          <w:szCs w:val="21"/>
        </w:rPr>
        <w:t>≥</w:t>
      </w:r>
      <w:r>
        <w:rPr>
          <w:rFonts w:ascii="Times New Roman" w:eastAsiaTheme="minorEastAsia" w:hAnsi="Times New Roman" w:cs="Times New Roman" w:hint="eastAsia"/>
          <w:kern w:val="0"/>
          <w:szCs w:val="21"/>
        </w:rPr>
        <w:t>85</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时，单向接收概率为</w:t>
      </w:r>
      <w:r>
        <w:rPr>
          <w:rFonts w:ascii="Times New Roman" w:eastAsiaTheme="minorEastAsia" w:hAnsi="Times New Roman" w:cs="Times New Roman" w:hint="eastAsia"/>
          <w:kern w:val="0"/>
          <w:szCs w:val="21"/>
        </w:rPr>
        <w:t>96.68</w:t>
      </w:r>
      <w:r>
        <w:rPr>
          <w:rFonts w:ascii="Times New Roman" w:eastAsiaTheme="minorEastAsia" w:hAnsi="Times New Roman" w:cs="Times New Roman"/>
          <w:kern w:val="0"/>
          <w:szCs w:val="21"/>
        </w:rPr>
        <w:t>%</w:t>
      </w:r>
      <w:r>
        <w:rPr>
          <w:rFonts w:ascii="Times New Roman" w:eastAsiaTheme="minorEastAsia" w:hAnsi="Times New Roman" w:cs="Times New Roman"/>
          <w:kern w:val="0"/>
          <w:szCs w:val="21"/>
        </w:rPr>
        <w:t>。</w:t>
      </w:r>
    </w:p>
    <w:p w14:paraId="191ED264" w14:textId="77777777" w:rsidR="004426E6" w:rsidRDefault="00000000">
      <w:pPr>
        <w:ind w:firstLineChars="200" w:firstLine="420"/>
        <w:contextualSpacing/>
        <w:rPr>
          <w:rFonts w:ascii="黑体" w:eastAsia="黑体" w:hAnsi="黑体" w:hint="eastAsia"/>
          <w:color w:val="000000"/>
          <w:szCs w:val="21"/>
        </w:rPr>
      </w:pPr>
      <w:r>
        <w:rPr>
          <w:rFonts w:ascii="黑体" w:eastAsia="黑体" w:hAnsi="黑体" w:hint="eastAsia"/>
          <w:szCs w:val="21"/>
        </w:rPr>
        <w:t xml:space="preserve">3.5.3 </w:t>
      </w:r>
      <w:r>
        <w:rPr>
          <w:rFonts w:ascii="黑体" w:eastAsia="黑体" w:hAnsi="黑体"/>
          <w:color w:val="000000"/>
          <w:szCs w:val="21"/>
        </w:rPr>
        <w:t>T</w:t>
      </w:r>
      <w:r>
        <w:rPr>
          <w:rFonts w:ascii="黑体" w:eastAsia="黑体" w:hAnsi="黑体" w:hint="eastAsia"/>
          <w:color w:val="000000"/>
          <w:szCs w:val="21"/>
        </w:rPr>
        <w:t>Pb1</w:t>
      </w:r>
    </w:p>
    <w:p w14:paraId="6D07E793" w14:textId="77777777" w:rsidR="004426E6" w:rsidRDefault="00000000">
      <w:pPr>
        <w:pStyle w:val="a0"/>
        <w:jc w:val="center"/>
      </w:pPr>
      <w:r>
        <w:rPr>
          <w:noProof/>
        </w:rPr>
        <w:drawing>
          <wp:inline distT="0" distB="0" distL="0" distR="0" wp14:anchorId="34A93761" wp14:editId="5ABE5FF3">
            <wp:extent cx="2407285" cy="1861185"/>
            <wp:effectExtent l="0" t="0" r="0" b="5715"/>
            <wp:docPr id="10018115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1536" name="图片 1"/>
                    <pic:cNvPicPr>
                      <a:picLocks noChangeAspect="1"/>
                    </pic:cNvPicPr>
                  </pic:nvPicPr>
                  <pic:blipFill>
                    <a:blip r:embed="rId99"/>
                    <a:stretch>
                      <a:fillRect/>
                    </a:stretch>
                  </pic:blipFill>
                  <pic:spPr>
                    <a:xfrm>
                      <a:off x="0" y="0"/>
                      <a:ext cx="2407560" cy="1861200"/>
                    </a:xfrm>
                    <a:prstGeom prst="rect">
                      <a:avLst/>
                    </a:prstGeom>
                  </pic:spPr>
                </pic:pic>
              </a:graphicData>
            </a:graphic>
          </wp:inline>
        </w:drawing>
      </w:r>
    </w:p>
    <w:p w14:paraId="0194BB75" w14:textId="77777777"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 xml:space="preserve">图92 </w:t>
      </w:r>
      <w:r>
        <w:rPr>
          <w:rFonts w:ascii="黑体" w:eastAsia="黑体" w:hAnsi="黑体"/>
          <w:color w:val="000000"/>
          <w:szCs w:val="21"/>
        </w:rPr>
        <w:t>T</w:t>
      </w:r>
      <w:r>
        <w:rPr>
          <w:rFonts w:ascii="黑体" w:eastAsia="黑体" w:hAnsi="黑体" w:hint="eastAsia"/>
          <w:color w:val="000000"/>
          <w:szCs w:val="21"/>
        </w:rPr>
        <w:t>Pb1电性能</w:t>
      </w:r>
    </w:p>
    <w:p w14:paraId="42B6D899" w14:textId="77777777" w:rsidR="004426E6" w:rsidRDefault="00000000">
      <w:pPr>
        <w:pStyle w:val="a0"/>
        <w:spacing w:after="0"/>
        <w:ind w:firstLine="422"/>
        <w:contextualSpacing/>
        <w:rPr>
          <w:rFonts w:ascii="Times New Roman" w:eastAsiaTheme="minorEastAsia" w:hAnsi="Times New Roman" w:cs="Times New Roman"/>
          <w:kern w:val="0"/>
          <w:szCs w:val="21"/>
        </w:rPr>
      </w:pPr>
      <w:r>
        <w:rPr>
          <w:rFonts w:ascii="Times New Roman" w:eastAsiaTheme="minorEastAsia" w:hAnsi="Times New Roman" w:cs="Times New Roman"/>
          <w:b/>
          <w:bCs/>
          <w:kern w:val="0"/>
          <w:szCs w:val="21"/>
        </w:rPr>
        <w:t>导电率：</w:t>
      </w:r>
      <w:r>
        <w:rPr>
          <w:rFonts w:ascii="Times New Roman" w:eastAsiaTheme="minorEastAsia" w:hAnsi="Times New Roman" w:cs="Times New Roman"/>
          <w:kern w:val="0"/>
          <w:szCs w:val="21"/>
        </w:rPr>
        <w:t>样本个数</w:t>
      </w:r>
      <w:r>
        <w:rPr>
          <w:rFonts w:ascii="Times New Roman" w:eastAsiaTheme="minorEastAsia" w:hAnsi="Times New Roman" w:cs="Times New Roman"/>
          <w:kern w:val="0"/>
          <w:szCs w:val="21"/>
        </w:rPr>
        <w:t>1</w:t>
      </w:r>
      <w:r>
        <w:rPr>
          <w:rFonts w:ascii="Times New Roman" w:eastAsiaTheme="minorEastAsia" w:hAnsi="Times New Roman" w:cs="Times New Roman" w:hint="eastAsia"/>
          <w:kern w:val="0"/>
          <w:szCs w:val="21"/>
        </w:rPr>
        <w:t>00</w:t>
      </w:r>
      <w:r>
        <w:rPr>
          <w:rFonts w:ascii="Times New Roman" w:eastAsiaTheme="minorEastAsia" w:hAnsi="Times New Roman" w:cs="Times New Roman"/>
          <w:kern w:val="0"/>
          <w:szCs w:val="21"/>
        </w:rPr>
        <w:t>个，平均值</w:t>
      </w:r>
      <w:r>
        <w:rPr>
          <w:rFonts w:ascii="Times New Roman" w:eastAsiaTheme="minorEastAsia" w:hAnsi="Times New Roman" w:cs="Times New Roman" w:hint="eastAsia"/>
          <w:kern w:val="0"/>
          <w:szCs w:val="21"/>
        </w:rPr>
        <w:t>91.62</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，标准差</w:t>
      </w:r>
      <w:r>
        <w:rPr>
          <w:rFonts w:ascii="Times New Roman" w:eastAsiaTheme="minorEastAsia" w:hAnsi="Times New Roman" w:cs="Times New Roman" w:hint="eastAsia"/>
          <w:kern w:val="0"/>
          <w:szCs w:val="21"/>
        </w:rPr>
        <w:t>0.7901</w:t>
      </w:r>
      <w:r>
        <w:rPr>
          <w:rFonts w:ascii="Times New Roman" w:eastAsiaTheme="minorEastAsia" w:hAnsi="Times New Roman" w:cs="Times New Roman"/>
          <w:kern w:val="0"/>
          <w:szCs w:val="21"/>
        </w:rPr>
        <w:t>。当标准指标定为</w:t>
      </w:r>
      <w:r>
        <w:rPr>
          <w:rFonts w:ascii="Times New Roman" w:eastAsiaTheme="minorEastAsia" w:hAnsi="Times New Roman" w:cs="Times New Roman"/>
          <w:kern w:val="0"/>
          <w:szCs w:val="21"/>
        </w:rPr>
        <w:t>≥</w:t>
      </w:r>
      <w:r>
        <w:rPr>
          <w:rFonts w:ascii="Times New Roman" w:eastAsiaTheme="minorEastAsia" w:hAnsi="Times New Roman" w:cs="Times New Roman" w:hint="eastAsia"/>
          <w:kern w:val="0"/>
          <w:szCs w:val="21"/>
        </w:rPr>
        <w:t>90</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时，单向接收概率为</w:t>
      </w:r>
      <w:r>
        <w:rPr>
          <w:rFonts w:ascii="Times New Roman" w:eastAsiaTheme="minorEastAsia" w:hAnsi="Times New Roman" w:cs="Times New Roman" w:hint="eastAsia"/>
          <w:kern w:val="0"/>
          <w:szCs w:val="21"/>
        </w:rPr>
        <w:t>98.01</w:t>
      </w:r>
      <w:r>
        <w:rPr>
          <w:rFonts w:ascii="Times New Roman" w:eastAsiaTheme="minorEastAsia" w:hAnsi="Times New Roman" w:cs="Times New Roman"/>
          <w:kern w:val="0"/>
          <w:szCs w:val="21"/>
        </w:rPr>
        <w:t>%</w:t>
      </w:r>
      <w:r>
        <w:rPr>
          <w:rFonts w:ascii="Times New Roman" w:eastAsiaTheme="minorEastAsia" w:hAnsi="Times New Roman" w:cs="Times New Roman"/>
          <w:kern w:val="0"/>
          <w:szCs w:val="21"/>
        </w:rPr>
        <w:t>。</w:t>
      </w:r>
    </w:p>
    <w:p w14:paraId="6F11B38B" w14:textId="4B2B6C70" w:rsidR="004426E6" w:rsidRDefault="00000000">
      <w:pPr>
        <w:ind w:firstLineChars="200" w:firstLine="420"/>
        <w:contextualSpacing/>
        <w:rPr>
          <w:rFonts w:ascii="黑体" w:eastAsia="黑体" w:hAnsi="黑体" w:hint="eastAsia"/>
          <w:color w:val="000000"/>
          <w:szCs w:val="21"/>
        </w:rPr>
      </w:pPr>
      <w:r>
        <w:rPr>
          <w:rFonts w:ascii="黑体" w:eastAsia="黑体" w:hAnsi="黑体" w:hint="eastAsia"/>
          <w:szCs w:val="21"/>
        </w:rPr>
        <w:t xml:space="preserve">3.5.4 </w:t>
      </w:r>
      <w:r>
        <w:rPr>
          <w:rFonts w:ascii="黑体" w:eastAsia="黑体" w:hAnsi="黑体"/>
          <w:color w:val="000000"/>
          <w:szCs w:val="21"/>
        </w:rPr>
        <w:t>T</w:t>
      </w:r>
      <w:r w:rsidR="00935096">
        <w:rPr>
          <w:rFonts w:ascii="黑体" w:eastAsia="黑体" w:hAnsi="黑体" w:hint="eastAsia"/>
          <w:color w:val="000000"/>
          <w:szCs w:val="21"/>
        </w:rPr>
        <w:t>N</w:t>
      </w:r>
      <w:r>
        <w:rPr>
          <w:rFonts w:ascii="黑体" w:eastAsia="黑体" w:hAnsi="黑体" w:hint="eastAsia"/>
          <w:color w:val="000000"/>
          <w:szCs w:val="21"/>
        </w:rPr>
        <w:t>i</w:t>
      </w:r>
      <w:r w:rsidR="00935096">
        <w:rPr>
          <w:rFonts w:ascii="黑体" w:eastAsia="黑体" w:hAnsi="黑体" w:hint="eastAsia"/>
          <w:color w:val="000000"/>
          <w:szCs w:val="21"/>
        </w:rPr>
        <w:t>1</w:t>
      </w:r>
      <w:r>
        <w:rPr>
          <w:rFonts w:ascii="黑体" w:eastAsia="黑体" w:hAnsi="黑体" w:hint="eastAsia"/>
          <w:color w:val="000000"/>
          <w:szCs w:val="21"/>
        </w:rPr>
        <w:t>-0.6-0.25、</w:t>
      </w:r>
      <w:r>
        <w:rPr>
          <w:rFonts w:ascii="黑体" w:eastAsia="黑体" w:hAnsi="黑体"/>
          <w:color w:val="000000"/>
          <w:szCs w:val="21"/>
        </w:rPr>
        <w:t>T</w:t>
      </w:r>
      <w:r w:rsidR="00935096">
        <w:rPr>
          <w:rFonts w:ascii="黑体" w:eastAsia="黑体" w:hAnsi="黑体" w:hint="eastAsia"/>
          <w:color w:val="000000"/>
          <w:szCs w:val="21"/>
        </w:rPr>
        <w:t>N</w:t>
      </w:r>
      <w:r>
        <w:rPr>
          <w:rFonts w:ascii="黑体" w:eastAsia="黑体" w:hAnsi="黑体" w:hint="eastAsia"/>
          <w:color w:val="000000"/>
          <w:szCs w:val="21"/>
        </w:rPr>
        <w:t>i</w:t>
      </w:r>
      <w:r w:rsidR="00935096">
        <w:rPr>
          <w:rFonts w:ascii="黑体" w:eastAsia="黑体" w:hAnsi="黑体" w:hint="eastAsia"/>
          <w:color w:val="000000"/>
          <w:szCs w:val="21"/>
        </w:rPr>
        <w:t>1</w:t>
      </w:r>
      <w:r>
        <w:rPr>
          <w:rFonts w:ascii="黑体" w:eastAsia="黑体" w:hAnsi="黑体" w:hint="eastAsia"/>
          <w:color w:val="000000"/>
          <w:szCs w:val="21"/>
        </w:rPr>
        <w:t>-1-0.25</w:t>
      </w:r>
    </w:p>
    <w:p w14:paraId="6689FCD7" w14:textId="77777777" w:rsidR="004426E6" w:rsidRDefault="00000000">
      <w:pPr>
        <w:pStyle w:val="a0"/>
        <w:jc w:val="center"/>
      </w:pPr>
      <w:r>
        <w:rPr>
          <w:noProof/>
        </w:rPr>
        <w:drawing>
          <wp:inline distT="0" distB="0" distL="0" distR="0" wp14:anchorId="5473D3B4" wp14:editId="7A8D85D7">
            <wp:extent cx="2461260" cy="1861185"/>
            <wp:effectExtent l="0" t="0" r="0" b="5715"/>
            <wp:docPr id="13632451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45179" name="图片 1"/>
                    <pic:cNvPicPr>
                      <a:picLocks noChangeAspect="1"/>
                    </pic:cNvPicPr>
                  </pic:nvPicPr>
                  <pic:blipFill>
                    <a:blip r:embed="rId100"/>
                    <a:stretch>
                      <a:fillRect/>
                    </a:stretch>
                  </pic:blipFill>
                  <pic:spPr>
                    <a:xfrm>
                      <a:off x="0" y="0"/>
                      <a:ext cx="2461349" cy="1861200"/>
                    </a:xfrm>
                    <a:prstGeom prst="rect">
                      <a:avLst/>
                    </a:prstGeom>
                  </pic:spPr>
                </pic:pic>
              </a:graphicData>
            </a:graphic>
          </wp:inline>
        </w:drawing>
      </w:r>
    </w:p>
    <w:p w14:paraId="62DFC7B8" w14:textId="6E821A13" w:rsidR="004426E6" w:rsidRDefault="00000000">
      <w:pPr>
        <w:contextualSpacing/>
        <w:jc w:val="center"/>
        <w:rPr>
          <w:rFonts w:ascii="黑体" w:eastAsia="黑体" w:hAnsi="黑体" w:hint="eastAsia"/>
          <w:color w:val="000000"/>
          <w:szCs w:val="21"/>
        </w:rPr>
      </w:pPr>
      <w:r>
        <w:rPr>
          <w:rFonts w:ascii="黑体" w:eastAsia="黑体" w:hAnsi="黑体" w:hint="eastAsia"/>
          <w:color w:val="000000"/>
          <w:szCs w:val="21"/>
        </w:rPr>
        <w:t xml:space="preserve">图93 </w:t>
      </w:r>
      <w:r>
        <w:rPr>
          <w:rFonts w:ascii="黑体" w:eastAsia="黑体" w:hAnsi="黑体"/>
          <w:color w:val="000000"/>
          <w:szCs w:val="21"/>
        </w:rPr>
        <w:t>T</w:t>
      </w:r>
      <w:r w:rsidR="00935096">
        <w:rPr>
          <w:rFonts w:ascii="黑体" w:eastAsia="黑体" w:hAnsi="黑体" w:hint="eastAsia"/>
          <w:color w:val="000000"/>
          <w:szCs w:val="21"/>
        </w:rPr>
        <w:t>N</w:t>
      </w:r>
      <w:r>
        <w:rPr>
          <w:rFonts w:ascii="黑体" w:eastAsia="黑体" w:hAnsi="黑体" w:hint="eastAsia"/>
          <w:color w:val="000000"/>
          <w:szCs w:val="21"/>
        </w:rPr>
        <w:t>i</w:t>
      </w:r>
      <w:r w:rsidR="00935096">
        <w:rPr>
          <w:rFonts w:ascii="黑体" w:eastAsia="黑体" w:hAnsi="黑体" w:hint="eastAsia"/>
          <w:color w:val="000000"/>
          <w:szCs w:val="21"/>
        </w:rPr>
        <w:t>1</w:t>
      </w:r>
      <w:r>
        <w:rPr>
          <w:rFonts w:ascii="黑体" w:eastAsia="黑体" w:hAnsi="黑体" w:hint="eastAsia"/>
          <w:color w:val="000000"/>
          <w:szCs w:val="21"/>
        </w:rPr>
        <w:t>-0.6-0.25、</w:t>
      </w:r>
      <w:r>
        <w:rPr>
          <w:rFonts w:ascii="黑体" w:eastAsia="黑体" w:hAnsi="黑体"/>
          <w:color w:val="000000"/>
          <w:szCs w:val="21"/>
        </w:rPr>
        <w:t>T</w:t>
      </w:r>
      <w:r w:rsidR="00935096">
        <w:rPr>
          <w:rFonts w:ascii="黑体" w:eastAsia="黑体" w:hAnsi="黑体" w:hint="eastAsia"/>
          <w:color w:val="000000"/>
          <w:szCs w:val="21"/>
        </w:rPr>
        <w:t>N</w:t>
      </w:r>
      <w:r>
        <w:rPr>
          <w:rFonts w:ascii="黑体" w:eastAsia="黑体" w:hAnsi="黑体" w:hint="eastAsia"/>
          <w:color w:val="000000"/>
          <w:szCs w:val="21"/>
        </w:rPr>
        <w:t>i</w:t>
      </w:r>
      <w:r w:rsidR="00935096">
        <w:rPr>
          <w:rFonts w:ascii="黑体" w:eastAsia="黑体" w:hAnsi="黑体" w:hint="eastAsia"/>
          <w:color w:val="000000"/>
          <w:szCs w:val="21"/>
        </w:rPr>
        <w:t>1</w:t>
      </w:r>
      <w:r>
        <w:rPr>
          <w:rFonts w:ascii="黑体" w:eastAsia="黑体" w:hAnsi="黑体" w:hint="eastAsia"/>
          <w:color w:val="000000"/>
          <w:szCs w:val="21"/>
        </w:rPr>
        <w:t>-1-0.25电性能</w:t>
      </w:r>
    </w:p>
    <w:p w14:paraId="22D1B5A7" w14:textId="77777777" w:rsidR="004426E6" w:rsidRDefault="00000000">
      <w:pPr>
        <w:pStyle w:val="a0"/>
        <w:spacing w:after="0"/>
        <w:ind w:firstLine="422"/>
        <w:contextualSpacing/>
        <w:rPr>
          <w:rFonts w:ascii="Times New Roman" w:eastAsiaTheme="minorEastAsia" w:hAnsi="Times New Roman" w:cs="Times New Roman"/>
          <w:kern w:val="0"/>
          <w:szCs w:val="21"/>
        </w:rPr>
      </w:pPr>
      <w:r>
        <w:rPr>
          <w:rFonts w:ascii="Times New Roman" w:eastAsiaTheme="minorEastAsia" w:hAnsi="Times New Roman" w:cs="Times New Roman"/>
          <w:b/>
          <w:bCs/>
          <w:kern w:val="0"/>
          <w:szCs w:val="21"/>
        </w:rPr>
        <w:t>导电率：</w:t>
      </w:r>
      <w:r>
        <w:rPr>
          <w:rFonts w:ascii="Times New Roman" w:eastAsiaTheme="minorEastAsia" w:hAnsi="Times New Roman" w:cs="Times New Roman"/>
          <w:kern w:val="0"/>
          <w:szCs w:val="21"/>
        </w:rPr>
        <w:t>样本个数</w:t>
      </w:r>
      <w:r>
        <w:rPr>
          <w:rFonts w:ascii="Times New Roman" w:eastAsiaTheme="minorEastAsia" w:hAnsi="Times New Roman" w:cs="Times New Roman" w:hint="eastAsia"/>
          <w:kern w:val="0"/>
          <w:szCs w:val="21"/>
        </w:rPr>
        <w:t>100</w:t>
      </w:r>
      <w:r>
        <w:rPr>
          <w:rFonts w:ascii="Times New Roman" w:eastAsiaTheme="minorEastAsia" w:hAnsi="Times New Roman" w:cs="Times New Roman"/>
          <w:kern w:val="0"/>
          <w:szCs w:val="21"/>
        </w:rPr>
        <w:t>个，平均值</w:t>
      </w:r>
      <w:r>
        <w:rPr>
          <w:rFonts w:ascii="Times New Roman" w:eastAsiaTheme="minorEastAsia" w:hAnsi="Times New Roman" w:cs="Times New Roman" w:hint="eastAsia"/>
          <w:kern w:val="0"/>
          <w:szCs w:val="21"/>
        </w:rPr>
        <w:t>53.41</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，标准差</w:t>
      </w:r>
      <w:r>
        <w:rPr>
          <w:rFonts w:ascii="Times New Roman" w:eastAsiaTheme="minorEastAsia" w:hAnsi="Times New Roman" w:cs="Times New Roman" w:hint="eastAsia"/>
          <w:kern w:val="0"/>
          <w:szCs w:val="21"/>
        </w:rPr>
        <w:t>1.9705</w:t>
      </w:r>
      <w:r>
        <w:rPr>
          <w:rFonts w:ascii="Times New Roman" w:eastAsiaTheme="minorEastAsia" w:hAnsi="Times New Roman" w:cs="Times New Roman"/>
          <w:kern w:val="0"/>
          <w:szCs w:val="21"/>
        </w:rPr>
        <w:t>。当标准指标定为</w:t>
      </w:r>
      <w:r>
        <w:rPr>
          <w:rFonts w:ascii="Times New Roman" w:eastAsiaTheme="minorEastAsia" w:hAnsi="Times New Roman" w:cs="Times New Roman"/>
          <w:kern w:val="0"/>
          <w:szCs w:val="21"/>
        </w:rPr>
        <w:t>≥</w:t>
      </w:r>
      <w:r>
        <w:rPr>
          <w:rFonts w:ascii="Times New Roman" w:eastAsiaTheme="minorEastAsia" w:hAnsi="Times New Roman" w:cs="Times New Roman" w:hint="eastAsia"/>
          <w:kern w:val="0"/>
          <w:szCs w:val="21"/>
        </w:rPr>
        <w:t>50</w:t>
      </w:r>
      <w:r>
        <w:rPr>
          <w:rFonts w:ascii="Times New Roman" w:eastAsiaTheme="minorEastAsia" w:hAnsi="Times New Roman" w:cs="Times New Roman"/>
          <w:kern w:val="0"/>
          <w:szCs w:val="21"/>
        </w:rPr>
        <w:t>%IACS</w:t>
      </w:r>
      <w:r>
        <w:rPr>
          <w:rFonts w:ascii="Times New Roman" w:eastAsiaTheme="minorEastAsia" w:hAnsi="Times New Roman" w:cs="Times New Roman"/>
          <w:kern w:val="0"/>
          <w:szCs w:val="21"/>
        </w:rPr>
        <w:t>时，单向接收概率为</w:t>
      </w:r>
      <w:r>
        <w:rPr>
          <w:rFonts w:ascii="Times New Roman" w:eastAsiaTheme="minorEastAsia" w:hAnsi="Times New Roman" w:cs="Times New Roman" w:hint="eastAsia"/>
          <w:kern w:val="0"/>
          <w:szCs w:val="21"/>
        </w:rPr>
        <w:t>95.81</w:t>
      </w:r>
      <w:r>
        <w:rPr>
          <w:rFonts w:ascii="Times New Roman" w:eastAsiaTheme="minorEastAsia" w:hAnsi="Times New Roman" w:cs="Times New Roman"/>
          <w:kern w:val="0"/>
          <w:szCs w:val="21"/>
        </w:rPr>
        <w:t>%</w:t>
      </w:r>
      <w:r>
        <w:rPr>
          <w:rFonts w:ascii="Times New Roman" w:eastAsiaTheme="minorEastAsia" w:hAnsi="Times New Roman" w:cs="Times New Roman"/>
          <w:kern w:val="0"/>
          <w:szCs w:val="21"/>
        </w:rPr>
        <w:t>。</w:t>
      </w:r>
    </w:p>
    <w:p w14:paraId="78F1E5B7" w14:textId="77777777" w:rsidR="004426E6" w:rsidRDefault="00000000">
      <w:pPr>
        <w:pStyle w:val="a0"/>
        <w:spacing w:after="0"/>
        <w:ind w:firstLineChars="200" w:firstLine="420"/>
        <w:contextualSpacing/>
        <w:rPr>
          <w:rFonts w:ascii="黑体" w:eastAsia="黑体" w:hAnsi="黑体" w:cs="黑体" w:hint="eastAsia"/>
          <w:caps/>
          <w:szCs w:val="21"/>
        </w:rPr>
      </w:pPr>
      <w:r>
        <w:rPr>
          <w:rFonts w:ascii="黑体" w:eastAsia="黑体" w:hAnsi="黑体" w:cs="黑体" w:hint="eastAsia"/>
          <w:caps/>
          <w:szCs w:val="21"/>
        </w:rPr>
        <w:t>3.6 残余应力</w:t>
      </w:r>
    </w:p>
    <w:p w14:paraId="735E3332" w14:textId="51DB3B04" w:rsidR="004426E6" w:rsidRDefault="00000000">
      <w:pPr>
        <w:pStyle w:val="aff"/>
        <w:ind w:firstLine="420"/>
        <w:contextualSpacing/>
        <w:rPr>
          <w:rFonts w:ascii="Times New Roman"/>
        </w:rPr>
      </w:pPr>
      <w:r>
        <w:rPr>
          <w:rFonts w:ascii="Times New Roman" w:hint="eastAsia"/>
        </w:rPr>
        <w:lastRenderedPageBreak/>
        <w:t>线材应进行消除残余应力的处理</w:t>
      </w:r>
      <w:r w:rsidR="00F80DE9">
        <w:rPr>
          <w:rFonts w:ascii="Times New Roman" w:hint="eastAsia"/>
        </w:rPr>
        <w:t>，处理</w:t>
      </w:r>
      <w:r w:rsidR="006076FD">
        <w:rPr>
          <w:rFonts w:ascii="Times New Roman" w:hint="eastAsia"/>
        </w:rPr>
        <w:t>后</w:t>
      </w:r>
      <w:r w:rsidR="00F80DE9">
        <w:rPr>
          <w:rFonts w:ascii="Times New Roman" w:hint="eastAsia"/>
        </w:rPr>
        <w:t>线材不应有影响使用的残余应力</w:t>
      </w:r>
      <w:r>
        <w:rPr>
          <w:rFonts w:ascii="Times New Roman" w:hint="eastAsia"/>
        </w:rPr>
        <w:t>。若不消除残余应力，加工成的零件，在潮湿大气中</w:t>
      </w:r>
      <w:r>
        <w:rPr>
          <w:rFonts w:ascii="Times New Roman" w:hint="eastAsia"/>
        </w:rPr>
        <w:t>,</w:t>
      </w:r>
      <w:r>
        <w:rPr>
          <w:rFonts w:ascii="Times New Roman" w:hint="eastAsia"/>
        </w:rPr>
        <w:t>特别是在含氮盐的大气中会引起应力腐蚀开裂，造成零件失效。因此当用户要求，并在合同中注明时，其他线材也应进行消除残余应力的处理。</w:t>
      </w:r>
      <w:bookmarkStart w:id="14" w:name="_Toc132197164"/>
      <w:bookmarkStart w:id="15" w:name="_Toc132197096"/>
      <w:bookmarkStart w:id="16" w:name="_Toc127436346"/>
      <w:bookmarkStart w:id="17" w:name="_Toc127437859"/>
      <w:bookmarkStart w:id="18" w:name="_Toc127435699"/>
      <w:bookmarkStart w:id="19" w:name="_Toc132196944"/>
      <w:r>
        <w:rPr>
          <w:rFonts w:ascii="Times New Roman" w:hint="eastAsia"/>
        </w:rPr>
        <w:t>黄铜的残余应力检验方法按</w:t>
      </w:r>
      <w:r>
        <w:rPr>
          <w:rFonts w:ascii="Times New Roman" w:hint="eastAsia"/>
        </w:rPr>
        <w:t>GB/T 10567.2</w:t>
      </w:r>
      <w:r w:rsidR="00C40242">
        <w:rPr>
          <w:rFonts w:ascii="Times New Roman" w:hint="eastAsia"/>
        </w:rPr>
        <w:t>《</w:t>
      </w:r>
      <w:r w:rsidR="00C40242" w:rsidRPr="00C40242">
        <w:rPr>
          <w:rFonts w:ascii="Times New Roman"/>
        </w:rPr>
        <w:t>铜及铜合金加工材残余应力检验方法</w:t>
      </w:r>
      <w:r w:rsidR="00C40242" w:rsidRPr="00C40242">
        <w:rPr>
          <w:rFonts w:ascii="Times New Roman"/>
        </w:rPr>
        <w:t xml:space="preserve"> </w:t>
      </w:r>
      <w:r w:rsidR="00C40242" w:rsidRPr="00C40242">
        <w:rPr>
          <w:rFonts w:ascii="Times New Roman"/>
        </w:rPr>
        <w:t>氨薰试验法</w:t>
      </w:r>
      <w:r w:rsidR="00C40242">
        <w:rPr>
          <w:rFonts w:ascii="Times New Roman" w:hint="eastAsia"/>
        </w:rPr>
        <w:t>》</w:t>
      </w:r>
      <w:r>
        <w:rPr>
          <w:rFonts w:ascii="Times New Roman" w:hint="eastAsia"/>
        </w:rPr>
        <w:t>的规定进行。</w:t>
      </w:r>
      <w:bookmarkEnd w:id="14"/>
      <w:bookmarkEnd w:id="15"/>
      <w:bookmarkEnd w:id="16"/>
      <w:bookmarkEnd w:id="17"/>
      <w:bookmarkEnd w:id="18"/>
      <w:bookmarkEnd w:id="19"/>
    </w:p>
    <w:p w14:paraId="57D1AFF1" w14:textId="77777777" w:rsidR="004426E6" w:rsidRDefault="00000000">
      <w:pPr>
        <w:pStyle w:val="a0"/>
        <w:spacing w:after="0"/>
        <w:ind w:firstLineChars="200" w:firstLine="420"/>
        <w:contextualSpacing/>
        <w:rPr>
          <w:rFonts w:ascii="黑体" w:eastAsia="黑体" w:hAnsi="黑体" w:cs="黑体" w:hint="eastAsia"/>
          <w:caps/>
          <w:szCs w:val="21"/>
        </w:rPr>
      </w:pPr>
      <w:r w:rsidRPr="00B35C1E">
        <w:rPr>
          <w:rFonts w:ascii="黑体" w:eastAsia="黑体" w:hAnsi="黑体" w:cs="黑体" w:hint="eastAsia"/>
          <w:caps/>
          <w:szCs w:val="21"/>
        </w:rPr>
        <w:t>3.7 耐脱锌腐蚀性能</w:t>
      </w:r>
    </w:p>
    <w:p w14:paraId="07B59FF4" w14:textId="3983C799" w:rsidR="004426E6" w:rsidRDefault="00000000" w:rsidP="00A735FE">
      <w:pPr>
        <w:autoSpaceDE w:val="0"/>
        <w:autoSpaceDN w:val="0"/>
        <w:adjustRightInd w:val="0"/>
        <w:ind w:firstLineChars="200" w:firstLine="420"/>
        <w:contextualSpacing/>
        <w:jc w:val="left"/>
        <w:rPr>
          <w:rFonts w:ascii="Times New Roman" w:hAnsi="Times New Roman" w:cs="Times New Roman"/>
          <w:kern w:val="0"/>
          <w:szCs w:val="21"/>
        </w:rPr>
      </w:pPr>
      <w:r>
        <w:rPr>
          <w:rFonts w:ascii="Times New Roman" w:eastAsia="宋体" w:hAnsi="Times New Roman" w:cs="Times New Roman"/>
          <w:kern w:val="0"/>
        </w:rPr>
        <w:t>耐脱锌腐蚀性能是指铜合金在使用环境中抵抗锌元素优先溶解流失、导致合金表层出现多孔疏松铜层、力学性能与结构完整性下降的能力，是衡量黄铜类合金长期服役稳定性、耐久性和结构安全性的关键指标。铋黄铜线材不用于卫浴水暖行业，不具备发生脱锌腐蚀的环境条件。</w:t>
      </w:r>
      <w:r>
        <w:rPr>
          <w:rFonts w:ascii="Times New Roman" w:eastAsia="宋体" w:hAnsi="Times New Roman" w:cs="Times New Roman" w:hint="eastAsia"/>
          <w:kern w:val="0"/>
        </w:rPr>
        <w:t>因此本文件删除了铋黄铜线材的耐脱锌腐蚀性能指标。</w:t>
      </w:r>
      <w:r w:rsidR="00D31EB4" w:rsidRPr="00A735FE">
        <w:rPr>
          <w:rFonts w:ascii="Times New Roman" w:hAnsi="Times New Roman" w:cs="Times New Roman"/>
          <w:kern w:val="0"/>
          <w:szCs w:val="21"/>
        </w:rPr>
        <w:t>HSb60-0.9</w:t>
      </w:r>
      <w:r w:rsidR="00D31EB4" w:rsidRPr="00A735FE">
        <w:rPr>
          <w:rFonts w:ascii="Times New Roman" w:hAnsi="Times New Roman" w:cs="Times New Roman"/>
          <w:kern w:val="0"/>
          <w:szCs w:val="21"/>
        </w:rPr>
        <w:t>、</w:t>
      </w:r>
      <w:r w:rsidR="00D31EB4" w:rsidRPr="00A735FE">
        <w:rPr>
          <w:rFonts w:ascii="Times New Roman" w:hAnsi="Times New Roman" w:cs="Times New Roman"/>
          <w:kern w:val="0"/>
          <w:szCs w:val="21"/>
        </w:rPr>
        <w:t>HSb61-0.8-0.5</w:t>
      </w:r>
      <w:r w:rsidR="00D31EB4" w:rsidRPr="00A735FE">
        <w:rPr>
          <w:rFonts w:ascii="Times New Roman" w:hAnsi="Times New Roman" w:cs="Times New Roman"/>
          <w:kern w:val="0"/>
          <w:szCs w:val="21"/>
        </w:rPr>
        <w:t>、</w:t>
      </w:r>
      <w:r w:rsidR="00D31EB4" w:rsidRPr="00A735FE">
        <w:rPr>
          <w:rFonts w:ascii="Times New Roman" w:hAnsi="Times New Roman" w:cs="Times New Roman"/>
          <w:kern w:val="0"/>
          <w:szCs w:val="21"/>
        </w:rPr>
        <w:t>H</w:t>
      </w:r>
      <w:r w:rsidR="00D31EB4" w:rsidRPr="00A735FE">
        <w:rPr>
          <w:rFonts w:ascii="Times New Roman" w:hAnsi="Times New Roman" w:cs="Times New Roman" w:hint="eastAsia"/>
          <w:kern w:val="0"/>
          <w:szCs w:val="21"/>
        </w:rPr>
        <w:t>S</w:t>
      </w:r>
      <w:r w:rsidR="00D31EB4" w:rsidRPr="00A735FE">
        <w:rPr>
          <w:rFonts w:ascii="Times New Roman" w:hAnsi="Times New Roman" w:cs="Times New Roman"/>
          <w:kern w:val="0"/>
          <w:szCs w:val="21"/>
        </w:rPr>
        <w:t>i6</w:t>
      </w:r>
      <w:r w:rsidR="00D31EB4" w:rsidRPr="00A735FE">
        <w:rPr>
          <w:rFonts w:ascii="Times New Roman" w:hAnsi="Times New Roman" w:cs="Times New Roman" w:hint="eastAsia"/>
          <w:kern w:val="0"/>
          <w:szCs w:val="21"/>
        </w:rPr>
        <w:t>1</w:t>
      </w:r>
      <w:r w:rsidR="00D31EB4" w:rsidRPr="00A735FE">
        <w:rPr>
          <w:rFonts w:ascii="Times New Roman" w:hAnsi="Times New Roman" w:cs="Times New Roman"/>
          <w:kern w:val="0"/>
          <w:szCs w:val="21"/>
        </w:rPr>
        <w:t>-</w:t>
      </w:r>
      <w:r w:rsidR="00D31EB4" w:rsidRPr="00A735FE">
        <w:rPr>
          <w:rFonts w:ascii="Times New Roman" w:hAnsi="Times New Roman" w:cs="Times New Roman" w:hint="eastAsia"/>
          <w:kern w:val="0"/>
          <w:szCs w:val="21"/>
        </w:rPr>
        <w:t>0.6</w:t>
      </w:r>
      <w:r w:rsidR="00D31EB4" w:rsidRPr="00A735FE">
        <w:rPr>
          <w:rFonts w:ascii="Times New Roman" w:hAnsi="Times New Roman" w:cs="Times New Roman" w:hint="eastAsia"/>
          <w:kern w:val="0"/>
          <w:szCs w:val="21"/>
        </w:rPr>
        <w:t>的耐脱锌性能与</w:t>
      </w:r>
      <w:r w:rsidR="00D31EB4" w:rsidRPr="00A735FE">
        <w:rPr>
          <w:rFonts w:ascii="Times New Roman" w:hAnsi="Times New Roman" w:cs="Times New Roman" w:hint="eastAsia"/>
          <w:kern w:val="0"/>
          <w:szCs w:val="21"/>
        </w:rPr>
        <w:t>2010</w:t>
      </w:r>
      <w:r w:rsidR="00D31EB4" w:rsidRPr="00A735FE">
        <w:rPr>
          <w:rFonts w:ascii="Times New Roman" w:hAnsi="Times New Roman" w:cs="Times New Roman" w:hint="eastAsia"/>
          <w:kern w:val="0"/>
          <w:szCs w:val="21"/>
        </w:rPr>
        <w:t>年版保持一致，试验方法按照</w:t>
      </w:r>
      <w:r w:rsidR="00D31EB4" w:rsidRPr="00A735FE">
        <w:rPr>
          <w:rFonts w:ascii="Times New Roman" w:hAnsi="Times New Roman" w:cs="Times New Roman" w:hint="eastAsia"/>
          <w:kern w:val="0"/>
          <w:szCs w:val="21"/>
        </w:rPr>
        <w:t>GB/T 10119</w:t>
      </w:r>
      <w:r w:rsidR="00D31EB4" w:rsidRPr="00A735FE">
        <w:rPr>
          <w:rFonts w:ascii="Times New Roman" w:hAnsi="Times New Roman" w:cs="Times New Roman" w:hint="eastAsia"/>
          <w:kern w:val="0"/>
          <w:szCs w:val="21"/>
        </w:rPr>
        <w:t>《黄铜耐脱锌腐蚀性能的测定》规定进行。</w:t>
      </w:r>
    </w:p>
    <w:p w14:paraId="00487534" w14:textId="1E8AB031" w:rsidR="002C2AC0" w:rsidRDefault="002C2AC0" w:rsidP="002C2AC0">
      <w:pPr>
        <w:pStyle w:val="a0"/>
        <w:spacing w:after="0"/>
        <w:ind w:firstLineChars="200" w:firstLine="420"/>
        <w:contextualSpacing/>
        <w:rPr>
          <w:rFonts w:ascii="黑体" w:eastAsia="黑体" w:hAnsi="黑体" w:cs="黑体" w:hint="eastAsia"/>
          <w:caps/>
          <w:szCs w:val="21"/>
        </w:rPr>
      </w:pPr>
      <w:r>
        <w:rPr>
          <w:rFonts w:ascii="黑体" w:eastAsia="黑体" w:hAnsi="黑体" w:cs="黑体" w:hint="eastAsia"/>
          <w:caps/>
          <w:szCs w:val="21"/>
        </w:rPr>
        <w:t>3.8</w:t>
      </w:r>
      <w:r w:rsidR="00C15403">
        <w:rPr>
          <w:rFonts w:ascii="黑体" w:eastAsia="黑体" w:hAnsi="黑体" w:cs="黑体" w:hint="eastAsia"/>
          <w:caps/>
          <w:szCs w:val="21"/>
        </w:rPr>
        <w:t xml:space="preserve"> </w:t>
      </w:r>
      <w:r>
        <w:rPr>
          <w:rFonts w:ascii="黑体" w:eastAsia="黑体" w:hAnsi="黑体" w:cs="黑体" w:hint="eastAsia"/>
          <w:caps/>
          <w:szCs w:val="21"/>
        </w:rPr>
        <w:t>内部质量</w:t>
      </w:r>
    </w:p>
    <w:p w14:paraId="60CD1640" w14:textId="0493CF86" w:rsidR="009B3494" w:rsidRPr="004D51CB" w:rsidRDefault="002C2AC0" w:rsidP="00F80DE9">
      <w:pPr>
        <w:pStyle w:val="a0"/>
        <w:spacing w:after="0"/>
        <w:ind w:firstLineChars="200" w:firstLine="420"/>
        <w:contextualSpacing/>
        <w:rPr>
          <w:rFonts w:ascii="Times New Roman" w:eastAsia="宋体" w:hAnsi="Times New Roman" w:cs="Times New Roman"/>
          <w:kern w:val="0"/>
        </w:rPr>
      </w:pPr>
      <w:r w:rsidRPr="00F80DE9">
        <w:rPr>
          <w:rFonts w:ascii="Times New Roman" w:eastAsia="宋体" w:hAnsi="Times New Roman" w:cs="Times New Roman"/>
          <w:kern w:val="0"/>
        </w:rPr>
        <w:t>线材的内部质量直接影响产品的使用寿命，标准中要求线材内部应致密，无缩尾、气孔、分层和夹杂，允许有不影响使用要求的轻微缺陷。直径或</w:t>
      </w:r>
      <w:r w:rsidRPr="00F80DE9">
        <w:rPr>
          <w:rFonts w:ascii="Times New Roman" w:eastAsia="宋体" w:hAnsi="Times New Roman" w:cs="Times New Roman" w:hint="eastAsia"/>
          <w:kern w:val="0"/>
        </w:rPr>
        <w:t>对边距不小于</w:t>
      </w:r>
      <w:r w:rsidRPr="00F80DE9">
        <w:rPr>
          <w:rFonts w:ascii="Times New Roman" w:eastAsia="宋体" w:hAnsi="Times New Roman" w:cs="Times New Roman"/>
          <w:kern w:val="0"/>
        </w:rPr>
        <w:t>5.0mm</w:t>
      </w:r>
      <w:r w:rsidRPr="00F80DE9">
        <w:rPr>
          <w:rFonts w:ascii="Times New Roman" w:eastAsia="宋体" w:hAnsi="Times New Roman" w:cs="Times New Roman"/>
          <w:kern w:val="0"/>
        </w:rPr>
        <w:t>的线材，断口处的缺陷大小和数量应</w:t>
      </w:r>
      <w:r w:rsidRPr="004D51CB">
        <w:rPr>
          <w:rFonts w:ascii="Times New Roman" w:eastAsia="宋体" w:hAnsi="Times New Roman" w:cs="Times New Roman"/>
          <w:kern w:val="0"/>
        </w:rPr>
        <w:t>符合</w:t>
      </w:r>
      <w:r w:rsidRPr="004D51CB">
        <w:rPr>
          <w:rFonts w:ascii="Times New Roman" w:eastAsiaTheme="minorEastAsia" w:hAnsi="Times New Roman" w:cs="Times New Roman"/>
          <w:kern w:val="0"/>
          <w:szCs w:val="21"/>
        </w:rPr>
        <w:t>YS/T 336</w:t>
      </w:r>
      <w:r w:rsidR="00C40242" w:rsidRPr="004D51CB">
        <w:rPr>
          <w:rFonts w:ascii="Times New Roman" w:eastAsiaTheme="minorEastAsia" w:hAnsi="Times New Roman" w:cs="Times New Roman"/>
          <w:kern w:val="0"/>
          <w:szCs w:val="21"/>
        </w:rPr>
        <w:t>《铜、镍及其合金管材和棒材断囗检验方法》</w:t>
      </w:r>
      <w:r w:rsidRPr="004D51CB">
        <w:rPr>
          <w:rFonts w:ascii="Times New Roman" w:eastAsiaTheme="minorEastAsia" w:hAnsi="Times New Roman" w:cs="Times New Roman"/>
          <w:kern w:val="0"/>
          <w:szCs w:val="21"/>
        </w:rPr>
        <w:t>中的规定；当线材的直径或对边距小于</w:t>
      </w:r>
      <w:r w:rsidRPr="004D51CB">
        <w:rPr>
          <w:rFonts w:ascii="Times New Roman" w:eastAsiaTheme="minorEastAsia" w:hAnsi="Times New Roman" w:cs="Times New Roman"/>
          <w:kern w:val="0"/>
          <w:szCs w:val="21"/>
        </w:rPr>
        <w:t>5.0mm</w:t>
      </w:r>
      <w:r w:rsidRPr="004D51CB">
        <w:rPr>
          <w:rFonts w:ascii="Times New Roman" w:eastAsiaTheme="minorEastAsia" w:hAnsi="Times New Roman" w:cs="Times New Roman"/>
          <w:kern w:val="0"/>
          <w:szCs w:val="21"/>
        </w:rPr>
        <w:t>的线材，</w:t>
      </w:r>
      <w:r w:rsidRPr="004D51CB">
        <w:rPr>
          <w:rFonts w:ascii="Times New Roman" w:eastAsia="宋体" w:hAnsi="Times New Roman" w:cs="Times New Roman"/>
          <w:kern w:val="0"/>
        </w:rPr>
        <w:t>应在坯料时取样检测</w:t>
      </w:r>
    </w:p>
    <w:p w14:paraId="390BFFD8" w14:textId="53CC545B" w:rsidR="004426E6" w:rsidRDefault="002C2AC0" w:rsidP="004D51CB">
      <w:pPr>
        <w:pStyle w:val="a0"/>
        <w:spacing w:after="0"/>
        <w:ind w:firstLineChars="200" w:firstLine="420"/>
        <w:contextualSpacing/>
        <w:rPr>
          <w:rFonts w:ascii="黑体" w:eastAsia="黑体" w:hAnsi="黑体" w:cs="黑体" w:hint="eastAsia"/>
          <w:caps/>
          <w:szCs w:val="21"/>
        </w:rPr>
      </w:pPr>
      <w:r w:rsidRPr="00B35C1E">
        <w:rPr>
          <w:rFonts w:ascii="黑体" w:eastAsia="黑体" w:hAnsi="黑体" w:cs="黑体" w:hint="eastAsia"/>
          <w:caps/>
          <w:szCs w:val="21"/>
        </w:rPr>
        <w:t>3.</w:t>
      </w:r>
      <w:r>
        <w:rPr>
          <w:rFonts w:ascii="黑体" w:eastAsia="黑体" w:hAnsi="黑体" w:cs="黑体" w:hint="eastAsia"/>
          <w:caps/>
          <w:szCs w:val="21"/>
        </w:rPr>
        <w:t>9</w:t>
      </w:r>
      <w:r w:rsidRPr="00B35C1E">
        <w:rPr>
          <w:rFonts w:ascii="黑体" w:eastAsia="黑体" w:hAnsi="黑体" w:cs="黑体" w:hint="eastAsia"/>
          <w:caps/>
          <w:szCs w:val="21"/>
        </w:rPr>
        <w:t xml:space="preserve"> 切削性</w:t>
      </w:r>
    </w:p>
    <w:p w14:paraId="0FF3EBD3" w14:textId="16E535A9" w:rsidR="004426E6" w:rsidRPr="003A5262" w:rsidRDefault="00000000" w:rsidP="00C15403">
      <w:pPr>
        <w:pStyle w:val="a0"/>
        <w:ind w:firstLineChars="200" w:firstLine="420"/>
        <w:contextualSpacing/>
        <w:rPr>
          <w:rFonts w:ascii="Times New Roman" w:eastAsia="宋体" w:hAnsi="Times New Roman" w:cs="Times New Roman"/>
          <w:kern w:val="0"/>
        </w:rPr>
      </w:pPr>
      <w:r w:rsidRPr="003A5262">
        <w:rPr>
          <w:rFonts w:ascii="Times New Roman" w:eastAsia="宋体" w:hAnsi="Times New Roman" w:cs="Times New Roman" w:hint="eastAsia"/>
          <w:kern w:val="0"/>
        </w:rPr>
        <w:t>铜合金的切削性是其重要的工艺性能，易切削铜合金是一类通过添加铅、铋、硅、碲等易切削元素，显著改善切削加工性能的铜基合金，</w:t>
      </w:r>
      <w:r w:rsidR="003A5262" w:rsidRPr="003A5262">
        <w:rPr>
          <w:rFonts w:ascii="Times New Roman" w:eastAsia="宋体" w:hAnsi="Times New Roman" w:cs="Times New Roman" w:hint="eastAsia"/>
          <w:kern w:val="0"/>
        </w:rPr>
        <w:t>易切削铜合金</w:t>
      </w:r>
      <w:r w:rsidRPr="003A5262">
        <w:rPr>
          <w:rFonts w:ascii="Times New Roman" w:eastAsia="宋体" w:hAnsi="Times New Roman" w:cs="Times New Roman" w:hint="eastAsia"/>
          <w:kern w:val="0"/>
        </w:rPr>
        <w:t>具备切削力小、刀具寿命长、断屑性能好、表面质量优异等特点，能够适应高速自动化加工与精密零部件制造需求。</w:t>
      </w:r>
      <w:r w:rsidR="00C15403" w:rsidRPr="003A5262">
        <w:rPr>
          <w:rFonts w:ascii="Times New Roman" w:eastAsia="宋体" w:hAnsi="Times New Roman" w:cs="Times New Roman" w:hint="eastAsia"/>
          <w:kern w:val="0"/>
        </w:rPr>
        <w:t>本文件</w:t>
      </w:r>
      <w:r w:rsidR="00C15403" w:rsidRPr="003A5262">
        <w:rPr>
          <w:rFonts w:ascii="Times New Roman" w:eastAsia="宋体" w:hAnsi="Times New Roman" w:cs="Times New Roman"/>
          <w:kern w:val="0"/>
        </w:rPr>
        <w:t>切削性的检验方法参照</w:t>
      </w:r>
      <w:r w:rsidR="00C15403" w:rsidRPr="003A5262">
        <w:rPr>
          <w:rFonts w:ascii="Times New Roman" w:eastAsia="宋体" w:hAnsi="Times New Roman" w:cs="Times New Roman"/>
          <w:kern w:val="0"/>
        </w:rPr>
        <w:t>GB/T</w:t>
      </w:r>
      <w:r w:rsidR="00C15403" w:rsidRPr="003A5262">
        <w:rPr>
          <w:rFonts w:ascii="Times New Roman" w:eastAsia="宋体" w:hAnsi="Times New Roman" w:cs="Times New Roman" w:hint="eastAsia"/>
          <w:kern w:val="0"/>
        </w:rPr>
        <w:t xml:space="preserve"> </w:t>
      </w:r>
      <w:r w:rsidR="00C15403" w:rsidRPr="003A5262">
        <w:rPr>
          <w:rFonts w:ascii="Times New Roman" w:eastAsia="宋体" w:hAnsi="Times New Roman" w:cs="Times New Roman"/>
          <w:kern w:val="0"/>
        </w:rPr>
        <w:t>26306-2010</w:t>
      </w:r>
      <w:r w:rsidR="003A5262" w:rsidRPr="003A5262">
        <w:rPr>
          <w:rFonts w:ascii="Times New Roman" w:eastAsia="宋体" w:hAnsi="Times New Roman" w:cs="Times New Roman" w:hint="eastAsia"/>
          <w:kern w:val="0"/>
        </w:rPr>
        <w:t>《易切削铜合金棒》</w:t>
      </w:r>
      <w:r w:rsidR="00C15403" w:rsidRPr="003A5262">
        <w:rPr>
          <w:rFonts w:ascii="Times New Roman" w:eastAsia="宋体" w:hAnsi="Times New Roman" w:cs="Times New Roman"/>
          <w:kern w:val="0"/>
        </w:rPr>
        <w:t>附录</w:t>
      </w:r>
      <w:r w:rsidR="00C15403" w:rsidRPr="003A5262">
        <w:rPr>
          <w:rFonts w:ascii="Times New Roman" w:eastAsia="宋体" w:hAnsi="Times New Roman" w:cs="Times New Roman"/>
          <w:kern w:val="0"/>
        </w:rPr>
        <w:t>A</w:t>
      </w:r>
      <w:r w:rsidR="00C15403" w:rsidRPr="003A5262">
        <w:rPr>
          <w:rFonts w:ascii="Times New Roman" w:eastAsia="宋体" w:hAnsi="Times New Roman" w:cs="Times New Roman"/>
          <w:kern w:val="0"/>
        </w:rPr>
        <w:t>的规定进行。</w:t>
      </w:r>
    </w:p>
    <w:p w14:paraId="17DA7DAA" w14:textId="77777777" w:rsidR="004426E6" w:rsidRDefault="00000000">
      <w:pPr>
        <w:pStyle w:val="a0"/>
        <w:spacing w:after="0"/>
        <w:ind w:firstLineChars="200" w:firstLine="420"/>
        <w:contextualSpacing/>
        <w:rPr>
          <w:rFonts w:ascii="黑体" w:eastAsia="黑体" w:hAnsi="黑体" w:cs="黑体" w:hint="eastAsia"/>
          <w:caps/>
          <w:szCs w:val="21"/>
        </w:rPr>
      </w:pPr>
      <w:r>
        <w:rPr>
          <w:rFonts w:ascii="黑体" w:eastAsia="黑体" w:hAnsi="黑体" w:cs="黑体" w:hint="eastAsia"/>
          <w:caps/>
          <w:szCs w:val="21"/>
        </w:rPr>
        <w:t>3.10 外部质量</w:t>
      </w:r>
    </w:p>
    <w:p w14:paraId="313BD7E2" w14:textId="77777777" w:rsidR="004426E6" w:rsidRDefault="00000000">
      <w:pPr>
        <w:pStyle w:val="a0"/>
        <w:spacing w:after="0"/>
        <w:ind w:firstLineChars="200" w:firstLine="420"/>
        <w:contextualSpacing/>
        <w:rPr>
          <w:rFonts w:ascii="Times New Roman" w:eastAsiaTheme="minorEastAsia" w:hAnsi="Times New Roman" w:cs="Times New Roman"/>
          <w:szCs w:val="21"/>
        </w:rPr>
      </w:pPr>
      <w:r>
        <w:rPr>
          <w:rFonts w:ascii="Times New Roman" w:eastAsiaTheme="minorEastAsia" w:hAnsi="Times New Roman" w:cs="Times New Roman" w:hint="eastAsia"/>
          <w:szCs w:val="21"/>
        </w:rPr>
        <w:t>根据易切削铜合金线材行业的要求，线材表面应光滑、清洁，无明显色差，具有金属本色，当需方有需求时，线材可呈亚光色等特殊色泽且不应有影响使用的缺陷。</w:t>
      </w:r>
    </w:p>
    <w:p w14:paraId="0D23794F" w14:textId="77777777" w:rsidR="004426E6" w:rsidRDefault="00000000">
      <w:pPr>
        <w:pStyle w:val="a0"/>
        <w:spacing w:after="0"/>
        <w:ind w:firstLineChars="200" w:firstLine="420"/>
        <w:contextualSpacing/>
        <w:rPr>
          <w:rFonts w:ascii="黑体" w:eastAsia="黑体" w:hAnsi="黑体" w:cs="黑体" w:hint="eastAsia"/>
          <w:caps/>
          <w:szCs w:val="21"/>
        </w:rPr>
      </w:pPr>
      <w:r>
        <w:rPr>
          <w:rFonts w:ascii="黑体" w:eastAsia="黑体" w:hAnsi="黑体" w:cs="黑体" w:hint="eastAsia"/>
          <w:caps/>
          <w:szCs w:val="21"/>
        </w:rPr>
        <w:t xml:space="preserve">3.11 </w:t>
      </w:r>
      <w:r>
        <w:rPr>
          <w:rFonts w:ascii="黑体" w:eastAsia="黑体" w:hAnsi="黑体" w:cs="黑体"/>
          <w:caps/>
          <w:szCs w:val="21"/>
        </w:rPr>
        <w:t>卷（轴）重量</w:t>
      </w:r>
    </w:p>
    <w:p w14:paraId="2FA9BFFC" w14:textId="77777777" w:rsidR="004426E6" w:rsidRDefault="00000000">
      <w:pPr>
        <w:pStyle w:val="a0"/>
        <w:spacing w:after="0"/>
        <w:ind w:firstLine="420"/>
        <w:contextualSpacing/>
        <w:rPr>
          <w:rFonts w:ascii="Times New Roman" w:eastAsiaTheme="minorEastAsia" w:hAnsi="Times New Roman" w:cs="Times New Roman"/>
        </w:rPr>
      </w:pPr>
      <w:r>
        <w:rPr>
          <w:rFonts w:ascii="Times New Roman" w:eastAsiaTheme="minorEastAsia" w:hAnsi="Times New Roman" w:cs="Times New Roman"/>
        </w:rPr>
        <w:t>随着下游客户自动化程度的增加，对线材的重量</w:t>
      </w:r>
      <w:r>
        <w:rPr>
          <w:rFonts w:ascii="Times New Roman" w:eastAsiaTheme="minorEastAsia" w:hAnsi="Times New Roman" w:cs="Times New Roman" w:hint="eastAsia"/>
        </w:rPr>
        <w:t>的一致性</w:t>
      </w:r>
      <w:r>
        <w:rPr>
          <w:rFonts w:ascii="Times New Roman" w:eastAsiaTheme="minorEastAsia" w:hAnsi="Times New Roman" w:cs="Times New Roman"/>
        </w:rPr>
        <w:t>要求也越来越高，每卷（轴）重量应符合下表的规定，同时规定了</w:t>
      </w:r>
      <w:r>
        <w:rPr>
          <w:rFonts w:ascii="Times New Roman" w:eastAsiaTheme="minorEastAsia" w:hAnsi="Times New Roman" w:cs="Times New Roman" w:hint="eastAsia"/>
        </w:rPr>
        <w:t>单卷（轴）重量不合格的处理方式，且</w:t>
      </w:r>
      <w:r>
        <w:rPr>
          <w:rFonts w:ascii="Times New Roman" w:eastAsiaTheme="minorEastAsia" w:hAnsi="Times New Roman" w:cs="Times New Roman"/>
        </w:rPr>
        <w:t>每批</w:t>
      </w:r>
      <w:r>
        <w:rPr>
          <w:rFonts w:ascii="Times New Roman" w:eastAsiaTheme="minorEastAsia" w:hAnsi="Times New Roman" w:cs="Times New Roman" w:hint="eastAsia"/>
        </w:rPr>
        <w:t>重量不合格的卷（轴）数量的比例不大于总卷（轴）数量的</w:t>
      </w:r>
      <w:r>
        <w:rPr>
          <w:rFonts w:ascii="Times New Roman" w:eastAsiaTheme="minorEastAsia" w:hAnsi="Times New Roman" w:cs="Times New Roman"/>
        </w:rPr>
        <w:t>10%</w:t>
      </w:r>
      <w:r>
        <w:rPr>
          <w:rFonts w:ascii="Times New Roman" w:eastAsiaTheme="minorEastAsia" w:hAnsi="Times New Roman" w:cs="Times New Roman" w:hint="eastAsia"/>
        </w:rPr>
        <w:t>。</w:t>
      </w:r>
      <w:r>
        <w:rPr>
          <w:rFonts w:ascii="Times New Roman" w:eastAsiaTheme="minorEastAsia" w:hAnsi="Times New Roman" w:cs="Times New Roman"/>
        </w:rPr>
        <w:t>线材的卷（轴）重量见下表。</w:t>
      </w:r>
    </w:p>
    <w:p w14:paraId="72CA8C21" w14:textId="77777777" w:rsidR="004426E6" w:rsidRDefault="00000000">
      <w:pPr>
        <w:spacing w:beforeLines="50" w:before="156" w:afterLines="50" w:after="156"/>
        <w:jc w:val="center"/>
        <w:rPr>
          <w:rFonts w:eastAsia="黑体"/>
          <w:color w:val="000000"/>
          <w:kern w:val="0"/>
          <w:szCs w:val="20"/>
        </w:rPr>
      </w:pPr>
      <w:r>
        <w:rPr>
          <w:rFonts w:eastAsia="黑体"/>
          <w:color w:val="000000"/>
          <w:kern w:val="0"/>
          <w:szCs w:val="20"/>
        </w:rPr>
        <w:t>表</w:t>
      </w:r>
      <w:r>
        <w:rPr>
          <w:rFonts w:eastAsia="黑体" w:hint="eastAsia"/>
          <w:color w:val="000000"/>
          <w:kern w:val="0"/>
          <w:szCs w:val="20"/>
        </w:rPr>
        <w:t>8</w:t>
      </w:r>
      <w:r>
        <w:rPr>
          <w:rFonts w:eastAsia="黑体"/>
          <w:color w:val="000000"/>
          <w:kern w:val="0"/>
          <w:szCs w:val="20"/>
        </w:rPr>
        <w:t xml:space="preserve"> </w:t>
      </w:r>
      <w:r>
        <w:rPr>
          <w:rFonts w:eastAsia="黑体"/>
          <w:color w:val="000000"/>
          <w:kern w:val="0"/>
          <w:szCs w:val="20"/>
        </w:rPr>
        <w:t>卷（轴）重量</w:t>
      </w: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3393"/>
        <w:gridCol w:w="2392"/>
        <w:gridCol w:w="2531"/>
      </w:tblGrid>
      <w:tr w:rsidR="004426E6" w14:paraId="232FDF66" w14:textId="77777777">
        <w:trPr>
          <w:trHeight w:val="285"/>
        </w:trPr>
        <w:tc>
          <w:tcPr>
            <w:tcW w:w="2040" w:type="pct"/>
            <w:vMerge w:val="restart"/>
            <w:tcBorders>
              <w:top w:val="single" w:sz="12" w:space="0" w:color="000000"/>
              <w:left w:val="single" w:sz="12" w:space="0" w:color="000000"/>
              <w:bottom w:val="single" w:sz="6" w:space="0" w:color="000000"/>
            </w:tcBorders>
            <w:vAlign w:val="center"/>
          </w:tcPr>
          <w:p w14:paraId="5F6ED23C" w14:textId="77777777" w:rsidR="004426E6" w:rsidRPr="00B35C1E" w:rsidRDefault="00000000">
            <w:pPr>
              <w:widowControl/>
              <w:jc w:val="center"/>
              <w:textAlignment w:val="center"/>
              <w:rPr>
                <w:rFonts w:ascii="Times New Roman" w:hAnsi="Times New Roman" w:cs="Times New Roman"/>
                <w:color w:val="000000"/>
                <w:kern w:val="0"/>
                <w:sz w:val="18"/>
                <w:szCs w:val="18"/>
              </w:rPr>
            </w:pPr>
            <w:bookmarkStart w:id="20" w:name="_Hlk129337916"/>
            <w:r w:rsidRPr="00B35C1E">
              <w:rPr>
                <w:rFonts w:ascii="Times New Roman" w:hAnsi="Times New Roman" w:cs="Times New Roman"/>
                <w:color w:val="000000"/>
                <w:kern w:val="0"/>
                <w:sz w:val="18"/>
                <w:szCs w:val="18"/>
              </w:rPr>
              <w:t>线材直径</w:t>
            </w: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对边距</w:t>
            </w:r>
            <w:r w:rsidRPr="00B35C1E">
              <w:rPr>
                <w:rFonts w:ascii="Times New Roman" w:hAnsi="Times New Roman" w:cs="Times New Roman"/>
                <w:color w:val="000000"/>
                <w:kern w:val="0"/>
                <w:sz w:val="18"/>
                <w:szCs w:val="18"/>
              </w:rPr>
              <w:t>)/</w:t>
            </w:r>
          </w:p>
          <w:p w14:paraId="39843891"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mm</w:t>
            </w:r>
          </w:p>
        </w:tc>
        <w:tc>
          <w:tcPr>
            <w:tcW w:w="2960" w:type="pct"/>
            <w:gridSpan w:val="2"/>
            <w:tcBorders>
              <w:top w:val="single" w:sz="12" w:space="0" w:color="000000"/>
              <w:bottom w:val="single" w:sz="6" w:space="0" w:color="000000"/>
              <w:right w:val="single" w:sz="12" w:space="0" w:color="000000"/>
            </w:tcBorders>
            <w:vAlign w:val="center"/>
          </w:tcPr>
          <w:p w14:paraId="207AD451"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每卷（轴）重量</w:t>
            </w:r>
          </w:p>
        </w:tc>
      </w:tr>
      <w:tr w:rsidR="004426E6" w14:paraId="6F68C65A" w14:textId="77777777">
        <w:trPr>
          <w:trHeight w:val="285"/>
        </w:trPr>
        <w:tc>
          <w:tcPr>
            <w:tcW w:w="2040" w:type="pct"/>
            <w:vMerge/>
            <w:tcBorders>
              <w:top w:val="single" w:sz="6" w:space="0" w:color="000000"/>
              <w:left w:val="single" w:sz="12" w:space="0" w:color="000000"/>
              <w:bottom w:val="single" w:sz="6" w:space="0" w:color="000000"/>
            </w:tcBorders>
            <w:vAlign w:val="center"/>
          </w:tcPr>
          <w:p w14:paraId="7E9A19D4" w14:textId="77777777" w:rsidR="004426E6" w:rsidRPr="00B35C1E" w:rsidRDefault="004426E6">
            <w:pPr>
              <w:widowControl/>
              <w:jc w:val="center"/>
              <w:textAlignment w:val="center"/>
              <w:rPr>
                <w:rFonts w:ascii="Times New Roman" w:hAnsi="Times New Roman" w:cs="Times New Roman"/>
                <w:color w:val="000000"/>
                <w:kern w:val="0"/>
                <w:sz w:val="18"/>
                <w:szCs w:val="18"/>
              </w:rPr>
            </w:pPr>
          </w:p>
        </w:tc>
        <w:tc>
          <w:tcPr>
            <w:tcW w:w="2960" w:type="pct"/>
            <w:gridSpan w:val="2"/>
            <w:tcBorders>
              <w:top w:val="single" w:sz="6" w:space="0" w:color="000000"/>
              <w:bottom w:val="single" w:sz="6" w:space="0" w:color="000000"/>
              <w:right w:val="single" w:sz="12" w:space="0" w:color="000000"/>
            </w:tcBorders>
            <w:vAlign w:val="center"/>
          </w:tcPr>
          <w:p w14:paraId="78DDC8AE"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 xml:space="preserve">kg </w:t>
            </w:r>
          </w:p>
        </w:tc>
      </w:tr>
      <w:tr w:rsidR="004426E6" w14:paraId="03CA8435" w14:textId="77777777">
        <w:trPr>
          <w:trHeight w:val="333"/>
        </w:trPr>
        <w:tc>
          <w:tcPr>
            <w:tcW w:w="2040" w:type="pct"/>
            <w:vMerge/>
            <w:tcBorders>
              <w:top w:val="single" w:sz="6" w:space="0" w:color="000000"/>
              <w:left w:val="single" w:sz="12" w:space="0" w:color="000000"/>
              <w:bottom w:val="single" w:sz="12" w:space="0" w:color="000000"/>
            </w:tcBorders>
            <w:vAlign w:val="center"/>
          </w:tcPr>
          <w:p w14:paraId="218E5060" w14:textId="77777777" w:rsidR="004426E6" w:rsidRPr="00B35C1E" w:rsidRDefault="004426E6">
            <w:pPr>
              <w:rPr>
                <w:rFonts w:ascii="Times New Roman" w:hAnsi="Times New Roman" w:cs="Times New Roman"/>
                <w:color w:val="000000"/>
                <w:sz w:val="18"/>
                <w:szCs w:val="18"/>
              </w:rPr>
            </w:pPr>
          </w:p>
        </w:tc>
        <w:tc>
          <w:tcPr>
            <w:tcW w:w="1438" w:type="pct"/>
            <w:tcBorders>
              <w:top w:val="single" w:sz="6" w:space="0" w:color="000000"/>
              <w:bottom w:val="single" w:sz="12" w:space="0" w:color="000000"/>
            </w:tcBorders>
            <w:vAlign w:val="center"/>
          </w:tcPr>
          <w:p w14:paraId="6BAE3915"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大卷</w:t>
            </w:r>
          </w:p>
        </w:tc>
        <w:tc>
          <w:tcPr>
            <w:tcW w:w="1522" w:type="pct"/>
            <w:tcBorders>
              <w:top w:val="single" w:sz="6" w:space="0" w:color="000000"/>
              <w:bottom w:val="single" w:sz="12" w:space="0" w:color="000000"/>
              <w:right w:val="single" w:sz="12" w:space="0" w:color="000000"/>
            </w:tcBorders>
            <w:vAlign w:val="center"/>
          </w:tcPr>
          <w:p w14:paraId="15D0BC0A"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小卷</w:t>
            </w:r>
          </w:p>
        </w:tc>
      </w:tr>
      <w:tr w:rsidR="004426E6" w14:paraId="06038DA7" w14:textId="77777777">
        <w:trPr>
          <w:trHeight w:val="333"/>
        </w:trPr>
        <w:tc>
          <w:tcPr>
            <w:tcW w:w="2040" w:type="pct"/>
            <w:tcBorders>
              <w:top w:val="single" w:sz="12" w:space="0" w:color="000000"/>
              <w:left w:val="single" w:sz="12" w:space="0" w:color="000000"/>
              <w:bottom w:val="single" w:sz="6" w:space="0" w:color="000000"/>
            </w:tcBorders>
            <w:vAlign w:val="center"/>
          </w:tcPr>
          <w:p w14:paraId="0B3E9E0E"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0.5</w:t>
            </w: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1.0</w:t>
            </w:r>
          </w:p>
        </w:tc>
        <w:tc>
          <w:tcPr>
            <w:tcW w:w="1438" w:type="pct"/>
            <w:tcBorders>
              <w:top w:val="single" w:sz="12" w:space="0" w:color="000000"/>
              <w:bottom w:val="single" w:sz="6" w:space="0" w:color="000000"/>
            </w:tcBorders>
            <w:vAlign w:val="center"/>
          </w:tcPr>
          <w:p w14:paraId="7C42266C" w14:textId="77777777" w:rsidR="004426E6" w:rsidRPr="00B35C1E" w:rsidRDefault="00000000">
            <w:pPr>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15±1</w:t>
            </w:r>
          </w:p>
        </w:tc>
        <w:tc>
          <w:tcPr>
            <w:tcW w:w="1522" w:type="pct"/>
            <w:tcBorders>
              <w:top w:val="single" w:sz="12" w:space="0" w:color="000000"/>
              <w:bottom w:val="single" w:sz="6" w:space="0" w:color="000000"/>
              <w:right w:val="single" w:sz="12" w:space="0" w:color="000000"/>
            </w:tcBorders>
            <w:vAlign w:val="center"/>
          </w:tcPr>
          <w:p w14:paraId="10C8E4F0"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10±1</w:t>
            </w:r>
          </w:p>
        </w:tc>
      </w:tr>
      <w:tr w:rsidR="004426E6" w14:paraId="390D5F49" w14:textId="77777777">
        <w:trPr>
          <w:trHeight w:val="333"/>
        </w:trPr>
        <w:tc>
          <w:tcPr>
            <w:tcW w:w="2040" w:type="pct"/>
            <w:tcBorders>
              <w:top w:val="single" w:sz="6" w:space="0" w:color="000000"/>
              <w:left w:val="single" w:sz="12" w:space="0" w:color="000000"/>
              <w:bottom w:val="single" w:sz="6" w:space="0" w:color="000000"/>
            </w:tcBorders>
            <w:vAlign w:val="center"/>
          </w:tcPr>
          <w:p w14:paraId="515DF790"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1.0</w:t>
            </w: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3.0</w:t>
            </w:r>
          </w:p>
        </w:tc>
        <w:tc>
          <w:tcPr>
            <w:tcW w:w="1438" w:type="pct"/>
            <w:tcBorders>
              <w:top w:val="single" w:sz="6" w:space="0" w:color="000000"/>
              <w:bottom w:val="single" w:sz="6" w:space="0" w:color="000000"/>
            </w:tcBorders>
            <w:vAlign w:val="center"/>
          </w:tcPr>
          <w:p w14:paraId="1CEF3C7C" w14:textId="77777777" w:rsidR="004426E6" w:rsidRPr="00B35C1E" w:rsidRDefault="00000000">
            <w:pPr>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50±5</w:t>
            </w:r>
          </w:p>
        </w:tc>
        <w:tc>
          <w:tcPr>
            <w:tcW w:w="1522" w:type="pct"/>
            <w:tcBorders>
              <w:top w:val="single" w:sz="6" w:space="0" w:color="000000"/>
              <w:bottom w:val="single" w:sz="6" w:space="0" w:color="000000"/>
              <w:right w:val="single" w:sz="12" w:space="0" w:color="000000"/>
            </w:tcBorders>
            <w:vAlign w:val="center"/>
          </w:tcPr>
          <w:p w14:paraId="20F02D7A"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22±2</w:t>
            </w:r>
          </w:p>
        </w:tc>
      </w:tr>
      <w:tr w:rsidR="004426E6" w14:paraId="50CA64E7" w14:textId="77777777">
        <w:trPr>
          <w:trHeight w:val="333"/>
        </w:trPr>
        <w:tc>
          <w:tcPr>
            <w:tcW w:w="2040" w:type="pct"/>
            <w:tcBorders>
              <w:top w:val="single" w:sz="6" w:space="0" w:color="000000"/>
              <w:left w:val="single" w:sz="12" w:space="0" w:color="000000"/>
              <w:bottom w:val="single" w:sz="6" w:space="0" w:color="000000"/>
            </w:tcBorders>
            <w:vAlign w:val="center"/>
          </w:tcPr>
          <w:p w14:paraId="510D55AD"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3.0</w:t>
            </w: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5.0</w:t>
            </w:r>
          </w:p>
        </w:tc>
        <w:tc>
          <w:tcPr>
            <w:tcW w:w="1438" w:type="pct"/>
            <w:tcBorders>
              <w:top w:val="single" w:sz="6" w:space="0" w:color="000000"/>
              <w:bottom w:val="single" w:sz="6" w:space="0" w:color="000000"/>
            </w:tcBorders>
            <w:vAlign w:val="center"/>
          </w:tcPr>
          <w:p w14:paraId="079CA5BE"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75±5</w:t>
            </w:r>
          </w:p>
        </w:tc>
        <w:tc>
          <w:tcPr>
            <w:tcW w:w="1522" w:type="pct"/>
            <w:tcBorders>
              <w:top w:val="single" w:sz="6" w:space="0" w:color="000000"/>
              <w:bottom w:val="single" w:sz="6" w:space="0" w:color="000000"/>
              <w:right w:val="single" w:sz="12" w:space="0" w:color="000000"/>
            </w:tcBorders>
            <w:vAlign w:val="center"/>
          </w:tcPr>
          <w:p w14:paraId="1F8F1FF9"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25±3</w:t>
            </w:r>
          </w:p>
        </w:tc>
      </w:tr>
      <w:tr w:rsidR="004426E6" w14:paraId="10B5C44B" w14:textId="77777777">
        <w:trPr>
          <w:trHeight w:val="333"/>
        </w:trPr>
        <w:tc>
          <w:tcPr>
            <w:tcW w:w="2040" w:type="pct"/>
            <w:tcBorders>
              <w:top w:val="single" w:sz="6" w:space="0" w:color="000000"/>
              <w:left w:val="single" w:sz="12" w:space="0" w:color="000000"/>
              <w:bottom w:val="single" w:sz="6" w:space="0" w:color="000000"/>
            </w:tcBorders>
            <w:vAlign w:val="center"/>
          </w:tcPr>
          <w:p w14:paraId="7F8DDCC3"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5.0</w:t>
            </w: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8.0</w:t>
            </w:r>
          </w:p>
        </w:tc>
        <w:tc>
          <w:tcPr>
            <w:tcW w:w="1438" w:type="pct"/>
            <w:tcBorders>
              <w:top w:val="single" w:sz="6" w:space="0" w:color="000000"/>
              <w:bottom w:val="single" w:sz="6" w:space="0" w:color="000000"/>
            </w:tcBorders>
            <w:vAlign w:val="center"/>
          </w:tcPr>
          <w:p w14:paraId="005B25CC"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100±20</w:t>
            </w:r>
          </w:p>
        </w:tc>
        <w:tc>
          <w:tcPr>
            <w:tcW w:w="1522" w:type="pct"/>
            <w:tcBorders>
              <w:top w:val="single" w:sz="6" w:space="0" w:color="000000"/>
              <w:bottom w:val="single" w:sz="6" w:space="0" w:color="000000"/>
              <w:right w:val="single" w:sz="12" w:space="0" w:color="000000"/>
            </w:tcBorders>
            <w:vAlign w:val="center"/>
          </w:tcPr>
          <w:p w14:paraId="43C5A773"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50±5</w:t>
            </w:r>
          </w:p>
        </w:tc>
      </w:tr>
      <w:tr w:rsidR="004426E6" w14:paraId="55FB81B3" w14:textId="77777777">
        <w:trPr>
          <w:trHeight w:val="333"/>
        </w:trPr>
        <w:tc>
          <w:tcPr>
            <w:tcW w:w="2040" w:type="pct"/>
            <w:tcBorders>
              <w:top w:val="single" w:sz="6" w:space="0" w:color="000000"/>
              <w:left w:val="single" w:sz="12" w:space="0" w:color="000000"/>
              <w:bottom w:val="single" w:sz="12" w:space="0" w:color="000000"/>
            </w:tcBorders>
            <w:vAlign w:val="center"/>
          </w:tcPr>
          <w:p w14:paraId="2838271F"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w:t>
            </w:r>
            <w:r w:rsidRPr="00B35C1E">
              <w:rPr>
                <w:rFonts w:ascii="Times New Roman" w:hAnsi="Times New Roman" w:cs="Times New Roman"/>
                <w:color w:val="000000"/>
                <w:kern w:val="0"/>
                <w:sz w:val="18"/>
                <w:szCs w:val="18"/>
              </w:rPr>
              <w:t>8.0</w:t>
            </w:r>
          </w:p>
        </w:tc>
        <w:tc>
          <w:tcPr>
            <w:tcW w:w="1438" w:type="pct"/>
            <w:tcBorders>
              <w:top w:val="single" w:sz="6" w:space="0" w:color="000000"/>
              <w:bottom w:val="single" w:sz="12" w:space="0" w:color="000000"/>
            </w:tcBorders>
            <w:vAlign w:val="center"/>
          </w:tcPr>
          <w:p w14:paraId="0D419ABE"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200±20</w:t>
            </w:r>
          </w:p>
        </w:tc>
        <w:tc>
          <w:tcPr>
            <w:tcW w:w="1522" w:type="pct"/>
            <w:tcBorders>
              <w:top w:val="single" w:sz="6" w:space="0" w:color="000000"/>
              <w:bottom w:val="single" w:sz="12" w:space="0" w:color="000000"/>
              <w:right w:val="single" w:sz="12" w:space="0" w:color="000000"/>
            </w:tcBorders>
            <w:vAlign w:val="center"/>
          </w:tcPr>
          <w:p w14:paraId="28DA33A1" w14:textId="77777777" w:rsidR="004426E6" w:rsidRPr="00B35C1E" w:rsidRDefault="00000000">
            <w:pPr>
              <w:widowControl/>
              <w:jc w:val="center"/>
              <w:textAlignment w:val="center"/>
              <w:rPr>
                <w:rFonts w:ascii="Times New Roman" w:hAnsi="Times New Roman" w:cs="Times New Roman"/>
                <w:color w:val="000000"/>
                <w:kern w:val="0"/>
                <w:sz w:val="18"/>
                <w:szCs w:val="18"/>
              </w:rPr>
            </w:pPr>
            <w:r w:rsidRPr="00B35C1E">
              <w:rPr>
                <w:rFonts w:ascii="Times New Roman" w:hAnsi="Times New Roman" w:cs="Times New Roman"/>
                <w:color w:val="000000"/>
                <w:kern w:val="0"/>
                <w:sz w:val="18"/>
                <w:szCs w:val="18"/>
              </w:rPr>
              <w:t>100±20</w:t>
            </w:r>
          </w:p>
        </w:tc>
      </w:tr>
    </w:tbl>
    <w:bookmarkEnd w:id="20"/>
    <w:p w14:paraId="08AEA983" w14:textId="5A6869C5" w:rsidR="004426E6" w:rsidRDefault="00FF6A81" w:rsidP="00B35C1E">
      <w:pPr>
        <w:pStyle w:val="a0"/>
        <w:spacing w:after="0"/>
        <w:contextualSpacing/>
        <w:rPr>
          <w:rFonts w:ascii="黑体" w:eastAsia="黑体" w:hAnsi="宋体" w:cs="Arial" w:hint="eastAsia"/>
          <w:kern w:val="0"/>
          <w:szCs w:val="21"/>
        </w:rPr>
      </w:pPr>
      <w:r w:rsidRPr="00FF6A81">
        <w:rPr>
          <w:rFonts w:ascii="黑体" w:eastAsia="黑体" w:hAnsi="宋体" w:cs="Arial" w:hint="eastAsia"/>
          <w:kern w:val="0"/>
          <w:szCs w:val="21"/>
        </w:rPr>
        <w:t>3、修订前后技术内容的对比</w:t>
      </w:r>
    </w:p>
    <w:p w14:paraId="3D1B6241" w14:textId="04F6FDBE" w:rsidR="00FF6A81" w:rsidRPr="00FF6A81" w:rsidRDefault="00FF6A81" w:rsidP="00FF6A81">
      <w:pPr>
        <w:pStyle w:val="aff"/>
        <w:ind w:firstLine="420"/>
        <w:rPr>
          <w:rFonts w:ascii="Times New Roman" w:eastAsiaTheme="minorEastAsia"/>
          <w:kern w:val="2"/>
        </w:rPr>
      </w:pPr>
      <w:r w:rsidRPr="00FF6A81">
        <w:rPr>
          <w:rFonts w:ascii="Times New Roman" w:eastAsiaTheme="minorEastAsia" w:hint="eastAsia"/>
          <w:kern w:val="2"/>
        </w:rPr>
        <w:t>本标准</w:t>
      </w:r>
      <w:r w:rsidRPr="00FF6A81">
        <w:rPr>
          <w:rFonts w:ascii="Times New Roman" w:eastAsiaTheme="minorEastAsia"/>
          <w:kern w:val="2"/>
        </w:rPr>
        <w:t>与</w:t>
      </w:r>
      <w:r w:rsidRPr="00FF6A81">
        <w:rPr>
          <w:rFonts w:ascii="Times New Roman" w:eastAsiaTheme="minorEastAsia"/>
          <w:kern w:val="2"/>
        </w:rPr>
        <w:t>GB/T 26048-2010</w:t>
      </w:r>
      <w:r w:rsidRPr="00FF6A81">
        <w:rPr>
          <w:rFonts w:ascii="Times New Roman" w:eastAsiaTheme="minorEastAsia"/>
          <w:kern w:val="2"/>
        </w:rPr>
        <w:t>相比，除结构调整和编辑性改动外，主要技术变化如下</w:t>
      </w:r>
      <w:r w:rsidRPr="00FF6A81">
        <w:rPr>
          <w:rFonts w:ascii="Times New Roman" w:eastAsiaTheme="minorEastAsia"/>
          <w:kern w:val="2"/>
        </w:rPr>
        <w:t>:</w:t>
      </w:r>
    </w:p>
    <w:p w14:paraId="322944D8" w14:textId="77777777" w:rsidR="00FF6A81" w:rsidRPr="00FF6A81" w:rsidRDefault="00FF6A81" w:rsidP="00FF6A81">
      <w:pPr>
        <w:ind w:firstLineChars="200" w:firstLine="420"/>
        <w:rPr>
          <w:rFonts w:ascii="Times New Roman" w:hAnsi="Times New Roman" w:cs="Times New Roman"/>
        </w:rPr>
      </w:pPr>
      <w:r w:rsidRPr="00FF6A81">
        <w:rPr>
          <w:rFonts w:ascii="Times New Roman" w:hAnsi="Times New Roman" w:cs="Times New Roman"/>
        </w:rPr>
        <w:t>a</w:t>
      </w:r>
      <w:r w:rsidRPr="00FF6A81">
        <w:rPr>
          <w:rFonts w:ascii="Times New Roman" w:hAnsi="Times New Roman" w:cs="Times New Roman"/>
        </w:rPr>
        <w:t>）增加了</w:t>
      </w:r>
      <w:r w:rsidRPr="00FF6A81">
        <w:rPr>
          <w:rFonts w:ascii="Times New Roman" w:hAnsi="Times New Roman" w:cs="Times New Roman"/>
        </w:rPr>
        <w:t>T</w:t>
      </w:r>
      <w:r w:rsidRPr="00FF6A81">
        <w:rPr>
          <w:rFonts w:ascii="Times New Roman" w:hAnsi="Times New Roman" w:cs="Times New Roman" w:hint="eastAsia"/>
        </w:rPr>
        <w:t>Te0.3</w:t>
      </w:r>
      <w:r w:rsidRPr="00FF6A81">
        <w:rPr>
          <w:rFonts w:ascii="Times New Roman" w:hAnsi="Times New Roman" w:cs="Times New Roman"/>
        </w:rPr>
        <w:t>、</w:t>
      </w:r>
      <w:r w:rsidRPr="00FF6A81">
        <w:rPr>
          <w:rFonts w:ascii="Times New Roman" w:hAnsi="Times New Roman" w:cs="Times New Roman"/>
        </w:rPr>
        <w:t>TNi1-0.6-0.25</w:t>
      </w:r>
      <w:r w:rsidRPr="00FF6A81">
        <w:rPr>
          <w:rFonts w:ascii="Times New Roman" w:hAnsi="Times New Roman" w:cs="Times New Roman"/>
        </w:rPr>
        <w:t>、</w:t>
      </w:r>
      <w:r w:rsidRPr="00FF6A81">
        <w:rPr>
          <w:rFonts w:ascii="Times New Roman" w:hAnsi="Times New Roman" w:cs="Times New Roman"/>
        </w:rPr>
        <w:t>TNi1-1-0.25</w:t>
      </w:r>
      <w:r w:rsidRPr="00FF6A81">
        <w:rPr>
          <w:rFonts w:ascii="Times New Roman" w:hAnsi="Times New Roman" w:cs="Times New Roman"/>
        </w:rPr>
        <w:t>、</w:t>
      </w:r>
      <w:r w:rsidRPr="00FF6A81">
        <w:rPr>
          <w:rFonts w:ascii="Times New Roman" w:hAnsi="Times New Roman" w:cs="Times New Roman"/>
        </w:rPr>
        <w:t>HPb59-</w:t>
      </w:r>
      <w:r w:rsidRPr="00FF6A81">
        <w:rPr>
          <w:rFonts w:ascii="Times New Roman" w:hAnsi="Times New Roman" w:cs="Times New Roman" w:hint="eastAsia"/>
        </w:rPr>
        <w:t>2.8</w:t>
      </w:r>
      <w:r w:rsidRPr="00FF6A81">
        <w:rPr>
          <w:rFonts w:ascii="Times New Roman" w:hAnsi="Times New Roman" w:cs="Times New Roman" w:hint="eastAsia"/>
        </w:rPr>
        <w:t>、</w:t>
      </w:r>
      <w:r w:rsidRPr="00FF6A81">
        <w:rPr>
          <w:rFonts w:ascii="Times New Roman" w:hAnsi="Times New Roman" w:cs="Times New Roman"/>
        </w:rPr>
        <w:t>HPb5</w:t>
      </w:r>
      <w:r w:rsidRPr="00FF6A81">
        <w:rPr>
          <w:rFonts w:ascii="Times New Roman" w:hAnsi="Times New Roman" w:cs="Times New Roman" w:hint="eastAsia"/>
        </w:rPr>
        <w:t>8</w:t>
      </w:r>
      <w:r w:rsidRPr="00FF6A81">
        <w:rPr>
          <w:rFonts w:ascii="Times New Roman" w:hAnsi="Times New Roman" w:cs="Times New Roman"/>
        </w:rPr>
        <w:t>-3</w:t>
      </w:r>
      <w:r w:rsidRPr="00FF6A81">
        <w:rPr>
          <w:rFonts w:ascii="Times New Roman" w:hAnsi="Times New Roman" w:cs="Times New Roman" w:hint="eastAsia"/>
        </w:rPr>
        <w:t>、</w:t>
      </w:r>
      <w:r w:rsidRPr="00FF6A81">
        <w:rPr>
          <w:rFonts w:ascii="Times New Roman" w:hAnsi="Times New Roman" w:cs="Times New Roman"/>
        </w:rPr>
        <w:t>HPb5</w:t>
      </w:r>
      <w:r w:rsidRPr="00FF6A81">
        <w:rPr>
          <w:rFonts w:ascii="Times New Roman" w:hAnsi="Times New Roman" w:cs="Times New Roman" w:hint="eastAsia"/>
        </w:rPr>
        <w:t>7</w:t>
      </w:r>
      <w:r w:rsidRPr="00FF6A81">
        <w:rPr>
          <w:rFonts w:ascii="Times New Roman" w:hAnsi="Times New Roman" w:cs="Times New Roman"/>
        </w:rPr>
        <w:t>-</w:t>
      </w:r>
      <w:r w:rsidRPr="00FF6A81">
        <w:rPr>
          <w:rFonts w:ascii="Times New Roman" w:hAnsi="Times New Roman" w:cs="Times New Roman" w:hint="eastAsia"/>
        </w:rPr>
        <w:t>2.8</w:t>
      </w:r>
      <w:r w:rsidRPr="00FF6A81">
        <w:rPr>
          <w:rFonts w:ascii="Times New Roman" w:hAnsi="Times New Roman" w:cs="Times New Roman" w:hint="eastAsia"/>
        </w:rPr>
        <w:t>、</w:t>
      </w:r>
      <w:r w:rsidRPr="00FF6A81">
        <w:rPr>
          <w:rFonts w:ascii="Times New Roman" w:hAnsi="Times New Roman" w:cs="Times New Roman"/>
        </w:rPr>
        <w:t>HBi58-1.5</w:t>
      </w:r>
      <w:r w:rsidRPr="00FF6A81">
        <w:rPr>
          <w:rFonts w:ascii="Times New Roman" w:hAnsi="Times New Roman" w:cs="Times New Roman" w:hint="eastAsia"/>
        </w:rPr>
        <w:t>、</w:t>
      </w:r>
      <w:r w:rsidRPr="00FF6A81">
        <w:rPr>
          <w:rFonts w:ascii="Times New Roman" w:hAnsi="Times New Roman" w:cs="Times New Roman"/>
        </w:rPr>
        <w:t>HBi60-1-0.05</w:t>
      </w:r>
      <w:r w:rsidRPr="00FF6A81">
        <w:rPr>
          <w:rFonts w:ascii="Times New Roman" w:hAnsi="Times New Roman" w:cs="Times New Roman"/>
        </w:rPr>
        <w:t>、</w:t>
      </w:r>
      <w:r w:rsidRPr="00FF6A81">
        <w:rPr>
          <w:rFonts w:ascii="Times New Roman" w:hAnsi="Times New Roman" w:cs="Times New Roman"/>
        </w:rPr>
        <w:t>HBi62-1.4-1</w:t>
      </w:r>
      <w:r w:rsidRPr="00FF6A81">
        <w:rPr>
          <w:rFonts w:ascii="Times New Roman" w:hAnsi="Times New Roman" w:cs="Times New Roman"/>
        </w:rPr>
        <w:t>、</w:t>
      </w:r>
      <w:r w:rsidRPr="00FF6A81">
        <w:rPr>
          <w:rFonts w:ascii="Times New Roman" w:hAnsi="Times New Roman" w:cs="Times New Roman"/>
        </w:rPr>
        <w:t>HBi59-1</w:t>
      </w:r>
      <w:r w:rsidRPr="00FF6A81">
        <w:rPr>
          <w:rFonts w:ascii="Times New Roman" w:hAnsi="Times New Roman" w:cs="Times New Roman"/>
        </w:rPr>
        <w:t>、</w:t>
      </w:r>
      <w:r w:rsidRPr="00FF6A81">
        <w:rPr>
          <w:rFonts w:ascii="Times New Roman" w:hAnsi="Times New Roman" w:cs="Times New Roman"/>
        </w:rPr>
        <w:t>HBi59-1</w:t>
      </w:r>
      <w:r w:rsidRPr="00FF6A81">
        <w:rPr>
          <w:rFonts w:ascii="Times New Roman" w:hAnsi="Times New Roman" w:cs="Times New Roman" w:hint="eastAsia"/>
        </w:rPr>
        <w:t>.5</w:t>
      </w:r>
      <w:r w:rsidRPr="00FF6A81">
        <w:rPr>
          <w:rFonts w:ascii="Times New Roman" w:hAnsi="Times New Roman" w:cs="Times New Roman" w:hint="eastAsia"/>
        </w:rPr>
        <w:t>、</w:t>
      </w:r>
      <w:r w:rsidRPr="00FF6A81">
        <w:rPr>
          <w:rFonts w:ascii="Times New Roman" w:hAnsi="Times New Roman" w:cs="Times New Roman"/>
        </w:rPr>
        <w:t>HBi59-2</w:t>
      </w:r>
      <w:r w:rsidRPr="00FF6A81">
        <w:rPr>
          <w:rFonts w:ascii="Times New Roman" w:hAnsi="Times New Roman" w:cs="Times New Roman" w:hint="eastAsia"/>
        </w:rPr>
        <w:t>、</w:t>
      </w:r>
      <w:r w:rsidRPr="00FF6A81">
        <w:rPr>
          <w:rFonts w:ascii="Times New Roman" w:hAnsi="Times New Roman" w:cs="Times New Roman"/>
        </w:rPr>
        <w:t>QSn4.6-1-0.2</w:t>
      </w:r>
      <w:r w:rsidRPr="00FF6A81">
        <w:rPr>
          <w:rFonts w:ascii="Times New Roman" w:hAnsi="Times New Roman" w:cs="Times New Roman"/>
        </w:rPr>
        <w:t>、</w:t>
      </w:r>
      <w:r w:rsidRPr="00FF6A81">
        <w:rPr>
          <w:rFonts w:ascii="Times New Roman" w:hAnsi="Times New Roman" w:cs="Times New Roman"/>
        </w:rPr>
        <w:t>HSi75-3</w:t>
      </w:r>
      <w:r w:rsidRPr="00FF6A81">
        <w:rPr>
          <w:rFonts w:ascii="Times New Roman" w:hAnsi="Times New Roman" w:cs="Times New Roman"/>
        </w:rPr>
        <w:t>、</w:t>
      </w:r>
      <w:r w:rsidRPr="00FF6A81">
        <w:rPr>
          <w:rFonts w:ascii="Times New Roman" w:hAnsi="Times New Roman" w:cs="Times New Roman"/>
        </w:rPr>
        <w:lastRenderedPageBreak/>
        <w:t>BZn12-24-1.1</w:t>
      </w:r>
      <w:r w:rsidRPr="00FF6A81">
        <w:rPr>
          <w:rFonts w:ascii="Times New Roman" w:hAnsi="Times New Roman" w:cs="Times New Roman"/>
        </w:rPr>
        <w:t>、</w:t>
      </w:r>
      <w:r w:rsidRPr="00FF6A81">
        <w:rPr>
          <w:rFonts w:ascii="Times New Roman" w:hAnsi="Times New Roman" w:cs="Times New Roman"/>
        </w:rPr>
        <w:t>BZn12-37-1.5</w:t>
      </w:r>
      <w:r w:rsidRPr="00FF6A81">
        <w:rPr>
          <w:rFonts w:ascii="Times New Roman" w:hAnsi="Times New Roman" w:cs="Times New Roman"/>
        </w:rPr>
        <w:t>、</w:t>
      </w:r>
      <w:r w:rsidRPr="00FF6A81">
        <w:rPr>
          <w:rFonts w:ascii="Times New Roman" w:hAnsi="Times New Roman" w:cs="Times New Roman"/>
        </w:rPr>
        <w:t>BZn12-38-2</w:t>
      </w:r>
      <w:r w:rsidRPr="00FF6A81">
        <w:rPr>
          <w:rFonts w:ascii="Times New Roman" w:hAnsi="Times New Roman" w:cs="Times New Roman"/>
        </w:rPr>
        <w:t>共</w:t>
      </w:r>
      <w:r w:rsidRPr="00FF6A81">
        <w:rPr>
          <w:rFonts w:ascii="Times New Roman" w:hAnsi="Times New Roman" w:cs="Times New Roman"/>
        </w:rPr>
        <w:t>1</w:t>
      </w:r>
      <w:r w:rsidRPr="00FF6A81">
        <w:rPr>
          <w:rFonts w:ascii="Times New Roman" w:hAnsi="Times New Roman" w:cs="Times New Roman" w:hint="eastAsia"/>
        </w:rPr>
        <w:t>7</w:t>
      </w:r>
      <w:r w:rsidRPr="00FF6A81">
        <w:rPr>
          <w:rFonts w:ascii="Times New Roman" w:hAnsi="Times New Roman" w:cs="Times New Roman"/>
        </w:rPr>
        <w:t>个牌号，并增加相应牌号的技术要求（见</w:t>
      </w:r>
      <w:r w:rsidRPr="00FF6A81">
        <w:rPr>
          <w:rFonts w:ascii="Times New Roman" w:hAnsi="Times New Roman" w:cs="Times New Roman"/>
        </w:rPr>
        <w:t>4.1</w:t>
      </w:r>
      <w:r w:rsidRPr="00FF6A81">
        <w:rPr>
          <w:rFonts w:ascii="Times New Roman" w:hAnsi="Times New Roman" w:cs="Times New Roman"/>
        </w:rPr>
        <w:t>）；</w:t>
      </w:r>
    </w:p>
    <w:p w14:paraId="7442D826" w14:textId="77777777" w:rsidR="00FF6A81" w:rsidRPr="00FF6A81" w:rsidRDefault="00FF6A81" w:rsidP="00FF6A81">
      <w:pPr>
        <w:pStyle w:val="aff"/>
        <w:ind w:firstLine="420"/>
        <w:rPr>
          <w:rFonts w:ascii="Times New Roman" w:eastAsiaTheme="minorEastAsia"/>
          <w:kern w:val="2"/>
        </w:rPr>
      </w:pPr>
      <w:r w:rsidRPr="00FF6A81">
        <w:rPr>
          <w:rFonts w:ascii="Times New Roman" w:eastAsiaTheme="minorEastAsia"/>
          <w:kern w:val="2"/>
        </w:rPr>
        <w:t>b</w:t>
      </w:r>
      <w:r w:rsidRPr="00FF6A81">
        <w:rPr>
          <w:rFonts w:ascii="Times New Roman" w:eastAsiaTheme="minorEastAsia"/>
          <w:kern w:val="2"/>
        </w:rPr>
        <w:t>）增加了线材的外线尺寸允许偏差的高精级要求（见</w:t>
      </w:r>
      <w:r w:rsidRPr="00FF6A81">
        <w:rPr>
          <w:rFonts w:ascii="Times New Roman" w:eastAsiaTheme="minorEastAsia"/>
          <w:kern w:val="2"/>
        </w:rPr>
        <w:t>5.2.1</w:t>
      </w:r>
      <w:r w:rsidRPr="00FF6A81">
        <w:rPr>
          <w:rFonts w:ascii="Times New Roman" w:eastAsiaTheme="minorEastAsia"/>
          <w:kern w:val="2"/>
        </w:rPr>
        <w:t>）；</w:t>
      </w:r>
    </w:p>
    <w:p w14:paraId="436B2729" w14:textId="77777777" w:rsidR="00FF6A81" w:rsidRPr="00FF6A81" w:rsidRDefault="00FF6A81" w:rsidP="00FF6A81">
      <w:pPr>
        <w:ind w:firstLineChars="200" w:firstLine="420"/>
        <w:rPr>
          <w:rFonts w:ascii="Times New Roman" w:hAnsi="Times New Roman" w:cs="Times New Roman"/>
        </w:rPr>
      </w:pPr>
      <w:r w:rsidRPr="00FF6A81">
        <w:rPr>
          <w:rFonts w:ascii="Times New Roman" w:hAnsi="Times New Roman" w:cs="Times New Roman" w:hint="eastAsia"/>
        </w:rPr>
        <w:t>c</w:t>
      </w:r>
      <w:r w:rsidRPr="00FF6A81">
        <w:rPr>
          <w:rFonts w:ascii="Times New Roman" w:hAnsi="Times New Roman" w:cs="Times New Roman" w:hint="eastAsia"/>
        </w:rPr>
        <w:t>）更改了</w:t>
      </w:r>
      <w:r w:rsidRPr="00FF6A81">
        <w:rPr>
          <w:rFonts w:ascii="Times New Roman" w:hAnsi="Times New Roman" w:cs="Times New Roman"/>
        </w:rPr>
        <w:t>HPb60-2</w:t>
      </w:r>
      <w:r w:rsidRPr="00FF6A81">
        <w:rPr>
          <w:rFonts w:ascii="Times New Roman" w:hAnsi="Times New Roman" w:cs="Times New Roman"/>
        </w:rPr>
        <w:t>、</w:t>
      </w:r>
      <w:r w:rsidRPr="00FF6A81">
        <w:rPr>
          <w:rFonts w:ascii="Times New Roman" w:hAnsi="Times New Roman" w:cs="Times New Roman"/>
        </w:rPr>
        <w:t>HPb59-1</w:t>
      </w:r>
      <w:r w:rsidRPr="00FF6A81">
        <w:rPr>
          <w:rFonts w:ascii="Times New Roman" w:hAnsi="Times New Roman" w:cs="Times New Roman" w:hint="eastAsia"/>
        </w:rPr>
        <w:t>、</w:t>
      </w:r>
      <w:r w:rsidRPr="00FF6A81">
        <w:rPr>
          <w:rFonts w:ascii="Times New Roman" w:hAnsi="Times New Roman" w:cs="Times New Roman"/>
        </w:rPr>
        <w:t>HPb59-3</w:t>
      </w:r>
      <w:r w:rsidRPr="00FF6A81">
        <w:rPr>
          <w:rFonts w:ascii="Times New Roman" w:hAnsi="Times New Roman" w:cs="Times New Roman" w:hint="eastAsia"/>
        </w:rPr>
        <w:t>、</w:t>
      </w:r>
      <w:r w:rsidRPr="00FF6A81">
        <w:rPr>
          <w:rFonts w:ascii="Times New Roman" w:hAnsi="Times New Roman" w:cs="Times New Roman"/>
        </w:rPr>
        <w:t>HBi60-1.3</w:t>
      </w:r>
      <w:r w:rsidRPr="00FF6A81">
        <w:rPr>
          <w:rFonts w:ascii="Times New Roman" w:hAnsi="Times New Roman" w:cs="Times New Roman" w:hint="eastAsia"/>
        </w:rPr>
        <w:t>的力学性能（见表</w:t>
      </w:r>
      <w:r w:rsidRPr="00FF6A81">
        <w:rPr>
          <w:rFonts w:ascii="Times New Roman" w:hAnsi="Times New Roman" w:cs="Times New Roman" w:hint="eastAsia"/>
        </w:rPr>
        <w:t>7</w:t>
      </w:r>
      <w:r w:rsidRPr="00FF6A81">
        <w:rPr>
          <w:rFonts w:ascii="Times New Roman" w:hAnsi="Times New Roman" w:cs="Times New Roman"/>
        </w:rPr>
        <w:t>，</w:t>
      </w:r>
      <w:r w:rsidRPr="00FF6A81">
        <w:rPr>
          <w:rFonts w:ascii="Times New Roman" w:hAnsi="Times New Roman" w:cs="Times New Roman" w:hint="eastAsia"/>
        </w:rPr>
        <w:t>2010</w:t>
      </w:r>
      <w:r w:rsidRPr="00FF6A81">
        <w:rPr>
          <w:rFonts w:ascii="Times New Roman" w:hAnsi="Times New Roman" w:cs="Times New Roman" w:hint="eastAsia"/>
        </w:rPr>
        <w:t>年版的见表</w:t>
      </w:r>
      <w:r w:rsidRPr="00FF6A81">
        <w:rPr>
          <w:rFonts w:ascii="Times New Roman" w:hAnsi="Times New Roman" w:cs="Times New Roman" w:hint="eastAsia"/>
        </w:rPr>
        <w:t>6</w:t>
      </w:r>
      <w:r w:rsidRPr="00FF6A81">
        <w:rPr>
          <w:rFonts w:ascii="Times New Roman" w:hAnsi="Times New Roman" w:cs="Times New Roman" w:hint="eastAsia"/>
        </w:rPr>
        <w:t>）；</w:t>
      </w:r>
    </w:p>
    <w:p w14:paraId="00CA2564" w14:textId="77777777" w:rsidR="00FF6A81" w:rsidRPr="00FF6A81" w:rsidRDefault="00FF6A81" w:rsidP="00FF6A81">
      <w:pPr>
        <w:pStyle w:val="aff"/>
        <w:ind w:firstLine="420"/>
        <w:rPr>
          <w:rFonts w:ascii="Times New Roman" w:eastAsiaTheme="minorEastAsia"/>
          <w:kern w:val="2"/>
        </w:rPr>
      </w:pPr>
      <w:r w:rsidRPr="00FF6A81">
        <w:rPr>
          <w:rFonts w:ascii="Times New Roman" w:eastAsiaTheme="minorEastAsia" w:hint="eastAsia"/>
          <w:kern w:val="2"/>
        </w:rPr>
        <w:t>d</w:t>
      </w:r>
      <w:r w:rsidRPr="00FF6A81">
        <w:rPr>
          <w:rFonts w:ascii="Times New Roman" w:eastAsiaTheme="minorEastAsia" w:hint="eastAsia"/>
          <w:kern w:val="2"/>
        </w:rPr>
        <w:t>）增加了</w:t>
      </w:r>
      <w:r w:rsidRPr="00FF6A81">
        <w:rPr>
          <w:rFonts w:ascii="Times New Roman" w:eastAsiaTheme="minorEastAsia"/>
          <w:kern w:val="2"/>
        </w:rPr>
        <w:t>T</w:t>
      </w:r>
      <w:r w:rsidRPr="00FF6A81">
        <w:rPr>
          <w:rFonts w:ascii="Times New Roman" w:eastAsiaTheme="minorEastAsia" w:hint="eastAsia"/>
          <w:kern w:val="2"/>
        </w:rPr>
        <w:t>Te0.3</w:t>
      </w:r>
      <w:r w:rsidRPr="00FF6A81">
        <w:rPr>
          <w:rFonts w:ascii="Times New Roman" w:eastAsiaTheme="minorEastAsia"/>
          <w:kern w:val="2"/>
        </w:rPr>
        <w:t>、</w:t>
      </w:r>
      <w:r w:rsidRPr="00FF6A81">
        <w:rPr>
          <w:rFonts w:ascii="Times New Roman" w:eastAsiaTheme="minorEastAsia"/>
          <w:kern w:val="2"/>
        </w:rPr>
        <w:t>TNi1-0.6-0.25</w:t>
      </w:r>
      <w:r w:rsidRPr="00FF6A81">
        <w:rPr>
          <w:rFonts w:ascii="Times New Roman" w:eastAsiaTheme="minorEastAsia"/>
          <w:kern w:val="2"/>
        </w:rPr>
        <w:t>、</w:t>
      </w:r>
      <w:r w:rsidRPr="00FF6A81">
        <w:rPr>
          <w:rFonts w:ascii="Times New Roman" w:eastAsiaTheme="minorEastAsia"/>
          <w:kern w:val="2"/>
        </w:rPr>
        <w:t>TNi1-1-0.25</w:t>
      </w:r>
      <w:r w:rsidRPr="00FF6A81">
        <w:rPr>
          <w:rFonts w:ascii="Times New Roman" w:eastAsiaTheme="minorEastAsia" w:hint="eastAsia"/>
          <w:kern w:val="2"/>
        </w:rPr>
        <w:t>线材的电性能要求（见</w:t>
      </w:r>
      <w:r w:rsidRPr="00FF6A81">
        <w:rPr>
          <w:rFonts w:ascii="Times New Roman" w:eastAsiaTheme="minorEastAsia" w:hint="eastAsia"/>
          <w:kern w:val="2"/>
        </w:rPr>
        <w:t>5.4</w:t>
      </w:r>
      <w:r w:rsidRPr="00FF6A81">
        <w:rPr>
          <w:rFonts w:ascii="Times New Roman" w:eastAsiaTheme="minorEastAsia" w:hint="eastAsia"/>
          <w:kern w:val="2"/>
        </w:rPr>
        <w:t>，</w:t>
      </w:r>
      <w:r w:rsidRPr="00FF6A81">
        <w:rPr>
          <w:rFonts w:ascii="Times New Roman" w:eastAsiaTheme="minorEastAsia" w:hint="eastAsia"/>
          <w:kern w:val="2"/>
        </w:rPr>
        <w:t>2010</w:t>
      </w:r>
      <w:r w:rsidRPr="00FF6A81">
        <w:rPr>
          <w:rFonts w:ascii="Times New Roman" w:eastAsiaTheme="minorEastAsia" w:hint="eastAsia"/>
          <w:kern w:val="2"/>
        </w:rPr>
        <w:t>年版的</w:t>
      </w:r>
      <w:r w:rsidRPr="00FF6A81">
        <w:rPr>
          <w:rFonts w:ascii="Times New Roman" w:eastAsiaTheme="minorEastAsia" w:hint="eastAsia"/>
          <w:kern w:val="2"/>
        </w:rPr>
        <w:t>4.4</w:t>
      </w:r>
      <w:r w:rsidRPr="00FF6A81">
        <w:rPr>
          <w:rFonts w:ascii="Times New Roman" w:eastAsiaTheme="minorEastAsia" w:hint="eastAsia"/>
          <w:kern w:val="2"/>
        </w:rPr>
        <w:t>）；</w:t>
      </w:r>
    </w:p>
    <w:p w14:paraId="66092A78" w14:textId="77777777" w:rsidR="00FF6A81" w:rsidRPr="00FF6A81" w:rsidRDefault="00FF6A81" w:rsidP="00FF6A81">
      <w:pPr>
        <w:pStyle w:val="aff"/>
        <w:ind w:firstLine="420"/>
        <w:rPr>
          <w:rFonts w:ascii="Times New Roman" w:eastAsiaTheme="minorEastAsia"/>
          <w:kern w:val="2"/>
        </w:rPr>
      </w:pPr>
      <w:r w:rsidRPr="00FF6A81">
        <w:rPr>
          <w:rFonts w:ascii="Times New Roman" w:eastAsiaTheme="minorEastAsia" w:hint="eastAsia"/>
          <w:kern w:val="2"/>
        </w:rPr>
        <w:t>e</w:t>
      </w:r>
      <w:r w:rsidRPr="00FF6A81">
        <w:rPr>
          <w:rFonts w:ascii="Times New Roman" w:eastAsiaTheme="minorEastAsia" w:hint="eastAsia"/>
          <w:kern w:val="2"/>
        </w:rPr>
        <w:t>）删除了铋黄铜线材的耐脱锌腐蚀试验（见</w:t>
      </w:r>
      <w:r w:rsidRPr="00FF6A81">
        <w:rPr>
          <w:rFonts w:ascii="Times New Roman" w:eastAsiaTheme="minorEastAsia" w:hint="eastAsia"/>
          <w:kern w:val="2"/>
        </w:rPr>
        <w:t>2010</w:t>
      </w:r>
      <w:r w:rsidRPr="00FF6A81">
        <w:rPr>
          <w:rFonts w:ascii="Times New Roman" w:eastAsiaTheme="minorEastAsia" w:hint="eastAsia"/>
          <w:kern w:val="2"/>
        </w:rPr>
        <w:t>年版的</w:t>
      </w:r>
      <w:r w:rsidRPr="00FF6A81">
        <w:rPr>
          <w:rFonts w:ascii="Times New Roman" w:eastAsiaTheme="minorEastAsia" w:hint="eastAsia"/>
          <w:kern w:val="2"/>
        </w:rPr>
        <w:t>4.6</w:t>
      </w:r>
      <w:r w:rsidRPr="00FF6A81">
        <w:rPr>
          <w:rFonts w:ascii="Times New Roman" w:eastAsiaTheme="minorEastAsia" w:hint="eastAsia"/>
          <w:kern w:val="2"/>
        </w:rPr>
        <w:t>）；</w:t>
      </w:r>
    </w:p>
    <w:p w14:paraId="08AF1FD4" w14:textId="77777777" w:rsidR="00FF6A81" w:rsidRPr="00FF6A81" w:rsidRDefault="00FF6A81" w:rsidP="00FF6A81">
      <w:pPr>
        <w:pStyle w:val="aff"/>
        <w:ind w:firstLine="420"/>
        <w:rPr>
          <w:rFonts w:ascii="Times New Roman" w:eastAsiaTheme="minorEastAsia"/>
          <w:kern w:val="2"/>
        </w:rPr>
      </w:pPr>
      <w:r w:rsidRPr="00FF6A81">
        <w:rPr>
          <w:rFonts w:ascii="Times New Roman" w:eastAsiaTheme="minorEastAsia" w:hint="eastAsia"/>
          <w:kern w:val="2"/>
        </w:rPr>
        <w:t>f</w:t>
      </w:r>
      <w:r w:rsidRPr="00FF6A81">
        <w:rPr>
          <w:rFonts w:ascii="Times New Roman" w:eastAsiaTheme="minorEastAsia"/>
          <w:kern w:val="2"/>
        </w:rPr>
        <w:t>）更改了线材的表面要求（见</w:t>
      </w:r>
      <w:r w:rsidRPr="00FF6A81">
        <w:rPr>
          <w:rFonts w:ascii="Times New Roman" w:eastAsiaTheme="minorEastAsia"/>
          <w:kern w:val="2"/>
        </w:rPr>
        <w:t>5.</w:t>
      </w:r>
      <w:r w:rsidRPr="00FF6A81">
        <w:rPr>
          <w:rFonts w:ascii="Times New Roman" w:eastAsiaTheme="minorEastAsia"/>
          <w:kern w:val="2"/>
        </w:rPr>
        <w:t>，</w:t>
      </w:r>
      <w:r w:rsidRPr="00FF6A81">
        <w:rPr>
          <w:rFonts w:ascii="Times New Roman" w:eastAsiaTheme="minorEastAsia"/>
          <w:kern w:val="2"/>
        </w:rPr>
        <w:t>2010</w:t>
      </w:r>
      <w:r w:rsidRPr="00FF6A81">
        <w:rPr>
          <w:rFonts w:ascii="Times New Roman" w:eastAsiaTheme="minorEastAsia"/>
          <w:kern w:val="2"/>
        </w:rPr>
        <w:t>年版</w:t>
      </w:r>
      <w:r w:rsidRPr="00FF6A81">
        <w:rPr>
          <w:rFonts w:ascii="Times New Roman" w:eastAsiaTheme="minorEastAsia" w:hint="eastAsia"/>
          <w:kern w:val="2"/>
        </w:rPr>
        <w:t>的</w:t>
      </w:r>
      <w:r w:rsidRPr="00FF6A81">
        <w:rPr>
          <w:rFonts w:ascii="Times New Roman" w:eastAsiaTheme="minorEastAsia"/>
          <w:kern w:val="2"/>
        </w:rPr>
        <w:t>4.</w:t>
      </w:r>
      <w:r w:rsidRPr="00FF6A81">
        <w:rPr>
          <w:rFonts w:ascii="Times New Roman" w:eastAsiaTheme="minorEastAsia" w:hint="eastAsia"/>
          <w:kern w:val="2"/>
        </w:rPr>
        <w:t>9</w:t>
      </w:r>
      <w:r w:rsidRPr="00FF6A81">
        <w:rPr>
          <w:rFonts w:ascii="Times New Roman" w:eastAsiaTheme="minorEastAsia"/>
          <w:kern w:val="2"/>
        </w:rPr>
        <w:t>）；</w:t>
      </w:r>
    </w:p>
    <w:p w14:paraId="4164CBFA" w14:textId="77777777" w:rsidR="00FF6A81" w:rsidRDefault="00FF6A81" w:rsidP="00FF6A81">
      <w:pPr>
        <w:pStyle w:val="aff"/>
        <w:ind w:firstLine="420"/>
        <w:rPr>
          <w:rFonts w:ascii="Times New Roman" w:eastAsiaTheme="minorEastAsia"/>
          <w:kern w:val="2"/>
        </w:rPr>
      </w:pPr>
      <w:r w:rsidRPr="00FF6A81">
        <w:rPr>
          <w:rFonts w:ascii="Times New Roman" w:eastAsiaTheme="minorEastAsia" w:hint="eastAsia"/>
          <w:kern w:val="2"/>
        </w:rPr>
        <w:t>g</w:t>
      </w:r>
      <w:r w:rsidRPr="00FF6A81">
        <w:rPr>
          <w:rFonts w:ascii="Times New Roman" w:eastAsiaTheme="minorEastAsia"/>
          <w:kern w:val="2"/>
        </w:rPr>
        <w:t>）更改了线材的卷（轴）重量要求（见</w:t>
      </w:r>
      <w:r w:rsidRPr="00FF6A81">
        <w:rPr>
          <w:rFonts w:ascii="Times New Roman" w:eastAsiaTheme="minorEastAsia"/>
          <w:kern w:val="2"/>
        </w:rPr>
        <w:t>5.</w:t>
      </w:r>
      <w:r w:rsidRPr="00FF6A81">
        <w:rPr>
          <w:rFonts w:ascii="Times New Roman" w:eastAsiaTheme="minorEastAsia" w:hint="eastAsia"/>
          <w:kern w:val="2"/>
        </w:rPr>
        <w:t>10</w:t>
      </w:r>
      <w:r w:rsidRPr="00FF6A81">
        <w:rPr>
          <w:rFonts w:ascii="Times New Roman" w:eastAsiaTheme="minorEastAsia"/>
          <w:kern w:val="2"/>
        </w:rPr>
        <w:t>，</w:t>
      </w:r>
      <w:r w:rsidRPr="00FF6A81">
        <w:rPr>
          <w:rFonts w:ascii="Times New Roman" w:eastAsiaTheme="minorEastAsia"/>
          <w:kern w:val="2"/>
        </w:rPr>
        <w:t>2010</w:t>
      </w:r>
      <w:r w:rsidRPr="00FF6A81">
        <w:rPr>
          <w:rFonts w:ascii="Times New Roman" w:eastAsiaTheme="minorEastAsia"/>
          <w:kern w:val="2"/>
        </w:rPr>
        <w:t>年版</w:t>
      </w:r>
      <w:r w:rsidRPr="00FF6A81">
        <w:rPr>
          <w:rFonts w:ascii="Times New Roman" w:eastAsiaTheme="minorEastAsia" w:hint="eastAsia"/>
          <w:kern w:val="2"/>
        </w:rPr>
        <w:t>的</w:t>
      </w:r>
      <w:r w:rsidRPr="00FF6A81">
        <w:rPr>
          <w:rFonts w:ascii="Times New Roman" w:eastAsiaTheme="minorEastAsia"/>
          <w:kern w:val="2"/>
        </w:rPr>
        <w:t>4.</w:t>
      </w:r>
      <w:r w:rsidRPr="00FF6A81">
        <w:rPr>
          <w:rFonts w:ascii="Times New Roman" w:eastAsiaTheme="minorEastAsia" w:hint="eastAsia"/>
          <w:kern w:val="2"/>
        </w:rPr>
        <w:t>10</w:t>
      </w:r>
      <w:r w:rsidRPr="00FF6A81">
        <w:rPr>
          <w:rFonts w:ascii="Times New Roman" w:eastAsiaTheme="minorEastAsia"/>
          <w:kern w:val="2"/>
        </w:rPr>
        <w:t>）。</w:t>
      </w:r>
    </w:p>
    <w:p w14:paraId="2BD51158" w14:textId="580A004F" w:rsidR="00FF6A81" w:rsidRPr="00FF6A81" w:rsidRDefault="00FF6A81" w:rsidP="00FF6A81">
      <w:pPr>
        <w:pStyle w:val="aff"/>
        <w:ind w:firstLine="420"/>
        <w:rPr>
          <w:rFonts w:ascii="Times New Roman" w:eastAsiaTheme="minorEastAsia"/>
          <w:kern w:val="2"/>
        </w:rPr>
      </w:pPr>
      <w:r>
        <w:rPr>
          <w:rFonts w:ascii="Times New Roman" w:eastAsiaTheme="minorEastAsia" w:hint="eastAsia"/>
          <w:kern w:val="2"/>
        </w:rPr>
        <w:t>表</w:t>
      </w:r>
      <w:r>
        <w:rPr>
          <w:rFonts w:ascii="Times New Roman" w:eastAsiaTheme="minorEastAsia" w:hint="eastAsia"/>
          <w:kern w:val="2"/>
        </w:rPr>
        <w:t>9</w:t>
      </w:r>
      <w:r>
        <w:rPr>
          <w:rFonts w:ascii="Times New Roman" w:eastAsiaTheme="minorEastAsia" w:hint="eastAsia"/>
          <w:kern w:val="2"/>
        </w:rPr>
        <w:t>是本标准与原标准的对比，通过对比可知，本标准的标准水平要优于原标准。</w:t>
      </w:r>
    </w:p>
    <w:p w14:paraId="2B8BF0D9" w14:textId="77777777" w:rsidR="00FF6A81" w:rsidRPr="00C15403" w:rsidRDefault="00FF6A81" w:rsidP="00FF6A81">
      <w:pPr>
        <w:spacing w:beforeLines="50" w:before="156" w:afterLines="50" w:after="156"/>
        <w:jc w:val="center"/>
        <w:rPr>
          <w:rFonts w:eastAsia="黑体"/>
          <w:color w:val="000000"/>
          <w:kern w:val="0"/>
          <w:szCs w:val="20"/>
        </w:rPr>
      </w:pPr>
      <w:r>
        <w:rPr>
          <w:rFonts w:eastAsia="黑体"/>
          <w:color w:val="000000"/>
          <w:kern w:val="0"/>
          <w:szCs w:val="20"/>
        </w:rPr>
        <w:t>表</w:t>
      </w:r>
      <w:r>
        <w:rPr>
          <w:rFonts w:eastAsia="黑体" w:hint="eastAsia"/>
          <w:color w:val="000000"/>
          <w:kern w:val="0"/>
          <w:szCs w:val="20"/>
        </w:rPr>
        <w:t>9</w:t>
      </w:r>
      <w:r>
        <w:rPr>
          <w:rFonts w:eastAsia="黑体"/>
          <w:color w:val="000000"/>
          <w:kern w:val="0"/>
          <w:szCs w:val="20"/>
        </w:rPr>
        <w:t xml:space="preserve"> </w:t>
      </w:r>
      <w:r>
        <w:rPr>
          <w:rFonts w:eastAsia="黑体" w:hint="eastAsia"/>
          <w:color w:val="000000"/>
          <w:kern w:val="0"/>
          <w:szCs w:val="20"/>
        </w:rPr>
        <w:t>本标准与原标准对比</w:t>
      </w:r>
    </w:p>
    <w:tbl>
      <w:tblPr>
        <w:tblW w:w="510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94"/>
        <w:gridCol w:w="851"/>
        <w:gridCol w:w="865"/>
        <w:gridCol w:w="1977"/>
        <w:gridCol w:w="2091"/>
        <w:gridCol w:w="2016"/>
      </w:tblGrid>
      <w:tr w:rsidR="00FF6A81" w:rsidRPr="008E5D72" w14:paraId="080731E2" w14:textId="77777777" w:rsidTr="00C5778A">
        <w:trPr>
          <w:trHeight w:val="312"/>
        </w:trPr>
        <w:tc>
          <w:tcPr>
            <w:tcW w:w="409" w:type="pct"/>
            <w:vMerge w:val="restart"/>
            <w:tcBorders>
              <w:top w:val="single" w:sz="12" w:space="0" w:color="auto"/>
              <w:bottom w:val="single" w:sz="12" w:space="0" w:color="auto"/>
              <w:right w:val="single" w:sz="6" w:space="0" w:color="auto"/>
            </w:tcBorders>
            <w:vAlign w:val="center"/>
            <w:hideMark/>
          </w:tcPr>
          <w:p w14:paraId="32A381B6"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标准</w:t>
            </w:r>
            <w:r>
              <w:rPr>
                <w:rFonts w:ascii="宋体" w:eastAsia="宋体" w:hAnsi="宋体" w:cs="宋体" w:hint="eastAsia"/>
                <w:kern w:val="0"/>
                <w:sz w:val="18"/>
                <w:szCs w:val="18"/>
              </w:rPr>
              <w:t>名称</w:t>
            </w:r>
          </w:p>
        </w:tc>
        <w:tc>
          <w:tcPr>
            <w:tcW w:w="501" w:type="pct"/>
            <w:vMerge w:val="restart"/>
            <w:tcBorders>
              <w:top w:val="single" w:sz="12" w:space="0" w:color="auto"/>
              <w:left w:val="single" w:sz="6" w:space="0" w:color="auto"/>
              <w:bottom w:val="single" w:sz="12" w:space="0" w:color="auto"/>
              <w:right w:val="single" w:sz="6" w:space="0" w:color="auto"/>
            </w:tcBorders>
            <w:vAlign w:val="center"/>
            <w:hideMark/>
          </w:tcPr>
          <w:p w14:paraId="45B3E488"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适用</w:t>
            </w:r>
          </w:p>
        </w:tc>
        <w:tc>
          <w:tcPr>
            <w:tcW w:w="4091" w:type="pct"/>
            <w:gridSpan w:val="4"/>
            <w:vMerge w:val="restart"/>
            <w:tcBorders>
              <w:top w:val="single" w:sz="12" w:space="0" w:color="auto"/>
              <w:left w:val="single" w:sz="6" w:space="0" w:color="auto"/>
              <w:bottom w:val="single" w:sz="12" w:space="0" w:color="auto"/>
            </w:tcBorders>
            <w:vAlign w:val="center"/>
            <w:hideMark/>
          </w:tcPr>
          <w:p w14:paraId="2152FED7"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本标准与原标准对比</w:t>
            </w:r>
          </w:p>
        </w:tc>
      </w:tr>
      <w:tr w:rsidR="00FF6A81" w:rsidRPr="008E5D72" w14:paraId="22CA19D2" w14:textId="77777777" w:rsidTr="00C5778A">
        <w:trPr>
          <w:trHeight w:val="312"/>
        </w:trPr>
        <w:tc>
          <w:tcPr>
            <w:tcW w:w="409" w:type="pct"/>
            <w:vMerge/>
            <w:tcBorders>
              <w:top w:val="single" w:sz="6" w:space="0" w:color="auto"/>
              <w:bottom w:val="single" w:sz="12" w:space="0" w:color="auto"/>
              <w:right w:val="single" w:sz="6" w:space="0" w:color="auto"/>
            </w:tcBorders>
            <w:vAlign w:val="center"/>
            <w:hideMark/>
          </w:tcPr>
          <w:p w14:paraId="17117249"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tcBorders>
              <w:top w:val="single" w:sz="6" w:space="0" w:color="auto"/>
              <w:left w:val="single" w:sz="6" w:space="0" w:color="auto"/>
              <w:bottom w:val="single" w:sz="12" w:space="0" w:color="auto"/>
              <w:right w:val="single" w:sz="6" w:space="0" w:color="auto"/>
            </w:tcBorders>
            <w:vAlign w:val="center"/>
            <w:hideMark/>
          </w:tcPr>
          <w:p w14:paraId="135A236E" w14:textId="77777777" w:rsidR="00FF6A81" w:rsidRPr="008E5D72" w:rsidRDefault="00FF6A81" w:rsidP="00C5778A">
            <w:pPr>
              <w:widowControl/>
              <w:jc w:val="left"/>
              <w:rPr>
                <w:rFonts w:ascii="宋体" w:eastAsia="宋体" w:hAnsi="宋体" w:cs="宋体" w:hint="eastAsia"/>
                <w:kern w:val="0"/>
                <w:sz w:val="18"/>
                <w:szCs w:val="18"/>
              </w:rPr>
            </w:pPr>
          </w:p>
        </w:tc>
        <w:tc>
          <w:tcPr>
            <w:tcW w:w="4091" w:type="pct"/>
            <w:gridSpan w:val="4"/>
            <w:vMerge/>
            <w:tcBorders>
              <w:top w:val="single" w:sz="6" w:space="0" w:color="auto"/>
              <w:left w:val="single" w:sz="6" w:space="0" w:color="auto"/>
              <w:bottom w:val="single" w:sz="12" w:space="0" w:color="auto"/>
            </w:tcBorders>
            <w:vAlign w:val="center"/>
            <w:hideMark/>
          </w:tcPr>
          <w:p w14:paraId="040DDC53" w14:textId="77777777" w:rsidR="00FF6A81" w:rsidRPr="008E5D72" w:rsidRDefault="00FF6A81" w:rsidP="00C5778A">
            <w:pPr>
              <w:widowControl/>
              <w:jc w:val="left"/>
              <w:rPr>
                <w:rFonts w:ascii="宋体" w:eastAsia="宋体" w:hAnsi="宋体" w:cs="宋体" w:hint="eastAsia"/>
                <w:kern w:val="0"/>
                <w:sz w:val="18"/>
                <w:szCs w:val="18"/>
              </w:rPr>
            </w:pPr>
          </w:p>
        </w:tc>
      </w:tr>
      <w:tr w:rsidR="00FF6A81" w:rsidRPr="008E5D72" w14:paraId="35A74253" w14:textId="77777777" w:rsidTr="00C5778A">
        <w:trPr>
          <w:trHeight w:val="285"/>
        </w:trPr>
        <w:tc>
          <w:tcPr>
            <w:tcW w:w="409" w:type="pct"/>
            <w:vMerge w:val="restart"/>
            <w:tcBorders>
              <w:top w:val="single" w:sz="12" w:space="0" w:color="auto"/>
            </w:tcBorders>
            <w:vAlign w:val="center"/>
            <w:hideMark/>
          </w:tcPr>
          <w:p w14:paraId="3E4D5392"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易切削铜合金线材</w:t>
            </w:r>
          </w:p>
        </w:tc>
        <w:tc>
          <w:tcPr>
            <w:tcW w:w="501" w:type="pct"/>
            <w:vMerge w:val="restart"/>
            <w:tcBorders>
              <w:top w:val="single" w:sz="12" w:space="0" w:color="auto"/>
            </w:tcBorders>
            <w:vAlign w:val="center"/>
            <w:hideMark/>
          </w:tcPr>
          <w:p w14:paraId="378BF06A"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本文件 适用于各工业部门进一步机械切削加工用的铜合金圆形、正方形、矩形和正六角形线材。</w:t>
            </w:r>
          </w:p>
        </w:tc>
        <w:tc>
          <w:tcPr>
            <w:tcW w:w="4091" w:type="pct"/>
            <w:gridSpan w:val="4"/>
            <w:tcBorders>
              <w:top w:val="single" w:sz="12" w:space="0" w:color="auto"/>
            </w:tcBorders>
            <w:vAlign w:val="center"/>
            <w:hideMark/>
          </w:tcPr>
          <w:p w14:paraId="0E92ED53"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区别较大的主要技术</w:t>
            </w:r>
            <w:r>
              <w:rPr>
                <w:rFonts w:ascii="宋体" w:eastAsia="宋体" w:hAnsi="宋体" w:cs="宋体" w:hint="eastAsia"/>
                <w:kern w:val="0"/>
                <w:sz w:val="18"/>
                <w:szCs w:val="18"/>
              </w:rPr>
              <w:t>指标</w:t>
            </w:r>
          </w:p>
        </w:tc>
      </w:tr>
      <w:tr w:rsidR="00FF6A81" w:rsidRPr="008E5D72" w14:paraId="45260323" w14:textId="77777777" w:rsidTr="00C5778A">
        <w:trPr>
          <w:trHeight w:val="285"/>
        </w:trPr>
        <w:tc>
          <w:tcPr>
            <w:tcW w:w="409" w:type="pct"/>
            <w:vMerge/>
            <w:vAlign w:val="center"/>
            <w:hideMark/>
          </w:tcPr>
          <w:p w14:paraId="6CA83454"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0BEC73FA"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Merge w:val="restart"/>
            <w:vAlign w:val="center"/>
            <w:hideMark/>
          </w:tcPr>
          <w:p w14:paraId="092A023C" w14:textId="77777777" w:rsidR="00FF6A81" w:rsidRPr="008E5D72" w:rsidRDefault="00FF6A81" w:rsidP="00C5778A">
            <w:pPr>
              <w:widowControl/>
              <w:jc w:val="center"/>
              <w:rPr>
                <w:rFonts w:ascii="Times New Roman" w:eastAsia="宋体" w:hAnsi="Times New Roman" w:cs="Times New Roman"/>
                <w:kern w:val="0"/>
                <w:sz w:val="18"/>
                <w:szCs w:val="18"/>
              </w:rPr>
            </w:pPr>
          </w:p>
        </w:tc>
        <w:tc>
          <w:tcPr>
            <w:tcW w:w="1164" w:type="pct"/>
            <w:vAlign w:val="center"/>
            <w:hideMark/>
          </w:tcPr>
          <w:p w14:paraId="2BA4650E"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新标准</w:t>
            </w:r>
          </w:p>
        </w:tc>
        <w:tc>
          <w:tcPr>
            <w:tcW w:w="1231" w:type="pct"/>
            <w:vAlign w:val="center"/>
            <w:hideMark/>
          </w:tcPr>
          <w:p w14:paraId="5CC598D6"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原标准</w:t>
            </w:r>
          </w:p>
        </w:tc>
        <w:tc>
          <w:tcPr>
            <w:tcW w:w="1187" w:type="pct"/>
            <w:vMerge w:val="restart"/>
            <w:vAlign w:val="center"/>
            <w:hideMark/>
          </w:tcPr>
          <w:p w14:paraId="23851FE9"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与GB/T 26048-2010对比</w:t>
            </w:r>
          </w:p>
        </w:tc>
      </w:tr>
      <w:tr w:rsidR="00FF6A81" w:rsidRPr="008E5D72" w14:paraId="5AD0E11D" w14:textId="77777777" w:rsidTr="00C5778A">
        <w:trPr>
          <w:trHeight w:val="285"/>
        </w:trPr>
        <w:tc>
          <w:tcPr>
            <w:tcW w:w="409" w:type="pct"/>
            <w:vMerge/>
            <w:vAlign w:val="center"/>
            <w:hideMark/>
          </w:tcPr>
          <w:p w14:paraId="5E533938"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39C6FB93"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Merge/>
            <w:vAlign w:val="center"/>
            <w:hideMark/>
          </w:tcPr>
          <w:p w14:paraId="21AE1544" w14:textId="77777777" w:rsidR="00FF6A81" w:rsidRPr="008E5D72" w:rsidRDefault="00FF6A81" w:rsidP="00C5778A">
            <w:pPr>
              <w:widowControl/>
              <w:jc w:val="left"/>
              <w:rPr>
                <w:rFonts w:ascii="Times New Roman" w:eastAsia="宋体" w:hAnsi="Times New Roman" w:cs="Times New Roman"/>
                <w:kern w:val="0"/>
                <w:sz w:val="18"/>
                <w:szCs w:val="18"/>
              </w:rPr>
            </w:pPr>
          </w:p>
        </w:tc>
        <w:tc>
          <w:tcPr>
            <w:tcW w:w="1164" w:type="pct"/>
            <w:vAlign w:val="center"/>
            <w:hideMark/>
          </w:tcPr>
          <w:p w14:paraId="2E728388"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GB/T 26048-××××</w:t>
            </w:r>
          </w:p>
        </w:tc>
        <w:tc>
          <w:tcPr>
            <w:tcW w:w="1231" w:type="pct"/>
            <w:vAlign w:val="center"/>
            <w:hideMark/>
          </w:tcPr>
          <w:p w14:paraId="7A2CCA3A"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GB/T 26048-2010</w:t>
            </w:r>
          </w:p>
        </w:tc>
        <w:tc>
          <w:tcPr>
            <w:tcW w:w="1187" w:type="pct"/>
            <w:vMerge/>
            <w:vAlign w:val="center"/>
            <w:hideMark/>
          </w:tcPr>
          <w:p w14:paraId="2356FA66" w14:textId="77777777" w:rsidR="00FF6A81" w:rsidRPr="008E5D72" w:rsidRDefault="00FF6A81" w:rsidP="00C5778A">
            <w:pPr>
              <w:widowControl/>
              <w:jc w:val="left"/>
              <w:rPr>
                <w:rFonts w:ascii="宋体" w:eastAsia="宋体" w:hAnsi="宋体" w:cs="宋体" w:hint="eastAsia"/>
                <w:kern w:val="0"/>
                <w:sz w:val="18"/>
                <w:szCs w:val="18"/>
              </w:rPr>
            </w:pPr>
          </w:p>
        </w:tc>
      </w:tr>
      <w:tr w:rsidR="00FF6A81" w:rsidRPr="008E5D72" w14:paraId="7FFC9B7D" w14:textId="77777777" w:rsidTr="00C5778A">
        <w:trPr>
          <w:trHeight w:val="1575"/>
        </w:trPr>
        <w:tc>
          <w:tcPr>
            <w:tcW w:w="409" w:type="pct"/>
            <w:vMerge/>
            <w:vAlign w:val="center"/>
            <w:hideMark/>
          </w:tcPr>
          <w:p w14:paraId="1A58E902"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5FEFB28A"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09A1368C"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合金牌号</w:t>
            </w:r>
          </w:p>
        </w:tc>
        <w:tc>
          <w:tcPr>
            <w:tcW w:w="1164" w:type="pct"/>
            <w:vAlign w:val="center"/>
            <w:hideMark/>
          </w:tcPr>
          <w:p w14:paraId="08B6473E" w14:textId="77777777" w:rsidR="00FF6A81" w:rsidRPr="008E5D72" w:rsidRDefault="00FF6A81" w:rsidP="00C5778A">
            <w:pPr>
              <w:widowControl/>
              <w:jc w:val="center"/>
              <w:rPr>
                <w:rFonts w:ascii="宋体" w:eastAsia="宋体" w:hAnsi="宋体" w:cs="宋体" w:hint="eastAsia"/>
                <w:kern w:val="0"/>
                <w:sz w:val="18"/>
                <w:szCs w:val="18"/>
              </w:rPr>
            </w:pPr>
            <w:bookmarkStart w:id="21" w:name="RANGE!E9"/>
            <w:r w:rsidRPr="008E5D72">
              <w:rPr>
                <w:rFonts w:ascii="宋体" w:eastAsia="宋体" w:hAnsi="宋体" w:cs="宋体"/>
                <w:kern w:val="0"/>
                <w:sz w:val="18"/>
                <w:szCs w:val="18"/>
              </w:rPr>
              <w:t>TTe0.3、TTe0.5、TTe0.5-0.02、TPb1、HPb63-3、HPb62-3、HPb60-2、HPb59-1、HPb59.2.8、HPb59-3、HPb58-3、HPb57-2.8、HBi58-1.5、HBi60-1.3、HBi60-1-0.05、HBi62-1.4-1、HBi59-1、HBi59-1.5、HBi59-2、QSn4.6-1-0.2、QSn4-4-4、HSb61-0.8-0.5、HSb60-0.9、HSi75-3、HSi61-0.6、BZn12-24-1.1、BZn12-37-1.5、BZn12-38-2、TNi1-0.6-0.25、TNi1-1-0.25共30个牌号</w:t>
            </w:r>
            <w:bookmarkEnd w:id="21"/>
          </w:p>
        </w:tc>
        <w:tc>
          <w:tcPr>
            <w:tcW w:w="1231" w:type="pct"/>
            <w:vAlign w:val="center"/>
            <w:hideMark/>
          </w:tcPr>
          <w:p w14:paraId="53D7D9B5"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HPb59-1、HPb59-3、HPb60-2、HPb62-3、HPb63-3、HSb60-0.9、HSb61-0.8-0.5、HBi60-1.3、HSi61-0.6、QTe0.5-0.02、QPb1、QSn4-4-4、QTe0.5共13个牌号</w:t>
            </w:r>
          </w:p>
        </w:tc>
        <w:tc>
          <w:tcPr>
            <w:tcW w:w="1187" w:type="pct"/>
            <w:noWrap/>
            <w:vAlign w:val="center"/>
            <w:hideMark/>
          </w:tcPr>
          <w:p w14:paraId="1AC7D9D6"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优于，牌号更多</w:t>
            </w:r>
          </w:p>
        </w:tc>
      </w:tr>
      <w:tr w:rsidR="00FF6A81" w:rsidRPr="008E5D72" w14:paraId="25B0DA9A" w14:textId="77777777" w:rsidTr="00C5778A">
        <w:trPr>
          <w:trHeight w:val="450"/>
        </w:trPr>
        <w:tc>
          <w:tcPr>
            <w:tcW w:w="409" w:type="pct"/>
            <w:vMerge/>
            <w:vAlign w:val="center"/>
            <w:hideMark/>
          </w:tcPr>
          <w:p w14:paraId="18E605D2"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4B7A030F"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22D43204"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状态</w:t>
            </w:r>
          </w:p>
        </w:tc>
        <w:tc>
          <w:tcPr>
            <w:tcW w:w="1164" w:type="pct"/>
            <w:vAlign w:val="center"/>
            <w:hideMark/>
          </w:tcPr>
          <w:p w14:paraId="418F7595"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1/2硬（H02）、硬（H04）、沉淀热处理或亚稳分解热处理+冷加工（1/2硬）（TL02）</w:t>
            </w:r>
          </w:p>
        </w:tc>
        <w:tc>
          <w:tcPr>
            <w:tcW w:w="1231" w:type="pct"/>
            <w:vAlign w:val="center"/>
            <w:hideMark/>
          </w:tcPr>
          <w:p w14:paraId="379E9C76"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半硬（Y</w:t>
            </w:r>
            <w:r w:rsidRPr="008E5D72">
              <w:rPr>
                <w:rFonts w:ascii="Times New Roman" w:eastAsia="宋体" w:hAnsi="Times New Roman" w:cs="Times New Roman"/>
                <w:kern w:val="0"/>
                <w:sz w:val="18"/>
                <w:szCs w:val="18"/>
                <w:vertAlign w:val="subscript"/>
              </w:rPr>
              <w:t>2</w:t>
            </w:r>
            <w:r w:rsidRPr="008E5D72">
              <w:rPr>
                <w:rFonts w:ascii="宋体" w:eastAsia="宋体" w:hAnsi="宋体" w:cs="宋体"/>
                <w:kern w:val="0"/>
                <w:sz w:val="18"/>
                <w:szCs w:val="18"/>
              </w:rPr>
              <w:t>）、硬（Y）</w:t>
            </w:r>
          </w:p>
        </w:tc>
        <w:tc>
          <w:tcPr>
            <w:tcW w:w="1187" w:type="pct"/>
            <w:vAlign w:val="center"/>
            <w:hideMark/>
          </w:tcPr>
          <w:p w14:paraId="5AE531B5"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优于</w:t>
            </w:r>
          </w:p>
        </w:tc>
      </w:tr>
      <w:tr w:rsidR="00FF6A81" w:rsidRPr="008E5D72" w14:paraId="489F8E20" w14:textId="77777777" w:rsidTr="00C5778A">
        <w:trPr>
          <w:trHeight w:val="450"/>
        </w:trPr>
        <w:tc>
          <w:tcPr>
            <w:tcW w:w="409" w:type="pct"/>
            <w:vMerge/>
            <w:vAlign w:val="center"/>
            <w:hideMark/>
          </w:tcPr>
          <w:p w14:paraId="0CBF045D"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17172307"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6DA782B4"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外形尺寸及其</w:t>
            </w:r>
            <w:r w:rsidRPr="008E5D72">
              <w:rPr>
                <w:rFonts w:ascii="宋体" w:eastAsia="宋体" w:hAnsi="宋体" w:cs="宋体"/>
                <w:color w:val="000000"/>
                <w:kern w:val="0"/>
                <w:sz w:val="18"/>
                <w:szCs w:val="18"/>
              </w:rPr>
              <w:lastRenderedPageBreak/>
              <w:t>允许偏差</w:t>
            </w:r>
          </w:p>
        </w:tc>
        <w:tc>
          <w:tcPr>
            <w:tcW w:w="1164" w:type="pct"/>
            <w:vAlign w:val="center"/>
            <w:hideMark/>
          </w:tcPr>
          <w:p w14:paraId="4E4E3850"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lastRenderedPageBreak/>
              <w:t>详见正文</w:t>
            </w:r>
          </w:p>
        </w:tc>
        <w:tc>
          <w:tcPr>
            <w:tcW w:w="1231" w:type="pct"/>
            <w:vAlign w:val="center"/>
            <w:hideMark/>
          </w:tcPr>
          <w:p w14:paraId="29D337E5"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详见GB/T 26048-2010</w:t>
            </w:r>
          </w:p>
        </w:tc>
        <w:tc>
          <w:tcPr>
            <w:tcW w:w="1187" w:type="pct"/>
            <w:noWrap/>
            <w:vAlign w:val="center"/>
            <w:hideMark/>
          </w:tcPr>
          <w:p w14:paraId="27141613"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相当</w:t>
            </w:r>
          </w:p>
        </w:tc>
      </w:tr>
      <w:tr w:rsidR="00FF6A81" w:rsidRPr="008E5D72" w14:paraId="6D4A3C84" w14:textId="77777777" w:rsidTr="00C5778A">
        <w:trPr>
          <w:trHeight w:val="285"/>
        </w:trPr>
        <w:tc>
          <w:tcPr>
            <w:tcW w:w="409" w:type="pct"/>
            <w:vMerge/>
            <w:vAlign w:val="center"/>
            <w:hideMark/>
          </w:tcPr>
          <w:p w14:paraId="2C1C3672"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51617E91"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244161A3"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力学性能</w:t>
            </w:r>
          </w:p>
        </w:tc>
        <w:tc>
          <w:tcPr>
            <w:tcW w:w="1164" w:type="pct"/>
            <w:vAlign w:val="center"/>
            <w:hideMark/>
          </w:tcPr>
          <w:p w14:paraId="7B4B5F56"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详见正文</w:t>
            </w:r>
          </w:p>
        </w:tc>
        <w:tc>
          <w:tcPr>
            <w:tcW w:w="1231" w:type="pct"/>
            <w:vAlign w:val="center"/>
            <w:hideMark/>
          </w:tcPr>
          <w:p w14:paraId="15955E21"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详见GB/T 26048-2010</w:t>
            </w:r>
          </w:p>
        </w:tc>
        <w:tc>
          <w:tcPr>
            <w:tcW w:w="1187" w:type="pct"/>
            <w:noWrap/>
            <w:vAlign w:val="center"/>
            <w:hideMark/>
          </w:tcPr>
          <w:p w14:paraId="1E48E372"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优于</w:t>
            </w:r>
          </w:p>
        </w:tc>
      </w:tr>
      <w:tr w:rsidR="00FF6A81" w:rsidRPr="008E5D72" w14:paraId="4763A47A" w14:textId="77777777" w:rsidTr="00C5778A">
        <w:trPr>
          <w:trHeight w:val="285"/>
        </w:trPr>
        <w:tc>
          <w:tcPr>
            <w:tcW w:w="409" w:type="pct"/>
            <w:vMerge/>
            <w:vAlign w:val="center"/>
            <w:hideMark/>
          </w:tcPr>
          <w:p w14:paraId="54008552"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33076DE3"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3F0F61CD"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电性能</w:t>
            </w:r>
          </w:p>
        </w:tc>
        <w:tc>
          <w:tcPr>
            <w:tcW w:w="1164" w:type="pct"/>
            <w:vAlign w:val="center"/>
            <w:hideMark/>
          </w:tcPr>
          <w:p w14:paraId="4C27C220"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新增TTe0.3、TNi1-0.6-0.25、TNi1-1-0.25的电性能</w:t>
            </w:r>
          </w:p>
        </w:tc>
        <w:tc>
          <w:tcPr>
            <w:tcW w:w="1231" w:type="pct"/>
            <w:vAlign w:val="center"/>
            <w:hideMark/>
          </w:tcPr>
          <w:p w14:paraId="2C4F187F"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详见GB/T 26048-2010</w:t>
            </w:r>
          </w:p>
        </w:tc>
        <w:tc>
          <w:tcPr>
            <w:tcW w:w="1187" w:type="pct"/>
            <w:noWrap/>
            <w:vAlign w:val="center"/>
            <w:hideMark/>
          </w:tcPr>
          <w:p w14:paraId="716B95ED"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优于</w:t>
            </w:r>
          </w:p>
        </w:tc>
      </w:tr>
      <w:tr w:rsidR="00FF6A81" w:rsidRPr="008E5D72" w14:paraId="36F311B8" w14:textId="77777777" w:rsidTr="00C5778A">
        <w:trPr>
          <w:trHeight w:val="285"/>
        </w:trPr>
        <w:tc>
          <w:tcPr>
            <w:tcW w:w="409" w:type="pct"/>
            <w:vMerge/>
            <w:vAlign w:val="center"/>
            <w:hideMark/>
          </w:tcPr>
          <w:p w14:paraId="54A9AE11"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0C87A289"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4A732BE0"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残余应力</w:t>
            </w:r>
          </w:p>
        </w:tc>
        <w:tc>
          <w:tcPr>
            <w:tcW w:w="1164" w:type="pct"/>
            <w:vAlign w:val="center"/>
            <w:hideMark/>
          </w:tcPr>
          <w:p w14:paraId="3F66FC81"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不允许有影响使用的残余应力</w:t>
            </w:r>
          </w:p>
        </w:tc>
        <w:tc>
          <w:tcPr>
            <w:tcW w:w="1231" w:type="pct"/>
            <w:vAlign w:val="center"/>
            <w:hideMark/>
          </w:tcPr>
          <w:p w14:paraId="6CF1A951"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对黄铜线材应进行消除应力处理</w:t>
            </w:r>
          </w:p>
        </w:tc>
        <w:tc>
          <w:tcPr>
            <w:tcW w:w="1187" w:type="pct"/>
            <w:noWrap/>
            <w:vAlign w:val="center"/>
            <w:hideMark/>
          </w:tcPr>
          <w:p w14:paraId="0DF97B12"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优于</w:t>
            </w:r>
          </w:p>
        </w:tc>
      </w:tr>
      <w:tr w:rsidR="00FF6A81" w:rsidRPr="008E5D72" w14:paraId="3112DCD6" w14:textId="77777777" w:rsidTr="00C5778A">
        <w:trPr>
          <w:trHeight w:val="450"/>
        </w:trPr>
        <w:tc>
          <w:tcPr>
            <w:tcW w:w="409" w:type="pct"/>
            <w:vMerge/>
            <w:vAlign w:val="center"/>
            <w:hideMark/>
          </w:tcPr>
          <w:p w14:paraId="25FB91D1"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3F15CDD3"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4285FBC2"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耐脱锌腐蚀性能</w:t>
            </w:r>
          </w:p>
        </w:tc>
        <w:tc>
          <w:tcPr>
            <w:tcW w:w="1164" w:type="pct"/>
            <w:vAlign w:val="center"/>
            <w:hideMark/>
          </w:tcPr>
          <w:p w14:paraId="29180EBB"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HSb60-0.9、HSb61-0.8-0.5、HSi61-0.6需测试</w:t>
            </w:r>
          </w:p>
        </w:tc>
        <w:tc>
          <w:tcPr>
            <w:tcW w:w="1231" w:type="pct"/>
            <w:vAlign w:val="center"/>
            <w:hideMark/>
          </w:tcPr>
          <w:p w14:paraId="1AF9D9D4"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HSb60-0.9、HSb61-0.8-0.5、HBi60-1. 3、HSi61-0.6需测试</w:t>
            </w:r>
          </w:p>
        </w:tc>
        <w:tc>
          <w:tcPr>
            <w:tcW w:w="1187" w:type="pct"/>
            <w:noWrap/>
            <w:vAlign w:val="center"/>
            <w:hideMark/>
          </w:tcPr>
          <w:p w14:paraId="7E264ED6" w14:textId="77777777" w:rsidR="00FF6A81"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测试牌号少于原标准，</w:t>
            </w:r>
          </w:p>
          <w:p w14:paraId="1EAB6A1F"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但更合理</w:t>
            </w:r>
          </w:p>
        </w:tc>
      </w:tr>
      <w:tr w:rsidR="00FF6A81" w:rsidRPr="008E5D72" w14:paraId="0B391B80" w14:textId="77777777" w:rsidTr="00C5778A">
        <w:trPr>
          <w:trHeight w:val="285"/>
        </w:trPr>
        <w:tc>
          <w:tcPr>
            <w:tcW w:w="409" w:type="pct"/>
            <w:vMerge/>
            <w:vAlign w:val="center"/>
            <w:hideMark/>
          </w:tcPr>
          <w:p w14:paraId="3BAED2B6"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3CD66935"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088EEEF9"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内部质量</w:t>
            </w:r>
          </w:p>
        </w:tc>
        <w:tc>
          <w:tcPr>
            <w:tcW w:w="1164" w:type="pct"/>
            <w:vAlign w:val="center"/>
            <w:hideMark/>
          </w:tcPr>
          <w:p w14:paraId="6E727C54"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详见正文</w:t>
            </w:r>
          </w:p>
        </w:tc>
        <w:tc>
          <w:tcPr>
            <w:tcW w:w="1231" w:type="pct"/>
            <w:vAlign w:val="center"/>
            <w:hideMark/>
          </w:tcPr>
          <w:p w14:paraId="3918935C"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详见GB/T 26048-2010</w:t>
            </w:r>
          </w:p>
        </w:tc>
        <w:tc>
          <w:tcPr>
            <w:tcW w:w="1187" w:type="pct"/>
            <w:noWrap/>
            <w:vAlign w:val="center"/>
            <w:hideMark/>
          </w:tcPr>
          <w:p w14:paraId="7ED9F92C"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相当</w:t>
            </w:r>
          </w:p>
        </w:tc>
      </w:tr>
      <w:tr w:rsidR="00FF6A81" w:rsidRPr="008E5D72" w14:paraId="1F8E76D7" w14:textId="77777777" w:rsidTr="00C5778A">
        <w:trPr>
          <w:trHeight w:val="675"/>
        </w:trPr>
        <w:tc>
          <w:tcPr>
            <w:tcW w:w="409" w:type="pct"/>
            <w:vMerge/>
            <w:vAlign w:val="center"/>
            <w:hideMark/>
          </w:tcPr>
          <w:p w14:paraId="28E0C38F"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51BB186B"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11A4A80D"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切削性</w:t>
            </w:r>
          </w:p>
        </w:tc>
        <w:tc>
          <w:tcPr>
            <w:tcW w:w="1164" w:type="pct"/>
            <w:vAlign w:val="center"/>
          </w:tcPr>
          <w:p w14:paraId="74CFB2C4"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有</w:t>
            </w:r>
          </w:p>
        </w:tc>
        <w:tc>
          <w:tcPr>
            <w:tcW w:w="1231" w:type="pct"/>
            <w:vAlign w:val="center"/>
          </w:tcPr>
          <w:p w14:paraId="5F0A044F"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有</w:t>
            </w:r>
          </w:p>
        </w:tc>
        <w:tc>
          <w:tcPr>
            <w:tcW w:w="1187" w:type="pct"/>
            <w:noWrap/>
            <w:vAlign w:val="center"/>
            <w:hideMark/>
          </w:tcPr>
          <w:p w14:paraId="1E543553" w14:textId="77777777" w:rsidR="00FF6A81" w:rsidRPr="008E5D72" w:rsidRDefault="00FF6A81" w:rsidP="00C5778A">
            <w:pPr>
              <w:widowControl/>
              <w:jc w:val="center"/>
              <w:rPr>
                <w:rFonts w:ascii="宋体" w:eastAsia="宋体" w:hAnsi="宋体" w:cs="宋体" w:hint="eastAsia"/>
                <w:kern w:val="0"/>
                <w:sz w:val="18"/>
                <w:szCs w:val="18"/>
              </w:rPr>
            </w:pPr>
            <w:r>
              <w:rPr>
                <w:rFonts w:ascii="宋体" w:eastAsia="宋体" w:hAnsi="宋体" w:cs="宋体" w:hint="eastAsia"/>
                <w:kern w:val="0"/>
                <w:sz w:val="18"/>
                <w:szCs w:val="18"/>
              </w:rPr>
              <w:t>相当</w:t>
            </w:r>
          </w:p>
        </w:tc>
      </w:tr>
      <w:tr w:rsidR="00FF6A81" w:rsidRPr="008E5D72" w14:paraId="3B1021CC" w14:textId="77777777" w:rsidTr="00C5778A">
        <w:trPr>
          <w:trHeight w:val="285"/>
        </w:trPr>
        <w:tc>
          <w:tcPr>
            <w:tcW w:w="409" w:type="pct"/>
            <w:vMerge/>
            <w:vAlign w:val="center"/>
            <w:hideMark/>
          </w:tcPr>
          <w:p w14:paraId="3771C6BC"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22E1EFB8"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50B61C04"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表面质量</w:t>
            </w:r>
          </w:p>
        </w:tc>
        <w:tc>
          <w:tcPr>
            <w:tcW w:w="1164" w:type="pct"/>
            <w:noWrap/>
            <w:vAlign w:val="center"/>
            <w:hideMark/>
          </w:tcPr>
          <w:p w14:paraId="755DABCD" w14:textId="77777777" w:rsidR="00FF6A81" w:rsidRPr="00D853A7" w:rsidRDefault="00FF6A81" w:rsidP="00C5778A">
            <w:pPr>
              <w:widowControl/>
              <w:jc w:val="center"/>
              <w:rPr>
                <w:rFonts w:ascii="宋体" w:eastAsia="宋体" w:hAnsi="宋体" w:cs="宋体" w:hint="eastAsia"/>
                <w:kern w:val="0"/>
                <w:sz w:val="18"/>
                <w:szCs w:val="18"/>
              </w:rPr>
            </w:pPr>
            <w:r w:rsidRPr="00D853A7">
              <w:rPr>
                <w:rFonts w:ascii="宋体" w:eastAsia="宋体" w:hAnsi="宋体" w:cs="宋体"/>
                <w:kern w:val="0"/>
                <w:sz w:val="18"/>
                <w:szCs w:val="18"/>
              </w:rPr>
              <w:t>有</w:t>
            </w:r>
          </w:p>
        </w:tc>
        <w:tc>
          <w:tcPr>
            <w:tcW w:w="1231" w:type="pct"/>
            <w:noWrap/>
            <w:vAlign w:val="center"/>
            <w:hideMark/>
          </w:tcPr>
          <w:p w14:paraId="2594DC53" w14:textId="77777777" w:rsidR="00FF6A81" w:rsidRPr="00D853A7" w:rsidRDefault="00FF6A81" w:rsidP="00C5778A">
            <w:pPr>
              <w:widowControl/>
              <w:jc w:val="center"/>
              <w:rPr>
                <w:rFonts w:ascii="宋体" w:eastAsia="宋体" w:hAnsi="宋体" w:cs="宋体" w:hint="eastAsia"/>
                <w:kern w:val="0"/>
                <w:sz w:val="18"/>
                <w:szCs w:val="18"/>
              </w:rPr>
            </w:pPr>
            <w:r w:rsidRPr="00D853A7">
              <w:rPr>
                <w:rFonts w:ascii="宋体" w:eastAsia="宋体" w:hAnsi="宋体" w:cs="宋体"/>
                <w:kern w:val="0"/>
                <w:sz w:val="18"/>
                <w:szCs w:val="18"/>
              </w:rPr>
              <w:t>有</w:t>
            </w:r>
          </w:p>
        </w:tc>
        <w:tc>
          <w:tcPr>
            <w:tcW w:w="1187" w:type="pct"/>
            <w:noWrap/>
            <w:vAlign w:val="center"/>
            <w:hideMark/>
          </w:tcPr>
          <w:p w14:paraId="5AD51193"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相当</w:t>
            </w:r>
          </w:p>
        </w:tc>
      </w:tr>
      <w:tr w:rsidR="00FF6A81" w:rsidRPr="008E5D72" w14:paraId="47E37629" w14:textId="77777777" w:rsidTr="00C5778A">
        <w:trPr>
          <w:trHeight w:val="465"/>
        </w:trPr>
        <w:tc>
          <w:tcPr>
            <w:tcW w:w="409" w:type="pct"/>
            <w:vMerge/>
            <w:vAlign w:val="center"/>
            <w:hideMark/>
          </w:tcPr>
          <w:p w14:paraId="74ED7070" w14:textId="77777777" w:rsidR="00FF6A81" w:rsidRPr="008E5D72" w:rsidRDefault="00FF6A81" w:rsidP="00C5778A">
            <w:pPr>
              <w:widowControl/>
              <w:jc w:val="left"/>
              <w:rPr>
                <w:rFonts w:ascii="宋体" w:eastAsia="宋体" w:hAnsi="宋体" w:cs="宋体" w:hint="eastAsia"/>
                <w:kern w:val="0"/>
                <w:sz w:val="18"/>
                <w:szCs w:val="18"/>
              </w:rPr>
            </w:pPr>
          </w:p>
        </w:tc>
        <w:tc>
          <w:tcPr>
            <w:tcW w:w="501" w:type="pct"/>
            <w:vMerge/>
            <w:vAlign w:val="center"/>
            <w:hideMark/>
          </w:tcPr>
          <w:p w14:paraId="53FF7704" w14:textId="77777777" w:rsidR="00FF6A81" w:rsidRPr="008E5D72" w:rsidRDefault="00FF6A81" w:rsidP="00C5778A">
            <w:pPr>
              <w:widowControl/>
              <w:jc w:val="left"/>
              <w:rPr>
                <w:rFonts w:ascii="宋体" w:eastAsia="宋体" w:hAnsi="宋体" w:cs="宋体" w:hint="eastAsia"/>
                <w:kern w:val="0"/>
                <w:sz w:val="18"/>
                <w:szCs w:val="18"/>
              </w:rPr>
            </w:pPr>
          </w:p>
        </w:tc>
        <w:tc>
          <w:tcPr>
            <w:tcW w:w="509" w:type="pct"/>
            <w:vAlign w:val="center"/>
            <w:hideMark/>
          </w:tcPr>
          <w:p w14:paraId="0A85B7E3" w14:textId="77777777" w:rsidR="00FF6A81" w:rsidRPr="008E5D72" w:rsidRDefault="00FF6A81" w:rsidP="00C5778A">
            <w:pPr>
              <w:widowControl/>
              <w:jc w:val="center"/>
              <w:rPr>
                <w:rFonts w:ascii="宋体" w:eastAsia="宋体" w:hAnsi="宋体" w:cs="宋体" w:hint="eastAsia"/>
                <w:color w:val="000000"/>
                <w:kern w:val="0"/>
                <w:sz w:val="18"/>
                <w:szCs w:val="18"/>
              </w:rPr>
            </w:pPr>
            <w:r w:rsidRPr="008E5D72">
              <w:rPr>
                <w:rFonts w:ascii="宋体" w:eastAsia="宋体" w:hAnsi="宋体" w:cs="宋体"/>
                <w:color w:val="000000"/>
                <w:kern w:val="0"/>
                <w:sz w:val="18"/>
                <w:szCs w:val="18"/>
              </w:rPr>
              <w:t>卷（轴）重量</w:t>
            </w:r>
          </w:p>
        </w:tc>
        <w:tc>
          <w:tcPr>
            <w:tcW w:w="1164" w:type="pct"/>
            <w:vAlign w:val="center"/>
            <w:hideMark/>
          </w:tcPr>
          <w:p w14:paraId="46EC345D"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详见正文</w:t>
            </w:r>
          </w:p>
        </w:tc>
        <w:tc>
          <w:tcPr>
            <w:tcW w:w="1231" w:type="pct"/>
            <w:vAlign w:val="center"/>
            <w:hideMark/>
          </w:tcPr>
          <w:p w14:paraId="6EA1B6C3"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详见GB/T 26048-2010</w:t>
            </w:r>
          </w:p>
        </w:tc>
        <w:tc>
          <w:tcPr>
            <w:tcW w:w="1187" w:type="pct"/>
            <w:noWrap/>
            <w:vAlign w:val="center"/>
            <w:hideMark/>
          </w:tcPr>
          <w:p w14:paraId="4CED5505" w14:textId="77777777" w:rsidR="00FF6A81" w:rsidRPr="008E5D72" w:rsidRDefault="00FF6A81" w:rsidP="00C5778A">
            <w:pPr>
              <w:widowControl/>
              <w:jc w:val="center"/>
              <w:rPr>
                <w:rFonts w:ascii="宋体" w:eastAsia="宋体" w:hAnsi="宋体" w:cs="宋体" w:hint="eastAsia"/>
                <w:kern w:val="0"/>
                <w:sz w:val="18"/>
                <w:szCs w:val="18"/>
              </w:rPr>
            </w:pPr>
            <w:r w:rsidRPr="008E5D72">
              <w:rPr>
                <w:rFonts w:ascii="宋体" w:eastAsia="宋体" w:hAnsi="宋体" w:cs="宋体"/>
                <w:kern w:val="0"/>
                <w:sz w:val="18"/>
                <w:szCs w:val="18"/>
              </w:rPr>
              <w:t>更优</w:t>
            </w:r>
          </w:p>
        </w:tc>
      </w:tr>
    </w:tbl>
    <w:p w14:paraId="0B3CAF99" w14:textId="77777777" w:rsidR="00FF6A81" w:rsidRPr="00FF6A81" w:rsidRDefault="00FF6A81" w:rsidP="00B35C1E">
      <w:pPr>
        <w:pStyle w:val="a0"/>
        <w:spacing w:after="0"/>
        <w:contextualSpacing/>
        <w:rPr>
          <w:rFonts w:ascii="黑体" w:eastAsia="黑体" w:hAnsi="宋体" w:cs="Arial" w:hint="eastAsia"/>
          <w:kern w:val="0"/>
          <w:szCs w:val="21"/>
        </w:rPr>
      </w:pPr>
    </w:p>
    <w:p w14:paraId="075EFE8C" w14:textId="77777777" w:rsidR="004426E6" w:rsidRDefault="00000000">
      <w:pPr>
        <w:pStyle w:val="af4"/>
        <w:numPr>
          <w:ilvl w:val="0"/>
          <w:numId w:val="2"/>
        </w:numPr>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试验验证分析、综述报告、技术经济论证、预期达到的经济效益、社会效益和生态效益</w:t>
      </w:r>
    </w:p>
    <w:p w14:paraId="178BE281" w14:textId="77777777" w:rsidR="004426E6" w:rsidRDefault="00000000">
      <w:pPr>
        <w:pStyle w:val="af4"/>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1、试验验证分析和综述报告</w:t>
      </w:r>
    </w:p>
    <w:p w14:paraId="522A9624" w14:textId="77777777" w:rsidR="004426E6" w:rsidRDefault="00000000">
      <w:pPr>
        <w:pStyle w:val="a0"/>
        <w:numPr>
          <w:ilvl w:val="0"/>
          <w:numId w:val="3"/>
        </w:numPr>
        <w:rPr>
          <w:rFonts w:ascii="黑体" w:eastAsia="黑体" w:hAnsi="宋体" w:cs="宋体" w:hint="eastAsia"/>
          <w:bCs/>
          <w:szCs w:val="21"/>
        </w:rPr>
      </w:pPr>
      <w:r>
        <w:rPr>
          <w:rFonts w:ascii="黑体" w:eastAsia="黑体" w:hAnsi="宋体" w:cs="宋体" w:hint="eastAsia"/>
          <w:bCs/>
          <w:szCs w:val="21"/>
        </w:rPr>
        <w:t>项目的必要性阐述</w:t>
      </w:r>
    </w:p>
    <w:p w14:paraId="7B127376" w14:textId="77777777" w:rsidR="004426E6" w:rsidRDefault="00000000">
      <w:pPr>
        <w:ind w:firstLineChars="200" w:firstLine="420"/>
      </w:pPr>
      <w:r>
        <w:rPr>
          <w:rFonts w:hint="eastAsia"/>
        </w:rPr>
        <w:t>《“十四五”原材料工业发展规划》中指出，提高产品质量，加强质量管理和过程管控；推进产业协同，加强上下游衔接联动。《易切削铜合金线材》标准自</w:t>
      </w:r>
      <w:r>
        <w:rPr>
          <w:rFonts w:hint="eastAsia"/>
        </w:rPr>
        <w:t>2</w:t>
      </w:r>
      <w:r>
        <w:t>010</w:t>
      </w:r>
      <w:r>
        <w:rPr>
          <w:rFonts w:hint="eastAsia"/>
        </w:rPr>
        <w:t>年实施以来，在电力、电子电讯、汽车交通、仪表、五金装饰等行业广泛应用，并与下游客户保持持续互动，不断提高产品质量的稳定性，可靠性和适用性，规范了易切削铜合金线材的选材、应用、检验和出货，减少了企业与下游客户的纠纷，消除了因标准不统一的贸易壁垒，对促进行业绿色可持续发展、迫使企业通过推动技术创新，支撑产业升级起到了重要的作用。</w:t>
      </w:r>
    </w:p>
    <w:p w14:paraId="0DE46643" w14:textId="77777777" w:rsidR="004426E6" w:rsidRDefault="00000000">
      <w:pPr>
        <w:ind w:firstLineChars="200" w:firstLine="420"/>
      </w:pPr>
      <w:r>
        <w:rPr>
          <w:rFonts w:hint="eastAsia"/>
        </w:rPr>
        <w:t>据统计，国内每年生产</w:t>
      </w:r>
      <w:r>
        <w:rPr>
          <w:rFonts w:hint="eastAsia"/>
        </w:rPr>
        <w:t>6</w:t>
      </w:r>
      <w:r>
        <w:t>0000</w:t>
      </w:r>
      <w:r>
        <w:rPr>
          <w:rFonts w:hint="eastAsia"/>
        </w:rPr>
        <w:t>吨左右的易切削铜合金线材产品，其中</w:t>
      </w:r>
      <w:r>
        <w:rPr>
          <w:rFonts w:hint="eastAsia"/>
        </w:rPr>
        <w:t>1</w:t>
      </w:r>
      <w:r>
        <w:t>5</w:t>
      </w:r>
      <w:r>
        <w:rPr>
          <w:rFonts w:hint="eastAsia"/>
        </w:rPr>
        <w:t>%</w:t>
      </w:r>
      <w:r>
        <w:rPr>
          <w:rFonts w:hint="eastAsia"/>
        </w:rPr>
        <w:t>左右出口欧美、日本、印度、马来西亚、印尼等国家。近些年，随着市场及未来产品的发展，以及下游客户自动化程度的提高，客户对易切削铜合金线材的牌号、性能、规格、精度等有了更严的要求市场对高强、高弹、环保、耐磨、耐腐蚀等性能的要求越来越高，原标准中的牌号及性能已无法覆盖目前的市场需求。</w:t>
      </w:r>
    </w:p>
    <w:p w14:paraId="0E33DD81" w14:textId="77777777" w:rsidR="004426E6" w:rsidRPr="00B83183" w:rsidRDefault="00000000">
      <w:pPr>
        <w:numPr>
          <w:ilvl w:val="0"/>
          <w:numId w:val="4"/>
        </w:numPr>
        <w:ind w:firstLine="422"/>
        <w:rPr>
          <w:rFonts w:ascii="Times New Roman" w:hAnsi="Times New Roman" w:cs="Times New Roman"/>
        </w:rPr>
      </w:pPr>
      <w:r w:rsidRPr="00B83183">
        <w:rPr>
          <w:rFonts w:ascii="Times New Roman" w:hAnsi="Times New Roman" w:cs="Times New Roman"/>
          <w:b/>
          <w:bCs/>
        </w:rPr>
        <w:t>打破高端应用技术封锁</w:t>
      </w:r>
    </w:p>
    <w:p w14:paraId="76C54413" w14:textId="77777777" w:rsidR="004426E6" w:rsidRPr="00B83183" w:rsidRDefault="00000000">
      <w:pPr>
        <w:numPr>
          <w:ilvl w:val="255"/>
          <w:numId w:val="0"/>
        </w:numPr>
        <w:ind w:firstLineChars="200" w:firstLine="420"/>
        <w:rPr>
          <w:rFonts w:ascii="Times New Roman" w:hAnsi="Times New Roman" w:cs="Times New Roman"/>
        </w:rPr>
      </w:pPr>
      <w:r w:rsidRPr="00B83183">
        <w:rPr>
          <w:rFonts w:ascii="Times New Roman" w:hAnsi="Times New Roman" w:cs="Times New Roman"/>
        </w:rPr>
        <w:t>C19160</w:t>
      </w:r>
      <w:r w:rsidRPr="00B83183">
        <w:rPr>
          <w:rFonts w:ascii="Times New Roman" w:hAnsi="Times New Roman" w:cs="Times New Roman"/>
        </w:rPr>
        <w:t>线材因其高强、高弹的特性在航天、重载等连接器上及导电弹簧领域上有所应用，打破了美国</w:t>
      </w:r>
      <w:r w:rsidRPr="00B83183">
        <w:rPr>
          <w:rFonts w:ascii="Times New Roman" w:hAnsi="Times New Roman" w:cs="Times New Roman"/>
        </w:rPr>
        <w:t>Materion</w:t>
      </w:r>
      <w:r w:rsidRPr="00B83183">
        <w:rPr>
          <w:rFonts w:ascii="Times New Roman" w:hAnsi="Times New Roman" w:cs="Times New Roman"/>
        </w:rPr>
        <w:t>、德国</w:t>
      </w:r>
      <w:r w:rsidRPr="00B83183">
        <w:rPr>
          <w:rFonts w:ascii="Times New Roman" w:hAnsi="Times New Roman" w:cs="Times New Roman"/>
        </w:rPr>
        <w:t>Wieland</w:t>
      </w:r>
      <w:r w:rsidRPr="00B83183">
        <w:rPr>
          <w:rFonts w:ascii="Times New Roman" w:hAnsi="Times New Roman" w:cs="Times New Roman"/>
        </w:rPr>
        <w:t>、瑞士金属、</w:t>
      </w:r>
      <w:r w:rsidRPr="00B83183">
        <w:rPr>
          <w:rFonts w:ascii="Times New Roman" w:hAnsi="Times New Roman" w:cs="Times New Roman"/>
        </w:rPr>
        <w:t>Lebronze</w:t>
      </w:r>
      <w:r w:rsidRPr="00B83183">
        <w:rPr>
          <w:rFonts w:ascii="Times New Roman" w:hAnsi="Times New Roman" w:cs="Times New Roman"/>
        </w:rPr>
        <w:t>等企业的垄断。与</w:t>
      </w:r>
      <w:r w:rsidRPr="00B83183">
        <w:rPr>
          <w:rFonts w:ascii="Times New Roman" w:hAnsi="Times New Roman" w:cs="Times New Roman"/>
        </w:rPr>
        <w:t>T53500</w:t>
      </w:r>
      <w:r w:rsidRPr="00B83183">
        <w:rPr>
          <w:rFonts w:ascii="Times New Roman" w:hAnsi="Times New Roman" w:cs="Times New Roman"/>
        </w:rPr>
        <w:t>同一系列的</w:t>
      </w:r>
      <w:r w:rsidRPr="00B83183">
        <w:rPr>
          <w:rFonts w:ascii="Times New Roman" w:hAnsi="Times New Roman" w:cs="Times New Roman"/>
        </w:rPr>
        <w:t>C53400</w:t>
      </w:r>
      <w:r w:rsidRPr="00B83183">
        <w:rPr>
          <w:rFonts w:ascii="Times New Roman" w:hAnsi="Times New Roman" w:cs="Times New Roman"/>
        </w:rPr>
        <w:t>经过近十年的市场验证，因其优异的弹性、耐磨、抗磁及耐腐蚀性能，广泛应用于精密仪器仪表、航空航天、汽车零部件等行业。此外，锌白铜</w:t>
      </w:r>
      <w:r w:rsidRPr="00B83183">
        <w:rPr>
          <w:rFonts w:ascii="Times New Roman" w:hAnsi="Times New Roman" w:cs="Times New Roman"/>
        </w:rPr>
        <w:t>C79860</w:t>
      </w:r>
      <w:r w:rsidRPr="00B83183">
        <w:rPr>
          <w:rFonts w:ascii="Times New Roman" w:hAnsi="Times New Roman" w:cs="Times New Roman"/>
        </w:rPr>
        <w:t>、</w:t>
      </w:r>
      <w:r w:rsidRPr="00B83183">
        <w:rPr>
          <w:rFonts w:ascii="Times New Roman" w:hAnsi="Times New Roman" w:cs="Times New Roman"/>
        </w:rPr>
        <w:t>T79870</w:t>
      </w:r>
      <w:r w:rsidRPr="00B83183">
        <w:rPr>
          <w:rFonts w:ascii="Times New Roman" w:hAnsi="Times New Roman" w:cs="Times New Roman"/>
        </w:rPr>
        <w:t>、</w:t>
      </w:r>
      <w:r w:rsidRPr="00B83183">
        <w:rPr>
          <w:rFonts w:ascii="Times New Roman" w:hAnsi="Times New Roman" w:cs="Times New Roman"/>
        </w:rPr>
        <w:t>C79200</w:t>
      </w:r>
      <w:r w:rsidRPr="00B83183">
        <w:rPr>
          <w:rFonts w:ascii="Times New Roman" w:hAnsi="Times New Roman" w:cs="Times New Roman"/>
        </w:rPr>
        <w:t>等牌号在制笔行业、汽车钥匙、乐器等领域广泛使用并得到了客户的认可并已出口。</w:t>
      </w:r>
    </w:p>
    <w:p w14:paraId="08D17F2C" w14:textId="77777777" w:rsidR="004426E6" w:rsidRPr="00B83183" w:rsidRDefault="00000000">
      <w:pPr>
        <w:numPr>
          <w:ilvl w:val="0"/>
          <w:numId w:val="4"/>
        </w:numPr>
        <w:ind w:firstLineChars="200" w:firstLine="422"/>
        <w:rPr>
          <w:rFonts w:ascii="Times New Roman" w:hAnsi="Times New Roman" w:cs="Times New Roman"/>
          <w:b/>
          <w:bCs/>
        </w:rPr>
      </w:pPr>
      <w:r w:rsidRPr="00B83183">
        <w:rPr>
          <w:rFonts w:ascii="Times New Roman" w:hAnsi="Times New Roman" w:cs="Times New Roman"/>
          <w:b/>
          <w:bCs/>
        </w:rPr>
        <w:lastRenderedPageBreak/>
        <w:t>加大环保铜材应用</w:t>
      </w:r>
    </w:p>
    <w:p w14:paraId="68086E9C" w14:textId="77777777" w:rsidR="004426E6" w:rsidRPr="00B83183" w:rsidRDefault="00000000">
      <w:pPr>
        <w:numPr>
          <w:ilvl w:val="255"/>
          <w:numId w:val="0"/>
        </w:numPr>
        <w:ind w:firstLineChars="200" w:firstLine="420"/>
        <w:rPr>
          <w:rFonts w:ascii="Times New Roman" w:hAnsi="Times New Roman" w:cs="Times New Roman"/>
        </w:rPr>
      </w:pPr>
      <w:r w:rsidRPr="00B83183">
        <w:rPr>
          <w:rFonts w:ascii="Times New Roman" w:hAnsi="Times New Roman" w:cs="Times New Roman"/>
        </w:rPr>
        <w:t>同时，随着欧盟</w:t>
      </w:r>
      <w:r w:rsidRPr="00B83183">
        <w:rPr>
          <w:rFonts w:ascii="Times New Roman" w:hAnsi="Times New Roman" w:cs="Times New Roman"/>
        </w:rPr>
        <w:t>RoHS</w:t>
      </w:r>
      <w:r w:rsidRPr="00B83183">
        <w:rPr>
          <w:rFonts w:ascii="Times New Roman" w:hAnsi="Times New Roman" w:cs="Times New Roman"/>
        </w:rPr>
        <w:t>指令的不断推进，</w:t>
      </w:r>
      <w:r w:rsidRPr="00B83183">
        <w:rPr>
          <w:rFonts w:ascii="Times New Roman" w:hAnsi="Times New Roman" w:cs="Times New Roman"/>
        </w:rPr>
        <w:t>T49210</w:t>
      </w:r>
      <w:r w:rsidRPr="00B83183">
        <w:rPr>
          <w:rFonts w:ascii="Times New Roman" w:hAnsi="Times New Roman" w:cs="Times New Roman"/>
        </w:rPr>
        <w:t>、</w:t>
      </w:r>
      <w:r w:rsidRPr="00B83183">
        <w:rPr>
          <w:rFonts w:ascii="Times New Roman" w:hAnsi="Times New Roman" w:cs="Times New Roman"/>
        </w:rPr>
        <w:t>C49260</w:t>
      </w:r>
      <w:r w:rsidRPr="00B83183">
        <w:rPr>
          <w:rFonts w:ascii="Times New Roman" w:hAnsi="Times New Roman" w:cs="Times New Roman"/>
        </w:rPr>
        <w:t>、</w:t>
      </w:r>
      <w:r w:rsidRPr="00B83183">
        <w:rPr>
          <w:rFonts w:ascii="Times New Roman" w:hAnsi="Times New Roman" w:cs="Times New Roman"/>
        </w:rPr>
        <w:t>C49340</w:t>
      </w:r>
      <w:r w:rsidRPr="00B83183">
        <w:rPr>
          <w:rFonts w:ascii="Times New Roman" w:hAnsi="Times New Roman" w:cs="Times New Roman"/>
        </w:rPr>
        <w:t>、</w:t>
      </w:r>
      <w:r w:rsidRPr="00B83183">
        <w:rPr>
          <w:rFonts w:ascii="Times New Roman" w:hAnsi="Times New Roman" w:cs="Times New Roman"/>
        </w:rPr>
        <w:t>T49360</w:t>
      </w:r>
      <w:r w:rsidRPr="00B83183">
        <w:rPr>
          <w:rFonts w:ascii="Times New Roman" w:hAnsi="Times New Roman" w:cs="Times New Roman"/>
        </w:rPr>
        <w:t>、</w:t>
      </w:r>
      <w:r w:rsidRPr="00B83183">
        <w:rPr>
          <w:rFonts w:ascii="Times New Roman" w:hAnsi="Times New Roman" w:cs="Times New Roman"/>
        </w:rPr>
        <w:t>T68320</w:t>
      </w:r>
      <w:r w:rsidRPr="00B83183">
        <w:rPr>
          <w:rFonts w:ascii="Times New Roman" w:hAnsi="Times New Roman" w:cs="Times New Roman"/>
        </w:rPr>
        <w:t>等无铅环保黄铜因其环保优势在消费电子、电子电器、汽车等领域替代了部分铅黄铜的市场。</w:t>
      </w:r>
    </w:p>
    <w:p w14:paraId="26883648" w14:textId="77777777" w:rsidR="004426E6" w:rsidRPr="00B83183" w:rsidRDefault="00000000">
      <w:pPr>
        <w:numPr>
          <w:ilvl w:val="0"/>
          <w:numId w:val="4"/>
        </w:numPr>
        <w:ind w:firstLineChars="200" w:firstLine="422"/>
        <w:rPr>
          <w:rFonts w:ascii="Times New Roman" w:hAnsi="Times New Roman" w:cs="Times New Roman"/>
          <w:b/>
          <w:bCs/>
        </w:rPr>
      </w:pPr>
      <w:r w:rsidRPr="00B83183">
        <w:rPr>
          <w:rFonts w:ascii="Times New Roman" w:hAnsi="Times New Roman" w:cs="Times New Roman"/>
          <w:b/>
          <w:bCs/>
        </w:rPr>
        <w:t>完善产品性能指标要求及检测</w:t>
      </w:r>
    </w:p>
    <w:p w14:paraId="5297394E" w14:textId="09DC0858" w:rsidR="004426E6" w:rsidRPr="00B83183" w:rsidRDefault="00000000">
      <w:pPr>
        <w:ind w:firstLineChars="200" w:firstLine="420"/>
        <w:rPr>
          <w:rFonts w:ascii="Times New Roman" w:hAnsi="Times New Roman" w:cs="Times New Roman"/>
        </w:rPr>
      </w:pPr>
      <w:r w:rsidRPr="00B83183">
        <w:rPr>
          <w:rFonts w:ascii="Times New Roman" w:hAnsi="Times New Roman" w:cs="Times New Roman"/>
        </w:rPr>
        <w:t>随着生产和检测能力的提升，已有大量的数据支撑以完善易切削铜合金线材的多项性能。例如下游客户装备的自动化程度的提高及产品品质的提高，对线材的</w:t>
      </w:r>
      <w:r w:rsidR="00B83183" w:rsidRPr="00B83183">
        <w:rPr>
          <w:rFonts w:ascii="Times New Roman" w:hAnsi="Times New Roman" w:cs="Times New Roman"/>
        </w:rPr>
        <w:t>各项指标</w:t>
      </w:r>
      <w:r w:rsidRPr="00B83183">
        <w:rPr>
          <w:rFonts w:ascii="Times New Roman" w:hAnsi="Times New Roman" w:cs="Times New Roman"/>
        </w:rPr>
        <w:t>及相应的检测方法有了更高的要求。</w:t>
      </w:r>
    </w:p>
    <w:p w14:paraId="03D7333E" w14:textId="14F91C62" w:rsidR="004426E6" w:rsidRPr="00B83183" w:rsidRDefault="00000000">
      <w:pPr>
        <w:ind w:firstLineChars="200" w:firstLine="420"/>
        <w:rPr>
          <w:rFonts w:ascii="Times New Roman" w:hAnsi="Times New Roman" w:cs="Times New Roman"/>
        </w:rPr>
      </w:pPr>
      <w:r w:rsidRPr="00B83183">
        <w:rPr>
          <w:rFonts w:ascii="Times New Roman" w:hAnsi="Times New Roman" w:cs="Times New Roman"/>
        </w:rPr>
        <w:t>《</w:t>
      </w:r>
      <w:r w:rsidR="00B83183">
        <w:rPr>
          <w:rFonts w:ascii="Times New Roman" w:hAnsi="Times New Roman" w:cs="Times New Roman" w:hint="eastAsia"/>
        </w:rPr>
        <w:t>“</w:t>
      </w:r>
      <w:r w:rsidRPr="00B83183">
        <w:rPr>
          <w:rFonts w:ascii="Times New Roman" w:hAnsi="Times New Roman" w:cs="Times New Roman"/>
        </w:rPr>
        <w:t>十四五</w:t>
      </w:r>
      <w:r w:rsidR="00B83183">
        <w:rPr>
          <w:rFonts w:ascii="Times New Roman" w:hAnsi="Times New Roman" w:cs="Times New Roman" w:hint="eastAsia"/>
        </w:rPr>
        <w:t>”</w:t>
      </w:r>
      <w:r w:rsidRPr="00B83183">
        <w:rPr>
          <w:rFonts w:ascii="Times New Roman" w:hAnsi="Times New Roman" w:cs="Times New Roman"/>
        </w:rPr>
        <w:t>推动高质量发展的国家标准体系建设规划》中指出，加快钢铁、有色金属、建材、化工等标准升级换代，优化材料标准制定与科技创新、产业发展协同机制，淘汰低端产品和落后产能，促进材料产业链供应链上下游标准稳定有效衔接。为保证该标准的先进性和适用性，特提出该标准的修订。该标准修订后，有利于满足国内外市场、客户对产品的更高要求，有利于行业的健康可持续发展。</w:t>
      </w:r>
    </w:p>
    <w:p w14:paraId="33419AC2" w14:textId="77777777" w:rsidR="004426E6" w:rsidRDefault="00000000">
      <w:pPr>
        <w:pStyle w:val="a0"/>
        <w:numPr>
          <w:ilvl w:val="0"/>
          <w:numId w:val="3"/>
        </w:numPr>
        <w:rPr>
          <w:rFonts w:ascii="黑体" w:eastAsia="黑体" w:hAnsi="宋体" w:cs="宋体" w:hint="eastAsia"/>
          <w:bCs/>
          <w:szCs w:val="21"/>
        </w:rPr>
      </w:pPr>
      <w:r>
        <w:rPr>
          <w:rFonts w:ascii="黑体" w:eastAsia="黑体" w:hAnsi="宋体" w:cs="宋体" w:hint="eastAsia"/>
          <w:bCs/>
          <w:szCs w:val="21"/>
        </w:rPr>
        <w:t>项目的可行性阐述</w:t>
      </w:r>
    </w:p>
    <w:p w14:paraId="1D2B7346" w14:textId="77777777" w:rsidR="004426E6" w:rsidRDefault="00000000">
      <w:pPr>
        <w:pStyle w:val="a0"/>
        <w:ind w:firstLineChars="200" w:firstLine="420"/>
        <w:rPr>
          <w:rFonts w:ascii="宋体" w:eastAsiaTheme="minorEastAsia" w:hAnsi="宋体" w:hint="eastAsia"/>
          <w:szCs w:val="21"/>
        </w:rPr>
      </w:pPr>
      <w:r>
        <w:rPr>
          <w:rFonts w:ascii="宋体" w:eastAsiaTheme="minorEastAsia" w:hAnsi="宋体" w:hint="eastAsia"/>
          <w:szCs w:val="21"/>
        </w:rPr>
        <w:t>——企业技术储备与技术水平、产业化情况、满足用户需求情况、市场规模；</w:t>
      </w:r>
    </w:p>
    <w:p w14:paraId="37509DEE" w14:textId="77777777" w:rsidR="004426E6" w:rsidRDefault="00000000">
      <w:pPr>
        <w:pStyle w:val="a0"/>
        <w:spacing w:after="0"/>
        <w:ind w:firstLine="420"/>
        <w:contextualSpacing/>
        <w:rPr>
          <w:rFonts w:ascii="Times New Roman" w:eastAsia="宋体" w:hAnsi="Times New Roman" w:cs="Times New Roman"/>
        </w:rPr>
      </w:pPr>
      <w:r>
        <w:rPr>
          <w:rFonts w:ascii="Times New Roman" w:eastAsia="宋体" w:hAnsi="Times New Roman" w:cs="Times New Roman"/>
        </w:rPr>
        <w:t>宁波博威合金</w:t>
      </w:r>
      <w:r>
        <w:rPr>
          <w:rFonts w:ascii="Times New Roman" w:eastAsia="宋体" w:hAnsi="Times New Roman" w:cs="Times New Roman" w:hint="eastAsia"/>
        </w:rPr>
        <w:t>材料股份</w:t>
      </w:r>
      <w:r>
        <w:rPr>
          <w:rFonts w:ascii="Times New Roman" w:eastAsia="宋体" w:hAnsi="Times New Roman" w:cs="Times New Roman"/>
        </w:rPr>
        <w:t>有限公司是我国高精度、高性能铜合金线材研发制造领域龙头企业，研发的系列高性能铜合金材料，成功应用于航空航天、</w:t>
      </w:r>
      <w:r>
        <w:rPr>
          <w:rFonts w:ascii="Times New Roman" w:eastAsia="宋体" w:hAnsi="Times New Roman" w:cs="Times New Roman"/>
        </w:rPr>
        <w:t>5G</w:t>
      </w:r>
      <w:r>
        <w:rPr>
          <w:rFonts w:ascii="Times New Roman" w:eastAsia="宋体" w:hAnsi="Times New Roman" w:cs="Times New Roman"/>
        </w:rPr>
        <w:t>通讯及新能源汽车等领域。先后承担国家重点研发计划和地方科技项目课题</w:t>
      </w:r>
      <w:r>
        <w:rPr>
          <w:rFonts w:ascii="Times New Roman" w:eastAsia="宋体" w:hAnsi="Times New Roman" w:cs="Times New Roman"/>
        </w:rPr>
        <w:t>10</w:t>
      </w:r>
      <w:r>
        <w:rPr>
          <w:rFonts w:ascii="Times New Roman" w:eastAsia="宋体" w:hAnsi="Times New Roman" w:cs="Times New Roman"/>
        </w:rPr>
        <w:t>余项，在国家</w:t>
      </w:r>
      <w:r>
        <w:rPr>
          <w:rFonts w:ascii="Times New Roman" w:eastAsia="宋体" w:hAnsi="Times New Roman" w:cs="Times New Roman" w:hint="eastAsia"/>
        </w:rPr>
        <w:t>“</w:t>
      </w:r>
      <w:r>
        <w:rPr>
          <w:rFonts w:ascii="Times New Roman" w:eastAsia="宋体" w:hAnsi="Times New Roman" w:cs="Times New Roman"/>
        </w:rPr>
        <w:t>十三五</w:t>
      </w:r>
      <w:r>
        <w:rPr>
          <w:rFonts w:ascii="Times New Roman" w:eastAsia="宋体" w:hAnsi="Times New Roman" w:cs="Times New Roman" w:hint="eastAsia"/>
        </w:rPr>
        <w:t>”</w:t>
      </w:r>
      <w:r>
        <w:rPr>
          <w:rFonts w:ascii="Times New Roman" w:eastAsia="宋体" w:hAnsi="Times New Roman" w:cs="Times New Roman"/>
        </w:rPr>
        <w:t>重点研发计划项目的资助下，研发了系列接插件用高性能铜合金板带材，获有色金属工业科学技术一等奖</w:t>
      </w:r>
      <w:r>
        <w:rPr>
          <w:rFonts w:ascii="Times New Roman" w:eastAsia="宋体" w:hAnsi="Times New Roman" w:cs="Times New Roman"/>
        </w:rPr>
        <w:t>1</w:t>
      </w:r>
      <w:r>
        <w:rPr>
          <w:rFonts w:ascii="Times New Roman" w:eastAsia="宋体" w:hAnsi="Times New Roman" w:cs="Times New Roman"/>
        </w:rPr>
        <w:t>项，课题结题验收评价为优秀。</w:t>
      </w:r>
    </w:p>
    <w:p w14:paraId="0967E754" w14:textId="77777777" w:rsidR="004426E6" w:rsidRDefault="00000000">
      <w:pPr>
        <w:pStyle w:val="a0"/>
        <w:spacing w:after="0"/>
        <w:ind w:firstLine="420"/>
        <w:contextualSpacing/>
        <w:rPr>
          <w:rFonts w:ascii="Times New Roman" w:eastAsia="宋体" w:hAnsi="Times New Roman" w:cs="Times New Roman"/>
        </w:rPr>
      </w:pPr>
      <w:r>
        <w:rPr>
          <w:rFonts w:ascii="Times New Roman" w:eastAsia="宋体" w:hAnsi="Times New Roman" w:cs="Times New Roman"/>
        </w:rPr>
        <w:t>博威拥有国家认定企业技术中心、国家地方联合工程研究中心、国家认可实验室、国家级博士后科研工作站等平台；其研发平台配置了电感耦合等离子体发射光谱仪、</w:t>
      </w:r>
      <w:r>
        <w:rPr>
          <w:rFonts w:ascii="Times New Roman" w:eastAsia="宋体" w:hAnsi="Times New Roman" w:cs="Times New Roman"/>
        </w:rPr>
        <w:t>SEM</w:t>
      </w:r>
      <w:r>
        <w:rPr>
          <w:rFonts w:ascii="Times New Roman" w:eastAsia="宋体" w:hAnsi="Times New Roman" w:cs="Times New Roman"/>
        </w:rPr>
        <w:t>、</w:t>
      </w:r>
      <w:r>
        <w:rPr>
          <w:rFonts w:ascii="Times New Roman" w:eastAsia="宋体" w:hAnsi="Times New Roman" w:cs="Times New Roman"/>
        </w:rPr>
        <w:t>EBSD</w:t>
      </w:r>
      <w:r>
        <w:rPr>
          <w:rFonts w:ascii="Times New Roman" w:eastAsia="宋体" w:hAnsi="Times New Roman" w:cs="Times New Roman"/>
        </w:rPr>
        <w:t>、</w:t>
      </w:r>
      <w:r>
        <w:rPr>
          <w:rFonts w:ascii="Times New Roman" w:eastAsia="宋体" w:hAnsi="Times New Roman" w:cs="Times New Roman"/>
        </w:rPr>
        <w:t>XRD</w:t>
      </w:r>
      <w:r>
        <w:rPr>
          <w:rFonts w:ascii="Times New Roman" w:eastAsia="宋体" w:hAnsi="Times New Roman" w:cs="Times New Roman"/>
        </w:rPr>
        <w:t>、原子吸收分光光度计、碳硫分析仪等完整的理化、组织、摩擦磨损检测仪器设备，完全能满足本项目研发需求。在本标准立项前，博威合金联合下游验证客户对该标准做了大量的验证工作，积累了大量数据</w:t>
      </w:r>
    </w:p>
    <w:p w14:paraId="75BFA6D5" w14:textId="77777777" w:rsidR="004426E6" w:rsidRDefault="00000000">
      <w:pPr>
        <w:pStyle w:val="a0"/>
        <w:spacing w:after="0"/>
        <w:ind w:firstLine="420"/>
        <w:contextualSpacing/>
        <w:rPr>
          <w:rFonts w:ascii="宋体" w:eastAsiaTheme="minorEastAsia" w:hAnsi="宋体" w:hint="eastAsia"/>
          <w:szCs w:val="21"/>
        </w:rPr>
      </w:pPr>
      <w:r>
        <w:rPr>
          <w:rFonts w:ascii="宋体" w:eastAsiaTheme="minorEastAsia" w:hAnsi="宋体" w:hint="eastAsia"/>
          <w:szCs w:val="21"/>
        </w:rPr>
        <w:t>——拟要解决的主要问题，相关标准情况，存在的问题，研制标准的意义。</w:t>
      </w:r>
    </w:p>
    <w:p w14:paraId="6867E6CD" w14:textId="77777777" w:rsidR="004426E6" w:rsidRDefault="00000000">
      <w:pPr>
        <w:pStyle w:val="a0"/>
        <w:ind w:firstLine="420"/>
        <w:contextualSpacing/>
        <w:rPr>
          <w:rFonts w:ascii="Times New Roman" w:eastAsia="宋体" w:hAnsi="Times New Roman" w:cs="Times New Roman"/>
        </w:rPr>
      </w:pPr>
      <w:r>
        <w:rPr>
          <w:rFonts w:ascii="Times New Roman" w:eastAsia="宋体" w:hAnsi="Times New Roman" w:cs="Times New Roman"/>
        </w:rPr>
        <w:t>车削加工是铜合金线材的重要加工方式之一，受到材料生产企业及下游客户的广泛关注。目前，国际标准已持续更新，其中</w:t>
      </w:r>
      <w:r>
        <w:rPr>
          <w:rFonts w:ascii="Times New Roman" w:eastAsia="宋体" w:hAnsi="Times New Roman" w:cs="Times New Roman"/>
        </w:rPr>
        <w:t>ASTM B 301/B301M</w:t>
      </w:r>
      <w:r>
        <w:rPr>
          <w:rFonts w:ascii="Times New Roman" w:eastAsia="宋体" w:hAnsi="Times New Roman" w:cs="Times New Roman"/>
        </w:rPr>
        <w:t>《易切削铜合金棒、线、型材》已更新至</w:t>
      </w:r>
      <w:r>
        <w:rPr>
          <w:rFonts w:ascii="Times New Roman" w:eastAsia="宋体" w:hAnsi="Times New Roman" w:cs="Times New Roman"/>
        </w:rPr>
        <w:t>20</w:t>
      </w:r>
      <w:r>
        <w:rPr>
          <w:rFonts w:ascii="Times New Roman" w:eastAsia="宋体" w:hAnsi="Times New Roman" w:cs="Times New Roman" w:hint="eastAsia"/>
        </w:rPr>
        <w:t>20</w:t>
      </w:r>
      <w:r>
        <w:rPr>
          <w:rFonts w:ascii="Times New Roman" w:eastAsia="宋体" w:hAnsi="Times New Roman" w:cs="Times New Roman"/>
        </w:rPr>
        <w:t>版，</w:t>
      </w:r>
      <w:r>
        <w:rPr>
          <w:rFonts w:ascii="Times New Roman" w:eastAsia="宋体" w:hAnsi="Times New Roman" w:cs="Times New Roman"/>
        </w:rPr>
        <w:t>ASTM B 974/B 974M</w:t>
      </w:r>
      <w:r>
        <w:rPr>
          <w:rFonts w:ascii="Times New Roman" w:eastAsia="宋体" w:hAnsi="Times New Roman" w:cs="Times New Roman"/>
        </w:rPr>
        <w:t>《易切削铋黄铜棒、线材》已更新至</w:t>
      </w:r>
      <w:r>
        <w:rPr>
          <w:rFonts w:ascii="Times New Roman" w:eastAsia="宋体" w:hAnsi="Times New Roman" w:cs="Times New Roman"/>
        </w:rPr>
        <w:t>20</w:t>
      </w:r>
      <w:r>
        <w:rPr>
          <w:rFonts w:ascii="Times New Roman" w:eastAsia="宋体" w:hAnsi="Times New Roman" w:cs="Times New Roman" w:hint="eastAsia"/>
        </w:rPr>
        <w:t>21</w:t>
      </w:r>
      <w:r>
        <w:rPr>
          <w:rFonts w:ascii="Times New Roman" w:eastAsia="宋体" w:hAnsi="Times New Roman" w:cs="Times New Roman"/>
        </w:rPr>
        <w:t>版，并新增了</w:t>
      </w:r>
      <w:r>
        <w:rPr>
          <w:rFonts w:ascii="Times New Roman" w:eastAsia="宋体" w:hAnsi="Times New Roman" w:cs="Times New Roman"/>
        </w:rPr>
        <w:t>C49265</w:t>
      </w:r>
      <w:r>
        <w:rPr>
          <w:rFonts w:ascii="Times New Roman" w:eastAsia="宋体" w:hAnsi="Times New Roman" w:cs="Times New Roman"/>
        </w:rPr>
        <w:t>、</w:t>
      </w:r>
      <w:r>
        <w:rPr>
          <w:rFonts w:ascii="Times New Roman" w:eastAsia="宋体" w:hAnsi="Times New Roman" w:cs="Times New Roman"/>
        </w:rPr>
        <w:t>C49345</w:t>
      </w:r>
      <w:r>
        <w:rPr>
          <w:rFonts w:ascii="Times New Roman" w:eastAsia="宋体" w:hAnsi="Times New Roman" w:cs="Times New Roman"/>
        </w:rPr>
        <w:t>等铋黄铜的技术指标。为适应国际发展趋势，本标准在广泛调研国内铜合金线材生产企业及其下游客户的基础上，结合国内实际应用需求，新增了</w:t>
      </w:r>
      <w:r>
        <w:rPr>
          <w:rFonts w:ascii="Times New Roman" w:eastAsia="宋体" w:hAnsi="Times New Roman" w:cs="Times New Roman"/>
        </w:rPr>
        <w:t>T49210</w:t>
      </w:r>
      <w:r>
        <w:rPr>
          <w:rFonts w:ascii="Times New Roman" w:eastAsia="宋体" w:hAnsi="Times New Roman" w:cs="Times New Roman"/>
        </w:rPr>
        <w:t>、</w:t>
      </w:r>
      <w:r>
        <w:rPr>
          <w:rFonts w:ascii="Times New Roman" w:eastAsia="宋体" w:hAnsi="Times New Roman" w:cs="Times New Roman"/>
        </w:rPr>
        <w:t>C49260</w:t>
      </w:r>
      <w:r>
        <w:rPr>
          <w:rFonts w:ascii="Times New Roman" w:eastAsia="宋体" w:hAnsi="Times New Roman" w:cs="Times New Roman"/>
        </w:rPr>
        <w:t>、</w:t>
      </w:r>
      <w:r>
        <w:rPr>
          <w:rFonts w:ascii="Times New Roman" w:eastAsia="宋体" w:hAnsi="Times New Roman" w:cs="Times New Roman"/>
        </w:rPr>
        <w:t>C49340</w:t>
      </w:r>
      <w:r>
        <w:rPr>
          <w:rFonts w:ascii="Times New Roman" w:eastAsia="宋体" w:hAnsi="Times New Roman" w:cs="Times New Roman"/>
        </w:rPr>
        <w:t>、</w:t>
      </w:r>
      <w:r>
        <w:rPr>
          <w:rFonts w:ascii="Times New Roman" w:eastAsia="宋体" w:hAnsi="Times New Roman" w:cs="Times New Roman"/>
        </w:rPr>
        <w:t>T49360</w:t>
      </w:r>
      <w:r>
        <w:rPr>
          <w:rFonts w:ascii="Times New Roman" w:eastAsia="宋体" w:hAnsi="Times New Roman" w:cs="Times New Roman"/>
        </w:rPr>
        <w:t>等铋黄铜牌号的技术指标。同时，锌白铜牌号</w:t>
      </w:r>
      <w:r>
        <w:rPr>
          <w:rFonts w:ascii="Times New Roman" w:eastAsia="宋体" w:hAnsi="Times New Roman" w:cs="Times New Roman"/>
        </w:rPr>
        <w:t>C79860</w:t>
      </w:r>
      <w:r>
        <w:rPr>
          <w:rFonts w:ascii="Times New Roman" w:eastAsia="宋体" w:hAnsi="Times New Roman" w:cs="Times New Roman"/>
        </w:rPr>
        <w:t>、</w:t>
      </w:r>
      <w:r>
        <w:rPr>
          <w:rFonts w:ascii="Times New Roman" w:eastAsia="宋体" w:hAnsi="Times New Roman" w:cs="Times New Roman"/>
        </w:rPr>
        <w:t>T79870</w:t>
      </w:r>
      <w:r>
        <w:rPr>
          <w:rFonts w:ascii="Times New Roman" w:eastAsia="宋体" w:hAnsi="Times New Roman" w:cs="Times New Roman"/>
        </w:rPr>
        <w:t>因其在圆珠笔芯制造行业中的广泛应用和良好口碑，已出口至印度、马来西亚、印尼等多个国家和地区，现纳入本标准以满足行业需求。此外，根据下游客户的使用习惯及实际应用情况，本标准还新增了</w:t>
      </w:r>
      <w:r>
        <w:rPr>
          <w:rFonts w:ascii="Times New Roman" w:eastAsia="宋体" w:hAnsi="Times New Roman" w:cs="Times New Roman"/>
        </w:rPr>
        <w:t>C19160</w:t>
      </w:r>
      <w:r>
        <w:rPr>
          <w:rFonts w:ascii="Times New Roman" w:eastAsia="宋体" w:hAnsi="Times New Roman" w:cs="Times New Roman"/>
        </w:rPr>
        <w:t>、</w:t>
      </w:r>
      <w:r>
        <w:rPr>
          <w:rFonts w:ascii="Times New Roman" w:eastAsia="宋体" w:hAnsi="Times New Roman" w:cs="Times New Roman"/>
        </w:rPr>
        <w:t>C53400</w:t>
      </w:r>
      <w:r>
        <w:rPr>
          <w:rFonts w:ascii="Times New Roman" w:eastAsia="宋体" w:hAnsi="Times New Roman" w:cs="Times New Roman"/>
        </w:rPr>
        <w:t>、</w:t>
      </w:r>
      <w:r>
        <w:rPr>
          <w:rFonts w:ascii="Times New Roman" w:eastAsia="宋体" w:hAnsi="Times New Roman" w:cs="Times New Roman"/>
        </w:rPr>
        <w:t>T68320</w:t>
      </w:r>
      <w:r>
        <w:rPr>
          <w:rFonts w:ascii="Times New Roman" w:eastAsia="宋体" w:hAnsi="Times New Roman" w:cs="Times New Roman"/>
        </w:rPr>
        <w:t>、</w:t>
      </w:r>
      <w:r>
        <w:rPr>
          <w:rFonts w:ascii="Times New Roman" w:eastAsia="宋体" w:hAnsi="Times New Roman" w:cs="Times New Roman"/>
        </w:rPr>
        <w:t>C79200</w:t>
      </w:r>
      <w:r>
        <w:rPr>
          <w:rFonts w:ascii="Times New Roman" w:eastAsia="宋体" w:hAnsi="Times New Roman" w:cs="Times New Roman"/>
        </w:rPr>
        <w:t>等牌号，以进一步提升标准的适用性和市场响应能力。</w:t>
      </w:r>
    </w:p>
    <w:p w14:paraId="232A7CB0" w14:textId="77777777" w:rsidR="004426E6" w:rsidRDefault="00000000">
      <w:pPr>
        <w:pStyle w:val="a0"/>
        <w:spacing w:after="0"/>
        <w:ind w:firstLine="420"/>
        <w:contextualSpacing/>
        <w:rPr>
          <w:rFonts w:ascii="宋体" w:eastAsiaTheme="minorEastAsia" w:hAnsi="宋体" w:hint="eastAsia"/>
          <w:szCs w:val="21"/>
        </w:rPr>
      </w:pPr>
      <w:r>
        <w:rPr>
          <w:rFonts w:ascii="宋体" w:eastAsiaTheme="minorEastAsia" w:hAnsi="宋体" w:hint="eastAsia"/>
          <w:szCs w:val="21"/>
        </w:rPr>
        <w:t>本标准的制定有助于易切削铜合金线材产品的转型升级和国产化应用，解决“卡脖子”问题，符合《“十四五”推动高质量发展的国家标准体系建设规划》中的“加快钢铁、有色金属、建材、化工等标准升级换代，优化材料标准制定与科技创新、产业发展协同机制，淘汰低端产品和落后产能，促进材料产业链供应链上下游标准稳定有效衔接”。本标准修订后，有利于满足国内外市场、客户对产品的更高要求，有利于行业的健康可持续发展。</w:t>
      </w:r>
    </w:p>
    <w:p w14:paraId="745C401D" w14:textId="77777777" w:rsidR="004426E6" w:rsidRDefault="00000000">
      <w:pPr>
        <w:pStyle w:val="a0"/>
        <w:numPr>
          <w:ilvl w:val="0"/>
          <w:numId w:val="3"/>
        </w:numPr>
        <w:rPr>
          <w:rFonts w:ascii="黑体" w:eastAsia="黑体" w:cs="Arial"/>
          <w:szCs w:val="21"/>
        </w:rPr>
      </w:pPr>
      <w:r>
        <w:rPr>
          <w:rFonts w:ascii="黑体" w:eastAsia="黑体" w:cs="Arial" w:hint="eastAsia"/>
          <w:szCs w:val="21"/>
        </w:rPr>
        <w:t>试验验证分析</w:t>
      </w:r>
    </w:p>
    <w:p w14:paraId="1A024C20" w14:textId="77777777" w:rsidR="004426E6" w:rsidRDefault="00000000">
      <w:pPr>
        <w:pStyle w:val="a0"/>
        <w:ind w:firstLineChars="200" w:firstLine="420"/>
        <w:rPr>
          <w:rFonts w:ascii="宋体" w:eastAsiaTheme="minorEastAsia" w:hAnsi="宋体" w:hint="eastAsia"/>
          <w:szCs w:val="21"/>
        </w:rPr>
      </w:pPr>
      <w:r>
        <w:rPr>
          <w:rFonts w:ascii="宋体" w:eastAsiaTheme="minorEastAsia" w:hAnsi="宋体" w:hint="eastAsia"/>
          <w:szCs w:val="21"/>
        </w:rPr>
        <w:t>针对主要内容的确定，具体说明试验结果对技术指标或实验方法的支撑情况，分析报告和综述性报告宜作为附件。产品标准各指标的确定至少有来自不同单位的一百组数据进行分</w:t>
      </w:r>
      <w:r>
        <w:rPr>
          <w:rFonts w:ascii="宋体" w:eastAsiaTheme="minorEastAsia" w:hAnsi="宋体" w:hint="eastAsia"/>
          <w:szCs w:val="21"/>
        </w:rPr>
        <w:lastRenderedPageBreak/>
        <w:t>析。</w:t>
      </w:r>
    </w:p>
    <w:p w14:paraId="7A8585F2" w14:textId="77777777" w:rsidR="004426E6" w:rsidRDefault="00000000">
      <w:pPr>
        <w:pStyle w:val="a0"/>
        <w:numPr>
          <w:ilvl w:val="0"/>
          <w:numId w:val="3"/>
        </w:numPr>
        <w:rPr>
          <w:rFonts w:ascii="黑体" w:eastAsia="黑体" w:hAnsi="宋体" w:cs="宋体" w:hint="eastAsia"/>
          <w:bCs/>
          <w:szCs w:val="21"/>
        </w:rPr>
      </w:pPr>
      <w:r>
        <w:rPr>
          <w:rFonts w:ascii="黑体" w:eastAsia="黑体" w:hAnsi="宋体" w:cs="宋体" w:hint="eastAsia"/>
          <w:bCs/>
          <w:szCs w:val="21"/>
        </w:rPr>
        <w:t>标准的先进性、创新性、标准实施后预期产生的经济效益和社会效益</w:t>
      </w:r>
    </w:p>
    <w:p w14:paraId="1514DCBD" w14:textId="77777777" w:rsidR="004426E6" w:rsidRDefault="00000000">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t>4.1先进性、创新性</w:t>
      </w:r>
    </w:p>
    <w:p w14:paraId="044643E7" w14:textId="77777777" w:rsidR="004426E6" w:rsidRDefault="00000000">
      <w:pPr>
        <w:pStyle w:val="a0"/>
        <w:ind w:firstLineChars="200" w:firstLine="420"/>
        <w:rPr>
          <w:rFonts w:ascii="宋体" w:eastAsiaTheme="minorEastAsia" w:hAnsi="宋体" w:hint="eastAsia"/>
          <w:szCs w:val="21"/>
        </w:rPr>
      </w:pPr>
      <w:r>
        <w:rPr>
          <w:rFonts w:ascii="宋体" w:eastAsiaTheme="minorEastAsia" w:hAnsi="宋体" w:hint="eastAsia"/>
          <w:szCs w:val="21"/>
        </w:rPr>
        <w:t>本标准的实施，对于促进易切削铜合金线材领域的质量提升，满足</w:t>
      </w:r>
      <w:r>
        <w:rPr>
          <w:rFonts w:ascii="宋体" w:eastAsiaTheme="minorEastAsia" w:hAnsi="宋体"/>
          <w:szCs w:val="21"/>
        </w:rPr>
        <w:t>电力、电子电讯、汽车交通、精密仪表及高端五金装饰</w:t>
      </w:r>
      <w:r>
        <w:rPr>
          <w:rFonts w:ascii="宋体" w:eastAsiaTheme="minorEastAsia" w:hAnsi="宋体" w:hint="eastAsia"/>
          <w:szCs w:val="21"/>
        </w:rPr>
        <w:t>等基础材料的需求，促进铜合金线材的健康发展，发挥着重要的作用。本标准能够为铜合金材料的国产化、产业链现代化，乃至实现国民经济高质量发展，均具有较大的经济效益及社会效益。</w:t>
      </w:r>
    </w:p>
    <w:p w14:paraId="50AF659D" w14:textId="77777777" w:rsidR="004426E6" w:rsidRDefault="00000000">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t>4.2经济效益</w:t>
      </w:r>
    </w:p>
    <w:p w14:paraId="2EEAB2AB" w14:textId="77777777" w:rsidR="004426E6" w:rsidRDefault="00000000">
      <w:pPr>
        <w:pStyle w:val="a0"/>
        <w:ind w:firstLineChars="200" w:firstLine="420"/>
        <w:rPr>
          <w:rFonts w:eastAsiaTheme="minorEastAsia" w:hAnsi="Calibri"/>
        </w:rPr>
      </w:pPr>
      <w:r>
        <w:rPr>
          <w:rFonts w:eastAsiaTheme="minorEastAsia" w:hAnsi="Calibri" w:hint="eastAsia"/>
        </w:rPr>
        <w:t>本</w:t>
      </w:r>
      <w:r>
        <w:rPr>
          <w:rFonts w:eastAsiaTheme="minorEastAsia" w:hAnsi="Calibri"/>
        </w:rPr>
        <w:t>标准实施</w:t>
      </w:r>
      <w:r>
        <w:rPr>
          <w:rFonts w:eastAsiaTheme="minorEastAsia" w:hAnsi="Calibri" w:hint="eastAsia"/>
        </w:rPr>
        <w:t>后</w:t>
      </w:r>
      <w:r>
        <w:rPr>
          <w:rFonts w:eastAsiaTheme="minorEastAsia" w:hAnsi="Calibri"/>
        </w:rPr>
        <w:t>，即可打破</w:t>
      </w:r>
      <w:r>
        <w:rPr>
          <w:rFonts w:eastAsiaTheme="minorEastAsia" w:hAnsi="Calibri"/>
        </w:rPr>
        <w:t>C19150</w:t>
      </w:r>
      <w:r>
        <w:rPr>
          <w:rFonts w:eastAsiaTheme="minorEastAsia" w:hAnsi="Calibri"/>
        </w:rPr>
        <w:t>、</w:t>
      </w:r>
      <w:r>
        <w:rPr>
          <w:rFonts w:eastAsiaTheme="minorEastAsia" w:hAnsi="Calibri"/>
        </w:rPr>
        <w:t>C19160</w:t>
      </w:r>
      <w:r>
        <w:rPr>
          <w:rFonts w:eastAsiaTheme="minorEastAsia" w:hAnsi="Calibri"/>
        </w:rPr>
        <w:t>等</w:t>
      </w:r>
      <w:r>
        <w:rPr>
          <w:rFonts w:eastAsiaTheme="minorEastAsia" w:hAnsi="Calibri" w:hint="eastAsia"/>
        </w:rPr>
        <w:t>易</w:t>
      </w:r>
      <w:r>
        <w:rPr>
          <w:rFonts w:eastAsiaTheme="minorEastAsia" w:hAnsi="Calibri"/>
        </w:rPr>
        <w:t>切削铜合金长期依赖进口的</w:t>
      </w:r>
      <w:r>
        <w:rPr>
          <w:rFonts w:eastAsiaTheme="minorEastAsia" w:hAnsi="Calibri"/>
        </w:rPr>
        <w:t>“</w:t>
      </w:r>
      <w:r>
        <w:rPr>
          <w:rFonts w:eastAsiaTheme="minorEastAsia" w:hAnsi="Calibri"/>
        </w:rPr>
        <w:t>卡脖子</w:t>
      </w:r>
      <w:r>
        <w:rPr>
          <w:rFonts w:eastAsiaTheme="minorEastAsia" w:hAnsi="Calibri"/>
        </w:rPr>
        <w:t>”</w:t>
      </w:r>
      <w:r>
        <w:rPr>
          <w:rFonts w:eastAsiaTheme="minorEastAsia" w:hAnsi="Calibri"/>
        </w:rPr>
        <w:t>困境，为行业统一技术语言，使</w:t>
      </w:r>
      <w:r>
        <w:rPr>
          <w:rFonts w:eastAsiaTheme="minorEastAsia" w:hAnsi="Calibri" w:hint="eastAsia"/>
        </w:rPr>
        <w:t>新型</w:t>
      </w:r>
      <w:r>
        <w:rPr>
          <w:rFonts w:eastAsiaTheme="minorEastAsia" w:hAnsi="Calibri"/>
        </w:rPr>
        <w:t>国产</w:t>
      </w:r>
      <w:r>
        <w:rPr>
          <w:rFonts w:eastAsiaTheme="minorEastAsia" w:hAnsi="Calibri" w:hint="eastAsia"/>
        </w:rPr>
        <w:t>易切削</w:t>
      </w:r>
      <w:r>
        <w:rPr>
          <w:rFonts w:eastAsiaTheme="minorEastAsia" w:hAnsi="Calibri"/>
        </w:rPr>
        <w:t>铜</w:t>
      </w:r>
      <w:r>
        <w:rPr>
          <w:rFonts w:eastAsiaTheme="minorEastAsia" w:hAnsi="Calibri" w:hint="eastAsia"/>
        </w:rPr>
        <w:t>合金线材</w:t>
      </w:r>
      <w:r>
        <w:rPr>
          <w:rFonts w:eastAsiaTheme="minorEastAsia" w:hAnsi="Calibri"/>
        </w:rPr>
        <w:t>“</w:t>
      </w:r>
      <w:r>
        <w:rPr>
          <w:rFonts w:eastAsiaTheme="minorEastAsia" w:hAnsi="Calibri"/>
        </w:rPr>
        <w:t>有标可循、有据可检</w:t>
      </w:r>
      <w:r>
        <w:rPr>
          <w:rFonts w:eastAsiaTheme="minorEastAsia" w:hAnsi="Calibri"/>
        </w:rPr>
        <w:t>”</w:t>
      </w:r>
      <w:r>
        <w:rPr>
          <w:rFonts w:eastAsiaTheme="minorEastAsia" w:hAnsi="Calibri"/>
        </w:rPr>
        <w:t>；通过</w:t>
      </w:r>
      <w:r>
        <w:rPr>
          <w:rFonts w:eastAsiaTheme="minorEastAsia" w:hAnsi="Calibri" w:hint="eastAsia"/>
        </w:rPr>
        <w:t>合理指导合适的易切削铜合金材料</w:t>
      </w:r>
      <w:r>
        <w:rPr>
          <w:rFonts w:eastAsiaTheme="minorEastAsia" w:hAnsi="Calibri"/>
        </w:rPr>
        <w:t>，直接降低下游客户刀具磨损与机加能耗，</w:t>
      </w:r>
      <w:r>
        <w:rPr>
          <w:rFonts w:eastAsiaTheme="minorEastAsia" w:hAnsi="Calibri" w:hint="eastAsia"/>
        </w:rPr>
        <w:t>提高切削效率，降低生产成本</w:t>
      </w:r>
      <w:r>
        <w:rPr>
          <w:rFonts w:eastAsiaTheme="minorEastAsia" w:hAnsi="Calibri"/>
        </w:rPr>
        <w:t>，助力企业以更高性价比参与全球竞争，带动整个铜加工产业链向绿色、高效、高附加值跃升，</w:t>
      </w:r>
      <w:r>
        <w:rPr>
          <w:rFonts w:eastAsiaTheme="minorEastAsia" w:hAnsi="Calibri" w:hint="eastAsia"/>
        </w:rPr>
        <w:t>带动产业升级，实现国民经济高质量发展。</w:t>
      </w:r>
    </w:p>
    <w:p w14:paraId="3C8228E5" w14:textId="77777777" w:rsidR="004426E6" w:rsidRDefault="00000000">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t>4.3社会效益</w:t>
      </w:r>
    </w:p>
    <w:p w14:paraId="67267393" w14:textId="77777777" w:rsidR="004426E6" w:rsidRDefault="00000000">
      <w:pPr>
        <w:pStyle w:val="a0"/>
        <w:ind w:firstLineChars="200" w:firstLine="420"/>
        <w:rPr>
          <w:rFonts w:ascii="宋体" w:eastAsiaTheme="minorEastAsia" w:hAnsi="宋体" w:hint="eastAsia"/>
          <w:szCs w:val="21"/>
        </w:rPr>
      </w:pPr>
      <w:r>
        <w:rPr>
          <w:rFonts w:ascii="宋体" w:eastAsiaTheme="minorEastAsia" w:hAnsi="宋体" w:hint="eastAsia"/>
          <w:szCs w:val="21"/>
        </w:rPr>
        <w:t>本</w:t>
      </w:r>
      <w:r>
        <w:rPr>
          <w:rFonts w:ascii="宋体" w:eastAsiaTheme="minorEastAsia" w:hAnsi="宋体"/>
          <w:szCs w:val="21"/>
        </w:rPr>
        <w:t>标准实施后，可降低对</w:t>
      </w:r>
      <w:r>
        <w:rPr>
          <w:rFonts w:eastAsiaTheme="minorEastAsia" w:hAnsi="Calibri"/>
        </w:rPr>
        <w:t>C19150</w:t>
      </w:r>
      <w:r>
        <w:rPr>
          <w:rFonts w:eastAsiaTheme="minorEastAsia" w:hAnsi="Calibri"/>
        </w:rPr>
        <w:t>、</w:t>
      </w:r>
      <w:r>
        <w:rPr>
          <w:rFonts w:eastAsiaTheme="minorEastAsia" w:hAnsi="Calibri"/>
        </w:rPr>
        <w:t>C19160</w:t>
      </w:r>
      <w:r>
        <w:rPr>
          <w:rFonts w:eastAsiaTheme="minorEastAsia" w:hAnsi="Calibri"/>
        </w:rPr>
        <w:t>等</w:t>
      </w:r>
      <w:r>
        <w:rPr>
          <w:rFonts w:eastAsiaTheme="minorEastAsia" w:hAnsi="Calibri" w:hint="eastAsia"/>
        </w:rPr>
        <w:t>易</w:t>
      </w:r>
      <w:r>
        <w:rPr>
          <w:rFonts w:eastAsiaTheme="minorEastAsia" w:hAnsi="Calibri"/>
        </w:rPr>
        <w:t>切削铜合金</w:t>
      </w:r>
      <w:r>
        <w:rPr>
          <w:rFonts w:ascii="宋体" w:eastAsiaTheme="minorEastAsia" w:hAnsi="宋体"/>
          <w:szCs w:val="21"/>
        </w:rPr>
        <w:t>进口的依赖，保障关键材料供应安全，稳定相关产业链发展。同时，</w:t>
      </w:r>
      <w:r>
        <w:rPr>
          <w:rFonts w:ascii="宋体" w:eastAsiaTheme="minorEastAsia" w:hAnsi="宋体" w:hint="eastAsia"/>
          <w:szCs w:val="21"/>
        </w:rPr>
        <w:t>本标准的实施</w:t>
      </w:r>
      <w:r>
        <w:rPr>
          <w:rFonts w:ascii="宋体" w:eastAsiaTheme="minorEastAsia" w:hAnsi="宋体"/>
          <w:szCs w:val="21"/>
        </w:rPr>
        <w:t>提升国内材料制造水平，推动产业升级，增强行业国际竞争力，创造更多就业机会，促进经济</w:t>
      </w:r>
      <w:r>
        <w:rPr>
          <w:rFonts w:ascii="宋体" w:eastAsiaTheme="minorEastAsia" w:hAnsi="宋体" w:hint="eastAsia"/>
          <w:szCs w:val="21"/>
        </w:rPr>
        <w:t>健康、</w:t>
      </w:r>
      <w:r>
        <w:rPr>
          <w:rFonts w:ascii="宋体" w:eastAsiaTheme="minorEastAsia" w:hAnsi="宋体"/>
          <w:szCs w:val="21"/>
        </w:rPr>
        <w:t>可持续发展。</w:t>
      </w:r>
    </w:p>
    <w:p w14:paraId="14F14ECF" w14:textId="77777777" w:rsidR="004426E6" w:rsidRDefault="00000000">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t>4.4生态效益</w:t>
      </w:r>
    </w:p>
    <w:p w14:paraId="25D97B5E" w14:textId="77777777" w:rsidR="004426E6" w:rsidRDefault="00000000">
      <w:pPr>
        <w:pStyle w:val="a0"/>
        <w:ind w:firstLineChars="200" w:firstLine="420"/>
        <w:rPr>
          <w:rFonts w:eastAsiaTheme="minorEastAsia" w:hAnsi="Calibri"/>
        </w:rPr>
      </w:pPr>
      <w:r>
        <w:rPr>
          <w:rFonts w:ascii="宋体" w:eastAsiaTheme="minorEastAsia" w:hAnsi="宋体" w:hint="eastAsia"/>
          <w:szCs w:val="21"/>
        </w:rPr>
        <w:t>本标准实施后有利于加大环保铜材的应用，同时根据指导下游企业合理利用易切削铜合金材料，</w:t>
      </w:r>
      <w:r>
        <w:rPr>
          <w:rFonts w:eastAsiaTheme="minorEastAsia" w:hAnsi="Calibri"/>
        </w:rPr>
        <w:t>直接降低下游客户刀具磨损与机加能耗，</w:t>
      </w:r>
      <w:r>
        <w:rPr>
          <w:rFonts w:eastAsiaTheme="minorEastAsia" w:hAnsi="Calibri" w:hint="eastAsia"/>
        </w:rPr>
        <w:t>提高切削效率，实现资源节约、能源降耗和污染减排。</w:t>
      </w:r>
    </w:p>
    <w:p w14:paraId="73918671" w14:textId="77777777" w:rsidR="004426E6" w:rsidRDefault="00000000">
      <w:pPr>
        <w:pStyle w:val="a0"/>
        <w:rPr>
          <w:rFonts w:ascii="黑体" w:eastAsia="黑体" w:hAnsi="宋体" w:cs="宋体" w:hint="eastAsia"/>
          <w:bCs/>
          <w:szCs w:val="21"/>
        </w:rPr>
      </w:pPr>
      <w:r>
        <w:rPr>
          <w:rFonts w:ascii="黑体" w:eastAsia="黑体" w:hAnsi="宋体" w:cs="宋体" w:hint="eastAsia"/>
          <w:bCs/>
          <w:szCs w:val="21"/>
        </w:rPr>
        <w:t>四、与国际标准和国外先进标准技术内容的对比</w:t>
      </w:r>
    </w:p>
    <w:p w14:paraId="4A5F860E" w14:textId="59106F4C" w:rsidR="00F609CA" w:rsidRPr="008E1FAE" w:rsidRDefault="007026CC" w:rsidP="008E1FAE">
      <w:pPr>
        <w:spacing w:beforeLines="50" w:before="156" w:afterLines="50" w:after="156"/>
        <w:jc w:val="center"/>
        <w:rPr>
          <w:rFonts w:eastAsia="黑体"/>
          <w:color w:val="000000"/>
          <w:kern w:val="0"/>
          <w:szCs w:val="20"/>
        </w:rPr>
      </w:pPr>
      <w:r>
        <w:rPr>
          <w:rFonts w:eastAsia="黑体"/>
          <w:color w:val="000000"/>
          <w:kern w:val="0"/>
          <w:szCs w:val="20"/>
        </w:rPr>
        <w:t>表</w:t>
      </w:r>
      <w:r>
        <w:rPr>
          <w:rFonts w:eastAsia="黑体" w:hint="eastAsia"/>
          <w:color w:val="000000"/>
          <w:kern w:val="0"/>
          <w:szCs w:val="20"/>
        </w:rPr>
        <w:t>10</w:t>
      </w:r>
      <w:r w:rsidR="008E1FAE">
        <w:rPr>
          <w:rFonts w:eastAsia="黑体" w:hint="eastAsia"/>
          <w:color w:val="000000"/>
          <w:kern w:val="0"/>
          <w:szCs w:val="20"/>
        </w:rPr>
        <w:t xml:space="preserve"> </w:t>
      </w:r>
      <w:r w:rsidR="008E1FAE">
        <w:rPr>
          <w:rFonts w:eastAsia="黑体" w:hint="eastAsia"/>
          <w:color w:val="000000"/>
          <w:kern w:val="0"/>
          <w:szCs w:val="20"/>
        </w:rPr>
        <w:t>本标准与</w:t>
      </w:r>
      <w:r w:rsidR="008E1FAE">
        <w:rPr>
          <w:rFonts w:eastAsia="黑体" w:hint="eastAsia"/>
          <w:color w:val="000000"/>
          <w:kern w:val="0"/>
          <w:szCs w:val="20"/>
        </w:rPr>
        <w:t>ASTM</w:t>
      </w:r>
      <w:r w:rsidR="008E1FAE">
        <w:rPr>
          <w:rFonts w:eastAsia="黑体" w:hint="eastAsia"/>
          <w:color w:val="000000"/>
          <w:kern w:val="0"/>
          <w:szCs w:val="20"/>
        </w:rPr>
        <w:t>标准对比</w:t>
      </w:r>
    </w:p>
    <w:tbl>
      <w:tblPr>
        <w:tblW w:w="85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03"/>
        <w:gridCol w:w="3118"/>
        <w:gridCol w:w="1418"/>
        <w:gridCol w:w="1417"/>
        <w:gridCol w:w="1144"/>
      </w:tblGrid>
      <w:tr w:rsidR="008E1FAE" w:rsidRPr="008E1FAE" w14:paraId="1FC829E8" w14:textId="77777777" w:rsidTr="004D51CB">
        <w:trPr>
          <w:trHeight w:val="285"/>
        </w:trPr>
        <w:tc>
          <w:tcPr>
            <w:tcW w:w="1403" w:type="dxa"/>
            <w:tcBorders>
              <w:top w:val="single" w:sz="12" w:space="0" w:color="auto"/>
              <w:bottom w:val="single" w:sz="12" w:space="0" w:color="auto"/>
            </w:tcBorders>
            <w:noWrap/>
            <w:vAlign w:val="center"/>
            <w:hideMark/>
          </w:tcPr>
          <w:p w14:paraId="79A18428"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项目</w:t>
            </w:r>
          </w:p>
        </w:tc>
        <w:tc>
          <w:tcPr>
            <w:tcW w:w="3118" w:type="dxa"/>
            <w:tcBorders>
              <w:top w:val="single" w:sz="12" w:space="0" w:color="auto"/>
              <w:bottom w:val="single" w:sz="12" w:space="0" w:color="auto"/>
            </w:tcBorders>
            <w:noWrap/>
            <w:vAlign w:val="center"/>
            <w:hideMark/>
          </w:tcPr>
          <w:p w14:paraId="4457FCC6" w14:textId="6A000823"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本</w:t>
            </w:r>
            <w:r>
              <w:rPr>
                <w:rFonts w:asciiTheme="minorEastAsia" w:hAnsiTheme="minorEastAsia" w:cs="宋体" w:hint="eastAsia"/>
                <w:kern w:val="0"/>
                <w:sz w:val="18"/>
                <w:szCs w:val="18"/>
              </w:rPr>
              <w:t>标准</w:t>
            </w:r>
          </w:p>
        </w:tc>
        <w:tc>
          <w:tcPr>
            <w:tcW w:w="1418" w:type="dxa"/>
            <w:tcBorders>
              <w:top w:val="single" w:sz="12" w:space="0" w:color="auto"/>
              <w:bottom w:val="single" w:sz="12" w:space="0" w:color="auto"/>
            </w:tcBorders>
            <w:noWrap/>
            <w:vAlign w:val="center"/>
            <w:hideMark/>
          </w:tcPr>
          <w:p w14:paraId="7E8916B6"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ASTM B301-2020</w:t>
            </w:r>
          </w:p>
        </w:tc>
        <w:tc>
          <w:tcPr>
            <w:tcW w:w="1417" w:type="dxa"/>
            <w:tcBorders>
              <w:top w:val="single" w:sz="12" w:space="0" w:color="auto"/>
              <w:bottom w:val="single" w:sz="12" w:space="0" w:color="auto"/>
            </w:tcBorders>
            <w:noWrap/>
            <w:vAlign w:val="center"/>
            <w:hideMark/>
          </w:tcPr>
          <w:p w14:paraId="6C393BB3"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ASTM B974-2021</w:t>
            </w:r>
          </w:p>
        </w:tc>
        <w:tc>
          <w:tcPr>
            <w:tcW w:w="1144" w:type="dxa"/>
            <w:tcBorders>
              <w:top w:val="single" w:sz="12" w:space="0" w:color="auto"/>
              <w:bottom w:val="single" w:sz="12" w:space="0" w:color="auto"/>
            </w:tcBorders>
            <w:noWrap/>
            <w:vAlign w:val="center"/>
            <w:hideMark/>
          </w:tcPr>
          <w:p w14:paraId="6AB43E55"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标准水平对比</w:t>
            </w:r>
          </w:p>
        </w:tc>
      </w:tr>
      <w:tr w:rsidR="008E1FAE" w:rsidRPr="008E1FAE" w14:paraId="078F7167" w14:textId="77777777" w:rsidTr="004D51CB">
        <w:trPr>
          <w:trHeight w:val="3326"/>
        </w:trPr>
        <w:tc>
          <w:tcPr>
            <w:tcW w:w="1403" w:type="dxa"/>
            <w:tcBorders>
              <w:top w:val="single" w:sz="12" w:space="0" w:color="auto"/>
              <w:bottom w:val="single" w:sz="6" w:space="0" w:color="auto"/>
            </w:tcBorders>
            <w:noWrap/>
            <w:vAlign w:val="center"/>
            <w:hideMark/>
          </w:tcPr>
          <w:p w14:paraId="5CFC79C1"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合金牌号</w:t>
            </w:r>
          </w:p>
        </w:tc>
        <w:tc>
          <w:tcPr>
            <w:tcW w:w="3118" w:type="dxa"/>
            <w:tcBorders>
              <w:top w:val="single" w:sz="12" w:space="0" w:color="auto"/>
              <w:bottom w:val="single" w:sz="6" w:space="0" w:color="auto"/>
            </w:tcBorders>
            <w:vAlign w:val="center"/>
            <w:hideMark/>
          </w:tcPr>
          <w:p w14:paraId="5CD7BE19"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TTe0.3、TTe0.5、TTe0.5-0.02、TPb1、HPb63-3、HPb62-3、HPb60-2、HPb59-1、HPb59.2.8、HPb59-3、HPb58-3、HPb57-2.8、HBi58-1.5、HBi60-1.3、HBi60-1-0.05、HBi62-1.4-1、HBi59-1、HBi59-2、QSn4.6-1-0.2、QSn4-4-4、HSb61-0.8-0.5、HSb60-0.9、HSi75-3、HSi61-0.6、BZn12-24-1.1、BZn12-37-1.5、BZn12-38-2、TNi1-0.6-0.25、TNi1-1-0.25</w:t>
            </w:r>
          </w:p>
        </w:tc>
        <w:tc>
          <w:tcPr>
            <w:tcW w:w="1418" w:type="dxa"/>
            <w:tcBorders>
              <w:top w:val="single" w:sz="12" w:space="0" w:color="auto"/>
              <w:bottom w:val="single" w:sz="6" w:space="0" w:color="auto"/>
            </w:tcBorders>
            <w:vAlign w:val="center"/>
            <w:hideMark/>
          </w:tcPr>
          <w:p w14:paraId="5BA4AEE1"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C14500、C14700、C14510、C14520、C18700</w:t>
            </w:r>
          </w:p>
        </w:tc>
        <w:tc>
          <w:tcPr>
            <w:tcW w:w="1417" w:type="dxa"/>
            <w:tcBorders>
              <w:top w:val="single" w:sz="12" w:space="0" w:color="auto"/>
              <w:bottom w:val="single" w:sz="6" w:space="0" w:color="auto"/>
            </w:tcBorders>
            <w:vAlign w:val="center"/>
            <w:hideMark/>
          </w:tcPr>
          <w:p w14:paraId="57D5D9DC" w14:textId="118AD619"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C49250、C49260、C49265、C49340</w:t>
            </w:r>
            <w:r w:rsidR="00127C78">
              <w:rPr>
                <w:rFonts w:asciiTheme="minorEastAsia" w:hAnsiTheme="minorEastAsia" w:cs="宋体" w:hint="eastAsia"/>
                <w:kern w:val="0"/>
                <w:sz w:val="18"/>
                <w:szCs w:val="18"/>
              </w:rPr>
              <w:t>、</w:t>
            </w:r>
            <w:r w:rsidRPr="008E1FAE">
              <w:rPr>
                <w:rFonts w:asciiTheme="minorEastAsia" w:hAnsiTheme="minorEastAsia" w:cs="宋体"/>
                <w:kern w:val="0"/>
                <w:sz w:val="18"/>
                <w:szCs w:val="18"/>
              </w:rPr>
              <w:t>C49345</w:t>
            </w:r>
          </w:p>
        </w:tc>
        <w:tc>
          <w:tcPr>
            <w:tcW w:w="1144" w:type="dxa"/>
            <w:tcBorders>
              <w:top w:val="single" w:sz="12" w:space="0" w:color="auto"/>
              <w:bottom w:val="single" w:sz="6" w:space="0" w:color="auto"/>
            </w:tcBorders>
            <w:vAlign w:val="center"/>
            <w:hideMark/>
          </w:tcPr>
          <w:p w14:paraId="4213AAE2"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优于</w:t>
            </w:r>
          </w:p>
        </w:tc>
      </w:tr>
      <w:tr w:rsidR="008E1FAE" w:rsidRPr="008E1FAE" w14:paraId="12E12F2D" w14:textId="77777777" w:rsidTr="004D51CB">
        <w:trPr>
          <w:trHeight w:val="285"/>
        </w:trPr>
        <w:tc>
          <w:tcPr>
            <w:tcW w:w="1403" w:type="dxa"/>
            <w:tcBorders>
              <w:top w:val="single" w:sz="6" w:space="0" w:color="auto"/>
              <w:bottom w:val="single" w:sz="6" w:space="0" w:color="auto"/>
            </w:tcBorders>
            <w:noWrap/>
            <w:vAlign w:val="center"/>
            <w:hideMark/>
          </w:tcPr>
          <w:p w14:paraId="24FE32F8"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化学成分</w:t>
            </w:r>
          </w:p>
        </w:tc>
        <w:tc>
          <w:tcPr>
            <w:tcW w:w="3118" w:type="dxa"/>
            <w:tcBorders>
              <w:top w:val="single" w:sz="6" w:space="0" w:color="auto"/>
              <w:bottom w:val="single" w:sz="6" w:space="0" w:color="auto"/>
            </w:tcBorders>
            <w:noWrap/>
            <w:vAlign w:val="center"/>
            <w:hideMark/>
          </w:tcPr>
          <w:p w14:paraId="46F61090"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68E62E31"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7" w:type="dxa"/>
            <w:tcBorders>
              <w:top w:val="single" w:sz="6" w:space="0" w:color="auto"/>
              <w:bottom w:val="single" w:sz="6" w:space="0" w:color="auto"/>
            </w:tcBorders>
            <w:noWrap/>
            <w:vAlign w:val="center"/>
            <w:hideMark/>
          </w:tcPr>
          <w:p w14:paraId="6186EB62"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144" w:type="dxa"/>
            <w:tcBorders>
              <w:top w:val="single" w:sz="6" w:space="0" w:color="auto"/>
              <w:bottom w:val="single" w:sz="6" w:space="0" w:color="auto"/>
            </w:tcBorders>
            <w:noWrap/>
            <w:vAlign w:val="center"/>
            <w:hideMark/>
          </w:tcPr>
          <w:p w14:paraId="100109C9"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相当</w:t>
            </w:r>
          </w:p>
        </w:tc>
      </w:tr>
      <w:tr w:rsidR="008E1FAE" w:rsidRPr="008E1FAE" w14:paraId="3D809454" w14:textId="77777777" w:rsidTr="004D51CB">
        <w:trPr>
          <w:trHeight w:val="285"/>
        </w:trPr>
        <w:tc>
          <w:tcPr>
            <w:tcW w:w="1403" w:type="dxa"/>
            <w:tcBorders>
              <w:top w:val="single" w:sz="6" w:space="0" w:color="auto"/>
              <w:bottom w:val="single" w:sz="6" w:space="0" w:color="auto"/>
            </w:tcBorders>
            <w:noWrap/>
            <w:vAlign w:val="center"/>
            <w:hideMark/>
          </w:tcPr>
          <w:p w14:paraId="63DB8BF1"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外形尺寸及其允许偏差</w:t>
            </w:r>
          </w:p>
        </w:tc>
        <w:tc>
          <w:tcPr>
            <w:tcW w:w="3118" w:type="dxa"/>
            <w:tcBorders>
              <w:top w:val="single" w:sz="6" w:space="0" w:color="auto"/>
              <w:bottom w:val="single" w:sz="6" w:space="0" w:color="auto"/>
            </w:tcBorders>
            <w:noWrap/>
            <w:vAlign w:val="center"/>
            <w:hideMark/>
          </w:tcPr>
          <w:p w14:paraId="78947809"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72CDE927"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7" w:type="dxa"/>
            <w:tcBorders>
              <w:top w:val="single" w:sz="6" w:space="0" w:color="auto"/>
              <w:bottom w:val="single" w:sz="6" w:space="0" w:color="auto"/>
            </w:tcBorders>
            <w:noWrap/>
            <w:vAlign w:val="center"/>
            <w:hideMark/>
          </w:tcPr>
          <w:p w14:paraId="60766EFB"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144" w:type="dxa"/>
            <w:tcBorders>
              <w:top w:val="single" w:sz="6" w:space="0" w:color="auto"/>
              <w:bottom w:val="single" w:sz="6" w:space="0" w:color="auto"/>
            </w:tcBorders>
            <w:noWrap/>
            <w:vAlign w:val="center"/>
            <w:hideMark/>
          </w:tcPr>
          <w:p w14:paraId="3A8C9017"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相当</w:t>
            </w:r>
          </w:p>
        </w:tc>
      </w:tr>
      <w:tr w:rsidR="008E1FAE" w:rsidRPr="008E1FAE" w14:paraId="2EC218E9" w14:textId="77777777" w:rsidTr="004D51CB">
        <w:trPr>
          <w:trHeight w:val="285"/>
        </w:trPr>
        <w:tc>
          <w:tcPr>
            <w:tcW w:w="1403" w:type="dxa"/>
            <w:tcBorders>
              <w:top w:val="single" w:sz="6" w:space="0" w:color="auto"/>
              <w:bottom w:val="single" w:sz="6" w:space="0" w:color="auto"/>
            </w:tcBorders>
            <w:noWrap/>
            <w:vAlign w:val="center"/>
            <w:hideMark/>
          </w:tcPr>
          <w:p w14:paraId="08C7296B"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lastRenderedPageBreak/>
              <w:t>力学性能</w:t>
            </w:r>
          </w:p>
        </w:tc>
        <w:tc>
          <w:tcPr>
            <w:tcW w:w="3118" w:type="dxa"/>
            <w:tcBorders>
              <w:top w:val="single" w:sz="6" w:space="0" w:color="auto"/>
              <w:bottom w:val="single" w:sz="6" w:space="0" w:color="auto"/>
            </w:tcBorders>
            <w:noWrap/>
            <w:vAlign w:val="center"/>
            <w:hideMark/>
          </w:tcPr>
          <w:p w14:paraId="5B8CAB9C"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3EA07349"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7" w:type="dxa"/>
            <w:tcBorders>
              <w:top w:val="single" w:sz="6" w:space="0" w:color="auto"/>
              <w:bottom w:val="single" w:sz="6" w:space="0" w:color="auto"/>
            </w:tcBorders>
            <w:noWrap/>
            <w:vAlign w:val="center"/>
            <w:hideMark/>
          </w:tcPr>
          <w:p w14:paraId="2C739BC6"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144" w:type="dxa"/>
            <w:tcBorders>
              <w:top w:val="single" w:sz="6" w:space="0" w:color="auto"/>
              <w:bottom w:val="single" w:sz="6" w:space="0" w:color="auto"/>
            </w:tcBorders>
            <w:noWrap/>
            <w:vAlign w:val="center"/>
            <w:hideMark/>
          </w:tcPr>
          <w:p w14:paraId="6A2BD61D"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相当</w:t>
            </w:r>
          </w:p>
        </w:tc>
      </w:tr>
      <w:tr w:rsidR="008E1FAE" w:rsidRPr="008E1FAE" w14:paraId="3B11FF13" w14:textId="77777777" w:rsidTr="004D51CB">
        <w:trPr>
          <w:trHeight w:val="285"/>
        </w:trPr>
        <w:tc>
          <w:tcPr>
            <w:tcW w:w="1403" w:type="dxa"/>
            <w:tcBorders>
              <w:top w:val="single" w:sz="6" w:space="0" w:color="auto"/>
              <w:bottom w:val="single" w:sz="6" w:space="0" w:color="auto"/>
            </w:tcBorders>
            <w:noWrap/>
            <w:vAlign w:val="center"/>
            <w:hideMark/>
          </w:tcPr>
          <w:p w14:paraId="67427E94"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电性能</w:t>
            </w:r>
          </w:p>
        </w:tc>
        <w:tc>
          <w:tcPr>
            <w:tcW w:w="3118" w:type="dxa"/>
            <w:tcBorders>
              <w:top w:val="single" w:sz="6" w:space="0" w:color="auto"/>
              <w:bottom w:val="single" w:sz="6" w:space="0" w:color="auto"/>
            </w:tcBorders>
            <w:noWrap/>
            <w:vAlign w:val="center"/>
            <w:hideMark/>
          </w:tcPr>
          <w:p w14:paraId="7CFEEF18"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5B276B2C"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7" w:type="dxa"/>
            <w:tcBorders>
              <w:top w:val="single" w:sz="6" w:space="0" w:color="auto"/>
              <w:bottom w:val="single" w:sz="6" w:space="0" w:color="auto"/>
            </w:tcBorders>
            <w:noWrap/>
            <w:vAlign w:val="center"/>
            <w:hideMark/>
          </w:tcPr>
          <w:p w14:paraId="12474FC7"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144" w:type="dxa"/>
            <w:tcBorders>
              <w:top w:val="single" w:sz="6" w:space="0" w:color="auto"/>
              <w:bottom w:val="single" w:sz="6" w:space="0" w:color="auto"/>
            </w:tcBorders>
            <w:noWrap/>
            <w:vAlign w:val="center"/>
            <w:hideMark/>
          </w:tcPr>
          <w:p w14:paraId="54CC4222"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优于ASTM B974,与ASTM B301相当</w:t>
            </w:r>
          </w:p>
        </w:tc>
      </w:tr>
      <w:tr w:rsidR="008E1FAE" w:rsidRPr="008E1FAE" w14:paraId="6A5D0FF4" w14:textId="77777777" w:rsidTr="004D51CB">
        <w:trPr>
          <w:trHeight w:val="285"/>
        </w:trPr>
        <w:tc>
          <w:tcPr>
            <w:tcW w:w="1403" w:type="dxa"/>
            <w:tcBorders>
              <w:top w:val="single" w:sz="6" w:space="0" w:color="auto"/>
              <w:bottom w:val="single" w:sz="6" w:space="0" w:color="auto"/>
            </w:tcBorders>
            <w:noWrap/>
            <w:vAlign w:val="center"/>
            <w:hideMark/>
          </w:tcPr>
          <w:p w14:paraId="3C7344E2"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残余应力</w:t>
            </w:r>
          </w:p>
        </w:tc>
        <w:tc>
          <w:tcPr>
            <w:tcW w:w="3118" w:type="dxa"/>
            <w:tcBorders>
              <w:top w:val="single" w:sz="6" w:space="0" w:color="auto"/>
              <w:bottom w:val="single" w:sz="6" w:space="0" w:color="auto"/>
            </w:tcBorders>
            <w:noWrap/>
            <w:vAlign w:val="center"/>
            <w:hideMark/>
          </w:tcPr>
          <w:p w14:paraId="2D2668CC"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358F13A8"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417" w:type="dxa"/>
            <w:tcBorders>
              <w:top w:val="single" w:sz="6" w:space="0" w:color="auto"/>
              <w:bottom w:val="single" w:sz="6" w:space="0" w:color="auto"/>
            </w:tcBorders>
            <w:noWrap/>
            <w:vAlign w:val="center"/>
            <w:hideMark/>
          </w:tcPr>
          <w:p w14:paraId="4CF1DAB0"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144" w:type="dxa"/>
            <w:tcBorders>
              <w:top w:val="single" w:sz="6" w:space="0" w:color="auto"/>
              <w:bottom w:val="single" w:sz="6" w:space="0" w:color="auto"/>
            </w:tcBorders>
            <w:noWrap/>
            <w:vAlign w:val="center"/>
            <w:hideMark/>
          </w:tcPr>
          <w:p w14:paraId="755F76CA"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优于</w:t>
            </w:r>
          </w:p>
        </w:tc>
      </w:tr>
      <w:tr w:rsidR="008E1FAE" w:rsidRPr="008E1FAE" w14:paraId="11ECFC69" w14:textId="77777777" w:rsidTr="004D51CB">
        <w:trPr>
          <w:trHeight w:val="285"/>
        </w:trPr>
        <w:tc>
          <w:tcPr>
            <w:tcW w:w="1403" w:type="dxa"/>
            <w:tcBorders>
              <w:top w:val="single" w:sz="6" w:space="0" w:color="auto"/>
              <w:bottom w:val="single" w:sz="6" w:space="0" w:color="auto"/>
            </w:tcBorders>
            <w:noWrap/>
            <w:vAlign w:val="center"/>
            <w:hideMark/>
          </w:tcPr>
          <w:p w14:paraId="0F39E520"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耐脱锌腐蚀性能</w:t>
            </w:r>
          </w:p>
        </w:tc>
        <w:tc>
          <w:tcPr>
            <w:tcW w:w="3118" w:type="dxa"/>
            <w:tcBorders>
              <w:top w:val="single" w:sz="6" w:space="0" w:color="auto"/>
              <w:bottom w:val="single" w:sz="6" w:space="0" w:color="auto"/>
            </w:tcBorders>
            <w:noWrap/>
            <w:vAlign w:val="center"/>
            <w:hideMark/>
          </w:tcPr>
          <w:p w14:paraId="3B17BC2A"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189A724C"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417" w:type="dxa"/>
            <w:tcBorders>
              <w:top w:val="single" w:sz="6" w:space="0" w:color="auto"/>
              <w:bottom w:val="single" w:sz="6" w:space="0" w:color="auto"/>
            </w:tcBorders>
            <w:noWrap/>
            <w:vAlign w:val="center"/>
            <w:hideMark/>
          </w:tcPr>
          <w:p w14:paraId="781F9BAE"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144" w:type="dxa"/>
            <w:tcBorders>
              <w:top w:val="single" w:sz="6" w:space="0" w:color="auto"/>
              <w:bottom w:val="single" w:sz="6" w:space="0" w:color="auto"/>
            </w:tcBorders>
            <w:noWrap/>
            <w:vAlign w:val="center"/>
            <w:hideMark/>
          </w:tcPr>
          <w:p w14:paraId="6FA46CC0"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优于</w:t>
            </w:r>
          </w:p>
        </w:tc>
      </w:tr>
      <w:tr w:rsidR="008E1FAE" w:rsidRPr="008E1FAE" w14:paraId="25B9308D" w14:textId="77777777" w:rsidTr="004D51CB">
        <w:trPr>
          <w:trHeight w:val="285"/>
        </w:trPr>
        <w:tc>
          <w:tcPr>
            <w:tcW w:w="1403" w:type="dxa"/>
            <w:tcBorders>
              <w:top w:val="single" w:sz="6" w:space="0" w:color="auto"/>
              <w:bottom w:val="single" w:sz="6" w:space="0" w:color="auto"/>
            </w:tcBorders>
            <w:noWrap/>
            <w:vAlign w:val="center"/>
            <w:hideMark/>
          </w:tcPr>
          <w:p w14:paraId="4B9C08F5"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切削性</w:t>
            </w:r>
          </w:p>
        </w:tc>
        <w:tc>
          <w:tcPr>
            <w:tcW w:w="3118" w:type="dxa"/>
            <w:tcBorders>
              <w:top w:val="single" w:sz="6" w:space="0" w:color="auto"/>
              <w:bottom w:val="single" w:sz="6" w:space="0" w:color="auto"/>
            </w:tcBorders>
            <w:noWrap/>
            <w:vAlign w:val="center"/>
            <w:hideMark/>
          </w:tcPr>
          <w:p w14:paraId="3C107D6A"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5FA82040"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417" w:type="dxa"/>
            <w:tcBorders>
              <w:top w:val="single" w:sz="6" w:space="0" w:color="auto"/>
              <w:bottom w:val="single" w:sz="6" w:space="0" w:color="auto"/>
            </w:tcBorders>
            <w:noWrap/>
            <w:vAlign w:val="center"/>
            <w:hideMark/>
          </w:tcPr>
          <w:p w14:paraId="4FEA21CC"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144" w:type="dxa"/>
            <w:tcBorders>
              <w:top w:val="single" w:sz="6" w:space="0" w:color="auto"/>
              <w:bottom w:val="single" w:sz="6" w:space="0" w:color="auto"/>
            </w:tcBorders>
            <w:noWrap/>
            <w:vAlign w:val="center"/>
            <w:hideMark/>
          </w:tcPr>
          <w:p w14:paraId="641F7430"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优于</w:t>
            </w:r>
          </w:p>
        </w:tc>
      </w:tr>
      <w:tr w:rsidR="008E1FAE" w:rsidRPr="008E1FAE" w14:paraId="219618CF" w14:textId="77777777" w:rsidTr="004D51CB">
        <w:trPr>
          <w:trHeight w:val="285"/>
        </w:trPr>
        <w:tc>
          <w:tcPr>
            <w:tcW w:w="1403" w:type="dxa"/>
            <w:tcBorders>
              <w:top w:val="single" w:sz="6" w:space="0" w:color="auto"/>
              <w:bottom w:val="single" w:sz="6" w:space="0" w:color="auto"/>
            </w:tcBorders>
            <w:noWrap/>
            <w:vAlign w:val="center"/>
            <w:hideMark/>
          </w:tcPr>
          <w:p w14:paraId="4C886644"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内部质量</w:t>
            </w:r>
          </w:p>
        </w:tc>
        <w:tc>
          <w:tcPr>
            <w:tcW w:w="3118" w:type="dxa"/>
            <w:tcBorders>
              <w:top w:val="single" w:sz="6" w:space="0" w:color="auto"/>
              <w:bottom w:val="single" w:sz="6" w:space="0" w:color="auto"/>
            </w:tcBorders>
            <w:noWrap/>
            <w:vAlign w:val="center"/>
            <w:hideMark/>
          </w:tcPr>
          <w:p w14:paraId="27C81EC3"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4350F36F"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7" w:type="dxa"/>
            <w:tcBorders>
              <w:top w:val="single" w:sz="6" w:space="0" w:color="auto"/>
              <w:bottom w:val="single" w:sz="6" w:space="0" w:color="auto"/>
            </w:tcBorders>
            <w:noWrap/>
            <w:vAlign w:val="center"/>
            <w:hideMark/>
          </w:tcPr>
          <w:p w14:paraId="1397C5F0"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144" w:type="dxa"/>
            <w:tcBorders>
              <w:top w:val="single" w:sz="6" w:space="0" w:color="auto"/>
              <w:bottom w:val="single" w:sz="6" w:space="0" w:color="auto"/>
            </w:tcBorders>
            <w:noWrap/>
            <w:vAlign w:val="center"/>
            <w:hideMark/>
          </w:tcPr>
          <w:p w14:paraId="40914F25"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相当</w:t>
            </w:r>
          </w:p>
        </w:tc>
      </w:tr>
      <w:tr w:rsidR="008E1FAE" w:rsidRPr="008E1FAE" w14:paraId="422F285C" w14:textId="77777777" w:rsidTr="004D51CB">
        <w:trPr>
          <w:trHeight w:val="285"/>
        </w:trPr>
        <w:tc>
          <w:tcPr>
            <w:tcW w:w="1403" w:type="dxa"/>
            <w:tcBorders>
              <w:top w:val="single" w:sz="6" w:space="0" w:color="auto"/>
              <w:bottom w:val="single" w:sz="6" w:space="0" w:color="auto"/>
            </w:tcBorders>
            <w:noWrap/>
            <w:vAlign w:val="center"/>
            <w:hideMark/>
          </w:tcPr>
          <w:p w14:paraId="164272ED"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表面质量</w:t>
            </w:r>
          </w:p>
        </w:tc>
        <w:tc>
          <w:tcPr>
            <w:tcW w:w="3118" w:type="dxa"/>
            <w:tcBorders>
              <w:top w:val="single" w:sz="6" w:space="0" w:color="auto"/>
              <w:bottom w:val="single" w:sz="6" w:space="0" w:color="auto"/>
            </w:tcBorders>
            <w:noWrap/>
            <w:vAlign w:val="center"/>
            <w:hideMark/>
          </w:tcPr>
          <w:p w14:paraId="0E3FAAA5"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6" w:space="0" w:color="auto"/>
            </w:tcBorders>
            <w:noWrap/>
            <w:vAlign w:val="center"/>
            <w:hideMark/>
          </w:tcPr>
          <w:p w14:paraId="3B82266D"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7" w:type="dxa"/>
            <w:tcBorders>
              <w:top w:val="single" w:sz="6" w:space="0" w:color="auto"/>
              <w:bottom w:val="single" w:sz="6" w:space="0" w:color="auto"/>
            </w:tcBorders>
            <w:noWrap/>
            <w:vAlign w:val="center"/>
            <w:hideMark/>
          </w:tcPr>
          <w:p w14:paraId="0B08FD11"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144" w:type="dxa"/>
            <w:tcBorders>
              <w:top w:val="single" w:sz="6" w:space="0" w:color="auto"/>
              <w:bottom w:val="single" w:sz="6" w:space="0" w:color="auto"/>
            </w:tcBorders>
            <w:noWrap/>
            <w:vAlign w:val="center"/>
            <w:hideMark/>
          </w:tcPr>
          <w:p w14:paraId="72E12401"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相当</w:t>
            </w:r>
          </w:p>
        </w:tc>
      </w:tr>
      <w:tr w:rsidR="008E1FAE" w:rsidRPr="008E1FAE" w14:paraId="26A82AE0" w14:textId="77777777" w:rsidTr="004D51CB">
        <w:trPr>
          <w:trHeight w:val="285"/>
        </w:trPr>
        <w:tc>
          <w:tcPr>
            <w:tcW w:w="1403" w:type="dxa"/>
            <w:tcBorders>
              <w:top w:val="single" w:sz="6" w:space="0" w:color="auto"/>
              <w:bottom w:val="single" w:sz="12" w:space="0" w:color="auto"/>
            </w:tcBorders>
            <w:noWrap/>
            <w:vAlign w:val="center"/>
            <w:hideMark/>
          </w:tcPr>
          <w:p w14:paraId="262C1DC7"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卷（轴）重量</w:t>
            </w:r>
          </w:p>
        </w:tc>
        <w:tc>
          <w:tcPr>
            <w:tcW w:w="3118" w:type="dxa"/>
            <w:tcBorders>
              <w:top w:val="single" w:sz="6" w:space="0" w:color="auto"/>
              <w:bottom w:val="single" w:sz="12" w:space="0" w:color="auto"/>
            </w:tcBorders>
            <w:noWrap/>
            <w:vAlign w:val="center"/>
            <w:hideMark/>
          </w:tcPr>
          <w:p w14:paraId="057F124B"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有</w:t>
            </w:r>
          </w:p>
        </w:tc>
        <w:tc>
          <w:tcPr>
            <w:tcW w:w="1418" w:type="dxa"/>
            <w:tcBorders>
              <w:top w:val="single" w:sz="6" w:space="0" w:color="auto"/>
              <w:bottom w:val="single" w:sz="12" w:space="0" w:color="auto"/>
            </w:tcBorders>
            <w:noWrap/>
            <w:vAlign w:val="center"/>
            <w:hideMark/>
          </w:tcPr>
          <w:p w14:paraId="76ED8728"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417" w:type="dxa"/>
            <w:tcBorders>
              <w:top w:val="single" w:sz="6" w:space="0" w:color="auto"/>
              <w:bottom w:val="single" w:sz="12" w:space="0" w:color="auto"/>
            </w:tcBorders>
            <w:noWrap/>
            <w:vAlign w:val="center"/>
            <w:hideMark/>
          </w:tcPr>
          <w:p w14:paraId="1167076A"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无</w:t>
            </w:r>
          </w:p>
        </w:tc>
        <w:tc>
          <w:tcPr>
            <w:tcW w:w="1144" w:type="dxa"/>
            <w:tcBorders>
              <w:top w:val="single" w:sz="6" w:space="0" w:color="auto"/>
              <w:bottom w:val="single" w:sz="12" w:space="0" w:color="auto"/>
            </w:tcBorders>
            <w:noWrap/>
            <w:vAlign w:val="center"/>
            <w:hideMark/>
          </w:tcPr>
          <w:p w14:paraId="389426FB" w14:textId="77777777" w:rsidR="008E1FAE" w:rsidRPr="008E1FAE" w:rsidRDefault="008E1FAE" w:rsidP="008E1FAE">
            <w:pPr>
              <w:widowControl/>
              <w:jc w:val="center"/>
              <w:rPr>
                <w:rFonts w:asciiTheme="minorEastAsia" w:hAnsiTheme="minorEastAsia" w:cs="宋体" w:hint="eastAsia"/>
                <w:kern w:val="0"/>
                <w:sz w:val="18"/>
                <w:szCs w:val="18"/>
              </w:rPr>
            </w:pPr>
            <w:r w:rsidRPr="008E1FAE">
              <w:rPr>
                <w:rFonts w:asciiTheme="minorEastAsia" w:hAnsiTheme="minorEastAsia" w:cs="宋体"/>
                <w:kern w:val="0"/>
                <w:sz w:val="18"/>
                <w:szCs w:val="18"/>
              </w:rPr>
              <w:t>优于</w:t>
            </w:r>
          </w:p>
        </w:tc>
      </w:tr>
    </w:tbl>
    <w:p w14:paraId="0B088654" w14:textId="3663D248" w:rsidR="00F609CA" w:rsidRPr="007026CC" w:rsidRDefault="007026CC" w:rsidP="009409D1">
      <w:pPr>
        <w:spacing w:beforeLines="50" w:before="156" w:afterLines="50" w:after="156"/>
        <w:jc w:val="center"/>
        <w:rPr>
          <w:rFonts w:eastAsia="黑体"/>
          <w:color w:val="000000"/>
          <w:kern w:val="0"/>
          <w:szCs w:val="20"/>
        </w:rPr>
      </w:pPr>
      <w:r>
        <w:rPr>
          <w:rFonts w:eastAsia="黑体"/>
          <w:color w:val="000000"/>
          <w:kern w:val="0"/>
          <w:szCs w:val="20"/>
        </w:rPr>
        <w:t>表</w:t>
      </w:r>
      <w:r>
        <w:rPr>
          <w:rFonts w:eastAsia="黑体" w:hint="eastAsia"/>
          <w:color w:val="000000"/>
          <w:kern w:val="0"/>
          <w:szCs w:val="20"/>
        </w:rPr>
        <w:t>11</w:t>
      </w:r>
      <w:r w:rsidR="00F609CA" w:rsidRPr="007026CC">
        <w:rPr>
          <w:rFonts w:eastAsia="黑体" w:hint="eastAsia"/>
          <w:color w:val="000000"/>
          <w:kern w:val="0"/>
          <w:szCs w:val="20"/>
        </w:rPr>
        <w:t>本标准与</w:t>
      </w:r>
      <w:r w:rsidR="00F609CA" w:rsidRPr="007026CC">
        <w:rPr>
          <w:rFonts w:eastAsia="黑体" w:hint="eastAsia"/>
          <w:color w:val="000000"/>
          <w:kern w:val="0"/>
          <w:szCs w:val="20"/>
        </w:rPr>
        <w:t xml:space="preserve">ASTM B301-2020 </w:t>
      </w:r>
      <w:r w:rsidR="007D6E5A">
        <w:rPr>
          <w:rFonts w:eastAsia="黑体" w:hint="eastAsia"/>
          <w:color w:val="000000"/>
          <w:kern w:val="0"/>
          <w:szCs w:val="20"/>
        </w:rPr>
        <w:t>共有</w:t>
      </w:r>
      <w:r w:rsidR="00F609CA" w:rsidRPr="007026CC">
        <w:rPr>
          <w:rFonts w:eastAsia="黑体" w:hint="eastAsia"/>
          <w:color w:val="000000"/>
          <w:kern w:val="0"/>
          <w:szCs w:val="20"/>
        </w:rPr>
        <w:t>力学性能的对比</w:t>
      </w:r>
    </w:p>
    <w:tbl>
      <w:tblPr>
        <w:tblW w:w="51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92"/>
        <w:gridCol w:w="735"/>
        <w:gridCol w:w="966"/>
        <w:gridCol w:w="1265"/>
        <w:gridCol w:w="719"/>
        <w:gridCol w:w="1117"/>
        <w:gridCol w:w="1258"/>
        <w:gridCol w:w="939"/>
      </w:tblGrid>
      <w:tr w:rsidR="00F609CA" w:rsidRPr="00F609CA" w14:paraId="21F22E30" w14:textId="77777777" w:rsidTr="004D51CB">
        <w:trPr>
          <w:trHeight w:val="285"/>
        </w:trPr>
        <w:tc>
          <w:tcPr>
            <w:tcW w:w="878" w:type="pct"/>
            <w:vMerge w:val="restart"/>
            <w:noWrap/>
            <w:vAlign w:val="center"/>
            <w:hideMark/>
          </w:tcPr>
          <w:p w14:paraId="312393B1"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牌号（代号）</w:t>
            </w:r>
          </w:p>
        </w:tc>
        <w:tc>
          <w:tcPr>
            <w:tcW w:w="3569" w:type="pct"/>
            <w:gridSpan w:val="6"/>
            <w:noWrap/>
            <w:vAlign w:val="center"/>
            <w:hideMark/>
          </w:tcPr>
          <w:p w14:paraId="3CE5C45E"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力学性能</w:t>
            </w:r>
          </w:p>
        </w:tc>
        <w:tc>
          <w:tcPr>
            <w:tcW w:w="553" w:type="pct"/>
            <w:vMerge w:val="restart"/>
            <w:vAlign w:val="center"/>
            <w:hideMark/>
          </w:tcPr>
          <w:p w14:paraId="55AB2689"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与本文件的对比</w:t>
            </w:r>
          </w:p>
        </w:tc>
      </w:tr>
      <w:tr w:rsidR="00F609CA" w:rsidRPr="00F609CA" w14:paraId="3DF9A134" w14:textId="77777777" w:rsidTr="004D51CB">
        <w:trPr>
          <w:trHeight w:val="285"/>
        </w:trPr>
        <w:tc>
          <w:tcPr>
            <w:tcW w:w="878" w:type="pct"/>
            <w:vMerge/>
            <w:vAlign w:val="center"/>
            <w:hideMark/>
          </w:tcPr>
          <w:p w14:paraId="62E2A7CD" w14:textId="77777777" w:rsidR="00F609CA" w:rsidRPr="00F609CA" w:rsidRDefault="00F609CA" w:rsidP="00F609CA">
            <w:pPr>
              <w:widowControl/>
              <w:jc w:val="center"/>
              <w:rPr>
                <w:rFonts w:ascii="Times New Roman" w:eastAsia="宋体" w:hAnsi="Times New Roman" w:cs="Times New Roman"/>
                <w:color w:val="000000"/>
                <w:kern w:val="0"/>
                <w:sz w:val="18"/>
                <w:szCs w:val="18"/>
              </w:rPr>
            </w:pPr>
          </w:p>
        </w:tc>
        <w:tc>
          <w:tcPr>
            <w:tcW w:w="1747" w:type="pct"/>
            <w:gridSpan w:val="3"/>
            <w:noWrap/>
            <w:vAlign w:val="center"/>
            <w:hideMark/>
          </w:tcPr>
          <w:p w14:paraId="2C4C3E70"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本文件</w:t>
            </w:r>
          </w:p>
        </w:tc>
        <w:tc>
          <w:tcPr>
            <w:tcW w:w="1822" w:type="pct"/>
            <w:gridSpan w:val="3"/>
            <w:noWrap/>
            <w:vAlign w:val="center"/>
            <w:hideMark/>
          </w:tcPr>
          <w:p w14:paraId="040415CC"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ASTM B301-2020</w:t>
            </w:r>
          </w:p>
        </w:tc>
        <w:tc>
          <w:tcPr>
            <w:tcW w:w="553" w:type="pct"/>
            <w:vMerge/>
            <w:vAlign w:val="center"/>
            <w:hideMark/>
          </w:tcPr>
          <w:p w14:paraId="2BC4F50C" w14:textId="77777777" w:rsidR="00F609CA" w:rsidRPr="00F609CA" w:rsidRDefault="00F609CA" w:rsidP="00F609CA">
            <w:pPr>
              <w:widowControl/>
              <w:jc w:val="center"/>
              <w:rPr>
                <w:rFonts w:ascii="Times New Roman" w:eastAsia="宋体" w:hAnsi="Times New Roman" w:cs="Times New Roman"/>
                <w:color w:val="000000"/>
                <w:kern w:val="0"/>
                <w:sz w:val="18"/>
                <w:szCs w:val="18"/>
              </w:rPr>
            </w:pPr>
          </w:p>
        </w:tc>
      </w:tr>
      <w:tr w:rsidR="00F609CA" w:rsidRPr="00F609CA" w14:paraId="680C5A8B" w14:textId="77777777" w:rsidTr="004D51CB">
        <w:trPr>
          <w:trHeight w:val="855"/>
        </w:trPr>
        <w:tc>
          <w:tcPr>
            <w:tcW w:w="878" w:type="pct"/>
            <w:vMerge/>
            <w:tcBorders>
              <w:bottom w:val="single" w:sz="12" w:space="0" w:color="auto"/>
            </w:tcBorders>
            <w:vAlign w:val="center"/>
            <w:hideMark/>
          </w:tcPr>
          <w:p w14:paraId="2CAA2B8C" w14:textId="77777777" w:rsidR="00F609CA" w:rsidRPr="00F609CA" w:rsidRDefault="00F609CA" w:rsidP="00F609CA">
            <w:pPr>
              <w:widowControl/>
              <w:jc w:val="center"/>
              <w:rPr>
                <w:rFonts w:ascii="Times New Roman" w:eastAsia="宋体" w:hAnsi="Times New Roman" w:cs="Times New Roman"/>
                <w:color w:val="000000"/>
                <w:kern w:val="0"/>
                <w:sz w:val="18"/>
                <w:szCs w:val="18"/>
              </w:rPr>
            </w:pPr>
          </w:p>
        </w:tc>
        <w:tc>
          <w:tcPr>
            <w:tcW w:w="433" w:type="pct"/>
            <w:tcBorders>
              <w:bottom w:val="single" w:sz="12" w:space="0" w:color="auto"/>
            </w:tcBorders>
            <w:noWrap/>
            <w:vAlign w:val="center"/>
            <w:hideMark/>
          </w:tcPr>
          <w:p w14:paraId="175563AB"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规格</w:t>
            </w:r>
          </w:p>
        </w:tc>
        <w:tc>
          <w:tcPr>
            <w:tcW w:w="569" w:type="pct"/>
            <w:tcBorders>
              <w:bottom w:val="single" w:sz="12" w:space="0" w:color="auto"/>
            </w:tcBorders>
            <w:vAlign w:val="center"/>
            <w:hideMark/>
          </w:tcPr>
          <w:p w14:paraId="41DD4760"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抗拉强度</w:t>
            </w:r>
            <w:r w:rsidRPr="00F609CA">
              <w:rPr>
                <w:rFonts w:ascii="Times New Roman" w:eastAsia="宋体" w:hAnsi="Times New Roman" w:cs="Times New Roman"/>
                <w:color w:val="000000"/>
                <w:kern w:val="0"/>
                <w:sz w:val="18"/>
                <w:szCs w:val="18"/>
              </w:rPr>
              <w:br/>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Rm</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br/>
              <w:t>Mpa</w:t>
            </w:r>
          </w:p>
        </w:tc>
        <w:tc>
          <w:tcPr>
            <w:tcW w:w="745" w:type="pct"/>
            <w:tcBorders>
              <w:bottom w:val="single" w:sz="12" w:space="0" w:color="auto"/>
            </w:tcBorders>
            <w:vAlign w:val="center"/>
            <w:hideMark/>
          </w:tcPr>
          <w:p w14:paraId="610806D0"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断后伸长率</w:t>
            </w:r>
            <w:r w:rsidRPr="00F609CA">
              <w:rPr>
                <w:rFonts w:ascii="Times New Roman" w:eastAsia="宋体" w:hAnsi="Times New Roman" w:cs="Times New Roman"/>
                <w:color w:val="000000"/>
                <w:kern w:val="0"/>
                <w:sz w:val="18"/>
                <w:szCs w:val="18"/>
              </w:rPr>
              <w:br/>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A100mm</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br/>
              <w:t>%</w:t>
            </w:r>
          </w:p>
        </w:tc>
        <w:tc>
          <w:tcPr>
            <w:tcW w:w="423" w:type="pct"/>
            <w:tcBorders>
              <w:bottom w:val="single" w:sz="12" w:space="0" w:color="auto"/>
            </w:tcBorders>
            <w:noWrap/>
            <w:vAlign w:val="center"/>
            <w:hideMark/>
          </w:tcPr>
          <w:p w14:paraId="0BFA4AB5"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规格</w:t>
            </w:r>
          </w:p>
        </w:tc>
        <w:tc>
          <w:tcPr>
            <w:tcW w:w="658" w:type="pct"/>
            <w:tcBorders>
              <w:bottom w:val="single" w:sz="12" w:space="0" w:color="auto"/>
            </w:tcBorders>
            <w:vAlign w:val="center"/>
            <w:hideMark/>
          </w:tcPr>
          <w:p w14:paraId="1C10BFDF"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抗拉强度</w:t>
            </w:r>
            <w:r w:rsidRPr="00F609CA">
              <w:rPr>
                <w:rFonts w:ascii="Times New Roman" w:eastAsia="宋体" w:hAnsi="Times New Roman" w:cs="Times New Roman"/>
                <w:color w:val="000000"/>
                <w:kern w:val="0"/>
                <w:sz w:val="18"/>
                <w:szCs w:val="18"/>
              </w:rPr>
              <w:br/>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Rm</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br/>
              <w:t>Mpa</w:t>
            </w:r>
          </w:p>
        </w:tc>
        <w:tc>
          <w:tcPr>
            <w:tcW w:w="741" w:type="pct"/>
            <w:tcBorders>
              <w:bottom w:val="single" w:sz="12" w:space="0" w:color="auto"/>
            </w:tcBorders>
            <w:vAlign w:val="center"/>
            <w:hideMark/>
          </w:tcPr>
          <w:p w14:paraId="499D97BE"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断后伸长率</w:t>
            </w:r>
            <w:r w:rsidRPr="00F609CA">
              <w:rPr>
                <w:rFonts w:ascii="Times New Roman" w:eastAsia="宋体" w:hAnsi="Times New Roman" w:cs="Times New Roman"/>
                <w:color w:val="000000"/>
                <w:kern w:val="0"/>
                <w:sz w:val="18"/>
                <w:szCs w:val="18"/>
              </w:rPr>
              <w:br/>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A100mm</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br/>
              <w:t>%</w:t>
            </w:r>
          </w:p>
        </w:tc>
        <w:tc>
          <w:tcPr>
            <w:tcW w:w="553" w:type="pct"/>
            <w:vMerge/>
            <w:tcBorders>
              <w:bottom w:val="single" w:sz="12" w:space="0" w:color="auto"/>
            </w:tcBorders>
            <w:vAlign w:val="center"/>
            <w:hideMark/>
          </w:tcPr>
          <w:p w14:paraId="3DD323AC" w14:textId="77777777" w:rsidR="00F609CA" w:rsidRPr="00F609CA" w:rsidRDefault="00F609CA" w:rsidP="00F609CA">
            <w:pPr>
              <w:widowControl/>
              <w:jc w:val="center"/>
              <w:rPr>
                <w:rFonts w:ascii="Times New Roman" w:eastAsia="宋体" w:hAnsi="Times New Roman" w:cs="Times New Roman"/>
                <w:color w:val="000000"/>
                <w:kern w:val="0"/>
                <w:sz w:val="18"/>
                <w:szCs w:val="18"/>
              </w:rPr>
            </w:pPr>
          </w:p>
        </w:tc>
      </w:tr>
      <w:tr w:rsidR="00F609CA" w:rsidRPr="00F609CA" w14:paraId="1D32AF5B" w14:textId="77777777" w:rsidTr="004D51CB">
        <w:trPr>
          <w:trHeight w:val="285"/>
        </w:trPr>
        <w:tc>
          <w:tcPr>
            <w:tcW w:w="878" w:type="pct"/>
            <w:vMerge w:val="restart"/>
            <w:tcBorders>
              <w:top w:val="single" w:sz="12" w:space="0" w:color="auto"/>
              <w:bottom w:val="single" w:sz="6" w:space="0" w:color="auto"/>
            </w:tcBorders>
            <w:vAlign w:val="center"/>
            <w:hideMark/>
          </w:tcPr>
          <w:p w14:paraId="3CFA7744"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TTe0.5</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C14500</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TPb1</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C14700</w:t>
            </w:r>
            <w:r w:rsidRPr="00F609CA">
              <w:rPr>
                <w:rFonts w:ascii="Times New Roman" w:eastAsia="宋体" w:hAnsi="Times New Roman" w:cs="Times New Roman"/>
                <w:color w:val="000000"/>
                <w:kern w:val="0"/>
                <w:sz w:val="18"/>
                <w:szCs w:val="18"/>
              </w:rPr>
              <w:t>）</w:t>
            </w:r>
          </w:p>
        </w:tc>
        <w:tc>
          <w:tcPr>
            <w:tcW w:w="433" w:type="pct"/>
            <w:tcBorders>
              <w:top w:val="single" w:sz="12" w:space="0" w:color="auto"/>
              <w:bottom w:val="single" w:sz="6" w:space="0" w:color="auto"/>
            </w:tcBorders>
            <w:vAlign w:val="center"/>
            <w:hideMark/>
          </w:tcPr>
          <w:p w14:paraId="6FBE2D56"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0.5</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12.0</w:t>
            </w:r>
          </w:p>
        </w:tc>
        <w:tc>
          <w:tcPr>
            <w:tcW w:w="569" w:type="pct"/>
            <w:tcBorders>
              <w:top w:val="single" w:sz="12" w:space="0" w:color="auto"/>
              <w:bottom w:val="single" w:sz="6" w:space="0" w:color="auto"/>
            </w:tcBorders>
            <w:vAlign w:val="center"/>
            <w:hideMark/>
          </w:tcPr>
          <w:p w14:paraId="6DDE40F0"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260</w:t>
            </w:r>
          </w:p>
        </w:tc>
        <w:tc>
          <w:tcPr>
            <w:tcW w:w="745" w:type="pct"/>
            <w:tcBorders>
              <w:top w:val="single" w:sz="12" w:space="0" w:color="auto"/>
              <w:bottom w:val="single" w:sz="6" w:space="0" w:color="auto"/>
            </w:tcBorders>
            <w:vAlign w:val="center"/>
            <w:hideMark/>
          </w:tcPr>
          <w:p w14:paraId="026E2B68"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6</w:t>
            </w:r>
          </w:p>
        </w:tc>
        <w:tc>
          <w:tcPr>
            <w:tcW w:w="423" w:type="pct"/>
            <w:tcBorders>
              <w:top w:val="single" w:sz="12" w:space="0" w:color="auto"/>
              <w:bottom w:val="single" w:sz="6" w:space="0" w:color="auto"/>
            </w:tcBorders>
            <w:noWrap/>
            <w:vAlign w:val="center"/>
            <w:hideMark/>
          </w:tcPr>
          <w:p w14:paraId="5783DDC4"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1.5~12</w:t>
            </w:r>
          </w:p>
        </w:tc>
        <w:tc>
          <w:tcPr>
            <w:tcW w:w="658" w:type="pct"/>
            <w:tcBorders>
              <w:top w:val="single" w:sz="12" w:space="0" w:color="auto"/>
              <w:bottom w:val="single" w:sz="6" w:space="0" w:color="auto"/>
            </w:tcBorders>
            <w:vAlign w:val="center"/>
            <w:hideMark/>
          </w:tcPr>
          <w:p w14:paraId="78DF8FC1"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260</w:t>
            </w:r>
          </w:p>
        </w:tc>
        <w:tc>
          <w:tcPr>
            <w:tcW w:w="741" w:type="pct"/>
            <w:tcBorders>
              <w:top w:val="single" w:sz="12" w:space="0" w:color="auto"/>
              <w:bottom w:val="single" w:sz="6" w:space="0" w:color="auto"/>
            </w:tcBorders>
            <w:vAlign w:val="center"/>
            <w:hideMark/>
          </w:tcPr>
          <w:p w14:paraId="339AD101"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6</w:t>
            </w:r>
          </w:p>
        </w:tc>
        <w:tc>
          <w:tcPr>
            <w:tcW w:w="553" w:type="pct"/>
            <w:tcBorders>
              <w:top w:val="single" w:sz="12" w:space="0" w:color="auto"/>
              <w:bottom w:val="single" w:sz="6" w:space="0" w:color="auto"/>
            </w:tcBorders>
            <w:vAlign w:val="center"/>
            <w:hideMark/>
          </w:tcPr>
          <w:p w14:paraId="5550F0CC"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相当</w:t>
            </w:r>
          </w:p>
        </w:tc>
      </w:tr>
      <w:tr w:rsidR="00F609CA" w:rsidRPr="00F609CA" w14:paraId="0A356DAD" w14:textId="77777777" w:rsidTr="004D51CB">
        <w:trPr>
          <w:trHeight w:val="285"/>
        </w:trPr>
        <w:tc>
          <w:tcPr>
            <w:tcW w:w="878" w:type="pct"/>
            <w:vMerge/>
            <w:tcBorders>
              <w:top w:val="single" w:sz="6" w:space="0" w:color="auto"/>
              <w:bottom w:val="single" w:sz="12" w:space="0" w:color="auto"/>
            </w:tcBorders>
            <w:vAlign w:val="center"/>
            <w:hideMark/>
          </w:tcPr>
          <w:p w14:paraId="3C7E0974" w14:textId="77777777" w:rsidR="00F609CA" w:rsidRPr="00F609CA" w:rsidRDefault="00F609CA" w:rsidP="00F609CA">
            <w:pPr>
              <w:widowControl/>
              <w:jc w:val="center"/>
              <w:rPr>
                <w:rFonts w:ascii="Times New Roman" w:eastAsia="宋体" w:hAnsi="Times New Roman" w:cs="Times New Roman"/>
                <w:color w:val="000000"/>
                <w:kern w:val="0"/>
                <w:sz w:val="18"/>
                <w:szCs w:val="18"/>
              </w:rPr>
            </w:pPr>
          </w:p>
        </w:tc>
        <w:tc>
          <w:tcPr>
            <w:tcW w:w="433" w:type="pct"/>
            <w:tcBorders>
              <w:top w:val="single" w:sz="6" w:space="0" w:color="auto"/>
              <w:bottom w:val="single" w:sz="12" w:space="0" w:color="auto"/>
            </w:tcBorders>
            <w:vAlign w:val="center"/>
            <w:hideMark/>
          </w:tcPr>
          <w:p w14:paraId="4A3D8759"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0.5</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12.0</w:t>
            </w:r>
          </w:p>
        </w:tc>
        <w:tc>
          <w:tcPr>
            <w:tcW w:w="569" w:type="pct"/>
            <w:tcBorders>
              <w:top w:val="single" w:sz="6" w:space="0" w:color="auto"/>
              <w:bottom w:val="single" w:sz="12" w:space="0" w:color="auto"/>
            </w:tcBorders>
            <w:vAlign w:val="center"/>
            <w:hideMark/>
          </w:tcPr>
          <w:p w14:paraId="357E43DD"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330</w:t>
            </w:r>
          </w:p>
        </w:tc>
        <w:tc>
          <w:tcPr>
            <w:tcW w:w="745" w:type="pct"/>
            <w:tcBorders>
              <w:top w:val="single" w:sz="6" w:space="0" w:color="auto"/>
              <w:bottom w:val="single" w:sz="12" w:space="0" w:color="auto"/>
            </w:tcBorders>
            <w:vAlign w:val="center"/>
            <w:hideMark/>
          </w:tcPr>
          <w:p w14:paraId="47FE49A7"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4</w:t>
            </w:r>
          </w:p>
        </w:tc>
        <w:tc>
          <w:tcPr>
            <w:tcW w:w="423" w:type="pct"/>
            <w:tcBorders>
              <w:top w:val="single" w:sz="6" w:space="0" w:color="auto"/>
              <w:bottom w:val="single" w:sz="12" w:space="0" w:color="auto"/>
            </w:tcBorders>
            <w:vAlign w:val="center"/>
            <w:hideMark/>
          </w:tcPr>
          <w:p w14:paraId="015C79BE"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1.5~12</w:t>
            </w:r>
          </w:p>
        </w:tc>
        <w:tc>
          <w:tcPr>
            <w:tcW w:w="658" w:type="pct"/>
            <w:tcBorders>
              <w:top w:val="single" w:sz="6" w:space="0" w:color="auto"/>
              <w:bottom w:val="single" w:sz="12" w:space="0" w:color="auto"/>
            </w:tcBorders>
            <w:vAlign w:val="center"/>
            <w:hideMark/>
          </w:tcPr>
          <w:p w14:paraId="53B71AFB"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330</w:t>
            </w:r>
          </w:p>
        </w:tc>
        <w:tc>
          <w:tcPr>
            <w:tcW w:w="741" w:type="pct"/>
            <w:tcBorders>
              <w:top w:val="single" w:sz="6" w:space="0" w:color="auto"/>
              <w:bottom w:val="single" w:sz="12" w:space="0" w:color="auto"/>
            </w:tcBorders>
            <w:vAlign w:val="center"/>
            <w:hideMark/>
          </w:tcPr>
          <w:p w14:paraId="3292E86D"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4</w:t>
            </w:r>
          </w:p>
        </w:tc>
        <w:tc>
          <w:tcPr>
            <w:tcW w:w="553" w:type="pct"/>
            <w:tcBorders>
              <w:top w:val="single" w:sz="6" w:space="0" w:color="auto"/>
              <w:bottom w:val="single" w:sz="12" w:space="0" w:color="auto"/>
            </w:tcBorders>
            <w:vAlign w:val="center"/>
            <w:hideMark/>
          </w:tcPr>
          <w:p w14:paraId="48EB695A"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相当</w:t>
            </w:r>
          </w:p>
        </w:tc>
      </w:tr>
    </w:tbl>
    <w:p w14:paraId="280A9C72" w14:textId="7F7F8BB4" w:rsidR="00BD3C4C" w:rsidRPr="007026CC" w:rsidRDefault="007026CC" w:rsidP="00DF7A52">
      <w:pPr>
        <w:spacing w:beforeLines="50" w:before="156" w:afterLines="50" w:after="156"/>
        <w:jc w:val="center"/>
        <w:rPr>
          <w:rFonts w:eastAsia="黑体"/>
          <w:color w:val="000000"/>
          <w:kern w:val="0"/>
          <w:szCs w:val="20"/>
        </w:rPr>
      </w:pPr>
      <w:r>
        <w:rPr>
          <w:rFonts w:eastAsia="黑体" w:hint="eastAsia"/>
          <w:color w:val="000000"/>
          <w:kern w:val="0"/>
          <w:szCs w:val="20"/>
        </w:rPr>
        <w:t>表</w:t>
      </w:r>
      <w:r>
        <w:rPr>
          <w:rFonts w:eastAsia="黑体" w:hint="eastAsia"/>
          <w:color w:val="000000"/>
          <w:kern w:val="0"/>
          <w:szCs w:val="20"/>
        </w:rPr>
        <w:t xml:space="preserve">12 </w:t>
      </w:r>
      <w:r w:rsidR="00BD3C4C" w:rsidRPr="007026CC">
        <w:rPr>
          <w:rFonts w:eastAsia="黑体" w:hint="eastAsia"/>
          <w:color w:val="000000"/>
          <w:kern w:val="0"/>
          <w:szCs w:val="20"/>
        </w:rPr>
        <w:t>本标准与</w:t>
      </w:r>
      <w:r w:rsidR="00BD3C4C" w:rsidRPr="007026CC">
        <w:rPr>
          <w:rFonts w:eastAsia="黑体" w:hint="eastAsia"/>
          <w:color w:val="000000"/>
          <w:kern w:val="0"/>
          <w:szCs w:val="20"/>
        </w:rPr>
        <w:t xml:space="preserve">ASTM B301-2020 </w:t>
      </w:r>
      <w:r w:rsidR="00BD3C4C" w:rsidRPr="007026CC">
        <w:rPr>
          <w:rFonts w:eastAsia="黑体" w:hint="eastAsia"/>
          <w:color w:val="000000"/>
          <w:kern w:val="0"/>
          <w:szCs w:val="20"/>
        </w:rPr>
        <w:t>电性能的对比</w:t>
      </w:r>
    </w:p>
    <w:tbl>
      <w:tblPr>
        <w:tblW w:w="50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08"/>
        <w:gridCol w:w="1210"/>
        <w:gridCol w:w="1572"/>
        <w:gridCol w:w="3089"/>
      </w:tblGrid>
      <w:tr w:rsidR="00F609CA" w:rsidRPr="00F609CA" w14:paraId="661E4898" w14:textId="234A117A" w:rsidTr="00785EA0">
        <w:trPr>
          <w:trHeight w:val="855"/>
        </w:trPr>
        <w:tc>
          <w:tcPr>
            <w:tcW w:w="1539" w:type="pct"/>
            <w:vMerge w:val="restart"/>
            <w:noWrap/>
            <w:vAlign w:val="center"/>
            <w:hideMark/>
          </w:tcPr>
          <w:p w14:paraId="33C1797D"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牌号（代号）</w:t>
            </w:r>
          </w:p>
        </w:tc>
        <w:tc>
          <w:tcPr>
            <w:tcW w:w="1639" w:type="pct"/>
            <w:gridSpan w:val="2"/>
            <w:vAlign w:val="center"/>
            <w:hideMark/>
          </w:tcPr>
          <w:p w14:paraId="62C047CD" w14:textId="77777777" w:rsid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导电率</w:t>
            </w:r>
          </w:p>
          <w:p w14:paraId="691B0ACD" w14:textId="77777777" w:rsid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%IACS</w:t>
            </w:r>
          </w:p>
          <w:p w14:paraId="205E8B9A" w14:textId="058F64CF"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不小于</w:t>
            </w:r>
          </w:p>
        </w:tc>
        <w:tc>
          <w:tcPr>
            <w:tcW w:w="1822" w:type="pct"/>
            <w:vMerge w:val="restart"/>
            <w:vAlign w:val="center"/>
          </w:tcPr>
          <w:p w14:paraId="6B8D4CE9" w14:textId="4C956070" w:rsidR="00F609CA" w:rsidRPr="00F609CA" w:rsidRDefault="00F609CA" w:rsidP="00F609C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与本文件的对比</w:t>
            </w:r>
          </w:p>
        </w:tc>
      </w:tr>
      <w:tr w:rsidR="00F609CA" w:rsidRPr="00F609CA" w14:paraId="1119A693" w14:textId="26CC6D73" w:rsidTr="00785EA0">
        <w:trPr>
          <w:trHeight w:val="285"/>
        </w:trPr>
        <w:tc>
          <w:tcPr>
            <w:tcW w:w="1539" w:type="pct"/>
            <w:vMerge/>
            <w:tcBorders>
              <w:bottom w:val="single" w:sz="12" w:space="0" w:color="auto"/>
            </w:tcBorders>
            <w:vAlign w:val="center"/>
            <w:hideMark/>
          </w:tcPr>
          <w:p w14:paraId="32D3CB28" w14:textId="77777777" w:rsidR="00F609CA" w:rsidRPr="00F609CA" w:rsidRDefault="00F609CA" w:rsidP="00F609CA">
            <w:pPr>
              <w:widowControl/>
              <w:jc w:val="center"/>
              <w:rPr>
                <w:rFonts w:ascii="Times New Roman" w:eastAsia="宋体" w:hAnsi="Times New Roman" w:cs="Times New Roman"/>
                <w:color w:val="000000"/>
                <w:kern w:val="0"/>
                <w:sz w:val="18"/>
                <w:szCs w:val="18"/>
              </w:rPr>
            </w:pPr>
          </w:p>
        </w:tc>
        <w:tc>
          <w:tcPr>
            <w:tcW w:w="714" w:type="pct"/>
            <w:tcBorders>
              <w:bottom w:val="single" w:sz="12" w:space="0" w:color="auto"/>
            </w:tcBorders>
            <w:noWrap/>
            <w:vAlign w:val="center"/>
            <w:hideMark/>
          </w:tcPr>
          <w:p w14:paraId="02259281"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本文件</w:t>
            </w:r>
          </w:p>
        </w:tc>
        <w:tc>
          <w:tcPr>
            <w:tcW w:w="925" w:type="pct"/>
            <w:tcBorders>
              <w:bottom w:val="single" w:sz="12" w:space="0" w:color="auto"/>
            </w:tcBorders>
            <w:noWrap/>
            <w:vAlign w:val="center"/>
            <w:hideMark/>
          </w:tcPr>
          <w:p w14:paraId="76721196"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ASTM B301-2020</w:t>
            </w:r>
          </w:p>
        </w:tc>
        <w:tc>
          <w:tcPr>
            <w:tcW w:w="1822" w:type="pct"/>
            <w:vMerge/>
            <w:tcBorders>
              <w:bottom w:val="single" w:sz="12" w:space="0" w:color="auto"/>
            </w:tcBorders>
            <w:vAlign w:val="center"/>
          </w:tcPr>
          <w:p w14:paraId="0B8F9059" w14:textId="77777777" w:rsidR="00F609CA" w:rsidRPr="00F609CA" w:rsidRDefault="00F609CA" w:rsidP="00F609CA">
            <w:pPr>
              <w:widowControl/>
              <w:jc w:val="center"/>
              <w:rPr>
                <w:rFonts w:ascii="Times New Roman" w:eastAsia="宋体" w:hAnsi="Times New Roman" w:cs="Times New Roman"/>
                <w:color w:val="000000"/>
                <w:kern w:val="0"/>
                <w:sz w:val="18"/>
                <w:szCs w:val="18"/>
              </w:rPr>
            </w:pPr>
          </w:p>
        </w:tc>
      </w:tr>
      <w:tr w:rsidR="00F609CA" w:rsidRPr="00F609CA" w14:paraId="7C62B4EF" w14:textId="1DA16952" w:rsidTr="00785EA0">
        <w:trPr>
          <w:trHeight w:val="300"/>
        </w:trPr>
        <w:tc>
          <w:tcPr>
            <w:tcW w:w="1539" w:type="pct"/>
            <w:tcBorders>
              <w:top w:val="single" w:sz="12" w:space="0" w:color="auto"/>
              <w:bottom w:val="single" w:sz="6" w:space="0" w:color="auto"/>
            </w:tcBorders>
            <w:vAlign w:val="center"/>
            <w:hideMark/>
          </w:tcPr>
          <w:p w14:paraId="2018225B"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TTe0.5</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C14500</w:t>
            </w:r>
            <w:r w:rsidRPr="00F609CA">
              <w:rPr>
                <w:rFonts w:ascii="Times New Roman" w:eastAsia="宋体" w:hAnsi="Times New Roman" w:cs="Times New Roman"/>
                <w:color w:val="000000"/>
                <w:kern w:val="0"/>
                <w:sz w:val="18"/>
                <w:szCs w:val="18"/>
              </w:rPr>
              <w:t>）</w:t>
            </w:r>
          </w:p>
        </w:tc>
        <w:tc>
          <w:tcPr>
            <w:tcW w:w="714" w:type="pct"/>
            <w:tcBorders>
              <w:top w:val="single" w:sz="12" w:space="0" w:color="auto"/>
              <w:bottom w:val="single" w:sz="6" w:space="0" w:color="auto"/>
            </w:tcBorders>
            <w:noWrap/>
            <w:vAlign w:val="center"/>
            <w:hideMark/>
          </w:tcPr>
          <w:p w14:paraId="58EAC570"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85</w:t>
            </w:r>
          </w:p>
        </w:tc>
        <w:tc>
          <w:tcPr>
            <w:tcW w:w="925" w:type="pct"/>
            <w:tcBorders>
              <w:top w:val="single" w:sz="12" w:space="0" w:color="auto"/>
              <w:bottom w:val="single" w:sz="6" w:space="0" w:color="auto"/>
            </w:tcBorders>
            <w:noWrap/>
            <w:vAlign w:val="center"/>
            <w:hideMark/>
          </w:tcPr>
          <w:p w14:paraId="41A5455C"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85</w:t>
            </w:r>
          </w:p>
        </w:tc>
        <w:tc>
          <w:tcPr>
            <w:tcW w:w="1822" w:type="pct"/>
            <w:tcBorders>
              <w:top w:val="single" w:sz="12" w:space="0" w:color="auto"/>
              <w:bottom w:val="single" w:sz="6" w:space="0" w:color="auto"/>
            </w:tcBorders>
            <w:vAlign w:val="center"/>
          </w:tcPr>
          <w:p w14:paraId="5452311A" w14:textId="14E09923" w:rsidR="00F609CA" w:rsidRPr="00F609CA" w:rsidRDefault="00F609CA" w:rsidP="00F609C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相当</w:t>
            </w:r>
          </w:p>
        </w:tc>
      </w:tr>
      <w:tr w:rsidR="00F609CA" w:rsidRPr="00F609CA" w14:paraId="7F414A7A" w14:textId="703282C4" w:rsidTr="00785EA0">
        <w:trPr>
          <w:trHeight w:val="300"/>
        </w:trPr>
        <w:tc>
          <w:tcPr>
            <w:tcW w:w="1539" w:type="pct"/>
            <w:tcBorders>
              <w:top w:val="single" w:sz="6" w:space="0" w:color="auto"/>
              <w:bottom w:val="single" w:sz="12" w:space="0" w:color="auto"/>
            </w:tcBorders>
            <w:vAlign w:val="center"/>
            <w:hideMark/>
          </w:tcPr>
          <w:p w14:paraId="71C41ED8"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TPb1</w:t>
            </w:r>
            <w:r w:rsidRPr="00F609CA">
              <w:rPr>
                <w:rFonts w:ascii="Times New Roman" w:eastAsia="宋体" w:hAnsi="Times New Roman" w:cs="Times New Roman"/>
                <w:color w:val="000000"/>
                <w:kern w:val="0"/>
                <w:sz w:val="18"/>
                <w:szCs w:val="18"/>
              </w:rPr>
              <w:t>（</w:t>
            </w:r>
            <w:r w:rsidRPr="00F609CA">
              <w:rPr>
                <w:rFonts w:ascii="Times New Roman" w:eastAsia="宋体" w:hAnsi="Times New Roman" w:cs="Times New Roman"/>
                <w:color w:val="000000"/>
                <w:kern w:val="0"/>
                <w:sz w:val="18"/>
                <w:szCs w:val="18"/>
              </w:rPr>
              <w:t>C14700</w:t>
            </w:r>
            <w:r w:rsidRPr="00F609CA">
              <w:rPr>
                <w:rFonts w:ascii="Times New Roman" w:eastAsia="宋体" w:hAnsi="Times New Roman" w:cs="Times New Roman"/>
                <w:color w:val="000000"/>
                <w:kern w:val="0"/>
                <w:sz w:val="18"/>
                <w:szCs w:val="18"/>
              </w:rPr>
              <w:t>）</w:t>
            </w:r>
          </w:p>
        </w:tc>
        <w:tc>
          <w:tcPr>
            <w:tcW w:w="714" w:type="pct"/>
            <w:tcBorders>
              <w:top w:val="single" w:sz="6" w:space="0" w:color="auto"/>
              <w:bottom w:val="single" w:sz="12" w:space="0" w:color="auto"/>
            </w:tcBorders>
            <w:noWrap/>
            <w:vAlign w:val="center"/>
            <w:hideMark/>
          </w:tcPr>
          <w:p w14:paraId="0BE04593"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90</w:t>
            </w:r>
          </w:p>
        </w:tc>
        <w:tc>
          <w:tcPr>
            <w:tcW w:w="925" w:type="pct"/>
            <w:tcBorders>
              <w:top w:val="single" w:sz="6" w:space="0" w:color="auto"/>
              <w:bottom w:val="single" w:sz="12" w:space="0" w:color="auto"/>
            </w:tcBorders>
            <w:noWrap/>
            <w:vAlign w:val="center"/>
            <w:hideMark/>
          </w:tcPr>
          <w:p w14:paraId="35D9CAAE" w14:textId="77777777" w:rsidR="00F609CA" w:rsidRPr="00F609CA" w:rsidRDefault="00F609CA" w:rsidP="00F609CA">
            <w:pPr>
              <w:widowControl/>
              <w:jc w:val="center"/>
              <w:rPr>
                <w:rFonts w:ascii="Times New Roman" w:eastAsia="宋体" w:hAnsi="Times New Roman" w:cs="Times New Roman"/>
                <w:color w:val="000000"/>
                <w:kern w:val="0"/>
                <w:sz w:val="18"/>
                <w:szCs w:val="18"/>
              </w:rPr>
            </w:pPr>
            <w:r w:rsidRPr="00F609CA">
              <w:rPr>
                <w:rFonts w:ascii="Times New Roman" w:eastAsia="宋体" w:hAnsi="Times New Roman" w:cs="Times New Roman"/>
                <w:color w:val="000000"/>
                <w:kern w:val="0"/>
                <w:sz w:val="18"/>
                <w:szCs w:val="18"/>
              </w:rPr>
              <w:t>90</w:t>
            </w:r>
          </w:p>
        </w:tc>
        <w:tc>
          <w:tcPr>
            <w:tcW w:w="1822" w:type="pct"/>
            <w:tcBorders>
              <w:top w:val="single" w:sz="6" w:space="0" w:color="auto"/>
              <w:bottom w:val="single" w:sz="12" w:space="0" w:color="auto"/>
            </w:tcBorders>
            <w:vAlign w:val="center"/>
          </w:tcPr>
          <w:p w14:paraId="5CCF8E9D" w14:textId="075F9069" w:rsidR="00F609CA" w:rsidRPr="00F609CA" w:rsidRDefault="00F609CA" w:rsidP="00F609CA">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相当</w:t>
            </w:r>
          </w:p>
        </w:tc>
      </w:tr>
    </w:tbl>
    <w:p w14:paraId="41C291EE" w14:textId="12C21C42" w:rsidR="00F609CA" w:rsidRPr="000B0658" w:rsidRDefault="00127C78" w:rsidP="00122258">
      <w:pPr>
        <w:widowControl/>
        <w:ind w:firstLineChars="200" w:firstLine="420"/>
        <w:rPr>
          <w:rFonts w:ascii="Times New Roman" w:hAnsi="Times New Roman" w:cs="Times New Roman"/>
        </w:rPr>
      </w:pPr>
      <w:r w:rsidRPr="000B0658">
        <w:rPr>
          <w:rFonts w:ascii="Times New Roman" w:hAnsi="Times New Roman" w:cs="Times New Roman"/>
        </w:rPr>
        <w:t>通过本标准与</w:t>
      </w:r>
      <w:r w:rsidRPr="000B0658">
        <w:rPr>
          <w:rFonts w:ascii="Times New Roman" w:hAnsi="Times New Roman" w:cs="Times New Roman"/>
        </w:rPr>
        <w:t>ASTM B301-2020</w:t>
      </w:r>
      <w:r w:rsidR="00873BEE" w:rsidRPr="000B0658">
        <w:rPr>
          <w:rFonts w:ascii="Times New Roman" w:hAnsi="Times New Roman" w:cs="Times New Roman"/>
        </w:rPr>
        <w:t>《</w:t>
      </w:r>
      <w:r w:rsidR="00873BEE" w:rsidRPr="000B0658">
        <w:rPr>
          <w:rFonts w:ascii="Times New Roman" w:hAnsi="Times New Roman" w:cs="Times New Roman"/>
        </w:rPr>
        <w:t>Standard Specification for Free-Cutting Copper Rod</w:t>
      </w:r>
      <w:r w:rsidR="00873BEE" w:rsidRPr="000B0658">
        <w:rPr>
          <w:rFonts w:ascii="Times New Roman" w:hAnsi="Times New Roman" w:cs="Times New Roman"/>
        </w:rPr>
        <w:t>，</w:t>
      </w:r>
      <w:r w:rsidR="00873BEE" w:rsidRPr="000B0658">
        <w:rPr>
          <w:rFonts w:ascii="Times New Roman" w:hAnsi="Times New Roman" w:cs="Times New Roman"/>
        </w:rPr>
        <w:t>Bar</w:t>
      </w:r>
      <w:r w:rsidR="00873BEE" w:rsidRPr="000B0658">
        <w:rPr>
          <w:rFonts w:ascii="Times New Roman" w:hAnsi="Times New Roman" w:cs="Times New Roman"/>
        </w:rPr>
        <w:t>，</w:t>
      </w:r>
      <w:r w:rsidR="00873BEE" w:rsidRPr="000B0658">
        <w:rPr>
          <w:rFonts w:ascii="Times New Roman" w:hAnsi="Times New Roman" w:cs="Times New Roman"/>
        </w:rPr>
        <w:t>Wire</w:t>
      </w:r>
      <w:r w:rsidR="00873BEE" w:rsidRPr="000B0658">
        <w:rPr>
          <w:rFonts w:ascii="Times New Roman" w:hAnsi="Times New Roman" w:cs="Times New Roman"/>
        </w:rPr>
        <w:t>，</w:t>
      </w:r>
      <w:r w:rsidR="00873BEE" w:rsidRPr="000B0658">
        <w:rPr>
          <w:rFonts w:ascii="Times New Roman" w:hAnsi="Times New Roman" w:cs="Times New Roman"/>
        </w:rPr>
        <w:t>and Shapes</w:t>
      </w:r>
      <w:r w:rsidR="00873BEE" w:rsidRPr="000B0658">
        <w:rPr>
          <w:rFonts w:ascii="Times New Roman" w:hAnsi="Times New Roman" w:cs="Times New Roman"/>
        </w:rPr>
        <w:t>》</w:t>
      </w:r>
      <w:r w:rsidRPr="000B0658">
        <w:rPr>
          <w:rFonts w:ascii="Times New Roman" w:hAnsi="Times New Roman" w:cs="Times New Roman"/>
        </w:rPr>
        <w:t>、</w:t>
      </w:r>
      <w:r w:rsidRPr="000B0658">
        <w:rPr>
          <w:rFonts w:ascii="Times New Roman" w:hAnsi="Times New Roman" w:cs="Times New Roman"/>
        </w:rPr>
        <w:t>ASTM B974-2021</w:t>
      </w:r>
      <w:r w:rsidR="00873BEE" w:rsidRPr="000B0658">
        <w:rPr>
          <w:rFonts w:ascii="Times New Roman" w:hAnsi="Times New Roman" w:cs="Times New Roman"/>
        </w:rPr>
        <w:t>《</w:t>
      </w:r>
      <w:r w:rsidR="00873BEE" w:rsidRPr="000B0658">
        <w:rPr>
          <w:rFonts w:ascii="Times New Roman" w:hAnsi="Times New Roman" w:cs="Times New Roman"/>
        </w:rPr>
        <w:t>Standard Specification for Free-Cutting Bismuth Brass Rod</w:t>
      </w:r>
      <w:r w:rsidR="00873BEE" w:rsidRPr="000B0658">
        <w:rPr>
          <w:rFonts w:ascii="Times New Roman" w:hAnsi="Times New Roman" w:cs="Times New Roman"/>
        </w:rPr>
        <w:t>，</w:t>
      </w:r>
      <w:r w:rsidR="00873BEE" w:rsidRPr="000B0658">
        <w:rPr>
          <w:rFonts w:ascii="Times New Roman" w:hAnsi="Times New Roman" w:cs="Times New Roman"/>
        </w:rPr>
        <w:t>Bar and Wire</w:t>
      </w:r>
      <w:r w:rsidR="00873BEE" w:rsidRPr="000B0658">
        <w:rPr>
          <w:rFonts w:ascii="Times New Roman" w:hAnsi="Times New Roman" w:cs="Times New Roman"/>
        </w:rPr>
        <w:t>》</w:t>
      </w:r>
      <w:r w:rsidRPr="000B0658">
        <w:rPr>
          <w:rFonts w:ascii="Times New Roman" w:hAnsi="Times New Roman" w:cs="Times New Roman"/>
        </w:rPr>
        <w:t>的对比，</w:t>
      </w:r>
      <w:r w:rsidR="000B0658" w:rsidRPr="000B0658">
        <w:rPr>
          <w:rFonts w:ascii="Times New Roman" w:hAnsi="Times New Roman" w:cs="Times New Roman"/>
        </w:rPr>
        <w:t>本标准</w:t>
      </w:r>
      <w:r w:rsidR="00122258" w:rsidRPr="000B0658">
        <w:rPr>
          <w:rFonts w:ascii="Times New Roman" w:hAnsi="Times New Roman" w:cs="Times New Roman"/>
        </w:rPr>
        <w:t>从牌号数量、检测项目（如残余应力、耐脱锌腐蚀性能、切削性等项目）</w:t>
      </w:r>
      <w:r w:rsidR="000B0658" w:rsidRPr="000B0658">
        <w:rPr>
          <w:rFonts w:ascii="Times New Roman" w:hAnsi="Times New Roman" w:cs="Times New Roman"/>
        </w:rPr>
        <w:t>更为优异</w:t>
      </w:r>
      <w:r w:rsidR="00122258" w:rsidRPr="000B0658">
        <w:rPr>
          <w:rFonts w:ascii="Times New Roman" w:hAnsi="Times New Roman" w:cs="Times New Roman"/>
        </w:rPr>
        <w:t>，</w:t>
      </w:r>
      <w:r w:rsidRPr="000B0658">
        <w:rPr>
          <w:rFonts w:ascii="Times New Roman" w:hAnsi="Times New Roman" w:cs="Times New Roman"/>
        </w:rPr>
        <w:t>本标准标准水平更优。</w:t>
      </w:r>
    </w:p>
    <w:p w14:paraId="384A44B5" w14:textId="77777777" w:rsidR="004426E6" w:rsidRDefault="00000000">
      <w:pPr>
        <w:numPr>
          <w:ilvl w:val="0"/>
          <w:numId w:val="5"/>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以国际标准为基础的起草情况以及是否合规采用国际国外标准、未采用国际标准的原因</w:t>
      </w:r>
    </w:p>
    <w:p w14:paraId="694DF267" w14:textId="77777777" w:rsidR="004426E6" w:rsidRDefault="00000000">
      <w:pPr>
        <w:pStyle w:val="a0"/>
        <w:spacing w:after="0"/>
        <w:ind w:left="420"/>
        <w:contextualSpacing/>
        <w:rPr>
          <w:rFonts w:ascii="Times New Roman" w:eastAsiaTheme="minorEastAsia" w:hAnsi="Times New Roman" w:cs="Times New Roman"/>
          <w:szCs w:val="21"/>
        </w:rPr>
      </w:pPr>
      <w:r>
        <w:rPr>
          <w:rFonts w:ascii="Times New Roman" w:eastAsiaTheme="minorEastAsia" w:hAnsi="Times New Roman" w:cs="Times New Roman"/>
          <w:szCs w:val="21"/>
        </w:rPr>
        <w:t>本标准不采用国际标准和国外先进标准。</w:t>
      </w:r>
    </w:p>
    <w:p w14:paraId="5EDE5AA9" w14:textId="77777777" w:rsidR="004426E6" w:rsidRDefault="00000000">
      <w:pPr>
        <w:numPr>
          <w:ilvl w:val="0"/>
          <w:numId w:val="5"/>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与有关法律、行政法规及相关标准的关系</w:t>
      </w:r>
    </w:p>
    <w:p w14:paraId="6E528D9E" w14:textId="77777777" w:rsidR="004426E6" w:rsidRDefault="00000000">
      <w:pPr>
        <w:ind w:firstLineChars="200" w:firstLine="420"/>
        <w:contextualSpacing/>
        <w:rPr>
          <w:rFonts w:ascii="宋体" w:hAnsi="宋体" w:hint="eastAsia"/>
          <w:szCs w:val="21"/>
        </w:rPr>
      </w:pPr>
      <w:r>
        <w:rPr>
          <w:rFonts w:ascii="宋体" w:hAnsi="宋体" w:hint="eastAsia"/>
          <w:szCs w:val="21"/>
        </w:rPr>
        <w:t>本标准符合现行法律、法规的要求，并与其他同类国家标准、国家J用标准、行业标准无冲突、重叠和不协调之处。</w:t>
      </w:r>
    </w:p>
    <w:p w14:paraId="64DA2FDF" w14:textId="77777777" w:rsidR="004426E6" w:rsidRDefault="00000000">
      <w:pPr>
        <w:numPr>
          <w:ilvl w:val="0"/>
          <w:numId w:val="5"/>
        </w:numPr>
        <w:spacing w:beforeLines="50" w:before="156" w:afterLines="50" w:after="156" w:line="440" w:lineRule="exact"/>
      </w:pPr>
      <w:bookmarkStart w:id="22" w:name="_Toc32100"/>
      <w:r>
        <w:rPr>
          <w:rFonts w:ascii="黑体" w:eastAsia="黑体" w:hAnsi="宋体" w:cs="宋体" w:hint="eastAsia"/>
          <w:bCs/>
          <w:szCs w:val="21"/>
        </w:rPr>
        <w:lastRenderedPageBreak/>
        <w:t>重大分歧意见的处理经过和依据</w:t>
      </w:r>
    </w:p>
    <w:p w14:paraId="6F080003" w14:textId="77777777" w:rsidR="004426E6" w:rsidRDefault="00000000">
      <w:pPr>
        <w:spacing w:line="440" w:lineRule="exact"/>
        <w:ind w:firstLineChars="200" w:firstLine="420"/>
        <w:rPr>
          <w:rFonts w:ascii="宋体" w:hAnsi="宋体" w:hint="eastAsia"/>
          <w:szCs w:val="21"/>
        </w:rPr>
      </w:pPr>
      <w:r>
        <w:rPr>
          <w:rFonts w:ascii="宋体" w:hAnsi="宋体" w:hint="eastAsia"/>
          <w:szCs w:val="21"/>
        </w:rPr>
        <w:t>暂无。</w:t>
      </w:r>
    </w:p>
    <w:p w14:paraId="71C50F35" w14:textId="77777777" w:rsidR="004426E6" w:rsidRDefault="00000000">
      <w:p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八、涉及专利的有关说明</w:t>
      </w:r>
    </w:p>
    <w:p w14:paraId="5D347207" w14:textId="77777777" w:rsidR="004426E6" w:rsidRDefault="00000000">
      <w:pPr>
        <w:pStyle w:val="a0"/>
        <w:ind w:firstLineChars="200" w:firstLine="420"/>
        <w:rPr>
          <w:rFonts w:ascii="宋体" w:eastAsiaTheme="minorEastAsia" w:hAnsi="宋体" w:hint="eastAsia"/>
          <w:szCs w:val="21"/>
        </w:rPr>
      </w:pPr>
      <w:r>
        <w:rPr>
          <w:rFonts w:ascii="宋体" w:eastAsiaTheme="minorEastAsia" w:hAnsi="宋体" w:hint="eastAsia"/>
          <w:szCs w:val="21"/>
        </w:rPr>
        <w:t>本标准不涉及专利问题。</w:t>
      </w:r>
    </w:p>
    <w:p w14:paraId="108A9374" w14:textId="77777777" w:rsidR="004426E6" w:rsidRDefault="00000000">
      <w:pPr>
        <w:spacing w:beforeLines="50" w:before="156" w:afterLines="50" w:after="156" w:line="440" w:lineRule="exact"/>
        <w:rPr>
          <w:rFonts w:ascii="黑体" w:eastAsia="黑体" w:hAnsi="宋体" w:cs="宋体" w:hint="eastAsia"/>
          <w:bCs/>
          <w:szCs w:val="21"/>
        </w:rPr>
      </w:pPr>
      <w:bookmarkStart w:id="23" w:name="_Toc15989"/>
      <w:bookmarkEnd w:id="22"/>
      <w:r>
        <w:rPr>
          <w:rFonts w:ascii="黑体" w:eastAsia="黑体" w:hAnsi="宋体" w:cs="宋体" w:hint="eastAsia"/>
          <w:bCs/>
          <w:szCs w:val="21"/>
        </w:rPr>
        <w:t>九、实施国家标准的要求以及组织措施、技术措施、过渡期和实施日期的建议等措施建议</w:t>
      </w:r>
      <w:bookmarkEnd w:id="23"/>
    </w:p>
    <w:p w14:paraId="0BB0E165" w14:textId="77777777" w:rsidR="004426E6" w:rsidRDefault="00000000">
      <w:pPr>
        <w:ind w:firstLine="420"/>
        <w:contextualSpacing/>
        <w:rPr>
          <w:rFonts w:ascii="Times New Roman" w:eastAsia="宋体" w:hAnsi="Times New Roman" w:cs="Times New Roman"/>
          <w:szCs w:val="21"/>
        </w:rPr>
      </w:pPr>
      <w:r>
        <w:rPr>
          <w:rFonts w:ascii="Times New Roman" w:eastAsia="宋体" w:hAnsi="Times New Roman" w:cs="Times New Roman"/>
          <w:szCs w:val="21"/>
        </w:rPr>
        <w:t>本标准是</w:t>
      </w:r>
      <w:r>
        <w:rPr>
          <w:rFonts w:ascii="Times New Roman" w:hAnsi="Times New Roman" w:cs="Times New Roman"/>
          <w:szCs w:val="20"/>
        </w:rPr>
        <w:t>电力、电子电讯、汽车交通、精密仪表及高端五金装饰</w:t>
      </w:r>
      <w:r>
        <w:rPr>
          <w:rFonts w:ascii="Times New Roman" w:hAnsi="Times New Roman" w:cs="Times New Roman" w:hint="eastAsia"/>
          <w:szCs w:val="20"/>
        </w:rPr>
        <w:t>的易切削铜合金线材</w:t>
      </w:r>
      <w:r>
        <w:rPr>
          <w:rFonts w:ascii="Times New Roman" w:eastAsia="宋体" w:hAnsi="Times New Roman" w:cs="Times New Roman"/>
          <w:szCs w:val="21"/>
        </w:rPr>
        <w:t>的通用标准，建议作为推荐性行业标准发布。</w:t>
      </w:r>
    </w:p>
    <w:p w14:paraId="3EFCC7AB" w14:textId="77777777" w:rsidR="004426E6" w:rsidRDefault="00000000">
      <w:pPr>
        <w:spacing w:line="440" w:lineRule="exact"/>
        <w:ind w:firstLineChars="200" w:firstLine="420"/>
        <w:rPr>
          <w:rFonts w:ascii="黑体" w:eastAsia="黑体" w:hAnsi="宋体" w:cs="宋体" w:hint="eastAsia"/>
          <w:bCs/>
          <w:szCs w:val="21"/>
        </w:rPr>
      </w:pPr>
      <w:bookmarkStart w:id="24" w:name="_Toc15588"/>
      <w:r>
        <w:rPr>
          <w:rFonts w:ascii="黑体" w:eastAsia="黑体" w:hAnsi="宋体" w:cs="宋体" w:hint="eastAsia"/>
          <w:bCs/>
          <w:szCs w:val="21"/>
        </w:rPr>
        <w:t>贯彻标准的要求和措施建议</w:t>
      </w:r>
      <w:bookmarkEnd w:id="24"/>
    </w:p>
    <w:p w14:paraId="5DC51CAF" w14:textId="0F8D03D0" w:rsidR="004426E6" w:rsidRDefault="00000000">
      <w:pPr>
        <w:pStyle w:val="aff"/>
        <w:ind w:firstLine="420"/>
        <w:contextualSpacing/>
        <w:rPr>
          <w:rFonts w:ascii="Times New Roman"/>
          <w:szCs w:val="21"/>
        </w:rPr>
      </w:pPr>
      <w:r>
        <w:rPr>
          <w:rFonts w:hAnsi="宋体" w:cs="宋体" w:hint="eastAsia"/>
          <w:szCs w:val="21"/>
        </w:rPr>
        <w:t>——组织措施：</w:t>
      </w:r>
      <w:r>
        <w:rPr>
          <w:rFonts w:ascii="Times New Roman" w:hint="eastAsia"/>
          <w:szCs w:val="21"/>
        </w:rPr>
        <w:t>为使标准能更好地发挥作用，提高铜及铜合金生产企业的控制水平，建议针对本标准制订切实可行的贯彻措施，做好宣传培训工作，使各相关单位充分掌握标准中所规定的内容，并加强示范推广，让标准在易切削铜合金线材的生产和使用过程中得以广泛应用。同时，对标准执行情况进行跟踪调查，及时发现标准执行中的问题，不断修改完善，提升标准水平，提高标准的科学性、合理性、协调性和可操作性，以保证产品质量，满足国内、外市场及用户的需要。</w:t>
      </w:r>
    </w:p>
    <w:p w14:paraId="30F40634" w14:textId="77777777" w:rsidR="004426E6" w:rsidRDefault="00000000">
      <w:pPr>
        <w:pStyle w:val="aff"/>
        <w:ind w:firstLine="420"/>
        <w:contextualSpacing/>
        <w:rPr>
          <w:rFonts w:hAnsi="宋体" w:cs="宋体" w:hint="eastAsia"/>
          <w:szCs w:val="21"/>
        </w:rPr>
      </w:pPr>
      <w:r>
        <w:rPr>
          <w:rFonts w:hAnsi="宋体" w:cs="宋体" w:hint="eastAsia"/>
          <w:szCs w:val="21"/>
        </w:rPr>
        <w:t>——技术措施：通过专家培训、公众号发布标准解读文章等措施进行宣贯执行。对于标准使用过程中出现的问题，标委会及起草单位有义务进行必应的解释说明。</w:t>
      </w:r>
    </w:p>
    <w:p w14:paraId="1680FE29" w14:textId="7BE9733D" w:rsidR="00CC5587" w:rsidRPr="00870043" w:rsidRDefault="00000000" w:rsidP="00671D90">
      <w:pPr>
        <w:pStyle w:val="aff"/>
        <w:ind w:firstLine="420"/>
        <w:contextualSpacing/>
        <w:rPr>
          <w:rFonts w:ascii="Times New Roman"/>
          <w:szCs w:val="21"/>
        </w:rPr>
      </w:pPr>
      <w:r>
        <w:rPr>
          <w:rFonts w:hAnsi="宋体" w:cs="宋体" w:hint="eastAsia"/>
          <w:szCs w:val="21"/>
        </w:rPr>
        <w:t>——过度办法：建议本标准批准发布6个月后实施。</w:t>
      </w:r>
      <w:r w:rsidR="00630E23">
        <w:rPr>
          <w:rFonts w:hAnsi="宋体" w:cs="宋体" w:hint="eastAsia"/>
          <w:szCs w:val="21"/>
        </w:rPr>
        <w:t>本标准发布实施之日起，代替</w:t>
      </w:r>
      <w:r w:rsidR="00630E23" w:rsidRPr="00870043">
        <w:rPr>
          <w:rFonts w:ascii="Times New Roman"/>
          <w:szCs w:val="21"/>
        </w:rPr>
        <w:t>GB/T 26048-2010</w:t>
      </w:r>
      <w:r w:rsidR="00630E23" w:rsidRPr="00870043">
        <w:rPr>
          <w:rFonts w:ascii="Times New Roman"/>
          <w:szCs w:val="21"/>
        </w:rPr>
        <w:t>《易切削铜合金线材》。</w:t>
      </w:r>
    </w:p>
    <w:p w14:paraId="223B8764" w14:textId="77777777" w:rsidR="00CC5587" w:rsidRPr="00C54E1B" w:rsidRDefault="00CC5587" w:rsidP="00CC5587">
      <w:pPr>
        <w:numPr>
          <w:ilvl w:val="0"/>
          <w:numId w:val="6"/>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公平竞争审查</w:t>
      </w:r>
    </w:p>
    <w:p w14:paraId="51169566" w14:textId="77777777" w:rsidR="00671D90" w:rsidRPr="00935096" w:rsidRDefault="00CC5587" w:rsidP="00935096">
      <w:pPr>
        <w:spacing w:beforeLines="50" w:before="156" w:afterLines="50" w:after="156"/>
        <w:ind w:firstLineChars="200" w:firstLine="420"/>
        <w:contextualSpacing/>
        <w:rPr>
          <w:rFonts w:ascii="Times New Roman" w:eastAsia="宋体" w:hAnsi="Times New Roman" w:cs="Times New Roman"/>
          <w:kern w:val="0"/>
          <w:szCs w:val="21"/>
        </w:rPr>
      </w:pPr>
      <w:r w:rsidRPr="00935096">
        <w:rPr>
          <w:rFonts w:ascii="Times New Roman" w:eastAsia="宋体" w:hAnsi="Times New Roman" w:cs="Times New Roman" w:hint="eastAsia"/>
          <w:kern w:val="0"/>
          <w:szCs w:val="21"/>
        </w:rPr>
        <w:t>本标准研制过程中，开展了公平竞争审查，经对照，没有发现限制或者变相限制市场准入和退出，没有限制商品要素的自由流动、不影响生产经营成本以及生产经营行为。同时填写了《公平竞争审查》。</w:t>
      </w:r>
      <w:bookmarkStart w:id="25" w:name="_Toc22451"/>
    </w:p>
    <w:p w14:paraId="6F9810AA" w14:textId="6204113F" w:rsidR="004426E6" w:rsidRDefault="00CC5587">
      <w:p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十一、其他应当说明的事项。</w:t>
      </w:r>
      <w:bookmarkEnd w:id="25"/>
    </w:p>
    <w:p w14:paraId="091F4987" w14:textId="77777777" w:rsidR="004426E6" w:rsidRDefault="00000000">
      <w:pPr>
        <w:spacing w:line="440" w:lineRule="exact"/>
        <w:ind w:firstLineChars="200" w:firstLine="420"/>
        <w:rPr>
          <w:rFonts w:ascii="宋体" w:hAnsi="宋体" w:cs="宋体" w:hint="eastAsia"/>
          <w:szCs w:val="21"/>
        </w:rPr>
      </w:pPr>
      <w:r>
        <w:rPr>
          <w:rFonts w:ascii="宋体" w:hAnsi="宋体" w:cs="宋体" w:hint="eastAsia"/>
          <w:szCs w:val="21"/>
        </w:rPr>
        <w:t>无。</w:t>
      </w:r>
    </w:p>
    <w:p w14:paraId="55607B84" w14:textId="77777777" w:rsidR="004426E6" w:rsidRDefault="00000000">
      <w:pPr>
        <w:contextualSpacing/>
        <w:jc w:val="right"/>
        <w:rPr>
          <w:rFonts w:ascii="宋体" w:eastAsia="宋体" w:hAnsi="宋体" w:hint="eastAsia"/>
          <w:szCs w:val="21"/>
        </w:rPr>
      </w:pPr>
      <w:r>
        <w:rPr>
          <w:rFonts w:hint="eastAsia"/>
          <w:szCs w:val="21"/>
        </w:rPr>
        <w:t>《</w:t>
      </w:r>
      <w:r>
        <w:rPr>
          <w:rFonts w:ascii="宋体" w:eastAsia="宋体" w:hAnsi="宋体" w:hint="eastAsia"/>
          <w:szCs w:val="21"/>
        </w:rPr>
        <w:t>易切削铜合金线材</w:t>
      </w:r>
      <w:r>
        <w:rPr>
          <w:rFonts w:hint="eastAsia"/>
          <w:szCs w:val="21"/>
        </w:rPr>
        <w:t>》</w:t>
      </w:r>
      <w:r>
        <w:rPr>
          <w:rFonts w:ascii="宋体" w:eastAsia="宋体" w:hAnsi="宋体" w:hint="eastAsia"/>
          <w:szCs w:val="21"/>
        </w:rPr>
        <w:t>编制组</w:t>
      </w:r>
    </w:p>
    <w:p w14:paraId="5EDE8193" w14:textId="2FD80420" w:rsidR="004426E6" w:rsidRDefault="00000000">
      <w:pPr>
        <w:contextualSpacing/>
        <w:jc w:val="right"/>
        <w:rPr>
          <w:rFonts w:ascii="宋体" w:eastAsia="宋体" w:hAnsi="宋体" w:hint="eastAsia"/>
          <w:szCs w:val="21"/>
        </w:rPr>
      </w:pPr>
      <w:r>
        <w:rPr>
          <w:rFonts w:ascii="宋体" w:eastAsia="宋体" w:hAnsi="宋体" w:hint="eastAsia"/>
          <w:szCs w:val="21"/>
        </w:rPr>
        <w:t>2026年</w:t>
      </w:r>
      <w:r w:rsidR="00F00727">
        <w:rPr>
          <w:rFonts w:ascii="宋体" w:eastAsia="宋体" w:hAnsi="宋体" w:hint="eastAsia"/>
          <w:szCs w:val="21"/>
        </w:rPr>
        <w:t>06</w:t>
      </w:r>
      <w:r>
        <w:rPr>
          <w:rFonts w:ascii="宋体" w:eastAsia="宋体" w:hAnsi="宋体" w:hint="eastAsia"/>
          <w:szCs w:val="21"/>
        </w:rPr>
        <w:t>月</w:t>
      </w:r>
    </w:p>
    <w:sectPr w:rsidR="004426E6">
      <w:pgSz w:w="11906" w:h="16838"/>
      <w:pgMar w:top="1440" w:right="1780" w:bottom="1440" w:left="17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9F0784"/>
    <w:multiLevelType w:val="singleLevel"/>
    <w:tmpl w:val="DA9F0784"/>
    <w:lvl w:ilvl="0">
      <w:start w:val="5"/>
      <w:numFmt w:val="chineseCounting"/>
      <w:suff w:val="nothing"/>
      <w:lvlText w:val="%1、"/>
      <w:lvlJc w:val="left"/>
      <w:rPr>
        <w:rFonts w:hint="eastAsia"/>
      </w:rPr>
    </w:lvl>
  </w:abstractNum>
  <w:abstractNum w:abstractNumId="1" w15:restartNumberingAfterBreak="0">
    <w:nsid w:val="F116BB8D"/>
    <w:multiLevelType w:val="singleLevel"/>
    <w:tmpl w:val="F116BB8D"/>
    <w:lvl w:ilvl="0">
      <w:start w:val="1"/>
      <w:numFmt w:val="chineseCounting"/>
      <w:suff w:val="nothing"/>
      <w:lvlText w:val="（%1）"/>
      <w:lvlJc w:val="left"/>
      <w:rPr>
        <w:rFonts w:hint="eastAsia"/>
      </w:rPr>
    </w:lvl>
  </w:abstractNum>
  <w:abstractNum w:abstractNumId="2" w15:restartNumberingAfterBreak="0">
    <w:nsid w:val="11D898E2"/>
    <w:multiLevelType w:val="singleLevel"/>
    <w:tmpl w:val="11D898E2"/>
    <w:lvl w:ilvl="0">
      <w:start w:val="10"/>
      <w:numFmt w:val="chineseCounting"/>
      <w:suff w:val="nothing"/>
      <w:lvlText w:val="%1、"/>
      <w:lvlJc w:val="left"/>
      <w:rPr>
        <w:rFonts w:hint="eastAsia"/>
      </w:rPr>
    </w:lvl>
  </w:abstractNum>
  <w:abstractNum w:abstractNumId="3" w15:restartNumberingAfterBreak="0">
    <w:nsid w:val="32CF74DE"/>
    <w:multiLevelType w:val="singleLevel"/>
    <w:tmpl w:val="32CF74DE"/>
    <w:lvl w:ilvl="0">
      <w:start w:val="1"/>
      <w:numFmt w:val="decimal"/>
      <w:suff w:val="nothing"/>
      <w:lvlText w:val="（%1）"/>
      <w:lvlJc w:val="left"/>
    </w:lvl>
  </w:abstractNum>
  <w:abstractNum w:abstractNumId="4" w15:restartNumberingAfterBreak="0">
    <w:nsid w:val="4916F4FC"/>
    <w:multiLevelType w:val="singleLevel"/>
    <w:tmpl w:val="4916F4FC"/>
    <w:lvl w:ilvl="0">
      <w:start w:val="3"/>
      <w:numFmt w:val="chineseCounting"/>
      <w:suff w:val="nothing"/>
      <w:lvlText w:val="%1、"/>
      <w:lvlJc w:val="left"/>
      <w:rPr>
        <w:rFonts w:hint="eastAsia"/>
      </w:rPr>
    </w:lvl>
  </w:abstractNum>
  <w:abstractNum w:abstractNumId="5" w15:restartNumberingAfterBreak="0">
    <w:nsid w:val="67EC1B1F"/>
    <w:multiLevelType w:val="singleLevel"/>
    <w:tmpl w:val="67EC1B1F"/>
    <w:lvl w:ilvl="0">
      <w:start w:val="1"/>
      <w:numFmt w:val="decimal"/>
      <w:suff w:val="nothing"/>
      <w:lvlText w:val="（%1）"/>
      <w:lvlJc w:val="left"/>
    </w:lvl>
  </w:abstractNum>
  <w:num w:numId="1" w16cid:durableId="641229105">
    <w:abstractNumId w:val="3"/>
  </w:num>
  <w:num w:numId="2" w16cid:durableId="711928498">
    <w:abstractNumId w:val="4"/>
  </w:num>
  <w:num w:numId="3" w16cid:durableId="1290353599">
    <w:abstractNumId w:val="1"/>
  </w:num>
  <w:num w:numId="4" w16cid:durableId="2075425753">
    <w:abstractNumId w:val="5"/>
  </w:num>
  <w:num w:numId="5" w16cid:durableId="2040885293">
    <w:abstractNumId w:val="0"/>
  </w:num>
  <w:num w:numId="6" w16cid:durableId="1781948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4F3"/>
    <w:rsid w:val="00032958"/>
    <w:rsid w:val="00033C9E"/>
    <w:rsid w:val="00035A30"/>
    <w:rsid w:val="000362EA"/>
    <w:rsid w:val="0003648A"/>
    <w:rsid w:val="000370C9"/>
    <w:rsid w:val="000376FC"/>
    <w:rsid w:val="00041459"/>
    <w:rsid w:val="000425E5"/>
    <w:rsid w:val="00043943"/>
    <w:rsid w:val="00043D58"/>
    <w:rsid w:val="00047256"/>
    <w:rsid w:val="00047897"/>
    <w:rsid w:val="00047C97"/>
    <w:rsid w:val="000538E0"/>
    <w:rsid w:val="00053978"/>
    <w:rsid w:val="000543AE"/>
    <w:rsid w:val="00055573"/>
    <w:rsid w:val="00056B2E"/>
    <w:rsid w:val="000573BA"/>
    <w:rsid w:val="00057549"/>
    <w:rsid w:val="00060E9C"/>
    <w:rsid w:val="00061A95"/>
    <w:rsid w:val="00061BAC"/>
    <w:rsid w:val="00062BA9"/>
    <w:rsid w:val="000630E4"/>
    <w:rsid w:val="0006311A"/>
    <w:rsid w:val="00063292"/>
    <w:rsid w:val="000632D5"/>
    <w:rsid w:val="000634E4"/>
    <w:rsid w:val="00063E72"/>
    <w:rsid w:val="000647B0"/>
    <w:rsid w:val="000647D1"/>
    <w:rsid w:val="000648D5"/>
    <w:rsid w:val="00064F0E"/>
    <w:rsid w:val="0006509C"/>
    <w:rsid w:val="000661DC"/>
    <w:rsid w:val="0006634E"/>
    <w:rsid w:val="00067672"/>
    <w:rsid w:val="00067F70"/>
    <w:rsid w:val="00067F99"/>
    <w:rsid w:val="0007025D"/>
    <w:rsid w:val="0007113B"/>
    <w:rsid w:val="00072938"/>
    <w:rsid w:val="00072B7E"/>
    <w:rsid w:val="00073823"/>
    <w:rsid w:val="000738A3"/>
    <w:rsid w:val="00073EA4"/>
    <w:rsid w:val="00074BD0"/>
    <w:rsid w:val="00074D83"/>
    <w:rsid w:val="00075228"/>
    <w:rsid w:val="00076905"/>
    <w:rsid w:val="00076D65"/>
    <w:rsid w:val="00081B88"/>
    <w:rsid w:val="00083504"/>
    <w:rsid w:val="00083671"/>
    <w:rsid w:val="0008539E"/>
    <w:rsid w:val="0008748A"/>
    <w:rsid w:val="00087579"/>
    <w:rsid w:val="00090932"/>
    <w:rsid w:val="00092743"/>
    <w:rsid w:val="00093F5D"/>
    <w:rsid w:val="0009564E"/>
    <w:rsid w:val="000956AA"/>
    <w:rsid w:val="00095716"/>
    <w:rsid w:val="00095B00"/>
    <w:rsid w:val="000965C2"/>
    <w:rsid w:val="000968E7"/>
    <w:rsid w:val="000A1739"/>
    <w:rsid w:val="000A1C6A"/>
    <w:rsid w:val="000A25DA"/>
    <w:rsid w:val="000A2674"/>
    <w:rsid w:val="000A39F1"/>
    <w:rsid w:val="000A46E3"/>
    <w:rsid w:val="000A68B0"/>
    <w:rsid w:val="000A68DC"/>
    <w:rsid w:val="000B0288"/>
    <w:rsid w:val="000B0658"/>
    <w:rsid w:val="000B12AD"/>
    <w:rsid w:val="000B20BA"/>
    <w:rsid w:val="000C2DCB"/>
    <w:rsid w:val="000C2E3D"/>
    <w:rsid w:val="000C3827"/>
    <w:rsid w:val="000C3918"/>
    <w:rsid w:val="000C4435"/>
    <w:rsid w:val="000C7BE6"/>
    <w:rsid w:val="000D004B"/>
    <w:rsid w:val="000D146E"/>
    <w:rsid w:val="000D255F"/>
    <w:rsid w:val="000D2968"/>
    <w:rsid w:val="000D3C54"/>
    <w:rsid w:val="000D419A"/>
    <w:rsid w:val="000D4D4D"/>
    <w:rsid w:val="000D6C50"/>
    <w:rsid w:val="000E0E5D"/>
    <w:rsid w:val="000E12A2"/>
    <w:rsid w:val="000E23E3"/>
    <w:rsid w:val="000E2F2B"/>
    <w:rsid w:val="000E3508"/>
    <w:rsid w:val="000E3BE4"/>
    <w:rsid w:val="000E5490"/>
    <w:rsid w:val="000E5601"/>
    <w:rsid w:val="000E5B35"/>
    <w:rsid w:val="000E7291"/>
    <w:rsid w:val="000E7398"/>
    <w:rsid w:val="000E7492"/>
    <w:rsid w:val="000E75F6"/>
    <w:rsid w:val="000F0726"/>
    <w:rsid w:val="000F21CD"/>
    <w:rsid w:val="000F2931"/>
    <w:rsid w:val="000F344A"/>
    <w:rsid w:val="000F60BA"/>
    <w:rsid w:val="000F7EE8"/>
    <w:rsid w:val="0010164F"/>
    <w:rsid w:val="00102881"/>
    <w:rsid w:val="00103B79"/>
    <w:rsid w:val="00103F5A"/>
    <w:rsid w:val="001043C6"/>
    <w:rsid w:val="0011080B"/>
    <w:rsid w:val="00112E27"/>
    <w:rsid w:val="001133B5"/>
    <w:rsid w:val="0011342C"/>
    <w:rsid w:val="00114141"/>
    <w:rsid w:val="00115E89"/>
    <w:rsid w:val="001169BC"/>
    <w:rsid w:val="00116B5C"/>
    <w:rsid w:val="001172DB"/>
    <w:rsid w:val="0011791C"/>
    <w:rsid w:val="0011799D"/>
    <w:rsid w:val="00117A27"/>
    <w:rsid w:val="00120FE8"/>
    <w:rsid w:val="0012151C"/>
    <w:rsid w:val="001215B6"/>
    <w:rsid w:val="00122258"/>
    <w:rsid w:val="00122E35"/>
    <w:rsid w:val="00123CA5"/>
    <w:rsid w:val="001241CC"/>
    <w:rsid w:val="00125817"/>
    <w:rsid w:val="00125CAC"/>
    <w:rsid w:val="00126111"/>
    <w:rsid w:val="001268D7"/>
    <w:rsid w:val="00127C78"/>
    <w:rsid w:val="00130CC9"/>
    <w:rsid w:val="00131250"/>
    <w:rsid w:val="0013566C"/>
    <w:rsid w:val="001360C1"/>
    <w:rsid w:val="001421CF"/>
    <w:rsid w:val="00142C75"/>
    <w:rsid w:val="00143A39"/>
    <w:rsid w:val="00144F28"/>
    <w:rsid w:val="00145147"/>
    <w:rsid w:val="00145188"/>
    <w:rsid w:val="001455A0"/>
    <w:rsid w:val="00147858"/>
    <w:rsid w:val="001502D3"/>
    <w:rsid w:val="001505DF"/>
    <w:rsid w:val="0015114D"/>
    <w:rsid w:val="001517E4"/>
    <w:rsid w:val="00151DFA"/>
    <w:rsid w:val="00152A50"/>
    <w:rsid w:val="00152CEE"/>
    <w:rsid w:val="00152F27"/>
    <w:rsid w:val="001531DA"/>
    <w:rsid w:val="00157299"/>
    <w:rsid w:val="001602F3"/>
    <w:rsid w:val="00160E07"/>
    <w:rsid w:val="0016143F"/>
    <w:rsid w:val="00161FB3"/>
    <w:rsid w:val="00162A79"/>
    <w:rsid w:val="00162D23"/>
    <w:rsid w:val="00162FCD"/>
    <w:rsid w:val="00164041"/>
    <w:rsid w:val="00164320"/>
    <w:rsid w:val="0016453D"/>
    <w:rsid w:val="00165B11"/>
    <w:rsid w:val="00167FF7"/>
    <w:rsid w:val="001710BE"/>
    <w:rsid w:val="001728AD"/>
    <w:rsid w:val="00172AD1"/>
    <w:rsid w:val="00173330"/>
    <w:rsid w:val="00175F20"/>
    <w:rsid w:val="0017788A"/>
    <w:rsid w:val="001806F8"/>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5577"/>
    <w:rsid w:val="0019675D"/>
    <w:rsid w:val="00196900"/>
    <w:rsid w:val="00196D91"/>
    <w:rsid w:val="0019747E"/>
    <w:rsid w:val="001976D2"/>
    <w:rsid w:val="00197920"/>
    <w:rsid w:val="001A0EA6"/>
    <w:rsid w:val="001A299B"/>
    <w:rsid w:val="001A2F17"/>
    <w:rsid w:val="001A577D"/>
    <w:rsid w:val="001B1544"/>
    <w:rsid w:val="001B1B0D"/>
    <w:rsid w:val="001B1F37"/>
    <w:rsid w:val="001B1FE8"/>
    <w:rsid w:val="001B2EA2"/>
    <w:rsid w:val="001B548E"/>
    <w:rsid w:val="001B6C1B"/>
    <w:rsid w:val="001B7E54"/>
    <w:rsid w:val="001C010F"/>
    <w:rsid w:val="001C1800"/>
    <w:rsid w:val="001C1A61"/>
    <w:rsid w:val="001C1C7F"/>
    <w:rsid w:val="001C2ACF"/>
    <w:rsid w:val="001C3BD9"/>
    <w:rsid w:val="001C3C44"/>
    <w:rsid w:val="001C5F5B"/>
    <w:rsid w:val="001C63FA"/>
    <w:rsid w:val="001C6400"/>
    <w:rsid w:val="001C64E2"/>
    <w:rsid w:val="001D1CBF"/>
    <w:rsid w:val="001D29BF"/>
    <w:rsid w:val="001D2E17"/>
    <w:rsid w:val="001D3A88"/>
    <w:rsid w:val="001D4430"/>
    <w:rsid w:val="001D4C7B"/>
    <w:rsid w:val="001D50AF"/>
    <w:rsid w:val="001D60A2"/>
    <w:rsid w:val="001D6C3B"/>
    <w:rsid w:val="001D7C03"/>
    <w:rsid w:val="001E0750"/>
    <w:rsid w:val="001E1C8D"/>
    <w:rsid w:val="001E2613"/>
    <w:rsid w:val="001E35D2"/>
    <w:rsid w:val="001E5CB5"/>
    <w:rsid w:val="001E7143"/>
    <w:rsid w:val="001E77A0"/>
    <w:rsid w:val="001F0609"/>
    <w:rsid w:val="001F1028"/>
    <w:rsid w:val="001F18F7"/>
    <w:rsid w:val="001F21E5"/>
    <w:rsid w:val="001F2774"/>
    <w:rsid w:val="001F3BE7"/>
    <w:rsid w:val="001F4570"/>
    <w:rsid w:val="001F6279"/>
    <w:rsid w:val="001F64BD"/>
    <w:rsid w:val="001F7AA9"/>
    <w:rsid w:val="001F7D16"/>
    <w:rsid w:val="001F7D87"/>
    <w:rsid w:val="002007E1"/>
    <w:rsid w:val="00201957"/>
    <w:rsid w:val="002028F6"/>
    <w:rsid w:val="00202F21"/>
    <w:rsid w:val="00203916"/>
    <w:rsid w:val="00204E1B"/>
    <w:rsid w:val="00205696"/>
    <w:rsid w:val="00207E75"/>
    <w:rsid w:val="00210806"/>
    <w:rsid w:val="0021091E"/>
    <w:rsid w:val="00210D97"/>
    <w:rsid w:val="00211DAA"/>
    <w:rsid w:val="00212C2F"/>
    <w:rsid w:val="00213C05"/>
    <w:rsid w:val="00213CB8"/>
    <w:rsid w:val="002149D3"/>
    <w:rsid w:val="00215CF2"/>
    <w:rsid w:val="00217EB2"/>
    <w:rsid w:val="002215A6"/>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37C78"/>
    <w:rsid w:val="00237D6C"/>
    <w:rsid w:val="00240E23"/>
    <w:rsid w:val="00245510"/>
    <w:rsid w:val="002468AB"/>
    <w:rsid w:val="00246A1A"/>
    <w:rsid w:val="00246CA1"/>
    <w:rsid w:val="002509D5"/>
    <w:rsid w:val="00251FCE"/>
    <w:rsid w:val="002531B1"/>
    <w:rsid w:val="0025380C"/>
    <w:rsid w:val="00254411"/>
    <w:rsid w:val="00254BF3"/>
    <w:rsid w:val="00256281"/>
    <w:rsid w:val="002601E8"/>
    <w:rsid w:val="00260A33"/>
    <w:rsid w:val="00260CFE"/>
    <w:rsid w:val="0026166B"/>
    <w:rsid w:val="0026175A"/>
    <w:rsid w:val="00262CCF"/>
    <w:rsid w:val="00262E37"/>
    <w:rsid w:val="00262F0F"/>
    <w:rsid w:val="002635C0"/>
    <w:rsid w:val="0026368F"/>
    <w:rsid w:val="00263946"/>
    <w:rsid w:val="00263C3C"/>
    <w:rsid w:val="00264E80"/>
    <w:rsid w:val="002653CB"/>
    <w:rsid w:val="002662BE"/>
    <w:rsid w:val="00267B20"/>
    <w:rsid w:val="0027124A"/>
    <w:rsid w:val="00271A24"/>
    <w:rsid w:val="00271E60"/>
    <w:rsid w:val="002727E2"/>
    <w:rsid w:val="002727F2"/>
    <w:rsid w:val="00276418"/>
    <w:rsid w:val="002766E1"/>
    <w:rsid w:val="00277D55"/>
    <w:rsid w:val="00277DE9"/>
    <w:rsid w:val="00280742"/>
    <w:rsid w:val="002811D9"/>
    <w:rsid w:val="00281A43"/>
    <w:rsid w:val="00281EE5"/>
    <w:rsid w:val="002870F4"/>
    <w:rsid w:val="002931B8"/>
    <w:rsid w:val="002932FC"/>
    <w:rsid w:val="00293432"/>
    <w:rsid w:val="00293797"/>
    <w:rsid w:val="002A119B"/>
    <w:rsid w:val="002A1596"/>
    <w:rsid w:val="002A1F2F"/>
    <w:rsid w:val="002A39FC"/>
    <w:rsid w:val="002A477A"/>
    <w:rsid w:val="002A52DB"/>
    <w:rsid w:val="002A5373"/>
    <w:rsid w:val="002A61D8"/>
    <w:rsid w:val="002A665D"/>
    <w:rsid w:val="002A7451"/>
    <w:rsid w:val="002A7F8A"/>
    <w:rsid w:val="002B0BEE"/>
    <w:rsid w:val="002B12B9"/>
    <w:rsid w:val="002B1C35"/>
    <w:rsid w:val="002B2BAD"/>
    <w:rsid w:val="002B2BCB"/>
    <w:rsid w:val="002B33F4"/>
    <w:rsid w:val="002B351D"/>
    <w:rsid w:val="002B441E"/>
    <w:rsid w:val="002B45E4"/>
    <w:rsid w:val="002B4A70"/>
    <w:rsid w:val="002B6C88"/>
    <w:rsid w:val="002B7793"/>
    <w:rsid w:val="002C0913"/>
    <w:rsid w:val="002C11C3"/>
    <w:rsid w:val="002C1D23"/>
    <w:rsid w:val="002C2AC0"/>
    <w:rsid w:val="002C33FD"/>
    <w:rsid w:val="002C3F54"/>
    <w:rsid w:val="002C558D"/>
    <w:rsid w:val="002C6308"/>
    <w:rsid w:val="002C6543"/>
    <w:rsid w:val="002C7E20"/>
    <w:rsid w:val="002D16DB"/>
    <w:rsid w:val="002D29B7"/>
    <w:rsid w:val="002D3B5E"/>
    <w:rsid w:val="002D6F42"/>
    <w:rsid w:val="002D75D7"/>
    <w:rsid w:val="002E057F"/>
    <w:rsid w:val="002E22A3"/>
    <w:rsid w:val="002E34A8"/>
    <w:rsid w:val="002E3C9C"/>
    <w:rsid w:val="002E4460"/>
    <w:rsid w:val="002E7402"/>
    <w:rsid w:val="002E743E"/>
    <w:rsid w:val="002F0868"/>
    <w:rsid w:val="002F0A63"/>
    <w:rsid w:val="002F18EC"/>
    <w:rsid w:val="002F3E1F"/>
    <w:rsid w:val="002F3FA9"/>
    <w:rsid w:val="002F4638"/>
    <w:rsid w:val="002F47B1"/>
    <w:rsid w:val="002F56D7"/>
    <w:rsid w:val="002F5AA0"/>
    <w:rsid w:val="002F5D43"/>
    <w:rsid w:val="002F6351"/>
    <w:rsid w:val="002F6E9F"/>
    <w:rsid w:val="002F7378"/>
    <w:rsid w:val="00300AFD"/>
    <w:rsid w:val="00301047"/>
    <w:rsid w:val="00304AE0"/>
    <w:rsid w:val="003058A9"/>
    <w:rsid w:val="00306204"/>
    <w:rsid w:val="00310C92"/>
    <w:rsid w:val="00311726"/>
    <w:rsid w:val="00311A03"/>
    <w:rsid w:val="00311EF2"/>
    <w:rsid w:val="00311F46"/>
    <w:rsid w:val="0031358E"/>
    <w:rsid w:val="00320EB5"/>
    <w:rsid w:val="003215B9"/>
    <w:rsid w:val="00321BF3"/>
    <w:rsid w:val="003222DE"/>
    <w:rsid w:val="003232F1"/>
    <w:rsid w:val="00323A14"/>
    <w:rsid w:val="00324FA2"/>
    <w:rsid w:val="003257F8"/>
    <w:rsid w:val="00326E25"/>
    <w:rsid w:val="00327C26"/>
    <w:rsid w:val="0033114F"/>
    <w:rsid w:val="00332590"/>
    <w:rsid w:val="0033375D"/>
    <w:rsid w:val="00333B7B"/>
    <w:rsid w:val="003341F6"/>
    <w:rsid w:val="00334FD6"/>
    <w:rsid w:val="00335CA0"/>
    <w:rsid w:val="00336202"/>
    <w:rsid w:val="0033778F"/>
    <w:rsid w:val="00337C4B"/>
    <w:rsid w:val="00340915"/>
    <w:rsid w:val="00340C08"/>
    <w:rsid w:val="00340C89"/>
    <w:rsid w:val="0034101B"/>
    <w:rsid w:val="00341EAD"/>
    <w:rsid w:val="0034335F"/>
    <w:rsid w:val="0034452B"/>
    <w:rsid w:val="00344AA8"/>
    <w:rsid w:val="00345394"/>
    <w:rsid w:val="00345C0B"/>
    <w:rsid w:val="00345E08"/>
    <w:rsid w:val="00350386"/>
    <w:rsid w:val="003520BC"/>
    <w:rsid w:val="003530CC"/>
    <w:rsid w:val="00353342"/>
    <w:rsid w:val="003536BB"/>
    <w:rsid w:val="00353EE8"/>
    <w:rsid w:val="0035503B"/>
    <w:rsid w:val="003555F2"/>
    <w:rsid w:val="003573B1"/>
    <w:rsid w:val="00357AB2"/>
    <w:rsid w:val="0036126F"/>
    <w:rsid w:val="0036236D"/>
    <w:rsid w:val="003645A3"/>
    <w:rsid w:val="0036516E"/>
    <w:rsid w:val="0036648C"/>
    <w:rsid w:val="0036699F"/>
    <w:rsid w:val="00366FD6"/>
    <w:rsid w:val="00370D90"/>
    <w:rsid w:val="00371490"/>
    <w:rsid w:val="00371730"/>
    <w:rsid w:val="0037184D"/>
    <w:rsid w:val="00373280"/>
    <w:rsid w:val="0037462A"/>
    <w:rsid w:val="00375DE1"/>
    <w:rsid w:val="00376214"/>
    <w:rsid w:val="003764C4"/>
    <w:rsid w:val="003768AA"/>
    <w:rsid w:val="00376D7D"/>
    <w:rsid w:val="0038013C"/>
    <w:rsid w:val="0038064F"/>
    <w:rsid w:val="003807E6"/>
    <w:rsid w:val="003829D3"/>
    <w:rsid w:val="003854A7"/>
    <w:rsid w:val="003859E4"/>
    <w:rsid w:val="00387C73"/>
    <w:rsid w:val="00387EAB"/>
    <w:rsid w:val="00390678"/>
    <w:rsid w:val="003907CF"/>
    <w:rsid w:val="00394764"/>
    <w:rsid w:val="00395D8B"/>
    <w:rsid w:val="003966FD"/>
    <w:rsid w:val="0039699F"/>
    <w:rsid w:val="003A004A"/>
    <w:rsid w:val="003A0A71"/>
    <w:rsid w:val="003A0D28"/>
    <w:rsid w:val="003A0E43"/>
    <w:rsid w:val="003A0F8D"/>
    <w:rsid w:val="003A226A"/>
    <w:rsid w:val="003A3735"/>
    <w:rsid w:val="003A3C95"/>
    <w:rsid w:val="003A4B37"/>
    <w:rsid w:val="003A5262"/>
    <w:rsid w:val="003A64E1"/>
    <w:rsid w:val="003B0813"/>
    <w:rsid w:val="003B159B"/>
    <w:rsid w:val="003B1D01"/>
    <w:rsid w:val="003B2710"/>
    <w:rsid w:val="003B30B6"/>
    <w:rsid w:val="003B4156"/>
    <w:rsid w:val="003B5DA9"/>
    <w:rsid w:val="003B6FED"/>
    <w:rsid w:val="003C0561"/>
    <w:rsid w:val="003C0C3F"/>
    <w:rsid w:val="003C14CC"/>
    <w:rsid w:val="003C1DF8"/>
    <w:rsid w:val="003C259D"/>
    <w:rsid w:val="003C4551"/>
    <w:rsid w:val="003C45CD"/>
    <w:rsid w:val="003C5329"/>
    <w:rsid w:val="003C7197"/>
    <w:rsid w:val="003D00B3"/>
    <w:rsid w:val="003D078B"/>
    <w:rsid w:val="003D23D7"/>
    <w:rsid w:val="003D2D50"/>
    <w:rsid w:val="003D2E34"/>
    <w:rsid w:val="003D3021"/>
    <w:rsid w:val="003D3613"/>
    <w:rsid w:val="003D6715"/>
    <w:rsid w:val="003D6772"/>
    <w:rsid w:val="003D697A"/>
    <w:rsid w:val="003D70CD"/>
    <w:rsid w:val="003D7398"/>
    <w:rsid w:val="003D74FA"/>
    <w:rsid w:val="003D763B"/>
    <w:rsid w:val="003D77DA"/>
    <w:rsid w:val="003E05E7"/>
    <w:rsid w:val="003E0B81"/>
    <w:rsid w:val="003E1850"/>
    <w:rsid w:val="003E2100"/>
    <w:rsid w:val="003E2318"/>
    <w:rsid w:val="003E28B7"/>
    <w:rsid w:val="003E29D5"/>
    <w:rsid w:val="003E57D1"/>
    <w:rsid w:val="003E6ADF"/>
    <w:rsid w:val="003E6EF7"/>
    <w:rsid w:val="003F18E1"/>
    <w:rsid w:val="003F49C6"/>
    <w:rsid w:val="003F555E"/>
    <w:rsid w:val="003F5BA9"/>
    <w:rsid w:val="003F614E"/>
    <w:rsid w:val="003F6818"/>
    <w:rsid w:val="003F7502"/>
    <w:rsid w:val="003F7BA1"/>
    <w:rsid w:val="004040F3"/>
    <w:rsid w:val="00405DC0"/>
    <w:rsid w:val="00406567"/>
    <w:rsid w:val="0040765C"/>
    <w:rsid w:val="004076E2"/>
    <w:rsid w:val="0040773D"/>
    <w:rsid w:val="00407C11"/>
    <w:rsid w:val="00410088"/>
    <w:rsid w:val="004116FB"/>
    <w:rsid w:val="00412931"/>
    <w:rsid w:val="00414A24"/>
    <w:rsid w:val="00414A71"/>
    <w:rsid w:val="00415309"/>
    <w:rsid w:val="004153B6"/>
    <w:rsid w:val="004155C8"/>
    <w:rsid w:val="00416FB1"/>
    <w:rsid w:val="00417CE4"/>
    <w:rsid w:val="00421809"/>
    <w:rsid w:val="00422048"/>
    <w:rsid w:val="00422812"/>
    <w:rsid w:val="0042385A"/>
    <w:rsid w:val="00424370"/>
    <w:rsid w:val="00425776"/>
    <w:rsid w:val="00425D82"/>
    <w:rsid w:val="004261BD"/>
    <w:rsid w:val="00427873"/>
    <w:rsid w:val="00430126"/>
    <w:rsid w:val="004301D5"/>
    <w:rsid w:val="004304B8"/>
    <w:rsid w:val="004307D0"/>
    <w:rsid w:val="0043163E"/>
    <w:rsid w:val="00432144"/>
    <w:rsid w:val="00435E7B"/>
    <w:rsid w:val="0043627F"/>
    <w:rsid w:val="0043704E"/>
    <w:rsid w:val="00440278"/>
    <w:rsid w:val="004405DE"/>
    <w:rsid w:val="0044264F"/>
    <w:rsid w:val="004426E6"/>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7E2"/>
    <w:rsid w:val="00460FA1"/>
    <w:rsid w:val="00462143"/>
    <w:rsid w:val="0046280A"/>
    <w:rsid w:val="0046322F"/>
    <w:rsid w:val="004666E1"/>
    <w:rsid w:val="004668C7"/>
    <w:rsid w:val="0046734F"/>
    <w:rsid w:val="004720CB"/>
    <w:rsid w:val="004726F6"/>
    <w:rsid w:val="004728DF"/>
    <w:rsid w:val="00472B47"/>
    <w:rsid w:val="00473137"/>
    <w:rsid w:val="00473AA0"/>
    <w:rsid w:val="0047455F"/>
    <w:rsid w:val="00474C54"/>
    <w:rsid w:val="004759FD"/>
    <w:rsid w:val="004765D1"/>
    <w:rsid w:val="00476747"/>
    <w:rsid w:val="004767A9"/>
    <w:rsid w:val="00476BD5"/>
    <w:rsid w:val="00480137"/>
    <w:rsid w:val="00480F80"/>
    <w:rsid w:val="00480FD3"/>
    <w:rsid w:val="00481581"/>
    <w:rsid w:val="0048184E"/>
    <w:rsid w:val="00482782"/>
    <w:rsid w:val="004840FC"/>
    <w:rsid w:val="004849D9"/>
    <w:rsid w:val="00486195"/>
    <w:rsid w:val="004863ED"/>
    <w:rsid w:val="00486436"/>
    <w:rsid w:val="004869D0"/>
    <w:rsid w:val="00487974"/>
    <w:rsid w:val="004900F7"/>
    <w:rsid w:val="0049152D"/>
    <w:rsid w:val="00494307"/>
    <w:rsid w:val="004943AB"/>
    <w:rsid w:val="00495C7F"/>
    <w:rsid w:val="00496CFF"/>
    <w:rsid w:val="00497207"/>
    <w:rsid w:val="0049769E"/>
    <w:rsid w:val="004A0707"/>
    <w:rsid w:val="004A1953"/>
    <w:rsid w:val="004A1985"/>
    <w:rsid w:val="004A28E4"/>
    <w:rsid w:val="004A2955"/>
    <w:rsid w:val="004A2B95"/>
    <w:rsid w:val="004A6860"/>
    <w:rsid w:val="004A7C66"/>
    <w:rsid w:val="004A7E67"/>
    <w:rsid w:val="004B00A5"/>
    <w:rsid w:val="004B0F1A"/>
    <w:rsid w:val="004B12D0"/>
    <w:rsid w:val="004B39BF"/>
    <w:rsid w:val="004B4DD5"/>
    <w:rsid w:val="004C37E3"/>
    <w:rsid w:val="004C59A7"/>
    <w:rsid w:val="004C5DDC"/>
    <w:rsid w:val="004C633A"/>
    <w:rsid w:val="004C639B"/>
    <w:rsid w:val="004C7324"/>
    <w:rsid w:val="004D0ACA"/>
    <w:rsid w:val="004D1428"/>
    <w:rsid w:val="004D29DA"/>
    <w:rsid w:val="004D3777"/>
    <w:rsid w:val="004D51CB"/>
    <w:rsid w:val="004D6205"/>
    <w:rsid w:val="004E166F"/>
    <w:rsid w:val="004E1E35"/>
    <w:rsid w:val="004E353D"/>
    <w:rsid w:val="004E4B54"/>
    <w:rsid w:val="004E5227"/>
    <w:rsid w:val="004E555F"/>
    <w:rsid w:val="004E6E7F"/>
    <w:rsid w:val="004E6EF8"/>
    <w:rsid w:val="004F40C5"/>
    <w:rsid w:val="004F4C96"/>
    <w:rsid w:val="004F545C"/>
    <w:rsid w:val="004F583E"/>
    <w:rsid w:val="004F69A5"/>
    <w:rsid w:val="004F6C1D"/>
    <w:rsid w:val="004F71D6"/>
    <w:rsid w:val="004F76C2"/>
    <w:rsid w:val="00500130"/>
    <w:rsid w:val="005018BC"/>
    <w:rsid w:val="005028FD"/>
    <w:rsid w:val="00504978"/>
    <w:rsid w:val="0050730B"/>
    <w:rsid w:val="00511BD6"/>
    <w:rsid w:val="00512AFC"/>
    <w:rsid w:val="00513B1B"/>
    <w:rsid w:val="0051428E"/>
    <w:rsid w:val="005147F3"/>
    <w:rsid w:val="00515D70"/>
    <w:rsid w:val="00516008"/>
    <w:rsid w:val="00517579"/>
    <w:rsid w:val="005176CE"/>
    <w:rsid w:val="005200E9"/>
    <w:rsid w:val="005204C8"/>
    <w:rsid w:val="005221DE"/>
    <w:rsid w:val="00522BD3"/>
    <w:rsid w:val="00523E5C"/>
    <w:rsid w:val="00524C16"/>
    <w:rsid w:val="005254B4"/>
    <w:rsid w:val="00525782"/>
    <w:rsid w:val="005267EB"/>
    <w:rsid w:val="00526A34"/>
    <w:rsid w:val="00526AAF"/>
    <w:rsid w:val="005276A6"/>
    <w:rsid w:val="00531DC8"/>
    <w:rsid w:val="00532265"/>
    <w:rsid w:val="005332F5"/>
    <w:rsid w:val="00533A74"/>
    <w:rsid w:val="0053413C"/>
    <w:rsid w:val="00534433"/>
    <w:rsid w:val="00535449"/>
    <w:rsid w:val="00535487"/>
    <w:rsid w:val="00536839"/>
    <w:rsid w:val="00540BF2"/>
    <w:rsid w:val="0054112B"/>
    <w:rsid w:val="00541FCD"/>
    <w:rsid w:val="005421CE"/>
    <w:rsid w:val="0054246B"/>
    <w:rsid w:val="005425CC"/>
    <w:rsid w:val="00542640"/>
    <w:rsid w:val="0054373A"/>
    <w:rsid w:val="0054439C"/>
    <w:rsid w:val="005443E9"/>
    <w:rsid w:val="005446B5"/>
    <w:rsid w:val="0054479D"/>
    <w:rsid w:val="00544E4C"/>
    <w:rsid w:val="005452B7"/>
    <w:rsid w:val="005464CA"/>
    <w:rsid w:val="00546693"/>
    <w:rsid w:val="00550C8A"/>
    <w:rsid w:val="00550D1E"/>
    <w:rsid w:val="005516E2"/>
    <w:rsid w:val="00552199"/>
    <w:rsid w:val="0055331E"/>
    <w:rsid w:val="005562D8"/>
    <w:rsid w:val="00557088"/>
    <w:rsid w:val="00561B33"/>
    <w:rsid w:val="00563071"/>
    <w:rsid w:val="005652D7"/>
    <w:rsid w:val="00573390"/>
    <w:rsid w:val="005754D2"/>
    <w:rsid w:val="005757B3"/>
    <w:rsid w:val="00575C3C"/>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4962"/>
    <w:rsid w:val="00594CE4"/>
    <w:rsid w:val="0059508E"/>
    <w:rsid w:val="00595137"/>
    <w:rsid w:val="00595729"/>
    <w:rsid w:val="00596591"/>
    <w:rsid w:val="005A0829"/>
    <w:rsid w:val="005A0EB2"/>
    <w:rsid w:val="005A1119"/>
    <w:rsid w:val="005A264C"/>
    <w:rsid w:val="005A3477"/>
    <w:rsid w:val="005A366C"/>
    <w:rsid w:val="005A3B0F"/>
    <w:rsid w:val="005A3B3F"/>
    <w:rsid w:val="005A6882"/>
    <w:rsid w:val="005B1210"/>
    <w:rsid w:val="005B15F5"/>
    <w:rsid w:val="005B2378"/>
    <w:rsid w:val="005B42F2"/>
    <w:rsid w:val="005B58D2"/>
    <w:rsid w:val="005B5987"/>
    <w:rsid w:val="005B6AD4"/>
    <w:rsid w:val="005B6B92"/>
    <w:rsid w:val="005B7284"/>
    <w:rsid w:val="005B7A21"/>
    <w:rsid w:val="005B7AA6"/>
    <w:rsid w:val="005C0088"/>
    <w:rsid w:val="005C0357"/>
    <w:rsid w:val="005C0611"/>
    <w:rsid w:val="005C0980"/>
    <w:rsid w:val="005C0D65"/>
    <w:rsid w:val="005C0EE2"/>
    <w:rsid w:val="005C14A3"/>
    <w:rsid w:val="005C153A"/>
    <w:rsid w:val="005C15BC"/>
    <w:rsid w:val="005C1E43"/>
    <w:rsid w:val="005C40D0"/>
    <w:rsid w:val="005C4ED6"/>
    <w:rsid w:val="005C566E"/>
    <w:rsid w:val="005D069C"/>
    <w:rsid w:val="005D179F"/>
    <w:rsid w:val="005D1EDE"/>
    <w:rsid w:val="005D341B"/>
    <w:rsid w:val="005D489F"/>
    <w:rsid w:val="005D6DF8"/>
    <w:rsid w:val="005E200B"/>
    <w:rsid w:val="005E2355"/>
    <w:rsid w:val="005E332B"/>
    <w:rsid w:val="005E3A3E"/>
    <w:rsid w:val="005E4BD4"/>
    <w:rsid w:val="005E6139"/>
    <w:rsid w:val="005E6CA1"/>
    <w:rsid w:val="005E702C"/>
    <w:rsid w:val="005E73C2"/>
    <w:rsid w:val="005E7C44"/>
    <w:rsid w:val="005F0275"/>
    <w:rsid w:val="005F0C0A"/>
    <w:rsid w:val="005F197A"/>
    <w:rsid w:val="005F2927"/>
    <w:rsid w:val="005F2DF7"/>
    <w:rsid w:val="005F3007"/>
    <w:rsid w:val="005F304B"/>
    <w:rsid w:val="005F4C0E"/>
    <w:rsid w:val="005F5F6F"/>
    <w:rsid w:val="005F698A"/>
    <w:rsid w:val="00600538"/>
    <w:rsid w:val="0060577F"/>
    <w:rsid w:val="00605CDD"/>
    <w:rsid w:val="00605EA7"/>
    <w:rsid w:val="0060674D"/>
    <w:rsid w:val="00606A00"/>
    <w:rsid w:val="006076FD"/>
    <w:rsid w:val="00607A0D"/>
    <w:rsid w:val="006107CF"/>
    <w:rsid w:val="006110A4"/>
    <w:rsid w:val="00611C51"/>
    <w:rsid w:val="0061333F"/>
    <w:rsid w:val="0061335C"/>
    <w:rsid w:val="00613FB1"/>
    <w:rsid w:val="006147B6"/>
    <w:rsid w:val="006155CA"/>
    <w:rsid w:val="00615B6B"/>
    <w:rsid w:val="0061668E"/>
    <w:rsid w:val="00616F62"/>
    <w:rsid w:val="006170F3"/>
    <w:rsid w:val="0061742C"/>
    <w:rsid w:val="006179B6"/>
    <w:rsid w:val="00621FD6"/>
    <w:rsid w:val="00624E56"/>
    <w:rsid w:val="00625A71"/>
    <w:rsid w:val="00627441"/>
    <w:rsid w:val="00630E23"/>
    <w:rsid w:val="006316F9"/>
    <w:rsid w:val="006325B0"/>
    <w:rsid w:val="0063264C"/>
    <w:rsid w:val="006328AF"/>
    <w:rsid w:val="006331CE"/>
    <w:rsid w:val="00633980"/>
    <w:rsid w:val="00633D8F"/>
    <w:rsid w:val="00633EE8"/>
    <w:rsid w:val="006350C0"/>
    <w:rsid w:val="00635C7F"/>
    <w:rsid w:val="00636185"/>
    <w:rsid w:val="0063664A"/>
    <w:rsid w:val="0063792B"/>
    <w:rsid w:val="006422A7"/>
    <w:rsid w:val="006425BC"/>
    <w:rsid w:val="00644904"/>
    <w:rsid w:val="00644F62"/>
    <w:rsid w:val="006451CB"/>
    <w:rsid w:val="00645383"/>
    <w:rsid w:val="00646E4E"/>
    <w:rsid w:val="0064758B"/>
    <w:rsid w:val="0064769A"/>
    <w:rsid w:val="00650546"/>
    <w:rsid w:val="00650B72"/>
    <w:rsid w:val="00650FAD"/>
    <w:rsid w:val="006518DC"/>
    <w:rsid w:val="006519D0"/>
    <w:rsid w:val="00652836"/>
    <w:rsid w:val="0065321E"/>
    <w:rsid w:val="006533FD"/>
    <w:rsid w:val="00653D6B"/>
    <w:rsid w:val="0065449F"/>
    <w:rsid w:val="006550B2"/>
    <w:rsid w:val="0065605D"/>
    <w:rsid w:val="006570C7"/>
    <w:rsid w:val="00657109"/>
    <w:rsid w:val="00657198"/>
    <w:rsid w:val="006577D8"/>
    <w:rsid w:val="00657B29"/>
    <w:rsid w:val="00657B50"/>
    <w:rsid w:val="006602A7"/>
    <w:rsid w:val="00660496"/>
    <w:rsid w:val="00660F14"/>
    <w:rsid w:val="006613F5"/>
    <w:rsid w:val="006613FB"/>
    <w:rsid w:val="0066162E"/>
    <w:rsid w:val="006617FA"/>
    <w:rsid w:val="00661B7A"/>
    <w:rsid w:val="00663325"/>
    <w:rsid w:val="00663626"/>
    <w:rsid w:val="006636FE"/>
    <w:rsid w:val="00664255"/>
    <w:rsid w:val="00664476"/>
    <w:rsid w:val="00664A10"/>
    <w:rsid w:val="0066541E"/>
    <w:rsid w:val="006654CA"/>
    <w:rsid w:val="00665C20"/>
    <w:rsid w:val="00666C58"/>
    <w:rsid w:val="00671D90"/>
    <w:rsid w:val="00672368"/>
    <w:rsid w:val="00673DCE"/>
    <w:rsid w:val="006749E5"/>
    <w:rsid w:val="006752D4"/>
    <w:rsid w:val="00675C9D"/>
    <w:rsid w:val="00675CE2"/>
    <w:rsid w:val="00675DA5"/>
    <w:rsid w:val="00676165"/>
    <w:rsid w:val="006768CC"/>
    <w:rsid w:val="00676CB1"/>
    <w:rsid w:val="006859ED"/>
    <w:rsid w:val="00686291"/>
    <w:rsid w:val="00686FA4"/>
    <w:rsid w:val="006903AD"/>
    <w:rsid w:val="00691E65"/>
    <w:rsid w:val="00691EA1"/>
    <w:rsid w:val="00693886"/>
    <w:rsid w:val="00694BE9"/>
    <w:rsid w:val="00696114"/>
    <w:rsid w:val="0069667F"/>
    <w:rsid w:val="00696D4A"/>
    <w:rsid w:val="006974AF"/>
    <w:rsid w:val="00697728"/>
    <w:rsid w:val="006A03C8"/>
    <w:rsid w:val="006A07EB"/>
    <w:rsid w:val="006A0D2F"/>
    <w:rsid w:val="006A1279"/>
    <w:rsid w:val="006A1CD6"/>
    <w:rsid w:val="006A362D"/>
    <w:rsid w:val="006A49AD"/>
    <w:rsid w:val="006A5E39"/>
    <w:rsid w:val="006A615E"/>
    <w:rsid w:val="006A641C"/>
    <w:rsid w:val="006A68A4"/>
    <w:rsid w:val="006B048C"/>
    <w:rsid w:val="006B210C"/>
    <w:rsid w:val="006B2C4A"/>
    <w:rsid w:val="006B2D1C"/>
    <w:rsid w:val="006B35DA"/>
    <w:rsid w:val="006B53F6"/>
    <w:rsid w:val="006B655F"/>
    <w:rsid w:val="006C11BE"/>
    <w:rsid w:val="006C1F06"/>
    <w:rsid w:val="006C2DB2"/>
    <w:rsid w:val="006C3430"/>
    <w:rsid w:val="006C38A6"/>
    <w:rsid w:val="006C43B5"/>
    <w:rsid w:val="006C5E78"/>
    <w:rsid w:val="006C615F"/>
    <w:rsid w:val="006C6E2E"/>
    <w:rsid w:val="006C773D"/>
    <w:rsid w:val="006D13B8"/>
    <w:rsid w:val="006D1F14"/>
    <w:rsid w:val="006D28A5"/>
    <w:rsid w:val="006D2E85"/>
    <w:rsid w:val="006D2F81"/>
    <w:rsid w:val="006D3518"/>
    <w:rsid w:val="006D3F0C"/>
    <w:rsid w:val="006D4494"/>
    <w:rsid w:val="006D4AFF"/>
    <w:rsid w:val="006D53EB"/>
    <w:rsid w:val="006D67E7"/>
    <w:rsid w:val="006D6A30"/>
    <w:rsid w:val="006D76DB"/>
    <w:rsid w:val="006E04BB"/>
    <w:rsid w:val="006E1599"/>
    <w:rsid w:val="006E23DA"/>
    <w:rsid w:val="006E2A92"/>
    <w:rsid w:val="006E3F66"/>
    <w:rsid w:val="006E4EF6"/>
    <w:rsid w:val="006E58C8"/>
    <w:rsid w:val="006E669A"/>
    <w:rsid w:val="006E7C7B"/>
    <w:rsid w:val="006F1F44"/>
    <w:rsid w:val="006F29DE"/>
    <w:rsid w:val="006F2ADA"/>
    <w:rsid w:val="006F2AE7"/>
    <w:rsid w:val="006F2D52"/>
    <w:rsid w:val="006F3591"/>
    <w:rsid w:val="006F7B7C"/>
    <w:rsid w:val="0070002A"/>
    <w:rsid w:val="007006F8"/>
    <w:rsid w:val="00700DAE"/>
    <w:rsid w:val="007015A1"/>
    <w:rsid w:val="00701B53"/>
    <w:rsid w:val="007026CC"/>
    <w:rsid w:val="0070297A"/>
    <w:rsid w:val="00704090"/>
    <w:rsid w:val="00706102"/>
    <w:rsid w:val="00711461"/>
    <w:rsid w:val="0071186B"/>
    <w:rsid w:val="00713681"/>
    <w:rsid w:val="0071373D"/>
    <w:rsid w:val="00713758"/>
    <w:rsid w:val="00715907"/>
    <w:rsid w:val="00720307"/>
    <w:rsid w:val="007218E0"/>
    <w:rsid w:val="00721BEE"/>
    <w:rsid w:val="00722D85"/>
    <w:rsid w:val="007234AE"/>
    <w:rsid w:val="007236C0"/>
    <w:rsid w:val="00724361"/>
    <w:rsid w:val="00724564"/>
    <w:rsid w:val="007255E3"/>
    <w:rsid w:val="007265F0"/>
    <w:rsid w:val="007269E3"/>
    <w:rsid w:val="00727FBC"/>
    <w:rsid w:val="00732460"/>
    <w:rsid w:val="00733D7B"/>
    <w:rsid w:val="00734602"/>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0A2"/>
    <w:rsid w:val="00760148"/>
    <w:rsid w:val="007611F3"/>
    <w:rsid w:val="007615D7"/>
    <w:rsid w:val="00762451"/>
    <w:rsid w:val="0076448F"/>
    <w:rsid w:val="007656EE"/>
    <w:rsid w:val="0076585B"/>
    <w:rsid w:val="007660A8"/>
    <w:rsid w:val="00766B87"/>
    <w:rsid w:val="00767F5A"/>
    <w:rsid w:val="00771493"/>
    <w:rsid w:val="00771A62"/>
    <w:rsid w:val="0077338A"/>
    <w:rsid w:val="00773A59"/>
    <w:rsid w:val="00774701"/>
    <w:rsid w:val="00776130"/>
    <w:rsid w:val="007771DC"/>
    <w:rsid w:val="00777F89"/>
    <w:rsid w:val="007805EE"/>
    <w:rsid w:val="00782574"/>
    <w:rsid w:val="007831CE"/>
    <w:rsid w:val="0078347B"/>
    <w:rsid w:val="007842C4"/>
    <w:rsid w:val="00784F06"/>
    <w:rsid w:val="00785EA0"/>
    <w:rsid w:val="007868CB"/>
    <w:rsid w:val="00790B45"/>
    <w:rsid w:val="0079220D"/>
    <w:rsid w:val="00792719"/>
    <w:rsid w:val="00792749"/>
    <w:rsid w:val="007928CE"/>
    <w:rsid w:val="00792ADA"/>
    <w:rsid w:val="00793C02"/>
    <w:rsid w:val="00793ECE"/>
    <w:rsid w:val="007955B5"/>
    <w:rsid w:val="0079689D"/>
    <w:rsid w:val="00796E22"/>
    <w:rsid w:val="0079706E"/>
    <w:rsid w:val="0079778C"/>
    <w:rsid w:val="00797E1A"/>
    <w:rsid w:val="007A0F35"/>
    <w:rsid w:val="007A35C4"/>
    <w:rsid w:val="007A3CC4"/>
    <w:rsid w:val="007A4418"/>
    <w:rsid w:val="007A45F1"/>
    <w:rsid w:val="007A56FF"/>
    <w:rsid w:val="007A5B54"/>
    <w:rsid w:val="007A6BC2"/>
    <w:rsid w:val="007A766F"/>
    <w:rsid w:val="007B1695"/>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33D0"/>
    <w:rsid w:val="007C459C"/>
    <w:rsid w:val="007C45B1"/>
    <w:rsid w:val="007C482F"/>
    <w:rsid w:val="007C5BDD"/>
    <w:rsid w:val="007C628A"/>
    <w:rsid w:val="007C6371"/>
    <w:rsid w:val="007C672B"/>
    <w:rsid w:val="007C6AAD"/>
    <w:rsid w:val="007D0AFB"/>
    <w:rsid w:val="007D2756"/>
    <w:rsid w:val="007D280C"/>
    <w:rsid w:val="007D3C02"/>
    <w:rsid w:val="007D4395"/>
    <w:rsid w:val="007D4964"/>
    <w:rsid w:val="007D49A6"/>
    <w:rsid w:val="007D4B36"/>
    <w:rsid w:val="007D5A55"/>
    <w:rsid w:val="007D6E5A"/>
    <w:rsid w:val="007D70B2"/>
    <w:rsid w:val="007D7313"/>
    <w:rsid w:val="007D7994"/>
    <w:rsid w:val="007E0FC8"/>
    <w:rsid w:val="007E12FA"/>
    <w:rsid w:val="007E1C58"/>
    <w:rsid w:val="007E1D94"/>
    <w:rsid w:val="007E29EB"/>
    <w:rsid w:val="007E2B9F"/>
    <w:rsid w:val="007E4197"/>
    <w:rsid w:val="007E495D"/>
    <w:rsid w:val="007E59FE"/>
    <w:rsid w:val="007E5C58"/>
    <w:rsid w:val="007E6320"/>
    <w:rsid w:val="007E640E"/>
    <w:rsid w:val="007E72D7"/>
    <w:rsid w:val="007F11F4"/>
    <w:rsid w:val="007F2354"/>
    <w:rsid w:val="007F2366"/>
    <w:rsid w:val="007F29C6"/>
    <w:rsid w:val="007F2A06"/>
    <w:rsid w:val="007F4F74"/>
    <w:rsid w:val="007F5A11"/>
    <w:rsid w:val="007F62FA"/>
    <w:rsid w:val="007F6887"/>
    <w:rsid w:val="00801520"/>
    <w:rsid w:val="008020B9"/>
    <w:rsid w:val="0080258D"/>
    <w:rsid w:val="00803067"/>
    <w:rsid w:val="0080321B"/>
    <w:rsid w:val="008057DB"/>
    <w:rsid w:val="00806D94"/>
    <w:rsid w:val="00807805"/>
    <w:rsid w:val="00810436"/>
    <w:rsid w:val="00810C47"/>
    <w:rsid w:val="00810DC1"/>
    <w:rsid w:val="008122E0"/>
    <w:rsid w:val="0081279E"/>
    <w:rsid w:val="008131F8"/>
    <w:rsid w:val="008139A3"/>
    <w:rsid w:val="008139C1"/>
    <w:rsid w:val="00813A79"/>
    <w:rsid w:val="0081423B"/>
    <w:rsid w:val="0081473C"/>
    <w:rsid w:val="0081684A"/>
    <w:rsid w:val="00816BB8"/>
    <w:rsid w:val="0081770C"/>
    <w:rsid w:val="00817F38"/>
    <w:rsid w:val="0082070E"/>
    <w:rsid w:val="00820E4E"/>
    <w:rsid w:val="0082207A"/>
    <w:rsid w:val="00823429"/>
    <w:rsid w:val="00823A87"/>
    <w:rsid w:val="00823E75"/>
    <w:rsid w:val="00826EBB"/>
    <w:rsid w:val="008309E3"/>
    <w:rsid w:val="008314BA"/>
    <w:rsid w:val="00831FF9"/>
    <w:rsid w:val="00832337"/>
    <w:rsid w:val="00832B7B"/>
    <w:rsid w:val="00832FFA"/>
    <w:rsid w:val="008347F7"/>
    <w:rsid w:val="00834977"/>
    <w:rsid w:val="008353FC"/>
    <w:rsid w:val="00836F12"/>
    <w:rsid w:val="00837C2E"/>
    <w:rsid w:val="00837FDA"/>
    <w:rsid w:val="00841543"/>
    <w:rsid w:val="00841833"/>
    <w:rsid w:val="008418E3"/>
    <w:rsid w:val="00842E49"/>
    <w:rsid w:val="00843D2B"/>
    <w:rsid w:val="00843FE0"/>
    <w:rsid w:val="00844357"/>
    <w:rsid w:val="008443F9"/>
    <w:rsid w:val="00844C65"/>
    <w:rsid w:val="00845862"/>
    <w:rsid w:val="00845E7D"/>
    <w:rsid w:val="00846311"/>
    <w:rsid w:val="008470F0"/>
    <w:rsid w:val="008473F7"/>
    <w:rsid w:val="008476E9"/>
    <w:rsid w:val="00847750"/>
    <w:rsid w:val="008478D1"/>
    <w:rsid w:val="00850C3C"/>
    <w:rsid w:val="00851A9C"/>
    <w:rsid w:val="00852536"/>
    <w:rsid w:val="0085300C"/>
    <w:rsid w:val="008543B5"/>
    <w:rsid w:val="008554FB"/>
    <w:rsid w:val="008608E6"/>
    <w:rsid w:val="00860B78"/>
    <w:rsid w:val="00860BCC"/>
    <w:rsid w:val="00861880"/>
    <w:rsid w:val="0086195A"/>
    <w:rsid w:val="00861B47"/>
    <w:rsid w:val="0086229E"/>
    <w:rsid w:val="00862CED"/>
    <w:rsid w:val="008647CC"/>
    <w:rsid w:val="0086480A"/>
    <w:rsid w:val="00864CD8"/>
    <w:rsid w:val="00864FCC"/>
    <w:rsid w:val="00867F87"/>
    <w:rsid w:val="00870043"/>
    <w:rsid w:val="00870279"/>
    <w:rsid w:val="00870603"/>
    <w:rsid w:val="008706A3"/>
    <w:rsid w:val="0087096F"/>
    <w:rsid w:val="00873BEE"/>
    <w:rsid w:val="008755BA"/>
    <w:rsid w:val="008767CE"/>
    <w:rsid w:val="00877A90"/>
    <w:rsid w:val="00877D04"/>
    <w:rsid w:val="0088056E"/>
    <w:rsid w:val="00881208"/>
    <w:rsid w:val="00881618"/>
    <w:rsid w:val="00884FC6"/>
    <w:rsid w:val="0089080C"/>
    <w:rsid w:val="00890C8E"/>
    <w:rsid w:val="00895D8D"/>
    <w:rsid w:val="008A172E"/>
    <w:rsid w:val="008A1F51"/>
    <w:rsid w:val="008A2695"/>
    <w:rsid w:val="008A33D5"/>
    <w:rsid w:val="008A3E33"/>
    <w:rsid w:val="008A45E8"/>
    <w:rsid w:val="008A49A1"/>
    <w:rsid w:val="008A4CAD"/>
    <w:rsid w:val="008A5D75"/>
    <w:rsid w:val="008A7719"/>
    <w:rsid w:val="008A7A9A"/>
    <w:rsid w:val="008B0A72"/>
    <w:rsid w:val="008B0AFD"/>
    <w:rsid w:val="008B3B41"/>
    <w:rsid w:val="008B44DA"/>
    <w:rsid w:val="008B4D42"/>
    <w:rsid w:val="008B5CA8"/>
    <w:rsid w:val="008B6E94"/>
    <w:rsid w:val="008B6FB0"/>
    <w:rsid w:val="008C1AB9"/>
    <w:rsid w:val="008C32CD"/>
    <w:rsid w:val="008C32EE"/>
    <w:rsid w:val="008C4891"/>
    <w:rsid w:val="008C565A"/>
    <w:rsid w:val="008C5BA3"/>
    <w:rsid w:val="008C64BD"/>
    <w:rsid w:val="008C75AB"/>
    <w:rsid w:val="008C7A4C"/>
    <w:rsid w:val="008C7F9B"/>
    <w:rsid w:val="008D0102"/>
    <w:rsid w:val="008D1583"/>
    <w:rsid w:val="008D38F1"/>
    <w:rsid w:val="008D3A75"/>
    <w:rsid w:val="008D4605"/>
    <w:rsid w:val="008D509B"/>
    <w:rsid w:val="008D53A8"/>
    <w:rsid w:val="008D62DC"/>
    <w:rsid w:val="008D716B"/>
    <w:rsid w:val="008E047F"/>
    <w:rsid w:val="008E05FB"/>
    <w:rsid w:val="008E0678"/>
    <w:rsid w:val="008E110C"/>
    <w:rsid w:val="008E11F8"/>
    <w:rsid w:val="008E1FAE"/>
    <w:rsid w:val="008E4D3C"/>
    <w:rsid w:val="008E4E14"/>
    <w:rsid w:val="008E4EF3"/>
    <w:rsid w:val="008E5D72"/>
    <w:rsid w:val="008E7F39"/>
    <w:rsid w:val="008F0A69"/>
    <w:rsid w:val="008F102D"/>
    <w:rsid w:val="008F14A2"/>
    <w:rsid w:val="008F3424"/>
    <w:rsid w:val="008F39F6"/>
    <w:rsid w:val="008F3E39"/>
    <w:rsid w:val="008F4D5D"/>
    <w:rsid w:val="008F5F62"/>
    <w:rsid w:val="008F7204"/>
    <w:rsid w:val="009047FC"/>
    <w:rsid w:val="0090530E"/>
    <w:rsid w:val="009058EC"/>
    <w:rsid w:val="00905CA5"/>
    <w:rsid w:val="009064C3"/>
    <w:rsid w:val="00906858"/>
    <w:rsid w:val="00906D9F"/>
    <w:rsid w:val="00906E4E"/>
    <w:rsid w:val="00907177"/>
    <w:rsid w:val="009071AD"/>
    <w:rsid w:val="00907A06"/>
    <w:rsid w:val="00907A43"/>
    <w:rsid w:val="009131C0"/>
    <w:rsid w:val="00913AEE"/>
    <w:rsid w:val="0091413D"/>
    <w:rsid w:val="009155A6"/>
    <w:rsid w:val="00915C2A"/>
    <w:rsid w:val="00916FAC"/>
    <w:rsid w:val="009175F1"/>
    <w:rsid w:val="00920DC1"/>
    <w:rsid w:val="00920F09"/>
    <w:rsid w:val="009215E5"/>
    <w:rsid w:val="00921D43"/>
    <w:rsid w:val="00922FA5"/>
    <w:rsid w:val="00923B5B"/>
    <w:rsid w:val="00923DD8"/>
    <w:rsid w:val="00924FEC"/>
    <w:rsid w:val="009250A2"/>
    <w:rsid w:val="00926375"/>
    <w:rsid w:val="00926832"/>
    <w:rsid w:val="00930551"/>
    <w:rsid w:val="00931EF1"/>
    <w:rsid w:val="00932C17"/>
    <w:rsid w:val="0093307B"/>
    <w:rsid w:val="009331B2"/>
    <w:rsid w:val="00935096"/>
    <w:rsid w:val="009351F3"/>
    <w:rsid w:val="009361ED"/>
    <w:rsid w:val="00937229"/>
    <w:rsid w:val="009409D1"/>
    <w:rsid w:val="00941C1D"/>
    <w:rsid w:val="00941EF0"/>
    <w:rsid w:val="009423AA"/>
    <w:rsid w:val="009423AC"/>
    <w:rsid w:val="00943218"/>
    <w:rsid w:val="0094462D"/>
    <w:rsid w:val="009453A2"/>
    <w:rsid w:val="00946AB1"/>
    <w:rsid w:val="009475AB"/>
    <w:rsid w:val="009504B8"/>
    <w:rsid w:val="009517F6"/>
    <w:rsid w:val="009522E1"/>
    <w:rsid w:val="00953281"/>
    <w:rsid w:val="009535E9"/>
    <w:rsid w:val="00953B8E"/>
    <w:rsid w:val="00956565"/>
    <w:rsid w:val="00957FDC"/>
    <w:rsid w:val="009601AB"/>
    <w:rsid w:val="00960D92"/>
    <w:rsid w:val="00961947"/>
    <w:rsid w:val="00962C7C"/>
    <w:rsid w:val="00962F2C"/>
    <w:rsid w:val="0096331D"/>
    <w:rsid w:val="00963579"/>
    <w:rsid w:val="00963C26"/>
    <w:rsid w:val="00963D08"/>
    <w:rsid w:val="00963E4F"/>
    <w:rsid w:val="00964FB9"/>
    <w:rsid w:val="00965CA7"/>
    <w:rsid w:val="00966160"/>
    <w:rsid w:val="009664EB"/>
    <w:rsid w:val="009672AC"/>
    <w:rsid w:val="009675B1"/>
    <w:rsid w:val="00967EDD"/>
    <w:rsid w:val="0097089E"/>
    <w:rsid w:val="00970B9C"/>
    <w:rsid w:val="00971910"/>
    <w:rsid w:val="00972B8E"/>
    <w:rsid w:val="00973A55"/>
    <w:rsid w:val="00974C45"/>
    <w:rsid w:val="00975A1E"/>
    <w:rsid w:val="00975C75"/>
    <w:rsid w:val="00975F0C"/>
    <w:rsid w:val="00976F29"/>
    <w:rsid w:val="00980B13"/>
    <w:rsid w:val="00980F6D"/>
    <w:rsid w:val="00982E2D"/>
    <w:rsid w:val="00982F94"/>
    <w:rsid w:val="00983EDA"/>
    <w:rsid w:val="00985422"/>
    <w:rsid w:val="009867CF"/>
    <w:rsid w:val="00986DCF"/>
    <w:rsid w:val="009879D3"/>
    <w:rsid w:val="00991021"/>
    <w:rsid w:val="00992A6C"/>
    <w:rsid w:val="00992B39"/>
    <w:rsid w:val="00993321"/>
    <w:rsid w:val="00996DF4"/>
    <w:rsid w:val="00997773"/>
    <w:rsid w:val="00997DD9"/>
    <w:rsid w:val="009A02E4"/>
    <w:rsid w:val="009A0A3D"/>
    <w:rsid w:val="009A1442"/>
    <w:rsid w:val="009A1C7C"/>
    <w:rsid w:val="009A2D3A"/>
    <w:rsid w:val="009A3F87"/>
    <w:rsid w:val="009A4F82"/>
    <w:rsid w:val="009A5325"/>
    <w:rsid w:val="009A6090"/>
    <w:rsid w:val="009A63F3"/>
    <w:rsid w:val="009A659A"/>
    <w:rsid w:val="009A65DE"/>
    <w:rsid w:val="009A67B4"/>
    <w:rsid w:val="009A7570"/>
    <w:rsid w:val="009B3494"/>
    <w:rsid w:val="009B475F"/>
    <w:rsid w:val="009B4A1E"/>
    <w:rsid w:val="009B5BB9"/>
    <w:rsid w:val="009C0E14"/>
    <w:rsid w:val="009C1DA6"/>
    <w:rsid w:val="009C2CBC"/>
    <w:rsid w:val="009C2D06"/>
    <w:rsid w:val="009C32A2"/>
    <w:rsid w:val="009C3472"/>
    <w:rsid w:val="009C6B17"/>
    <w:rsid w:val="009C7060"/>
    <w:rsid w:val="009D1E77"/>
    <w:rsid w:val="009D2013"/>
    <w:rsid w:val="009D203D"/>
    <w:rsid w:val="009D3AA7"/>
    <w:rsid w:val="009D558F"/>
    <w:rsid w:val="009D6ABB"/>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1A56"/>
    <w:rsid w:val="009F394D"/>
    <w:rsid w:val="009F3C66"/>
    <w:rsid w:val="009F3CC4"/>
    <w:rsid w:val="009F43BE"/>
    <w:rsid w:val="009F44E0"/>
    <w:rsid w:val="009F571B"/>
    <w:rsid w:val="009F5B90"/>
    <w:rsid w:val="009F6357"/>
    <w:rsid w:val="009F6C02"/>
    <w:rsid w:val="009F74B2"/>
    <w:rsid w:val="009F7D94"/>
    <w:rsid w:val="00A0147C"/>
    <w:rsid w:val="00A01902"/>
    <w:rsid w:val="00A02DC2"/>
    <w:rsid w:val="00A03480"/>
    <w:rsid w:val="00A03DFD"/>
    <w:rsid w:val="00A04AF7"/>
    <w:rsid w:val="00A05176"/>
    <w:rsid w:val="00A06E1C"/>
    <w:rsid w:val="00A070B7"/>
    <w:rsid w:val="00A11CA2"/>
    <w:rsid w:val="00A12756"/>
    <w:rsid w:val="00A13D77"/>
    <w:rsid w:val="00A1573B"/>
    <w:rsid w:val="00A15EFB"/>
    <w:rsid w:val="00A16BD7"/>
    <w:rsid w:val="00A207E2"/>
    <w:rsid w:val="00A230A8"/>
    <w:rsid w:val="00A24353"/>
    <w:rsid w:val="00A246A8"/>
    <w:rsid w:val="00A2660D"/>
    <w:rsid w:val="00A2730C"/>
    <w:rsid w:val="00A27CF3"/>
    <w:rsid w:val="00A30BC4"/>
    <w:rsid w:val="00A30C4E"/>
    <w:rsid w:val="00A32782"/>
    <w:rsid w:val="00A32843"/>
    <w:rsid w:val="00A33131"/>
    <w:rsid w:val="00A40074"/>
    <w:rsid w:val="00A40C00"/>
    <w:rsid w:val="00A4126E"/>
    <w:rsid w:val="00A42D32"/>
    <w:rsid w:val="00A438AD"/>
    <w:rsid w:val="00A43BE4"/>
    <w:rsid w:val="00A44821"/>
    <w:rsid w:val="00A46303"/>
    <w:rsid w:val="00A46A63"/>
    <w:rsid w:val="00A47F91"/>
    <w:rsid w:val="00A520A0"/>
    <w:rsid w:val="00A52D22"/>
    <w:rsid w:val="00A54547"/>
    <w:rsid w:val="00A547CF"/>
    <w:rsid w:val="00A54B05"/>
    <w:rsid w:val="00A55E9E"/>
    <w:rsid w:val="00A56B65"/>
    <w:rsid w:val="00A57154"/>
    <w:rsid w:val="00A574FC"/>
    <w:rsid w:val="00A57C4F"/>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3224"/>
    <w:rsid w:val="00A735FE"/>
    <w:rsid w:val="00A75378"/>
    <w:rsid w:val="00A75BF2"/>
    <w:rsid w:val="00A8086B"/>
    <w:rsid w:val="00A80EBA"/>
    <w:rsid w:val="00A824D5"/>
    <w:rsid w:val="00A8270A"/>
    <w:rsid w:val="00A83915"/>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13C"/>
    <w:rsid w:val="00AB1416"/>
    <w:rsid w:val="00AB1568"/>
    <w:rsid w:val="00AB2598"/>
    <w:rsid w:val="00AB29C1"/>
    <w:rsid w:val="00AB3479"/>
    <w:rsid w:val="00AB50CF"/>
    <w:rsid w:val="00AB6D51"/>
    <w:rsid w:val="00AB7A63"/>
    <w:rsid w:val="00AC0055"/>
    <w:rsid w:val="00AC007F"/>
    <w:rsid w:val="00AC0677"/>
    <w:rsid w:val="00AC2558"/>
    <w:rsid w:val="00AC2F81"/>
    <w:rsid w:val="00AC3B25"/>
    <w:rsid w:val="00AC4DB2"/>
    <w:rsid w:val="00AC5119"/>
    <w:rsid w:val="00AC59E2"/>
    <w:rsid w:val="00AC60F5"/>
    <w:rsid w:val="00AC6BA8"/>
    <w:rsid w:val="00AC711A"/>
    <w:rsid w:val="00AD046A"/>
    <w:rsid w:val="00AD0C32"/>
    <w:rsid w:val="00AD258F"/>
    <w:rsid w:val="00AD3BBA"/>
    <w:rsid w:val="00AD3C09"/>
    <w:rsid w:val="00AD3C7F"/>
    <w:rsid w:val="00AD48C6"/>
    <w:rsid w:val="00AD4B16"/>
    <w:rsid w:val="00AD528D"/>
    <w:rsid w:val="00AD6C53"/>
    <w:rsid w:val="00AD7CE0"/>
    <w:rsid w:val="00AE302E"/>
    <w:rsid w:val="00AE433E"/>
    <w:rsid w:val="00AF1E7D"/>
    <w:rsid w:val="00AF26BD"/>
    <w:rsid w:val="00AF3BF3"/>
    <w:rsid w:val="00AF51F2"/>
    <w:rsid w:val="00AF77FB"/>
    <w:rsid w:val="00AF7934"/>
    <w:rsid w:val="00B000EC"/>
    <w:rsid w:val="00B016A8"/>
    <w:rsid w:val="00B017D4"/>
    <w:rsid w:val="00B01EA1"/>
    <w:rsid w:val="00B0257C"/>
    <w:rsid w:val="00B03376"/>
    <w:rsid w:val="00B043A6"/>
    <w:rsid w:val="00B0560D"/>
    <w:rsid w:val="00B05895"/>
    <w:rsid w:val="00B05FC1"/>
    <w:rsid w:val="00B07B04"/>
    <w:rsid w:val="00B101C3"/>
    <w:rsid w:val="00B1049D"/>
    <w:rsid w:val="00B112A3"/>
    <w:rsid w:val="00B11A4B"/>
    <w:rsid w:val="00B120FE"/>
    <w:rsid w:val="00B12BC6"/>
    <w:rsid w:val="00B15E10"/>
    <w:rsid w:val="00B17AF0"/>
    <w:rsid w:val="00B21664"/>
    <w:rsid w:val="00B239A7"/>
    <w:rsid w:val="00B245AC"/>
    <w:rsid w:val="00B245DB"/>
    <w:rsid w:val="00B26620"/>
    <w:rsid w:val="00B27045"/>
    <w:rsid w:val="00B27B70"/>
    <w:rsid w:val="00B27C98"/>
    <w:rsid w:val="00B27F7B"/>
    <w:rsid w:val="00B300F4"/>
    <w:rsid w:val="00B30765"/>
    <w:rsid w:val="00B31DD6"/>
    <w:rsid w:val="00B32630"/>
    <w:rsid w:val="00B34CAA"/>
    <w:rsid w:val="00B35C1E"/>
    <w:rsid w:val="00B412DC"/>
    <w:rsid w:val="00B41CD9"/>
    <w:rsid w:val="00B41DD3"/>
    <w:rsid w:val="00B426B4"/>
    <w:rsid w:val="00B42ED9"/>
    <w:rsid w:val="00B46CCD"/>
    <w:rsid w:val="00B46FAF"/>
    <w:rsid w:val="00B5039F"/>
    <w:rsid w:val="00B51FC9"/>
    <w:rsid w:val="00B5314F"/>
    <w:rsid w:val="00B53290"/>
    <w:rsid w:val="00B54DDA"/>
    <w:rsid w:val="00B54F3A"/>
    <w:rsid w:val="00B567B2"/>
    <w:rsid w:val="00B56A7D"/>
    <w:rsid w:val="00B571FF"/>
    <w:rsid w:val="00B60946"/>
    <w:rsid w:val="00B6118A"/>
    <w:rsid w:val="00B6558E"/>
    <w:rsid w:val="00B65766"/>
    <w:rsid w:val="00B67193"/>
    <w:rsid w:val="00B67D35"/>
    <w:rsid w:val="00B67E9F"/>
    <w:rsid w:val="00B70103"/>
    <w:rsid w:val="00B70F4B"/>
    <w:rsid w:val="00B718C4"/>
    <w:rsid w:val="00B71B75"/>
    <w:rsid w:val="00B74F18"/>
    <w:rsid w:val="00B77617"/>
    <w:rsid w:val="00B77CBF"/>
    <w:rsid w:val="00B804BD"/>
    <w:rsid w:val="00B80F2E"/>
    <w:rsid w:val="00B829AB"/>
    <w:rsid w:val="00B82F45"/>
    <w:rsid w:val="00B83183"/>
    <w:rsid w:val="00B83405"/>
    <w:rsid w:val="00B83F20"/>
    <w:rsid w:val="00B84E6B"/>
    <w:rsid w:val="00B86A84"/>
    <w:rsid w:val="00B9018E"/>
    <w:rsid w:val="00B903A5"/>
    <w:rsid w:val="00B905C3"/>
    <w:rsid w:val="00B92054"/>
    <w:rsid w:val="00B920B7"/>
    <w:rsid w:val="00B93782"/>
    <w:rsid w:val="00B94475"/>
    <w:rsid w:val="00B9478E"/>
    <w:rsid w:val="00B9488C"/>
    <w:rsid w:val="00B95859"/>
    <w:rsid w:val="00B96A70"/>
    <w:rsid w:val="00B97805"/>
    <w:rsid w:val="00B97FB6"/>
    <w:rsid w:val="00BA05ED"/>
    <w:rsid w:val="00BA062A"/>
    <w:rsid w:val="00BA1FD9"/>
    <w:rsid w:val="00BA46D7"/>
    <w:rsid w:val="00BA48AB"/>
    <w:rsid w:val="00BA5670"/>
    <w:rsid w:val="00BA66CE"/>
    <w:rsid w:val="00BA7712"/>
    <w:rsid w:val="00BA7B09"/>
    <w:rsid w:val="00BB2044"/>
    <w:rsid w:val="00BB2A40"/>
    <w:rsid w:val="00BB432B"/>
    <w:rsid w:val="00BB4DA6"/>
    <w:rsid w:val="00BB6618"/>
    <w:rsid w:val="00BB7695"/>
    <w:rsid w:val="00BC02C5"/>
    <w:rsid w:val="00BC128A"/>
    <w:rsid w:val="00BC1708"/>
    <w:rsid w:val="00BC1DA7"/>
    <w:rsid w:val="00BC2CDB"/>
    <w:rsid w:val="00BC3358"/>
    <w:rsid w:val="00BC371D"/>
    <w:rsid w:val="00BC41E6"/>
    <w:rsid w:val="00BC4A6E"/>
    <w:rsid w:val="00BC548D"/>
    <w:rsid w:val="00BC583C"/>
    <w:rsid w:val="00BC6356"/>
    <w:rsid w:val="00BC6621"/>
    <w:rsid w:val="00BC6D78"/>
    <w:rsid w:val="00BD0120"/>
    <w:rsid w:val="00BD0BA6"/>
    <w:rsid w:val="00BD1290"/>
    <w:rsid w:val="00BD1A8F"/>
    <w:rsid w:val="00BD24D4"/>
    <w:rsid w:val="00BD3C4C"/>
    <w:rsid w:val="00BD4E7A"/>
    <w:rsid w:val="00BD5E18"/>
    <w:rsid w:val="00BD682B"/>
    <w:rsid w:val="00BD6E7A"/>
    <w:rsid w:val="00BD73D7"/>
    <w:rsid w:val="00BE01B3"/>
    <w:rsid w:val="00BE09B6"/>
    <w:rsid w:val="00BE30B5"/>
    <w:rsid w:val="00BE3B1F"/>
    <w:rsid w:val="00BE4F7B"/>
    <w:rsid w:val="00BE5598"/>
    <w:rsid w:val="00BE5A42"/>
    <w:rsid w:val="00BE6C70"/>
    <w:rsid w:val="00BE6DA3"/>
    <w:rsid w:val="00BE6E02"/>
    <w:rsid w:val="00BE7612"/>
    <w:rsid w:val="00BF0E79"/>
    <w:rsid w:val="00BF109A"/>
    <w:rsid w:val="00BF3586"/>
    <w:rsid w:val="00BF421A"/>
    <w:rsid w:val="00C03BA0"/>
    <w:rsid w:val="00C042F0"/>
    <w:rsid w:val="00C06B70"/>
    <w:rsid w:val="00C078B4"/>
    <w:rsid w:val="00C07D37"/>
    <w:rsid w:val="00C1073D"/>
    <w:rsid w:val="00C123A9"/>
    <w:rsid w:val="00C131D6"/>
    <w:rsid w:val="00C13379"/>
    <w:rsid w:val="00C13F24"/>
    <w:rsid w:val="00C140F4"/>
    <w:rsid w:val="00C15403"/>
    <w:rsid w:val="00C15DA6"/>
    <w:rsid w:val="00C165DE"/>
    <w:rsid w:val="00C171D0"/>
    <w:rsid w:val="00C214C2"/>
    <w:rsid w:val="00C23612"/>
    <w:rsid w:val="00C25ED7"/>
    <w:rsid w:val="00C26002"/>
    <w:rsid w:val="00C26983"/>
    <w:rsid w:val="00C274C9"/>
    <w:rsid w:val="00C30622"/>
    <w:rsid w:val="00C31586"/>
    <w:rsid w:val="00C31ADD"/>
    <w:rsid w:val="00C3339F"/>
    <w:rsid w:val="00C34EA3"/>
    <w:rsid w:val="00C3551D"/>
    <w:rsid w:val="00C35FC9"/>
    <w:rsid w:val="00C3704C"/>
    <w:rsid w:val="00C377C5"/>
    <w:rsid w:val="00C40242"/>
    <w:rsid w:val="00C4095F"/>
    <w:rsid w:val="00C43BE1"/>
    <w:rsid w:val="00C44DBD"/>
    <w:rsid w:val="00C461DC"/>
    <w:rsid w:val="00C46671"/>
    <w:rsid w:val="00C46E46"/>
    <w:rsid w:val="00C50BA4"/>
    <w:rsid w:val="00C52F3F"/>
    <w:rsid w:val="00C54E1B"/>
    <w:rsid w:val="00C55615"/>
    <w:rsid w:val="00C5616A"/>
    <w:rsid w:val="00C57FA6"/>
    <w:rsid w:val="00C60DFE"/>
    <w:rsid w:val="00C611F1"/>
    <w:rsid w:val="00C616EE"/>
    <w:rsid w:val="00C63123"/>
    <w:rsid w:val="00C640E1"/>
    <w:rsid w:val="00C6449E"/>
    <w:rsid w:val="00C64727"/>
    <w:rsid w:val="00C655DD"/>
    <w:rsid w:val="00C668FA"/>
    <w:rsid w:val="00C70E55"/>
    <w:rsid w:val="00C72066"/>
    <w:rsid w:val="00C73B6F"/>
    <w:rsid w:val="00C74A04"/>
    <w:rsid w:val="00C75892"/>
    <w:rsid w:val="00C807BE"/>
    <w:rsid w:val="00C81BE8"/>
    <w:rsid w:val="00C825D1"/>
    <w:rsid w:val="00C82BDE"/>
    <w:rsid w:val="00C84386"/>
    <w:rsid w:val="00C84BF9"/>
    <w:rsid w:val="00C84DA9"/>
    <w:rsid w:val="00C8690B"/>
    <w:rsid w:val="00C872CC"/>
    <w:rsid w:val="00C875A8"/>
    <w:rsid w:val="00C8771D"/>
    <w:rsid w:val="00C87997"/>
    <w:rsid w:val="00C9040C"/>
    <w:rsid w:val="00C904F3"/>
    <w:rsid w:val="00C908F3"/>
    <w:rsid w:val="00C91D12"/>
    <w:rsid w:val="00C93539"/>
    <w:rsid w:val="00C9646E"/>
    <w:rsid w:val="00CA142A"/>
    <w:rsid w:val="00CA164D"/>
    <w:rsid w:val="00CA2A81"/>
    <w:rsid w:val="00CA3BD2"/>
    <w:rsid w:val="00CA429B"/>
    <w:rsid w:val="00CA48CF"/>
    <w:rsid w:val="00CA6B0F"/>
    <w:rsid w:val="00CA744F"/>
    <w:rsid w:val="00CA7768"/>
    <w:rsid w:val="00CA792E"/>
    <w:rsid w:val="00CA7EF2"/>
    <w:rsid w:val="00CB0764"/>
    <w:rsid w:val="00CB162D"/>
    <w:rsid w:val="00CB1736"/>
    <w:rsid w:val="00CB5EF9"/>
    <w:rsid w:val="00CB6C32"/>
    <w:rsid w:val="00CB77E9"/>
    <w:rsid w:val="00CC0327"/>
    <w:rsid w:val="00CC1242"/>
    <w:rsid w:val="00CC1E9D"/>
    <w:rsid w:val="00CC3C57"/>
    <w:rsid w:val="00CC4EE1"/>
    <w:rsid w:val="00CC5587"/>
    <w:rsid w:val="00CC6124"/>
    <w:rsid w:val="00CC6424"/>
    <w:rsid w:val="00CC671A"/>
    <w:rsid w:val="00CC72F2"/>
    <w:rsid w:val="00CC734F"/>
    <w:rsid w:val="00CC76BC"/>
    <w:rsid w:val="00CC7D06"/>
    <w:rsid w:val="00CD01B1"/>
    <w:rsid w:val="00CD07D4"/>
    <w:rsid w:val="00CD12BB"/>
    <w:rsid w:val="00CD2504"/>
    <w:rsid w:val="00CD6611"/>
    <w:rsid w:val="00CD6966"/>
    <w:rsid w:val="00CD6C22"/>
    <w:rsid w:val="00CD754A"/>
    <w:rsid w:val="00CE11ED"/>
    <w:rsid w:val="00CE1291"/>
    <w:rsid w:val="00CE2583"/>
    <w:rsid w:val="00CE289E"/>
    <w:rsid w:val="00CE3A9F"/>
    <w:rsid w:val="00CE3C02"/>
    <w:rsid w:val="00CE4A55"/>
    <w:rsid w:val="00CE587F"/>
    <w:rsid w:val="00CE5A82"/>
    <w:rsid w:val="00CE6ED1"/>
    <w:rsid w:val="00CE72FB"/>
    <w:rsid w:val="00CE7DF7"/>
    <w:rsid w:val="00CF16E4"/>
    <w:rsid w:val="00CF31CB"/>
    <w:rsid w:val="00CF44DA"/>
    <w:rsid w:val="00CF50F9"/>
    <w:rsid w:val="00CF7A2B"/>
    <w:rsid w:val="00D003B0"/>
    <w:rsid w:val="00D029DE"/>
    <w:rsid w:val="00D03BD1"/>
    <w:rsid w:val="00D058E5"/>
    <w:rsid w:val="00D06D79"/>
    <w:rsid w:val="00D07357"/>
    <w:rsid w:val="00D10277"/>
    <w:rsid w:val="00D107FE"/>
    <w:rsid w:val="00D10961"/>
    <w:rsid w:val="00D13D4B"/>
    <w:rsid w:val="00D14AB0"/>
    <w:rsid w:val="00D1521C"/>
    <w:rsid w:val="00D1521D"/>
    <w:rsid w:val="00D169BB"/>
    <w:rsid w:val="00D212C5"/>
    <w:rsid w:val="00D2148D"/>
    <w:rsid w:val="00D22C7B"/>
    <w:rsid w:val="00D23904"/>
    <w:rsid w:val="00D23B55"/>
    <w:rsid w:val="00D24065"/>
    <w:rsid w:val="00D24466"/>
    <w:rsid w:val="00D24DCE"/>
    <w:rsid w:val="00D256AC"/>
    <w:rsid w:val="00D26994"/>
    <w:rsid w:val="00D3165E"/>
    <w:rsid w:val="00D31EB4"/>
    <w:rsid w:val="00D320AC"/>
    <w:rsid w:val="00D32BDA"/>
    <w:rsid w:val="00D3304B"/>
    <w:rsid w:val="00D359BF"/>
    <w:rsid w:val="00D36DB4"/>
    <w:rsid w:val="00D371D3"/>
    <w:rsid w:val="00D37299"/>
    <w:rsid w:val="00D37DB0"/>
    <w:rsid w:val="00D4083C"/>
    <w:rsid w:val="00D40F91"/>
    <w:rsid w:val="00D42041"/>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6D19"/>
    <w:rsid w:val="00D578D6"/>
    <w:rsid w:val="00D60251"/>
    <w:rsid w:val="00D60BEC"/>
    <w:rsid w:val="00D61A55"/>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3B90"/>
    <w:rsid w:val="00D73F5E"/>
    <w:rsid w:val="00D7541A"/>
    <w:rsid w:val="00D75AFF"/>
    <w:rsid w:val="00D75EC4"/>
    <w:rsid w:val="00D7634D"/>
    <w:rsid w:val="00D805FC"/>
    <w:rsid w:val="00D81102"/>
    <w:rsid w:val="00D81AAF"/>
    <w:rsid w:val="00D830F3"/>
    <w:rsid w:val="00D84245"/>
    <w:rsid w:val="00D84264"/>
    <w:rsid w:val="00D853A7"/>
    <w:rsid w:val="00D85B2B"/>
    <w:rsid w:val="00D85DD8"/>
    <w:rsid w:val="00D86727"/>
    <w:rsid w:val="00D86DE3"/>
    <w:rsid w:val="00D87505"/>
    <w:rsid w:val="00D941C7"/>
    <w:rsid w:val="00D94661"/>
    <w:rsid w:val="00D94930"/>
    <w:rsid w:val="00D95A89"/>
    <w:rsid w:val="00D95D4E"/>
    <w:rsid w:val="00D9648E"/>
    <w:rsid w:val="00D966A4"/>
    <w:rsid w:val="00D966F4"/>
    <w:rsid w:val="00D97FC7"/>
    <w:rsid w:val="00DA1558"/>
    <w:rsid w:val="00DA1891"/>
    <w:rsid w:val="00DA31A6"/>
    <w:rsid w:val="00DA3763"/>
    <w:rsid w:val="00DA3998"/>
    <w:rsid w:val="00DA53C1"/>
    <w:rsid w:val="00DA6543"/>
    <w:rsid w:val="00DB0A43"/>
    <w:rsid w:val="00DB2DCF"/>
    <w:rsid w:val="00DB39B2"/>
    <w:rsid w:val="00DB615F"/>
    <w:rsid w:val="00DB6BA8"/>
    <w:rsid w:val="00DB7DF6"/>
    <w:rsid w:val="00DB7F50"/>
    <w:rsid w:val="00DC0AFF"/>
    <w:rsid w:val="00DC0D5D"/>
    <w:rsid w:val="00DC0F59"/>
    <w:rsid w:val="00DC1118"/>
    <w:rsid w:val="00DC1B4D"/>
    <w:rsid w:val="00DC2179"/>
    <w:rsid w:val="00DC278C"/>
    <w:rsid w:val="00DC315C"/>
    <w:rsid w:val="00DC35F5"/>
    <w:rsid w:val="00DC3D99"/>
    <w:rsid w:val="00DC3E2F"/>
    <w:rsid w:val="00DC5106"/>
    <w:rsid w:val="00DC63B9"/>
    <w:rsid w:val="00DC7379"/>
    <w:rsid w:val="00DD08E9"/>
    <w:rsid w:val="00DD334E"/>
    <w:rsid w:val="00DD3729"/>
    <w:rsid w:val="00DD4274"/>
    <w:rsid w:val="00DD4B17"/>
    <w:rsid w:val="00DD53B0"/>
    <w:rsid w:val="00DD58F0"/>
    <w:rsid w:val="00DD5B2C"/>
    <w:rsid w:val="00DD5CAA"/>
    <w:rsid w:val="00DE06BD"/>
    <w:rsid w:val="00DE1107"/>
    <w:rsid w:val="00DE2848"/>
    <w:rsid w:val="00DE3511"/>
    <w:rsid w:val="00DE3CCF"/>
    <w:rsid w:val="00DE403C"/>
    <w:rsid w:val="00DE459E"/>
    <w:rsid w:val="00DE5FE8"/>
    <w:rsid w:val="00DE66E7"/>
    <w:rsid w:val="00DE7104"/>
    <w:rsid w:val="00DF1A58"/>
    <w:rsid w:val="00DF2795"/>
    <w:rsid w:val="00DF4176"/>
    <w:rsid w:val="00DF4A54"/>
    <w:rsid w:val="00DF4C0F"/>
    <w:rsid w:val="00DF5045"/>
    <w:rsid w:val="00DF5BB3"/>
    <w:rsid w:val="00DF62F9"/>
    <w:rsid w:val="00DF7057"/>
    <w:rsid w:val="00DF7937"/>
    <w:rsid w:val="00DF7A52"/>
    <w:rsid w:val="00E0023D"/>
    <w:rsid w:val="00E00353"/>
    <w:rsid w:val="00E0111A"/>
    <w:rsid w:val="00E01169"/>
    <w:rsid w:val="00E02E01"/>
    <w:rsid w:val="00E04563"/>
    <w:rsid w:val="00E06355"/>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2CF6"/>
    <w:rsid w:val="00E337BC"/>
    <w:rsid w:val="00E34B24"/>
    <w:rsid w:val="00E35731"/>
    <w:rsid w:val="00E35CAB"/>
    <w:rsid w:val="00E35CAD"/>
    <w:rsid w:val="00E365B8"/>
    <w:rsid w:val="00E37145"/>
    <w:rsid w:val="00E40019"/>
    <w:rsid w:val="00E40492"/>
    <w:rsid w:val="00E4058F"/>
    <w:rsid w:val="00E40F2A"/>
    <w:rsid w:val="00E42948"/>
    <w:rsid w:val="00E42DC1"/>
    <w:rsid w:val="00E4433C"/>
    <w:rsid w:val="00E44814"/>
    <w:rsid w:val="00E44FFF"/>
    <w:rsid w:val="00E4610E"/>
    <w:rsid w:val="00E4738F"/>
    <w:rsid w:val="00E51633"/>
    <w:rsid w:val="00E51E54"/>
    <w:rsid w:val="00E5245D"/>
    <w:rsid w:val="00E549AA"/>
    <w:rsid w:val="00E54B99"/>
    <w:rsid w:val="00E55707"/>
    <w:rsid w:val="00E55819"/>
    <w:rsid w:val="00E560F1"/>
    <w:rsid w:val="00E56906"/>
    <w:rsid w:val="00E6161B"/>
    <w:rsid w:val="00E61FCC"/>
    <w:rsid w:val="00E62057"/>
    <w:rsid w:val="00E6290C"/>
    <w:rsid w:val="00E62ED4"/>
    <w:rsid w:val="00E6334B"/>
    <w:rsid w:val="00E63A2D"/>
    <w:rsid w:val="00E63E57"/>
    <w:rsid w:val="00E651D0"/>
    <w:rsid w:val="00E653C7"/>
    <w:rsid w:val="00E67634"/>
    <w:rsid w:val="00E701CD"/>
    <w:rsid w:val="00E718D2"/>
    <w:rsid w:val="00E71A71"/>
    <w:rsid w:val="00E731A1"/>
    <w:rsid w:val="00E747F6"/>
    <w:rsid w:val="00E76288"/>
    <w:rsid w:val="00E81BCB"/>
    <w:rsid w:val="00E82AD6"/>
    <w:rsid w:val="00E82E2C"/>
    <w:rsid w:val="00E83813"/>
    <w:rsid w:val="00E8477B"/>
    <w:rsid w:val="00E84C73"/>
    <w:rsid w:val="00E857EA"/>
    <w:rsid w:val="00E8797C"/>
    <w:rsid w:val="00E91F16"/>
    <w:rsid w:val="00E9479C"/>
    <w:rsid w:val="00E955F5"/>
    <w:rsid w:val="00EA0835"/>
    <w:rsid w:val="00EA0857"/>
    <w:rsid w:val="00EA12F8"/>
    <w:rsid w:val="00EA219D"/>
    <w:rsid w:val="00EA2B7E"/>
    <w:rsid w:val="00EA6CBC"/>
    <w:rsid w:val="00EB0229"/>
    <w:rsid w:val="00EB0BA2"/>
    <w:rsid w:val="00EB113C"/>
    <w:rsid w:val="00EB178D"/>
    <w:rsid w:val="00EB2177"/>
    <w:rsid w:val="00EB225D"/>
    <w:rsid w:val="00EB3C97"/>
    <w:rsid w:val="00EB497E"/>
    <w:rsid w:val="00EB50C0"/>
    <w:rsid w:val="00EB658B"/>
    <w:rsid w:val="00EB69C2"/>
    <w:rsid w:val="00EB74C1"/>
    <w:rsid w:val="00EC18F1"/>
    <w:rsid w:val="00EC2B47"/>
    <w:rsid w:val="00EC2C8C"/>
    <w:rsid w:val="00EC3079"/>
    <w:rsid w:val="00EC44CD"/>
    <w:rsid w:val="00EC454B"/>
    <w:rsid w:val="00EC4D79"/>
    <w:rsid w:val="00EC511E"/>
    <w:rsid w:val="00EC54DA"/>
    <w:rsid w:val="00EC5F37"/>
    <w:rsid w:val="00ED1496"/>
    <w:rsid w:val="00ED187D"/>
    <w:rsid w:val="00ED27CB"/>
    <w:rsid w:val="00ED3B99"/>
    <w:rsid w:val="00ED5530"/>
    <w:rsid w:val="00ED67F0"/>
    <w:rsid w:val="00ED7DAF"/>
    <w:rsid w:val="00ED7F88"/>
    <w:rsid w:val="00EE16B1"/>
    <w:rsid w:val="00EE3498"/>
    <w:rsid w:val="00EE3BB1"/>
    <w:rsid w:val="00EE50B9"/>
    <w:rsid w:val="00EE5257"/>
    <w:rsid w:val="00EE7488"/>
    <w:rsid w:val="00EE7EA8"/>
    <w:rsid w:val="00EF04A1"/>
    <w:rsid w:val="00EF0D42"/>
    <w:rsid w:val="00EF1488"/>
    <w:rsid w:val="00EF1E76"/>
    <w:rsid w:val="00EF30AE"/>
    <w:rsid w:val="00EF3FF1"/>
    <w:rsid w:val="00EF41DE"/>
    <w:rsid w:val="00EF4571"/>
    <w:rsid w:val="00EF564A"/>
    <w:rsid w:val="00EF7452"/>
    <w:rsid w:val="00EF778C"/>
    <w:rsid w:val="00F00727"/>
    <w:rsid w:val="00F023EF"/>
    <w:rsid w:val="00F02CAD"/>
    <w:rsid w:val="00F02D20"/>
    <w:rsid w:val="00F03EAC"/>
    <w:rsid w:val="00F0584C"/>
    <w:rsid w:val="00F05FB0"/>
    <w:rsid w:val="00F07962"/>
    <w:rsid w:val="00F10080"/>
    <w:rsid w:val="00F10D6C"/>
    <w:rsid w:val="00F113B0"/>
    <w:rsid w:val="00F1260B"/>
    <w:rsid w:val="00F1264C"/>
    <w:rsid w:val="00F12D81"/>
    <w:rsid w:val="00F1534B"/>
    <w:rsid w:val="00F16179"/>
    <w:rsid w:val="00F17F04"/>
    <w:rsid w:val="00F20246"/>
    <w:rsid w:val="00F214DF"/>
    <w:rsid w:val="00F22756"/>
    <w:rsid w:val="00F233D8"/>
    <w:rsid w:val="00F23D18"/>
    <w:rsid w:val="00F24BA9"/>
    <w:rsid w:val="00F25618"/>
    <w:rsid w:val="00F2761F"/>
    <w:rsid w:val="00F279CA"/>
    <w:rsid w:val="00F312FC"/>
    <w:rsid w:val="00F31D7C"/>
    <w:rsid w:val="00F31EB6"/>
    <w:rsid w:val="00F3304F"/>
    <w:rsid w:val="00F34DC7"/>
    <w:rsid w:val="00F358A8"/>
    <w:rsid w:val="00F35CED"/>
    <w:rsid w:val="00F363B9"/>
    <w:rsid w:val="00F3650E"/>
    <w:rsid w:val="00F37B1A"/>
    <w:rsid w:val="00F40BFC"/>
    <w:rsid w:val="00F41101"/>
    <w:rsid w:val="00F41B94"/>
    <w:rsid w:val="00F42C31"/>
    <w:rsid w:val="00F432B1"/>
    <w:rsid w:val="00F4350A"/>
    <w:rsid w:val="00F44A8B"/>
    <w:rsid w:val="00F45328"/>
    <w:rsid w:val="00F508A3"/>
    <w:rsid w:val="00F508B0"/>
    <w:rsid w:val="00F51096"/>
    <w:rsid w:val="00F517C3"/>
    <w:rsid w:val="00F51CD7"/>
    <w:rsid w:val="00F52075"/>
    <w:rsid w:val="00F52EEF"/>
    <w:rsid w:val="00F5330E"/>
    <w:rsid w:val="00F53E5B"/>
    <w:rsid w:val="00F551D5"/>
    <w:rsid w:val="00F57548"/>
    <w:rsid w:val="00F605E4"/>
    <w:rsid w:val="00F606ED"/>
    <w:rsid w:val="00F60856"/>
    <w:rsid w:val="00F609CA"/>
    <w:rsid w:val="00F61E7A"/>
    <w:rsid w:val="00F63CFD"/>
    <w:rsid w:val="00F63D21"/>
    <w:rsid w:val="00F64434"/>
    <w:rsid w:val="00F64482"/>
    <w:rsid w:val="00F64498"/>
    <w:rsid w:val="00F64579"/>
    <w:rsid w:val="00F65568"/>
    <w:rsid w:val="00F65623"/>
    <w:rsid w:val="00F65B8F"/>
    <w:rsid w:val="00F66B71"/>
    <w:rsid w:val="00F67A22"/>
    <w:rsid w:val="00F67D08"/>
    <w:rsid w:val="00F67EFB"/>
    <w:rsid w:val="00F705B8"/>
    <w:rsid w:val="00F7083B"/>
    <w:rsid w:val="00F70CBA"/>
    <w:rsid w:val="00F7168B"/>
    <w:rsid w:val="00F73733"/>
    <w:rsid w:val="00F742F1"/>
    <w:rsid w:val="00F745A3"/>
    <w:rsid w:val="00F74832"/>
    <w:rsid w:val="00F759F4"/>
    <w:rsid w:val="00F7660E"/>
    <w:rsid w:val="00F77803"/>
    <w:rsid w:val="00F77947"/>
    <w:rsid w:val="00F805C2"/>
    <w:rsid w:val="00F80DE9"/>
    <w:rsid w:val="00F810C0"/>
    <w:rsid w:val="00F81430"/>
    <w:rsid w:val="00F818E2"/>
    <w:rsid w:val="00F83363"/>
    <w:rsid w:val="00F86DAF"/>
    <w:rsid w:val="00F90F78"/>
    <w:rsid w:val="00F92C1F"/>
    <w:rsid w:val="00F93127"/>
    <w:rsid w:val="00F93877"/>
    <w:rsid w:val="00F93EB8"/>
    <w:rsid w:val="00F93EF3"/>
    <w:rsid w:val="00F945CD"/>
    <w:rsid w:val="00F94B77"/>
    <w:rsid w:val="00F96986"/>
    <w:rsid w:val="00F970BC"/>
    <w:rsid w:val="00FA27DF"/>
    <w:rsid w:val="00FA33A5"/>
    <w:rsid w:val="00FA3570"/>
    <w:rsid w:val="00FA4826"/>
    <w:rsid w:val="00FA4EE7"/>
    <w:rsid w:val="00FA5116"/>
    <w:rsid w:val="00FA74C7"/>
    <w:rsid w:val="00FA7CC4"/>
    <w:rsid w:val="00FA7ED5"/>
    <w:rsid w:val="00FB3C03"/>
    <w:rsid w:val="00FB3D1B"/>
    <w:rsid w:val="00FB4826"/>
    <w:rsid w:val="00FB4AA3"/>
    <w:rsid w:val="00FB65AE"/>
    <w:rsid w:val="00FC060E"/>
    <w:rsid w:val="00FC1466"/>
    <w:rsid w:val="00FC159E"/>
    <w:rsid w:val="00FC1EFA"/>
    <w:rsid w:val="00FC2CB8"/>
    <w:rsid w:val="00FC3698"/>
    <w:rsid w:val="00FC3E35"/>
    <w:rsid w:val="00FC429E"/>
    <w:rsid w:val="00FC42D5"/>
    <w:rsid w:val="00FC661B"/>
    <w:rsid w:val="00FC7C0C"/>
    <w:rsid w:val="00FC7FD0"/>
    <w:rsid w:val="00FD0408"/>
    <w:rsid w:val="00FD0A50"/>
    <w:rsid w:val="00FD1064"/>
    <w:rsid w:val="00FD1841"/>
    <w:rsid w:val="00FD24FF"/>
    <w:rsid w:val="00FD2E72"/>
    <w:rsid w:val="00FD39DE"/>
    <w:rsid w:val="00FD3AFD"/>
    <w:rsid w:val="00FD49D7"/>
    <w:rsid w:val="00FD548D"/>
    <w:rsid w:val="00FD6082"/>
    <w:rsid w:val="00FD61EF"/>
    <w:rsid w:val="00FD6423"/>
    <w:rsid w:val="00FD69C9"/>
    <w:rsid w:val="00FD6AA6"/>
    <w:rsid w:val="00FD6FA2"/>
    <w:rsid w:val="00FD7D68"/>
    <w:rsid w:val="00FE0469"/>
    <w:rsid w:val="00FE0A11"/>
    <w:rsid w:val="00FE0D9F"/>
    <w:rsid w:val="00FE1194"/>
    <w:rsid w:val="00FE1381"/>
    <w:rsid w:val="00FE20C4"/>
    <w:rsid w:val="00FE2AF3"/>
    <w:rsid w:val="00FE3D79"/>
    <w:rsid w:val="00FE4718"/>
    <w:rsid w:val="00FE79C3"/>
    <w:rsid w:val="00FE7A1F"/>
    <w:rsid w:val="00FF1726"/>
    <w:rsid w:val="00FF19F5"/>
    <w:rsid w:val="00FF2200"/>
    <w:rsid w:val="00FF34B2"/>
    <w:rsid w:val="00FF42EE"/>
    <w:rsid w:val="00FF44DA"/>
    <w:rsid w:val="00FF5BB4"/>
    <w:rsid w:val="00FF6A81"/>
    <w:rsid w:val="00FF737A"/>
    <w:rsid w:val="016E044A"/>
    <w:rsid w:val="070B5632"/>
    <w:rsid w:val="0C482343"/>
    <w:rsid w:val="16D05547"/>
    <w:rsid w:val="18704CB4"/>
    <w:rsid w:val="192E28F8"/>
    <w:rsid w:val="22C80A1D"/>
    <w:rsid w:val="234A45D7"/>
    <w:rsid w:val="28D05650"/>
    <w:rsid w:val="28E92B74"/>
    <w:rsid w:val="2AF42FD1"/>
    <w:rsid w:val="2CF17ED9"/>
    <w:rsid w:val="2D491F9E"/>
    <w:rsid w:val="2DD6396D"/>
    <w:rsid w:val="2EE3075D"/>
    <w:rsid w:val="2F20599A"/>
    <w:rsid w:val="2FE50BA9"/>
    <w:rsid w:val="317F0BCA"/>
    <w:rsid w:val="32832A04"/>
    <w:rsid w:val="391C28EE"/>
    <w:rsid w:val="3A6C3919"/>
    <w:rsid w:val="3B7A0F58"/>
    <w:rsid w:val="3C672EE2"/>
    <w:rsid w:val="48960B41"/>
    <w:rsid w:val="493733B5"/>
    <w:rsid w:val="49EC224C"/>
    <w:rsid w:val="4C4C62F7"/>
    <w:rsid w:val="4FD37F56"/>
    <w:rsid w:val="50CE10DD"/>
    <w:rsid w:val="65D63345"/>
    <w:rsid w:val="6B3E697D"/>
    <w:rsid w:val="6E3C6504"/>
    <w:rsid w:val="6F3335BA"/>
    <w:rsid w:val="76A76695"/>
    <w:rsid w:val="76E521D9"/>
    <w:rsid w:val="78C97ABA"/>
    <w:rsid w:val="7A24182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92333"/>
  <w15:docId w15:val="{9FB0D2A8-3277-4249-A71C-C3CC8205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widowControl/>
      <w:spacing w:before="100" w:beforeAutospacing="1" w:after="100" w:afterAutospacing="1" w:line="360" w:lineRule="auto"/>
      <w:ind w:firstLineChars="200" w:firstLine="200"/>
      <w:jc w:val="left"/>
      <w:outlineLvl w:val="0"/>
    </w:pPr>
    <w:rPr>
      <w:rFonts w:ascii="宋体" w:eastAsia="宋体" w:hAnsi="宋体" w:cs="宋体"/>
      <w:b/>
      <w:bCs/>
      <w:kern w:val="36"/>
      <w:sz w:val="48"/>
      <w:szCs w:val="48"/>
    </w:rPr>
  </w:style>
  <w:style w:type="paragraph" w:styleId="2">
    <w:name w:val="heading 2"/>
    <w:basedOn w:val="a"/>
    <w:next w:val="a"/>
    <w:link w:val="20"/>
    <w:qFormat/>
    <w:pPr>
      <w:keepNext/>
      <w:keepLines/>
      <w:widowControl/>
      <w:spacing w:before="260" w:after="260" w:line="413" w:lineRule="auto"/>
      <w:ind w:firstLineChars="200" w:firstLine="200"/>
      <w:outlineLvl w:val="1"/>
    </w:pPr>
    <w:rPr>
      <w:rFonts w:ascii="Arial" w:eastAsia="黑体" w:hAnsi="Arial"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rPr>
      <w:rFonts w:eastAsia="仿宋_GB2312"/>
    </w:rPr>
  </w:style>
  <w:style w:type="paragraph" w:styleId="a5">
    <w:name w:val="Normal Indent"/>
    <w:basedOn w:val="a"/>
    <w:qFormat/>
    <w:pPr>
      <w:widowControl/>
      <w:spacing w:line="360" w:lineRule="auto"/>
      <w:ind w:firstLineChars="200" w:firstLine="420"/>
    </w:pPr>
    <w:rPr>
      <w:rFonts w:ascii="Times New Roman" w:eastAsia="宋体" w:hAnsi="Times New Roman" w:cs="Times New Roman"/>
      <w:szCs w:val="20"/>
    </w:rPr>
  </w:style>
  <w:style w:type="paragraph" w:styleId="a6">
    <w:name w:val="annotation text"/>
    <w:basedOn w:val="a"/>
    <w:link w:val="a7"/>
    <w:qFormat/>
    <w:pPr>
      <w:spacing w:line="360" w:lineRule="auto"/>
      <w:jc w:val="left"/>
    </w:pPr>
    <w:rPr>
      <w:rFonts w:ascii="宋体" w:eastAsia="宋体" w:hAnsi="宋体" w:cs="Times New Roman"/>
      <w:szCs w:val="24"/>
    </w:rPr>
  </w:style>
  <w:style w:type="paragraph" w:styleId="a8">
    <w:name w:val="Body Text Indent"/>
    <w:basedOn w:val="a"/>
    <w:link w:val="a9"/>
    <w:qFormat/>
    <w:pPr>
      <w:ind w:firstLine="420"/>
    </w:pPr>
    <w:rPr>
      <w:rFonts w:ascii="Times New Roman" w:eastAsia="宋体" w:hAnsi="Times New Roman" w:cs="Times New Roman"/>
      <w:sz w:val="24"/>
      <w:szCs w:val="24"/>
    </w:rPr>
  </w:style>
  <w:style w:type="paragraph" w:styleId="aa">
    <w:name w:val="Plain Text"/>
    <w:basedOn w:val="a"/>
    <w:link w:val="ab"/>
    <w:uiPriority w:val="99"/>
    <w:unhideWhenUsed/>
    <w:qFormat/>
    <w:rPr>
      <w:rFonts w:ascii="宋体" w:eastAsia="宋体" w:hAnsi="Courier New" w:cs="Courier New"/>
      <w:szCs w:val="21"/>
    </w:rPr>
  </w:style>
  <w:style w:type="paragraph" w:styleId="ac">
    <w:name w:val="Date"/>
    <w:basedOn w:val="a"/>
    <w:next w:val="a"/>
    <w:link w:val="ad"/>
    <w:qFormat/>
    <w:pPr>
      <w:widowControl/>
      <w:spacing w:line="360" w:lineRule="auto"/>
      <w:ind w:leftChars="2500" w:left="100" w:firstLineChars="200" w:firstLine="200"/>
    </w:pPr>
    <w:rPr>
      <w:rFonts w:ascii="Times New Roman" w:eastAsia="宋体" w:hAnsi="Times New Roman" w:cs="Times New Roman"/>
      <w:szCs w:val="24"/>
    </w:rPr>
  </w:style>
  <w:style w:type="paragraph" w:styleId="21">
    <w:name w:val="Body Text Indent 2"/>
    <w:basedOn w:val="a"/>
    <w:link w:val="22"/>
    <w:qFormat/>
    <w:pPr>
      <w:widowControl/>
      <w:spacing w:after="120" w:line="480" w:lineRule="auto"/>
      <w:ind w:leftChars="200" w:left="420" w:firstLineChars="200" w:firstLine="200"/>
    </w:pPr>
    <w:rPr>
      <w:rFonts w:ascii="Times New Roman" w:eastAsia="宋体" w:hAnsi="Times New Roman" w:cs="Times New Roman"/>
      <w:szCs w:val="24"/>
    </w:rPr>
  </w:style>
  <w:style w:type="paragraph" w:styleId="ae">
    <w:name w:val="Balloon Text"/>
    <w:basedOn w:val="a"/>
    <w:link w:val="af"/>
    <w:uiPriority w:val="99"/>
    <w:unhideWhenUsed/>
    <w:qFormat/>
    <w:rPr>
      <w:sz w:val="18"/>
      <w:szCs w:val="18"/>
    </w:rPr>
  </w:style>
  <w:style w:type="paragraph" w:styleId="af0">
    <w:name w:val="footer"/>
    <w:basedOn w:val="a"/>
    <w:link w:val="af1"/>
    <w:unhideWhenUsed/>
    <w:qFormat/>
    <w:pPr>
      <w:tabs>
        <w:tab w:val="center" w:pos="4153"/>
        <w:tab w:val="right" w:pos="8306"/>
      </w:tabs>
      <w:snapToGrid w:val="0"/>
      <w:jc w:val="left"/>
    </w:pPr>
    <w:rPr>
      <w:sz w:val="18"/>
      <w:szCs w:val="18"/>
    </w:rPr>
  </w:style>
  <w:style w:type="paragraph" w:styleId="af2">
    <w:name w:val="header"/>
    <w:basedOn w:val="a"/>
    <w:link w:val="af3"/>
    <w:unhideWhenUsed/>
    <w:qFormat/>
    <w:pPr>
      <w:pBdr>
        <w:bottom w:val="single" w:sz="6" w:space="1" w:color="auto"/>
      </w:pBdr>
      <w:tabs>
        <w:tab w:val="center" w:pos="4153"/>
        <w:tab w:val="right" w:pos="8306"/>
      </w:tabs>
      <w:snapToGrid w:val="0"/>
      <w:jc w:val="center"/>
    </w:pPr>
    <w:rPr>
      <w:sz w:val="18"/>
      <w:szCs w:val="18"/>
    </w:rPr>
  </w:style>
  <w:style w:type="paragraph" w:styleId="TOC1">
    <w:name w:val="toc 1"/>
    <w:next w:val="a"/>
    <w:qFormat/>
    <w:pPr>
      <w:jc w:val="both"/>
    </w:pPr>
    <w:rPr>
      <w:rFonts w:ascii="宋体"/>
      <w:sz w:val="21"/>
    </w:rPr>
  </w:style>
  <w:style w:type="paragraph" w:styleId="af4">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5">
    <w:name w:val="annotation subject"/>
    <w:basedOn w:val="a6"/>
    <w:next w:val="a6"/>
    <w:link w:val="af6"/>
    <w:uiPriority w:val="99"/>
    <w:semiHidden/>
    <w:unhideWhenUsed/>
    <w:qFormat/>
    <w:pPr>
      <w:widowControl/>
      <w:ind w:firstLineChars="200" w:firstLine="200"/>
    </w:pPr>
    <w:rPr>
      <w:rFonts w:asciiTheme="minorHAnsi" w:eastAsiaTheme="minorEastAsia" w:hAnsiTheme="minorHAnsi" w:cstheme="minorBidi"/>
      <w:b/>
      <w:bCs/>
      <w:szCs w:val="22"/>
    </w:rPr>
  </w:style>
  <w:style w:type="paragraph" w:styleId="af7">
    <w:name w:val="Body Text First Indent"/>
    <w:basedOn w:val="a0"/>
    <w:link w:val="af8"/>
    <w:qFormat/>
    <w:pPr>
      <w:widowControl/>
      <w:spacing w:line="360" w:lineRule="auto"/>
      <w:ind w:firstLineChars="100" w:firstLine="420"/>
    </w:pPr>
    <w:rPr>
      <w:rFonts w:ascii="Times New Roman" w:eastAsia="宋体" w:hAnsi="Times New Roman" w:cs="Times New Roman"/>
      <w:szCs w:val="24"/>
    </w:rPr>
  </w:style>
  <w:style w:type="table" w:styleId="af9">
    <w:name w:val="Table Grid"/>
    <w:basedOn w:val="a2"/>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a">
    <w:name w:val="Strong"/>
    <w:uiPriority w:val="22"/>
    <w:qFormat/>
    <w:rPr>
      <w:b/>
      <w:bCs/>
    </w:rPr>
  </w:style>
  <w:style w:type="character" w:styleId="afb">
    <w:name w:val="page number"/>
    <w:basedOn w:val="a1"/>
    <w:qFormat/>
  </w:style>
  <w:style w:type="character" w:styleId="HTML">
    <w:name w:val="HTML Typewriter"/>
    <w:qFormat/>
    <w:rPr>
      <w:rFonts w:ascii="Courier New" w:hAnsi="Courier New"/>
      <w:sz w:val="20"/>
      <w:szCs w:val="20"/>
    </w:rPr>
  </w:style>
  <w:style w:type="character" w:styleId="afc">
    <w:name w:val="annotation reference"/>
    <w:basedOn w:val="a1"/>
    <w:uiPriority w:val="99"/>
    <w:semiHidden/>
    <w:unhideWhenUsed/>
    <w:qFormat/>
    <w:rPr>
      <w:sz w:val="21"/>
      <w:szCs w:val="21"/>
    </w:rPr>
  </w:style>
  <w:style w:type="character" w:customStyle="1" w:styleId="af">
    <w:name w:val="批注框文本 字符"/>
    <w:basedOn w:val="a1"/>
    <w:link w:val="ae"/>
    <w:uiPriority w:val="99"/>
    <w:qFormat/>
    <w:rPr>
      <w:sz w:val="18"/>
      <w:szCs w:val="18"/>
    </w:rPr>
  </w:style>
  <w:style w:type="character" w:customStyle="1" w:styleId="af3">
    <w:name w:val="页眉 字符"/>
    <w:basedOn w:val="a1"/>
    <w:link w:val="af2"/>
    <w:qFormat/>
    <w:rPr>
      <w:sz w:val="18"/>
      <w:szCs w:val="18"/>
    </w:rPr>
  </w:style>
  <w:style w:type="character" w:customStyle="1" w:styleId="af1">
    <w:name w:val="页脚 字符"/>
    <w:basedOn w:val="a1"/>
    <w:link w:val="af0"/>
    <w:qFormat/>
    <w:rPr>
      <w:sz w:val="18"/>
      <w:szCs w:val="18"/>
    </w:rPr>
  </w:style>
  <w:style w:type="paragraph" w:customStyle="1" w:styleId="afd">
    <w:name w:val="章标题"/>
    <w:next w:val="a"/>
    <w:link w:val="CharChar"/>
    <w:qFormat/>
    <w:pPr>
      <w:spacing w:beforeLines="50" w:afterLines="50"/>
      <w:jc w:val="both"/>
      <w:outlineLvl w:val="1"/>
    </w:pPr>
    <w:rPr>
      <w:rFonts w:ascii="黑体" w:eastAsia="黑体"/>
      <w:sz w:val="21"/>
    </w:rPr>
  </w:style>
  <w:style w:type="character" w:customStyle="1" w:styleId="a9">
    <w:name w:val="正文文本缩进 字符"/>
    <w:basedOn w:val="a1"/>
    <w:link w:val="a8"/>
    <w:qFormat/>
    <w:rPr>
      <w:rFonts w:ascii="Times New Roman" w:eastAsia="宋体" w:hAnsi="Times New Roman" w:cs="Times New Roman"/>
      <w:sz w:val="24"/>
      <w:szCs w:val="24"/>
    </w:rPr>
  </w:style>
  <w:style w:type="character" w:customStyle="1" w:styleId="a7">
    <w:name w:val="批注文字 字符"/>
    <w:basedOn w:val="a1"/>
    <w:link w:val="a6"/>
    <w:qFormat/>
    <w:rPr>
      <w:rFonts w:ascii="宋体" w:eastAsia="宋体" w:hAnsi="宋体" w:cs="Times New Roman"/>
      <w:szCs w:val="24"/>
    </w:rPr>
  </w:style>
  <w:style w:type="paragraph" w:styleId="afe">
    <w:name w:val="List Paragraph"/>
    <w:basedOn w:val="a"/>
    <w:uiPriority w:val="34"/>
    <w:qFormat/>
    <w:pPr>
      <w:ind w:firstLineChars="200" w:firstLine="420"/>
    </w:pPr>
  </w:style>
  <w:style w:type="paragraph" w:customStyle="1" w:styleId="aff">
    <w:name w:val="段"/>
    <w:link w:val="Char"/>
    <w:qFormat/>
    <w:pPr>
      <w:autoSpaceDE w:val="0"/>
      <w:autoSpaceDN w:val="0"/>
      <w:ind w:firstLineChars="200" w:firstLine="200"/>
      <w:jc w:val="both"/>
    </w:pPr>
    <w:rPr>
      <w:rFonts w:ascii="宋体"/>
      <w:sz w:val="21"/>
      <w:szCs w:val="22"/>
    </w:rPr>
  </w:style>
  <w:style w:type="character" w:customStyle="1" w:styleId="Char">
    <w:name w:val="段 Char"/>
    <w:link w:val="aff"/>
    <w:qFormat/>
    <w:rPr>
      <w:rFonts w:ascii="宋体" w:eastAsia="宋体" w:hAnsi="Times New Roman" w:cs="Times New Roman"/>
      <w:kern w:val="0"/>
    </w:rPr>
  </w:style>
  <w:style w:type="character" w:customStyle="1" w:styleId="ab">
    <w:name w:val="纯文本 字符"/>
    <w:basedOn w:val="a1"/>
    <w:link w:val="aa"/>
    <w:uiPriority w:val="99"/>
    <w:qFormat/>
    <w:rPr>
      <w:rFonts w:ascii="宋体" w:hAnsi="Courier New" w:cs="Courier New"/>
      <w:kern w:val="2"/>
      <w:sz w:val="21"/>
      <w:szCs w:val="21"/>
    </w:rPr>
  </w:style>
  <w:style w:type="character" w:customStyle="1" w:styleId="CharChar">
    <w:name w:val="章标题 Char Char"/>
    <w:link w:val="afd"/>
    <w:qFormat/>
    <w:rPr>
      <w:rFonts w:ascii="黑体" w:eastAsia="黑体"/>
      <w:sz w:val="21"/>
    </w:rPr>
  </w:style>
  <w:style w:type="character" w:customStyle="1" w:styleId="10">
    <w:name w:val="标题 1 字符"/>
    <w:basedOn w:val="a1"/>
    <w:link w:val="1"/>
    <w:qFormat/>
    <w:rPr>
      <w:rFonts w:ascii="宋体" w:hAnsi="宋体" w:cs="宋体"/>
      <w:b/>
      <w:bCs/>
      <w:kern w:val="36"/>
      <w:sz w:val="48"/>
      <w:szCs w:val="48"/>
    </w:rPr>
  </w:style>
  <w:style w:type="character" w:customStyle="1" w:styleId="20">
    <w:name w:val="标题 2 字符"/>
    <w:basedOn w:val="a1"/>
    <w:link w:val="2"/>
    <w:qFormat/>
    <w:rPr>
      <w:rFonts w:ascii="Arial" w:eastAsia="黑体" w:hAnsi="Arial"/>
      <w:b/>
      <w:bCs/>
      <w:kern w:val="2"/>
      <w:sz w:val="32"/>
      <w:szCs w:val="32"/>
    </w:rPr>
  </w:style>
  <w:style w:type="character" w:customStyle="1" w:styleId="ad">
    <w:name w:val="日期 字符"/>
    <w:basedOn w:val="a1"/>
    <w:link w:val="ac"/>
    <w:qFormat/>
    <w:rPr>
      <w:kern w:val="2"/>
      <w:sz w:val="21"/>
      <w:szCs w:val="24"/>
    </w:rPr>
  </w:style>
  <w:style w:type="character" w:customStyle="1" w:styleId="22">
    <w:name w:val="正文文本缩进 2 字符"/>
    <w:basedOn w:val="a1"/>
    <w:link w:val="21"/>
    <w:qFormat/>
    <w:rPr>
      <w:kern w:val="2"/>
      <w:sz w:val="21"/>
      <w:szCs w:val="24"/>
    </w:rPr>
  </w:style>
  <w:style w:type="character" w:customStyle="1" w:styleId="af6">
    <w:name w:val="批注主题 字符"/>
    <w:basedOn w:val="a7"/>
    <w:link w:val="af5"/>
    <w:uiPriority w:val="99"/>
    <w:semiHidden/>
    <w:qFormat/>
    <w:rPr>
      <w:rFonts w:asciiTheme="minorHAnsi" w:eastAsiaTheme="minorEastAsia" w:hAnsiTheme="minorHAnsi" w:cstheme="minorBidi"/>
      <w:b/>
      <w:bCs/>
      <w:kern w:val="2"/>
      <w:sz w:val="21"/>
      <w:szCs w:val="22"/>
    </w:rPr>
  </w:style>
  <w:style w:type="character" w:customStyle="1" w:styleId="a4">
    <w:name w:val="正文文本 字符"/>
    <w:basedOn w:val="a1"/>
    <w:link w:val="a0"/>
    <w:uiPriority w:val="99"/>
    <w:qFormat/>
    <w:rPr>
      <w:rFonts w:asciiTheme="minorHAnsi" w:eastAsia="仿宋_GB2312" w:hAnsiTheme="minorHAnsi" w:cstheme="minorBidi"/>
      <w:kern w:val="2"/>
      <w:sz w:val="21"/>
      <w:szCs w:val="22"/>
    </w:rPr>
  </w:style>
  <w:style w:type="character" w:customStyle="1" w:styleId="af8">
    <w:name w:val="正文文本首行缩进 字符"/>
    <w:basedOn w:val="a4"/>
    <w:link w:val="af7"/>
    <w:qFormat/>
    <w:rPr>
      <w:rFonts w:asciiTheme="minorHAnsi" w:eastAsia="仿宋_GB2312" w:hAnsiTheme="minorHAnsi" w:cstheme="minorBidi"/>
      <w:kern w:val="2"/>
      <w:sz w:val="21"/>
      <w:szCs w:val="24"/>
    </w:rPr>
  </w:style>
  <w:style w:type="character" w:customStyle="1" w:styleId="CharChar0">
    <w:name w:val="段 Char Char"/>
    <w:qFormat/>
    <w:rPr>
      <w:rFonts w:ascii="宋体" w:eastAsia="Times New Roman"/>
      <w:sz w:val="21"/>
      <w:lang w:val="en-US" w:eastAsia="zh-CN" w:bidi="ar-SA"/>
    </w:rPr>
  </w:style>
  <w:style w:type="paragraph" w:customStyle="1" w:styleId="aff0">
    <w:name w:val="一级条标题"/>
    <w:basedOn w:val="afd"/>
    <w:next w:val="aff"/>
    <w:link w:val="CharChar1"/>
    <w:qFormat/>
    <w:pPr>
      <w:spacing w:before="156" w:after="156" w:line="360" w:lineRule="auto"/>
      <w:ind w:firstLineChars="200" w:firstLine="200"/>
      <w:outlineLvl w:val="2"/>
    </w:pPr>
  </w:style>
  <w:style w:type="character" w:customStyle="1" w:styleId="CharChar1">
    <w:name w:val="一级条标题 Char Char"/>
    <w:link w:val="aff0"/>
    <w:qFormat/>
    <w:rPr>
      <w:rFonts w:ascii="黑体" w:eastAsia="黑体"/>
      <w:sz w:val="21"/>
    </w:rPr>
  </w:style>
  <w:style w:type="paragraph" w:customStyle="1" w:styleId="aff1">
    <w:name w:val="二级条标题"/>
    <w:basedOn w:val="aff0"/>
    <w:next w:val="a"/>
    <w:link w:val="CharChar2"/>
    <w:qFormat/>
    <w:pPr>
      <w:spacing w:before="50" w:after="50"/>
      <w:ind w:left="-709"/>
      <w:jc w:val="left"/>
      <w:outlineLvl w:val="3"/>
    </w:pPr>
    <w:rPr>
      <w:szCs w:val="21"/>
    </w:rPr>
  </w:style>
  <w:style w:type="paragraph" w:customStyle="1" w:styleId="aff2">
    <w:name w:val="五级条标题"/>
    <w:basedOn w:val="aff3"/>
    <w:next w:val="a"/>
    <w:qFormat/>
    <w:pPr>
      <w:outlineLvl w:val="6"/>
    </w:pPr>
  </w:style>
  <w:style w:type="paragraph" w:customStyle="1" w:styleId="aff3">
    <w:name w:val="四级条标题"/>
    <w:basedOn w:val="a"/>
    <w:next w:val="a"/>
    <w:qFormat/>
    <w:pPr>
      <w:widowControl/>
      <w:spacing w:beforeLines="50" w:before="50" w:afterLines="50" w:after="50" w:line="360" w:lineRule="auto"/>
      <w:ind w:left="-709" w:firstLineChars="200" w:firstLine="200"/>
      <w:jc w:val="left"/>
      <w:outlineLvl w:val="5"/>
    </w:pPr>
    <w:rPr>
      <w:rFonts w:ascii="黑体" w:eastAsia="黑体" w:hAnsi="Times New Roman" w:cs="Times New Roman"/>
      <w:kern w:val="0"/>
      <w:szCs w:val="21"/>
    </w:rPr>
  </w:style>
  <w:style w:type="character" w:styleId="aff4">
    <w:name w:val="Placeholder Text"/>
    <w:basedOn w:val="a1"/>
    <w:uiPriority w:val="99"/>
    <w:unhideWhenUsed/>
    <w:qFormat/>
    <w:rPr>
      <w:color w:val="808080"/>
    </w:rPr>
  </w:style>
  <w:style w:type="table" w:customStyle="1" w:styleId="11">
    <w:name w:val="网格型1"/>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qFormat/>
  </w:style>
  <w:style w:type="character" w:customStyle="1" w:styleId="CharChar2">
    <w:name w:val="二级条标题 Char Char"/>
    <w:link w:val="aff1"/>
    <w:qFormat/>
    <w:rPr>
      <w:rFonts w:ascii="黑体" w:eastAsia="黑体"/>
      <w:sz w:val="21"/>
      <w:szCs w:val="21"/>
    </w:rPr>
  </w:style>
  <w:style w:type="character" w:customStyle="1" w:styleId="CharChar3">
    <w:name w:val="正文表标题 Char Char"/>
    <w:link w:val="aff5"/>
    <w:qFormat/>
    <w:rPr>
      <w:rFonts w:ascii="黑体" w:eastAsia="黑体"/>
      <w:sz w:val="21"/>
    </w:rPr>
  </w:style>
  <w:style w:type="paragraph" w:customStyle="1" w:styleId="aff5">
    <w:name w:val="正文表标题"/>
    <w:next w:val="aff"/>
    <w:link w:val="CharChar3"/>
    <w:qFormat/>
    <w:pPr>
      <w:spacing w:line="360" w:lineRule="auto"/>
      <w:ind w:left="180" w:firstLineChars="200" w:firstLine="200"/>
      <w:jc w:val="center"/>
    </w:pPr>
    <w:rPr>
      <w:rFonts w:ascii="黑体" w:eastAsia="黑体"/>
      <w:sz w:val="21"/>
    </w:rPr>
  </w:style>
  <w:style w:type="paragraph" w:customStyle="1" w:styleId="aff6">
    <w:name w:val="注："/>
    <w:next w:val="aff"/>
    <w:qFormat/>
    <w:pPr>
      <w:widowControl w:val="0"/>
      <w:autoSpaceDE w:val="0"/>
      <w:autoSpaceDN w:val="0"/>
      <w:spacing w:line="360" w:lineRule="auto"/>
      <w:ind w:firstLineChars="200" w:firstLine="200"/>
      <w:jc w:val="both"/>
    </w:pPr>
    <w:rPr>
      <w:rFonts w:ascii="宋体"/>
      <w:sz w:val="18"/>
    </w:rPr>
  </w:style>
  <w:style w:type="paragraph" w:customStyle="1" w:styleId="CM30">
    <w:name w:val="CM30"/>
    <w:basedOn w:val="Default"/>
    <w:next w:val="Default"/>
    <w:qFormat/>
    <w:pPr>
      <w:spacing w:after="293"/>
    </w:pPr>
    <w:rPr>
      <w:rFonts w:ascii="黑体" w:eastAsia="黑体" w:cs="黑体"/>
      <w:color w:val="auto"/>
    </w:rPr>
  </w:style>
  <w:style w:type="paragraph" w:customStyle="1" w:styleId="Default">
    <w:name w:val="Default"/>
    <w:qFormat/>
    <w:pPr>
      <w:widowControl w:val="0"/>
      <w:autoSpaceDE w:val="0"/>
      <w:autoSpaceDN w:val="0"/>
      <w:adjustRightInd w:val="0"/>
      <w:spacing w:line="360" w:lineRule="auto"/>
      <w:ind w:firstLineChars="200" w:firstLine="200"/>
      <w:jc w:val="both"/>
    </w:pPr>
    <w:rPr>
      <w:rFonts w:ascii="宋体" w:cs="宋体"/>
      <w:color w:val="000000"/>
      <w:sz w:val="24"/>
      <w:szCs w:val="24"/>
    </w:rPr>
  </w:style>
  <w:style w:type="paragraph" w:customStyle="1" w:styleId="aff7">
    <w:name w:val="发布部门"/>
    <w:next w:val="aff"/>
    <w:qFormat/>
    <w:pPr>
      <w:spacing w:line="360" w:lineRule="auto"/>
      <w:ind w:firstLineChars="200" w:firstLine="200"/>
      <w:jc w:val="center"/>
    </w:pPr>
    <w:rPr>
      <w:rFonts w:ascii="宋体"/>
      <w:b/>
      <w:spacing w:val="20"/>
      <w:w w:val="135"/>
      <w:sz w:val="36"/>
    </w:rPr>
  </w:style>
  <w:style w:type="paragraph" w:customStyle="1" w:styleId="Char1">
    <w:name w:val="Char1"/>
    <w:basedOn w:val="a"/>
    <w:qFormat/>
    <w:pPr>
      <w:widowControl/>
      <w:spacing w:after="160" w:line="240" w:lineRule="exact"/>
      <w:ind w:firstLineChars="200" w:firstLine="200"/>
      <w:jc w:val="left"/>
    </w:pPr>
    <w:rPr>
      <w:rFonts w:ascii="Verdana" w:eastAsia="宋体" w:hAnsi="Verdana" w:cs="Verdana"/>
      <w:kern w:val="0"/>
      <w:sz w:val="20"/>
      <w:szCs w:val="20"/>
      <w:lang w:eastAsia="en-US"/>
    </w:rPr>
  </w:style>
  <w:style w:type="paragraph" w:customStyle="1" w:styleId="aff8">
    <w:name w:val="一级无标题条"/>
    <w:basedOn w:val="a"/>
    <w:qFormat/>
    <w:pPr>
      <w:widowControl/>
      <w:spacing w:line="360" w:lineRule="auto"/>
      <w:ind w:firstLineChars="200" w:firstLine="200"/>
    </w:pPr>
    <w:rPr>
      <w:rFonts w:ascii="Times New Roman" w:eastAsia="宋体" w:hAnsi="Times New Roman" w:cs="Times New Roman"/>
      <w:szCs w:val="24"/>
    </w:rPr>
  </w:style>
  <w:style w:type="paragraph" w:customStyle="1" w:styleId="aff9">
    <w:name w:val="列项——"/>
    <w:qFormat/>
    <w:pPr>
      <w:widowControl w:val="0"/>
      <w:tabs>
        <w:tab w:val="left" w:pos="854"/>
      </w:tabs>
      <w:spacing w:line="360" w:lineRule="auto"/>
      <w:ind w:leftChars="200" w:left="360" w:hangingChars="200" w:hanging="360"/>
      <w:jc w:val="both"/>
    </w:pPr>
    <w:rPr>
      <w:rFonts w:ascii="宋体"/>
      <w:sz w:val="21"/>
    </w:rPr>
  </w:style>
  <w:style w:type="paragraph" w:customStyle="1" w:styleId="affa">
    <w:name w:val="实施日期"/>
    <w:basedOn w:val="a"/>
    <w:qFormat/>
    <w:pPr>
      <w:widowControl/>
      <w:spacing w:line="360" w:lineRule="auto"/>
      <w:ind w:firstLineChars="200" w:firstLine="200"/>
      <w:jc w:val="right"/>
    </w:pPr>
    <w:rPr>
      <w:rFonts w:ascii="Times New Roman" w:eastAsia="黑体" w:hAnsi="Times New Roman" w:cs="Times New Roman"/>
      <w:kern w:val="0"/>
      <w:sz w:val="28"/>
      <w:szCs w:val="20"/>
    </w:rPr>
  </w:style>
  <w:style w:type="paragraph" w:customStyle="1" w:styleId="CharCharCharCharCharCharChar">
    <w:name w:val="Char Char Char Char Char Char Char"/>
    <w:basedOn w:val="a"/>
    <w:qFormat/>
    <w:pPr>
      <w:widowControl/>
      <w:spacing w:after="160" w:line="240" w:lineRule="exact"/>
      <w:ind w:firstLineChars="200" w:firstLine="200"/>
      <w:jc w:val="left"/>
    </w:pPr>
    <w:rPr>
      <w:rFonts w:ascii="Arial" w:eastAsia="Times New Roman" w:hAnsi="Arial" w:cs="Verdana"/>
      <w:b/>
      <w:kern w:val="0"/>
      <w:sz w:val="24"/>
      <w:szCs w:val="24"/>
      <w:lang w:eastAsia="en-US"/>
    </w:rPr>
  </w:style>
  <w:style w:type="paragraph" w:customStyle="1" w:styleId="affb">
    <w:name w:val="二级无标题条"/>
    <w:basedOn w:val="a"/>
    <w:qFormat/>
    <w:pPr>
      <w:widowControl/>
      <w:spacing w:line="360" w:lineRule="auto"/>
      <w:ind w:firstLineChars="200" w:firstLine="200"/>
    </w:pPr>
    <w:rPr>
      <w:rFonts w:ascii="Times New Roman" w:eastAsia="宋体" w:hAnsi="Times New Roman" w:cs="Times New Roman"/>
      <w:szCs w:val="24"/>
    </w:rPr>
  </w:style>
  <w:style w:type="paragraph" w:customStyle="1" w:styleId="CM1">
    <w:name w:val="CM1"/>
    <w:basedOn w:val="Default"/>
    <w:next w:val="Default"/>
    <w:qFormat/>
    <w:rPr>
      <w:rFonts w:ascii="黑体" w:eastAsia="黑体" w:cs="黑体"/>
      <w:color w:val="auto"/>
    </w:rPr>
  </w:style>
  <w:style w:type="paragraph" w:customStyle="1" w:styleId="12">
    <w:name w:val="1"/>
    <w:basedOn w:val="a"/>
    <w:qFormat/>
    <w:pPr>
      <w:widowControl/>
      <w:spacing w:after="160" w:line="240" w:lineRule="exact"/>
      <w:ind w:firstLineChars="200" w:firstLine="200"/>
      <w:jc w:val="left"/>
    </w:pPr>
    <w:rPr>
      <w:rFonts w:ascii="Times New Roman" w:eastAsia="宋体" w:hAnsi="Times New Roman" w:cs="Times New Roman"/>
      <w:szCs w:val="24"/>
    </w:rPr>
  </w:style>
  <w:style w:type="paragraph" w:customStyle="1" w:styleId="affc">
    <w:name w:val="三级条标题"/>
    <w:basedOn w:val="aff1"/>
    <w:next w:val="aff"/>
    <w:qFormat/>
    <w:pPr>
      <w:spacing w:before="156" w:after="156"/>
      <w:ind w:left="525"/>
      <w:jc w:val="both"/>
      <w:outlineLvl w:val="4"/>
    </w:pPr>
    <w:rPr>
      <w:szCs w:val="20"/>
    </w:rPr>
  </w:style>
  <w:style w:type="paragraph" w:customStyle="1" w:styleId="13">
    <w:name w:val="封面标准号1"/>
    <w:qFormat/>
    <w:pPr>
      <w:widowControl w:val="0"/>
      <w:kinsoku w:val="0"/>
      <w:overflowPunct w:val="0"/>
      <w:autoSpaceDE w:val="0"/>
      <w:autoSpaceDN w:val="0"/>
      <w:spacing w:before="308" w:line="360" w:lineRule="auto"/>
      <w:ind w:firstLineChars="200" w:firstLine="200"/>
      <w:jc w:val="right"/>
      <w:textAlignment w:val="center"/>
    </w:pPr>
    <w:rPr>
      <w:sz w:val="28"/>
    </w:rPr>
  </w:style>
  <w:style w:type="paragraph" w:customStyle="1" w:styleId="affd">
    <w:name w:val="三级无标题条"/>
    <w:basedOn w:val="a"/>
    <w:qFormat/>
    <w:pPr>
      <w:widowControl/>
      <w:spacing w:line="360" w:lineRule="auto"/>
      <w:ind w:firstLineChars="200" w:firstLine="200"/>
    </w:pPr>
    <w:rPr>
      <w:rFonts w:ascii="Times New Roman" w:eastAsia="宋体" w:hAnsi="Times New Roman" w:cs="Times New Roman"/>
      <w:szCs w:val="24"/>
    </w:rPr>
  </w:style>
  <w:style w:type="paragraph" w:customStyle="1" w:styleId="affe">
    <w:name w:val="四级无标题条"/>
    <w:basedOn w:val="a"/>
    <w:qFormat/>
    <w:pPr>
      <w:widowControl/>
      <w:spacing w:line="360" w:lineRule="auto"/>
      <w:ind w:firstLineChars="200" w:firstLine="200"/>
    </w:pPr>
    <w:rPr>
      <w:rFonts w:ascii="Times New Roman" w:eastAsia="宋体" w:hAnsi="Times New Roman" w:cs="Times New Roman"/>
      <w:szCs w:val="24"/>
    </w:rPr>
  </w:style>
  <w:style w:type="paragraph" w:customStyle="1" w:styleId="afff">
    <w:name w:val="前言、引言标题"/>
    <w:next w:val="a"/>
    <w:qFormat/>
    <w:pPr>
      <w:shd w:val="clear" w:color="FFFFFF" w:fill="FFFFFF"/>
      <w:spacing w:before="640" w:after="560" w:line="360" w:lineRule="auto"/>
      <w:ind w:firstLineChars="200" w:firstLine="200"/>
      <w:jc w:val="center"/>
      <w:outlineLvl w:val="0"/>
    </w:pPr>
    <w:rPr>
      <w:rFonts w:ascii="黑体" w:eastAsia="黑体"/>
      <w:sz w:val="32"/>
    </w:rPr>
  </w:style>
  <w:style w:type="paragraph" w:customStyle="1" w:styleId="CharCharCharChar">
    <w:name w:val="Char Char Char Char"/>
    <w:basedOn w:val="a"/>
    <w:qFormat/>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CM27">
    <w:name w:val="CM27"/>
    <w:basedOn w:val="Default"/>
    <w:next w:val="Default"/>
    <w:qFormat/>
    <w:pPr>
      <w:spacing w:after="233"/>
    </w:pPr>
    <w:rPr>
      <w:rFonts w:ascii="黑体" w:eastAsia="黑体" w:cs="黑体"/>
      <w:color w:val="auto"/>
    </w:rPr>
  </w:style>
  <w:style w:type="paragraph" w:customStyle="1" w:styleId="Char0">
    <w:name w:val="Char"/>
    <w:basedOn w:val="a"/>
    <w:qFormat/>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14">
    <w:name w:val="列出段落1"/>
    <w:basedOn w:val="a"/>
    <w:qFormat/>
    <w:pPr>
      <w:widowControl/>
      <w:spacing w:line="360" w:lineRule="auto"/>
      <w:ind w:firstLineChars="200" w:firstLine="420"/>
    </w:pPr>
    <w:rPr>
      <w:rFonts w:ascii="Times New Roman" w:eastAsia="宋体" w:hAnsi="Times New Roman" w:cs="Times New Roman"/>
      <w:szCs w:val="24"/>
    </w:rPr>
  </w:style>
  <w:style w:type="paragraph" w:customStyle="1" w:styleId="afff0">
    <w:name w:val="目次、标准名称标题"/>
    <w:basedOn w:val="a"/>
    <w:next w:val="a"/>
    <w:qFormat/>
    <w:pPr>
      <w:widowControl/>
      <w:shd w:val="clear" w:color="FFFFFF" w:fill="FFFFFF"/>
      <w:spacing w:before="640" w:after="560" w:line="460" w:lineRule="exact"/>
      <w:ind w:firstLineChars="200" w:firstLine="200"/>
      <w:jc w:val="center"/>
      <w:outlineLvl w:val="0"/>
    </w:pPr>
    <w:rPr>
      <w:rFonts w:ascii="黑体" w:eastAsia="黑体" w:hAnsi="Times New Roman" w:cs="Times New Roman"/>
      <w:kern w:val="0"/>
      <w:sz w:val="32"/>
      <w:szCs w:val="20"/>
    </w:rPr>
  </w:style>
  <w:style w:type="paragraph" w:customStyle="1" w:styleId="reader-word-layerreader-word-s3-22">
    <w:name w:val="reader-word-layer reader-word-s3-22"/>
    <w:basedOn w:val="a"/>
    <w:qFormat/>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reader-word-layerreader-word-s3-25">
    <w:name w:val="reader-word-layer reader-word-s3-25"/>
    <w:basedOn w:val="a"/>
    <w:qFormat/>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afff1">
    <w:name w:val="标准书脚_奇数页"/>
    <w:qFormat/>
    <w:pPr>
      <w:spacing w:before="120" w:line="360" w:lineRule="auto"/>
      <w:ind w:firstLineChars="200" w:firstLine="200"/>
      <w:jc w:val="right"/>
    </w:pPr>
    <w:rPr>
      <w:sz w:val="18"/>
    </w:rPr>
  </w:style>
  <w:style w:type="paragraph" w:customStyle="1" w:styleId="afff2">
    <w:name w:val="标准标志"/>
    <w:next w:val="a"/>
    <w:qFormat/>
    <w:pPr>
      <w:shd w:val="solid" w:color="FFFFFF" w:fill="FFFFFF"/>
      <w:spacing w:line="0" w:lineRule="atLeast"/>
      <w:ind w:firstLineChars="200" w:firstLine="200"/>
      <w:jc w:val="right"/>
    </w:pPr>
    <w:rPr>
      <w:b/>
      <w:w w:val="130"/>
      <w:sz w:val="96"/>
    </w:rPr>
  </w:style>
  <w:style w:type="paragraph" w:customStyle="1" w:styleId="afff3">
    <w:name w:val="正文图标题"/>
    <w:next w:val="aff"/>
    <w:qFormat/>
    <w:pPr>
      <w:spacing w:line="360" w:lineRule="auto"/>
      <w:ind w:left="2978" w:firstLineChars="200" w:firstLine="200"/>
      <w:jc w:val="center"/>
    </w:pPr>
    <w:rPr>
      <w:rFonts w:ascii="黑体" w:eastAsia="黑体"/>
      <w:sz w:val="21"/>
    </w:rPr>
  </w:style>
  <w:style w:type="paragraph" w:customStyle="1" w:styleId="afff4">
    <w:name w:val="封面标准名称"/>
    <w:qFormat/>
    <w:pPr>
      <w:widowControl w:val="0"/>
      <w:spacing w:line="680" w:lineRule="exact"/>
      <w:ind w:firstLineChars="200" w:firstLine="200"/>
      <w:jc w:val="center"/>
      <w:textAlignment w:val="center"/>
    </w:pPr>
    <w:rPr>
      <w:rFonts w:ascii="黑体" w:eastAsia="黑体"/>
      <w:sz w:val="52"/>
    </w:rPr>
  </w:style>
  <w:style w:type="paragraph" w:customStyle="1" w:styleId="CharCharChar">
    <w:name w:val="Char Char Char"/>
    <w:basedOn w:val="a"/>
    <w:qFormat/>
    <w:pPr>
      <w:widowControl/>
      <w:spacing w:after="160" w:line="240" w:lineRule="exact"/>
      <w:ind w:firstLineChars="200" w:firstLine="200"/>
      <w:jc w:val="left"/>
    </w:pPr>
    <w:rPr>
      <w:rFonts w:ascii="Times New Roman" w:eastAsia="宋体" w:hAnsi="Times New Roman" w:cs="Times New Roman"/>
      <w:szCs w:val="24"/>
    </w:rPr>
  </w:style>
  <w:style w:type="paragraph" w:customStyle="1" w:styleId="CM4">
    <w:name w:val="CM4"/>
    <w:basedOn w:val="Default"/>
    <w:next w:val="Default"/>
    <w:qFormat/>
    <w:rPr>
      <w:rFonts w:ascii="黑体" w:eastAsia="黑体" w:cs="黑体"/>
      <w:color w:val="auto"/>
    </w:rPr>
  </w:style>
  <w:style w:type="paragraph" w:customStyle="1" w:styleId="afff5">
    <w:name w:val="五级无标题条"/>
    <w:basedOn w:val="a"/>
    <w:qFormat/>
    <w:pPr>
      <w:widowControl/>
      <w:spacing w:line="360" w:lineRule="auto"/>
      <w:ind w:firstLineChars="200" w:firstLine="200"/>
    </w:pPr>
    <w:rPr>
      <w:rFonts w:ascii="Times New Roman" w:eastAsia="宋体" w:hAnsi="Times New Roman" w:cs="Times New Roman"/>
      <w:szCs w:val="24"/>
    </w:rPr>
  </w:style>
  <w:style w:type="paragraph" w:customStyle="1" w:styleId="CM26">
    <w:name w:val="CM26"/>
    <w:basedOn w:val="Default"/>
    <w:next w:val="Default"/>
    <w:qFormat/>
    <w:pPr>
      <w:spacing w:after="113"/>
    </w:pPr>
    <w:rPr>
      <w:rFonts w:ascii="黑体" w:eastAsia="黑体" w:cs="黑体"/>
      <w:color w:val="auto"/>
    </w:rPr>
  </w:style>
  <w:style w:type="paragraph" w:customStyle="1" w:styleId="afff6">
    <w:name w:val="编号列项（三级）"/>
    <w:qFormat/>
    <w:pPr>
      <w:tabs>
        <w:tab w:val="left" w:pos="312"/>
      </w:tabs>
      <w:spacing w:line="360" w:lineRule="auto"/>
      <w:ind w:leftChars="600" w:left="800" w:hangingChars="200" w:hanging="200"/>
      <w:jc w:val="both"/>
    </w:pPr>
    <w:rPr>
      <w:rFonts w:ascii="宋体"/>
      <w:sz w:val="21"/>
    </w:rPr>
  </w:style>
  <w:style w:type="paragraph" w:customStyle="1" w:styleId="afff7">
    <w:name w:val="图表脚注"/>
    <w:next w:val="aff"/>
    <w:qFormat/>
    <w:pPr>
      <w:spacing w:line="360" w:lineRule="auto"/>
      <w:ind w:leftChars="200" w:left="300" w:hangingChars="100" w:hanging="100"/>
      <w:jc w:val="both"/>
    </w:pPr>
    <w:rPr>
      <w:rFonts w:ascii="宋体"/>
      <w:sz w:val="18"/>
    </w:rPr>
  </w:style>
  <w:style w:type="character" w:customStyle="1" w:styleId="Char2">
    <w:name w:val="一级条标题 Char"/>
    <w:qFormat/>
    <w:rPr>
      <w:rFonts w:eastAsia="黑体"/>
      <w:sz w:val="21"/>
      <w:lang w:val="en-US" w:eastAsia="zh-CN" w:bidi="ar-SA"/>
    </w:rPr>
  </w:style>
  <w:style w:type="paragraph" w:customStyle="1" w:styleId="afff8">
    <w:name w:val="发布日期"/>
    <w:qFormat/>
    <w:pPr>
      <w:framePr w:w="4000" w:h="473" w:hRule="exact" w:hSpace="180" w:vSpace="180" w:wrap="around" w:hAnchor="margin" w:y="13511" w:anchorLock="1"/>
      <w:spacing w:line="360" w:lineRule="auto"/>
      <w:ind w:firstLineChars="200" w:firstLine="200"/>
      <w:jc w:val="both"/>
    </w:pPr>
    <w:rPr>
      <w:rFonts w:eastAsia="黑体"/>
      <w:sz w:val="28"/>
    </w:rPr>
  </w:style>
  <w:style w:type="character" w:customStyle="1" w:styleId="Char3">
    <w:name w:val="二级条标题 Char"/>
    <w:basedOn w:val="Char2"/>
    <w:qFormat/>
    <w:rPr>
      <w:rFonts w:eastAsia="黑体"/>
      <w:sz w:val="21"/>
      <w:lang w:val="en-US" w:eastAsia="zh-CN" w:bidi="ar-SA"/>
    </w:rPr>
  </w:style>
  <w:style w:type="paragraph" w:customStyle="1" w:styleId="afff9">
    <w:name w:val="封面标准文稿编辑信息"/>
    <w:qFormat/>
    <w:pPr>
      <w:spacing w:before="180" w:line="180" w:lineRule="exact"/>
      <w:ind w:firstLineChars="200" w:firstLine="200"/>
      <w:jc w:val="center"/>
    </w:pPr>
    <w:rPr>
      <w:rFonts w:ascii="宋体"/>
      <w:sz w:val="21"/>
    </w:rPr>
  </w:style>
  <w:style w:type="paragraph" w:customStyle="1" w:styleId="afffa">
    <w:name w:val="终结线"/>
    <w:basedOn w:val="a"/>
    <w:qFormat/>
    <w:pPr>
      <w:framePr w:hSpace="181" w:vSpace="181" w:wrap="around" w:vAnchor="text" w:hAnchor="margin" w:xAlign="center" w:y="285"/>
      <w:widowControl/>
      <w:spacing w:line="360" w:lineRule="auto"/>
      <w:ind w:firstLineChars="200" w:firstLine="200"/>
    </w:pPr>
    <w:rPr>
      <w:rFonts w:ascii="Times New Roman" w:eastAsia="宋体" w:hAnsi="Times New Roman" w:cs="Times New Roman"/>
      <w:szCs w:val="24"/>
    </w:rPr>
  </w:style>
  <w:style w:type="character" w:customStyle="1" w:styleId="Char4">
    <w:name w:val="章标题 Char"/>
    <w:qFormat/>
    <w:rPr>
      <w:rFonts w:ascii="黑体" w:eastAsia="黑体"/>
      <w:kern w:val="2"/>
      <w:sz w:val="21"/>
      <w:szCs w:val="22"/>
      <w:lang w:val="en-US" w:eastAsia="zh-CN" w:bidi="ar-SA"/>
    </w:rPr>
  </w:style>
  <w:style w:type="paragraph" w:customStyle="1" w:styleId="15">
    <w:name w:val="修订1"/>
    <w:hidden/>
    <w:uiPriority w:val="99"/>
    <w:unhideWhenUsed/>
    <w:qFormat/>
    <w:pPr>
      <w:spacing w:line="360" w:lineRule="auto"/>
      <w:ind w:firstLineChars="200" w:firstLine="200"/>
      <w:jc w:val="both"/>
    </w:pPr>
    <w:rPr>
      <w:rFonts w:asciiTheme="minorHAnsi" w:eastAsiaTheme="minorEastAsia" w:hAnsiTheme="minorHAnsi" w:cstheme="minorBidi"/>
      <w:kern w:val="2"/>
      <w:sz w:val="21"/>
      <w:szCs w:val="22"/>
    </w:rPr>
  </w:style>
  <w:style w:type="paragraph" w:customStyle="1" w:styleId="23">
    <w:name w:val="修订2"/>
    <w:hidden/>
    <w:uiPriority w:val="99"/>
    <w:unhideWhenUsed/>
    <w:qFormat/>
    <w:rPr>
      <w:rFonts w:asciiTheme="minorHAnsi" w:eastAsiaTheme="minorEastAsia" w:hAnsiTheme="minorHAnsi" w:cstheme="minorBidi"/>
      <w:kern w:val="2"/>
      <w:sz w:val="21"/>
      <w:szCs w:val="22"/>
    </w:rPr>
  </w:style>
  <w:style w:type="paragraph" w:customStyle="1" w:styleId="3">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character" w:customStyle="1" w:styleId="font21">
    <w:name w:val="font21"/>
    <w:basedOn w:val="a1"/>
    <w:qFormat/>
    <w:rPr>
      <w:rFonts w:ascii="宋体" w:eastAsia="宋体" w:hAnsi="宋体" w:cs="宋体" w:hint="eastAsia"/>
      <w:color w:val="000000"/>
      <w:sz w:val="20"/>
      <w:szCs w:val="20"/>
      <w:u w:val="none"/>
    </w:rPr>
  </w:style>
  <w:style w:type="character" w:customStyle="1" w:styleId="font01">
    <w:name w:val="font01"/>
    <w:autoRedefine/>
    <w:qFormat/>
    <w:rPr>
      <w:rFonts w:ascii="宋体" w:eastAsia="宋体" w:hAnsi="宋体" w:cs="宋体" w:hint="eastAsia"/>
      <w:color w:val="000000"/>
      <w:sz w:val="18"/>
      <w:szCs w:val="18"/>
      <w:u w:val="none"/>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 w:type="paragraph" w:customStyle="1" w:styleId="p0">
    <w:name w:val="p0"/>
    <w:basedOn w:val="a"/>
    <w:qFormat/>
    <w:pPr>
      <w:widowControl/>
      <w:jc w:val="left"/>
    </w:pPr>
    <w:rPr>
      <w:rFonts w:ascii="宋体" w:eastAsia="宋体" w:hAnsi="宋体" w:cs="宋体" w:hint="eastAsia"/>
      <w:kern w:val="0"/>
      <w:sz w:val="24"/>
      <w:szCs w:val="24"/>
    </w:rPr>
  </w:style>
  <w:style w:type="paragraph" w:customStyle="1" w:styleId="6">
    <w:name w:val="修订6"/>
    <w:hidden/>
    <w:uiPriority w:val="99"/>
    <w:unhideWhenUsed/>
    <w:qFormat/>
    <w:rPr>
      <w:rFonts w:asciiTheme="minorHAnsi" w:eastAsiaTheme="minorEastAsia" w:hAnsiTheme="minorHAnsi" w:cstheme="minorBidi"/>
      <w:kern w:val="2"/>
      <w:sz w:val="21"/>
      <w:szCs w:val="22"/>
    </w:rPr>
  </w:style>
  <w:style w:type="paragraph" w:styleId="afffb">
    <w:name w:val="Revision"/>
    <w:hidden/>
    <w:uiPriority w:val="99"/>
    <w:unhideWhenUsed/>
    <w:rsid w:val="00721BEE"/>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image" Target="media/image83.png"/><Relationship Id="rId97" Type="http://schemas.openxmlformats.org/officeDocument/2006/relationships/image" Target="media/image91.emf"/><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hyperlink" Target="javascript:void(0)"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9070</TotalTime>
  <Pages>1</Pages>
  <Words>4111</Words>
  <Characters>23434</Characters>
  <Application>Microsoft Office Word</Application>
  <DocSecurity>0</DocSecurity>
  <Lines>195</Lines>
  <Paragraphs>54</Paragraphs>
  <ScaleCrop>false</ScaleCrop>
  <Company>Sky123.Org</Company>
  <LinksUpToDate>false</LinksUpToDate>
  <CharactersWithSpaces>27491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B19856 许丁洋</cp:lastModifiedBy>
  <cp:revision>157</cp:revision>
  <cp:lastPrinted>2026-03-13T05:06:00Z</cp:lastPrinted>
  <dcterms:created xsi:type="dcterms:W3CDTF">2022-08-03T02:17:00Z</dcterms:created>
  <dcterms:modified xsi:type="dcterms:W3CDTF">2026-06-15T01:02:00Z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73794E7302A54839BDCAFCC345F79FFD</vt:lpwstr>
  </property>
  <property fmtid="{D5CDD505-2E9C-101B-9397-08002B2CF9AE}" pid="4" name="KSOTemplateDocerSaveRecord">
    <vt:lpwstr>eyJoZGlkIjoiZDc3NjdhMzRkNzc1ZjMzMjM5NTdkY2FjNzA1OWE0YWIiLCJ1c2VySWQiOiIyNTEyODEyMjEifQ==</vt:lpwstr>
  </property>
</Properties>
</file>