
<file path=[Content_Types].xml><?xml version="1.0" encoding="utf-8"?>
<Types xmlns="http://schemas.openxmlformats.org/package/2006/content-types">
  <Default Extension="xml" ContentType="application/xml"/>
  <Default Extension="bin" ContentType="application/vnd.openxmlformats-officedocument.oleObject"/>
  <Default Extension="wmf" ContentType="image/x-wmf"/>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framePr w:w="4326" w:hSpace="181" w:wrap="around" w:vAnchor="page" w:hAnchor="text" w:y="518" w:anchorLock="1"/>
        <w:rPr>
          <w:bCs/>
          <w:color w:val="000000"/>
        </w:rPr>
      </w:pPr>
      <w:bookmarkStart w:id="0" w:name="封面"/>
      <w:r>
        <w:rPr>
          <w:rFonts w:eastAsia="黑体"/>
          <w:bCs/>
          <w:color w:val="000000"/>
        </w:rPr>
        <w:t>ICS 77.150.30</w:t>
      </w:r>
      <w:bookmarkEnd w:id="0"/>
    </w:p>
    <w:p>
      <w:pPr>
        <w:rPr>
          <w:color w:val="000000"/>
        </w:rPr>
      </w:pPr>
    </w:p>
    <w:p>
      <w:pPr>
        <w:rPr>
          <w:color w:val="000000"/>
        </w:rPr>
      </w:pPr>
      <w:r>
        <w:rPr>
          <w:color w:val="000000"/>
        </w:rPr>
        <mc:AlternateContent>
          <mc:Choice Requires="wps">
            <w:drawing>
              <wp:anchor distT="0" distB="0" distL="114300" distR="114300" simplePos="0" relativeHeight="251660288" behindDoc="0" locked="1" layoutInCell="0" allowOverlap="1">
                <wp:simplePos x="0" y="0"/>
                <wp:positionH relativeFrom="page">
                  <wp:posOffset>800100</wp:posOffset>
                </wp:positionH>
                <wp:positionV relativeFrom="page">
                  <wp:posOffset>1422400</wp:posOffset>
                </wp:positionV>
                <wp:extent cx="6338570" cy="610235"/>
                <wp:effectExtent l="0" t="0" r="0" b="0"/>
                <wp:wrapNone/>
                <wp:docPr id="2087606201" name="矩形 17"/>
                <wp:cNvGraphicFramePr/>
                <a:graphic xmlns:a="http://schemas.openxmlformats.org/drawingml/2006/main">
                  <a:graphicData uri="http://schemas.microsoft.com/office/word/2010/wordprocessingShape">
                    <wps:wsp>
                      <wps:cNvSpPr>
                        <a:spLocks noChangeArrowheads="1"/>
                      </wps:cNvSpPr>
                      <wps:spPr bwMode="auto">
                        <a:xfrm>
                          <a:off x="0" y="0"/>
                          <a:ext cx="6338570" cy="610235"/>
                        </a:xfrm>
                        <a:prstGeom prst="rect">
                          <a:avLst/>
                        </a:prstGeom>
                        <a:noFill/>
                        <a:ln>
                          <a:noFill/>
                        </a:ln>
                        <a:effectLst/>
                      </wps:spPr>
                      <wps:txbx>
                        <w:txbxContent>
                          <w:p>
                            <w:r>
                              <w:rPr>
                                <w:rFonts w:ascii="宋体" w:hAnsi="Symbol"/>
                                <w:sz w:val="56"/>
                              </w:rPr>
                              <w:object>
                                <v:shape id="_x0000_i1025" o:spt="75" type="#_x0000_t75" style="height:48pt;width:499.5pt;" o:ole="t" filled="f" o:preferrelative="t" stroked="f" coordsize="21600,21600">
                                  <v:path/>
                                  <v:fill on="f" focussize="0,0"/>
                                  <v:stroke on="f" joinstyle="miter"/>
                                  <v:imagedata r:id="rId14" o:title=""/>
                                  <o:lock v:ext="edit" aspectratio="t"/>
                                  <w10:wrap type="none"/>
                                  <w10:anchorlock/>
                                </v:shape>
                                <o:OLEObject Type="Embed" ProgID="Word.Picture.8" ShapeID="_x0000_i1025" DrawAspect="Content" ObjectID="_1468075725" r:id="rId13">
                                  <o:LockedField>false</o:LockedField>
                                </o:OLEObject>
                              </w:object>
                            </w:r>
                          </w:p>
                        </w:txbxContent>
                      </wps:txbx>
                      <wps:bodyPr rot="0" vert="horz" wrap="square" lIns="0" tIns="0" rIns="0" bIns="0" anchor="t" anchorCtr="0" upright="1">
                        <a:noAutofit/>
                      </wps:bodyPr>
                    </wps:wsp>
                  </a:graphicData>
                </a:graphic>
              </wp:anchor>
            </w:drawing>
          </mc:Choice>
          <mc:Fallback>
            <w:pict>
              <v:rect id="矩形 17" o:spid="_x0000_s1026" o:spt="1" style="position:absolute;left:0pt;margin-left:63pt;margin-top:112pt;height:48.05pt;width:499.1pt;mso-position-horizontal-relative:page;mso-position-vertical-relative:page;z-index:251660288;mso-width-relative:page;mso-height-relative:page;" filled="f" stroked="f" coordsize="21600,21600" o:allowincell="f" o:gfxdata="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DtWcvU2wAAAAwBAAAPAAAAAAAA&#10;AAEAIAAAACIAAABkcnMvZG93bnJldi54bWxQSwECFAAUAAAACACHTuJAO3BYQg8CAAAQBAAADgAA&#10;AAAAAAABACAAAAAqAQAAZHJzL2Uyb0RvYy54bWxQSwUGAAAAAAYABgBZAQAAqwUAAAAA&#10;">
                <v:fill on="f" focussize="0,0"/>
                <v:stroke on="f"/>
                <v:imagedata o:title=""/>
                <o:lock v:ext="edit" aspectratio="f"/>
                <v:textbox inset="0mm,0mm,0mm,0mm">
                  <w:txbxContent>
                    <w:p>
                      <w:r>
                        <w:rPr>
                          <w:rFonts w:ascii="宋体" w:hAnsi="Symbol"/>
                          <w:sz w:val="56"/>
                        </w:rPr>
                        <w:object>
                          <v:shape id="_x0000_i1025" o:spt="75" type="#_x0000_t75" style="height:48pt;width:499.5pt;" o:ole="t" filled="f" o:preferrelative="t" stroked="f" coordsize="21600,21600">
                            <v:path/>
                            <v:fill on="f" focussize="0,0"/>
                            <v:stroke on="f" joinstyle="miter"/>
                            <v:imagedata r:id="rId14" o:title=""/>
                            <o:lock v:ext="edit" aspectratio="t"/>
                            <w10:wrap type="none"/>
                            <w10:anchorlock/>
                          </v:shape>
                          <o:OLEObject Type="Embed" ProgID="Word.Picture.8" ShapeID="_x0000_i1025" DrawAspect="Content" ObjectID="_1468075726" r:id="rId15">
                            <o:LockedField>false</o:LockedField>
                          </o:OLEObject>
                        </w:object>
                      </w:r>
                    </w:p>
                  </w:txbxContent>
                </v:textbox>
                <w10:anchorlock/>
              </v:rect>
            </w:pict>
          </mc:Fallback>
        </mc:AlternateContent>
      </w:r>
      <w:r>
        <w:rPr>
          <w:color w:val="000000"/>
        </w:rPr>
        <mc:AlternateContent>
          <mc:Choice Requires="wps">
            <w:drawing>
              <wp:anchor distT="0" distB="0" distL="114300" distR="114300" simplePos="0" relativeHeight="251663360" behindDoc="0" locked="1" layoutInCell="1" allowOverlap="1">
                <wp:simplePos x="0" y="0"/>
                <wp:positionH relativeFrom="page">
                  <wp:posOffset>848360</wp:posOffset>
                </wp:positionH>
                <wp:positionV relativeFrom="page">
                  <wp:posOffset>8785860</wp:posOffset>
                </wp:positionV>
                <wp:extent cx="6120765" cy="635"/>
                <wp:effectExtent l="0" t="0" r="13335" b="18415"/>
                <wp:wrapNone/>
                <wp:docPr id="1917213142" name="直接连接符 15"/>
                <wp:cNvGraphicFramePr/>
                <a:graphic xmlns:a="http://schemas.openxmlformats.org/drawingml/2006/main">
                  <a:graphicData uri="http://schemas.microsoft.com/office/word/2010/wordprocessingShape">
                    <wps:wsp>
                      <wps:cNvCnPr>
                        <a:cxnSpLocks noChangeShapeType="1"/>
                      </wps:cNvCnPr>
                      <wps:spPr bwMode="auto">
                        <a:xfrm>
                          <a:off x="0" y="0"/>
                          <a:ext cx="6120765" cy="635"/>
                        </a:xfrm>
                        <a:prstGeom prst="line">
                          <a:avLst/>
                        </a:prstGeom>
                        <a:noFill/>
                        <a:ln w="9525">
                          <a:solidFill>
                            <a:srgbClr val="000000"/>
                          </a:solidFill>
                          <a:round/>
                          <a:headEnd type="none" w="sm" len="sm"/>
                          <a:tailEnd type="none" w="sm" len="sm"/>
                        </a:ln>
                        <a:effectLst/>
                      </wps:spPr>
                      <wps:bodyPr/>
                    </wps:wsp>
                  </a:graphicData>
                </a:graphic>
              </wp:anchor>
            </w:drawing>
          </mc:Choice>
          <mc:Fallback>
            <w:pict>
              <v:line id="直接连接符 15" o:spid="_x0000_s1026" o:spt="20" style="position:absolute;left:0pt;margin-left:66.8pt;margin-top:691.8pt;height:0.05pt;width:481.95pt;mso-position-horizontal-relative:page;mso-position-vertical-relative:page;z-index:251663360;mso-width-relative:page;mso-height-relative:page;" filled="f" stroked="t" coordsize="21600,21600" o:gfxdata="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">
                <v:fill on="f" focussize="0,0"/>
                <v:stroke color="#000000" joinstyle="round" startarrowwidth="narrow" startarrowlength="short" endarrowwidth="narrow" endarrowlength="short"/>
                <v:imagedata o:title=""/>
                <o:lock v:ext="edit" aspectratio="f"/>
                <w10:anchorlock/>
              </v:line>
            </w:pict>
          </mc:Fallback>
        </mc:AlternateContent>
      </w:r>
      <w:r>
        <w:rPr>
          <w:color w:val="000000"/>
        </w:rPr>
        <mc:AlternateContent>
          <mc:Choice Requires="wps">
            <w:drawing>
              <wp:anchor distT="0" distB="0" distL="114300" distR="114300" simplePos="0" relativeHeight="251661312" behindDoc="0" locked="1" layoutInCell="0" allowOverlap="1">
                <wp:simplePos x="0" y="0"/>
                <wp:positionH relativeFrom="page">
                  <wp:posOffset>5029200</wp:posOffset>
                </wp:positionH>
                <wp:positionV relativeFrom="page">
                  <wp:posOffset>299720</wp:posOffset>
                </wp:positionV>
                <wp:extent cx="1650365" cy="927735"/>
                <wp:effectExtent l="0" t="0" r="0" b="0"/>
                <wp:wrapNone/>
                <wp:docPr id="864210243" name="矩形 13"/>
                <wp:cNvGraphicFramePr/>
                <a:graphic xmlns:a="http://schemas.openxmlformats.org/drawingml/2006/main">
                  <a:graphicData uri="http://schemas.microsoft.com/office/word/2010/wordprocessingShape">
                    <wps:wsp>
                      <wps:cNvSpPr>
                        <a:spLocks noChangeArrowheads="1"/>
                      </wps:cNvSpPr>
                      <wps:spPr bwMode="auto">
                        <a:xfrm>
                          <a:off x="0" y="0"/>
                          <a:ext cx="1650365" cy="927735"/>
                        </a:xfrm>
                        <a:prstGeom prst="rect">
                          <a:avLst/>
                        </a:prstGeom>
                        <a:noFill/>
                        <a:ln>
                          <a:noFill/>
                        </a:ln>
                        <a:effectLst/>
                      </wps:spPr>
                      <wps:txbx>
                        <w:txbxContent>
                          <w:p>
                            <w:r>
                              <w:object>
                                <v:shape id="_x0000_i1026" o:spt="75" type="#_x0000_t75" style="height:73.5pt;width:132pt;" o:ole="t" filled="f" o:preferrelative="t" stroked="f" coordsize="21600,21600">
                                  <v:path/>
                                  <v:fill on="f" focussize="0,0"/>
                                  <v:stroke on="f" joinstyle="miter"/>
                                  <v:imagedata r:id="rId17" o:title=""/>
                                  <o:lock v:ext="edit" aspectratio="t"/>
                                  <w10:wrap type="none"/>
                                  <w10:anchorlock/>
                                </v:shape>
                                <o:OLEObject Type="Embed" ProgID="Word.Document.8" ShapeID="_x0000_i1026" DrawAspect="Content" ObjectID="_1468075727" r:id="rId16">
                                  <o:LockedField>false</o:LockedField>
                                </o:OLEObject>
                              </w:object>
                            </w:r>
                          </w:p>
                        </w:txbxContent>
                      </wps:txbx>
                      <wps:bodyPr rot="0" vert="horz" wrap="square" lIns="0" tIns="0" rIns="0" bIns="0" anchor="t" anchorCtr="0" upright="1">
                        <a:noAutofit/>
                      </wps:bodyPr>
                    </wps:wsp>
                  </a:graphicData>
                </a:graphic>
              </wp:anchor>
            </w:drawing>
          </mc:Choice>
          <mc:Fallback>
            <w:pict>
              <v:rect id="矩形 13" o:spid="_x0000_s1026" o:spt="1" style="position:absolute;left:0pt;margin-left:396pt;margin-top:23.6pt;height:73.05pt;width:129.95pt;mso-position-horizontal-relative:page;mso-position-vertical-relative:page;z-index:251661312;mso-width-relative:page;mso-height-relative:page;" filled="f" stroked="f" coordsize="21600,21600" o:allowincell="f" o:gfxdata="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">
                <v:fill on="f" focussize="0,0"/>
                <v:stroke on="f"/>
                <v:imagedata o:title=""/>
                <o:lock v:ext="edit" aspectratio="f"/>
                <v:textbox inset="0mm,0mm,0mm,0mm">
                  <w:txbxContent>
                    <w:p>
                      <w:r>
                        <w:object>
                          <v:shape id="_x0000_i1026" o:spt="75" type="#_x0000_t75" style="height:73.5pt;width:132pt;" o:ole="t" filled="f" o:preferrelative="t" stroked="f" coordsize="21600,21600">
                            <v:path/>
                            <v:fill on="f" focussize="0,0"/>
                            <v:stroke on="f" joinstyle="miter"/>
                            <v:imagedata r:id="rId17" o:title=""/>
                            <o:lock v:ext="edit" aspectratio="t"/>
                            <w10:wrap type="none"/>
                            <w10:anchorlock/>
                          </v:shape>
                          <o:OLEObject Type="Embed" ProgID="Word.Document.8" ShapeID="_x0000_i1026" DrawAspect="Content" ObjectID="_1468075728" r:id="rId18">
                            <o:LockedField>false</o:LockedField>
                          </o:OLEObject>
                        </w:object>
                      </w:r>
                    </w:p>
                  </w:txbxContent>
                </v:textbox>
                <w10:anchorlock/>
              </v:rect>
            </w:pict>
          </mc:Fallback>
        </mc:AlternateContent>
      </w:r>
    </w:p>
    <w:p>
      <w:pPr>
        <w:framePr w:w="4383" w:hSpace="181" w:wrap="around" w:vAnchor="page" w:hAnchor="page" w:x="1441" w:y="844" w:anchorLock="1"/>
        <w:rPr>
          <w:rFonts w:eastAsia="黑体"/>
          <w:bCs/>
          <w:color w:val="000000"/>
        </w:rPr>
      </w:pPr>
      <w:r>
        <w:rPr>
          <w:rFonts w:eastAsia="黑体"/>
          <w:bCs/>
          <w:color w:val="000000"/>
        </w:rPr>
        <w:t>CCS H62</w:t>
      </w:r>
    </w:p>
    <w:p>
      <w:pPr>
        <w:rPr>
          <w:color w:val="000000"/>
        </w:rPr>
      </w:pPr>
    </w:p>
    <w:p>
      <w:pPr>
        <w:pStyle w:val="22"/>
        <w:rPr>
          <w:rFonts w:ascii="Times New Roman" w:eastAsia="宋体"/>
          <w:color w:val="000000"/>
        </w:rPr>
      </w:pPr>
    </w:p>
    <w:p>
      <w:pPr>
        <w:rPr>
          <w:color w:val="000000"/>
        </w:rPr>
      </w:pPr>
    </w:p>
    <w:p>
      <w:pPr>
        <w:rPr>
          <w:color w:val="000000"/>
        </w:rPr>
      </w:pPr>
    </w:p>
    <w:p>
      <w:pPr>
        <w:rPr>
          <w:color w:val="000000"/>
        </w:rPr>
      </w:pPr>
    </w:p>
    <w:p>
      <w:pPr>
        <w:framePr w:w="5883" w:hSpace="181" w:wrap="around" w:vAnchor="text" w:hAnchor="page" w:x="5114" w:y="58"/>
        <w:wordWrap w:val="0"/>
        <w:jc w:val="right"/>
        <w:rPr>
          <w:bCs/>
          <w:color w:val="000000"/>
        </w:rPr>
      </w:pPr>
    </w:p>
    <w:p>
      <w:pPr>
        <w:framePr w:w="5883" w:hSpace="181" w:wrap="around" w:vAnchor="text" w:hAnchor="page" w:x="5114" w:y="58"/>
        <w:wordWrap w:val="0"/>
        <w:jc w:val="right"/>
        <w:rPr>
          <w:bCs/>
          <w:color w:val="000000"/>
        </w:rPr>
      </w:pPr>
    </w:p>
    <w:p>
      <w:pPr>
        <w:framePr w:w="5883" w:hSpace="181" w:wrap="around" w:vAnchor="text" w:hAnchor="page" w:x="5114" w:y="58"/>
        <w:jc w:val="right"/>
        <w:rPr>
          <w:rFonts w:eastAsia="黑体"/>
          <w:bCs/>
          <w:color w:val="000000"/>
        </w:rPr>
      </w:pPr>
      <w:r>
        <w:rPr>
          <w:rFonts w:eastAsia="黑体"/>
          <w:bCs/>
          <w:color w:val="000000"/>
        </w:rPr>
        <w:t>代替GB/T 19447-2013</w:t>
      </w:r>
    </w:p>
    <w:p>
      <w:pPr>
        <w:rPr>
          <w:rFonts w:eastAsia="黑体"/>
          <w:color w:val="000000"/>
        </w:rPr>
      </w:pPr>
    </w:p>
    <w:p>
      <w:pPr>
        <w:framePr w:w="5268" w:hSpace="181" w:wrap="around" w:vAnchor="page" w:hAnchor="page" w:x="5684" w:y="3301" w:anchorLock="1"/>
        <w:jc w:val="right"/>
        <w:rPr>
          <w:rFonts w:eastAsia="黑体"/>
          <w:bCs/>
          <w:color w:val="000000"/>
        </w:rPr>
      </w:pPr>
      <w:bookmarkStart w:id="1" w:name="OLE_LINK1"/>
      <w:r>
        <w:rPr>
          <w:rFonts w:eastAsia="黑体"/>
          <w:bCs/>
          <w:color w:val="000000"/>
          <w:sz w:val="28"/>
        </w:rPr>
        <w:t>GB/T 19447－</w:t>
      </w:r>
      <w:bookmarkEnd w:id="1"/>
      <w:r>
        <w:rPr>
          <w:rFonts w:eastAsia="黑体"/>
          <w:bCs/>
          <w:color w:val="000000"/>
          <w:sz w:val="28"/>
        </w:rPr>
        <w:t>XXXX</w:t>
      </w:r>
    </w:p>
    <w:p>
      <w:pPr>
        <w:rPr>
          <w:color w:val="000000"/>
        </w:rPr>
      </w:pPr>
    </w:p>
    <w:p>
      <w:pPr>
        <w:rPr>
          <w:color w:val="000000"/>
        </w:rPr>
      </w:pPr>
      <w:r>
        <w:rPr>
          <w:color w:val="000000"/>
        </w:rPr>
        <w:t>　　　　</w:t>
      </w:r>
    </w:p>
    <w:p>
      <w:pPr>
        <w:pStyle w:val="22"/>
        <w:rPr>
          <w:rFonts w:ascii="Times New Roman" w:eastAsia="宋体"/>
          <w:color w:val="000000"/>
        </w:rPr>
      </w:pPr>
      <w:r>
        <w:rPr>
          <w:rFonts w:ascii="Times New Roman" w:eastAsia="宋体"/>
          <w:color w:val="000000"/>
        </w:rPr>
        <mc:AlternateContent>
          <mc:Choice Requires="wps">
            <w:drawing>
              <wp:anchor distT="0" distB="0" distL="114300" distR="114300" simplePos="0" relativeHeight="251664384" behindDoc="0" locked="0" layoutInCell="1" allowOverlap="1">
                <wp:simplePos x="0" y="0"/>
                <wp:positionH relativeFrom="column">
                  <wp:posOffset>-59690</wp:posOffset>
                </wp:positionH>
                <wp:positionV relativeFrom="paragraph">
                  <wp:posOffset>130810</wp:posOffset>
                </wp:positionV>
                <wp:extent cx="6181090" cy="19050"/>
                <wp:effectExtent l="0" t="0" r="10160" b="0"/>
                <wp:wrapNone/>
                <wp:docPr id="592006755" name="直接连接符 11"/>
                <wp:cNvGraphicFramePr/>
                <a:graphic xmlns:a="http://schemas.openxmlformats.org/drawingml/2006/main">
                  <a:graphicData uri="http://schemas.microsoft.com/office/word/2010/wordprocessingShape">
                    <wps:wsp>
                      <wps:cNvCnPr>
                        <a:cxnSpLocks noChangeShapeType="1"/>
                      </wps:cNvCnPr>
                      <wps:spPr bwMode="auto">
                        <a:xfrm>
                          <a:off x="0" y="0"/>
                          <a:ext cx="6181090" cy="19050"/>
                        </a:xfrm>
                        <a:prstGeom prst="line">
                          <a:avLst/>
                        </a:prstGeom>
                        <a:noFill/>
                        <a:ln w="12700">
                          <a:solidFill>
                            <a:srgbClr val="000000"/>
                          </a:solidFill>
                          <a:round/>
                        </a:ln>
                      </wps:spPr>
                      <wps:bodyPr/>
                    </wps:wsp>
                  </a:graphicData>
                </a:graphic>
              </wp:anchor>
            </w:drawing>
          </mc:Choice>
          <mc:Fallback>
            <w:pict>
              <v:line id="直接连接符 11" o:spid="_x0000_s1026" o:spt="20" style="position:absolute;left:0pt;margin-left:-4.7pt;margin-top:10.3pt;height:1.5pt;width:486.7pt;z-index:251664384;mso-width-relative:page;mso-height-relative:page;" filled="f" stroked="t" coordsize="21600,21600" o:gfxdata="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xByAoNgAAAAIAQAADwAAAAAAAAABACAAAAAiAAAAZHJzL2Rvd25yZXYueG1sUEsBAhQAFAAA&#10;AAgAh07iQHx3SKLvAQAAuAMAAA4AAAAAAAAAAQAgAAAAJwEAAGRycy9lMm9Eb2MueG1sUEsFBgAA&#10;AAAGAAYAWQEAAIgFAAAAAA==&#10;">
                <v:fill on="f" focussize="0,0"/>
                <v:stroke weight="1pt" color="#000000" joinstyle="round"/>
                <v:imagedata o:title=""/>
                <o:lock v:ext="edit" aspectratio="f"/>
              </v:line>
            </w:pict>
          </mc:Fallback>
        </mc:AlternateContent>
      </w:r>
    </w:p>
    <w:p>
      <w:pPr>
        <w:pStyle w:val="26"/>
        <w:widowControl w:val="0"/>
        <w:numPr>
          <w:ilvl w:val="0"/>
          <w:numId w:val="0"/>
        </w:numPr>
        <w:spacing w:beforeLines="0" w:afterLines="0"/>
        <w:outlineLvl w:val="9"/>
        <w:rPr>
          <w:rFonts w:ascii="Times New Roman" w:eastAsia="宋体"/>
          <w:color w:val="000000"/>
          <w:kern w:val="2"/>
          <w:szCs w:val="24"/>
        </w:rPr>
      </w:pPr>
    </w:p>
    <w:p>
      <w:pPr>
        <w:rPr>
          <w:color w:val="000000"/>
        </w:rPr>
      </w:pPr>
    </w:p>
    <w:p>
      <w:pPr>
        <w:rPr>
          <w:color w:val="000000"/>
        </w:rPr>
      </w:pPr>
    </w:p>
    <w:p>
      <w:pPr>
        <w:rPr>
          <w:color w:val="000000"/>
        </w:rPr>
      </w:pPr>
    </w:p>
    <w:p>
      <w:pPr>
        <w:pStyle w:val="26"/>
        <w:widowControl w:val="0"/>
        <w:numPr>
          <w:ilvl w:val="0"/>
          <w:numId w:val="0"/>
        </w:numPr>
        <w:spacing w:beforeLines="0" w:afterLines="0"/>
        <w:jc w:val="center"/>
        <w:outlineLvl w:val="9"/>
        <w:rPr>
          <w:rFonts w:ascii="Times New Roman"/>
          <w:bCs/>
          <w:color w:val="000000"/>
          <w:sz w:val="52"/>
          <w:szCs w:val="52"/>
        </w:rPr>
      </w:pPr>
      <w:r>
        <w:rPr>
          <w:rFonts w:ascii="Times New Roman"/>
          <w:bCs/>
          <w:color w:val="000000"/>
          <w:sz w:val="52"/>
          <w:szCs w:val="52"/>
        </w:rPr>
        <w:t>热交换器用铜</w:t>
      </w:r>
      <w:r>
        <w:rPr>
          <w:rFonts w:hint="eastAsia" w:ascii="Times New Roman"/>
          <w:bCs/>
          <w:color w:val="000000"/>
          <w:sz w:val="52"/>
          <w:szCs w:val="52"/>
        </w:rPr>
        <w:t>及</w:t>
      </w:r>
      <w:r>
        <w:rPr>
          <w:rFonts w:ascii="Times New Roman"/>
          <w:bCs/>
          <w:color w:val="000000"/>
          <w:sz w:val="52"/>
          <w:szCs w:val="52"/>
        </w:rPr>
        <w:t>铜合金无缝翅片管</w:t>
      </w:r>
    </w:p>
    <w:p>
      <w:pPr>
        <w:pStyle w:val="25"/>
        <w:ind w:firstLine="420"/>
        <w:rPr>
          <w:rFonts w:ascii="Times New Roman"/>
          <w:color w:val="000000"/>
        </w:rPr>
      </w:pPr>
    </w:p>
    <w:p>
      <w:pPr>
        <w:pStyle w:val="25"/>
        <w:ind w:firstLine="420"/>
        <w:rPr>
          <w:rFonts w:ascii="Times New Roman"/>
          <w:color w:val="000000"/>
        </w:rPr>
      </w:pPr>
    </w:p>
    <w:p>
      <w:pPr>
        <w:pStyle w:val="25"/>
        <w:ind w:firstLine="560"/>
        <w:jc w:val="center"/>
        <w:rPr>
          <w:rFonts w:ascii="Times New Roman" w:eastAsia="黑体"/>
          <w:color w:val="000000"/>
          <w:sz w:val="28"/>
          <w:szCs w:val="28"/>
        </w:rPr>
      </w:pPr>
      <w:r>
        <w:rPr>
          <w:rFonts w:ascii="Times New Roman" w:eastAsia="黑体"/>
          <w:color w:val="000000"/>
          <w:sz w:val="28"/>
          <w:szCs w:val="28"/>
        </w:rPr>
        <w:t>Copper and copper</w:t>
      </w:r>
      <w:r>
        <w:rPr>
          <w:rFonts w:hint="eastAsia" w:ascii="Times New Roman" w:eastAsia="黑体"/>
          <w:color w:val="000000"/>
          <w:sz w:val="28"/>
          <w:szCs w:val="28"/>
        </w:rPr>
        <w:t>-</w:t>
      </w:r>
      <w:r>
        <w:rPr>
          <w:rFonts w:ascii="Times New Roman" w:eastAsia="黑体"/>
          <w:color w:val="000000"/>
          <w:sz w:val="28"/>
          <w:szCs w:val="28"/>
        </w:rPr>
        <w:t>alloys seamless tubes with integral fins for heat exchanger</w:t>
      </w:r>
    </w:p>
    <w:p>
      <w:pPr>
        <w:pStyle w:val="25"/>
        <w:ind w:firstLine="420"/>
        <w:rPr>
          <w:rFonts w:ascii="Times New Roman"/>
          <w:color w:val="000000"/>
        </w:rPr>
      </w:pPr>
    </w:p>
    <w:p>
      <w:pPr>
        <w:pStyle w:val="25"/>
        <w:ind w:firstLine="420"/>
        <w:rPr>
          <w:rFonts w:ascii="Times New Roman"/>
          <w:color w:val="000000"/>
        </w:rPr>
      </w:pPr>
    </w:p>
    <w:p>
      <w:pPr>
        <w:ind w:right="-561" w:rightChars="-267"/>
        <w:rPr>
          <w:color w:val="000000"/>
          <w:sz w:val="28"/>
        </w:rPr>
      </w:pPr>
    </w:p>
    <w:p>
      <w:pPr>
        <w:ind w:right="-561" w:rightChars="-267"/>
        <w:rPr>
          <w:color w:val="000000"/>
          <w:sz w:val="28"/>
        </w:rPr>
      </w:pPr>
    </w:p>
    <w:p>
      <w:pPr>
        <w:ind w:right="-561" w:rightChars="-267"/>
        <w:rPr>
          <w:color w:val="000000"/>
          <w:sz w:val="28"/>
        </w:rPr>
      </w:pPr>
    </w:p>
    <w:p>
      <w:pPr>
        <w:ind w:right="-561" w:rightChars="-267"/>
        <w:rPr>
          <w:color w:val="000000"/>
          <w:sz w:val="28"/>
        </w:rPr>
      </w:pPr>
    </w:p>
    <w:p>
      <w:pPr>
        <w:ind w:right="-561" w:rightChars="-267"/>
        <w:rPr>
          <w:color w:val="000000"/>
          <w:sz w:val="28"/>
        </w:rPr>
      </w:pPr>
    </w:p>
    <w:p>
      <w:pPr>
        <w:ind w:right="-561" w:rightChars="-267"/>
        <w:jc w:val="center"/>
        <w:rPr>
          <w:color w:val="000000"/>
          <w:sz w:val="24"/>
        </w:rPr>
      </w:pPr>
      <w:r>
        <w:rPr>
          <w:color w:val="000000"/>
          <w:sz w:val="24"/>
        </w:rPr>
        <w:t>（</w:t>
      </w:r>
      <w:r>
        <w:rPr>
          <w:rFonts w:hint="eastAsia"/>
          <w:color w:val="000000"/>
          <w:sz w:val="24"/>
        </w:rPr>
        <w:t>送</w:t>
      </w:r>
      <w:r>
        <w:rPr>
          <w:color w:val="000000"/>
          <w:sz w:val="24"/>
        </w:rPr>
        <w:t>审稿）</w:t>
      </w:r>
    </w:p>
    <w:p>
      <w:pPr>
        <w:pStyle w:val="52"/>
        <w:rPr>
          <w:rFonts w:ascii="Times New Roman"/>
          <w:sz w:val="20"/>
        </w:rPr>
      </w:pPr>
      <w:r>
        <w:rPr>
          <w:rFonts w:ascii="Times New Roman"/>
          <w:sz w:val="20"/>
        </w:rPr>
        <w:t>(在提交反馈意见时，请将您知道的相关专利连同支持性文件一并附上)</w:t>
      </w:r>
    </w:p>
    <w:p>
      <w:pPr>
        <w:ind w:right="-561" w:rightChars="-267"/>
        <w:rPr>
          <w:color w:val="000000"/>
          <w:sz w:val="28"/>
        </w:rPr>
      </w:pPr>
    </w:p>
    <w:p>
      <w:pPr>
        <w:ind w:right="-561" w:rightChars="-267"/>
        <w:rPr>
          <w:color w:val="000000"/>
          <w:sz w:val="28"/>
        </w:rPr>
      </w:pPr>
    </w:p>
    <w:p>
      <w:pPr>
        <w:ind w:right="-561" w:rightChars="-267"/>
        <w:rPr>
          <w:color w:val="000000"/>
          <w:sz w:val="28"/>
        </w:rPr>
      </w:pPr>
    </w:p>
    <w:p>
      <w:pPr>
        <w:ind w:right="-561" w:rightChars="-267"/>
        <w:rPr>
          <w:color w:val="000000"/>
          <w:sz w:val="28"/>
        </w:rPr>
      </w:pPr>
    </w:p>
    <w:p>
      <w:pPr>
        <w:ind w:right="-561" w:rightChars="-267"/>
        <w:rPr>
          <w:color w:val="000000"/>
          <w:sz w:val="28"/>
        </w:rPr>
      </w:pPr>
    </w:p>
    <w:p>
      <w:pPr>
        <w:ind w:right="-561" w:rightChars="-267"/>
        <w:rPr>
          <w:color w:val="000000"/>
          <w:sz w:val="28"/>
        </w:rPr>
      </w:pPr>
    </w:p>
    <w:p>
      <w:pPr>
        <w:ind w:right="-561" w:rightChars="-267"/>
        <w:rPr>
          <w:color w:val="000000"/>
          <w:sz w:val="28"/>
        </w:rPr>
      </w:pPr>
    </w:p>
    <w:p>
      <w:pPr>
        <w:ind w:right="-561" w:rightChars="-267"/>
        <w:rPr>
          <w:color w:val="000000"/>
          <w:sz w:val="28"/>
        </w:rPr>
      </w:pPr>
    </w:p>
    <w:p>
      <w:pPr>
        <w:ind w:right="-561" w:rightChars="-267"/>
        <w:rPr>
          <w:rFonts w:eastAsia="黑体"/>
          <w:color w:val="000000"/>
          <w:sz w:val="28"/>
        </w:rPr>
      </w:pPr>
      <w:r>
        <w:rPr>
          <w:rFonts w:eastAsia="黑体"/>
          <w:color w:val="000000"/>
          <w:sz w:val="28"/>
        </w:rPr>
        <w:t>XXXX－XX－XX 发布                 XXXX－XX－XX实施</w:t>
      </w:r>
    </w:p>
    <w:p>
      <w:pPr>
        <w:ind w:right="-561" w:rightChars="-267"/>
        <w:rPr>
          <w:color w:val="000000"/>
          <w:sz w:val="28"/>
        </w:rPr>
      </w:pPr>
    </w:p>
    <w:p>
      <w:pPr>
        <w:ind w:right="-561" w:rightChars="-267"/>
        <w:rPr>
          <w:color w:val="000000"/>
          <w:sz w:val="28"/>
        </w:rPr>
      </w:pPr>
    </w:p>
    <w:p>
      <w:pPr>
        <w:ind w:right="-561" w:rightChars="-267"/>
        <w:rPr>
          <w:color w:val="000000"/>
          <w:sz w:val="28"/>
        </w:rPr>
      </w:pPr>
    </w:p>
    <w:p>
      <w:pPr>
        <w:ind w:right="-561" w:rightChars="-267"/>
        <w:rPr>
          <w:color w:val="000000"/>
          <w:sz w:val="28"/>
        </w:rPr>
      </w:pPr>
    </w:p>
    <w:p>
      <w:pPr>
        <w:ind w:right="-561" w:rightChars="-267"/>
        <w:rPr>
          <w:color w:val="000000"/>
          <w:sz w:val="48"/>
        </w:rPr>
      </w:pPr>
      <w:r>
        <w:rPr>
          <w:color w:val="000000"/>
          <w:sz w:val="28"/>
        </w:rPr>
        <mc:AlternateContent>
          <mc:Choice Requires="wps">
            <w:drawing>
              <wp:anchor distT="0" distB="0" distL="114300" distR="114300" simplePos="0" relativeHeight="251662336" behindDoc="0" locked="1" layoutInCell="1" allowOverlap="1">
                <wp:simplePos x="0" y="0"/>
                <wp:positionH relativeFrom="margin">
                  <wp:posOffset>73025</wp:posOffset>
                </wp:positionH>
                <wp:positionV relativeFrom="margin">
                  <wp:posOffset>8277860</wp:posOffset>
                </wp:positionV>
                <wp:extent cx="5513070" cy="660400"/>
                <wp:effectExtent l="0" t="0" r="0" b="0"/>
                <wp:wrapNone/>
                <wp:docPr id="1800584778" name="文本框 9"/>
                <wp:cNvGraphicFramePr/>
                <a:graphic xmlns:a="http://schemas.openxmlformats.org/drawingml/2006/main">
                  <a:graphicData uri="http://schemas.microsoft.com/office/word/2010/wordprocessingShape">
                    <wps:wsp>
                      <wps:cNvSpPr txBox="1">
                        <a:spLocks noChangeArrowheads="1"/>
                      </wps:cNvSpPr>
                      <wps:spPr bwMode="auto">
                        <a:xfrm>
                          <a:off x="0" y="0"/>
                          <a:ext cx="5513070" cy="660400"/>
                        </a:xfrm>
                        <a:prstGeom prst="rect">
                          <a:avLst/>
                        </a:prstGeom>
                        <a:solidFill>
                          <a:srgbClr val="FFFFFF"/>
                        </a:solidFill>
                        <a:ln>
                          <a:noFill/>
                        </a:ln>
                      </wps:spPr>
                      <wps:txbx>
                        <w:txbxContent>
                          <w:p>
                            <w:pPr>
                              <w:pStyle w:val="34"/>
                              <w:spacing w:line="340" w:lineRule="exact"/>
                              <w:ind w:firstLine="176" w:firstLineChars="26"/>
                              <w:jc w:val="both"/>
                              <w:rPr>
                                <w:color w:val="000000"/>
                                <w:spacing w:val="136"/>
                                <w:sz w:val="30"/>
                                <w:szCs w:val="30"/>
                              </w:rPr>
                            </w:pPr>
                            <w:r>
                              <w:rPr>
                                <w:rFonts w:hint="eastAsia"/>
                                <w:color w:val="000000"/>
                                <w:spacing w:val="136"/>
                                <w:sz w:val="30"/>
                                <w:szCs w:val="30"/>
                              </w:rPr>
                              <w:t>国家市场监督管理总局</w:t>
                            </w:r>
                          </w:p>
                          <w:p>
                            <w:pPr>
                              <w:pStyle w:val="34"/>
                              <w:spacing w:line="340" w:lineRule="exact"/>
                              <w:ind w:firstLine="176" w:firstLineChars="26"/>
                              <w:jc w:val="both"/>
                              <w:rPr>
                                <w:color w:val="000000"/>
                              </w:rPr>
                            </w:pPr>
                            <w:r>
                              <w:rPr>
                                <w:rFonts w:hint="eastAsia"/>
                                <w:color w:val="000000"/>
                                <w:spacing w:val="136"/>
                                <w:sz w:val="30"/>
                                <w:szCs w:val="30"/>
                              </w:rPr>
                              <w:t>国家标准化管理委员会</w:t>
                            </w:r>
                            <w:r>
                              <w:rPr>
                                <w:rStyle w:val="33"/>
                                <w:rFonts w:hint="eastAsia"/>
                                <w:color w:val="000000"/>
                              </w:rPr>
                              <w:t>发布</w:t>
                            </w:r>
                          </w:p>
                        </w:txbxContent>
                      </wps:txbx>
                      <wps:bodyPr rot="0" vert="horz" wrap="square" lIns="0" tIns="0" rIns="0" bIns="0" anchor="t" anchorCtr="0" upright="1">
                        <a:noAutofit/>
                      </wps:bodyPr>
                    </wps:wsp>
                  </a:graphicData>
                </a:graphic>
              </wp:anchor>
            </w:drawing>
          </mc:Choice>
          <mc:Fallback>
            <w:pict>
              <v:shape id="文本框 9" o:spid="_x0000_s1026" o:spt="202" type="#_x0000_t202" style="position:absolute;left:0pt;margin-left:5.75pt;margin-top:651.8pt;height:52pt;width:434.1pt;mso-position-horizontal-relative:margin;mso-position-vertical-relative:margin;z-index:251662336;mso-width-relative:page;mso-height-relative:page;" fillcolor="#FFFFFF" filled="t" stroked="f" coordsize="21600,21600" o:gfxdata="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BlNaVf2gAAAAwBAAAPAAAAAAAAAAEAIAAAACIAAABkcnMvZG93bnJldi54bWxQSwECFAAU&#10;AAAACACHTuJAQvyhRigCAAA3BAAADgAAAAAAAAABACAAAAApAQAAZHJzL2Uyb0RvYy54bWxQSwUG&#10;AAAAAAYABgBZAQAAwwUAAAAA&#10;">
                <v:fill on="t" focussize="0,0"/>
                <v:stroke on="f"/>
                <v:imagedata o:title=""/>
                <o:lock v:ext="edit" aspectratio="f"/>
                <v:textbox inset="0mm,0mm,0mm,0mm">
                  <w:txbxContent>
                    <w:p>
                      <w:pPr>
                        <w:pStyle w:val="34"/>
                        <w:spacing w:line="340" w:lineRule="exact"/>
                        <w:ind w:firstLine="176" w:firstLineChars="26"/>
                        <w:jc w:val="both"/>
                        <w:rPr>
                          <w:color w:val="000000"/>
                          <w:spacing w:val="136"/>
                          <w:sz w:val="30"/>
                          <w:szCs w:val="30"/>
                        </w:rPr>
                      </w:pPr>
                      <w:r>
                        <w:rPr>
                          <w:rFonts w:hint="eastAsia"/>
                          <w:color w:val="000000"/>
                          <w:spacing w:val="136"/>
                          <w:sz w:val="30"/>
                          <w:szCs w:val="30"/>
                        </w:rPr>
                        <w:t>国家市场监督管理总局</w:t>
                      </w:r>
                    </w:p>
                    <w:p>
                      <w:pPr>
                        <w:pStyle w:val="34"/>
                        <w:spacing w:line="340" w:lineRule="exact"/>
                        <w:ind w:firstLine="176" w:firstLineChars="26"/>
                        <w:jc w:val="both"/>
                        <w:rPr>
                          <w:color w:val="000000"/>
                        </w:rPr>
                      </w:pPr>
                      <w:r>
                        <w:rPr>
                          <w:rFonts w:hint="eastAsia"/>
                          <w:color w:val="000000"/>
                          <w:spacing w:val="136"/>
                          <w:sz w:val="30"/>
                          <w:szCs w:val="30"/>
                        </w:rPr>
                        <w:t>国家标准化管理委员会</w:t>
                      </w:r>
                      <w:r>
                        <w:rPr>
                          <w:rStyle w:val="33"/>
                          <w:rFonts w:hint="eastAsia"/>
                          <w:color w:val="000000"/>
                        </w:rPr>
                        <w:t>发布</w:t>
                      </w:r>
                    </w:p>
                  </w:txbxContent>
                </v:textbox>
                <w10:anchorlock/>
              </v:shape>
            </w:pict>
          </mc:Fallback>
        </mc:AlternateContent>
      </w:r>
    </w:p>
    <w:p>
      <w:pPr>
        <w:pStyle w:val="25"/>
        <w:ind w:firstLine="420"/>
        <w:rPr>
          <w:rFonts w:ascii="Times New Roman"/>
          <w:color w:val="000000"/>
        </w:rPr>
        <w:sectPr>
          <w:headerReference r:id="rId5" w:type="first"/>
          <w:headerReference r:id="rId3" w:type="default"/>
          <w:footerReference r:id="rId6" w:type="default"/>
          <w:headerReference r:id="rId4" w:type="even"/>
          <w:footerReference r:id="rId7" w:type="even"/>
          <w:type w:val="continuous"/>
          <w:pgSz w:w="11907" w:h="16840"/>
          <w:pgMar w:top="1134" w:right="1418" w:bottom="1134" w:left="1418" w:header="720" w:footer="720" w:gutter="0"/>
          <w:pgNumType w:fmt="upperRoman"/>
          <w:cols w:space="720" w:num="1"/>
        </w:sectPr>
      </w:pPr>
    </w:p>
    <w:p>
      <w:pPr>
        <w:framePr w:hSpace="181" w:wrap="around" w:vAnchor="page" w:hAnchor="page" w:x="5217" w:y="1546" w:anchorLock="1"/>
        <w:jc w:val="center"/>
        <w:rPr>
          <w:rFonts w:eastAsia="黑体"/>
          <w:b/>
          <w:color w:val="000000"/>
          <w:sz w:val="32"/>
        </w:rPr>
      </w:pPr>
      <w:bookmarkStart w:id="2" w:name="目次1"/>
      <w:bookmarkEnd w:id="2"/>
      <w:r>
        <w:rPr>
          <w:rFonts w:eastAsia="黑体"/>
          <w:b/>
          <w:color w:val="000000"/>
          <w:sz w:val="32"/>
        </w:rPr>
        <w:t>前言</w:t>
      </w:r>
    </w:p>
    <w:p>
      <w:pPr>
        <w:rPr>
          <w:color w:val="000000"/>
        </w:rPr>
      </w:pPr>
      <w:bookmarkStart w:id="3" w:name="前言1"/>
      <w:bookmarkEnd w:id="3"/>
    </w:p>
    <w:p>
      <w:pPr>
        <w:rPr>
          <w:color w:val="000000"/>
        </w:rPr>
      </w:pPr>
    </w:p>
    <w:p>
      <w:pPr>
        <w:rPr>
          <w:color w:val="000000"/>
        </w:rPr>
      </w:pPr>
    </w:p>
    <w:p>
      <w:pPr>
        <w:rPr>
          <w:color w:val="000000"/>
        </w:rPr>
      </w:pPr>
    </w:p>
    <w:p>
      <w:pPr>
        <w:ind w:firstLine="420" w:firstLineChars="200"/>
        <w:rPr>
          <w:color w:val="000000"/>
        </w:rPr>
      </w:pPr>
      <w:r>
        <w:rPr>
          <w:color w:val="000000"/>
        </w:rPr>
        <w:t>本文件根据GB/T 1.1—2020《标准化工作导则第1部分：标准化文件的结构和起草规则》的规定起草。</w:t>
      </w:r>
    </w:p>
    <w:p>
      <w:pPr>
        <w:ind w:firstLine="420" w:firstLineChars="200"/>
        <w:rPr>
          <w:szCs w:val="21"/>
        </w:rPr>
      </w:pPr>
      <w:r>
        <w:rPr>
          <w:color w:val="000000"/>
        </w:rPr>
        <w:t>本文件代替GB/T 19447—2013《热交换器用铜及铜合金无缝翅片管》，与GB/T 19447-2013 相比，</w:t>
      </w:r>
      <w:r>
        <w:t>除结构调整和编辑性改动外，</w:t>
      </w:r>
      <w:r>
        <w:rPr>
          <w:szCs w:val="21"/>
        </w:rPr>
        <w:t>主要变化如下：</w:t>
      </w:r>
    </w:p>
    <w:p>
      <w:pPr>
        <w:pStyle w:val="56"/>
        <w:ind w:left="210" w:firstLine="210" w:firstLineChars="100"/>
        <w:rPr>
          <w:bCs/>
        </w:rPr>
      </w:pPr>
      <w:r>
        <w:rPr>
          <w:rFonts w:hint="eastAsia"/>
          <w:bCs/>
        </w:rPr>
        <w:t>a</w:t>
      </w:r>
      <w:r>
        <w:rPr>
          <w:bCs/>
        </w:rPr>
        <w:t>）删除了管材光管端拉拔态H80状态（见</w:t>
      </w:r>
      <w:r>
        <w:rPr>
          <w:rFonts w:hint="eastAsia"/>
          <w:bCs/>
        </w:rPr>
        <w:t>2013年版表1</w:t>
      </w:r>
      <w:r>
        <w:rPr>
          <w:bCs/>
        </w:rPr>
        <w:t>）；</w:t>
      </w:r>
    </w:p>
    <w:p>
      <w:pPr>
        <w:ind w:firstLine="420" w:firstLineChars="200"/>
        <w:rPr>
          <w:bCs/>
        </w:rPr>
      </w:pPr>
      <w:r>
        <w:rPr>
          <w:rFonts w:hint="eastAsia"/>
          <w:bCs/>
        </w:rPr>
        <w:t>b</w:t>
      </w:r>
      <w:r>
        <w:rPr>
          <w:bCs/>
        </w:rPr>
        <w:t>）删除了HSn72-1，BFe5-1.5-0.5，HAs85-0.05产品牌号（</w:t>
      </w:r>
      <w:r>
        <w:rPr>
          <w:rFonts w:hint="eastAsia"/>
          <w:bCs/>
        </w:rPr>
        <w:t>见</w:t>
      </w:r>
      <w:r>
        <w:rPr>
          <w:bCs/>
        </w:rPr>
        <w:t>2013年版的表1）；</w:t>
      </w:r>
    </w:p>
    <w:p>
      <w:pPr>
        <w:ind w:firstLine="420" w:firstLineChars="200"/>
        <w:rPr>
          <w:bCs/>
        </w:rPr>
      </w:pPr>
      <w:bookmarkStart w:id="4" w:name="OLE_LINK14"/>
      <w:bookmarkStart w:id="5" w:name="OLE_LINK23"/>
      <w:r>
        <w:rPr>
          <w:rFonts w:hint="eastAsia"/>
          <w:bCs/>
        </w:rPr>
        <w:t>c</w:t>
      </w:r>
      <w:r>
        <w:rPr>
          <w:bCs/>
        </w:rPr>
        <w:t>）更改</w:t>
      </w:r>
      <w:bookmarkEnd w:id="4"/>
      <w:bookmarkEnd w:id="5"/>
      <w:r>
        <w:rPr>
          <w:bCs/>
        </w:rPr>
        <w:t>了产品规格和主要参数（见</w:t>
      </w:r>
      <w:r>
        <w:rPr>
          <w:rFonts w:hint="eastAsia"/>
          <w:bCs/>
        </w:rPr>
        <w:t>附</w:t>
      </w:r>
      <w:r>
        <w:rPr>
          <w:bCs/>
        </w:rPr>
        <w:t>表</w:t>
      </w:r>
      <w:r>
        <w:rPr>
          <w:rFonts w:hint="eastAsia"/>
          <w:bCs/>
        </w:rPr>
        <w:t>1，</w:t>
      </w:r>
      <w:r>
        <w:rPr>
          <w:bCs/>
        </w:rPr>
        <w:t>2013年版的表2）；</w:t>
      </w:r>
    </w:p>
    <w:p>
      <w:pPr>
        <w:ind w:firstLine="420" w:firstLineChars="200"/>
        <w:rPr>
          <w:bCs/>
        </w:rPr>
      </w:pPr>
      <w:r>
        <w:rPr>
          <w:rFonts w:hint="eastAsia"/>
          <w:bCs/>
        </w:rPr>
        <w:t>d</w:t>
      </w:r>
      <w:r>
        <w:rPr>
          <w:bCs/>
        </w:rPr>
        <w:t>）更改了管材壁厚公差要求（见5.2</w:t>
      </w:r>
      <w:r>
        <w:rPr>
          <w:rFonts w:hint="eastAsia"/>
          <w:bCs/>
        </w:rPr>
        <w:t>，2013年版的3.3</w:t>
      </w:r>
      <w:r>
        <w:rPr>
          <w:bCs/>
        </w:rPr>
        <w:t>）；</w:t>
      </w:r>
    </w:p>
    <w:p>
      <w:pPr>
        <w:ind w:firstLine="420" w:firstLineChars="200"/>
        <w:rPr>
          <w:bCs/>
        </w:rPr>
      </w:pPr>
      <w:r>
        <w:rPr>
          <w:rFonts w:hint="eastAsia"/>
          <w:bCs/>
        </w:rPr>
        <w:t>e</w:t>
      </w:r>
      <w:r>
        <w:rPr>
          <w:bCs/>
        </w:rPr>
        <w:t>）增加了规定塑性延伸强度Rp0.2要求（见表</w:t>
      </w:r>
      <w:r>
        <w:rPr>
          <w:rFonts w:hint="eastAsia"/>
          <w:bCs/>
        </w:rPr>
        <w:t>5</w:t>
      </w:r>
      <w:r>
        <w:rPr>
          <w:bCs/>
        </w:rPr>
        <w:t>）；</w:t>
      </w:r>
    </w:p>
    <w:p>
      <w:pPr>
        <w:ind w:firstLine="420" w:firstLineChars="200"/>
        <w:rPr>
          <w:bCs/>
        </w:rPr>
      </w:pPr>
      <w:r>
        <w:rPr>
          <w:rFonts w:hint="eastAsia"/>
          <w:bCs/>
        </w:rPr>
        <w:t>f</w:t>
      </w:r>
      <w:r>
        <w:rPr>
          <w:bCs/>
        </w:rPr>
        <w:t>）增加了</w:t>
      </w:r>
      <w:bookmarkStart w:id="6" w:name="OLE_LINK78"/>
      <w:bookmarkStart w:id="7" w:name="OLE_LINK79"/>
      <w:r>
        <w:rPr>
          <w:bCs/>
        </w:rPr>
        <w:t>磁饱和探伤试验</w:t>
      </w:r>
      <w:bookmarkEnd w:id="6"/>
      <w:bookmarkEnd w:id="7"/>
      <w:r>
        <w:rPr>
          <w:bCs/>
        </w:rPr>
        <w:t>要求（见5.5）；</w:t>
      </w:r>
    </w:p>
    <w:p>
      <w:pPr>
        <w:ind w:firstLine="420" w:firstLineChars="200"/>
        <w:rPr>
          <w:bCs/>
        </w:rPr>
      </w:pPr>
      <w:r>
        <w:rPr>
          <w:rFonts w:hint="eastAsia"/>
          <w:bCs/>
        </w:rPr>
        <w:t>g</w:t>
      </w:r>
      <w:r>
        <w:rPr>
          <w:bCs/>
        </w:rPr>
        <w:t>）增加了外压</w:t>
      </w:r>
      <w:r>
        <w:rPr>
          <w:rFonts w:hint="eastAsia"/>
          <w:bCs/>
        </w:rPr>
        <w:t>设计检验</w:t>
      </w:r>
      <w:r>
        <w:rPr>
          <w:bCs/>
        </w:rPr>
        <w:t>（见5.6）；</w:t>
      </w:r>
    </w:p>
    <w:p>
      <w:pPr>
        <w:ind w:firstLine="420" w:firstLineChars="200"/>
        <w:rPr>
          <w:bCs/>
        </w:rPr>
      </w:pPr>
      <w:r>
        <w:rPr>
          <w:rFonts w:hint="eastAsia"/>
          <w:bCs/>
        </w:rPr>
        <w:t>h</w:t>
      </w:r>
      <w:r>
        <w:rPr>
          <w:bCs/>
        </w:rPr>
        <w:t>）更改了管材材料不同温度下的许用应力（见表</w:t>
      </w:r>
      <w:r>
        <w:rPr>
          <w:rFonts w:hint="eastAsia"/>
          <w:bCs/>
        </w:rPr>
        <w:t>7</w:t>
      </w:r>
      <w:r>
        <w:rPr>
          <w:bCs/>
        </w:rPr>
        <w:t>，2013年版的表8）；</w:t>
      </w:r>
    </w:p>
    <w:p>
      <w:pPr>
        <w:ind w:firstLine="420" w:firstLineChars="200"/>
        <w:rPr>
          <w:bCs/>
        </w:rPr>
      </w:pPr>
      <w:r>
        <w:rPr>
          <w:rFonts w:hint="eastAsia"/>
          <w:bCs/>
        </w:rPr>
        <w:t>i</w:t>
      </w:r>
      <w:r>
        <w:rPr>
          <w:bCs/>
        </w:rPr>
        <w:t>）更改了管材的热工性能检测方法（见6.</w:t>
      </w:r>
      <w:r>
        <w:rPr>
          <w:rFonts w:hint="eastAsia"/>
          <w:bCs/>
        </w:rPr>
        <w:t>10</w:t>
      </w:r>
      <w:r>
        <w:rPr>
          <w:bCs/>
        </w:rPr>
        <w:t>，2013年版的4.6）；</w:t>
      </w:r>
    </w:p>
    <w:p>
      <w:pPr>
        <w:ind w:firstLine="420" w:firstLineChars="200"/>
        <w:rPr>
          <w:bCs/>
        </w:rPr>
      </w:pPr>
      <w:r>
        <w:rPr>
          <w:rFonts w:hint="eastAsia"/>
          <w:bCs/>
        </w:rPr>
        <w:t>j</w:t>
      </w:r>
      <w:r>
        <w:rPr>
          <w:bCs/>
        </w:rPr>
        <w:t>）增加了外压</w:t>
      </w:r>
      <w:r>
        <w:rPr>
          <w:rFonts w:hint="eastAsia"/>
          <w:bCs/>
        </w:rPr>
        <w:t>设计</w:t>
      </w:r>
      <w:r>
        <w:rPr>
          <w:bCs/>
        </w:rPr>
        <w:t>检测方法（见6.</w:t>
      </w:r>
      <w:r>
        <w:rPr>
          <w:rFonts w:hint="eastAsia"/>
          <w:bCs/>
        </w:rPr>
        <w:t>6</w:t>
      </w:r>
      <w:r>
        <w:rPr>
          <w:bCs/>
        </w:rPr>
        <w:t>）</w:t>
      </w:r>
      <w:r>
        <w:rPr>
          <w:rFonts w:hint="eastAsia"/>
          <w:bCs/>
        </w:rPr>
        <w:t>；</w:t>
      </w:r>
    </w:p>
    <w:p>
      <w:pPr>
        <w:ind w:firstLine="420" w:firstLineChars="200"/>
        <w:rPr>
          <w:bCs/>
        </w:rPr>
      </w:pPr>
      <w:r>
        <w:rPr>
          <w:rFonts w:hint="eastAsia"/>
          <w:bCs/>
        </w:rPr>
        <w:t>k</w:t>
      </w:r>
      <w:r>
        <w:rPr>
          <w:bCs/>
        </w:rPr>
        <w:t>）更改了残余应力检测方法（见6.</w:t>
      </w:r>
      <w:r>
        <w:rPr>
          <w:rFonts w:hint="eastAsia"/>
          <w:bCs/>
        </w:rPr>
        <w:t>7，2013年版的4.7</w:t>
      </w:r>
      <w:r>
        <w:rPr>
          <w:bCs/>
        </w:rPr>
        <w:t>）</w:t>
      </w:r>
      <w:r>
        <w:rPr>
          <w:rFonts w:hint="eastAsia"/>
          <w:bCs/>
        </w:rPr>
        <w:t>；</w:t>
      </w:r>
    </w:p>
    <w:p>
      <w:pPr>
        <w:ind w:firstLine="420" w:firstLineChars="200"/>
        <w:rPr>
          <w:bCs/>
        </w:rPr>
      </w:pPr>
      <w:r>
        <w:rPr>
          <w:rFonts w:hint="eastAsia"/>
          <w:bCs/>
        </w:rPr>
        <w:t>l</w:t>
      </w:r>
      <w:r>
        <w:rPr>
          <w:bCs/>
        </w:rPr>
        <w:t>）增加了铜及铜合金许用温度（见8.2）</w:t>
      </w:r>
      <w:r>
        <w:rPr>
          <w:rFonts w:hint="eastAsia"/>
          <w:bCs/>
        </w:rPr>
        <w:t>。</w:t>
      </w:r>
    </w:p>
    <w:p>
      <w:pPr>
        <w:ind w:firstLine="420" w:firstLineChars="200"/>
        <w:rPr>
          <w:szCs w:val="21"/>
        </w:rPr>
      </w:pPr>
      <w:r>
        <w:rPr>
          <w:szCs w:val="21"/>
        </w:rPr>
        <w:t>请注意本文件的某些内容可能涉及专利。本文件的发布机构不承担识别专利的责任。</w:t>
      </w:r>
    </w:p>
    <w:p>
      <w:pPr>
        <w:ind w:firstLine="420" w:firstLineChars="200"/>
        <w:rPr>
          <w:szCs w:val="21"/>
        </w:rPr>
      </w:pPr>
      <w:r>
        <w:rPr>
          <w:szCs w:val="21"/>
        </w:rPr>
        <w:t>本文件由中国有色金属工业协会提出。</w:t>
      </w:r>
    </w:p>
    <w:p>
      <w:pPr>
        <w:ind w:firstLine="420" w:firstLineChars="200"/>
        <w:rPr>
          <w:color w:val="000000"/>
        </w:rPr>
      </w:pPr>
      <w:r>
        <w:rPr>
          <w:color w:val="000000"/>
        </w:rPr>
        <w:t>本文件由全国有色金属标准化技术委员会(SAC/TC243)归口。</w:t>
      </w:r>
    </w:p>
    <w:p>
      <w:pPr>
        <w:ind w:firstLine="420" w:firstLineChars="200"/>
        <w:rPr>
          <w:color w:val="000000"/>
        </w:rPr>
      </w:pPr>
      <w:r>
        <w:rPr>
          <w:color w:val="000000"/>
          <w:szCs w:val="21"/>
        </w:rPr>
        <w:t>本文件起草单位：金龙精密铜管集团股份有限公司、江苏萃隆精密铜管股份有限公司、新乡市龙翔精密铜管有限公司、</w:t>
      </w:r>
      <w:r>
        <w:rPr>
          <w:rFonts w:hint="eastAsia"/>
          <w:color w:val="000000"/>
          <w:szCs w:val="21"/>
        </w:rPr>
        <w:t>广东</w:t>
      </w:r>
      <w:r>
        <w:rPr>
          <w:color w:val="000000"/>
          <w:szCs w:val="21"/>
        </w:rPr>
        <w:t>龙丰精密铜管有限公司、江苏隆达超合金股份有限公司、西安交通大学、山东恒辉节能技术集团有限公司</w:t>
      </w:r>
      <w:r>
        <w:rPr>
          <w:rFonts w:hint="eastAsia"/>
          <w:color w:val="000000"/>
          <w:szCs w:val="21"/>
        </w:rPr>
        <w:t>、桂林漓佳金属有限责任公司、</w:t>
      </w:r>
      <w:r>
        <w:rPr>
          <w:rFonts w:hint="eastAsia"/>
        </w:rPr>
        <w:t>绍兴鑫锐新材料科技有限公司、</w:t>
      </w:r>
      <w:r>
        <w:rPr>
          <w:rFonts w:hint="eastAsia"/>
          <w:color w:val="000000"/>
          <w:szCs w:val="21"/>
        </w:rPr>
        <w:t>珠海港隆金属有限公司</w:t>
      </w:r>
      <w:r>
        <w:rPr>
          <w:color w:val="000000"/>
          <w:szCs w:val="21"/>
        </w:rPr>
        <w:t>。</w:t>
      </w:r>
      <w:r>
        <w:rPr>
          <w:color w:val="000000"/>
          <w:szCs w:val="21"/>
        </w:rPr>
        <w:br w:type="textWrapping"/>
      </w:r>
      <w:r>
        <w:rPr>
          <w:rFonts w:hint="eastAsia"/>
          <w:color w:val="000000"/>
          <w:szCs w:val="21"/>
        </w:rPr>
        <w:t xml:space="preserve">    </w:t>
      </w:r>
      <w:r>
        <w:rPr>
          <w:color w:val="000000"/>
          <w:szCs w:val="21"/>
        </w:rPr>
        <w:t>本文件主要起草人：</w:t>
      </w:r>
      <w:r>
        <w:rPr>
          <w:rFonts w:hint="eastAsia"/>
          <w:color w:val="000000"/>
          <w:szCs w:val="21"/>
        </w:rPr>
        <w:t>黄明、李乐奇、王志军、张春明、李前方、</w:t>
      </w:r>
      <w:r>
        <w:rPr>
          <w:rFonts w:hint="eastAsia" w:hAnsi="宋体"/>
          <w:szCs w:val="21"/>
        </w:rPr>
        <w:t>吴嘉、</w:t>
      </w:r>
      <w:r>
        <w:rPr>
          <w:rFonts w:hint="eastAsia"/>
          <w:color w:val="000000"/>
          <w:szCs w:val="21"/>
        </w:rPr>
        <w:t>石淼、郭立全、周向东、冀文涛、李小利、朱红关、胡海龙、</w:t>
      </w:r>
      <w:r>
        <w:rPr>
          <w:rFonts w:hint="eastAsia" w:hAnsi="宋体"/>
          <w:szCs w:val="21"/>
        </w:rPr>
        <w:t>李普忠、唐永立、陈芳、张俊峰、陆雨涵、胡宽雨、莫兴德、韩秋水、</w:t>
      </w:r>
      <w:r>
        <w:rPr>
          <w:rFonts w:hint="eastAsia"/>
          <w:color w:val="000000"/>
          <w:szCs w:val="21"/>
        </w:rPr>
        <w:t>王向东、黄义园、李小波、</w:t>
      </w:r>
      <w:r>
        <w:rPr>
          <w:rFonts w:hint="eastAsia" w:hAnsi="宋体"/>
          <w:szCs w:val="21"/>
        </w:rPr>
        <w:t>陈亮、展光辉。</w:t>
      </w:r>
    </w:p>
    <w:p>
      <w:pPr>
        <w:ind w:firstLine="420" w:firstLineChars="200"/>
        <w:rPr>
          <w:color w:val="000000"/>
        </w:rPr>
      </w:pPr>
      <w:r>
        <w:rPr>
          <w:color w:val="000000"/>
        </w:rPr>
        <w:t>本文件</w:t>
      </w:r>
      <w:bookmarkStart w:id="8" w:name="_Hlk151107764"/>
      <w:r>
        <w:rPr>
          <w:color w:val="000000"/>
        </w:rPr>
        <w:t>2004年首次发布为GB/T 19447-2004</w:t>
      </w:r>
      <w:bookmarkEnd w:id="8"/>
      <w:r>
        <w:rPr>
          <w:color w:val="000000"/>
        </w:rPr>
        <w:t>，2013年第一次修订，本次为第二次修订。</w:t>
      </w:r>
    </w:p>
    <w:p>
      <w:pPr>
        <w:rPr>
          <w:strike/>
          <w:color w:val="000000"/>
        </w:rPr>
      </w:pPr>
    </w:p>
    <w:p>
      <w:pPr>
        <w:rPr>
          <w:strike/>
          <w:color w:val="000000"/>
        </w:rPr>
      </w:pPr>
    </w:p>
    <w:p>
      <w:pPr>
        <w:rPr>
          <w:color w:val="000000"/>
        </w:rPr>
      </w:pPr>
    </w:p>
    <w:p>
      <w:pPr>
        <w:rPr>
          <w:color w:val="000000"/>
        </w:rPr>
      </w:pPr>
    </w:p>
    <w:p>
      <w:pPr>
        <w:rPr>
          <w:color w:val="000000"/>
        </w:rPr>
      </w:pPr>
    </w:p>
    <w:p>
      <w:pPr>
        <w:jc w:val="center"/>
        <w:rPr>
          <w:b/>
          <w:color w:val="000000"/>
          <w:sz w:val="28"/>
          <w:szCs w:val="28"/>
        </w:rPr>
      </w:pPr>
    </w:p>
    <w:p>
      <w:pPr>
        <w:jc w:val="center"/>
        <w:rPr>
          <w:b/>
          <w:color w:val="000000"/>
          <w:sz w:val="28"/>
          <w:szCs w:val="28"/>
        </w:rPr>
      </w:pPr>
    </w:p>
    <w:p>
      <w:pPr>
        <w:jc w:val="center"/>
        <w:rPr>
          <w:b/>
          <w:color w:val="000000"/>
          <w:sz w:val="28"/>
          <w:szCs w:val="28"/>
        </w:rPr>
        <w:sectPr>
          <w:footerReference r:id="rId9" w:type="first"/>
          <w:footerReference r:id="rId8" w:type="default"/>
          <w:pgSz w:w="11906" w:h="16838"/>
          <w:pgMar w:top="1134" w:right="1134" w:bottom="1247" w:left="1418" w:header="851" w:footer="992" w:gutter="0"/>
          <w:pgNumType w:fmt="upperRoman" w:start="1"/>
          <w:cols w:space="425" w:num="1"/>
          <w:titlePg/>
          <w:docGrid w:type="lines" w:linePitch="312" w:charSpace="0"/>
        </w:sectPr>
      </w:pPr>
    </w:p>
    <w:p>
      <w:pPr>
        <w:jc w:val="center"/>
        <w:rPr>
          <w:rFonts w:eastAsia="黑体"/>
          <w:bCs/>
          <w:color w:val="000000"/>
          <w:sz w:val="32"/>
          <w:szCs w:val="32"/>
        </w:rPr>
      </w:pPr>
      <w:r>
        <w:rPr>
          <w:rFonts w:hint="eastAsia" w:eastAsia="黑体"/>
          <w:bCs/>
          <w:color w:val="000000"/>
          <w:sz w:val="32"/>
          <w:szCs w:val="32"/>
        </w:rPr>
        <w:t>热交换器用铜及铜合金无缝翅片管</w:t>
      </w:r>
    </w:p>
    <w:p>
      <w:pPr>
        <w:jc w:val="center"/>
        <w:rPr>
          <w:rFonts w:eastAsia="黑体"/>
          <w:b/>
          <w:color w:val="000000"/>
          <w:sz w:val="32"/>
          <w:szCs w:val="32"/>
        </w:rPr>
      </w:pPr>
    </w:p>
    <w:p>
      <w:pPr>
        <w:pStyle w:val="56"/>
        <w:numPr>
          <w:ilvl w:val="0"/>
          <w:numId w:val="2"/>
        </w:numPr>
        <w:ind w:firstLineChars="0"/>
        <w:rPr>
          <w:rFonts w:eastAsia="黑体"/>
          <w:bCs/>
          <w:color w:val="000000"/>
        </w:rPr>
      </w:pPr>
      <w:r>
        <w:rPr>
          <w:rFonts w:eastAsia="黑体"/>
          <w:bCs/>
          <w:color w:val="000000"/>
        </w:rPr>
        <w:t>范围</w:t>
      </w:r>
    </w:p>
    <w:p>
      <w:pPr>
        <w:ind w:firstLine="420" w:firstLineChars="200"/>
        <w:rPr>
          <w:color w:val="000000"/>
        </w:rPr>
      </w:pPr>
      <w:r>
        <w:rPr>
          <w:color w:val="000000"/>
        </w:rPr>
        <w:t>本文件规定了热交换器用铜及铜合金无缝翅片管（以下简称管材）的分类和标记、技术要求、试验方法、检验规则、标志、包装、运输、贮存及随行文件和订货单</w:t>
      </w:r>
      <w:r>
        <w:rPr>
          <w:color w:val="000000"/>
          <w:szCs w:val="21"/>
        </w:rPr>
        <w:t>内容。</w:t>
      </w:r>
    </w:p>
    <w:p>
      <w:pPr>
        <w:ind w:firstLine="420" w:firstLineChars="200"/>
        <w:rPr>
          <w:color w:val="000000"/>
        </w:rPr>
      </w:pPr>
      <w:r>
        <w:rPr>
          <w:color w:val="000000"/>
        </w:rPr>
        <w:t>本文件适用于热交换器用翅片高度不大于4mm整体外螺旋形翅片的铜及铜合金无缝管。</w:t>
      </w:r>
    </w:p>
    <w:p>
      <w:pPr>
        <w:rPr>
          <w:b/>
          <w:color w:val="000000"/>
        </w:rPr>
      </w:pPr>
    </w:p>
    <w:p>
      <w:pPr>
        <w:pStyle w:val="56"/>
        <w:numPr>
          <w:ilvl w:val="0"/>
          <w:numId w:val="2"/>
        </w:numPr>
        <w:ind w:firstLineChars="0"/>
        <w:rPr>
          <w:rFonts w:eastAsia="黑体"/>
          <w:bCs/>
          <w:color w:val="000000"/>
        </w:rPr>
      </w:pPr>
      <w:r>
        <w:rPr>
          <w:rFonts w:eastAsia="黑体"/>
          <w:bCs/>
          <w:color w:val="000000"/>
        </w:rPr>
        <w:t>规范性引用文件</w:t>
      </w:r>
    </w:p>
    <w:p>
      <w:pPr>
        <w:ind w:firstLine="420"/>
        <w:rPr>
          <w:color w:val="000000"/>
          <w:spacing w:val="-2"/>
          <w:szCs w:val="21"/>
        </w:rPr>
      </w:pPr>
      <w:r>
        <w:rPr>
          <w:bCs/>
          <w:szCs w:val="21"/>
        </w:rPr>
        <w:t>下列文件中的内容通过文中的规范性引用而构成本文件必不可少的条款。其中，注日期的引用文件，仅该日期对应的版本适用于本文件；不注日期的引用文件，其最新版本（包括所有的更改单）适用于本文件</w:t>
      </w:r>
      <w:r>
        <w:rPr>
          <w:color w:val="000000"/>
        </w:rPr>
        <w:t>。</w:t>
      </w:r>
    </w:p>
    <w:p>
      <w:pPr>
        <w:tabs>
          <w:tab w:val="left" w:pos="7380"/>
        </w:tabs>
        <w:ind w:firstLine="457" w:firstLineChars="218"/>
        <w:rPr>
          <w:color w:val="000000"/>
        </w:rPr>
      </w:pPr>
      <w:bookmarkStart w:id="9" w:name="OLE_LINK3"/>
      <w:bookmarkStart w:id="10" w:name="OLE_LINK2"/>
      <w:r>
        <w:rPr>
          <w:color w:val="000000"/>
        </w:rPr>
        <w:t>GB/T 241金属材料</w:t>
      </w:r>
      <w:r>
        <w:rPr>
          <w:rFonts w:hint="eastAsia"/>
          <w:color w:val="000000"/>
        </w:rPr>
        <w:t xml:space="preserve"> </w:t>
      </w:r>
      <w:r>
        <w:rPr>
          <w:color w:val="000000"/>
        </w:rPr>
        <w:t>管</w:t>
      </w:r>
      <w:r>
        <w:rPr>
          <w:rFonts w:hint="eastAsia"/>
          <w:color w:val="000000"/>
        </w:rPr>
        <w:t xml:space="preserve"> </w:t>
      </w:r>
      <w:r>
        <w:rPr>
          <w:color w:val="000000"/>
        </w:rPr>
        <w:t>液压试验方法</w:t>
      </w:r>
      <w:bookmarkEnd w:id="9"/>
      <w:bookmarkEnd w:id="10"/>
    </w:p>
    <w:p>
      <w:pPr>
        <w:ind w:firstLine="457" w:firstLineChars="218"/>
        <w:rPr>
          <w:color w:val="000000"/>
        </w:rPr>
      </w:pPr>
      <w:bookmarkStart w:id="11" w:name="OLE_LINK4"/>
      <w:bookmarkStart w:id="12" w:name="OLE_LINK5"/>
      <w:bookmarkStart w:id="13" w:name="OLE_LINK6"/>
      <w:r>
        <w:rPr>
          <w:color w:val="000000"/>
        </w:rPr>
        <w:t>GB/T 242</w:t>
      </w:r>
      <w:bookmarkEnd w:id="11"/>
      <w:bookmarkEnd w:id="12"/>
      <w:r>
        <w:rPr>
          <w:color w:val="000000"/>
        </w:rPr>
        <w:t>金属管</w:t>
      </w:r>
      <w:r>
        <w:rPr>
          <w:rFonts w:hint="eastAsia"/>
          <w:color w:val="000000"/>
        </w:rPr>
        <w:t xml:space="preserve"> </w:t>
      </w:r>
      <w:r>
        <w:rPr>
          <w:color w:val="000000"/>
        </w:rPr>
        <w:t>扩口试验方法</w:t>
      </w:r>
      <w:bookmarkEnd w:id="13"/>
    </w:p>
    <w:p>
      <w:pPr>
        <w:ind w:firstLine="457" w:firstLineChars="218"/>
        <w:rPr>
          <w:color w:val="000000"/>
        </w:rPr>
      </w:pPr>
      <w:bookmarkStart w:id="14" w:name="OLE_LINK7"/>
      <w:r>
        <w:rPr>
          <w:color w:val="000000"/>
        </w:rPr>
        <w:t>GB/T 246金属材料</w:t>
      </w:r>
      <w:r>
        <w:rPr>
          <w:rFonts w:hint="eastAsia"/>
          <w:color w:val="000000"/>
        </w:rPr>
        <w:t xml:space="preserve"> </w:t>
      </w:r>
      <w:r>
        <w:rPr>
          <w:color w:val="000000"/>
        </w:rPr>
        <w:t>管</w:t>
      </w:r>
      <w:r>
        <w:rPr>
          <w:rFonts w:hint="eastAsia"/>
          <w:color w:val="000000"/>
        </w:rPr>
        <w:t xml:space="preserve"> </w:t>
      </w:r>
      <w:r>
        <w:rPr>
          <w:color w:val="000000"/>
        </w:rPr>
        <w:t>压扁试验方法</w:t>
      </w:r>
      <w:bookmarkEnd w:id="14"/>
    </w:p>
    <w:p>
      <w:pPr>
        <w:ind w:firstLine="457" w:firstLineChars="218"/>
        <w:rPr>
          <w:color w:val="000000"/>
        </w:rPr>
      </w:pPr>
      <w:r>
        <w:rPr>
          <w:color w:val="000000"/>
        </w:rPr>
        <w:t>GB/T 2828.1 计数抽样检验程序</w:t>
      </w:r>
      <w:r>
        <w:rPr>
          <w:rFonts w:hint="eastAsia"/>
          <w:color w:val="000000"/>
        </w:rPr>
        <w:t xml:space="preserve"> </w:t>
      </w:r>
      <w:r>
        <w:rPr>
          <w:color w:val="000000"/>
        </w:rPr>
        <w:t>第1部分：按接受质量限（AQL）检索的逐批检验抽样计划</w:t>
      </w:r>
    </w:p>
    <w:p>
      <w:pPr>
        <w:ind w:firstLine="457" w:firstLineChars="218"/>
        <w:rPr>
          <w:color w:val="000000"/>
        </w:rPr>
      </w:pPr>
      <w:bookmarkStart w:id="15" w:name="OLE_LINK9"/>
      <w:bookmarkStart w:id="16" w:name="OLE_LINK8"/>
      <w:r>
        <w:rPr>
          <w:color w:val="000000"/>
        </w:rPr>
        <w:t>GB/T 4340.1金属材料</w:t>
      </w:r>
      <w:r>
        <w:rPr>
          <w:rFonts w:hint="eastAsia"/>
          <w:color w:val="000000"/>
        </w:rPr>
        <w:t xml:space="preserve"> </w:t>
      </w:r>
      <w:r>
        <w:rPr>
          <w:color w:val="000000"/>
        </w:rPr>
        <w:t>维氏硬度试验</w:t>
      </w:r>
      <w:bookmarkEnd w:id="15"/>
      <w:bookmarkEnd w:id="16"/>
      <w:r>
        <w:rPr>
          <w:rFonts w:hint="eastAsia"/>
          <w:color w:val="000000"/>
        </w:rPr>
        <w:t xml:space="preserve"> </w:t>
      </w:r>
      <w:r>
        <w:rPr>
          <w:color w:val="000000"/>
        </w:rPr>
        <w:t>第1部分：试验方法</w:t>
      </w:r>
    </w:p>
    <w:p>
      <w:pPr>
        <w:ind w:firstLine="457" w:firstLineChars="218"/>
        <w:rPr>
          <w:color w:val="000000"/>
        </w:rPr>
      </w:pPr>
      <w:r>
        <w:rPr>
          <w:color w:val="000000"/>
        </w:rPr>
        <w:t>GB/T 5121（所有部分）铜及铜合金化学分析方法</w:t>
      </w:r>
    </w:p>
    <w:p>
      <w:pPr>
        <w:ind w:firstLine="457" w:firstLineChars="218"/>
        <w:rPr>
          <w:color w:val="000000"/>
        </w:rPr>
      </w:pPr>
      <w:r>
        <w:rPr>
          <w:color w:val="000000"/>
        </w:rPr>
        <w:t>GB/T 5231加工铜及铜合金牌号和化学成分</w:t>
      </w:r>
    </w:p>
    <w:p>
      <w:pPr>
        <w:ind w:firstLine="457" w:firstLineChars="218"/>
        <w:rPr>
          <w:color w:val="000000"/>
        </w:rPr>
      </w:pPr>
      <w:r>
        <w:rPr>
          <w:color w:val="000000"/>
        </w:rPr>
        <w:t>GB/T 5248铜及铜合金无缝管涡流探伤方法</w:t>
      </w:r>
    </w:p>
    <w:p>
      <w:pPr>
        <w:ind w:firstLine="457" w:firstLineChars="218"/>
        <w:rPr>
          <w:color w:val="000000"/>
        </w:rPr>
      </w:pPr>
      <w:bookmarkStart w:id="17" w:name="OLE_LINK10"/>
      <w:bookmarkStart w:id="18" w:name="OLE_LINK11"/>
      <w:r>
        <w:rPr>
          <w:color w:val="000000"/>
        </w:rPr>
        <w:t>GB/T 8888重有色金属加工产品的包装</w:t>
      </w:r>
      <w:bookmarkEnd w:id="17"/>
      <w:bookmarkEnd w:id="18"/>
      <w:r>
        <w:rPr>
          <w:color w:val="000000"/>
        </w:rPr>
        <w:t>、标志、运输、贮存和质量证明书</w:t>
      </w:r>
    </w:p>
    <w:p>
      <w:pPr>
        <w:ind w:firstLine="457" w:firstLineChars="218"/>
        <w:rPr>
          <w:color w:val="000000"/>
        </w:rPr>
      </w:pPr>
      <w:r>
        <w:rPr>
          <w:color w:val="000000"/>
        </w:rPr>
        <w:t>GB/T 16866铜及铜合金无缝管材外形尺寸和</w:t>
      </w:r>
      <w:r>
        <w:t>允许</w:t>
      </w:r>
      <w:r>
        <w:rPr>
          <w:color w:val="000000"/>
        </w:rPr>
        <w:t>偏差</w:t>
      </w:r>
    </w:p>
    <w:p>
      <w:pPr>
        <w:ind w:firstLine="457" w:firstLineChars="218"/>
        <w:rPr>
          <w:color w:val="000000"/>
        </w:rPr>
      </w:pPr>
      <w:bookmarkStart w:id="19" w:name="OLE_LINK15"/>
      <w:r>
        <w:rPr>
          <w:color w:val="000000"/>
        </w:rPr>
        <w:t>GB/T 26303.1 铜及铜合金加工材外形尺寸检验方法</w:t>
      </w:r>
      <w:bookmarkEnd w:id="19"/>
      <w:r>
        <w:rPr>
          <w:rFonts w:hint="eastAsia"/>
          <w:color w:val="000000"/>
        </w:rPr>
        <w:t xml:space="preserve"> </w:t>
      </w:r>
      <w:r>
        <w:rPr>
          <w:color w:val="000000"/>
        </w:rPr>
        <w:t>第1部分</w:t>
      </w:r>
      <w:r>
        <w:rPr>
          <w:rFonts w:hint="eastAsia"/>
          <w:color w:val="000000"/>
        </w:rPr>
        <w:t>：</w:t>
      </w:r>
      <w:r>
        <w:rPr>
          <w:color w:val="000000"/>
        </w:rPr>
        <w:t>管材</w:t>
      </w:r>
    </w:p>
    <w:p>
      <w:pPr>
        <w:tabs>
          <w:tab w:val="left" w:pos="7380"/>
        </w:tabs>
        <w:ind w:firstLine="457" w:firstLineChars="218"/>
        <w:rPr>
          <w:color w:val="000000"/>
        </w:rPr>
      </w:pPr>
      <w:bookmarkStart w:id="20" w:name="OLE_LINK16"/>
      <w:r>
        <w:rPr>
          <w:color w:val="000000"/>
        </w:rPr>
        <w:t>GB/T 34505 铜及铜合金材料</w:t>
      </w:r>
      <w:r>
        <w:rPr>
          <w:rFonts w:hint="eastAsia"/>
          <w:color w:val="000000"/>
        </w:rPr>
        <w:t xml:space="preserve"> </w:t>
      </w:r>
      <w:r>
        <w:rPr>
          <w:color w:val="000000"/>
        </w:rPr>
        <w:t>室温拉伸试验方法</w:t>
      </w:r>
      <w:bookmarkEnd w:id="20"/>
    </w:p>
    <w:p>
      <w:pPr>
        <w:ind w:firstLine="457" w:firstLineChars="218"/>
        <w:rPr>
          <w:color w:val="000000"/>
        </w:rPr>
      </w:pPr>
      <w:r>
        <w:rPr>
          <w:color w:val="000000"/>
        </w:rPr>
        <w:t>NB/T 47012—2020 制冷装置用压力容器</w:t>
      </w:r>
      <w:bookmarkStart w:id="21" w:name="OLE_LINK20"/>
      <w:bookmarkStart w:id="22" w:name="OLE_LINK18"/>
      <w:bookmarkStart w:id="23" w:name="OLE_LINK17"/>
      <w:bookmarkStart w:id="24" w:name="OLE_LINK19"/>
    </w:p>
    <w:p>
      <w:pPr>
        <w:ind w:firstLine="457" w:firstLineChars="218"/>
        <w:rPr>
          <w:color w:val="000000"/>
        </w:rPr>
      </w:pPr>
      <w:r>
        <w:rPr>
          <w:color w:val="000000"/>
        </w:rPr>
        <w:t>YS/T 347</w:t>
      </w:r>
      <w:bookmarkEnd w:id="21"/>
      <w:bookmarkEnd w:id="22"/>
      <w:bookmarkEnd w:id="23"/>
      <w:bookmarkEnd w:id="24"/>
      <w:r>
        <w:rPr>
          <w:color w:val="000000"/>
        </w:rPr>
        <w:t>铜及铜合金平均晶粒度测定方法</w:t>
      </w:r>
    </w:p>
    <w:p>
      <w:pPr>
        <w:ind w:firstLine="457" w:firstLineChars="218"/>
        <w:rPr>
          <w:color w:val="000000"/>
        </w:rPr>
      </w:pPr>
      <w:bookmarkStart w:id="25" w:name="OLE_LINK21"/>
      <w:r>
        <w:rPr>
          <w:color w:val="000000"/>
        </w:rPr>
        <w:t xml:space="preserve">YS/T 482 </w:t>
      </w:r>
      <w:bookmarkEnd w:id="25"/>
      <w:r>
        <w:rPr>
          <w:color w:val="000000"/>
        </w:rPr>
        <w:t>铜及铜合金分析方法</w:t>
      </w:r>
      <w:r>
        <w:rPr>
          <w:rFonts w:hint="eastAsia"/>
          <w:color w:val="000000"/>
        </w:rPr>
        <w:t xml:space="preserve"> </w:t>
      </w:r>
      <w:r>
        <w:rPr>
          <w:color w:val="000000"/>
        </w:rPr>
        <w:t>火花放电原子发射光谱法</w:t>
      </w:r>
    </w:p>
    <w:p>
      <w:pPr>
        <w:ind w:firstLine="457" w:firstLineChars="218"/>
        <w:rPr>
          <w:b/>
          <w:bCs/>
          <w:color w:val="000000"/>
        </w:rPr>
      </w:pPr>
      <w:r>
        <w:rPr>
          <w:color w:val="000000"/>
        </w:rPr>
        <w:t>YS/T 483铜及铜合金分析方法</w:t>
      </w:r>
      <w:r>
        <w:rPr>
          <w:rFonts w:hint="eastAsia"/>
          <w:color w:val="000000"/>
        </w:rPr>
        <w:t xml:space="preserve"> </w:t>
      </w:r>
      <w:r>
        <w:rPr>
          <w:color w:val="000000"/>
        </w:rPr>
        <w:t>X射线荧光光谱法（波长色散型）</w:t>
      </w:r>
    </w:p>
    <w:p>
      <w:pPr>
        <w:ind w:firstLine="457" w:firstLineChars="218"/>
        <w:rPr>
          <w:color w:val="000000"/>
        </w:rPr>
      </w:pPr>
      <w:bookmarkStart w:id="26" w:name="OLE_LINK12"/>
      <w:bookmarkStart w:id="27" w:name="OLE_LINK88"/>
      <w:bookmarkStart w:id="28" w:name="OLE_LINK87"/>
      <w:r>
        <w:rPr>
          <w:rFonts w:hint="eastAsia"/>
          <w:color w:val="000000"/>
        </w:rPr>
        <w:t>YS/T 1578</w:t>
      </w:r>
      <w:bookmarkEnd w:id="26"/>
      <w:r>
        <w:rPr>
          <w:rFonts w:hint="eastAsia"/>
          <w:color w:val="000000"/>
        </w:rPr>
        <w:t xml:space="preserve"> 铜及铜合金无缝管 残余应力测试方法 切割法</w:t>
      </w:r>
    </w:p>
    <w:bookmarkEnd w:id="27"/>
    <w:bookmarkEnd w:id="28"/>
    <w:p>
      <w:pPr>
        <w:ind w:firstLine="457" w:firstLineChars="218"/>
        <w:rPr>
          <w:color w:val="000000"/>
        </w:rPr>
      </w:pPr>
      <w:bookmarkStart w:id="29" w:name="OLE_LINK22"/>
      <w:r>
        <w:rPr>
          <w:color w:val="000000"/>
        </w:rPr>
        <w:t>YS/T 1656铜及铜合金管传热系数及阻力特性试验方法</w:t>
      </w:r>
      <w:bookmarkEnd w:id="29"/>
    </w:p>
    <w:p>
      <w:pPr>
        <w:rPr>
          <w:rFonts w:eastAsia="黑体"/>
          <w:bCs/>
          <w:color w:val="000000"/>
        </w:rPr>
      </w:pPr>
    </w:p>
    <w:p>
      <w:pPr>
        <w:pStyle w:val="56"/>
        <w:numPr>
          <w:ilvl w:val="0"/>
          <w:numId w:val="2"/>
        </w:numPr>
        <w:ind w:firstLineChars="0"/>
        <w:rPr>
          <w:rFonts w:eastAsia="黑体"/>
          <w:bCs/>
          <w:color w:val="000000"/>
        </w:rPr>
      </w:pPr>
      <w:r>
        <w:rPr>
          <w:rFonts w:eastAsia="黑体"/>
          <w:bCs/>
          <w:color w:val="000000"/>
        </w:rPr>
        <w:t>术语和定义</w:t>
      </w:r>
    </w:p>
    <w:p>
      <w:pPr>
        <w:ind w:firstLine="420" w:firstLineChars="200"/>
        <w:rPr>
          <w:bCs/>
          <w:color w:val="000000"/>
        </w:rPr>
      </w:pPr>
      <w:r>
        <w:rPr>
          <w:bCs/>
          <w:color w:val="000000"/>
        </w:rPr>
        <w:t>GB/T 11086界定的以及下列术语和定义适用于本文件。</w:t>
      </w:r>
    </w:p>
    <w:p>
      <w:pPr>
        <w:rPr>
          <w:rFonts w:hint="eastAsia" w:ascii="黑体" w:hAnsi="黑体" w:eastAsia="黑体" w:cs="黑体"/>
          <w:bCs/>
          <w:color w:val="000000"/>
        </w:rPr>
      </w:pPr>
      <w:r>
        <w:rPr>
          <w:rFonts w:hint="eastAsia" w:ascii="黑体" w:hAnsi="黑体" w:eastAsia="黑体" w:cs="黑体"/>
          <w:bCs/>
          <w:color w:val="000000"/>
        </w:rPr>
        <w:t>3.1</w:t>
      </w:r>
    </w:p>
    <w:p>
      <w:pPr>
        <w:ind w:firstLine="420" w:firstLineChars="200"/>
        <w:rPr>
          <w:rFonts w:hint="eastAsia" w:ascii="黑体" w:hAnsi="黑体" w:eastAsia="黑体" w:cs="黑体"/>
          <w:bCs/>
          <w:color w:val="000000"/>
        </w:rPr>
      </w:pPr>
      <w:r>
        <w:rPr>
          <w:rFonts w:hint="eastAsia" w:ascii="黑体" w:hAnsi="黑体" w:eastAsia="黑体" w:cs="黑体"/>
          <w:bCs/>
          <w:color w:val="000000"/>
        </w:rPr>
        <w:t>光管段</w:t>
      </w:r>
      <w:r>
        <w:rPr>
          <w:rFonts w:hint="eastAsia"/>
        </w:rPr>
        <w:t>p</w:t>
      </w:r>
      <w:r>
        <w:t xml:space="preserve">lain </w:t>
      </w:r>
      <w:r>
        <w:rPr>
          <w:rFonts w:hint="eastAsia"/>
        </w:rPr>
        <w:t>e</w:t>
      </w:r>
      <w:r>
        <w:t>nd</w:t>
      </w:r>
    </w:p>
    <w:p>
      <w:pPr>
        <w:ind w:firstLine="420"/>
        <w:rPr>
          <w:rFonts w:hint="eastAsia" w:ascii="宋体" w:hAnsi="宋体" w:cs="黑体"/>
          <w:bCs/>
          <w:color w:val="000000"/>
        </w:rPr>
      </w:pPr>
      <w:r>
        <w:rPr>
          <w:rFonts w:hint="eastAsia" w:ascii="宋体" w:hAnsi="宋体" w:cs="黑体"/>
          <w:bCs/>
          <w:color w:val="000000"/>
        </w:rPr>
        <w:t>翅片管前后两端未加工的部分。</w:t>
      </w:r>
    </w:p>
    <w:p>
      <w:pPr>
        <w:ind w:firstLine="420"/>
        <w:rPr>
          <w:rFonts w:hint="eastAsia" w:ascii="宋体" w:hAnsi="宋体" w:cs="黑体"/>
          <w:bCs/>
          <w:color w:val="000000"/>
        </w:rPr>
      </w:pPr>
      <w:bookmarkStart w:id="30" w:name="OLE_LINK42"/>
      <w:bookmarkStart w:id="31" w:name="OLE_LINK47"/>
      <w:r>
        <w:rPr>
          <w:rFonts w:hint="eastAsia" w:ascii="黑体" w:hAnsi="黑体" w:eastAsia="黑体" w:cs="黑体"/>
          <w:bCs/>
          <w:color w:val="000000"/>
        </w:rPr>
        <w:t>注：</w:t>
      </w:r>
      <w:r>
        <w:rPr>
          <w:rFonts w:hint="eastAsia" w:ascii="宋体" w:hAnsi="宋体" w:cs="黑体"/>
          <w:bCs/>
          <w:color w:val="000000"/>
        </w:rPr>
        <w:t>光管段长度由管端到第一个</w:t>
      </w:r>
      <w:bookmarkStart w:id="32" w:name="OLE_LINK49"/>
      <w:bookmarkStart w:id="33" w:name="OLE_LINK48"/>
      <w:r>
        <w:rPr>
          <w:rFonts w:hint="eastAsia" w:ascii="宋体" w:hAnsi="宋体" w:cs="黑体"/>
          <w:bCs/>
          <w:color w:val="000000"/>
        </w:rPr>
        <w:t>翅片压痕测的长度所测得</w:t>
      </w:r>
      <w:bookmarkEnd w:id="32"/>
      <w:bookmarkEnd w:id="33"/>
      <w:r>
        <w:rPr>
          <w:rFonts w:hint="eastAsia" w:ascii="宋体" w:hAnsi="宋体" w:cs="黑体"/>
          <w:bCs/>
          <w:color w:val="000000"/>
        </w:rPr>
        <w:t>。</w:t>
      </w:r>
    </w:p>
    <w:bookmarkEnd w:id="30"/>
    <w:bookmarkEnd w:id="31"/>
    <w:p>
      <w:pPr>
        <w:rPr>
          <w:rFonts w:hint="eastAsia" w:ascii="黑体" w:hAnsi="黑体" w:eastAsia="黑体" w:cs="黑体"/>
          <w:bCs/>
          <w:color w:val="000000"/>
        </w:rPr>
      </w:pPr>
      <w:r>
        <w:rPr>
          <w:rFonts w:hint="eastAsia" w:ascii="黑体" w:hAnsi="黑体" w:eastAsia="黑体" w:cs="黑体"/>
          <w:bCs/>
          <w:color w:val="000000"/>
        </w:rPr>
        <w:t>3.2</w:t>
      </w:r>
    </w:p>
    <w:p>
      <w:pPr>
        <w:ind w:firstLine="420" w:firstLineChars="200"/>
        <w:rPr>
          <w:rFonts w:hint="eastAsia" w:ascii="黑体" w:hAnsi="黑体" w:eastAsia="黑体" w:cs="黑体"/>
          <w:bCs/>
          <w:color w:val="000000"/>
        </w:rPr>
      </w:pPr>
      <w:r>
        <w:rPr>
          <w:rFonts w:hint="eastAsia" w:ascii="黑体" w:hAnsi="黑体" w:eastAsia="黑体" w:cs="黑体"/>
          <w:bCs/>
          <w:color w:val="000000"/>
        </w:rPr>
        <w:t>成翅段 fined</w:t>
      </w:r>
      <w:r>
        <w:rPr>
          <w:rFonts w:ascii="黑体" w:hAnsi="黑体" w:eastAsia="黑体" w:cs="黑体"/>
          <w:bCs/>
          <w:color w:val="000000"/>
        </w:rPr>
        <w:t xml:space="preserve"> </w:t>
      </w:r>
      <w:r>
        <w:rPr>
          <w:rFonts w:hint="eastAsia" w:ascii="黑体" w:hAnsi="黑体" w:eastAsia="黑体" w:cs="黑体"/>
          <w:bCs/>
          <w:color w:val="000000"/>
        </w:rPr>
        <w:t>section</w:t>
      </w:r>
    </w:p>
    <w:p>
      <w:pPr>
        <w:ind w:firstLine="420"/>
        <w:rPr>
          <w:rFonts w:hint="eastAsia" w:ascii="宋体" w:hAnsi="宋体" w:cs="黑体"/>
          <w:bCs/>
          <w:color w:val="000000"/>
        </w:rPr>
      </w:pPr>
      <w:r>
        <w:rPr>
          <w:rFonts w:hint="eastAsia" w:ascii="宋体" w:hAnsi="宋体" w:cs="黑体"/>
          <w:bCs/>
          <w:color w:val="000000"/>
        </w:rPr>
        <w:t>翅片管翅片完全成型的部分。</w:t>
      </w:r>
    </w:p>
    <w:p>
      <w:pPr>
        <w:ind w:firstLine="420"/>
        <w:rPr>
          <w:rFonts w:hint="eastAsia" w:ascii="宋体" w:hAnsi="宋体" w:cs="黑体"/>
          <w:bCs/>
          <w:color w:val="000000"/>
        </w:rPr>
      </w:pPr>
      <w:r>
        <w:rPr>
          <w:rFonts w:hint="eastAsia" w:ascii="黑体" w:hAnsi="黑体" w:eastAsia="黑体" w:cs="黑体"/>
          <w:bCs/>
          <w:color w:val="000000"/>
        </w:rPr>
        <w:t>注：</w:t>
      </w:r>
      <w:r>
        <w:rPr>
          <w:rFonts w:hint="eastAsia" w:ascii="宋体" w:hAnsi="宋体" w:cs="黑体"/>
          <w:bCs/>
          <w:color w:val="000000"/>
        </w:rPr>
        <w:t>成翅段长度由第一完全成型翅片到最后一个完全成型翅片的长度所测得。</w:t>
      </w:r>
    </w:p>
    <w:p>
      <w:pPr>
        <w:rPr>
          <w:rFonts w:hint="eastAsia" w:ascii="黑体" w:hAnsi="黑体" w:eastAsia="黑体" w:cs="黑体"/>
          <w:bCs/>
          <w:color w:val="000000"/>
        </w:rPr>
      </w:pPr>
      <w:r>
        <w:rPr>
          <w:rFonts w:hint="eastAsia" w:ascii="黑体" w:hAnsi="黑体" w:eastAsia="黑体" w:cs="黑体"/>
          <w:bCs/>
          <w:color w:val="000000"/>
        </w:rPr>
        <w:t>3.3</w:t>
      </w:r>
    </w:p>
    <w:p>
      <w:pPr>
        <w:ind w:firstLine="420" w:firstLineChars="200"/>
        <w:rPr>
          <w:rFonts w:hint="eastAsia" w:ascii="黑体" w:hAnsi="黑体" w:eastAsia="黑体" w:cs="黑体"/>
          <w:bCs/>
          <w:color w:val="000000"/>
        </w:rPr>
      </w:pPr>
      <w:r>
        <w:rPr>
          <w:rFonts w:hint="eastAsia" w:ascii="黑体" w:hAnsi="黑体" w:eastAsia="黑体" w:cs="黑体"/>
          <w:bCs/>
          <w:color w:val="000000"/>
        </w:rPr>
        <w:t>过渡段 transition</w:t>
      </w:r>
      <w:r>
        <w:rPr>
          <w:rFonts w:ascii="黑体" w:hAnsi="黑体" w:eastAsia="黑体" w:cs="黑体"/>
          <w:bCs/>
          <w:color w:val="000000"/>
        </w:rPr>
        <w:t xml:space="preserve"> </w:t>
      </w:r>
      <w:r>
        <w:rPr>
          <w:rFonts w:hint="eastAsia" w:ascii="黑体" w:hAnsi="黑体" w:eastAsia="黑体" w:cs="黑体"/>
          <w:bCs/>
          <w:color w:val="000000"/>
        </w:rPr>
        <w:t>section</w:t>
      </w:r>
    </w:p>
    <w:p>
      <w:pPr>
        <w:ind w:firstLine="420"/>
        <w:rPr>
          <w:rFonts w:hint="eastAsia" w:ascii="宋体" w:hAnsi="宋体" w:cs="黑体"/>
          <w:bCs/>
          <w:color w:val="000000"/>
        </w:rPr>
      </w:pPr>
      <w:r>
        <w:rPr>
          <w:rFonts w:hint="eastAsia" w:ascii="宋体" w:hAnsi="宋体" w:cs="黑体"/>
          <w:bCs/>
          <w:color w:val="000000"/>
        </w:rPr>
        <w:t>翅片段与光管段之间的部分，是连接光管段和成翅段衔接的部分。</w:t>
      </w:r>
    </w:p>
    <w:p>
      <w:pPr>
        <w:ind w:firstLine="420"/>
        <w:rPr>
          <w:rFonts w:hint="eastAsia" w:ascii="宋体" w:hAnsi="宋体" w:cs="黑体"/>
          <w:bCs/>
          <w:color w:val="000000"/>
        </w:rPr>
      </w:pPr>
      <w:r>
        <w:rPr>
          <w:rFonts w:hint="eastAsia" w:ascii="黑体" w:hAnsi="黑体" w:eastAsia="黑体" w:cs="黑体"/>
          <w:bCs/>
          <w:color w:val="000000"/>
        </w:rPr>
        <w:t>注：</w:t>
      </w:r>
      <w:r>
        <w:rPr>
          <w:rFonts w:hint="eastAsia" w:ascii="宋体" w:hAnsi="宋体" w:cs="黑体"/>
          <w:bCs/>
          <w:color w:val="000000"/>
        </w:rPr>
        <w:t>过渡段长度由第一个翅片压痕测到翅片完全成型的长度所测得。</w:t>
      </w:r>
    </w:p>
    <w:p>
      <w:pPr>
        <w:rPr>
          <w:rFonts w:hint="eastAsia" w:ascii="黑体" w:hAnsi="黑体" w:eastAsia="黑体" w:cs="黑体"/>
          <w:bCs/>
          <w:color w:val="000000"/>
        </w:rPr>
      </w:pPr>
      <w:r>
        <w:rPr>
          <w:rFonts w:hint="eastAsia" w:ascii="黑体" w:hAnsi="黑体" w:eastAsia="黑体" w:cs="黑体"/>
          <w:bCs/>
          <w:color w:val="000000"/>
        </w:rPr>
        <w:t>3.4</w:t>
      </w:r>
    </w:p>
    <w:p>
      <w:pPr>
        <w:ind w:firstLine="420" w:firstLineChars="200"/>
        <w:rPr>
          <w:rFonts w:hint="eastAsia" w:ascii="黑体" w:hAnsi="黑体" w:eastAsia="黑体" w:cs="黑体"/>
          <w:bCs/>
          <w:color w:val="000000"/>
        </w:rPr>
      </w:pPr>
      <w:r>
        <w:rPr>
          <w:rFonts w:hint="eastAsia" w:ascii="黑体" w:hAnsi="黑体" w:eastAsia="黑体" w:cs="黑体"/>
          <w:bCs/>
          <w:color w:val="000000"/>
        </w:rPr>
        <w:t>跳档段 skip</w:t>
      </w:r>
      <w:r>
        <w:rPr>
          <w:rFonts w:ascii="黑体" w:hAnsi="黑体" w:eastAsia="黑体" w:cs="黑体"/>
          <w:bCs/>
          <w:color w:val="000000"/>
        </w:rPr>
        <w:t xml:space="preserve"> </w:t>
      </w:r>
      <w:r>
        <w:rPr>
          <w:rFonts w:hint="eastAsia" w:ascii="黑体" w:hAnsi="黑体" w:eastAsia="黑体" w:cs="黑体"/>
          <w:bCs/>
          <w:color w:val="000000"/>
        </w:rPr>
        <w:t>section</w:t>
      </w:r>
    </w:p>
    <w:p>
      <w:pPr>
        <w:ind w:firstLine="420" w:firstLineChars="200"/>
        <w:rPr>
          <w:rFonts w:hint="eastAsia" w:ascii="宋体" w:hAnsi="宋体" w:cs="黑体"/>
          <w:bCs/>
          <w:color w:val="000000"/>
        </w:rPr>
      </w:pPr>
      <w:r>
        <w:rPr>
          <w:rFonts w:hint="eastAsia" w:ascii="宋体" w:hAnsi="宋体" w:cs="黑体"/>
          <w:bCs/>
          <w:color w:val="000000"/>
        </w:rPr>
        <w:t>翅片段中间的光管部分，外表面无任何翅片、凸起或辅助结构，保持原始光</w:t>
      </w:r>
      <w:r>
        <w:rPr>
          <w:rFonts w:hint="eastAsia" w:ascii="宋体" w:hAnsi="宋体" w:cs="黑体"/>
          <w:bCs/>
          <w:color w:val="EE0000"/>
        </w:rPr>
        <w:t>面</w:t>
      </w:r>
      <w:r>
        <w:rPr>
          <w:rFonts w:hint="eastAsia" w:ascii="宋体" w:hAnsi="宋体" w:cs="黑体"/>
          <w:bCs/>
          <w:color w:val="000000"/>
        </w:rPr>
        <w:t>（管）状态</w:t>
      </w:r>
      <w:r>
        <w:rPr>
          <w:rFonts w:ascii="宋体" w:hAnsi="宋体" w:cs="黑体"/>
          <w:bCs/>
          <w:color w:val="000000"/>
        </w:rPr>
        <w:t>。</w:t>
      </w:r>
    </w:p>
    <w:p>
      <w:pPr>
        <w:ind w:firstLine="420" w:firstLineChars="200"/>
        <w:rPr>
          <w:rFonts w:hint="eastAsia" w:ascii="宋体" w:hAnsi="宋体" w:cs="黑体"/>
          <w:bCs/>
          <w:color w:val="000000"/>
        </w:rPr>
      </w:pPr>
      <w:r>
        <w:rPr>
          <w:rFonts w:hint="eastAsia" w:ascii="黑体" w:hAnsi="黑体" w:eastAsia="黑体" w:cs="黑体"/>
          <w:bCs/>
          <w:color w:val="000000"/>
        </w:rPr>
        <w:t>注：</w:t>
      </w:r>
      <w:r>
        <w:rPr>
          <w:rFonts w:hint="eastAsia" w:ascii="宋体" w:hAnsi="宋体" w:cs="黑体"/>
          <w:bCs/>
          <w:color w:val="000000"/>
        </w:rPr>
        <w:t>跳档段长度由上一过渡段最后一个翅片压痕到下一过渡段的第一个翅片压痕测的长度所测得。</w:t>
      </w:r>
    </w:p>
    <w:p>
      <w:pPr>
        <w:rPr>
          <w:rFonts w:hint="eastAsia" w:ascii="黑体" w:hAnsi="黑体" w:eastAsia="黑体" w:cs="黑体"/>
          <w:bCs/>
          <w:color w:val="000000"/>
        </w:rPr>
      </w:pPr>
      <w:r>
        <w:rPr>
          <w:rFonts w:hint="eastAsia" w:ascii="黑体" w:hAnsi="黑体" w:eastAsia="黑体" w:cs="黑体"/>
          <w:bCs/>
          <w:color w:val="000000"/>
        </w:rPr>
        <w:t>3.5</w:t>
      </w:r>
    </w:p>
    <w:p>
      <w:pPr>
        <w:ind w:firstLine="420" w:firstLineChars="200"/>
        <w:rPr>
          <w:rFonts w:hint="eastAsia" w:ascii="黑体" w:hAnsi="黑体" w:eastAsia="黑体" w:cs="黑体"/>
          <w:bCs/>
          <w:color w:val="000000"/>
        </w:rPr>
      </w:pPr>
      <w:r>
        <w:rPr>
          <w:rFonts w:hint="eastAsia" w:ascii="黑体" w:hAnsi="黑体" w:eastAsia="黑体" w:cs="黑体"/>
          <w:bCs/>
          <w:color w:val="000000"/>
        </w:rPr>
        <w:t>外翅片数 fins</w:t>
      </w:r>
      <w:r>
        <w:rPr>
          <w:rFonts w:ascii="黑体" w:hAnsi="黑体" w:eastAsia="黑体" w:cs="黑体"/>
          <w:bCs/>
          <w:color w:val="000000"/>
        </w:rPr>
        <w:t xml:space="preserve"> </w:t>
      </w:r>
      <w:r>
        <w:rPr>
          <w:rFonts w:hint="eastAsia" w:ascii="黑体" w:hAnsi="黑体" w:eastAsia="黑体" w:cs="黑体"/>
          <w:bCs/>
          <w:color w:val="000000"/>
        </w:rPr>
        <w:t>per</w:t>
      </w:r>
      <w:r>
        <w:rPr>
          <w:rFonts w:ascii="黑体" w:hAnsi="黑体" w:eastAsia="黑体" w:cs="黑体"/>
          <w:bCs/>
          <w:color w:val="000000"/>
        </w:rPr>
        <w:t xml:space="preserve"> </w:t>
      </w:r>
      <w:r>
        <w:rPr>
          <w:rFonts w:hint="eastAsia" w:ascii="黑体" w:hAnsi="黑体" w:eastAsia="黑体" w:cs="黑体"/>
          <w:bCs/>
          <w:color w:val="000000"/>
        </w:rPr>
        <w:t>foot</w:t>
      </w:r>
    </w:p>
    <w:p>
      <w:pPr>
        <w:ind w:firstLine="420" w:firstLineChars="200"/>
        <w:rPr>
          <w:rFonts w:hint="eastAsia" w:ascii="宋体" w:hAnsi="宋体" w:cs="黑体"/>
          <w:bCs/>
          <w:color w:val="000000"/>
        </w:rPr>
      </w:pPr>
      <w:r>
        <w:rPr>
          <w:rFonts w:hint="eastAsia" w:ascii="宋体" w:hAnsi="宋体" w:cs="黑体"/>
          <w:bCs/>
          <w:color w:val="000000"/>
        </w:rPr>
        <w:t>成翅段轴向每英寸包含的翅片数量</w:t>
      </w:r>
    </w:p>
    <w:p>
      <w:pPr>
        <w:rPr>
          <w:rFonts w:eastAsia="黑体"/>
          <w:bCs/>
          <w:color w:val="000000"/>
        </w:rPr>
      </w:pPr>
    </w:p>
    <w:p>
      <w:pPr>
        <w:pStyle w:val="56"/>
        <w:numPr>
          <w:ilvl w:val="0"/>
          <w:numId w:val="2"/>
        </w:numPr>
        <w:ind w:firstLineChars="0"/>
        <w:rPr>
          <w:rFonts w:eastAsia="黑体"/>
          <w:bCs/>
          <w:color w:val="000000"/>
        </w:rPr>
      </w:pPr>
      <w:r>
        <w:rPr>
          <w:rFonts w:eastAsia="黑体"/>
          <w:bCs/>
          <w:color w:val="000000"/>
        </w:rPr>
        <w:t>分类和标记</w:t>
      </w:r>
    </w:p>
    <w:p>
      <w:pPr>
        <w:pStyle w:val="56"/>
        <w:numPr>
          <w:ilvl w:val="1"/>
          <w:numId w:val="3"/>
        </w:numPr>
        <w:ind w:firstLineChars="0"/>
        <w:rPr>
          <w:rFonts w:eastAsia="黑体"/>
          <w:bCs/>
          <w:color w:val="000000"/>
        </w:rPr>
      </w:pPr>
      <w:r>
        <w:rPr>
          <w:rFonts w:eastAsia="黑体"/>
          <w:bCs/>
          <w:color w:val="000000"/>
        </w:rPr>
        <w:t>产品分类</w:t>
      </w:r>
    </w:p>
    <w:p>
      <w:pPr>
        <w:pStyle w:val="56"/>
        <w:numPr>
          <w:ilvl w:val="2"/>
          <w:numId w:val="4"/>
        </w:numPr>
        <w:ind w:firstLineChars="0"/>
        <w:rPr>
          <w:rFonts w:eastAsia="黑体"/>
          <w:bCs/>
          <w:color w:val="000000"/>
        </w:rPr>
      </w:pPr>
      <w:r>
        <w:rPr>
          <w:rFonts w:eastAsia="黑体"/>
          <w:bCs/>
          <w:color w:val="000000"/>
        </w:rPr>
        <w:t>牌号、光管段状态和规格</w:t>
      </w:r>
    </w:p>
    <w:p>
      <w:pPr>
        <w:ind w:firstLine="420" w:firstLineChars="200"/>
        <w:rPr>
          <w:color w:val="000000"/>
        </w:rPr>
      </w:pPr>
      <w:r>
        <w:rPr>
          <w:color w:val="000000"/>
        </w:rPr>
        <w:t>管材的牌号、</w:t>
      </w:r>
      <w:r>
        <w:rPr>
          <w:rFonts w:hint="eastAsia"/>
          <w:color w:val="000000"/>
        </w:rPr>
        <w:t>代号、</w:t>
      </w:r>
      <w:r>
        <w:rPr>
          <w:rStyle w:val="38"/>
          <w:rFonts w:ascii="Times New Roman" w:hAnsi="Times New Roman" w:eastAsia="宋体"/>
          <w:color w:val="000000"/>
          <w:sz w:val="21"/>
          <w:szCs w:val="21"/>
        </w:rPr>
        <w:t>光管段</w:t>
      </w:r>
      <w:r>
        <w:rPr>
          <w:color w:val="000000"/>
        </w:rPr>
        <w:t>状态和规格应符合表1</w:t>
      </w:r>
      <w:r>
        <w:rPr>
          <w:rFonts w:hint="eastAsia"/>
          <w:color w:val="000000"/>
        </w:rPr>
        <w:t>的</w:t>
      </w:r>
      <w:r>
        <w:rPr>
          <w:color w:val="000000"/>
        </w:rPr>
        <w:t>规定。推荐规格及相关参数</w:t>
      </w:r>
      <w:r>
        <w:rPr>
          <w:rFonts w:hint="eastAsia"/>
          <w:color w:val="000000"/>
        </w:rPr>
        <w:t>参见附录A</w:t>
      </w:r>
      <w:r>
        <w:rPr>
          <w:color w:val="000000"/>
        </w:rPr>
        <w:t>。</w:t>
      </w:r>
      <w:r>
        <w:t>经供需双方协商，可供应其他牌号</w:t>
      </w:r>
      <w:r>
        <w:rPr>
          <w:rFonts w:hint="eastAsia"/>
        </w:rPr>
        <w:t>、</w:t>
      </w:r>
      <w:r>
        <w:t>规格</w:t>
      </w:r>
      <w:r>
        <w:rPr>
          <w:rFonts w:hint="eastAsia"/>
        </w:rPr>
        <w:t>及参数</w:t>
      </w:r>
      <w:r>
        <w:t>的管材</w:t>
      </w:r>
      <w:r>
        <w:rPr>
          <w:rFonts w:hint="eastAsia"/>
        </w:rPr>
        <w:t>。</w:t>
      </w:r>
      <w:r>
        <w:rPr>
          <w:color w:val="000000"/>
        </w:rPr>
        <w:t>各部位名称示意图见图1。</w:t>
      </w:r>
    </w:p>
    <w:p>
      <w:pPr>
        <w:jc w:val="center"/>
        <w:rPr>
          <w:rFonts w:eastAsia="黑体"/>
          <w:bCs/>
          <w:color w:val="000000"/>
        </w:rPr>
      </w:pPr>
    </w:p>
    <w:p>
      <w:pPr>
        <w:jc w:val="center"/>
        <w:rPr>
          <w:rFonts w:eastAsia="黑体"/>
          <w:bCs/>
          <w:color w:val="000000"/>
        </w:rPr>
      </w:pPr>
      <w:r>
        <w:rPr>
          <w:rFonts w:eastAsia="黑体"/>
          <w:bCs/>
          <w:color w:val="000000"/>
        </w:rPr>
        <w:t>表1   管材的牌号</w:t>
      </w:r>
      <w:r>
        <w:rPr>
          <w:rFonts w:hint="eastAsia" w:eastAsia="黑体"/>
          <w:bCs/>
          <w:color w:val="000000"/>
        </w:rPr>
        <w:t>、代号</w:t>
      </w:r>
      <w:r>
        <w:rPr>
          <w:rFonts w:eastAsia="黑体"/>
          <w:bCs/>
          <w:color w:val="000000"/>
        </w:rPr>
        <w:t>、光管段状态和规格</w:t>
      </w:r>
    </w:p>
    <w:tbl>
      <w:tblPr>
        <w:tblStyle w:val="16"/>
        <w:tblW w:w="934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 w:type="dxa"/>
          <w:bottom w:w="0" w:type="dxa"/>
          <w:right w:w="10" w:type="dxa"/>
        </w:tblCellMar>
      </w:tblPr>
      <w:tblGrid>
        <w:gridCol w:w="995"/>
        <w:gridCol w:w="993"/>
        <w:gridCol w:w="1698"/>
        <w:gridCol w:w="1985"/>
        <w:gridCol w:w="2399"/>
        <w:gridCol w:w="127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374" w:hRule="atLeast"/>
          <w:jc w:val="center"/>
        </w:trPr>
        <w:tc>
          <w:tcPr>
            <w:tcW w:w="995" w:type="dxa"/>
            <w:vMerge w:val="restart"/>
            <w:tcBorders>
              <w:top w:val="single" w:color="auto" w:sz="8" w:space="0"/>
              <w:left w:val="single" w:color="auto" w:sz="8" w:space="0"/>
            </w:tcBorders>
            <w:shd w:val="clear" w:color="auto" w:fill="FFFFFF"/>
            <w:vAlign w:val="center"/>
          </w:tcPr>
          <w:p>
            <w:pPr>
              <w:pStyle w:val="40"/>
              <w:shd w:val="clear" w:color="auto" w:fill="auto"/>
              <w:snapToGrid w:val="0"/>
              <w:spacing w:line="240" w:lineRule="auto"/>
              <w:ind w:firstLine="270" w:firstLineChars="150"/>
              <w:rPr>
                <w:color w:val="000000"/>
                <w:sz w:val="18"/>
                <w:szCs w:val="18"/>
                <w:lang w:val="en-US"/>
              </w:rPr>
            </w:pPr>
            <w:r>
              <w:rPr>
                <w:rStyle w:val="38"/>
                <w:rFonts w:ascii="Times New Roman" w:hAnsi="Times New Roman" w:eastAsia="宋体"/>
                <w:color w:val="000000"/>
                <w:sz w:val="18"/>
                <w:szCs w:val="18"/>
                <w:lang w:val="en-US"/>
              </w:rPr>
              <w:t>牌号</w:t>
            </w:r>
          </w:p>
        </w:tc>
        <w:tc>
          <w:tcPr>
            <w:tcW w:w="993" w:type="dxa"/>
            <w:vMerge w:val="restart"/>
            <w:tcBorders>
              <w:top w:val="single" w:color="auto" w:sz="8" w:space="0"/>
            </w:tcBorders>
            <w:shd w:val="clear" w:color="auto" w:fill="FFFFFF"/>
            <w:vAlign w:val="center"/>
          </w:tcPr>
          <w:p>
            <w:pPr>
              <w:pStyle w:val="40"/>
              <w:shd w:val="clear" w:color="auto" w:fill="auto"/>
              <w:snapToGrid w:val="0"/>
              <w:spacing w:line="240" w:lineRule="auto"/>
              <w:jc w:val="center"/>
              <w:rPr>
                <w:color w:val="000000"/>
                <w:sz w:val="18"/>
                <w:szCs w:val="18"/>
                <w:lang w:val="en-US"/>
              </w:rPr>
            </w:pPr>
            <w:r>
              <w:rPr>
                <w:color w:val="000000"/>
                <w:sz w:val="18"/>
                <w:szCs w:val="18"/>
                <w:lang w:val="en-US"/>
              </w:rPr>
              <w:t>代号</w:t>
            </w:r>
          </w:p>
        </w:tc>
        <w:tc>
          <w:tcPr>
            <w:tcW w:w="1698" w:type="dxa"/>
            <w:vMerge w:val="restart"/>
            <w:tcBorders>
              <w:top w:val="single" w:color="auto" w:sz="8" w:space="0"/>
            </w:tcBorders>
            <w:shd w:val="clear" w:color="auto" w:fill="FFFFFF"/>
            <w:vAlign w:val="center"/>
          </w:tcPr>
          <w:p>
            <w:pPr>
              <w:pStyle w:val="37"/>
              <w:shd w:val="clear" w:color="auto" w:fill="auto"/>
              <w:snapToGrid w:val="0"/>
              <w:spacing w:line="240" w:lineRule="auto"/>
              <w:jc w:val="center"/>
              <w:rPr>
                <w:rFonts w:ascii="Times New Roman" w:hAnsi="Times New Roman" w:eastAsia="宋体"/>
                <w:color w:val="000000"/>
                <w:sz w:val="18"/>
                <w:szCs w:val="18"/>
                <w:lang w:val="en-US"/>
              </w:rPr>
            </w:pPr>
            <w:r>
              <w:rPr>
                <w:rStyle w:val="38"/>
                <w:rFonts w:ascii="Times New Roman" w:hAnsi="Times New Roman" w:eastAsia="宋体"/>
                <w:color w:val="000000"/>
                <w:sz w:val="18"/>
                <w:szCs w:val="18"/>
                <w:lang w:val="en-US"/>
              </w:rPr>
              <w:t>光管段状态</w:t>
            </w:r>
          </w:p>
        </w:tc>
        <w:tc>
          <w:tcPr>
            <w:tcW w:w="5660" w:type="dxa"/>
            <w:gridSpan w:val="3"/>
            <w:tcBorders>
              <w:top w:val="single" w:color="auto" w:sz="8" w:space="0"/>
              <w:right w:val="single" w:color="auto" w:sz="8" w:space="0"/>
            </w:tcBorders>
            <w:shd w:val="clear" w:color="auto" w:fill="FFFFFF"/>
            <w:vAlign w:val="center"/>
          </w:tcPr>
          <w:p>
            <w:pPr>
              <w:pStyle w:val="40"/>
              <w:shd w:val="clear" w:color="auto" w:fill="auto"/>
              <w:snapToGrid w:val="0"/>
              <w:spacing w:line="240" w:lineRule="auto"/>
              <w:jc w:val="center"/>
              <w:rPr>
                <w:rStyle w:val="42"/>
                <w:color w:val="000000"/>
                <w:sz w:val="18"/>
                <w:szCs w:val="18"/>
                <w:lang w:val="en-US"/>
              </w:rPr>
            </w:pPr>
            <w:r>
              <w:rPr>
                <w:rStyle w:val="41"/>
                <w:rFonts w:ascii="Times New Roman" w:hAnsi="Times New Roman" w:eastAsia="宋体" w:cs="Times New Roman"/>
                <w:color w:val="000000"/>
                <w:sz w:val="18"/>
                <w:szCs w:val="18"/>
                <w:lang w:val="en-US"/>
              </w:rPr>
              <w:t>规格</w:t>
            </w:r>
          </w:p>
          <w:p>
            <w:pPr>
              <w:pStyle w:val="40"/>
              <w:shd w:val="clear" w:color="auto" w:fill="auto"/>
              <w:snapToGrid w:val="0"/>
              <w:spacing w:line="240" w:lineRule="auto"/>
              <w:jc w:val="center"/>
              <w:rPr>
                <w:rStyle w:val="41"/>
                <w:rFonts w:ascii="Times New Roman" w:hAnsi="Times New Roman" w:eastAsia="宋体" w:cs="Times New Roman"/>
                <w:color w:val="000000"/>
                <w:sz w:val="18"/>
                <w:szCs w:val="18"/>
                <w:lang w:val="en-US"/>
              </w:rPr>
            </w:pPr>
            <w:r>
              <w:rPr>
                <w:rStyle w:val="42"/>
                <w:color w:val="000000"/>
                <w:sz w:val="18"/>
                <w:szCs w:val="18"/>
                <w:lang w:val="en-US"/>
              </w:rPr>
              <w:t>mm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360" w:hRule="atLeast"/>
          <w:jc w:val="center"/>
        </w:trPr>
        <w:tc>
          <w:tcPr>
            <w:tcW w:w="995" w:type="dxa"/>
            <w:vMerge w:val="continue"/>
            <w:tcBorders>
              <w:left w:val="single" w:color="auto" w:sz="8" w:space="0"/>
              <w:bottom w:val="single" w:color="auto" w:sz="8" w:space="0"/>
            </w:tcBorders>
            <w:shd w:val="clear" w:color="auto" w:fill="FFFFFF"/>
            <w:vAlign w:val="center"/>
          </w:tcPr>
          <w:p>
            <w:pPr>
              <w:snapToGrid w:val="0"/>
              <w:jc w:val="center"/>
              <w:rPr>
                <w:color w:val="000000"/>
                <w:sz w:val="18"/>
                <w:szCs w:val="18"/>
              </w:rPr>
            </w:pPr>
          </w:p>
        </w:tc>
        <w:tc>
          <w:tcPr>
            <w:tcW w:w="993" w:type="dxa"/>
            <w:vMerge w:val="continue"/>
            <w:tcBorders>
              <w:bottom w:val="single" w:color="auto" w:sz="8" w:space="0"/>
            </w:tcBorders>
            <w:shd w:val="clear" w:color="auto" w:fill="FFFFFF"/>
            <w:vAlign w:val="center"/>
          </w:tcPr>
          <w:p>
            <w:pPr>
              <w:snapToGrid w:val="0"/>
              <w:jc w:val="center"/>
              <w:rPr>
                <w:color w:val="000000"/>
                <w:sz w:val="18"/>
                <w:szCs w:val="18"/>
              </w:rPr>
            </w:pPr>
          </w:p>
        </w:tc>
        <w:tc>
          <w:tcPr>
            <w:tcW w:w="1698" w:type="dxa"/>
            <w:vMerge w:val="continue"/>
            <w:tcBorders>
              <w:bottom w:val="single" w:color="auto" w:sz="8" w:space="0"/>
            </w:tcBorders>
            <w:shd w:val="clear" w:color="auto" w:fill="FFFFFF"/>
            <w:vAlign w:val="center"/>
          </w:tcPr>
          <w:p>
            <w:pPr>
              <w:snapToGrid w:val="0"/>
              <w:jc w:val="center"/>
              <w:rPr>
                <w:color w:val="000000"/>
                <w:sz w:val="18"/>
                <w:szCs w:val="18"/>
              </w:rPr>
            </w:pPr>
          </w:p>
        </w:tc>
        <w:tc>
          <w:tcPr>
            <w:tcW w:w="1985" w:type="dxa"/>
            <w:tcBorders>
              <w:bottom w:val="single" w:color="auto" w:sz="8" w:space="0"/>
            </w:tcBorders>
            <w:shd w:val="clear" w:color="auto" w:fill="FFFFFF"/>
            <w:vAlign w:val="center"/>
          </w:tcPr>
          <w:p>
            <w:pPr>
              <w:pStyle w:val="37"/>
              <w:shd w:val="clear" w:color="auto" w:fill="auto"/>
              <w:snapToGrid w:val="0"/>
              <w:spacing w:line="240" w:lineRule="auto"/>
              <w:jc w:val="center"/>
              <w:rPr>
                <w:rFonts w:ascii="Times New Roman" w:hAnsi="Times New Roman" w:eastAsia="宋体"/>
                <w:color w:val="000000"/>
                <w:sz w:val="18"/>
                <w:szCs w:val="18"/>
                <w:lang w:val="en-US"/>
              </w:rPr>
            </w:pPr>
            <w:r>
              <w:rPr>
                <w:rStyle w:val="38"/>
                <w:rFonts w:ascii="Times New Roman" w:hAnsi="Times New Roman" w:eastAsia="宋体"/>
                <w:color w:val="000000"/>
                <w:sz w:val="18"/>
                <w:szCs w:val="18"/>
                <w:lang w:val="en-US"/>
              </w:rPr>
              <w:t>光管段（外径</w:t>
            </w:r>
            <w:r>
              <w:rPr>
                <w:rStyle w:val="38"/>
                <w:rFonts w:ascii="Times New Roman" w:hAnsi="Times New Roman" w:eastAsia="宋体"/>
                <w:i/>
                <w:iCs/>
                <w:color w:val="000000"/>
                <w:sz w:val="18"/>
                <w:szCs w:val="18"/>
                <w:lang w:val="en-US"/>
              </w:rPr>
              <w:t>D</w:t>
            </w:r>
            <w:r>
              <w:rPr>
                <w:rFonts w:ascii="Times New Roman" w:hAnsi="Times New Roman"/>
                <w:color w:val="000000"/>
                <w:sz w:val="18"/>
                <w:szCs w:val="18"/>
                <w:lang w:val="en-US"/>
              </w:rPr>
              <w:t>×</w:t>
            </w:r>
            <w:r>
              <w:rPr>
                <w:rStyle w:val="38"/>
                <w:rFonts w:ascii="Times New Roman" w:hAnsi="Times New Roman" w:eastAsia="宋体"/>
                <w:color w:val="000000"/>
                <w:sz w:val="18"/>
                <w:szCs w:val="18"/>
                <w:lang w:val="en-US"/>
              </w:rPr>
              <w:t>壁厚</w:t>
            </w:r>
            <w:r>
              <w:rPr>
                <w:rStyle w:val="38"/>
                <w:rFonts w:ascii="Times New Roman" w:hAnsi="Times New Roman" w:eastAsia="宋体"/>
                <w:i/>
                <w:iCs/>
                <w:color w:val="000000"/>
                <w:sz w:val="18"/>
                <w:szCs w:val="18"/>
                <w:lang w:val="en-US"/>
              </w:rPr>
              <w:t>T</w:t>
            </w:r>
            <w:r>
              <w:rPr>
                <w:rStyle w:val="38"/>
                <w:rFonts w:ascii="Times New Roman" w:hAnsi="Times New Roman" w:eastAsia="宋体"/>
                <w:color w:val="000000"/>
                <w:sz w:val="18"/>
                <w:szCs w:val="18"/>
                <w:lang w:val="en-US"/>
              </w:rPr>
              <w:t>）</w:t>
            </w:r>
          </w:p>
        </w:tc>
        <w:tc>
          <w:tcPr>
            <w:tcW w:w="2399" w:type="dxa"/>
            <w:tcBorders>
              <w:bottom w:val="single" w:color="auto" w:sz="8" w:space="0"/>
              <w:right w:val="single" w:color="auto" w:sz="8" w:space="0"/>
            </w:tcBorders>
            <w:shd w:val="clear" w:color="auto" w:fill="FFFFFF"/>
            <w:vAlign w:val="center"/>
          </w:tcPr>
          <w:p>
            <w:pPr>
              <w:pStyle w:val="37"/>
              <w:shd w:val="clear" w:color="auto" w:fill="auto"/>
              <w:snapToGrid w:val="0"/>
              <w:spacing w:line="240" w:lineRule="auto"/>
              <w:jc w:val="center"/>
              <w:rPr>
                <w:rFonts w:ascii="Times New Roman" w:hAnsi="Times New Roman" w:eastAsia="宋体"/>
                <w:color w:val="000000"/>
                <w:sz w:val="18"/>
                <w:szCs w:val="18"/>
                <w:lang w:val="en-US"/>
              </w:rPr>
            </w:pPr>
            <w:r>
              <w:rPr>
                <w:rFonts w:hint="eastAsia" w:ascii="宋体" w:hAnsi="宋体" w:eastAsia="宋体" w:cs="宋体"/>
                <w:color w:val="000000"/>
                <w:sz w:val="18"/>
                <w:szCs w:val="18"/>
                <w:lang w:val="en-US"/>
              </w:rPr>
              <w:t>成翅段（翅高</w:t>
            </w:r>
            <w:r>
              <w:rPr>
                <w:rFonts w:ascii="宋体" w:hAnsi="宋体" w:eastAsia="宋体" w:cs="宋体"/>
                <w:i/>
                <w:iCs/>
                <w:color w:val="000000"/>
                <w:sz w:val="18"/>
                <w:szCs w:val="18"/>
                <w:lang w:val="en-US"/>
              </w:rPr>
              <w:t>Hf</w:t>
            </w:r>
            <w:r>
              <w:rPr>
                <w:rFonts w:hint="eastAsia" w:ascii="宋体" w:hAnsi="宋体" w:eastAsia="宋体" w:cs="宋体"/>
                <w:color w:val="000000"/>
                <w:sz w:val="18"/>
                <w:szCs w:val="18"/>
                <w:lang w:val="en-US"/>
              </w:rPr>
              <w:t>×外</w:t>
            </w:r>
            <w:r>
              <w:rPr>
                <w:rStyle w:val="38"/>
                <w:rFonts w:hint="eastAsia" w:ascii="宋体" w:hAnsi="宋体" w:eastAsia="宋体" w:cs="宋体"/>
                <w:color w:val="000000"/>
                <w:sz w:val="18"/>
                <w:szCs w:val="18"/>
                <w:lang w:val="en-US"/>
              </w:rPr>
              <w:t>翅片数</w:t>
            </w:r>
            <w:r>
              <w:rPr>
                <w:rStyle w:val="38"/>
                <w:rFonts w:ascii="宋体" w:hAnsi="宋体" w:eastAsia="宋体" w:cs="宋体"/>
                <w:i/>
                <w:iCs/>
                <w:color w:val="000000"/>
                <w:sz w:val="18"/>
                <w:szCs w:val="18"/>
                <w:lang w:val="en-US"/>
              </w:rPr>
              <w:t>FPI</w:t>
            </w:r>
            <w:r>
              <w:rPr>
                <w:rFonts w:hint="eastAsia" w:ascii="宋体" w:hAnsi="宋体" w:eastAsia="宋体" w:cs="宋体"/>
                <w:color w:val="000000"/>
                <w:sz w:val="18"/>
                <w:szCs w:val="18"/>
                <w:lang w:val="en-US"/>
              </w:rPr>
              <w:t>（条</w:t>
            </w:r>
            <w:r>
              <w:rPr>
                <w:rFonts w:ascii="宋体" w:hAnsi="宋体" w:eastAsia="宋体" w:cs="宋体"/>
                <w:color w:val="000000"/>
                <w:sz w:val="18"/>
                <w:szCs w:val="18"/>
                <w:lang w:val="en-US"/>
              </w:rPr>
              <w:t>/</w:t>
            </w:r>
            <w:r>
              <w:rPr>
                <w:rFonts w:hint="eastAsia" w:ascii="宋体" w:hAnsi="宋体" w:eastAsia="宋体" w:cs="宋体"/>
                <w:color w:val="000000"/>
                <w:sz w:val="18"/>
                <w:szCs w:val="18"/>
                <w:lang w:val="en-US"/>
              </w:rPr>
              <w:t>英寸）×</w:t>
            </w:r>
            <w:r>
              <w:rPr>
                <w:rStyle w:val="38"/>
                <w:rFonts w:hint="eastAsia" w:ascii="宋体" w:hAnsi="宋体" w:eastAsia="宋体" w:cs="宋体"/>
                <w:color w:val="000000"/>
                <w:sz w:val="18"/>
                <w:szCs w:val="18"/>
                <w:lang w:val="en-US"/>
              </w:rPr>
              <w:t>底壁厚</w:t>
            </w:r>
            <w:r>
              <w:rPr>
                <w:rStyle w:val="38"/>
                <w:rFonts w:ascii="宋体" w:hAnsi="宋体" w:eastAsia="宋体" w:cs="宋体"/>
                <w:i/>
                <w:iCs/>
                <w:color w:val="000000"/>
                <w:sz w:val="18"/>
                <w:szCs w:val="18"/>
                <w:lang w:val="en-US"/>
              </w:rPr>
              <w:t>Tf</w:t>
            </w:r>
            <w:r>
              <w:rPr>
                <w:rFonts w:hint="eastAsia" w:ascii="宋体" w:hAnsi="宋体" w:eastAsia="宋体" w:cs="宋体"/>
                <w:color w:val="000000"/>
                <w:sz w:val="18"/>
                <w:szCs w:val="18"/>
                <w:lang w:val="en-US"/>
              </w:rPr>
              <w:t>）</w:t>
            </w:r>
          </w:p>
        </w:tc>
        <w:tc>
          <w:tcPr>
            <w:tcW w:w="1276" w:type="dxa"/>
            <w:tcBorders>
              <w:bottom w:val="single" w:color="auto" w:sz="8" w:space="0"/>
              <w:right w:val="single" w:color="auto" w:sz="8" w:space="0"/>
            </w:tcBorders>
            <w:shd w:val="clear" w:color="auto" w:fill="FFFFFF"/>
            <w:vAlign w:val="center"/>
          </w:tcPr>
          <w:p>
            <w:pPr>
              <w:pStyle w:val="37"/>
              <w:shd w:val="clear" w:color="auto" w:fill="auto"/>
              <w:snapToGrid w:val="0"/>
              <w:spacing w:line="240" w:lineRule="auto"/>
              <w:jc w:val="center"/>
              <w:rPr>
                <w:rFonts w:hint="eastAsia" w:ascii="宋体" w:hAnsi="宋体" w:eastAsia="宋体" w:cs="宋体"/>
                <w:color w:val="000000"/>
                <w:sz w:val="18"/>
                <w:szCs w:val="18"/>
                <w:lang w:val="en-US"/>
              </w:rPr>
            </w:pPr>
            <w:r>
              <w:rPr>
                <w:rStyle w:val="38"/>
                <w:rFonts w:hint="eastAsia" w:ascii="Times New Roman" w:hAnsi="Times New Roman" w:eastAsia="宋体"/>
                <w:sz w:val="18"/>
                <w:szCs w:val="18"/>
              </w:rPr>
              <w:t>长度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355" w:hRule="atLeast"/>
          <w:jc w:val="center"/>
        </w:trPr>
        <w:tc>
          <w:tcPr>
            <w:tcW w:w="995" w:type="dxa"/>
            <w:tcBorders>
              <w:top w:val="single" w:color="auto" w:sz="8" w:space="0"/>
              <w:left w:val="single" w:color="auto" w:sz="8" w:space="0"/>
            </w:tcBorders>
            <w:shd w:val="clear" w:color="auto" w:fill="FFFFFF"/>
            <w:vAlign w:val="center"/>
          </w:tcPr>
          <w:p>
            <w:pPr>
              <w:pStyle w:val="40"/>
              <w:shd w:val="clear" w:color="auto" w:fill="auto"/>
              <w:snapToGrid w:val="0"/>
              <w:spacing w:line="240" w:lineRule="auto"/>
              <w:ind w:firstLine="270" w:firstLineChars="150"/>
              <w:rPr>
                <w:rStyle w:val="38"/>
                <w:rFonts w:ascii="Times New Roman" w:hAnsi="Times New Roman" w:eastAsia="宋体"/>
                <w:color w:val="000000"/>
                <w:sz w:val="18"/>
                <w:szCs w:val="18"/>
                <w:lang w:val="en-US"/>
              </w:rPr>
            </w:pPr>
            <w:r>
              <w:rPr>
                <w:rStyle w:val="38"/>
                <w:rFonts w:ascii="Times New Roman" w:hAnsi="Times New Roman" w:eastAsia="宋体"/>
                <w:color w:val="000000"/>
                <w:sz w:val="18"/>
                <w:szCs w:val="18"/>
                <w:lang w:val="en-US"/>
              </w:rPr>
              <w:t>TU00</w:t>
            </w:r>
          </w:p>
          <w:p>
            <w:pPr>
              <w:pStyle w:val="40"/>
              <w:shd w:val="clear" w:color="auto" w:fill="auto"/>
              <w:snapToGrid w:val="0"/>
              <w:spacing w:line="240" w:lineRule="auto"/>
              <w:ind w:firstLine="270" w:firstLineChars="150"/>
              <w:rPr>
                <w:rStyle w:val="38"/>
                <w:rFonts w:ascii="Times New Roman" w:hAnsi="Times New Roman" w:eastAsia="宋体"/>
                <w:color w:val="000000"/>
                <w:sz w:val="18"/>
                <w:szCs w:val="18"/>
                <w:lang w:val="en-US"/>
              </w:rPr>
            </w:pPr>
            <w:r>
              <w:rPr>
                <w:rStyle w:val="38"/>
                <w:rFonts w:ascii="Times New Roman" w:hAnsi="Times New Roman" w:eastAsia="宋体"/>
                <w:color w:val="000000"/>
                <w:sz w:val="18"/>
                <w:szCs w:val="18"/>
                <w:lang w:val="en-US"/>
              </w:rPr>
              <w:t>TU1</w:t>
            </w:r>
          </w:p>
          <w:p>
            <w:pPr>
              <w:pStyle w:val="40"/>
              <w:shd w:val="clear" w:color="auto" w:fill="auto"/>
              <w:snapToGrid w:val="0"/>
              <w:spacing w:line="240" w:lineRule="auto"/>
              <w:ind w:firstLine="270" w:firstLineChars="150"/>
              <w:rPr>
                <w:rStyle w:val="38"/>
                <w:rFonts w:ascii="Times New Roman" w:hAnsi="Times New Roman" w:eastAsia="宋体"/>
                <w:color w:val="000000"/>
                <w:sz w:val="18"/>
                <w:szCs w:val="18"/>
                <w:lang w:val="en-US"/>
              </w:rPr>
            </w:pPr>
            <w:r>
              <w:rPr>
                <w:rStyle w:val="38"/>
                <w:rFonts w:ascii="Times New Roman" w:hAnsi="Times New Roman" w:eastAsia="宋体"/>
                <w:color w:val="000000"/>
                <w:sz w:val="18"/>
                <w:szCs w:val="18"/>
                <w:lang w:val="en-US"/>
              </w:rPr>
              <w:t>TU2</w:t>
            </w:r>
          </w:p>
          <w:p>
            <w:pPr>
              <w:pStyle w:val="40"/>
              <w:shd w:val="clear" w:color="auto" w:fill="auto"/>
              <w:snapToGrid w:val="0"/>
              <w:spacing w:line="240" w:lineRule="auto"/>
              <w:ind w:firstLine="270" w:firstLineChars="150"/>
              <w:rPr>
                <w:rStyle w:val="38"/>
                <w:rFonts w:ascii="Times New Roman" w:hAnsi="Times New Roman" w:eastAsia="宋体"/>
                <w:color w:val="000000"/>
                <w:sz w:val="18"/>
                <w:szCs w:val="18"/>
                <w:lang w:val="en-US"/>
              </w:rPr>
            </w:pPr>
            <w:r>
              <w:rPr>
                <w:rStyle w:val="38"/>
                <w:rFonts w:ascii="Times New Roman" w:hAnsi="Times New Roman" w:eastAsia="宋体"/>
                <w:color w:val="000000"/>
                <w:sz w:val="18"/>
                <w:szCs w:val="18"/>
                <w:lang w:val="en-US"/>
              </w:rPr>
              <w:t>TP1</w:t>
            </w:r>
          </w:p>
          <w:p>
            <w:pPr>
              <w:pStyle w:val="40"/>
              <w:shd w:val="clear" w:color="auto" w:fill="auto"/>
              <w:snapToGrid w:val="0"/>
              <w:spacing w:line="240" w:lineRule="auto"/>
              <w:ind w:firstLine="270" w:firstLineChars="150"/>
              <w:rPr>
                <w:rStyle w:val="38"/>
                <w:rFonts w:ascii="Times New Roman" w:hAnsi="Times New Roman" w:eastAsia="宋体"/>
                <w:color w:val="000000"/>
                <w:sz w:val="18"/>
                <w:szCs w:val="18"/>
                <w:lang w:val="en-US"/>
              </w:rPr>
            </w:pPr>
            <w:r>
              <w:rPr>
                <w:rStyle w:val="38"/>
                <w:rFonts w:ascii="Times New Roman" w:hAnsi="Times New Roman" w:eastAsia="宋体"/>
                <w:color w:val="000000"/>
                <w:sz w:val="18"/>
                <w:szCs w:val="18"/>
                <w:lang w:val="en-US"/>
              </w:rPr>
              <w:t>TP2</w:t>
            </w:r>
          </w:p>
        </w:tc>
        <w:tc>
          <w:tcPr>
            <w:tcW w:w="993" w:type="dxa"/>
            <w:tcBorders>
              <w:top w:val="single" w:color="auto" w:sz="8" w:space="0"/>
            </w:tcBorders>
            <w:shd w:val="clear" w:color="auto" w:fill="FFFFFF"/>
            <w:vAlign w:val="center"/>
          </w:tcPr>
          <w:p>
            <w:pPr>
              <w:pStyle w:val="40"/>
              <w:shd w:val="clear" w:color="auto" w:fill="auto"/>
              <w:snapToGrid w:val="0"/>
              <w:spacing w:line="240" w:lineRule="auto"/>
              <w:jc w:val="center"/>
              <w:rPr>
                <w:rStyle w:val="38"/>
                <w:rFonts w:ascii="Times New Roman" w:hAnsi="Times New Roman" w:eastAsia="宋体"/>
                <w:color w:val="000000"/>
                <w:sz w:val="18"/>
                <w:szCs w:val="18"/>
                <w:lang w:val="en-US"/>
              </w:rPr>
            </w:pPr>
            <w:r>
              <w:rPr>
                <w:rStyle w:val="38"/>
                <w:rFonts w:ascii="Times New Roman" w:hAnsi="Times New Roman" w:eastAsia="宋体"/>
                <w:color w:val="000000"/>
                <w:sz w:val="18"/>
                <w:szCs w:val="18"/>
                <w:lang w:val="en-US"/>
              </w:rPr>
              <w:t>C10100</w:t>
            </w:r>
          </w:p>
          <w:p>
            <w:pPr>
              <w:pStyle w:val="40"/>
              <w:shd w:val="clear" w:color="auto" w:fill="auto"/>
              <w:snapToGrid w:val="0"/>
              <w:spacing w:line="240" w:lineRule="auto"/>
              <w:jc w:val="center"/>
              <w:rPr>
                <w:rStyle w:val="38"/>
                <w:rFonts w:ascii="Times New Roman" w:hAnsi="Times New Roman" w:eastAsia="宋体"/>
                <w:color w:val="000000"/>
                <w:sz w:val="18"/>
                <w:szCs w:val="18"/>
                <w:lang w:val="en-US"/>
              </w:rPr>
            </w:pPr>
            <w:r>
              <w:rPr>
                <w:rStyle w:val="38"/>
                <w:rFonts w:ascii="Times New Roman" w:hAnsi="Times New Roman" w:eastAsia="宋体"/>
                <w:color w:val="000000"/>
                <w:sz w:val="18"/>
                <w:szCs w:val="18"/>
                <w:lang w:val="en-US"/>
              </w:rPr>
              <w:t>T10150</w:t>
            </w:r>
          </w:p>
          <w:p>
            <w:pPr>
              <w:pStyle w:val="40"/>
              <w:shd w:val="clear" w:color="auto" w:fill="auto"/>
              <w:snapToGrid w:val="0"/>
              <w:spacing w:line="240" w:lineRule="auto"/>
              <w:jc w:val="center"/>
              <w:rPr>
                <w:rStyle w:val="38"/>
                <w:rFonts w:ascii="Times New Roman" w:hAnsi="Times New Roman" w:eastAsia="宋体"/>
                <w:color w:val="000000"/>
                <w:sz w:val="18"/>
                <w:szCs w:val="18"/>
                <w:lang w:val="en-US"/>
              </w:rPr>
            </w:pPr>
            <w:r>
              <w:rPr>
                <w:rStyle w:val="38"/>
                <w:rFonts w:ascii="Times New Roman" w:hAnsi="Times New Roman" w:eastAsia="宋体"/>
                <w:color w:val="000000"/>
                <w:sz w:val="18"/>
                <w:szCs w:val="18"/>
                <w:lang w:val="en-US"/>
              </w:rPr>
              <w:t>T10180</w:t>
            </w:r>
          </w:p>
          <w:p>
            <w:pPr>
              <w:pStyle w:val="40"/>
              <w:shd w:val="clear" w:color="auto" w:fill="auto"/>
              <w:snapToGrid w:val="0"/>
              <w:spacing w:line="240" w:lineRule="auto"/>
              <w:jc w:val="center"/>
              <w:rPr>
                <w:rStyle w:val="38"/>
                <w:rFonts w:ascii="Times New Roman" w:hAnsi="Times New Roman" w:eastAsia="宋体"/>
                <w:color w:val="000000"/>
                <w:sz w:val="18"/>
                <w:szCs w:val="18"/>
                <w:lang w:val="en-US"/>
              </w:rPr>
            </w:pPr>
            <w:r>
              <w:rPr>
                <w:rStyle w:val="38"/>
                <w:rFonts w:ascii="Times New Roman" w:hAnsi="Times New Roman" w:eastAsia="宋体"/>
                <w:color w:val="000000"/>
                <w:sz w:val="18"/>
                <w:szCs w:val="18"/>
                <w:lang w:val="en-US"/>
              </w:rPr>
              <w:t>C12000</w:t>
            </w:r>
          </w:p>
          <w:p>
            <w:pPr>
              <w:pStyle w:val="40"/>
              <w:shd w:val="clear" w:color="auto" w:fill="auto"/>
              <w:snapToGrid w:val="0"/>
              <w:spacing w:line="240" w:lineRule="auto"/>
              <w:jc w:val="center"/>
              <w:rPr>
                <w:rStyle w:val="38"/>
                <w:rFonts w:ascii="Times New Roman" w:hAnsi="Times New Roman" w:eastAsia="宋体"/>
                <w:color w:val="000000"/>
                <w:sz w:val="18"/>
                <w:szCs w:val="18"/>
                <w:lang w:val="en-US"/>
              </w:rPr>
            </w:pPr>
            <w:r>
              <w:rPr>
                <w:rStyle w:val="38"/>
                <w:rFonts w:ascii="Times New Roman" w:hAnsi="Times New Roman" w:eastAsia="宋体"/>
                <w:color w:val="000000"/>
                <w:sz w:val="18"/>
                <w:szCs w:val="18"/>
                <w:lang w:val="en-US"/>
              </w:rPr>
              <w:t>C12200</w:t>
            </w:r>
          </w:p>
        </w:tc>
        <w:tc>
          <w:tcPr>
            <w:tcW w:w="1698" w:type="dxa"/>
            <w:tcBorders>
              <w:top w:val="single" w:color="auto" w:sz="8" w:space="0"/>
            </w:tcBorders>
            <w:shd w:val="clear" w:color="auto" w:fill="FFFFFF"/>
            <w:vAlign w:val="center"/>
          </w:tcPr>
          <w:p>
            <w:pPr>
              <w:pStyle w:val="40"/>
              <w:shd w:val="clear" w:color="auto" w:fill="auto"/>
              <w:snapToGrid w:val="0"/>
              <w:spacing w:line="240" w:lineRule="auto"/>
              <w:jc w:val="center"/>
              <w:rPr>
                <w:rStyle w:val="38"/>
                <w:rFonts w:ascii="Times New Roman" w:hAnsi="Times New Roman" w:eastAsia="宋体"/>
                <w:color w:val="000000"/>
                <w:sz w:val="18"/>
                <w:szCs w:val="18"/>
                <w:lang w:val="en-US"/>
              </w:rPr>
            </w:pPr>
            <w:r>
              <w:rPr>
                <w:rStyle w:val="38"/>
                <w:rFonts w:ascii="Times New Roman" w:hAnsi="Times New Roman" w:eastAsia="宋体"/>
                <w:color w:val="000000"/>
                <w:sz w:val="18"/>
                <w:szCs w:val="18"/>
                <w:lang w:val="en-US"/>
              </w:rPr>
              <w:t>软化退火（O60）</w:t>
            </w:r>
          </w:p>
          <w:p>
            <w:pPr>
              <w:pStyle w:val="40"/>
              <w:shd w:val="clear" w:color="auto" w:fill="auto"/>
              <w:snapToGrid w:val="0"/>
              <w:spacing w:line="240" w:lineRule="auto"/>
              <w:jc w:val="center"/>
              <w:rPr>
                <w:rStyle w:val="38"/>
                <w:rFonts w:ascii="Times New Roman" w:hAnsi="Times New Roman" w:eastAsia="宋体"/>
                <w:color w:val="000000"/>
                <w:sz w:val="18"/>
                <w:szCs w:val="18"/>
                <w:lang w:val="en-US"/>
              </w:rPr>
            </w:pPr>
            <w:r>
              <w:rPr>
                <w:rStyle w:val="38"/>
                <w:rFonts w:ascii="Times New Roman" w:hAnsi="Times New Roman" w:eastAsia="宋体"/>
                <w:color w:val="000000"/>
                <w:sz w:val="18"/>
                <w:szCs w:val="18"/>
              </w:rPr>
              <w:t>轻拉（H55）</w:t>
            </w:r>
          </w:p>
        </w:tc>
        <w:tc>
          <w:tcPr>
            <w:tcW w:w="1985" w:type="dxa"/>
            <w:tcBorders>
              <w:top w:val="single" w:color="auto" w:sz="8" w:space="0"/>
            </w:tcBorders>
            <w:shd w:val="clear" w:color="auto" w:fill="FFFFFF"/>
            <w:vAlign w:val="center"/>
          </w:tcPr>
          <w:p>
            <w:pPr>
              <w:pStyle w:val="40"/>
              <w:shd w:val="clear" w:color="auto" w:fill="auto"/>
              <w:snapToGrid w:val="0"/>
              <w:spacing w:line="240" w:lineRule="auto"/>
              <w:rPr>
                <w:rStyle w:val="38"/>
                <w:rFonts w:ascii="Times New Roman" w:hAnsi="Times New Roman" w:eastAsia="宋体"/>
                <w:color w:val="000000"/>
                <w:sz w:val="18"/>
                <w:szCs w:val="18"/>
                <w:lang w:val="en-US"/>
              </w:rPr>
            </w:pPr>
            <w:r>
              <w:rPr>
                <w:rStyle w:val="38"/>
                <w:rFonts w:ascii="Times New Roman" w:hAnsi="Times New Roman" w:eastAsia="宋体"/>
                <w:color w:val="000000"/>
                <w:sz w:val="18"/>
                <w:szCs w:val="18"/>
                <w:lang w:val="en-US"/>
              </w:rPr>
              <w:t>（7～30）</w:t>
            </w:r>
            <w:r>
              <w:rPr>
                <w:color w:val="000000"/>
                <w:sz w:val="18"/>
                <w:szCs w:val="18"/>
                <w:lang w:val="en-US"/>
              </w:rPr>
              <w:t>×</w:t>
            </w:r>
            <w:r>
              <w:rPr>
                <w:rStyle w:val="38"/>
                <w:rFonts w:ascii="Times New Roman" w:hAnsi="Times New Roman" w:eastAsia="宋体"/>
                <w:color w:val="000000"/>
                <w:sz w:val="18"/>
                <w:szCs w:val="18"/>
                <w:lang w:val="en-US"/>
              </w:rPr>
              <w:t>（</w:t>
            </w:r>
            <w:r>
              <w:rPr>
                <w:rStyle w:val="42"/>
                <w:color w:val="000000"/>
                <w:sz w:val="18"/>
                <w:szCs w:val="18"/>
                <w:lang w:val="en-US"/>
              </w:rPr>
              <w:t>0.6</w:t>
            </w:r>
            <w:r>
              <w:rPr>
                <w:rStyle w:val="42"/>
                <w:rFonts w:hint="eastAsia"/>
                <w:color w:val="000000"/>
                <w:sz w:val="18"/>
                <w:szCs w:val="18"/>
                <w:lang w:val="en-US"/>
              </w:rPr>
              <w:t>0</w:t>
            </w:r>
            <w:r>
              <w:rPr>
                <w:rStyle w:val="42"/>
                <w:color w:val="000000"/>
                <w:sz w:val="18"/>
                <w:szCs w:val="18"/>
                <w:lang w:val="en-US"/>
              </w:rPr>
              <w:t>～3.0</w:t>
            </w:r>
            <w:r>
              <w:rPr>
                <w:rStyle w:val="42"/>
                <w:rFonts w:hint="eastAsia"/>
                <w:color w:val="000000"/>
                <w:sz w:val="18"/>
                <w:szCs w:val="18"/>
                <w:lang w:val="en-US"/>
              </w:rPr>
              <w:t>0</w:t>
            </w:r>
            <w:r>
              <w:rPr>
                <w:rStyle w:val="38"/>
                <w:rFonts w:ascii="Times New Roman" w:hAnsi="Times New Roman" w:eastAsia="宋体"/>
                <w:color w:val="000000"/>
                <w:sz w:val="18"/>
                <w:szCs w:val="18"/>
                <w:lang w:val="en-US"/>
              </w:rPr>
              <w:t>）</w:t>
            </w:r>
          </w:p>
        </w:tc>
        <w:tc>
          <w:tcPr>
            <w:tcW w:w="2399" w:type="dxa"/>
            <w:vMerge w:val="restart"/>
            <w:tcBorders>
              <w:top w:val="single" w:color="auto" w:sz="8" w:space="0"/>
              <w:right w:val="single" w:color="auto" w:sz="8" w:space="0"/>
            </w:tcBorders>
            <w:shd w:val="clear" w:color="auto" w:fill="FFFFFF"/>
            <w:vAlign w:val="center"/>
          </w:tcPr>
          <w:p>
            <w:pPr>
              <w:pStyle w:val="40"/>
              <w:shd w:val="clear" w:color="auto" w:fill="auto"/>
              <w:snapToGrid w:val="0"/>
              <w:spacing w:after="120" w:line="240" w:lineRule="auto"/>
              <w:jc w:val="center"/>
              <w:rPr>
                <w:color w:val="000000"/>
                <w:sz w:val="18"/>
                <w:szCs w:val="18"/>
                <w:lang w:val="en-US"/>
              </w:rPr>
            </w:pPr>
            <w:r>
              <w:rPr>
                <w:rStyle w:val="38"/>
                <w:rFonts w:ascii="Times New Roman" w:hAnsi="Times New Roman" w:eastAsia="宋体"/>
                <w:color w:val="000000"/>
                <w:sz w:val="18"/>
                <w:szCs w:val="18"/>
                <w:lang w:val="en-US"/>
              </w:rPr>
              <w:t>（0.3</w:t>
            </w:r>
            <w:r>
              <w:rPr>
                <w:rStyle w:val="38"/>
                <w:rFonts w:hint="eastAsia" w:ascii="Times New Roman" w:hAnsi="Times New Roman" w:eastAsia="宋体"/>
                <w:color w:val="000000"/>
                <w:sz w:val="18"/>
                <w:szCs w:val="18"/>
                <w:lang w:val="en-US"/>
              </w:rPr>
              <w:t>0</w:t>
            </w:r>
            <w:r>
              <w:rPr>
                <w:rStyle w:val="42"/>
                <w:color w:val="000000"/>
                <w:sz w:val="18"/>
                <w:szCs w:val="18"/>
                <w:lang w:val="en-US"/>
              </w:rPr>
              <w:t>～3.8</w:t>
            </w:r>
            <w:r>
              <w:rPr>
                <w:rStyle w:val="42"/>
                <w:rFonts w:hint="eastAsia"/>
                <w:color w:val="000000"/>
                <w:sz w:val="18"/>
                <w:szCs w:val="18"/>
                <w:lang w:val="en-US"/>
              </w:rPr>
              <w:t>0</w:t>
            </w:r>
            <w:r>
              <w:rPr>
                <w:rStyle w:val="38"/>
                <w:rFonts w:ascii="Times New Roman" w:hAnsi="Times New Roman" w:eastAsia="宋体"/>
                <w:color w:val="000000"/>
                <w:sz w:val="18"/>
                <w:szCs w:val="18"/>
                <w:lang w:val="en-US"/>
              </w:rPr>
              <w:t>）</w:t>
            </w:r>
            <w:r>
              <w:rPr>
                <w:color w:val="000000"/>
                <w:sz w:val="18"/>
                <w:szCs w:val="18"/>
                <w:lang w:val="en-US"/>
              </w:rPr>
              <w:t>×</w:t>
            </w:r>
            <w:r>
              <w:rPr>
                <w:rStyle w:val="38"/>
                <w:rFonts w:ascii="Times New Roman" w:hAnsi="Times New Roman" w:eastAsia="宋体"/>
                <w:color w:val="000000"/>
                <w:sz w:val="18"/>
                <w:szCs w:val="18"/>
                <w:lang w:val="en-US"/>
              </w:rPr>
              <w:t>（11</w:t>
            </w:r>
            <w:r>
              <w:rPr>
                <w:rStyle w:val="42"/>
                <w:color w:val="000000"/>
                <w:sz w:val="18"/>
                <w:szCs w:val="18"/>
                <w:lang w:val="en-US"/>
              </w:rPr>
              <w:t>～</w:t>
            </w:r>
            <w:r>
              <w:rPr>
                <w:rStyle w:val="38"/>
                <w:rFonts w:ascii="Times New Roman" w:hAnsi="Times New Roman" w:eastAsia="宋体"/>
                <w:color w:val="000000"/>
                <w:sz w:val="18"/>
                <w:szCs w:val="18"/>
                <w:lang w:val="en-US"/>
              </w:rPr>
              <w:t>56）</w:t>
            </w:r>
            <w:r>
              <w:rPr>
                <w:color w:val="000000"/>
                <w:sz w:val="18"/>
                <w:szCs w:val="18"/>
                <w:lang w:val="en-US"/>
              </w:rPr>
              <w:t>×</w:t>
            </w:r>
            <w:r>
              <w:rPr>
                <w:rStyle w:val="38"/>
                <w:rFonts w:ascii="Times New Roman" w:hAnsi="Times New Roman" w:eastAsia="宋体"/>
                <w:color w:val="000000"/>
                <w:sz w:val="18"/>
                <w:szCs w:val="18"/>
                <w:lang w:val="en-US"/>
              </w:rPr>
              <w:t>（0.4</w:t>
            </w:r>
            <w:r>
              <w:rPr>
                <w:rStyle w:val="38"/>
                <w:rFonts w:hint="eastAsia" w:ascii="Times New Roman" w:hAnsi="Times New Roman" w:eastAsia="宋体"/>
                <w:color w:val="000000"/>
                <w:sz w:val="18"/>
                <w:szCs w:val="18"/>
                <w:lang w:val="en-US"/>
              </w:rPr>
              <w:t>0</w:t>
            </w:r>
            <w:r>
              <w:rPr>
                <w:rStyle w:val="42"/>
                <w:color w:val="000000"/>
                <w:sz w:val="18"/>
                <w:szCs w:val="18"/>
                <w:lang w:val="en-US"/>
              </w:rPr>
              <w:t>～2.5</w:t>
            </w:r>
            <w:r>
              <w:rPr>
                <w:rStyle w:val="42"/>
                <w:rFonts w:hint="eastAsia"/>
                <w:color w:val="000000"/>
                <w:sz w:val="18"/>
                <w:szCs w:val="18"/>
                <w:lang w:val="en-US"/>
              </w:rPr>
              <w:t>0</w:t>
            </w:r>
            <w:r>
              <w:rPr>
                <w:rStyle w:val="38"/>
                <w:rFonts w:ascii="Times New Roman" w:hAnsi="Times New Roman" w:eastAsia="宋体"/>
                <w:color w:val="000000"/>
                <w:sz w:val="18"/>
                <w:szCs w:val="18"/>
                <w:lang w:val="en-US"/>
              </w:rPr>
              <w:t>）</w:t>
            </w:r>
          </w:p>
        </w:tc>
        <w:tc>
          <w:tcPr>
            <w:tcW w:w="1276" w:type="dxa"/>
            <w:vMerge w:val="restart"/>
            <w:tcBorders>
              <w:top w:val="single" w:color="auto" w:sz="8" w:space="0"/>
              <w:right w:val="single" w:color="auto" w:sz="8" w:space="0"/>
            </w:tcBorders>
            <w:shd w:val="clear" w:color="auto" w:fill="FFFFFF"/>
            <w:vAlign w:val="center"/>
          </w:tcPr>
          <w:p>
            <w:pPr>
              <w:pStyle w:val="40"/>
              <w:shd w:val="clear" w:color="auto" w:fill="auto"/>
              <w:snapToGrid w:val="0"/>
              <w:spacing w:after="120" w:line="240" w:lineRule="auto"/>
              <w:jc w:val="center"/>
              <w:rPr>
                <w:rStyle w:val="38"/>
                <w:rFonts w:ascii="Times New Roman" w:hAnsi="Times New Roman" w:eastAsia="宋体"/>
                <w:color w:val="000000"/>
                <w:sz w:val="18"/>
                <w:szCs w:val="18"/>
                <w:lang w:val="en-US"/>
              </w:rPr>
            </w:pPr>
            <w:r>
              <w:rPr>
                <w:rStyle w:val="38"/>
                <w:rFonts w:hint="eastAsia" w:ascii="Times New Roman" w:hAnsi="Times New Roman" w:eastAsia="宋体"/>
                <w:color w:val="000000"/>
                <w:sz w:val="18"/>
                <w:szCs w:val="18"/>
                <w:lang w:val="en-US"/>
              </w:rPr>
              <w:t>0</w:t>
            </w:r>
            <w:r>
              <w:rPr>
                <w:rStyle w:val="42"/>
                <w:color w:val="000000"/>
                <w:sz w:val="18"/>
                <w:szCs w:val="18"/>
                <w:lang w:val="en-US"/>
              </w:rPr>
              <w:t>～</w:t>
            </w:r>
            <w:r>
              <w:rPr>
                <w:rStyle w:val="42"/>
                <w:rFonts w:hint="eastAsia"/>
                <w:color w:val="000000"/>
                <w:sz w:val="18"/>
                <w:szCs w:val="18"/>
                <w:lang w:val="en-US"/>
              </w:rPr>
              <w:t>180000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355" w:hRule="atLeast"/>
          <w:jc w:val="center"/>
        </w:trPr>
        <w:tc>
          <w:tcPr>
            <w:tcW w:w="995" w:type="dxa"/>
            <w:tcBorders>
              <w:left w:val="single" w:color="auto" w:sz="8" w:space="0"/>
            </w:tcBorders>
            <w:shd w:val="clear" w:color="auto" w:fill="FFFFFF"/>
            <w:vAlign w:val="center"/>
          </w:tcPr>
          <w:p>
            <w:pPr>
              <w:pStyle w:val="40"/>
              <w:shd w:val="clear" w:color="auto" w:fill="auto"/>
              <w:snapToGrid w:val="0"/>
              <w:spacing w:after="120" w:line="240" w:lineRule="auto"/>
              <w:ind w:left="-2" w:leftChars="-1" w:firstLine="180" w:firstLineChars="100"/>
              <w:rPr>
                <w:rStyle w:val="42"/>
                <w:color w:val="000000"/>
                <w:sz w:val="18"/>
                <w:szCs w:val="18"/>
                <w:lang w:val="en-US"/>
              </w:rPr>
            </w:pPr>
            <w:r>
              <w:rPr>
                <w:rStyle w:val="42"/>
                <w:color w:val="000000"/>
                <w:sz w:val="18"/>
                <w:szCs w:val="18"/>
                <w:lang w:val="en-US"/>
              </w:rPr>
              <w:t>HA177-2</w:t>
            </w:r>
          </w:p>
          <w:p>
            <w:pPr>
              <w:pStyle w:val="40"/>
              <w:shd w:val="clear" w:color="auto" w:fill="auto"/>
              <w:snapToGrid w:val="0"/>
              <w:spacing w:after="120" w:line="240" w:lineRule="auto"/>
              <w:ind w:left="-2" w:leftChars="-1" w:firstLine="180" w:firstLineChars="100"/>
              <w:rPr>
                <w:rStyle w:val="42"/>
                <w:color w:val="000000"/>
                <w:sz w:val="18"/>
                <w:szCs w:val="18"/>
                <w:lang w:val="en-US"/>
              </w:rPr>
            </w:pPr>
            <w:r>
              <w:rPr>
                <w:rStyle w:val="42"/>
                <w:color w:val="000000"/>
                <w:sz w:val="18"/>
                <w:szCs w:val="18"/>
                <w:lang w:val="en-US"/>
              </w:rPr>
              <w:t>HSn70-</w:t>
            </w:r>
            <w:r>
              <w:rPr>
                <w:rStyle w:val="42"/>
                <w:rFonts w:hint="eastAsia"/>
                <w:color w:val="000000"/>
                <w:sz w:val="18"/>
                <w:szCs w:val="18"/>
                <w:lang w:val="en-US"/>
              </w:rPr>
              <w:t>1</w:t>
            </w:r>
          </w:p>
        </w:tc>
        <w:tc>
          <w:tcPr>
            <w:tcW w:w="993" w:type="dxa"/>
            <w:shd w:val="clear" w:color="auto" w:fill="FFFFFF"/>
            <w:vAlign w:val="center"/>
          </w:tcPr>
          <w:p>
            <w:pPr>
              <w:pStyle w:val="40"/>
              <w:shd w:val="clear" w:color="auto" w:fill="auto"/>
              <w:snapToGrid w:val="0"/>
              <w:spacing w:after="120" w:line="240" w:lineRule="auto"/>
              <w:jc w:val="center"/>
              <w:rPr>
                <w:color w:val="000000"/>
                <w:sz w:val="18"/>
                <w:szCs w:val="18"/>
                <w:lang w:val="en-US"/>
              </w:rPr>
            </w:pPr>
            <w:r>
              <w:rPr>
                <w:rStyle w:val="42"/>
                <w:color w:val="000000"/>
                <w:sz w:val="18"/>
                <w:szCs w:val="18"/>
                <w:lang w:val="en-US"/>
              </w:rPr>
              <w:t>C68700</w:t>
            </w:r>
          </w:p>
          <w:p>
            <w:pPr>
              <w:pStyle w:val="40"/>
              <w:shd w:val="clear" w:color="auto" w:fill="auto"/>
              <w:snapToGrid w:val="0"/>
              <w:spacing w:after="120" w:line="240" w:lineRule="auto"/>
              <w:jc w:val="center"/>
              <w:rPr>
                <w:rStyle w:val="42"/>
                <w:color w:val="000000"/>
                <w:sz w:val="18"/>
                <w:szCs w:val="18"/>
                <w:lang w:val="en-US"/>
              </w:rPr>
            </w:pPr>
            <w:r>
              <w:rPr>
                <w:rStyle w:val="42"/>
                <w:color w:val="000000"/>
                <w:sz w:val="18"/>
                <w:szCs w:val="18"/>
                <w:lang w:val="en-US"/>
              </w:rPr>
              <w:t>T45000</w:t>
            </w:r>
          </w:p>
        </w:tc>
        <w:tc>
          <w:tcPr>
            <w:tcW w:w="1698" w:type="dxa"/>
            <w:shd w:val="clear" w:color="auto" w:fill="FFFFFF"/>
            <w:vAlign w:val="center"/>
          </w:tcPr>
          <w:p>
            <w:pPr>
              <w:pStyle w:val="40"/>
              <w:shd w:val="clear" w:color="auto" w:fill="auto"/>
              <w:snapToGrid w:val="0"/>
              <w:spacing w:after="120" w:line="240" w:lineRule="auto"/>
              <w:jc w:val="center"/>
              <w:rPr>
                <w:rStyle w:val="42"/>
                <w:color w:val="000000"/>
                <w:sz w:val="18"/>
                <w:szCs w:val="18"/>
                <w:lang w:val="en-US"/>
              </w:rPr>
            </w:pPr>
            <w:r>
              <w:rPr>
                <w:rStyle w:val="42"/>
                <w:color w:val="000000"/>
                <w:sz w:val="18"/>
                <w:szCs w:val="18"/>
                <w:lang w:val="en-US"/>
              </w:rPr>
              <w:t>软化退火（O60）</w:t>
            </w:r>
          </w:p>
        </w:tc>
        <w:tc>
          <w:tcPr>
            <w:tcW w:w="1985" w:type="dxa"/>
            <w:shd w:val="clear" w:color="auto" w:fill="FFFFFF"/>
            <w:vAlign w:val="center"/>
          </w:tcPr>
          <w:p>
            <w:pPr>
              <w:pStyle w:val="40"/>
              <w:shd w:val="clear" w:color="auto" w:fill="auto"/>
              <w:snapToGrid w:val="0"/>
              <w:spacing w:after="120" w:line="240" w:lineRule="auto"/>
              <w:jc w:val="center"/>
              <w:rPr>
                <w:rStyle w:val="42"/>
                <w:color w:val="000000"/>
                <w:sz w:val="18"/>
                <w:szCs w:val="18"/>
                <w:lang w:val="en-US"/>
              </w:rPr>
            </w:pPr>
            <w:r>
              <w:rPr>
                <w:rStyle w:val="42"/>
                <w:color w:val="000000"/>
                <w:sz w:val="18"/>
                <w:szCs w:val="18"/>
                <w:lang w:val="en-US"/>
              </w:rPr>
              <w:t>（9～26）</w:t>
            </w:r>
            <w:r>
              <w:rPr>
                <w:color w:val="000000"/>
                <w:sz w:val="18"/>
                <w:szCs w:val="18"/>
                <w:lang w:val="en-US"/>
              </w:rPr>
              <w:t>×</w:t>
            </w:r>
            <w:r>
              <w:rPr>
                <w:rStyle w:val="38"/>
                <w:rFonts w:ascii="Times New Roman" w:hAnsi="Times New Roman" w:eastAsia="宋体"/>
                <w:color w:val="000000"/>
                <w:sz w:val="18"/>
                <w:szCs w:val="18"/>
                <w:lang w:val="en-US"/>
              </w:rPr>
              <w:t>（</w:t>
            </w:r>
            <w:r>
              <w:rPr>
                <w:rStyle w:val="42"/>
                <w:color w:val="000000"/>
                <w:sz w:val="18"/>
                <w:szCs w:val="18"/>
                <w:lang w:val="en-US"/>
              </w:rPr>
              <w:t>0.75～3.0</w:t>
            </w:r>
            <w:r>
              <w:rPr>
                <w:rStyle w:val="42"/>
                <w:rFonts w:hint="eastAsia"/>
                <w:color w:val="000000"/>
                <w:sz w:val="18"/>
                <w:szCs w:val="18"/>
                <w:lang w:val="en-US"/>
              </w:rPr>
              <w:t>0</w:t>
            </w:r>
            <w:r>
              <w:rPr>
                <w:rStyle w:val="38"/>
                <w:rFonts w:ascii="Times New Roman" w:hAnsi="Times New Roman" w:eastAsia="宋体"/>
                <w:color w:val="000000"/>
                <w:sz w:val="18"/>
                <w:szCs w:val="18"/>
                <w:lang w:val="en-US"/>
              </w:rPr>
              <w:t>）</w:t>
            </w:r>
          </w:p>
        </w:tc>
        <w:tc>
          <w:tcPr>
            <w:tcW w:w="2399" w:type="dxa"/>
            <w:vMerge w:val="continue"/>
            <w:tcBorders>
              <w:right w:val="single" w:color="auto" w:sz="8" w:space="0"/>
            </w:tcBorders>
            <w:shd w:val="clear" w:color="auto" w:fill="FFFFFF"/>
            <w:vAlign w:val="center"/>
          </w:tcPr>
          <w:p>
            <w:pPr>
              <w:pStyle w:val="40"/>
              <w:shd w:val="clear" w:color="auto" w:fill="auto"/>
              <w:snapToGrid w:val="0"/>
              <w:spacing w:line="240" w:lineRule="auto"/>
              <w:jc w:val="center"/>
              <w:rPr>
                <w:color w:val="000000"/>
                <w:sz w:val="18"/>
                <w:szCs w:val="18"/>
                <w:lang w:val="en-US"/>
              </w:rPr>
            </w:pPr>
          </w:p>
        </w:tc>
        <w:tc>
          <w:tcPr>
            <w:tcW w:w="1276" w:type="dxa"/>
            <w:vMerge w:val="continue"/>
            <w:tcBorders>
              <w:right w:val="single" w:color="auto" w:sz="8" w:space="0"/>
            </w:tcBorders>
            <w:shd w:val="clear" w:color="auto" w:fill="FFFFFF"/>
          </w:tcPr>
          <w:p>
            <w:pPr>
              <w:pStyle w:val="40"/>
              <w:shd w:val="clear" w:color="auto" w:fill="auto"/>
              <w:snapToGrid w:val="0"/>
              <w:spacing w:line="240" w:lineRule="auto"/>
              <w:jc w:val="center"/>
              <w:rPr>
                <w:color w:val="000000"/>
                <w:sz w:val="18"/>
                <w:szCs w:val="18"/>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355" w:hRule="atLeast"/>
          <w:jc w:val="center"/>
        </w:trPr>
        <w:tc>
          <w:tcPr>
            <w:tcW w:w="995" w:type="dxa"/>
            <w:tcBorders>
              <w:left w:val="single" w:color="auto" w:sz="8" w:space="0"/>
              <w:bottom w:val="single" w:color="auto" w:sz="8" w:space="0"/>
            </w:tcBorders>
            <w:shd w:val="clear" w:color="auto" w:fill="FFFFFF"/>
            <w:vAlign w:val="center"/>
          </w:tcPr>
          <w:p>
            <w:pPr>
              <w:pStyle w:val="40"/>
              <w:shd w:val="clear" w:color="auto" w:fill="auto"/>
              <w:snapToGrid w:val="0"/>
              <w:spacing w:after="120" w:line="240" w:lineRule="auto"/>
              <w:ind w:firstLine="75" w:firstLineChars="42"/>
              <w:rPr>
                <w:rStyle w:val="42"/>
                <w:color w:val="000000"/>
                <w:sz w:val="18"/>
                <w:szCs w:val="18"/>
                <w:lang w:val="en-US"/>
              </w:rPr>
            </w:pPr>
            <w:bookmarkStart w:id="34" w:name="OLE_LINK25"/>
            <w:r>
              <w:rPr>
                <w:rStyle w:val="42"/>
                <w:color w:val="000000"/>
                <w:sz w:val="18"/>
                <w:szCs w:val="18"/>
                <w:lang w:val="en-US"/>
              </w:rPr>
              <w:t>BFe10-1-1</w:t>
            </w:r>
          </w:p>
          <w:bookmarkEnd w:id="34"/>
          <w:p>
            <w:pPr>
              <w:pStyle w:val="40"/>
              <w:shd w:val="clear" w:color="auto" w:fill="auto"/>
              <w:snapToGrid w:val="0"/>
              <w:spacing w:after="120" w:line="240" w:lineRule="auto"/>
              <w:ind w:firstLine="75" w:firstLineChars="42"/>
              <w:rPr>
                <w:color w:val="000000"/>
                <w:sz w:val="18"/>
                <w:szCs w:val="18"/>
                <w:lang w:val="en-US"/>
              </w:rPr>
            </w:pPr>
            <w:r>
              <w:rPr>
                <w:rStyle w:val="42"/>
                <w:color w:val="000000"/>
                <w:sz w:val="18"/>
                <w:szCs w:val="18"/>
                <w:lang w:val="en-US"/>
              </w:rPr>
              <w:t>BFe30-1-1</w:t>
            </w:r>
          </w:p>
        </w:tc>
        <w:tc>
          <w:tcPr>
            <w:tcW w:w="993" w:type="dxa"/>
            <w:tcBorders>
              <w:bottom w:val="single" w:color="auto" w:sz="8" w:space="0"/>
            </w:tcBorders>
            <w:shd w:val="clear" w:color="auto" w:fill="FFFFFF"/>
            <w:vAlign w:val="center"/>
          </w:tcPr>
          <w:p>
            <w:pPr>
              <w:pStyle w:val="40"/>
              <w:shd w:val="clear" w:color="auto" w:fill="auto"/>
              <w:snapToGrid w:val="0"/>
              <w:spacing w:after="120" w:line="240" w:lineRule="auto"/>
              <w:jc w:val="center"/>
              <w:rPr>
                <w:rStyle w:val="42"/>
                <w:color w:val="000000"/>
                <w:sz w:val="18"/>
                <w:szCs w:val="18"/>
                <w:lang w:val="en-US"/>
              </w:rPr>
            </w:pPr>
            <w:r>
              <w:rPr>
                <w:rStyle w:val="42"/>
                <w:color w:val="000000"/>
                <w:sz w:val="18"/>
                <w:szCs w:val="18"/>
                <w:lang w:val="en-US"/>
              </w:rPr>
              <w:t>T70590</w:t>
            </w:r>
          </w:p>
          <w:p>
            <w:pPr>
              <w:pStyle w:val="40"/>
              <w:shd w:val="clear" w:color="auto" w:fill="auto"/>
              <w:snapToGrid w:val="0"/>
              <w:spacing w:after="120" w:line="240" w:lineRule="auto"/>
              <w:jc w:val="center"/>
              <w:rPr>
                <w:color w:val="000000"/>
                <w:sz w:val="18"/>
                <w:szCs w:val="18"/>
                <w:lang w:val="en-US"/>
              </w:rPr>
            </w:pPr>
            <w:r>
              <w:rPr>
                <w:rStyle w:val="42"/>
                <w:color w:val="000000"/>
                <w:sz w:val="18"/>
                <w:szCs w:val="18"/>
                <w:lang w:val="en-US"/>
              </w:rPr>
              <w:t>T71510</w:t>
            </w:r>
          </w:p>
        </w:tc>
        <w:tc>
          <w:tcPr>
            <w:tcW w:w="1698" w:type="dxa"/>
            <w:tcBorders>
              <w:bottom w:val="single" w:color="auto" w:sz="8" w:space="0"/>
            </w:tcBorders>
            <w:shd w:val="clear" w:color="auto" w:fill="FFFFFF"/>
            <w:vAlign w:val="center"/>
          </w:tcPr>
          <w:p>
            <w:pPr>
              <w:pStyle w:val="40"/>
              <w:shd w:val="clear" w:color="auto" w:fill="auto"/>
              <w:snapToGrid w:val="0"/>
              <w:spacing w:after="120" w:line="240" w:lineRule="auto"/>
              <w:jc w:val="center"/>
              <w:rPr>
                <w:color w:val="000000"/>
                <w:sz w:val="18"/>
                <w:szCs w:val="18"/>
                <w:lang w:val="en-US"/>
              </w:rPr>
            </w:pPr>
            <w:r>
              <w:rPr>
                <w:rStyle w:val="42"/>
                <w:color w:val="000000"/>
                <w:sz w:val="18"/>
                <w:szCs w:val="18"/>
                <w:lang w:val="en-US"/>
              </w:rPr>
              <w:t>软化退火（O60）</w:t>
            </w:r>
          </w:p>
        </w:tc>
        <w:tc>
          <w:tcPr>
            <w:tcW w:w="1985" w:type="dxa"/>
            <w:tcBorders>
              <w:bottom w:val="single" w:color="auto" w:sz="8" w:space="0"/>
            </w:tcBorders>
            <w:shd w:val="clear" w:color="auto" w:fill="FFFFFF"/>
            <w:vAlign w:val="center"/>
          </w:tcPr>
          <w:p>
            <w:pPr>
              <w:pStyle w:val="40"/>
              <w:shd w:val="clear" w:color="auto" w:fill="auto"/>
              <w:snapToGrid w:val="0"/>
              <w:spacing w:after="120" w:line="240" w:lineRule="auto"/>
              <w:jc w:val="center"/>
              <w:rPr>
                <w:color w:val="000000"/>
                <w:sz w:val="18"/>
                <w:szCs w:val="18"/>
                <w:lang w:val="en-US"/>
              </w:rPr>
            </w:pPr>
            <w:r>
              <w:rPr>
                <w:rStyle w:val="42"/>
                <w:color w:val="000000"/>
                <w:sz w:val="18"/>
                <w:szCs w:val="18"/>
                <w:lang w:val="en-US"/>
              </w:rPr>
              <w:t>（9</w:t>
            </w:r>
            <w:bookmarkStart w:id="35" w:name="OLE_LINK43"/>
            <w:bookmarkStart w:id="36" w:name="OLE_LINK24"/>
            <w:r>
              <w:rPr>
                <w:rStyle w:val="42"/>
                <w:color w:val="000000"/>
                <w:sz w:val="18"/>
                <w:szCs w:val="18"/>
                <w:lang w:val="en-US"/>
              </w:rPr>
              <w:t>～</w:t>
            </w:r>
            <w:bookmarkEnd w:id="35"/>
            <w:bookmarkEnd w:id="36"/>
            <w:r>
              <w:rPr>
                <w:rStyle w:val="42"/>
                <w:color w:val="000000"/>
                <w:sz w:val="18"/>
                <w:szCs w:val="18"/>
                <w:lang w:val="en-US"/>
              </w:rPr>
              <w:t>26）</w:t>
            </w:r>
            <w:r>
              <w:rPr>
                <w:color w:val="000000"/>
                <w:sz w:val="18"/>
                <w:szCs w:val="18"/>
                <w:lang w:val="en-US"/>
              </w:rPr>
              <w:t>×</w:t>
            </w:r>
            <w:r>
              <w:rPr>
                <w:rStyle w:val="38"/>
                <w:rFonts w:ascii="Times New Roman" w:hAnsi="Times New Roman" w:eastAsia="宋体"/>
                <w:color w:val="000000"/>
                <w:sz w:val="18"/>
                <w:szCs w:val="18"/>
                <w:lang w:val="en-US"/>
              </w:rPr>
              <w:t>（</w:t>
            </w:r>
            <w:r>
              <w:rPr>
                <w:rStyle w:val="42"/>
                <w:color w:val="000000"/>
                <w:sz w:val="18"/>
                <w:szCs w:val="18"/>
                <w:lang w:val="en-US"/>
              </w:rPr>
              <w:t>0.75～3.0</w:t>
            </w:r>
            <w:r>
              <w:rPr>
                <w:rStyle w:val="42"/>
                <w:rFonts w:hint="eastAsia"/>
                <w:color w:val="000000"/>
                <w:sz w:val="18"/>
                <w:szCs w:val="18"/>
                <w:lang w:val="en-US"/>
              </w:rPr>
              <w:t>0</w:t>
            </w:r>
            <w:r>
              <w:rPr>
                <w:rStyle w:val="38"/>
                <w:rFonts w:ascii="Times New Roman" w:hAnsi="Times New Roman" w:eastAsia="宋体"/>
                <w:color w:val="000000"/>
                <w:sz w:val="18"/>
                <w:szCs w:val="18"/>
                <w:lang w:val="en-US"/>
              </w:rPr>
              <w:t>）</w:t>
            </w:r>
          </w:p>
        </w:tc>
        <w:tc>
          <w:tcPr>
            <w:tcW w:w="2399" w:type="dxa"/>
            <w:vMerge w:val="continue"/>
            <w:tcBorders>
              <w:bottom w:val="single" w:color="auto" w:sz="8" w:space="0"/>
              <w:right w:val="single" w:color="auto" w:sz="8" w:space="0"/>
            </w:tcBorders>
            <w:shd w:val="clear" w:color="auto" w:fill="FFFFFF"/>
            <w:vAlign w:val="center"/>
          </w:tcPr>
          <w:p>
            <w:pPr>
              <w:pStyle w:val="40"/>
              <w:shd w:val="clear" w:color="auto" w:fill="auto"/>
              <w:snapToGrid w:val="0"/>
              <w:spacing w:line="240" w:lineRule="auto"/>
              <w:jc w:val="center"/>
              <w:rPr>
                <w:color w:val="000000"/>
                <w:sz w:val="18"/>
                <w:szCs w:val="18"/>
                <w:lang w:val="en-US"/>
              </w:rPr>
            </w:pPr>
          </w:p>
        </w:tc>
        <w:tc>
          <w:tcPr>
            <w:tcW w:w="1276" w:type="dxa"/>
            <w:vMerge w:val="continue"/>
            <w:tcBorders>
              <w:bottom w:val="single" w:color="auto" w:sz="8" w:space="0"/>
              <w:right w:val="single" w:color="auto" w:sz="8" w:space="0"/>
            </w:tcBorders>
            <w:shd w:val="clear" w:color="auto" w:fill="FFFFFF"/>
          </w:tcPr>
          <w:p>
            <w:pPr>
              <w:pStyle w:val="40"/>
              <w:shd w:val="clear" w:color="auto" w:fill="auto"/>
              <w:snapToGrid w:val="0"/>
              <w:spacing w:line="240" w:lineRule="auto"/>
              <w:jc w:val="center"/>
              <w:rPr>
                <w:color w:val="000000"/>
                <w:sz w:val="18"/>
                <w:szCs w:val="18"/>
                <w:lang w:val="en-US"/>
              </w:rPr>
            </w:pPr>
          </w:p>
        </w:tc>
      </w:tr>
    </w:tbl>
    <w:p>
      <w:pPr>
        <w:jc w:val="center"/>
        <w:rPr>
          <w:rFonts w:eastAsia="黑体"/>
          <w:bCs/>
          <w:color w:val="000000"/>
        </w:rPr>
      </w:pPr>
    </w:p>
    <w:p>
      <w:pPr>
        <w:jc w:val="center"/>
        <w:rPr>
          <w:color w:val="000000"/>
        </w:rPr>
      </w:pPr>
      <w:r>
        <w:drawing>
          <wp:inline distT="0" distB="0" distL="0" distR="0">
            <wp:extent cx="5621020" cy="3695700"/>
            <wp:effectExtent l="0" t="0" r="0" b="0"/>
            <wp:docPr id="158000457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0004576" name="图片 1"/>
                    <pic:cNvPicPr>
                      <a:picLocks noChangeAspect="1"/>
                    </pic:cNvPicPr>
                  </pic:nvPicPr>
                  <pic:blipFill>
                    <a:blip r:embed="rId19"/>
                    <a:stretch>
                      <a:fillRect/>
                    </a:stretch>
                  </pic:blipFill>
                  <pic:spPr>
                    <a:xfrm>
                      <a:off x="0" y="0"/>
                      <a:ext cx="5624211" cy="3697765"/>
                    </a:xfrm>
                    <a:prstGeom prst="rect">
                      <a:avLst/>
                    </a:prstGeom>
                  </pic:spPr>
                </pic:pic>
              </a:graphicData>
            </a:graphic>
          </wp:inline>
        </w:drawing>
      </w:r>
    </w:p>
    <w:p>
      <w:pPr>
        <w:ind w:firstLine="360" w:firstLineChars="200"/>
        <w:rPr>
          <w:color w:val="000000"/>
          <w:sz w:val="18"/>
          <w:szCs w:val="18"/>
        </w:rPr>
      </w:pPr>
      <w:r>
        <w:rPr>
          <w:color w:val="000000"/>
          <w:sz w:val="18"/>
          <w:szCs w:val="18"/>
        </w:rPr>
        <w:t>标引</w:t>
      </w:r>
      <w:r>
        <w:rPr>
          <w:rFonts w:hint="eastAsia"/>
          <w:color w:val="000000"/>
          <w:sz w:val="18"/>
          <w:szCs w:val="18"/>
        </w:rPr>
        <w:t>符</w:t>
      </w:r>
      <w:r>
        <w:rPr>
          <w:color w:val="000000"/>
          <w:sz w:val="18"/>
          <w:szCs w:val="18"/>
        </w:rPr>
        <w:t>号说明：</w:t>
      </w:r>
    </w:p>
    <w:p>
      <w:pPr>
        <w:ind w:firstLine="360" w:firstLineChars="200"/>
        <w:rPr>
          <w:color w:val="000000"/>
          <w:sz w:val="18"/>
          <w:szCs w:val="18"/>
        </w:rPr>
      </w:pPr>
      <w:r>
        <w:rPr>
          <w:i/>
          <w:iCs/>
          <w:color w:val="000000"/>
          <w:sz w:val="18"/>
          <w:szCs w:val="18"/>
        </w:rPr>
        <w:t>D</w:t>
      </w:r>
      <w:r>
        <w:rPr>
          <w:color w:val="000000"/>
          <w:sz w:val="18"/>
          <w:szCs w:val="18"/>
        </w:rPr>
        <w:t>—光管段外径</w:t>
      </w:r>
      <w:r>
        <w:rPr>
          <w:rFonts w:hint="eastAsia"/>
          <w:color w:val="000000"/>
          <w:sz w:val="18"/>
          <w:szCs w:val="18"/>
        </w:rPr>
        <w:t>；</w:t>
      </w:r>
    </w:p>
    <w:p>
      <w:pPr>
        <w:ind w:firstLine="360" w:firstLineChars="200"/>
        <w:rPr>
          <w:color w:val="000000"/>
          <w:sz w:val="18"/>
          <w:szCs w:val="18"/>
        </w:rPr>
      </w:pPr>
      <w:r>
        <w:rPr>
          <w:i/>
          <w:iCs/>
          <w:color w:val="000000"/>
          <w:sz w:val="18"/>
          <w:szCs w:val="18"/>
        </w:rPr>
        <w:t>T</w:t>
      </w:r>
      <w:r>
        <w:rPr>
          <w:color w:val="000000"/>
          <w:sz w:val="18"/>
          <w:szCs w:val="18"/>
        </w:rPr>
        <w:t>—光管段壁厚</w:t>
      </w:r>
      <w:r>
        <w:rPr>
          <w:rFonts w:hint="eastAsia"/>
          <w:color w:val="000000"/>
          <w:sz w:val="18"/>
          <w:szCs w:val="18"/>
        </w:rPr>
        <w:t>；</w:t>
      </w:r>
    </w:p>
    <w:p>
      <w:pPr>
        <w:ind w:firstLine="360" w:firstLineChars="200"/>
        <w:rPr>
          <w:color w:val="000000"/>
          <w:sz w:val="18"/>
          <w:szCs w:val="18"/>
        </w:rPr>
      </w:pPr>
      <w:r>
        <w:rPr>
          <w:i/>
          <w:iCs/>
          <w:color w:val="000000"/>
          <w:sz w:val="18"/>
          <w:szCs w:val="18"/>
        </w:rPr>
        <w:t>B</w:t>
      </w:r>
      <w:r>
        <w:rPr>
          <w:color w:val="000000"/>
          <w:sz w:val="18"/>
          <w:szCs w:val="18"/>
        </w:rPr>
        <w:t>—过渡</w:t>
      </w:r>
      <w:r>
        <w:rPr>
          <w:color w:val="000000" w:themeColor="text1"/>
          <w:sz w:val="18"/>
          <w:szCs w:val="18"/>
          <w14:textFill>
            <w14:solidFill>
              <w14:schemeClr w14:val="tx1"/>
            </w14:solidFill>
          </w14:textFill>
        </w:rPr>
        <w:t>段长度</w:t>
      </w:r>
      <w:r>
        <w:rPr>
          <w:rFonts w:hint="eastAsia"/>
          <w:color w:val="000000" w:themeColor="text1"/>
          <w:sz w:val="18"/>
          <w:szCs w:val="18"/>
          <w14:textFill>
            <w14:solidFill>
              <w14:schemeClr w14:val="tx1"/>
            </w14:solidFill>
          </w14:textFill>
        </w:rPr>
        <w:t>；</w:t>
      </w:r>
    </w:p>
    <w:p>
      <w:pPr>
        <w:ind w:firstLine="360" w:firstLineChars="200"/>
        <w:rPr>
          <w:color w:val="000000"/>
          <w:sz w:val="18"/>
          <w:szCs w:val="18"/>
        </w:rPr>
      </w:pPr>
      <w:r>
        <w:rPr>
          <w:i/>
          <w:iCs/>
          <w:color w:val="000000"/>
          <w:sz w:val="18"/>
          <w:szCs w:val="18"/>
        </w:rPr>
        <w:t>FPI</w:t>
      </w:r>
      <w:r>
        <w:rPr>
          <w:color w:val="000000"/>
          <w:sz w:val="18"/>
          <w:szCs w:val="18"/>
        </w:rPr>
        <w:t>—外翅翅片数（n/</w:t>
      </w:r>
      <w:r>
        <w:rPr>
          <w:rFonts w:hint="eastAsia"/>
          <w:color w:val="000000"/>
          <w:sz w:val="18"/>
          <w:szCs w:val="18"/>
        </w:rPr>
        <w:t>inch</w:t>
      </w:r>
      <w:r>
        <w:rPr>
          <w:color w:val="000000"/>
          <w:sz w:val="18"/>
          <w:szCs w:val="18"/>
        </w:rPr>
        <w:t>）</w:t>
      </w:r>
      <w:r>
        <w:rPr>
          <w:rFonts w:hint="eastAsia"/>
          <w:color w:val="000000"/>
          <w:sz w:val="18"/>
          <w:szCs w:val="18"/>
        </w:rPr>
        <w:t>；</w:t>
      </w:r>
    </w:p>
    <w:p>
      <w:pPr>
        <w:ind w:firstLine="360" w:firstLineChars="200"/>
        <w:rPr>
          <w:color w:val="000000"/>
          <w:sz w:val="18"/>
          <w:szCs w:val="18"/>
        </w:rPr>
      </w:pPr>
      <w:r>
        <w:rPr>
          <w:i/>
          <w:iCs/>
          <w:color w:val="000000"/>
          <w:sz w:val="18"/>
          <w:szCs w:val="18"/>
        </w:rPr>
        <w:t>H</w:t>
      </w:r>
      <w:r>
        <w:rPr>
          <w:i/>
          <w:iCs/>
          <w:color w:val="000000"/>
          <w:sz w:val="18"/>
          <w:szCs w:val="18"/>
          <w:vertAlign w:val="subscript"/>
        </w:rPr>
        <w:t>f</w:t>
      </w:r>
      <w:r>
        <w:rPr>
          <w:color w:val="000000"/>
          <w:sz w:val="18"/>
          <w:szCs w:val="18"/>
        </w:rPr>
        <w:t>—外翅高</w:t>
      </w:r>
      <w:r>
        <w:rPr>
          <w:rFonts w:hint="eastAsia"/>
          <w:color w:val="000000"/>
          <w:sz w:val="18"/>
          <w:szCs w:val="18"/>
        </w:rPr>
        <w:t>；</w:t>
      </w:r>
    </w:p>
    <w:p>
      <w:pPr>
        <w:ind w:firstLine="360" w:firstLineChars="200"/>
        <w:rPr>
          <w:color w:val="000000"/>
          <w:sz w:val="18"/>
          <w:szCs w:val="18"/>
        </w:rPr>
      </w:pPr>
      <w:r>
        <w:rPr>
          <w:i/>
          <w:iCs/>
          <w:color w:val="000000"/>
          <w:sz w:val="18"/>
          <w:szCs w:val="18"/>
        </w:rPr>
        <w:t>N</w:t>
      </w:r>
      <w:r>
        <w:rPr>
          <w:color w:val="000000"/>
          <w:sz w:val="18"/>
          <w:szCs w:val="18"/>
        </w:rPr>
        <w:t>—内齿条数</w:t>
      </w:r>
      <w:r>
        <w:rPr>
          <w:rFonts w:hint="eastAsia"/>
          <w:color w:val="000000"/>
          <w:sz w:val="18"/>
          <w:szCs w:val="18"/>
        </w:rPr>
        <w:t>；</w:t>
      </w:r>
    </w:p>
    <w:p>
      <w:pPr>
        <w:ind w:firstLine="360" w:firstLineChars="200"/>
        <w:rPr>
          <w:color w:val="000000"/>
          <w:sz w:val="18"/>
          <w:szCs w:val="18"/>
        </w:rPr>
      </w:pPr>
      <w:r>
        <w:rPr>
          <w:i/>
          <w:iCs/>
          <w:color w:val="000000"/>
          <w:sz w:val="18"/>
          <w:szCs w:val="18"/>
        </w:rPr>
        <w:t>R</w:t>
      </w:r>
      <w:r>
        <w:rPr>
          <w:i/>
          <w:iCs/>
          <w:color w:val="000000"/>
          <w:sz w:val="18"/>
          <w:szCs w:val="18"/>
          <w:vertAlign w:val="subscript"/>
        </w:rPr>
        <w:t>h</w:t>
      </w:r>
      <w:r>
        <w:rPr>
          <w:color w:val="000000"/>
          <w:sz w:val="18"/>
          <w:szCs w:val="18"/>
        </w:rPr>
        <w:t>—内齿高</w:t>
      </w:r>
      <w:r>
        <w:rPr>
          <w:rFonts w:hint="eastAsia"/>
          <w:color w:val="000000"/>
          <w:sz w:val="18"/>
          <w:szCs w:val="18"/>
        </w:rPr>
        <w:t>；</w:t>
      </w:r>
    </w:p>
    <w:p>
      <w:pPr>
        <w:ind w:firstLine="360" w:firstLineChars="200"/>
        <w:rPr>
          <w:color w:val="000000"/>
          <w:sz w:val="18"/>
          <w:szCs w:val="18"/>
        </w:rPr>
      </w:pPr>
      <w:r>
        <w:rPr>
          <w:i/>
          <w:iCs/>
          <w:color w:val="000000"/>
          <w:sz w:val="18"/>
          <w:szCs w:val="18"/>
        </w:rPr>
        <w:t>T</w:t>
      </w:r>
      <w:r>
        <w:rPr>
          <w:i/>
          <w:iCs/>
          <w:color w:val="000000"/>
          <w:sz w:val="18"/>
          <w:szCs w:val="18"/>
          <w:vertAlign w:val="subscript"/>
        </w:rPr>
        <w:t>f</w:t>
      </w:r>
      <w:r>
        <w:rPr>
          <w:color w:val="000000"/>
          <w:sz w:val="18"/>
          <w:szCs w:val="18"/>
        </w:rPr>
        <w:t>—成翅段底壁厚</w:t>
      </w:r>
      <w:r>
        <w:rPr>
          <w:rFonts w:hint="eastAsia"/>
          <w:color w:val="000000"/>
          <w:sz w:val="18"/>
          <w:szCs w:val="18"/>
        </w:rPr>
        <w:t>；</w:t>
      </w:r>
    </w:p>
    <w:p>
      <w:pPr>
        <w:ind w:firstLine="360" w:firstLineChars="200"/>
        <w:rPr>
          <w:color w:val="000000"/>
          <w:sz w:val="18"/>
          <w:szCs w:val="18"/>
        </w:rPr>
      </w:pPr>
      <w:r>
        <w:rPr>
          <w:i/>
          <w:iCs/>
          <w:color w:val="000000"/>
          <w:sz w:val="18"/>
          <w:szCs w:val="18"/>
        </w:rPr>
        <w:t>D</w:t>
      </w:r>
      <w:r>
        <w:rPr>
          <w:i/>
          <w:iCs/>
          <w:color w:val="000000"/>
          <w:sz w:val="18"/>
          <w:szCs w:val="18"/>
          <w:vertAlign w:val="subscript"/>
        </w:rPr>
        <w:t>f</w:t>
      </w:r>
      <w:bookmarkStart w:id="37" w:name="OLE_LINK38"/>
      <w:bookmarkStart w:id="38" w:name="OLE_LINK39"/>
      <w:r>
        <w:rPr>
          <w:color w:val="000000"/>
          <w:sz w:val="18"/>
          <w:szCs w:val="18"/>
        </w:rPr>
        <w:t>—成翅段外径</w:t>
      </w:r>
      <w:bookmarkEnd w:id="37"/>
      <w:bookmarkEnd w:id="38"/>
      <w:r>
        <w:rPr>
          <w:rFonts w:hint="eastAsia"/>
          <w:color w:val="000000"/>
          <w:sz w:val="18"/>
          <w:szCs w:val="18"/>
        </w:rPr>
        <w:t>；</w:t>
      </w:r>
    </w:p>
    <w:p>
      <w:pPr>
        <w:ind w:firstLine="360" w:firstLineChars="200"/>
        <w:rPr>
          <w:color w:val="000000"/>
          <w:sz w:val="18"/>
          <w:szCs w:val="18"/>
        </w:rPr>
      </w:pPr>
      <w:r>
        <w:rPr>
          <w:rFonts w:hint="eastAsia"/>
          <w:i/>
          <w:iCs/>
          <w:color w:val="000000"/>
          <w:sz w:val="18"/>
          <w:szCs w:val="18"/>
        </w:rPr>
        <w:t>β</w:t>
      </w:r>
      <w:r>
        <w:rPr>
          <w:color w:val="000000"/>
          <w:sz w:val="18"/>
          <w:szCs w:val="18"/>
        </w:rPr>
        <w:t>—</w:t>
      </w:r>
      <w:r>
        <w:rPr>
          <w:rFonts w:hint="eastAsia"/>
          <w:color w:val="000000"/>
          <w:sz w:val="18"/>
          <w:szCs w:val="18"/>
        </w:rPr>
        <w:t>内齿</w:t>
      </w:r>
      <w:r>
        <w:rPr>
          <w:color w:val="000000"/>
          <w:sz w:val="18"/>
          <w:szCs w:val="18"/>
        </w:rPr>
        <w:t>螺旋角</w:t>
      </w:r>
      <w:r>
        <w:rPr>
          <w:rFonts w:hint="eastAsia"/>
          <w:color w:val="000000"/>
          <w:sz w:val="18"/>
          <w:szCs w:val="18"/>
        </w:rPr>
        <w:t>。</w:t>
      </w:r>
    </w:p>
    <w:p>
      <w:pPr>
        <w:jc w:val="center"/>
        <w:rPr>
          <w:rFonts w:eastAsia="黑体"/>
          <w:bCs/>
          <w:color w:val="000000"/>
        </w:rPr>
      </w:pPr>
      <w:r>
        <w:rPr>
          <w:rFonts w:eastAsia="黑体"/>
          <w:bCs/>
          <w:color w:val="000000"/>
        </w:rPr>
        <w:t>图1 翅片管各部位名称示意图</w:t>
      </w:r>
    </w:p>
    <w:p>
      <w:pPr>
        <w:rPr>
          <w:color w:val="000000"/>
        </w:rPr>
      </w:pPr>
    </w:p>
    <w:p>
      <w:pPr>
        <w:pStyle w:val="56"/>
        <w:numPr>
          <w:ilvl w:val="1"/>
          <w:numId w:val="3"/>
        </w:numPr>
        <w:ind w:firstLineChars="0"/>
        <w:rPr>
          <w:rFonts w:eastAsia="黑体"/>
          <w:bCs/>
          <w:color w:val="000000"/>
        </w:rPr>
      </w:pPr>
      <w:r>
        <w:rPr>
          <w:rFonts w:eastAsia="黑体"/>
          <w:bCs/>
          <w:color w:val="000000"/>
        </w:rPr>
        <w:t>产品标记</w:t>
      </w:r>
    </w:p>
    <w:p>
      <w:pPr>
        <w:ind w:firstLine="525" w:firstLineChars="250"/>
        <w:rPr>
          <w:color w:val="000000"/>
          <w:szCs w:val="21"/>
        </w:rPr>
      </w:pPr>
      <w:r>
        <w:rPr>
          <w:color w:val="000000"/>
          <w:szCs w:val="21"/>
        </w:rPr>
        <w:t>产品标记按产品名称、</w:t>
      </w:r>
      <w:r>
        <w:rPr>
          <w:rFonts w:hint="eastAsia"/>
          <w:color w:val="000000"/>
          <w:szCs w:val="21"/>
        </w:rPr>
        <w:t>文件</w:t>
      </w:r>
      <w:r>
        <w:rPr>
          <w:color w:val="000000"/>
          <w:szCs w:val="21"/>
        </w:rPr>
        <w:t>编号、牌号、光管段状态、规格</w:t>
      </w:r>
      <w:r>
        <w:rPr>
          <w:rFonts w:hint="eastAsia"/>
          <w:color w:val="000000"/>
          <w:szCs w:val="21"/>
        </w:rPr>
        <w:t>、</w:t>
      </w:r>
      <w:r>
        <w:rPr>
          <w:color w:val="000000"/>
          <w:szCs w:val="21"/>
        </w:rPr>
        <w:t>图纸编号的顺序表示。标记示例如下：</w:t>
      </w:r>
    </w:p>
    <w:p>
      <w:pPr>
        <w:ind w:firstLine="420" w:firstLineChars="200"/>
        <w:jc w:val="left"/>
        <w:rPr>
          <w:color w:val="000000"/>
          <w:szCs w:val="21"/>
        </w:rPr>
      </w:pPr>
      <w:r>
        <w:rPr>
          <w:rFonts w:hint="eastAsia" w:ascii="黑体" w:hAnsi="黑体" w:eastAsia="黑体"/>
          <w:color w:val="000000"/>
          <w:szCs w:val="21"/>
        </w:rPr>
        <w:t>示例：</w:t>
      </w:r>
      <w:r>
        <w:rPr>
          <w:color w:val="000000"/>
          <w:szCs w:val="21"/>
        </w:rPr>
        <mc:AlternateContent>
          <mc:Choice Requires="wps">
            <w:drawing>
              <wp:inline distT="0" distB="0" distL="0" distR="0">
                <wp:extent cx="5927090" cy="902970"/>
                <wp:effectExtent l="5080" t="12065" r="11430" b="8890"/>
                <wp:docPr id="364242534" name="Text Box 9"/>
                <wp:cNvGraphicFramePr/>
                <a:graphic xmlns:a="http://schemas.openxmlformats.org/drawingml/2006/main">
                  <a:graphicData uri="http://schemas.microsoft.com/office/word/2010/wordprocessingShape">
                    <wps:wsp>
                      <wps:cNvSpPr txBox="1">
                        <a:spLocks noChangeArrowheads="1"/>
                      </wps:cNvSpPr>
                      <wps:spPr bwMode="auto">
                        <a:xfrm>
                          <a:off x="0" y="0"/>
                          <a:ext cx="5927090" cy="902970"/>
                        </a:xfrm>
                        <a:prstGeom prst="rect">
                          <a:avLst/>
                        </a:prstGeom>
                        <a:solidFill>
                          <a:srgbClr val="FFFFFF"/>
                        </a:solidFill>
                        <a:ln w="9525">
                          <a:solidFill>
                            <a:srgbClr val="000000"/>
                          </a:solidFill>
                          <a:miter lim="800000"/>
                        </a:ln>
                      </wps:spPr>
                      <wps:txbx>
                        <w:txbxContent>
                          <w:p>
                            <w:pPr>
                              <w:ind w:firstLine="455" w:firstLineChars="253"/>
                              <w:rPr>
                                <w:color w:val="000000"/>
                                <w:sz w:val="18"/>
                                <w:szCs w:val="18"/>
                              </w:rPr>
                            </w:pPr>
                            <w:r>
                              <w:rPr>
                                <w:rFonts w:hint="eastAsia"/>
                                <w:color w:val="000000"/>
                                <w:sz w:val="18"/>
                                <w:szCs w:val="18"/>
                              </w:rPr>
                              <w:t>用</w:t>
                            </w:r>
                            <w:r>
                              <w:rPr>
                                <w:color w:val="000000"/>
                                <w:sz w:val="18"/>
                                <w:szCs w:val="18"/>
                              </w:rPr>
                              <w:t>TP2</w:t>
                            </w:r>
                            <w:r>
                              <w:rPr>
                                <w:rFonts w:hint="eastAsia"/>
                                <w:color w:val="000000"/>
                                <w:sz w:val="18"/>
                                <w:szCs w:val="18"/>
                              </w:rPr>
                              <w:t>（代号</w:t>
                            </w:r>
                            <w:r>
                              <w:rPr>
                                <w:color w:val="000000"/>
                                <w:sz w:val="18"/>
                                <w:szCs w:val="18"/>
                              </w:rPr>
                              <w:t>C12200</w:t>
                            </w:r>
                            <w:r>
                              <w:rPr>
                                <w:rFonts w:hint="eastAsia"/>
                                <w:color w:val="000000"/>
                                <w:sz w:val="18"/>
                                <w:szCs w:val="18"/>
                              </w:rPr>
                              <w:t>）制造的、光管段状态为软化退火态、外径为</w:t>
                            </w:r>
                            <w:r>
                              <w:rPr>
                                <w:color w:val="000000"/>
                                <w:sz w:val="18"/>
                                <w:szCs w:val="18"/>
                              </w:rPr>
                              <w:t>19.05mm</w:t>
                            </w:r>
                            <w:r>
                              <w:rPr>
                                <w:rFonts w:hint="eastAsia"/>
                                <w:color w:val="000000"/>
                                <w:sz w:val="18"/>
                                <w:szCs w:val="18"/>
                              </w:rPr>
                              <w:t>、壁厚为</w:t>
                            </w:r>
                            <w:r>
                              <w:rPr>
                                <w:color w:val="000000"/>
                                <w:sz w:val="18"/>
                                <w:szCs w:val="18"/>
                              </w:rPr>
                              <w:t>1.04mm</w:t>
                            </w:r>
                            <w:r>
                              <w:rPr>
                                <w:rFonts w:hint="eastAsia"/>
                                <w:color w:val="000000"/>
                                <w:sz w:val="18"/>
                                <w:szCs w:val="18"/>
                              </w:rPr>
                              <w:t>、翅片滚轧后总长度为</w:t>
                            </w:r>
                            <w:r>
                              <w:rPr>
                                <w:color w:val="000000"/>
                                <w:sz w:val="18"/>
                                <w:szCs w:val="18"/>
                              </w:rPr>
                              <w:t>4750mm</w:t>
                            </w:r>
                            <w:r>
                              <w:rPr>
                                <w:rFonts w:hint="eastAsia"/>
                                <w:color w:val="000000"/>
                                <w:sz w:val="18"/>
                                <w:szCs w:val="18"/>
                              </w:rPr>
                              <w:t>、产品图纸编号为</w:t>
                            </w:r>
                            <w:r>
                              <w:rPr>
                                <w:color w:val="000000"/>
                                <w:sz w:val="18"/>
                                <w:szCs w:val="18"/>
                              </w:rPr>
                              <w:t>K500B7-015</w:t>
                            </w:r>
                            <w:r>
                              <w:rPr>
                                <w:rFonts w:hint="eastAsia"/>
                                <w:color w:val="000000"/>
                                <w:sz w:val="18"/>
                                <w:szCs w:val="18"/>
                              </w:rPr>
                              <w:t>的管材标记为：</w:t>
                            </w:r>
                          </w:p>
                          <w:p>
                            <w:pPr>
                              <w:ind w:firstLine="1350" w:firstLineChars="750"/>
                              <w:rPr>
                                <w:color w:val="000000"/>
                                <w:sz w:val="18"/>
                                <w:szCs w:val="18"/>
                              </w:rPr>
                            </w:pPr>
                            <w:bookmarkStart w:id="74" w:name="OLE_LINK40"/>
                            <w:bookmarkStart w:id="75" w:name="OLE_LINK41"/>
                            <w:r>
                              <w:rPr>
                                <w:rFonts w:hint="eastAsia"/>
                                <w:color w:val="000000"/>
                                <w:sz w:val="18"/>
                                <w:szCs w:val="18"/>
                              </w:rPr>
                              <w:t>翅片管</w:t>
                            </w:r>
                            <w:r>
                              <w:rPr>
                                <w:color w:val="000000"/>
                                <w:sz w:val="18"/>
                                <w:szCs w:val="18"/>
                              </w:rPr>
                              <w:t>GB/T19447-TP2 O60</w:t>
                            </w:r>
                            <w:r>
                              <w:rPr>
                                <w:rFonts w:hint="eastAsia"/>
                                <w:color w:val="000000"/>
                                <w:sz w:val="18"/>
                                <w:szCs w:val="18"/>
                              </w:rPr>
                              <w:t>￠</w:t>
                            </w:r>
                            <w:r>
                              <w:rPr>
                                <w:color w:val="000000"/>
                                <w:sz w:val="18"/>
                                <w:szCs w:val="18"/>
                              </w:rPr>
                              <w:t>19.05×1.04×4750</w:t>
                            </w:r>
                            <w:bookmarkEnd w:id="74"/>
                            <w:bookmarkEnd w:id="75"/>
                            <w:r>
                              <w:rPr>
                                <w:color w:val="000000"/>
                                <w:sz w:val="18"/>
                                <w:szCs w:val="18"/>
                              </w:rPr>
                              <w:t xml:space="preserve"> K500B7-015       </w:t>
                            </w:r>
                          </w:p>
                          <w:p>
                            <w:pPr>
                              <w:rPr>
                                <w:color w:val="000000"/>
                                <w:sz w:val="18"/>
                                <w:szCs w:val="18"/>
                              </w:rPr>
                            </w:pPr>
                            <w:r>
                              <w:rPr>
                                <w:color w:val="000000"/>
                                <w:sz w:val="18"/>
                                <w:szCs w:val="18"/>
                              </w:rPr>
                              <w:t xml:space="preserve">         </w:t>
                            </w:r>
                            <w:r>
                              <w:rPr>
                                <w:rFonts w:hint="eastAsia"/>
                                <w:color w:val="000000"/>
                                <w:sz w:val="18"/>
                                <w:szCs w:val="18"/>
                              </w:rPr>
                              <w:t>或</w:t>
                            </w:r>
                            <w:r>
                              <w:rPr>
                                <w:color w:val="000000"/>
                                <w:sz w:val="18"/>
                                <w:szCs w:val="18"/>
                              </w:rPr>
                              <w:t xml:space="preserve">    </w:t>
                            </w:r>
                            <w:r>
                              <w:rPr>
                                <w:rFonts w:hint="eastAsia"/>
                                <w:color w:val="000000"/>
                                <w:sz w:val="18"/>
                                <w:szCs w:val="18"/>
                              </w:rPr>
                              <w:t>翅片管</w:t>
                            </w:r>
                            <w:r>
                              <w:rPr>
                                <w:color w:val="000000"/>
                                <w:sz w:val="18"/>
                                <w:szCs w:val="18"/>
                              </w:rPr>
                              <w:t>GB/T19447-C12200 O60</w:t>
                            </w:r>
                            <w:r>
                              <w:rPr>
                                <w:rFonts w:hint="eastAsia"/>
                                <w:color w:val="000000"/>
                                <w:sz w:val="18"/>
                                <w:szCs w:val="18"/>
                              </w:rPr>
                              <w:t>￠</w:t>
                            </w:r>
                            <w:r>
                              <w:rPr>
                                <w:color w:val="000000"/>
                                <w:sz w:val="18"/>
                                <w:szCs w:val="18"/>
                              </w:rPr>
                              <w:t>19.05×1.04×4750</w:t>
                            </w:r>
                            <w:r>
                              <w:rPr>
                                <w:rFonts w:hint="eastAsia"/>
                                <w:color w:val="000000"/>
                                <w:sz w:val="18"/>
                                <w:szCs w:val="18"/>
                              </w:rPr>
                              <w:t xml:space="preserve"> </w:t>
                            </w:r>
                            <w:r>
                              <w:rPr>
                                <w:color w:val="000000"/>
                                <w:sz w:val="18"/>
                                <w:szCs w:val="18"/>
                              </w:rPr>
                              <w:t>K500B7-015</w:t>
                            </w:r>
                          </w:p>
                          <w:p/>
                        </w:txbxContent>
                      </wps:txbx>
                      <wps:bodyPr rot="0" vert="horz" wrap="square" lIns="91440" tIns="45720" rIns="91440" bIns="45720" anchor="t" anchorCtr="0" upright="1">
                        <a:noAutofit/>
                      </wps:bodyPr>
                    </wps:wsp>
                  </a:graphicData>
                </a:graphic>
              </wp:inline>
            </w:drawing>
          </mc:Choice>
          <mc:Fallback>
            <w:pict>
              <v:shape id="Text Box 9" o:spid="_x0000_s1026" o:spt="202" type="#_x0000_t202" style="height:71.1pt;width:466.7pt;" fillcolor="#FFFFFF" filled="t" stroked="t" coordsize="21600,21600" o:gfxdata="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">
                <v:fill on="t" focussize="0,0"/>
                <v:stroke color="#000000" miterlimit="8" joinstyle="miter"/>
                <v:imagedata o:title=""/>
                <o:lock v:ext="edit" aspectratio="f"/>
                <v:textbox>
                  <w:txbxContent>
                    <w:p>
                      <w:pPr>
                        <w:ind w:firstLine="455" w:firstLineChars="253"/>
                        <w:rPr>
                          <w:color w:val="000000"/>
                          <w:sz w:val="18"/>
                          <w:szCs w:val="18"/>
                        </w:rPr>
                      </w:pPr>
                      <w:r>
                        <w:rPr>
                          <w:rFonts w:hint="eastAsia"/>
                          <w:color w:val="000000"/>
                          <w:sz w:val="18"/>
                          <w:szCs w:val="18"/>
                        </w:rPr>
                        <w:t>用</w:t>
                      </w:r>
                      <w:r>
                        <w:rPr>
                          <w:color w:val="000000"/>
                          <w:sz w:val="18"/>
                          <w:szCs w:val="18"/>
                        </w:rPr>
                        <w:t>TP2</w:t>
                      </w:r>
                      <w:r>
                        <w:rPr>
                          <w:rFonts w:hint="eastAsia"/>
                          <w:color w:val="000000"/>
                          <w:sz w:val="18"/>
                          <w:szCs w:val="18"/>
                        </w:rPr>
                        <w:t>（代号</w:t>
                      </w:r>
                      <w:r>
                        <w:rPr>
                          <w:color w:val="000000"/>
                          <w:sz w:val="18"/>
                          <w:szCs w:val="18"/>
                        </w:rPr>
                        <w:t>C12200</w:t>
                      </w:r>
                      <w:r>
                        <w:rPr>
                          <w:rFonts w:hint="eastAsia"/>
                          <w:color w:val="000000"/>
                          <w:sz w:val="18"/>
                          <w:szCs w:val="18"/>
                        </w:rPr>
                        <w:t>）制造的、光管段状态为软化退火态、外径为</w:t>
                      </w:r>
                      <w:r>
                        <w:rPr>
                          <w:color w:val="000000"/>
                          <w:sz w:val="18"/>
                          <w:szCs w:val="18"/>
                        </w:rPr>
                        <w:t>19.05mm</w:t>
                      </w:r>
                      <w:r>
                        <w:rPr>
                          <w:rFonts w:hint="eastAsia"/>
                          <w:color w:val="000000"/>
                          <w:sz w:val="18"/>
                          <w:szCs w:val="18"/>
                        </w:rPr>
                        <w:t>、壁厚为</w:t>
                      </w:r>
                      <w:r>
                        <w:rPr>
                          <w:color w:val="000000"/>
                          <w:sz w:val="18"/>
                          <w:szCs w:val="18"/>
                        </w:rPr>
                        <w:t>1.04mm</w:t>
                      </w:r>
                      <w:r>
                        <w:rPr>
                          <w:rFonts w:hint="eastAsia"/>
                          <w:color w:val="000000"/>
                          <w:sz w:val="18"/>
                          <w:szCs w:val="18"/>
                        </w:rPr>
                        <w:t>、翅片滚轧后总长度为</w:t>
                      </w:r>
                      <w:r>
                        <w:rPr>
                          <w:color w:val="000000"/>
                          <w:sz w:val="18"/>
                          <w:szCs w:val="18"/>
                        </w:rPr>
                        <w:t>4750mm</w:t>
                      </w:r>
                      <w:r>
                        <w:rPr>
                          <w:rFonts w:hint="eastAsia"/>
                          <w:color w:val="000000"/>
                          <w:sz w:val="18"/>
                          <w:szCs w:val="18"/>
                        </w:rPr>
                        <w:t>、产品图纸编号为</w:t>
                      </w:r>
                      <w:r>
                        <w:rPr>
                          <w:color w:val="000000"/>
                          <w:sz w:val="18"/>
                          <w:szCs w:val="18"/>
                        </w:rPr>
                        <w:t>K500B7-015</w:t>
                      </w:r>
                      <w:r>
                        <w:rPr>
                          <w:rFonts w:hint="eastAsia"/>
                          <w:color w:val="000000"/>
                          <w:sz w:val="18"/>
                          <w:szCs w:val="18"/>
                        </w:rPr>
                        <w:t>的管材标记为：</w:t>
                      </w:r>
                    </w:p>
                    <w:p>
                      <w:pPr>
                        <w:ind w:firstLine="1350" w:firstLineChars="750"/>
                        <w:rPr>
                          <w:color w:val="000000"/>
                          <w:sz w:val="18"/>
                          <w:szCs w:val="18"/>
                        </w:rPr>
                      </w:pPr>
                      <w:bookmarkStart w:id="74" w:name="OLE_LINK40"/>
                      <w:bookmarkStart w:id="75" w:name="OLE_LINK41"/>
                      <w:r>
                        <w:rPr>
                          <w:rFonts w:hint="eastAsia"/>
                          <w:color w:val="000000"/>
                          <w:sz w:val="18"/>
                          <w:szCs w:val="18"/>
                        </w:rPr>
                        <w:t>翅片管</w:t>
                      </w:r>
                      <w:r>
                        <w:rPr>
                          <w:color w:val="000000"/>
                          <w:sz w:val="18"/>
                          <w:szCs w:val="18"/>
                        </w:rPr>
                        <w:t>GB/T19447-TP2 O60</w:t>
                      </w:r>
                      <w:r>
                        <w:rPr>
                          <w:rFonts w:hint="eastAsia"/>
                          <w:color w:val="000000"/>
                          <w:sz w:val="18"/>
                          <w:szCs w:val="18"/>
                        </w:rPr>
                        <w:t>￠</w:t>
                      </w:r>
                      <w:r>
                        <w:rPr>
                          <w:color w:val="000000"/>
                          <w:sz w:val="18"/>
                          <w:szCs w:val="18"/>
                        </w:rPr>
                        <w:t>19.05×1.04×4750</w:t>
                      </w:r>
                      <w:bookmarkEnd w:id="74"/>
                      <w:bookmarkEnd w:id="75"/>
                      <w:r>
                        <w:rPr>
                          <w:color w:val="000000"/>
                          <w:sz w:val="18"/>
                          <w:szCs w:val="18"/>
                        </w:rPr>
                        <w:t xml:space="preserve"> K500B7-015       </w:t>
                      </w:r>
                    </w:p>
                    <w:p>
                      <w:pPr>
                        <w:rPr>
                          <w:color w:val="000000"/>
                          <w:sz w:val="18"/>
                          <w:szCs w:val="18"/>
                        </w:rPr>
                      </w:pPr>
                      <w:r>
                        <w:rPr>
                          <w:color w:val="000000"/>
                          <w:sz w:val="18"/>
                          <w:szCs w:val="18"/>
                        </w:rPr>
                        <w:t xml:space="preserve">         </w:t>
                      </w:r>
                      <w:r>
                        <w:rPr>
                          <w:rFonts w:hint="eastAsia"/>
                          <w:color w:val="000000"/>
                          <w:sz w:val="18"/>
                          <w:szCs w:val="18"/>
                        </w:rPr>
                        <w:t>或</w:t>
                      </w:r>
                      <w:r>
                        <w:rPr>
                          <w:color w:val="000000"/>
                          <w:sz w:val="18"/>
                          <w:szCs w:val="18"/>
                        </w:rPr>
                        <w:t xml:space="preserve">    </w:t>
                      </w:r>
                      <w:r>
                        <w:rPr>
                          <w:rFonts w:hint="eastAsia"/>
                          <w:color w:val="000000"/>
                          <w:sz w:val="18"/>
                          <w:szCs w:val="18"/>
                        </w:rPr>
                        <w:t>翅片管</w:t>
                      </w:r>
                      <w:r>
                        <w:rPr>
                          <w:color w:val="000000"/>
                          <w:sz w:val="18"/>
                          <w:szCs w:val="18"/>
                        </w:rPr>
                        <w:t>GB/T19447-C12200 O60</w:t>
                      </w:r>
                      <w:r>
                        <w:rPr>
                          <w:rFonts w:hint="eastAsia"/>
                          <w:color w:val="000000"/>
                          <w:sz w:val="18"/>
                          <w:szCs w:val="18"/>
                        </w:rPr>
                        <w:t>￠</w:t>
                      </w:r>
                      <w:r>
                        <w:rPr>
                          <w:color w:val="000000"/>
                          <w:sz w:val="18"/>
                          <w:szCs w:val="18"/>
                        </w:rPr>
                        <w:t>19.05×1.04×4750</w:t>
                      </w:r>
                      <w:r>
                        <w:rPr>
                          <w:rFonts w:hint="eastAsia"/>
                          <w:color w:val="000000"/>
                          <w:sz w:val="18"/>
                          <w:szCs w:val="18"/>
                        </w:rPr>
                        <w:t xml:space="preserve"> </w:t>
                      </w:r>
                      <w:r>
                        <w:rPr>
                          <w:color w:val="000000"/>
                          <w:sz w:val="18"/>
                          <w:szCs w:val="18"/>
                        </w:rPr>
                        <w:t>K500B7-015</w:t>
                      </w:r>
                    </w:p>
                    <w:p/>
                  </w:txbxContent>
                </v:textbox>
                <w10:wrap type="none"/>
                <w10:anchorlock/>
              </v:shape>
            </w:pict>
          </mc:Fallback>
        </mc:AlternateContent>
      </w:r>
    </w:p>
    <w:p>
      <w:pPr>
        <w:rPr>
          <w:color w:val="000000"/>
          <w:szCs w:val="21"/>
        </w:rPr>
      </w:pPr>
    </w:p>
    <w:p>
      <w:pPr>
        <w:ind w:firstLine="546" w:firstLineChars="260"/>
        <w:rPr>
          <w:color w:val="000000"/>
          <w:szCs w:val="21"/>
        </w:rPr>
      </w:pPr>
    </w:p>
    <w:p>
      <w:pPr>
        <w:pStyle w:val="56"/>
        <w:numPr>
          <w:ilvl w:val="0"/>
          <w:numId w:val="2"/>
        </w:numPr>
        <w:ind w:firstLineChars="0"/>
        <w:rPr>
          <w:rFonts w:eastAsia="黑体"/>
          <w:bCs/>
          <w:color w:val="000000"/>
        </w:rPr>
      </w:pPr>
      <w:r>
        <w:rPr>
          <w:rFonts w:eastAsia="黑体"/>
          <w:bCs/>
          <w:color w:val="000000"/>
        </w:rPr>
        <w:t>技术要求</w:t>
      </w:r>
    </w:p>
    <w:p>
      <w:pPr>
        <w:pStyle w:val="56"/>
        <w:numPr>
          <w:ilvl w:val="1"/>
          <w:numId w:val="5"/>
        </w:numPr>
        <w:ind w:firstLineChars="0"/>
        <w:rPr>
          <w:rFonts w:eastAsia="黑体"/>
          <w:bCs/>
          <w:color w:val="000000"/>
        </w:rPr>
      </w:pPr>
      <w:r>
        <w:rPr>
          <w:rFonts w:eastAsia="黑体"/>
          <w:bCs/>
          <w:color w:val="000000"/>
        </w:rPr>
        <w:t>化学成分</w:t>
      </w:r>
    </w:p>
    <w:p>
      <w:pPr>
        <w:ind w:firstLine="420" w:firstLineChars="200"/>
        <w:rPr>
          <w:color w:val="000000"/>
        </w:rPr>
      </w:pPr>
      <w:r>
        <w:rPr>
          <w:color w:val="000000"/>
        </w:rPr>
        <w:t>管材的化学成分应符合GB/T 5231</w:t>
      </w:r>
      <w:r>
        <w:rPr>
          <w:rFonts w:hint="eastAsia"/>
          <w:color w:val="000000"/>
        </w:rPr>
        <w:t>中相应牌号</w:t>
      </w:r>
      <w:r>
        <w:rPr>
          <w:color w:val="000000"/>
        </w:rPr>
        <w:t>的规定。</w:t>
      </w:r>
    </w:p>
    <w:p>
      <w:pPr>
        <w:pStyle w:val="56"/>
        <w:numPr>
          <w:ilvl w:val="1"/>
          <w:numId w:val="5"/>
        </w:numPr>
        <w:ind w:firstLineChars="0"/>
        <w:rPr>
          <w:rFonts w:eastAsia="黑体"/>
          <w:bCs/>
          <w:color w:val="000000"/>
        </w:rPr>
      </w:pPr>
      <w:r>
        <w:rPr>
          <w:rFonts w:eastAsia="黑体"/>
          <w:bCs/>
          <w:color w:val="000000"/>
        </w:rPr>
        <w:t>尺寸及其</w:t>
      </w:r>
      <w:r>
        <w:rPr>
          <w:rFonts w:eastAsia="黑体"/>
          <w:bCs/>
        </w:rPr>
        <w:t>允许</w:t>
      </w:r>
      <w:r>
        <w:rPr>
          <w:rFonts w:eastAsia="黑体"/>
          <w:bCs/>
          <w:color w:val="000000"/>
        </w:rPr>
        <w:t>偏差</w:t>
      </w:r>
    </w:p>
    <w:p>
      <w:pPr>
        <w:pStyle w:val="56"/>
        <w:numPr>
          <w:ilvl w:val="2"/>
          <w:numId w:val="6"/>
        </w:numPr>
        <w:ind w:firstLineChars="0"/>
        <w:rPr>
          <w:rFonts w:eastAsia="黑体"/>
          <w:bCs/>
          <w:color w:val="000000"/>
        </w:rPr>
      </w:pPr>
      <w:r>
        <w:rPr>
          <w:rFonts w:eastAsia="黑体"/>
          <w:bCs/>
          <w:color w:val="000000"/>
        </w:rPr>
        <w:t>外径及其</w:t>
      </w:r>
      <w:r>
        <w:rPr>
          <w:rFonts w:eastAsia="黑体"/>
          <w:bCs/>
        </w:rPr>
        <w:t>允许</w:t>
      </w:r>
      <w:r>
        <w:rPr>
          <w:rFonts w:eastAsia="黑体"/>
          <w:bCs/>
          <w:color w:val="000000"/>
        </w:rPr>
        <w:t>偏差</w:t>
      </w:r>
    </w:p>
    <w:p>
      <w:pPr>
        <w:ind w:firstLine="315" w:firstLineChars="150"/>
        <w:rPr>
          <w:color w:val="000000"/>
        </w:rPr>
      </w:pPr>
      <w:r>
        <w:rPr>
          <w:color w:val="000000"/>
        </w:rPr>
        <w:t>管材的光管段外径及其</w:t>
      </w:r>
      <w:r>
        <w:t>允许</w:t>
      </w:r>
      <w:r>
        <w:rPr>
          <w:color w:val="000000"/>
        </w:rPr>
        <w:t>偏差应符合表</w:t>
      </w:r>
      <w:r>
        <w:rPr>
          <w:rFonts w:hint="eastAsia"/>
          <w:color w:val="000000"/>
        </w:rPr>
        <w:t>2</w:t>
      </w:r>
      <w:r>
        <w:rPr>
          <w:color w:val="000000"/>
        </w:rPr>
        <w:t>的规定。</w:t>
      </w:r>
    </w:p>
    <w:p>
      <w:pPr>
        <w:jc w:val="center"/>
        <w:rPr>
          <w:rFonts w:eastAsia="黑体"/>
          <w:bCs/>
          <w:color w:val="000000"/>
        </w:rPr>
      </w:pPr>
    </w:p>
    <w:p>
      <w:pPr>
        <w:jc w:val="center"/>
        <w:rPr>
          <w:color w:val="000000"/>
        </w:rPr>
      </w:pPr>
      <w:r>
        <w:rPr>
          <w:rFonts w:eastAsia="黑体"/>
          <w:bCs/>
          <w:color w:val="000000"/>
        </w:rPr>
        <w:t>表</w:t>
      </w:r>
      <w:r>
        <w:rPr>
          <w:rFonts w:hint="eastAsia" w:eastAsia="黑体"/>
          <w:bCs/>
          <w:color w:val="000000"/>
        </w:rPr>
        <w:t>2</w:t>
      </w:r>
      <w:r>
        <w:rPr>
          <w:rFonts w:eastAsia="黑体"/>
          <w:bCs/>
          <w:color w:val="000000"/>
        </w:rPr>
        <w:t xml:space="preserve">  光管段外径及其</w:t>
      </w:r>
      <w:r>
        <w:rPr>
          <w:rFonts w:eastAsia="黑体"/>
          <w:bCs/>
        </w:rPr>
        <w:t>允许</w:t>
      </w:r>
      <w:r>
        <w:rPr>
          <w:rFonts w:eastAsia="黑体"/>
          <w:bCs/>
          <w:color w:val="000000"/>
        </w:rPr>
        <w:t>偏差</w:t>
      </w:r>
    </w:p>
    <w:p>
      <w:pPr>
        <w:jc w:val="right"/>
        <w:rPr>
          <w:color w:val="000000"/>
        </w:rPr>
      </w:pPr>
      <w:r>
        <w:rPr>
          <w:color w:val="000000"/>
          <w:sz w:val="18"/>
          <w:szCs w:val="18"/>
        </w:rPr>
        <w:t>单位为毫米</w:t>
      </w:r>
    </w:p>
    <w:tbl>
      <w:tblPr>
        <w:tblStyle w:val="16"/>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785"/>
        <w:gridCol w:w="47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00" w:type="pct"/>
            <w:tcBorders>
              <w:top w:val="single" w:color="auto" w:sz="8" w:space="0"/>
              <w:left w:val="single" w:color="auto" w:sz="8" w:space="0"/>
              <w:bottom w:val="single" w:color="auto" w:sz="8" w:space="0"/>
            </w:tcBorders>
            <w:vAlign w:val="center"/>
          </w:tcPr>
          <w:p>
            <w:pPr>
              <w:jc w:val="center"/>
              <w:rPr>
                <w:color w:val="000000"/>
                <w:sz w:val="18"/>
                <w:szCs w:val="18"/>
              </w:rPr>
            </w:pPr>
            <w:r>
              <w:rPr>
                <w:color w:val="000000"/>
                <w:sz w:val="18"/>
                <w:szCs w:val="18"/>
              </w:rPr>
              <w:t>直径</w:t>
            </w:r>
          </w:p>
        </w:tc>
        <w:tc>
          <w:tcPr>
            <w:tcW w:w="2500" w:type="pct"/>
            <w:tcBorders>
              <w:top w:val="single" w:color="auto" w:sz="8" w:space="0"/>
              <w:bottom w:val="single" w:color="auto" w:sz="8" w:space="0"/>
              <w:right w:val="single" w:color="auto" w:sz="8" w:space="0"/>
            </w:tcBorders>
            <w:vAlign w:val="center"/>
          </w:tcPr>
          <w:p>
            <w:pPr>
              <w:jc w:val="center"/>
              <w:rPr>
                <w:color w:val="000000"/>
                <w:sz w:val="18"/>
                <w:szCs w:val="18"/>
              </w:rPr>
            </w:pPr>
            <w:r>
              <w:rPr>
                <w:sz w:val="18"/>
                <w:szCs w:val="18"/>
              </w:rPr>
              <w:t>允许</w:t>
            </w:r>
            <w:r>
              <w:rPr>
                <w:color w:val="000000"/>
                <w:sz w:val="18"/>
                <w:szCs w:val="18"/>
              </w:rPr>
              <w:t>偏差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00" w:type="pct"/>
            <w:tcBorders>
              <w:top w:val="single" w:color="auto" w:sz="8" w:space="0"/>
              <w:left w:val="single" w:color="auto" w:sz="8" w:space="0"/>
            </w:tcBorders>
            <w:vAlign w:val="center"/>
          </w:tcPr>
          <w:p>
            <w:pPr>
              <w:jc w:val="center"/>
              <w:rPr>
                <w:color w:val="000000"/>
                <w:sz w:val="18"/>
                <w:szCs w:val="18"/>
              </w:rPr>
            </w:pPr>
            <w:r>
              <w:rPr>
                <w:rFonts w:hint="eastAsia"/>
                <w:color w:val="000000"/>
                <w:sz w:val="18"/>
                <w:szCs w:val="18"/>
              </w:rPr>
              <w:t>≤</w:t>
            </w:r>
            <w:r>
              <w:rPr>
                <w:color w:val="000000"/>
                <w:sz w:val="18"/>
                <w:szCs w:val="18"/>
              </w:rPr>
              <w:t>12.0</w:t>
            </w:r>
            <w:r>
              <w:rPr>
                <w:rFonts w:hint="eastAsia"/>
                <w:color w:val="000000"/>
                <w:sz w:val="18"/>
                <w:szCs w:val="18"/>
              </w:rPr>
              <w:t>0</w:t>
            </w:r>
          </w:p>
        </w:tc>
        <w:tc>
          <w:tcPr>
            <w:tcW w:w="2500" w:type="pct"/>
            <w:tcBorders>
              <w:top w:val="single" w:color="auto" w:sz="8" w:space="0"/>
              <w:right w:val="single" w:color="auto" w:sz="8" w:space="0"/>
            </w:tcBorders>
            <w:vAlign w:val="center"/>
          </w:tcPr>
          <w:p>
            <w:pPr>
              <w:jc w:val="center"/>
              <w:rPr>
                <w:color w:val="000000"/>
                <w:sz w:val="18"/>
                <w:szCs w:val="18"/>
              </w:rPr>
            </w:pPr>
            <w:r>
              <w:rPr>
                <w:color w:val="000000"/>
                <w:sz w:val="18"/>
                <w:szCs w:val="18"/>
              </w:rPr>
              <w:t>±0.05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00" w:type="pct"/>
            <w:tcBorders>
              <w:left w:val="single" w:color="auto" w:sz="8" w:space="0"/>
            </w:tcBorders>
            <w:vAlign w:val="center"/>
          </w:tcPr>
          <w:p>
            <w:pPr>
              <w:jc w:val="center"/>
              <w:rPr>
                <w:color w:val="000000"/>
                <w:sz w:val="18"/>
                <w:szCs w:val="18"/>
              </w:rPr>
            </w:pPr>
            <w:r>
              <w:rPr>
                <w:color w:val="000000"/>
                <w:sz w:val="18"/>
                <w:szCs w:val="18"/>
              </w:rPr>
              <w:t>＞12.0</w:t>
            </w:r>
            <w:r>
              <w:rPr>
                <w:rFonts w:hint="eastAsia"/>
                <w:color w:val="000000"/>
                <w:sz w:val="18"/>
                <w:szCs w:val="18"/>
              </w:rPr>
              <w:t>0</w:t>
            </w:r>
            <w:r>
              <w:rPr>
                <w:color w:val="000000"/>
                <w:sz w:val="18"/>
                <w:szCs w:val="18"/>
              </w:rPr>
              <w:t>~18.0</w:t>
            </w:r>
            <w:r>
              <w:rPr>
                <w:rFonts w:hint="eastAsia"/>
                <w:color w:val="000000"/>
                <w:sz w:val="18"/>
                <w:szCs w:val="18"/>
              </w:rPr>
              <w:t>0</w:t>
            </w:r>
          </w:p>
        </w:tc>
        <w:tc>
          <w:tcPr>
            <w:tcW w:w="2500" w:type="pct"/>
            <w:tcBorders>
              <w:right w:val="single" w:color="auto" w:sz="8" w:space="0"/>
            </w:tcBorders>
            <w:vAlign w:val="center"/>
          </w:tcPr>
          <w:p>
            <w:pPr>
              <w:jc w:val="center"/>
              <w:rPr>
                <w:color w:val="000000"/>
                <w:sz w:val="18"/>
                <w:szCs w:val="18"/>
              </w:rPr>
            </w:pPr>
            <w:r>
              <w:rPr>
                <w:color w:val="000000"/>
                <w:sz w:val="18"/>
                <w:szCs w:val="18"/>
              </w:rPr>
              <w:t xml:space="preserve">±0.06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00" w:type="pct"/>
            <w:tcBorders>
              <w:left w:val="single" w:color="auto" w:sz="8" w:space="0"/>
              <w:bottom w:val="single" w:color="auto" w:sz="8" w:space="0"/>
            </w:tcBorders>
            <w:vAlign w:val="center"/>
          </w:tcPr>
          <w:p>
            <w:pPr>
              <w:jc w:val="center"/>
              <w:rPr>
                <w:color w:val="000000"/>
                <w:sz w:val="18"/>
                <w:szCs w:val="18"/>
              </w:rPr>
            </w:pPr>
            <w:r>
              <w:rPr>
                <w:color w:val="000000"/>
                <w:sz w:val="18"/>
                <w:szCs w:val="18"/>
              </w:rPr>
              <w:t>＞ 18.0</w:t>
            </w:r>
            <w:r>
              <w:rPr>
                <w:rFonts w:hint="eastAsia"/>
                <w:color w:val="000000"/>
                <w:sz w:val="18"/>
                <w:szCs w:val="18"/>
              </w:rPr>
              <w:t>0</w:t>
            </w:r>
            <w:r>
              <w:rPr>
                <w:color w:val="000000"/>
                <w:sz w:val="18"/>
                <w:szCs w:val="18"/>
              </w:rPr>
              <w:t>~30.0</w:t>
            </w:r>
            <w:r>
              <w:rPr>
                <w:rFonts w:hint="eastAsia"/>
                <w:color w:val="000000"/>
                <w:sz w:val="18"/>
                <w:szCs w:val="18"/>
              </w:rPr>
              <w:t>0</w:t>
            </w:r>
          </w:p>
        </w:tc>
        <w:tc>
          <w:tcPr>
            <w:tcW w:w="2500" w:type="pct"/>
            <w:tcBorders>
              <w:bottom w:val="single" w:color="auto" w:sz="8" w:space="0"/>
              <w:right w:val="single" w:color="auto" w:sz="8" w:space="0"/>
            </w:tcBorders>
            <w:vAlign w:val="center"/>
          </w:tcPr>
          <w:p>
            <w:pPr>
              <w:jc w:val="center"/>
              <w:rPr>
                <w:color w:val="000000"/>
                <w:sz w:val="18"/>
                <w:szCs w:val="18"/>
              </w:rPr>
            </w:pPr>
            <w:r>
              <w:rPr>
                <w:color w:val="000000"/>
                <w:sz w:val="18"/>
                <w:szCs w:val="18"/>
              </w:rPr>
              <w:t>±0.08</w:t>
            </w:r>
          </w:p>
        </w:tc>
      </w:tr>
    </w:tbl>
    <w:p>
      <w:pPr>
        <w:pStyle w:val="56"/>
        <w:numPr>
          <w:ilvl w:val="2"/>
          <w:numId w:val="6"/>
        </w:numPr>
        <w:ind w:firstLineChars="0"/>
        <w:rPr>
          <w:rFonts w:eastAsia="黑体"/>
          <w:bCs/>
          <w:color w:val="000000"/>
        </w:rPr>
      </w:pPr>
      <w:r>
        <w:rPr>
          <w:rFonts w:eastAsia="黑体"/>
          <w:bCs/>
          <w:color w:val="000000"/>
        </w:rPr>
        <w:t>壁厚及其</w:t>
      </w:r>
      <w:r>
        <w:rPr>
          <w:rFonts w:eastAsia="黑体"/>
          <w:bCs/>
        </w:rPr>
        <w:t>允许</w:t>
      </w:r>
      <w:r>
        <w:rPr>
          <w:rFonts w:eastAsia="黑体"/>
          <w:bCs/>
          <w:color w:val="000000"/>
        </w:rPr>
        <w:t>偏差</w:t>
      </w:r>
    </w:p>
    <w:p>
      <w:pPr>
        <w:pStyle w:val="56"/>
        <w:numPr>
          <w:ilvl w:val="3"/>
          <w:numId w:val="7"/>
        </w:numPr>
        <w:ind w:firstLineChars="0"/>
        <w:rPr>
          <w:color w:val="000000"/>
        </w:rPr>
      </w:pPr>
      <w:r>
        <w:rPr>
          <w:color w:val="000000"/>
        </w:rPr>
        <w:t>管材成翅段的最薄壁厚</w:t>
      </w:r>
      <w:r>
        <w:rPr>
          <w:rFonts w:hint="eastAsia"/>
          <w:color w:val="000000"/>
        </w:rPr>
        <w:t>应不</w:t>
      </w:r>
      <w:r>
        <w:rPr>
          <w:color w:val="000000"/>
        </w:rPr>
        <w:t>小于规定的最小厚度（按需方图纸规定）。翅片高度、外翅片数、内齿螺旋角、内齿高、内齿条数按图纸规定进行。</w:t>
      </w:r>
    </w:p>
    <w:p>
      <w:pPr>
        <w:pStyle w:val="56"/>
        <w:numPr>
          <w:ilvl w:val="3"/>
          <w:numId w:val="7"/>
        </w:numPr>
        <w:ind w:firstLineChars="0"/>
        <w:rPr>
          <w:color w:val="000000"/>
        </w:rPr>
      </w:pPr>
      <w:r>
        <w:rPr>
          <w:bCs/>
          <w:color w:val="000000"/>
        </w:rPr>
        <w:t>牌号为TU00、TU1、TU2、TP1和TP2</w:t>
      </w:r>
      <w:bookmarkStart w:id="39" w:name="OLE_LINK45"/>
      <w:bookmarkStart w:id="40" w:name="OLE_LINK46"/>
      <w:bookmarkStart w:id="41" w:name="OLE_LINK65"/>
      <w:bookmarkStart w:id="42" w:name="OLE_LINK69"/>
      <w:bookmarkStart w:id="43" w:name="OLE_LINK68"/>
      <w:r>
        <w:rPr>
          <w:color w:val="000000"/>
        </w:rPr>
        <w:t>管材的光管段的壁厚</w:t>
      </w:r>
      <w:r>
        <w:t>允许</w:t>
      </w:r>
      <w:r>
        <w:rPr>
          <w:color w:val="000000"/>
        </w:rPr>
        <w:t>偏差不大于管材公称壁厚</w:t>
      </w:r>
      <w:r>
        <w:rPr>
          <w:rFonts w:hint="eastAsia"/>
          <w:color w:val="000000"/>
        </w:rPr>
        <w:t>的</w:t>
      </w:r>
      <w:r>
        <w:rPr>
          <w:color w:val="000000"/>
        </w:rPr>
        <w:t>±7%</w:t>
      </w:r>
      <w:bookmarkEnd w:id="39"/>
      <w:bookmarkEnd w:id="40"/>
      <w:bookmarkEnd w:id="41"/>
      <w:r>
        <w:rPr>
          <w:color w:val="000000"/>
        </w:rPr>
        <w:t>。牌号为HA177-2、HSn70-l、BFe10-1-1和BFe30-1-1管材光管段的壁厚</w:t>
      </w:r>
      <w:r>
        <w:t>允许</w:t>
      </w:r>
      <w:r>
        <w:rPr>
          <w:color w:val="000000"/>
        </w:rPr>
        <w:t>偏差不大于管材公称壁厚</w:t>
      </w:r>
      <w:r>
        <w:rPr>
          <w:rFonts w:hint="eastAsia"/>
          <w:color w:val="000000"/>
        </w:rPr>
        <w:t>的</w:t>
      </w:r>
      <w:r>
        <w:rPr>
          <w:color w:val="000000"/>
        </w:rPr>
        <w:t>±8%</w:t>
      </w:r>
      <w:bookmarkEnd w:id="42"/>
      <w:bookmarkEnd w:id="43"/>
    </w:p>
    <w:p>
      <w:pPr>
        <w:pStyle w:val="56"/>
        <w:numPr>
          <w:ilvl w:val="2"/>
          <w:numId w:val="6"/>
        </w:numPr>
        <w:ind w:firstLineChars="0"/>
        <w:rPr>
          <w:rFonts w:eastAsia="黑体"/>
          <w:bCs/>
          <w:color w:val="000000"/>
        </w:rPr>
      </w:pPr>
      <w:r>
        <w:rPr>
          <w:rFonts w:eastAsia="黑体"/>
          <w:bCs/>
          <w:color w:val="000000"/>
        </w:rPr>
        <w:t>长度及其允许偏差</w:t>
      </w:r>
    </w:p>
    <w:p>
      <w:pPr>
        <w:pStyle w:val="56"/>
        <w:numPr>
          <w:ilvl w:val="3"/>
          <w:numId w:val="8"/>
        </w:numPr>
        <w:ind w:firstLineChars="0"/>
        <w:rPr>
          <w:color w:val="000000"/>
        </w:rPr>
      </w:pPr>
      <w:r>
        <w:rPr>
          <w:bCs/>
          <w:color w:val="000000"/>
        </w:rPr>
        <w:t>管</w:t>
      </w:r>
      <w:r>
        <w:rPr>
          <w:color w:val="000000"/>
        </w:rPr>
        <w:t>材的长度及其</w:t>
      </w:r>
      <w:r>
        <w:t>允许</w:t>
      </w:r>
      <w:r>
        <w:rPr>
          <w:color w:val="000000"/>
        </w:rPr>
        <w:t>偏差应符合表</w:t>
      </w:r>
      <w:r>
        <w:rPr>
          <w:rFonts w:hint="eastAsia"/>
          <w:color w:val="000000"/>
        </w:rPr>
        <w:t>3</w:t>
      </w:r>
      <w:r>
        <w:rPr>
          <w:color w:val="000000"/>
        </w:rPr>
        <w:t>的规定。</w:t>
      </w:r>
    </w:p>
    <w:p>
      <w:pPr>
        <w:jc w:val="center"/>
        <w:rPr>
          <w:color w:val="000000"/>
        </w:rPr>
      </w:pPr>
      <w:r>
        <w:rPr>
          <w:rFonts w:eastAsia="黑体"/>
          <w:bCs/>
          <w:color w:val="000000"/>
        </w:rPr>
        <w:t>表</w:t>
      </w:r>
      <w:r>
        <w:rPr>
          <w:rFonts w:hint="eastAsia" w:eastAsia="黑体"/>
          <w:bCs/>
          <w:color w:val="000000"/>
        </w:rPr>
        <w:t>3</w:t>
      </w:r>
      <w:r>
        <w:rPr>
          <w:rFonts w:eastAsia="黑体"/>
          <w:bCs/>
          <w:color w:val="000000"/>
        </w:rPr>
        <w:t xml:space="preserve">  管材的长度及其</w:t>
      </w:r>
      <w:r>
        <w:rPr>
          <w:rFonts w:eastAsia="黑体"/>
          <w:bCs/>
        </w:rPr>
        <w:t>允许</w:t>
      </w:r>
      <w:r>
        <w:rPr>
          <w:rFonts w:eastAsia="黑体"/>
          <w:bCs/>
          <w:color w:val="000000"/>
        </w:rPr>
        <w:t>偏差</w:t>
      </w:r>
    </w:p>
    <w:p>
      <w:pPr>
        <w:wordWrap w:val="0"/>
        <w:jc w:val="right"/>
        <w:rPr>
          <w:color w:val="000000"/>
        </w:rPr>
      </w:pPr>
      <w:r>
        <w:rPr>
          <w:color w:val="000000"/>
          <w:sz w:val="18"/>
          <w:szCs w:val="18"/>
        </w:rPr>
        <w:t>单位为毫米</w:t>
      </w:r>
    </w:p>
    <w:tbl>
      <w:tblPr>
        <w:tblStyle w:val="16"/>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785"/>
        <w:gridCol w:w="47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00" w:type="pct"/>
            <w:tcBorders>
              <w:top w:val="single" w:color="auto" w:sz="8" w:space="0"/>
              <w:left w:val="single" w:color="auto" w:sz="8" w:space="0"/>
              <w:bottom w:val="single" w:color="auto" w:sz="8" w:space="0"/>
            </w:tcBorders>
            <w:vAlign w:val="center"/>
          </w:tcPr>
          <w:p>
            <w:pPr>
              <w:jc w:val="center"/>
              <w:rPr>
                <w:color w:val="000000"/>
                <w:sz w:val="18"/>
                <w:szCs w:val="18"/>
              </w:rPr>
            </w:pPr>
            <w:r>
              <w:rPr>
                <w:color w:val="000000"/>
                <w:sz w:val="18"/>
                <w:szCs w:val="18"/>
              </w:rPr>
              <w:t>长度</w:t>
            </w:r>
          </w:p>
        </w:tc>
        <w:tc>
          <w:tcPr>
            <w:tcW w:w="2500" w:type="pct"/>
            <w:tcBorders>
              <w:top w:val="single" w:color="auto" w:sz="8" w:space="0"/>
              <w:bottom w:val="single" w:color="auto" w:sz="8" w:space="0"/>
              <w:right w:val="single" w:color="auto" w:sz="8" w:space="0"/>
            </w:tcBorders>
            <w:vAlign w:val="center"/>
          </w:tcPr>
          <w:p>
            <w:pPr>
              <w:jc w:val="center"/>
              <w:rPr>
                <w:color w:val="000000"/>
                <w:sz w:val="18"/>
                <w:szCs w:val="18"/>
              </w:rPr>
            </w:pPr>
            <w:r>
              <w:rPr>
                <w:sz w:val="18"/>
                <w:szCs w:val="18"/>
              </w:rPr>
              <w:t>允许</w:t>
            </w:r>
            <w:r>
              <w:rPr>
                <w:color w:val="000000"/>
                <w:sz w:val="18"/>
                <w:szCs w:val="18"/>
              </w:rPr>
              <w:t>偏差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00" w:type="pct"/>
            <w:tcBorders>
              <w:top w:val="single" w:color="auto" w:sz="8" w:space="0"/>
              <w:left w:val="single" w:color="auto" w:sz="8" w:space="0"/>
            </w:tcBorders>
            <w:vAlign w:val="center"/>
          </w:tcPr>
          <w:p>
            <w:pPr>
              <w:jc w:val="center"/>
              <w:rPr>
                <w:color w:val="000000"/>
                <w:sz w:val="18"/>
                <w:szCs w:val="18"/>
              </w:rPr>
            </w:pPr>
            <w:r>
              <w:rPr>
                <w:rFonts w:hint="eastAsia"/>
                <w:color w:val="000000"/>
                <w:sz w:val="18"/>
                <w:szCs w:val="18"/>
              </w:rPr>
              <w:t>≤</w:t>
            </w:r>
            <w:r>
              <w:rPr>
                <w:color w:val="000000"/>
                <w:sz w:val="18"/>
                <w:szCs w:val="18"/>
              </w:rPr>
              <w:t>6000</w:t>
            </w:r>
          </w:p>
        </w:tc>
        <w:tc>
          <w:tcPr>
            <w:tcW w:w="2500" w:type="pct"/>
            <w:tcBorders>
              <w:top w:val="single" w:color="auto" w:sz="8" w:space="0"/>
              <w:right w:val="single" w:color="auto" w:sz="8" w:space="0"/>
            </w:tcBorders>
            <w:vAlign w:val="center"/>
          </w:tcPr>
          <w:p>
            <w:pPr>
              <w:jc w:val="center"/>
              <w:rPr>
                <w:color w:val="000000"/>
                <w:sz w:val="18"/>
                <w:szCs w:val="18"/>
              </w:rPr>
            </w:pPr>
            <w:r>
              <w:rPr>
                <w:color w:val="000000"/>
                <w:sz w:val="18"/>
                <w:szCs w:val="18"/>
              </w:rPr>
              <w:t>+3</w:t>
            </w:r>
          </w:p>
          <w:p>
            <w:pPr>
              <w:jc w:val="center"/>
              <w:rPr>
                <w:color w:val="000000"/>
                <w:sz w:val="18"/>
                <w:szCs w:val="18"/>
              </w:rPr>
            </w:pPr>
            <w:r>
              <w:rPr>
                <w:rFonts w:hint="eastAsia"/>
                <w:color w:val="000000"/>
                <w:sz w:val="18"/>
                <w:szCs w:val="18"/>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00" w:type="pct"/>
            <w:tcBorders>
              <w:left w:val="single" w:color="auto" w:sz="8" w:space="0"/>
            </w:tcBorders>
            <w:vAlign w:val="center"/>
          </w:tcPr>
          <w:p>
            <w:pPr>
              <w:jc w:val="center"/>
              <w:rPr>
                <w:color w:val="000000"/>
                <w:sz w:val="18"/>
                <w:szCs w:val="18"/>
              </w:rPr>
            </w:pPr>
            <w:r>
              <w:rPr>
                <w:color w:val="000000"/>
                <w:sz w:val="18"/>
                <w:szCs w:val="18"/>
              </w:rPr>
              <w:t>＞6000~10000</w:t>
            </w:r>
          </w:p>
        </w:tc>
        <w:tc>
          <w:tcPr>
            <w:tcW w:w="2500" w:type="pct"/>
            <w:tcBorders>
              <w:right w:val="single" w:color="auto" w:sz="8" w:space="0"/>
            </w:tcBorders>
            <w:vAlign w:val="center"/>
          </w:tcPr>
          <w:p>
            <w:pPr>
              <w:jc w:val="center"/>
              <w:rPr>
                <w:color w:val="000000"/>
                <w:sz w:val="18"/>
                <w:szCs w:val="18"/>
              </w:rPr>
            </w:pPr>
            <w:r>
              <w:rPr>
                <w:color w:val="000000"/>
                <w:sz w:val="18"/>
                <w:szCs w:val="18"/>
              </w:rPr>
              <w:t>+4</w:t>
            </w:r>
          </w:p>
          <w:p>
            <w:pPr>
              <w:jc w:val="center"/>
              <w:rPr>
                <w:color w:val="000000"/>
                <w:sz w:val="18"/>
                <w:szCs w:val="18"/>
              </w:rPr>
            </w:pPr>
            <w:r>
              <w:rPr>
                <w:rFonts w:hint="eastAsia"/>
                <w:color w:val="000000"/>
                <w:sz w:val="18"/>
                <w:szCs w:val="18"/>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00" w:type="pct"/>
            <w:tcBorders>
              <w:left w:val="single" w:color="auto" w:sz="8" w:space="0"/>
              <w:bottom w:val="single" w:color="auto" w:sz="8" w:space="0"/>
            </w:tcBorders>
            <w:vAlign w:val="center"/>
          </w:tcPr>
          <w:p>
            <w:pPr>
              <w:jc w:val="center"/>
              <w:rPr>
                <w:color w:val="000000"/>
                <w:sz w:val="18"/>
                <w:szCs w:val="18"/>
              </w:rPr>
            </w:pPr>
            <w:r>
              <w:rPr>
                <w:color w:val="000000"/>
                <w:sz w:val="18"/>
                <w:szCs w:val="18"/>
              </w:rPr>
              <w:t xml:space="preserve">＞10 000~18 000 </w:t>
            </w:r>
          </w:p>
        </w:tc>
        <w:tc>
          <w:tcPr>
            <w:tcW w:w="2500" w:type="pct"/>
            <w:tcBorders>
              <w:bottom w:val="single" w:color="auto" w:sz="8" w:space="0"/>
              <w:right w:val="single" w:color="auto" w:sz="8" w:space="0"/>
            </w:tcBorders>
            <w:vAlign w:val="center"/>
          </w:tcPr>
          <w:p>
            <w:pPr>
              <w:jc w:val="center"/>
              <w:rPr>
                <w:color w:val="000000"/>
                <w:sz w:val="18"/>
                <w:szCs w:val="18"/>
              </w:rPr>
            </w:pPr>
            <w:r>
              <w:rPr>
                <w:color w:val="000000"/>
                <w:sz w:val="18"/>
                <w:szCs w:val="18"/>
              </w:rPr>
              <w:t>+6</w:t>
            </w:r>
          </w:p>
          <w:p>
            <w:pPr>
              <w:jc w:val="center"/>
              <w:rPr>
                <w:color w:val="000000"/>
                <w:sz w:val="18"/>
                <w:szCs w:val="18"/>
              </w:rPr>
            </w:pPr>
            <w:r>
              <w:rPr>
                <w:rFonts w:hint="eastAsia"/>
                <w:color w:val="000000"/>
                <w:sz w:val="18"/>
                <w:szCs w:val="18"/>
              </w:rPr>
              <w:t>0</w:t>
            </w:r>
          </w:p>
        </w:tc>
      </w:tr>
    </w:tbl>
    <w:p>
      <w:pPr>
        <w:pStyle w:val="56"/>
        <w:numPr>
          <w:ilvl w:val="3"/>
          <w:numId w:val="8"/>
        </w:numPr>
        <w:ind w:firstLineChars="0"/>
        <w:rPr>
          <w:color w:val="000000"/>
        </w:rPr>
      </w:pPr>
      <w:r>
        <w:rPr>
          <w:rFonts w:hint="eastAsia"/>
          <w:color w:val="000000"/>
        </w:rPr>
        <w:t>光管段长度</w:t>
      </w:r>
      <w:r>
        <w:rPr>
          <w:color w:val="000000"/>
        </w:rPr>
        <w:t>、成翅段长度、过渡段长度</w:t>
      </w:r>
      <w:r>
        <w:rPr>
          <w:rFonts w:hint="eastAsia"/>
          <w:color w:val="000000"/>
        </w:rPr>
        <w:t>及</w:t>
      </w:r>
      <w:r>
        <w:rPr>
          <w:color w:val="000000"/>
        </w:rPr>
        <w:t>跳档段长度</w:t>
      </w:r>
      <w:r>
        <w:rPr>
          <w:rFonts w:hint="eastAsia"/>
          <w:color w:val="000000"/>
        </w:rPr>
        <w:t>由</w:t>
      </w:r>
      <w:r>
        <w:rPr>
          <w:color w:val="000000"/>
        </w:rPr>
        <w:t>供需双方协商确定。</w:t>
      </w:r>
    </w:p>
    <w:p>
      <w:pPr>
        <w:pStyle w:val="56"/>
        <w:numPr>
          <w:ilvl w:val="2"/>
          <w:numId w:val="6"/>
        </w:numPr>
        <w:ind w:firstLineChars="0"/>
        <w:rPr>
          <w:rFonts w:eastAsia="黑体"/>
          <w:bCs/>
          <w:color w:val="000000"/>
        </w:rPr>
      </w:pPr>
      <w:r>
        <w:rPr>
          <w:rFonts w:eastAsia="黑体"/>
          <w:bCs/>
          <w:color w:val="000000"/>
        </w:rPr>
        <w:t>切斜</w:t>
      </w:r>
      <w:r>
        <w:rPr>
          <w:rFonts w:hint="eastAsia" w:eastAsia="黑体"/>
          <w:bCs/>
          <w:color w:val="000000"/>
        </w:rPr>
        <w:t>度</w:t>
      </w:r>
    </w:p>
    <w:p>
      <w:pPr>
        <w:ind w:firstLine="420" w:firstLineChars="200"/>
        <w:rPr>
          <w:rFonts w:eastAsia="黑体"/>
          <w:bCs/>
          <w:color w:val="000000"/>
        </w:rPr>
      </w:pPr>
      <w:r>
        <w:rPr>
          <w:color w:val="000000"/>
        </w:rPr>
        <w:t>管材的切斜</w:t>
      </w:r>
      <w:r>
        <w:rPr>
          <w:rFonts w:hint="eastAsia"/>
          <w:color w:val="000000"/>
        </w:rPr>
        <w:t>度</w:t>
      </w:r>
      <w:r>
        <w:rPr>
          <w:color w:val="000000"/>
        </w:rPr>
        <w:t>应符合表</w:t>
      </w:r>
      <w:r>
        <w:rPr>
          <w:rFonts w:hint="eastAsia"/>
          <w:color w:val="000000"/>
        </w:rPr>
        <w:t>4</w:t>
      </w:r>
      <w:r>
        <w:rPr>
          <w:color w:val="000000"/>
        </w:rPr>
        <w:t>的规定。</w:t>
      </w:r>
    </w:p>
    <w:p>
      <w:pPr>
        <w:wordWrap w:val="0"/>
        <w:jc w:val="right"/>
        <w:rPr>
          <w:rFonts w:eastAsia="黑体"/>
          <w:bCs/>
          <w:color w:val="000000"/>
        </w:rPr>
      </w:pPr>
    </w:p>
    <w:p>
      <w:pPr>
        <w:jc w:val="center"/>
        <w:rPr>
          <w:color w:val="000000"/>
        </w:rPr>
      </w:pPr>
      <w:r>
        <w:rPr>
          <w:rFonts w:eastAsia="黑体"/>
          <w:bCs/>
          <w:color w:val="000000"/>
        </w:rPr>
        <w:t>表</w:t>
      </w:r>
      <w:r>
        <w:rPr>
          <w:rFonts w:hint="eastAsia" w:eastAsia="黑体"/>
          <w:bCs/>
          <w:color w:val="000000"/>
        </w:rPr>
        <w:t>4</w:t>
      </w:r>
      <w:r>
        <w:rPr>
          <w:rFonts w:eastAsia="黑体"/>
          <w:bCs/>
          <w:color w:val="000000"/>
        </w:rPr>
        <w:t xml:space="preserve">  管材</w:t>
      </w:r>
      <w:r>
        <w:rPr>
          <w:rFonts w:hint="eastAsia" w:eastAsia="黑体"/>
          <w:bCs/>
          <w:color w:val="000000"/>
        </w:rPr>
        <w:t>的</w:t>
      </w:r>
      <w:r>
        <w:rPr>
          <w:rFonts w:eastAsia="黑体"/>
          <w:bCs/>
          <w:color w:val="000000"/>
        </w:rPr>
        <w:t>切斜</w:t>
      </w:r>
      <w:r>
        <w:rPr>
          <w:rFonts w:hint="eastAsia" w:eastAsia="黑体"/>
          <w:bCs/>
          <w:color w:val="000000"/>
        </w:rPr>
        <w:t>度</w:t>
      </w:r>
    </w:p>
    <w:p>
      <w:pPr>
        <w:wordWrap w:val="0"/>
        <w:jc w:val="right"/>
        <w:rPr>
          <w:color w:val="000000"/>
          <w:sz w:val="18"/>
          <w:szCs w:val="18"/>
        </w:rPr>
      </w:pPr>
      <w:r>
        <w:rPr>
          <w:color w:val="000000"/>
          <w:sz w:val="18"/>
          <w:szCs w:val="18"/>
        </w:rPr>
        <w:t>单位为毫米</w:t>
      </w:r>
    </w:p>
    <w:tbl>
      <w:tblPr>
        <w:tblStyle w:val="16"/>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785"/>
        <w:gridCol w:w="47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00" w:type="pct"/>
            <w:tcBorders>
              <w:top w:val="single" w:color="auto" w:sz="8" w:space="0"/>
              <w:left w:val="single" w:color="auto" w:sz="8" w:space="0"/>
              <w:bottom w:val="single" w:color="auto" w:sz="8" w:space="0"/>
            </w:tcBorders>
            <w:vAlign w:val="center"/>
          </w:tcPr>
          <w:p>
            <w:pPr>
              <w:jc w:val="center"/>
              <w:rPr>
                <w:color w:val="000000"/>
                <w:sz w:val="18"/>
                <w:szCs w:val="18"/>
              </w:rPr>
            </w:pPr>
            <w:r>
              <w:rPr>
                <w:color w:val="000000"/>
                <w:sz w:val="18"/>
                <w:szCs w:val="18"/>
              </w:rPr>
              <w:t>外径</w:t>
            </w:r>
          </w:p>
        </w:tc>
        <w:tc>
          <w:tcPr>
            <w:tcW w:w="2500" w:type="pct"/>
            <w:tcBorders>
              <w:top w:val="single" w:color="auto" w:sz="8" w:space="0"/>
              <w:bottom w:val="single" w:color="auto" w:sz="8" w:space="0"/>
              <w:right w:val="single" w:color="auto" w:sz="8" w:space="0"/>
            </w:tcBorders>
            <w:vAlign w:val="center"/>
          </w:tcPr>
          <w:p>
            <w:pPr>
              <w:jc w:val="center"/>
              <w:rPr>
                <w:color w:val="000000"/>
                <w:sz w:val="18"/>
                <w:szCs w:val="18"/>
              </w:rPr>
            </w:pPr>
            <w:r>
              <w:rPr>
                <w:rFonts w:hint="eastAsia"/>
                <w:color w:val="000000"/>
                <w:sz w:val="18"/>
                <w:szCs w:val="18"/>
              </w:rPr>
              <w:t>允许偏差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00" w:type="pct"/>
            <w:tcBorders>
              <w:top w:val="single" w:color="auto" w:sz="8" w:space="0"/>
              <w:left w:val="single" w:color="auto" w:sz="8" w:space="0"/>
            </w:tcBorders>
            <w:vAlign w:val="center"/>
          </w:tcPr>
          <w:p>
            <w:pPr>
              <w:jc w:val="center"/>
              <w:rPr>
                <w:color w:val="000000"/>
                <w:sz w:val="18"/>
                <w:szCs w:val="18"/>
              </w:rPr>
            </w:pPr>
            <w:r>
              <w:rPr>
                <w:rFonts w:hint="eastAsia"/>
                <w:color w:val="000000"/>
                <w:sz w:val="18"/>
                <w:szCs w:val="18"/>
              </w:rPr>
              <w:t>≤</w:t>
            </w:r>
            <w:r>
              <w:rPr>
                <w:color w:val="000000"/>
                <w:sz w:val="18"/>
                <w:szCs w:val="18"/>
              </w:rPr>
              <w:t>16.0</w:t>
            </w:r>
            <w:r>
              <w:rPr>
                <w:rFonts w:hint="eastAsia"/>
                <w:color w:val="000000"/>
                <w:sz w:val="18"/>
                <w:szCs w:val="18"/>
              </w:rPr>
              <w:t>0</w:t>
            </w:r>
          </w:p>
        </w:tc>
        <w:tc>
          <w:tcPr>
            <w:tcW w:w="2500" w:type="pct"/>
            <w:tcBorders>
              <w:top w:val="single" w:color="auto" w:sz="8" w:space="0"/>
              <w:right w:val="single" w:color="auto" w:sz="8" w:space="0"/>
            </w:tcBorders>
            <w:vAlign w:val="center"/>
          </w:tcPr>
          <w:p>
            <w:pPr>
              <w:jc w:val="center"/>
              <w:rPr>
                <w:sz w:val="18"/>
                <w:szCs w:val="18"/>
              </w:rPr>
            </w:pPr>
            <w:r>
              <w:rPr>
                <w:sz w:val="18"/>
                <w:szCs w:val="18"/>
              </w:rPr>
              <w:t>+0.25</w:t>
            </w:r>
          </w:p>
          <w:p>
            <w:pPr>
              <w:jc w:val="center"/>
              <w:rPr>
                <w:color w:val="FF0000"/>
                <w:sz w:val="18"/>
                <w:szCs w:val="18"/>
              </w:rPr>
            </w:pPr>
            <w:r>
              <w:rPr>
                <w:sz w:val="18"/>
                <w:szCs w:val="18"/>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00" w:type="pct"/>
            <w:tcBorders>
              <w:left w:val="single" w:color="auto" w:sz="8" w:space="0"/>
              <w:bottom w:val="single" w:color="auto" w:sz="8" w:space="0"/>
            </w:tcBorders>
            <w:vAlign w:val="center"/>
          </w:tcPr>
          <w:p>
            <w:pPr>
              <w:jc w:val="center"/>
              <w:rPr>
                <w:color w:val="000000"/>
                <w:sz w:val="18"/>
                <w:szCs w:val="18"/>
              </w:rPr>
            </w:pPr>
            <w:r>
              <w:rPr>
                <w:color w:val="000000"/>
                <w:sz w:val="18"/>
                <w:szCs w:val="18"/>
              </w:rPr>
              <w:t>＞16.0</w:t>
            </w:r>
            <w:r>
              <w:rPr>
                <w:rFonts w:hint="eastAsia"/>
                <w:color w:val="000000"/>
                <w:sz w:val="18"/>
                <w:szCs w:val="18"/>
              </w:rPr>
              <w:t>0</w:t>
            </w:r>
          </w:p>
        </w:tc>
        <w:tc>
          <w:tcPr>
            <w:tcW w:w="2500" w:type="pct"/>
            <w:tcBorders>
              <w:bottom w:val="single" w:color="auto" w:sz="8" w:space="0"/>
              <w:right w:val="single" w:color="auto" w:sz="8" w:space="0"/>
            </w:tcBorders>
            <w:vAlign w:val="center"/>
          </w:tcPr>
          <w:p>
            <w:pPr>
              <w:jc w:val="center"/>
              <w:rPr>
                <w:sz w:val="18"/>
                <w:szCs w:val="18"/>
              </w:rPr>
            </w:pPr>
            <w:r>
              <w:rPr>
                <w:sz w:val="18"/>
                <w:szCs w:val="18"/>
              </w:rPr>
              <w:t xml:space="preserve">+0.016 ×D </w:t>
            </w:r>
          </w:p>
          <w:p>
            <w:pPr>
              <w:jc w:val="center"/>
              <w:rPr>
                <w:color w:val="000000"/>
                <w:sz w:val="18"/>
                <w:szCs w:val="18"/>
              </w:rPr>
            </w:pPr>
            <w:r>
              <w:rPr>
                <w:sz w:val="18"/>
                <w:szCs w:val="18"/>
              </w:rPr>
              <w:t>0</w:t>
            </w:r>
          </w:p>
        </w:tc>
      </w:tr>
    </w:tbl>
    <w:p>
      <w:pPr>
        <w:pStyle w:val="56"/>
        <w:numPr>
          <w:ilvl w:val="2"/>
          <w:numId w:val="6"/>
        </w:numPr>
        <w:ind w:firstLineChars="0"/>
        <w:rPr>
          <w:rFonts w:eastAsia="黑体"/>
          <w:bCs/>
          <w:color w:val="000000"/>
        </w:rPr>
      </w:pPr>
      <w:r>
        <w:rPr>
          <w:rFonts w:eastAsia="黑体"/>
          <w:bCs/>
          <w:color w:val="000000"/>
        </w:rPr>
        <w:t>直度和圆度</w:t>
      </w:r>
    </w:p>
    <w:p>
      <w:pPr>
        <w:ind w:firstLine="420" w:firstLineChars="200"/>
        <w:rPr>
          <w:color w:val="000000"/>
        </w:rPr>
      </w:pPr>
      <w:r>
        <w:rPr>
          <w:color w:val="000000"/>
        </w:rPr>
        <w:t>管材的直度和圆度应符合GB/T 16866中的相应规定。</w:t>
      </w:r>
    </w:p>
    <w:p>
      <w:pPr>
        <w:pStyle w:val="56"/>
        <w:numPr>
          <w:ilvl w:val="2"/>
          <w:numId w:val="6"/>
        </w:numPr>
        <w:ind w:firstLineChars="0"/>
        <w:rPr>
          <w:rFonts w:eastAsia="黑体"/>
          <w:bCs/>
          <w:color w:val="000000"/>
        </w:rPr>
      </w:pPr>
      <w:r>
        <w:rPr>
          <w:rFonts w:eastAsia="黑体"/>
          <w:bCs/>
          <w:color w:val="000000"/>
        </w:rPr>
        <w:t>端面</w:t>
      </w:r>
    </w:p>
    <w:p>
      <w:pPr>
        <w:ind w:firstLine="420" w:firstLineChars="200"/>
        <w:rPr>
          <w:color w:val="000000"/>
        </w:rPr>
      </w:pPr>
      <w:r>
        <w:rPr>
          <w:color w:val="000000"/>
        </w:rPr>
        <w:t>管材端面应进行去毛刺处理，除另有规定外，管材端面还应进行倒角。</w:t>
      </w:r>
    </w:p>
    <w:p>
      <w:pPr>
        <w:pStyle w:val="56"/>
        <w:numPr>
          <w:ilvl w:val="1"/>
          <w:numId w:val="5"/>
        </w:numPr>
        <w:ind w:firstLineChars="0"/>
        <w:rPr>
          <w:rFonts w:eastAsia="黑体"/>
          <w:bCs/>
          <w:color w:val="000000"/>
        </w:rPr>
      </w:pPr>
      <w:r>
        <w:rPr>
          <w:rFonts w:eastAsia="黑体"/>
          <w:bCs/>
          <w:color w:val="000000"/>
        </w:rPr>
        <w:t>力学性能</w:t>
      </w:r>
    </w:p>
    <w:p>
      <w:pPr>
        <w:ind w:firstLine="420" w:firstLineChars="200"/>
      </w:pPr>
      <w:r>
        <w:rPr>
          <w:color w:val="000000"/>
        </w:rPr>
        <w:t>在室温条件下，管坯的抗拉强度（Rm）</w:t>
      </w:r>
      <w:r>
        <w:t>、维氏硬度HV</w:t>
      </w:r>
      <w:r>
        <w:rPr>
          <w:color w:val="000000"/>
        </w:rPr>
        <w:t>应符合表6要求。</w:t>
      </w:r>
      <w:r>
        <w:t>管坯的规定总延伸强度（R</w:t>
      </w:r>
      <w:r>
        <w:rPr>
          <w:sz w:val="15"/>
          <w:szCs w:val="15"/>
        </w:rPr>
        <w:t>t0.5</w:t>
      </w:r>
      <w:r>
        <w:t>）、规定塑性延伸强度（R</w:t>
      </w:r>
      <w:r>
        <w:rPr>
          <w:vertAlign w:val="subscript"/>
        </w:rPr>
        <w:t>p0.2</w:t>
      </w:r>
      <w:r>
        <w:t>）</w:t>
      </w:r>
      <w:r>
        <w:rPr>
          <w:rFonts w:hint="eastAsia"/>
        </w:rPr>
        <w:t>宜</w:t>
      </w:r>
      <w:r>
        <w:t>符合表</w:t>
      </w:r>
      <w:r>
        <w:rPr>
          <w:rFonts w:hint="eastAsia"/>
        </w:rPr>
        <w:t>5</w:t>
      </w:r>
      <w:r>
        <w:t>要求。</w:t>
      </w:r>
    </w:p>
    <w:p>
      <w:pPr>
        <w:ind w:firstLine="420" w:firstLineChars="200"/>
        <w:rPr>
          <w:color w:val="000000"/>
        </w:rPr>
      </w:pPr>
    </w:p>
    <w:p>
      <w:pPr>
        <w:jc w:val="center"/>
        <w:rPr>
          <w:rFonts w:eastAsia="黑体"/>
          <w:bCs/>
          <w:color w:val="000000"/>
        </w:rPr>
      </w:pPr>
      <w:r>
        <w:rPr>
          <w:rFonts w:eastAsia="黑体"/>
          <w:bCs/>
          <w:color w:val="000000"/>
        </w:rPr>
        <w:t>表</w:t>
      </w:r>
      <w:r>
        <w:rPr>
          <w:rFonts w:hint="eastAsia" w:eastAsia="黑体"/>
          <w:bCs/>
          <w:color w:val="000000"/>
        </w:rPr>
        <w:t>5</w:t>
      </w:r>
      <w:r>
        <w:rPr>
          <w:rFonts w:eastAsia="黑体"/>
          <w:bCs/>
          <w:color w:val="000000"/>
        </w:rPr>
        <w:t xml:space="preserve">   管坯的室温力学性能</w:t>
      </w:r>
    </w:p>
    <w:tbl>
      <w:tblPr>
        <w:tblStyle w:val="1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01"/>
        <w:gridCol w:w="1606"/>
        <w:gridCol w:w="1117"/>
        <w:gridCol w:w="1656"/>
        <w:gridCol w:w="1476"/>
        <w:gridCol w:w="161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3" w:hRule="atLeast"/>
          <w:jc w:val="center"/>
        </w:trPr>
        <w:tc>
          <w:tcPr>
            <w:tcW w:w="0" w:type="auto"/>
            <w:tcBorders>
              <w:top w:val="single" w:color="auto" w:sz="8" w:space="0"/>
              <w:left w:val="single" w:color="auto" w:sz="8" w:space="0"/>
              <w:bottom w:val="single" w:color="auto" w:sz="8" w:space="0"/>
            </w:tcBorders>
            <w:vAlign w:val="center"/>
          </w:tcPr>
          <w:p>
            <w:pPr>
              <w:snapToGrid w:val="0"/>
              <w:jc w:val="center"/>
              <w:rPr>
                <w:color w:val="000000"/>
                <w:sz w:val="18"/>
                <w:szCs w:val="18"/>
              </w:rPr>
            </w:pPr>
            <w:r>
              <w:rPr>
                <w:color w:val="000000"/>
                <w:sz w:val="18"/>
                <w:szCs w:val="18"/>
              </w:rPr>
              <w:t>牌号</w:t>
            </w:r>
          </w:p>
        </w:tc>
        <w:tc>
          <w:tcPr>
            <w:tcW w:w="0" w:type="auto"/>
            <w:tcBorders>
              <w:top w:val="single" w:color="auto" w:sz="8" w:space="0"/>
              <w:bottom w:val="single" w:color="auto" w:sz="8" w:space="0"/>
            </w:tcBorders>
            <w:vAlign w:val="center"/>
          </w:tcPr>
          <w:p>
            <w:pPr>
              <w:snapToGrid w:val="0"/>
              <w:jc w:val="center"/>
              <w:rPr>
                <w:color w:val="000000"/>
                <w:sz w:val="18"/>
                <w:szCs w:val="18"/>
              </w:rPr>
            </w:pPr>
            <w:r>
              <w:rPr>
                <w:color w:val="000000"/>
                <w:sz w:val="18"/>
                <w:szCs w:val="18"/>
              </w:rPr>
              <w:t>状态</w:t>
            </w:r>
          </w:p>
        </w:tc>
        <w:tc>
          <w:tcPr>
            <w:tcW w:w="0" w:type="auto"/>
            <w:tcBorders>
              <w:top w:val="single" w:color="auto" w:sz="8" w:space="0"/>
              <w:bottom w:val="single" w:color="auto" w:sz="8" w:space="0"/>
            </w:tcBorders>
            <w:vAlign w:val="center"/>
          </w:tcPr>
          <w:p>
            <w:pPr>
              <w:snapToGrid w:val="0"/>
              <w:jc w:val="center"/>
              <w:rPr>
                <w:color w:val="000000"/>
                <w:sz w:val="18"/>
                <w:szCs w:val="18"/>
              </w:rPr>
            </w:pPr>
            <w:r>
              <w:rPr>
                <w:color w:val="000000"/>
                <w:sz w:val="18"/>
                <w:szCs w:val="18"/>
              </w:rPr>
              <w:t>抗拉强度</w:t>
            </w:r>
          </w:p>
          <w:p>
            <w:pPr>
              <w:snapToGrid w:val="0"/>
              <w:jc w:val="center"/>
              <w:rPr>
                <w:color w:val="000000"/>
                <w:sz w:val="18"/>
                <w:szCs w:val="18"/>
              </w:rPr>
            </w:pPr>
            <w:r>
              <w:rPr>
                <w:color w:val="000000"/>
                <w:sz w:val="18"/>
                <w:szCs w:val="18"/>
              </w:rPr>
              <w:t>（</w:t>
            </w:r>
            <w:r>
              <w:rPr>
                <w:i/>
                <w:iCs/>
                <w:color w:val="000000"/>
                <w:sz w:val="18"/>
                <w:szCs w:val="18"/>
              </w:rPr>
              <w:t>R</w:t>
            </w:r>
            <w:r>
              <w:rPr>
                <w:color w:val="000000"/>
                <w:sz w:val="18"/>
                <w:szCs w:val="18"/>
                <w:vertAlign w:val="subscript"/>
              </w:rPr>
              <w:t>m</w:t>
            </w:r>
            <w:r>
              <w:rPr>
                <w:color w:val="000000"/>
                <w:sz w:val="18"/>
                <w:szCs w:val="18"/>
              </w:rPr>
              <w:t>）MPa</w:t>
            </w:r>
          </w:p>
        </w:tc>
        <w:tc>
          <w:tcPr>
            <w:tcW w:w="0" w:type="auto"/>
            <w:tcBorders>
              <w:top w:val="single" w:color="auto" w:sz="8" w:space="0"/>
              <w:bottom w:val="single" w:color="auto" w:sz="8" w:space="0"/>
            </w:tcBorders>
            <w:vAlign w:val="center"/>
          </w:tcPr>
          <w:p>
            <w:pPr>
              <w:snapToGrid w:val="0"/>
              <w:jc w:val="center"/>
              <w:rPr>
                <w:color w:val="000000"/>
                <w:sz w:val="18"/>
                <w:szCs w:val="18"/>
              </w:rPr>
            </w:pPr>
            <w:r>
              <w:rPr>
                <w:color w:val="000000"/>
                <w:sz w:val="18"/>
                <w:szCs w:val="18"/>
              </w:rPr>
              <w:t>规定塑性延伸强度</w:t>
            </w:r>
          </w:p>
          <w:p>
            <w:pPr>
              <w:snapToGrid w:val="0"/>
              <w:jc w:val="center"/>
              <w:rPr>
                <w:color w:val="000000"/>
                <w:sz w:val="18"/>
                <w:szCs w:val="18"/>
              </w:rPr>
            </w:pPr>
            <w:r>
              <w:rPr>
                <w:color w:val="000000"/>
                <w:sz w:val="18"/>
                <w:szCs w:val="18"/>
              </w:rPr>
              <w:t>（</w:t>
            </w:r>
            <w:r>
              <w:rPr>
                <w:i/>
                <w:iCs/>
                <w:color w:val="000000"/>
                <w:sz w:val="18"/>
                <w:szCs w:val="18"/>
              </w:rPr>
              <w:t>R</w:t>
            </w:r>
            <w:r>
              <w:rPr>
                <w:color w:val="000000"/>
                <w:sz w:val="18"/>
                <w:szCs w:val="18"/>
                <w:vertAlign w:val="subscript"/>
              </w:rPr>
              <w:t>p0.2</w:t>
            </w:r>
            <w:r>
              <w:rPr>
                <w:color w:val="000000"/>
                <w:sz w:val="18"/>
                <w:szCs w:val="18"/>
              </w:rPr>
              <w:t>）MPa</w:t>
            </w:r>
          </w:p>
        </w:tc>
        <w:tc>
          <w:tcPr>
            <w:tcW w:w="0" w:type="auto"/>
            <w:tcBorders>
              <w:top w:val="single" w:color="auto" w:sz="8" w:space="0"/>
              <w:bottom w:val="single" w:color="auto" w:sz="8" w:space="0"/>
            </w:tcBorders>
            <w:vAlign w:val="center"/>
          </w:tcPr>
          <w:p>
            <w:pPr>
              <w:snapToGrid w:val="0"/>
              <w:jc w:val="center"/>
              <w:rPr>
                <w:color w:val="000000"/>
                <w:sz w:val="18"/>
                <w:szCs w:val="18"/>
              </w:rPr>
            </w:pPr>
            <w:r>
              <w:rPr>
                <w:color w:val="000000"/>
                <w:sz w:val="18"/>
                <w:szCs w:val="18"/>
              </w:rPr>
              <w:t>规定总延伸强度</w:t>
            </w:r>
          </w:p>
          <w:p>
            <w:pPr>
              <w:snapToGrid w:val="0"/>
              <w:jc w:val="center"/>
              <w:rPr>
                <w:color w:val="000000"/>
                <w:sz w:val="18"/>
                <w:szCs w:val="18"/>
              </w:rPr>
            </w:pPr>
            <w:r>
              <w:rPr>
                <w:color w:val="000000"/>
                <w:sz w:val="18"/>
                <w:szCs w:val="18"/>
              </w:rPr>
              <w:t>（R</w:t>
            </w:r>
            <w:r>
              <w:rPr>
                <w:color w:val="000000"/>
                <w:sz w:val="18"/>
                <w:szCs w:val="18"/>
                <w:vertAlign w:val="subscript"/>
              </w:rPr>
              <w:t>t0.5</w:t>
            </w:r>
            <w:r>
              <w:rPr>
                <w:color w:val="000000"/>
                <w:sz w:val="18"/>
                <w:szCs w:val="18"/>
              </w:rPr>
              <w:t>）MPa</w:t>
            </w:r>
          </w:p>
        </w:tc>
        <w:tc>
          <w:tcPr>
            <w:tcW w:w="0" w:type="auto"/>
            <w:tcBorders>
              <w:top w:val="single" w:color="auto" w:sz="8" w:space="0"/>
              <w:bottom w:val="single" w:color="auto" w:sz="8" w:space="0"/>
              <w:right w:val="single" w:color="auto" w:sz="8" w:space="0"/>
            </w:tcBorders>
            <w:vAlign w:val="center"/>
          </w:tcPr>
          <w:p>
            <w:pPr>
              <w:snapToGrid w:val="0"/>
              <w:jc w:val="center"/>
              <w:rPr>
                <w:color w:val="000000"/>
                <w:sz w:val="18"/>
                <w:szCs w:val="18"/>
              </w:rPr>
            </w:pPr>
            <w:r>
              <w:rPr>
                <w:color w:val="000000"/>
                <w:sz w:val="18"/>
                <w:szCs w:val="18"/>
              </w:rPr>
              <w:t>维氏硬度（HV）</w:t>
            </w:r>
            <w:r>
              <w:rPr>
                <w:vertAlign w:val="superscript"/>
              </w:rPr>
              <w:t>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2" w:hRule="atLeast"/>
          <w:jc w:val="center"/>
        </w:trPr>
        <w:tc>
          <w:tcPr>
            <w:tcW w:w="0" w:type="auto"/>
            <w:vMerge w:val="restart"/>
            <w:tcBorders>
              <w:top w:val="single" w:color="auto" w:sz="8" w:space="0"/>
              <w:left w:val="single" w:color="auto" w:sz="8" w:space="0"/>
            </w:tcBorders>
            <w:vAlign w:val="center"/>
          </w:tcPr>
          <w:p>
            <w:pPr>
              <w:pStyle w:val="40"/>
              <w:shd w:val="clear" w:color="auto" w:fill="auto"/>
              <w:adjustRightInd w:val="0"/>
              <w:snapToGrid w:val="0"/>
              <w:spacing w:line="240" w:lineRule="auto"/>
              <w:jc w:val="center"/>
              <w:rPr>
                <w:rStyle w:val="42"/>
                <w:color w:val="000000"/>
                <w:kern w:val="2"/>
                <w:sz w:val="18"/>
                <w:szCs w:val="18"/>
                <w:lang w:val="fr-FR"/>
              </w:rPr>
            </w:pPr>
            <w:r>
              <w:rPr>
                <w:rStyle w:val="42"/>
                <w:color w:val="000000"/>
                <w:sz w:val="18"/>
                <w:szCs w:val="18"/>
                <w:lang w:val="fr-FR"/>
              </w:rPr>
              <w:t>TU00</w:t>
            </w:r>
          </w:p>
          <w:p>
            <w:pPr>
              <w:pStyle w:val="40"/>
              <w:shd w:val="clear" w:color="auto" w:fill="auto"/>
              <w:adjustRightInd w:val="0"/>
              <w:snapToGrid w:val="0"/>
              <w:spacing w:line="240" w:lineRule="auto"/>
              <w:jc w:val="center"/>
              <w:rPr>
                <w:rStyle w:val="42"/>
                <w:color w:val="000000"/>
                <w:sz w:val="18"/>
                <w:szCs w:val="18"/>
                <w:lang w:val="fr-FR"/>
              </w:rPr>
            </w:pPr>
            <w:r>
              <w:rPr>
                <w:rStyle w:val="42"/>
                <w:color w:val="000000"/>
                <w:sz w:val="18"/>
                <w:szCs w:val="18"/>
                <w:lang w:val="fr-FR"/>
              </w:rPr>
              <w:t>TU1</w:t>
            </w:r>
          </w:p>
          <w:p>
            <w:pPr>
              <w:pStyle w:val="40"/>
              <w:shd w:val="clear" w:color="auto" w:fill="auto"/>
              <w:adjustRightInd w:val="0"/>
              <w:snapToGrid w:val="0"/>
              <w:spacing w:line="240" w:lineRule="auto"/>
              <w:jc w:val="center"/>
              <w:rPr>
                <w:rStyle w:val="42"/>
                <w:color w:val="000000"/>
                <w:sz w:val="18"/>
                <w:szCs w:val="18"/>
                <w:lang w:val="fr-FR"/>
              </w:rPr>
            </w:pPr>
            <w:r>
              <w:rPr>
                <w:rStyle w:val="42"/>
                <w:color w:val="000000"/>
                <w:sz w:val="18"/>
                <w:szCs w:val="18"/>
                <w:lang w:val="fr-FR"/>
              </w:rPr>
              <w:t>TU2</w:t>
            </w:r>
          </w:p>
          <w:p>
            <w:pPr>
              <w:pStyle w:val="40"/>
              <w:shd w:val="clear" w:color="auto" w:fill="auto"/>
              <w:adjustRightInd w:val="0"/>
              <w:snapToGrid w:val="0"/>
              <w:spacing w:line="240" w:lineRule="auto"/>
              <w:jc w:val="center"/>
              <w:rPr>
                <w:rStyle w:val="42"/>
                <w:color w:val="000000"/>
                <w:sz w:val="18"/>
                <w:szCs w:val="18"/>
                <w:lang w:val="fr-FR"/>
              </w:rPr>
            </w:pPr>
            <w:r>
              <w:rPr>
                <w:rStyle w:val="42"/>
                <w:color w:val="000000"/>
                <w:sz w:val="18"/>
                <w:szCs w:val="18"/>
                <w:lang w:val="fr-FR"/>
              </w:rPr>
              <w:t>TP1</w:t>
            </w:r>
          </w:p>
          <w:p>
            <w:pPr>
              <w:adjustRightInd w:val="0"/>
              <w:snapToGrid w:val="0"/>
              <w:jc w:val="center"/>
              <w:rPr>
                <w:color w:val="000000"/>
                <w:sz w:val="18"/>
                <w:szCs w:val="18"/>
                <w:lang w:val="fr-FR"/>
              </w:rPr>
            </w:pPr>
            <w:r>
              <w:rPr>
                <w:rStyle w:val="42"/>
                <w:color w:val="000000"/>
                <w:sz w:val="18"/>
                <w:szCs w:val="18"/>
                <w:lang w:val="fr-FR"/>
              </w:rPr>
              <w:t>TP2</w:t>
            </w:r>
          </w:p>
        </w:tc>
        <w:tc>
          <w:tcPr>
            <w:tcW w:w="0" w:type="auto"/>
            <w:tcBorders>
              <w:top w:val="single" w:color="auto" w:sz="8" w:space="0"/>
            </w:tcBorders>
            <w:vAlign w:val="center"/>
          </w:tcPr>
          <w:p>
            <w:pPr>
              <w:jc w:val="center"/>
              <w:rPr>
                <w:color w:val="000000"/>
                <w:sz w:val="18"/>
                <w:szCs w:val="18"/>
              </w:rPr>
            </w:pPr>
            <w:r>
              <w:rPr>
                <w:rStyle w:val="38"/>
                <w:rFonts w:ascii="Times New Roman" w:hAnsi="Times New Roman" w:eastAsia="宋体"/>
                <w:color w:val="000000"/>
                <w:sz w:val="18"/>
                <w:szCs w:val="18"/>
              </w:rPr>
              <w:t>软化退火（O60）</w:t>
            </w:r>
          </w:p>
        </w:tc>
        <w:tc>
          <w:tcPr>
            <w:tcW w:w="0" w:type="auto"/>
            <w:tcBorders>
              <w:top w:val="single" w:color="auto" w:sz="8" w:space="0"/>
            </w:tcBorders>
            <w:vAlign w:val="center"/>
          </w:tcPr>
          <w:p>
            <w:pPr>
              <w:jc w:val="center"/>
              <w:rPr>
                <w:color w:val="000000"/>
                <w:sz w:val="18"/>
                <w:szCs w:val="18"/>
              </w:rPr>
            </w:pPr>
            <w:r>
              <w:rPr>
                <w:rFonts w:hint="eastAsia"/>
                <w:color w:val="000000"/>
                <w:sz w:val="18"/>
                <w:szCs w:val="18"/>
              </w:rPr>
              <w:t>≥</w:t>
            </w:r>
            <w:r>
              <w:rPr>
                <w:color w:val="000000"/>
                <w:sz w:val="18"/>
                <w:szCs w:val="18"/>
              </w:rPr>
              <w:t>205</w:t>
            </w:r>
          </w:p>
        </w:tc>
        <w:tc>
          <w:tcPr>
            <w:tcW w:w="0" w:type="auto"/>
            <w:tcBorders>
              <w:top w:val="single" w:color="auto" w:sz="8" w:space="0"/>
            </w:tcBorders>
            <w:vAlign w:val="center"/>
          </w:tcPr>
          <w:p>
            <w:pPr>
              <w:jc w:val="center"/>
              <w:rPr>
                <w:color w:val="000000"/>
                <w:sz w:val="18"/>
                <w:szCs w:val="18"/>
              </w:rPr>
            </w:pPr>
            <w:r>
              <w:rPr>
                <w:color w:val="000000"/>
                <w:sz w:val="18"/>
                <w:szCs w:val="18"/>
              </w:rPr>
              <w:t>45~85</w:t>
            </w:r>
          </w:p>
        </w:tc>
        <w:tc>
          <w:tcPr>
            <w:tcW w:w="0" w:type="auto"/>
            <w:tcBorders>
              <w:top w:val="single" w:color="auto" w:sz="8" w:space="0"/>
            </w:tcBorders>
            <w:vAlign w:val="center"/>
          </w:tcPr>
          <w:p>
            <w:pPr>
              <w:jc w:val="center"/>
              <w:rPr>
                <w:color w:val="000000"/>
                <w:sz w:val="18"/>
                <w:szCs w:val="18"/>
              </w:rPr>
            </w:pPr>
            <w:r>
              <w:rPr>
                <w:rFonts w:hint="eastAsia"/>
                <w:color w:val="000000"/>
                <w:sz w:val="18"/>
                <w:szCs w:val="18"/>
              </w:rPr>
              <w:t>≥</w:t>
            </w:r>
            <w:r>
              <w:rPr>
                <w:color w:val="000000"/>
                <w:sz w:val="18"/>
                <w:szCs w:val="18"/>
              </w:rPr>
              <w:t>62</w:t>
            </w:r>
          </w:p>
        </w:tc>
        <w:tc>
          <w:tcPr>
            <w:tcW w:w="0" w:type="auto"/>
            <w:tcBorders>
              <w:top w:val="single" w:color="auto" w:sz="8" w:space="0"/>
              <w:right w:val="single" w:color="auto" w:sz="8" w:space="0"/>
            </w:tcBorders>
            <w:vAlign w:val="center"/>
          </w:tcPr>
          <w:p>
            <w:pPr>
              <w:jc w:val="center"/>
              <w:rPr>
                <w:color w:val="000000"/>
                <w:sz w:val="18"/>
                <w:szCs w:val="18"/>
              </w:rPr>
            </w:pPr>
            <w:r>
              <w:rPr>
                <w:color w:val="000000"/>
                <w:sz w:val="18"/>
                <w:szCs w:val="18"/>
              </w:rPr>
              <w:t>40~75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9" w:hRule="atLeast"/>
          <w:jc w:val="center"/>
        </w:trPr>
        <w:tc>
          <w:tcPr>
            <w:tcW w:w="0" w:type="auto"/>
            <w:vMerge w:val="continue"/>
            <w:tcBorders>
              <w:left w:val="single" w:color="auto" w:sz="8" w:space="0"/>
            </w:tcBorders>
            <w:vAlign w:val="center"/>
          </w:tcPr>
          <w:p>
            <w:pPr>
              <w:keepNext/>
              <w:keepLines/>
              <w:spacing w:before="340" w:after="330" w:line="578" w:lineRule="auto"/>
              <w:jc w:val="center"/>
              <w:outlineLvl w:val="0"/>
              <w:rPr>
                <w:color w:val="000000"/>
                <w:sz w:val="18"/>
                <w:szCs w:val="18"/>
              </w:rPr>
            </w:pPr>
          </w:p>
        </w:tc>
        <w:tc>
          <w:tcPr>
            <w:tcW w:w="0" w:type="auto"/>
            <w:vAlign w:val="center"/>
          </w:tcPr>
          <w:p>
            <w:pPr>
              <w:pStyle w:val="40"/>
              <w:shd w:val="clear" w:color="auto" w:fill="auto"/>
              <w:snapToGrid w:val="0"/>
              <w:spacing w:line="240" w:lineRule="auto"/>
              <w:jc w:val="center"/>
              <w:rPr>
                <w:color w:val="000000"/>
                <w:sz w:val="18"/>
                <w:szCs w:val="18"/>
                <w:lang w:val="en-US"/>
              </w:rPr>
            </w:pPr>
            <w:r>
              <w:rPr>
                <w:rStyle w:val="38"/>
                <w:rFonts w:ascii="Times New Roman" w:hAnsi="Times New Roman" w:eastAsia="宋体"/>
                <w:color w:val="000000"/>
                <w:sz w:val="18"/>
                <w:szCs w:val="18"/>
              </w:rPr>
              <w:t>轻拉（H55）</w:t>
            </w:r>
          </w:p>
        </w:tc>
        <w:tc>
          <w:tcPr>
            <w:tcW w:w="0" w:type="auto"/>
            <w:vAlign w:val="center"/>
          </w:tcPr>
          <w:p>
            <w:pPr>
              <w:jc w:val="center"/>
              <w:rPr>
                <w:color w:val="000000"/>
                <w:sz w:val="18"/>
                <w:szCs w:val="18"/>
              </w:rPr>
            </w:pPr>
            <w:r>
              <w:rPr>
                <w:rFonts w:hint="eastAsia"/>
                <w:color w:val="000000"/>
                <w:sz w:val="18"/>
                <w:szCs w:val="18"/>
              </w:rPr>
              <w:t>≥</w:t>
            </w:r>
            <w:r>
              <w:rPr>
                <w:color w:val="000000"/>
                <w:sz w:val="18"/>
                <w:szCs w:val="18"/>
              </w:rPr>
              <w:t>250</w:t>
            </w:r>
          </w:p>
        </w:tc>
        <w:tc>
          <w:tcPr>
            <w:tcW w:w="0" w:type="auto"/>
            <w:vAlign w:val="center"/>
          </w:tcPr>
          <w:p>
            <w:pPr>
              <w:jc w:val="center"/>
              <w:rPr>
                <w:color w:val="000000"/>
                <w:sz w:val="18"/>
                <w:szCs w:val="18"/>
              </w:rPr>
            </w:pPr>
            <w:r>
              <w:rPr>
                <w:rFonts w:hint="eastAsia"/>
                <w:color w:val="000000"/>
                <w:sz w:val="18"/>
                <w:szCs w:val="18"/>
              </w:rPr>
              <w:t>≥</w:t>
            </w:r>
            <w:r>
              <w:rPr>
                <w:color w:val="000000"/>
                <w:sz w:val="18"/>
                <w:szCs w:val="18"/>
              </w:rPr>
              <w:t>120</w:t>
            </w:r>
          </w:p>
        </w:tc>
        <w:tc>
          <w:tcPr>
            <w:tcW w:w="0" w:type="auto"/>
            <w:vAlign w:val="center"/>
          </w:tcPr>
          <w:p>
            <w:pPr>
              <w:jc w:val="center"/>
              <w:rPr>
                <w:color w:val="000000"/>
                <w:sz w:val="18"/>
                <w:szCs w:val="18"/>
              </w:rPr>
            </w:pPr>
            <w:r>
              <w:rPr>
                <w:rFonts w:hint="eastAsia"/>
                <w:color w:val="000000"/>
                <w:sz w:val="18"/>
                <w:szCs w:val="18"/>
              </w:rPr>
              <w:t>≥</w:t>
            </w:r>
            <w:r>
              <w:rPr>
                <w:color w:val="000000"/>
                <w:sz w:val="18"/>
                <w:szCs w:val="18"/>
              </w:rPr>
              <w:t>205</w:t>
            </w:r>
          </w:p>
        </w:tc>
        <w:tc>
          <w:tcPr>
            <w:tcW w:w="0" w:type="auto"/>
            <w:tcBorders>
              <w:right w:val="single" w:color="auto" w:sz="8" w:space="0"/>
            </w:tcBorders>
            <w:vAlign w:val="center"/>
          </w:tcPr>
          <w:p>
            <w:pPr>
              <w:jc w:val="center"/>
              <w:rPr>
                <w:color w:val="000000"/>
                <w:sz w:val="18"/>
                <w:szCs w:val="18"/>
              </w:rPr>
            </w:pPr>
            <w:r>
              <w:rPr>
                <w:color w:val="000000"/>
                <w:sz w:val="18"/>
                <w:szCs w:val="18"/>
              </w:rPr>
              <w:t>70~110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 w:hRule="atLeast"/>
          <w:jc w:val="center"/>
        </w:trPr>
        <w:tc>
          <w:tcPr>
            <w:tcW w:w="0" w:type="auto"/>
            <w:tcBorders>
              <w:left w:val="single" w:color="auto" w:sz="8" w:space="0"/>
            </w:tcBorders>
            <w:vAlign w:val="center"/>
          </w:tcPr>
          <w:p>
            <w:pPr>
              <w:pStyle w:val="40"/>
              <w:shd w:val="clear" w:color="auto" w:fill="auto"/>
              <w:spacing w:line="240" w:lineRule="auto"/>
              <w:ind w:firstLine="90" w:firstLineChars="50"/>
              <w:jc w:val="center"/>
              <w:rPr>
                <w:rStyle w:val="42"/>
                <w:color w:val="000000"/>
                <w:sz w:val="18"/>
                <w:szCs w:val="18"/>
                <w:lang w:val="en-US"/>
              </w:rPr>
            </w:pPr>
            <w:r>
              <w:rPr>
                <w:rStyle w:val="42"/>
                <w:color w:val="000000"/>
                <w:sz w:val="18"/>
                <w:szCs w:val="18"/>
                <w:lang w:val="en-US"/>
              </w:rPr>
              <w:t>HA177-2</w:t>
            </w:r>
          </w:p>
        </w:tc>
        <w:tc>
          <w:tcPr>
            <w:tcW w:w="0" w:type="auto"/>
            <w:vMerge w:val="restart"/>
            <w:vAlign w:val="center"/>
          </w:tcPr>
          <w:p>
            <w:pPr>
              <w:jc w:val="center"/>
              <w:rPr>
                <w:rStyle w:val="38"/>
                <w:rFonts w:ascii="Times New Roman" w:hAnsi="Times New Roman" w:eastAsia="宋体"/>
                <w:color w:val="000000"/>
                <w:sz w:val="18"/>
                <w:szCs w:val="18"/>
              </w:rPr>
            </w:pPr>
            <w:r>
              <w:rPr>
                <w:rStyle w:val="38"/>
                <w:rFonts w:ascii="Times New Roman" w:hAnsi="Times New Roman" w:eastAsia="宋体"/>
                <w:color w:val="000000"/>
                <w:sz w:val="18"/>
                <w:szCs w:val="18"/>
              </w:rPr>
              <w:t>软化退火（O60）</w:t>
            </w:r>
          </w:p>
        </w:tc>
        <w:tc>
          <w:tcPr>
            <w:tcW w:w="0" w:type="auto"/>
            <w:vAlign w:val="center"/>
          </w:tcPr>
          <w:p>
            <w:pPr>
              <w:jc w:val="center"/>
              <w:rPr>
                <w:color w:val="000000"/>
                <w:sz w:val="18"/>
                <w:szCs w:val="18"/>
              </w:rPr>
            </w:pPr>
            <w:r>
              <w:rPr>
                <w:rFonts w:hint="eastAsia"/>
                <w:color w:val="000000"/>
                <w:sz w:val="18"/>
                <w:szCs w:val="18"/>
              </w:rPr>
              <w:t>≥</w:t>
            </w:r>
            <w:r>
              <w:rPr>
                <w:color w:val="000000"/>
                <w:sz w:val="18"/>
                <w:szCs w:val="18"/>
              </w:rPr>
              <w:t>345</w:t>
            </w:r>
          </w:p>
        </w:tc>
        <w:tc>
          <w:tcPr>
            <w:tcW w:w="0" w:type="auto"/>
            <w:vAlign w:val="center"/>
          </w:tcPr>
          <w:p>
            <w:pPr>
              <w:jc w:val="center"/>
              <w:rPr>
                <w:color w:val="000000"/>
                <w:sz w:val="18"/>
                <w:szCs w:val="18"/>
              </w:rPr>
            </w:pPr>
            <w:r>
              <w:rPr>
                <w:rFonts w:hint="eastAsia"/>
                <w:color w:val="000000"/>
                <w:sz w:val="18"/>
                <w:szCs w:val="18"/>
              </w:rPr>
              <w:t>≥</w:t>
            </w:r>
            <w:r>
              <w:rPr>
                <w:color w:val="000000"/>
                <w:sz w:val="18"/>
                <w:szCs w:val="18"/>
              </w:rPr>
              <w:t>120</w:t>
            </w:r>
          </w:p>
        </w:tc>
        <w:tc>
          <w:tcPr>
            <w:tcW w:w="0" w:type="auto"/>
            <w:vAlign w:val="center"/>
          </w:tcPr>
          <w:p>
            <w:pPr>
              <w:jc w:val="center"/>
              <w:rPr>
                <w:color w:val="000000"/>
                <w:sz w:val="18"/>
                <w:szCs w:val="18"/>
              </w:rPr>
            </w:pPr>
            <w:r>
              <w:rPr>
                <w:rFonts w:hint="eastAsia"/>
                <w:color w:val="000000"/>
                <w:sz w:val="18"/>
                <w:szCs w:val="18"/>
              </w:rPr>
              <w:t>≥</w:t>
            </w:r>
            <w:r>
              <w:rPr>
                <w:color w:val="000000"/>
                <w:sz w:val="18"/>
                <w:szCs w:val="18"/>
              </w:rPr>
              <w:t>125</w:t>
            </w:r>
          </w:p>
        </w:tc>
        <w:tc>
          <w:tcPr>
            <w:tcW w:w="0" w:type="auto"/>
            <w:tcBorders>
              <w:right w:val="single" w:color="auto" w:sz="8" w:space="0"/>
            </w:tcBorders>
            <w:vAlign w:val="center"/>
          </w:tcPr>
          <w:p>
            <w:pPr>
              <w:jc w:val="center"/>
              <w:rPr>
                <w:color w:val="000000"/>
                <w:sz w:val="18"/>
                <w:szCs w:val="18"/>
              </w:rPr>
            </w:pPr>
            <w:r>
              <w:rPr>
                <w:color w:val="000000"/>
                <w:sz w:val="18"/>
                <w:szCs w:val="18"/>
              </w:rPr>
              <w:t>60~90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0" w:type="auto"/>
            <w:tcBorders>
              <w:left w:val="single" w:color="auto" w:sz="8" w:space="0"/>
            </w:tcBorders>
            <w:vAlign w:val="center"/>
          </w:tcPr>
          <w:p>
            <w:pPr>
              <w:pStyle w:val="40"/>
              <w:shd w:val="clear" w:color="auto" w:fill="auto"/>
              <w:spacing w:line="240" w:lineRule="auto"/>
              <w:ind w:firstLine="90" w:firstLineChars="50"/>
              <w:jc w:val="center"/>
              <w:rPr>
                <w:rStyle w:val="42"/>
                <w:color w:val="000000"/>
                <w:sz w:val="18"/>
                <w:szCs w:val="18"/>
                <w:lang w:val="en-US"/>
              </w:rPr>
            </w:pPr>
            <w:r>
              <w:rPr>
                <w:rStyle w:val="42"/>
                <w:color w:val="000000"/>
                <w:sz w:val="18"/>
                <w:szCs w:val="18"/>
                <w:lang w:val="en-US"/>
              </w:rPr>
              <w:t>HSn70-</w:t>
            </w:r>
            <w:r>
              <w:rPr>
                <w:rStyle w:val="42"/>
                <w:rFonts w:hint="eastAsia"/>
                <w:color w:val="000000"/>
                <w:sz w:val="18"/>
                <w:szCs w:val="18"/>
                <w:lang w:val="en-US"/>
              </w:rPr>
              <w:t>1</w:t>
            </w:r>
          </w:p>
        </w:tc>
        <w:tc>
          <w:tcPr>
            <w:tcW w:w="0" w:type="auto"/>
            <w:vMerge w:val="continue"/>
            <w:vAlign w:val="center"/>
          </w:tcPr>
          <w:p>
            <w:pPr>
              <w:keepNext/>
              <w:keepLines/>
              <w:spacing w:before="340" w:after="330" w:line="578" w:lineRule="auto"/>
              <w:jc w:val="center"/>
              <w:outlineLvl w:val="0"/>
              <w:rPr>
                <w:rStyle w:val="38"/>
                <w:rFonts w:ascii="Times New Roman" w:hAnsi="Times New Roman" w:eastAsia="宋体"/>
                <w:color w:val="000000"/>
                <w:sz w:val="18"/>
                <w:szCs w:val="18"/>
              </w:rPr>
            </w:pPr>
          </w:p>
        </w:tc>
        <w:tc>
          <w:tcPr>
            <w:tcW w:w="0" w:type="auto"/>
            <w:vAlign w:val="center"/>
          </w:tcPr>
          <w:p>
            <w:pPr>
              <w:jc w:val="center"/>
              <w:rPr>
                <w:color w:val="000000"/>
                <w:sz w:val="18"/>
                <w:szCs w:val="18"/>
              </w:rPr>
            </w:pPr>
            <w:r>
              <w:rPr>
                <w:rFonts w:hint="eastAsia"/>
                <w:color w:val="000000"/>
                <w:sz w:val="18"/>
                <w:szCs w:val="18"/>
              </w:rPr>
              <w:t>≥</w:t>
            </w:r>
            <w:r>
              <w:rPr>
                <w:color w:val="000000"/>
                <w:sz w:val="18"/>
                <w:szCs w:val="18"/>
              </w:rPr>
              <w:t>310</w:t>
            </w:r>
          </w:p>
        </w:tc>
        <w:tc>
          <w:tcPr>
            <w:tcW w:w="0" w:type="auto"/>
            <w:vAlign w:val="center"/>
          </w:tcPr>
          <w:p>
            <w:pPr>
              <w:jc w:val="center"/>
              <w:rPr>
                <w:color w:val="000000"/>
                <w:sz w:val="18"/>
                <w:szCs w:val="18"/>
              </w:rPr>
            </w:pPr>
            <w:r>
              <w:rPr>
                <w:rFonts w:hint="eastAsia"/>
                <w:color w:val="000000"/>
                <w:sz w:val="18"/>
                <w:szCs w:val="18"/>
              </w:rPr>
              <w:t>≥</w:t>
            </w:r>
            <w:r>
              <w:rPr>
                <w:color w:val="000000"/>
                <w:sz w:val="18"/>
                <w:szCs w:val="18"/>
              </w:rPr>
              <w:t>105</w:t>
            </w:r>
          </w:p>
        </w:tc>
        <w:tc>
          <w:tcPr>
            <w:tcW w:w="0" w:type="auto"/>
            <w:vAlign w:val="center"/>
          </w:tcPr>
          <w:p>
            <w:pPr>
              <w:jc w:val="center"/>
              <w:rPr>
                <w:color w:val="000000"/>
                <w:sz w:val="18"/>
                <w:szCs w:val="18"/>
              </w:rPr>
            </w:pPr>
            <w:r>
              <w:rPr>
                <w:rFonts w:hint="eastAsia"/>
                <w:color w:val="000000"/>
                <w:sz w:val="18"/>
                <w:szCs w:val="18"/>
              </w:rPr>
              <w:t>≥</w:t>
            </w:r>
            <w:r>
              <w:rPr>
                <w:color w:val="000000"/>
                <w:sz w:val="18"/>
                <w:szCs w:val="18"/>
              </w:rPr>
              <w:t>105</w:t>
            </w:r>
          </w:p>
        </w:tc>
        <w:tc>
          <w:tcPr>
            <w:tcW w:w="0" w:type="auto"/>
            <w:tcBorders>
              <w:right w:val="single" w:color="auto" w:sz="8" w:space="0"/>
            </w:tcBorders>
            <w:vAlign w:val="center"/>
          </w:tcPr>
          <w:p>
            <w:pPr>
              <w:jc w:val="center"/>
              <w:rPr>
                <w:color w:val="000000"/>
                <w:sz w:val="18"/>
                <w:szCs w:val="18"/>
              </w:rPr>
            </w:pPr>
            <w:r>
              <w:rPr>
                <w:color w:val="000000"/>
                <w:sz w:val="18"/>
                <w:szCs w:val="18"/>
              </w:rPr>
              <w:t>60~100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0" w:type="auto"/>
            <w:tcBorders>
              <w:left w:val="single" w:color="auto" w:sz="8" w:space="0"/>
            </w:tcBorders>
            <w:vAlign w:val="center"/>
          </w:tcPr>
          <w:p>
            <w:pPr>
              <w:pStyle w:val="40"/>
              <w:shd w:val="clear" w:color="auto" w:fill="auto"/>
              <w:spacing w:line="240" w:lineRule="auto"/>
              <w:ind w:firstLine="90" w:firstLineChars="50"/>
              <w:jc w:val="center"/>
              <w:rPr>
                <w:rStyle w:val="42"/>
                <w:color w:val="000000"/>
                <w:sz w:val="18"/>
                <w:szCs w:val="18"/>
                <w:lang w:val="en-US"/>
              </w:rPr>
            </w:pPr>
            <w:r>
              <w:rPr>
                <w:rStyle w:val="42"/>
                <w:color w:val="000000"/>
                <w:sz w:val="18"/>
                <w:szCs w:val="18"/>
                <w:lang w:val="en-US"/>
              </w:rPr>
              <w:t>BFe10-1-1</w:t>
            </w:r>
          </w:p>
        </w:tc>
        <w:tc>
          <w:tcPr>
            <w:tcW w:w="0" w:type="auto"/>
            <w:vMerge w:val="restart"/>
            <w:vAlign w:val="center"/>
          </w:tcPr>
          <w:p>
            <w:pPr>
              <w:jc w:val="center"/>
              <w:rPr>
                <w:color w:val="000000"/>
                <w:sz w:val="18"/>
                <w:szCs w:val="18"/>
              </w:rPr>
            </w:pPr>
            <w:r>
              <w:rPr>
                <w:rStyle w:val="38"/>
                <w:rFonts w:ascii="Times New Roman" w:hAnsi="Times New Roman" w:eastAsia="宋体"/>
                <w:color w:val="000000"/>
                <w:sz w:val="18"/>
                <w:szCs w:val="18"/>
              </w:rPr>
              <w:t>软化退火（O60）</w:t>
            </w:r>
          </w:p>
        </w:tc>
        <w:tc>
          <w:tcPr>
            <w:tcW w:w="0" w:type="auto"/>
            <w:vAlign w:val="center"/>
          </w:tcPr>
          <w:p>
            <w:pPr>
              <w:jc w:val="center"/>
              <w:rPr>
                <w:color w:val="000000"/>
                <w:sz w:val="18"/>
                <w:szCs w:val="18"/>
              </w:rPr>
            </w:pPr>
            <w:r>
              <w:rPr>
                <w:rFonts w:hint="eastAsia"/>
                <w:color w:val="000000"/>
                <w:sz w:val="18"/>
                <w:szCs w:val="18"/>
              </w:rPr>
              <w:t>≥</w:t>
            </w:r>
            <w:r>
              <w:rPr>
                <w:color w:val="000000"/>
                <w:sz w:val="18"/>
                <w:szCs w:val="18"/>
              </w:rPr>
              <w:t>275</w:t>
            </w:r>
          </w:p>
        </w:tc>
        <w:tc>
          <w:tcPr>
            <w:tcW w:w="0" w:type="auto"/>
            <w:vAlign w:val="center"/>
          </w:tcPr>
          <w:p>
            <w:pPr>
              <w:jc w:val="center"/>
              <w:rPr>
                <w:color w:val="000000"/>
                <w:sz w:val="18"/>
                <w:szCs w:val="18"/>
              </w:rPr>
            </w:pPr>
            <w:r>
              <w:rPr>
                <w:rFonts w:hint="eastAsia"/>
                <w:color w:val="000000"/>
                <w:sz w:val="18"/>
                <w:szCs w:val="18"/>
              </w:rPr>
              <w:t>≥</w:t>
            </w:r>
            <w:r>
              <w:rPr>
                <w:color w:val="000000"/>
                <w:sz w:val="18"/>
                <w:szCs w:val="18"/>
              </w:rPr>
              <w:t>100</w:t>
            </w:r>
          </w:p>
        </w:tc>
        <w:tc>
          <w:tcPr>
            <w:tcW w:w="0" w:type="auto"/>
            <w:vAlign w:val="center"/>
          </w:tcPr>
          <w:p>
            <w:pPr>
              <w:jc w:val="center"/>
              <w:rPr>
                <w:color w:val="000000"/>
                <w:sz w:val="18"/>
                <w:szCs w:val="18"/>
              </w:rPr>
            </w:pPr>
            <w:r>
              <w:rPr>
                <w:rFonts w:hint="eastAsia"/>
                <w:color w:val="000000"/>
                <w:sz w:val="18"/>
                <w:szCs w:val="18"/>
              </w:rPr>
              <w:t>≥</w:t>
            </w:r>
            <w:r>
              <w:rPr>
                <w:color w:val="000000"/>
                <w:sz w:val="18"/>
                <w:szCs w:val="18"/>
              </w:rPr>
              <w:t>105</w:t>
            </w:r>
          </w:p>
        </w:tc>
        <w:tc>
          <w:tcPr>
            <w:tcW w:w="0" w:type="auto"/>
            <w:tcBorders>
              <w:right w:val="single" w:color="auto" w:sz="8" w:space="0"/>
            </w:tcBorders>
            <w:vAlign w:val="center"/>
          </w:tcPr>
          <w:p>
            <w:pPr>
              <w:jc w:val="center"/>
              <w:rPr>
                <w:color w:val="000000"/>
                <w:sz w:val="18"/>
                <w:szCs w:val="18"/>
              </w:rPr>
            </w:pPr>
            <w:r>
              <w:rPr>
                <w:color w:val="000000"/>
                <w:sz w:val="18"/>
                <w:szCs w:val="18"/>
              </w:rPr>
              <w:t>75~110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0" w:type="auto"/>
            <w:tcBorders>
              <w:left w:val="single" w:color="auto" w:sz="8" w:space="0"/>
            </w:tcBorders>
            <w:vAlign w:val="center"/>
          </w:tcPr>
          <w:p>
            <w:pPr>
              <w:pStyle w:val="40"/>
              <w:shd w:val="clear" w:color="auto" w:fill="auto"/>
              <w:spacing w:line="240" w:lineRule="auto"/>
              <w:ind w:firstLine="90" w:firstLineChars="50"/>
              <w:jc w:val="center"/>
              <w:rPr>
                <w:rStyle w:val="42"/>
                <w:color w:val="000000"/>
                <w:sz w:val="18"/>
                <w:szCs w:val="18"/>
                <w:lang w:val="en-US"/>
              </w:rPr>
            </w:pPr>
            <w:r>
              <w:rPr>
                <w:rStyle w:val="42"/>
                <w:color w:val="000000"/>
                <w:sz w:val="18"/>
                <w:szCs w:val="18"/>
                <w:lang w:val="en-US"/>
              </w:rPr>
              <w:t>BFe30-1-1</w:t>
            </w:r>
          </w:p>
        </w:tc>
        <w:tc>
          <w:tcPr>
            <w:tcW w:w="0" w:type="auto"/>
            <w:vMerge w:val="continue"/>
            <w:vAlign w:val="center"/>
          </w:tcPr>
          <w:p>
            <w:pPr>
              <w:keepNext/>
              <w:keepLines/>
              <w:spacing w:before="340" w:after="330" w:line="578" w:lineRule="auto"/>
              <w:jc w:val="center"/>
              <w:outlineLvl w:val="0"/>
              <w:rPr>
                <w:color w:val="000000"/>
                <w:sz w:val="18"/>
                <w:szCs w:val="18"/>
              </w:rPr>
            </w:pPr>
          </w:p>
        </w:tc>
        <w:tc>
          <w:tcPr>
            <w:tcW w:w="0" w:type="auto"/>
            <w:vAlign w:val="center"/>
          </w:tcPr>
          <w:p>
            <w:pPr>
              <w:jc w:val="center"/>
              <w:rPr>
                <w:color w:val="000000"/>
                <w:sz w:val="18"/>
                <w:szCs w:val="18"/>
              </w:rPr>
            </w:pPr>
            <w:r>
              <w:rPr>
                <w:rFonts w:hint="eastAsia"/>
                <w:color w:val="000000"/>
                <w:sz w:val="18"/>
                <w:szCs w:val="18"/>
              </w:rPr>
              <w:t>≥</w:t>
            </w:r>
            <w:r>
              <w:rPr>
                <w:color w:val="000000"/>
                <w:sz w:val="18"/>
                <w:szCs w:val="18"/>
              </w:rPr>
              <w:t>360</w:t>
            </w:r>
          </w:p>
        </w:tc>
        <w:tc>
          <w:tcPr>
            <w:tcW w:w="0" w:type="auto"/>
            <w:vAlign w:val="center"/>
          </w:tcPr>
          <w:p>
            <w:pPr>
              <w:jc w:val="center"/>
              <w:rPr>
                <w:color w:val="000000"/>
                <w:sz w:val="18"/>
                <w:szCs w:val="18"/>
              </w:rPr>
            </w:pPr>
            <w:r>
              <w:rPr>
                <w:rFonts w:hint="eastAsia"/>
                <w:color w:val="000000"/>
                <w:sz w:val="18"/>
                <w:szCs w:val="18"/>
              </w:rPr>
              <w:t>≥</w:t>
            </w:r>
            <w:r>
              <w:rPr>
                <w:color w:val="000000"/>
                <w:sz w:val="18"/>
                <w:szCs w:val="18"/>
              </w:rPr>
              <w:t>150</w:t>
            </w:r>
          </w:p>
        </w:tc>
        <w:tc>
          <w:tcPr>
            <w:tcW w:w="0" w:type="auto"/>
            <w:vAlign w:val="center"/>
          </w:tcPr>
          <w:p>
            <w:pPr>
              <w:spacing w:after="120"/>
              <w:jc w:val="center"/>
              <w:rPr>
                <w:color w:val="000000"/>
                <w:sz w:val="18"/>
                <w:szCs w:val="18"/>
              </w:rPr>
            </w:pPr>
            <w:r>
              <w:rPr>
                <w:rFonts w:hint="eastAsia"/>
                <w:color w:val="000000"/>
                <w:sz w:val="18"/>
                <w:szCs w:val="18"/>
              </w:rPr>
              <w:t>≥</w:t>
            </w:r>
            <w:r>
              <w:rPr>
                <w:color w:val="000000"/>
                <w:sz w:val="18"/>
                <w:szCs w:val="18"/>
              </w:rPr>
              <w:t>125</w:t>
            </w:r>
          </w:p>
        </w:tc>
        <w:tc>
          <w:tcPr>
            <w:tcW w:w="0" w:type="auto"/>
            <w:tcBorders>
              <w:right w:val="single" w:color="auto" w:sz="8" w:space="0"/>
            </w:tcBorders>
            <w:vAlign w:val="center"/>
          </w:tcPr>
          <w:p>
            <w:pPr>
              <w:spacing w:after="120"/>
              <w:jc w:val="center"/>
              <w:rPr>
                <w:color w:val="000000"/>
                <w:sz w:val="18"/>
                <w:szCs w:val="18"/>
              </w:rPr>
            </w:pPr>
            <w:r>
              <w:rPr>
                <w:color w:val="000000"/>
                <w:sz w:val="18"/>
                <w:szCs w:val="18"/>
              </w:rPr>
              <w:t>＜135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gridSpan w:val="6"/>
            <w:tcBorders>
              <w:left w:val="single" w:color="auto" w:sz="8" w:space="0"/>
              <w:bottom w:val="single" w:color="auto" w:sz="8" w:space="0"/>
              <w:right w:val="single" w:color="auto" w:sz="8" w:space="0"/>
            </w:tcBorders>
          </w:tcPr>
          <w:p>
            <w:pPr>
              <w:ind w:firstLine="360" w:firstLineChars="200"/>
              <w:rPr>
                <w:color w:val="000000"/>
                <w:sz w:val="18"/>
                <w:szCs w:val="18"/>
              </w:rPr>
            </w:pPr>
            <w:r>
              <w:rPr>
                <w:rFonts w:eastAsia="黑体"/>
                <w:color w:val="000000"/>
                <w:sz w:val="18"/>
                <w:szCs w:val="18"/>
                <w:vertAlign w:val="superscript"/>
              </w:rPr>
              <w:t>a</w:t>
            </w:r>
            <w:r>
              <w:rPr>
                <w:rFonts w:hint="eastAsia"/>
                <w:color w:val="000000"/>
                <w:sz w:val="18"/>
                <w:szCs w:val="18"/>
              </w:rPr>
              <w:t xml:space="preserve"> </w:t>
            </w:r>
            <w:r>
              <w:rPr>
                <w:color w:val="000000"/>
                <w:sz w:val="18"/>
                <w:szCs w:val="18"/>
              </w:rPr>
              <w:t>维氏硬度总试验力</w:t>
            </w:r>
            <w:r>
              <w:rPr>
                <w:rFonts w:hint="eastAsia"/>
                <w:color w:val="000000"/>
                <w:sz w:val="18"/>
                <w:szCs w:val="18"/>
              </w:rPr>
              <w:t>宜用9.807N</w:t>
            </w:r>
            <w:r>
              <w:rPr>
                <w:color w:val="000000"/>
                <w:sz w:val="18"/>
                <w:szCs w:val="18"/>
              </w:rPr>
              <w:t>。</w:t>
            </w:r>
          </w:p>
        </w:tc>
      </w:tr>
    </w:tbl>
    <w:p>
      <w:pPr>
        <w:pStyle w:val="56"/>
        <w:numPr>
          <w:ilvl w:val="1"/>
          <w:numId w:val="5"/>
        </w:numPr>
        <w:ind w:firstLineChars="0"/>
        <w:rPr>
          <w:rFonts w:eastAsia="黑体"/>
          <w:bCs/>
          <w:color w:val="000000"/>
        </w:rPr>
      </w:pPr>
      <w:r>
        <w:rPr>
          <w:rFonts w:eastAsia="黑体"/>
          <w:bCs/>
          <w:color w:val="000000"/>
        </w:rPr>
        <w:t>工艺性能</w:t>
      </w:r>
    </w:p>
    <w:p>
      <w:pPr>
        <w:pStyle w:val="56"/>
        <w:numPr>
          <w:ilvl w:val="2"/>
          <w:numId w:val="9"/>
        </w:numPr>
        <w:ind w:firstLineChars="0"/>
        <w:rPr>
          <w:rFonts w:eastAsia="黑体"/>
          <w:bCs/>
          <w:color w:val="000000"/>
        </w:rPr>
      </w:pPr>
      <w:r>
        <w:rPr>
          <w:rFonts w:eastAsia="黑体"/>
          <w:bCs/>
          <w:color w:val="000000"/>
        </w:rPr>
        <w:t>扩口试验</w:t>
      </w:r>
    </w:p>
    <w:p>
      <w:pPr>
        <w:ind w:firstLine="420" w:firstLineChars="200"/>
        <w:rPr>
          <w:color w:val="000000"/>
        </w:rPr>
      </w:pPr>
      <w:r>
        <w:rPr>
          <w:color w:val="000000"/>
        </w:rPr>
        <w:t>管坯应进行扩口试验，采用60°冲锥，试验结果应符合表</w:t>
      </w:r>
      <w:r>
        <w:rPr>
          <w:rFonts w:hint="eastAsia"/>
          <w:color w:val="000000"/>
        </w:rPr>
        <w:t>6</w:t>
      </w:r>
      <w:r>
        <w:rPr>
          <w:color w:val="000000"/>
        </w:rPr>
        <w:t>的规定。</w:t>
      </w:r>
    </w:p>
    <w:p>
      <w:pPr>
        <w:jc w:val="center"/>
        <w:rPr>
          <w:rFonts w:eastAsia="黑体"/>
          <w:bCs/>
          <w:color w:val="000000"/>
        </w:rPr>
      </w:pPr>
      <w:r>
        <w:rPr>
          <w:rFonts w:eastAsia="黑体"/>
          <w:bCs/>
          <w:color w:val="000000"/>
        </w:rPr>
        <w:t>表</w:t>
      </w:r>
      <w:r>
        <w:rPr>
          <w:rFonts w:hint="eastAsia" w:eastAsia="黑体"/>
          <w:bCs/>
          <w:color w:val="000000"/>
        </w:rPr>
        <w:t>6</w:t>
      </w:r>
      <w:r>
        <w:rPr>
          <w:rFonts w:eastAsia="黑体"/>
          <w:bCs/>
          <w:color w:val="000000"/>
        </w:rPr>
        <w:t xml:space="preserve">  管坯的扩口试验</w:t>
      </w:r>
    </w:p>
    <w:tbl>
      <w:tblPr>
        <w:tblStyle w:val="16"/>
        <w:tblW w:w="4776"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51"/>
        <w:gridCol w:w="1815"/>
        <w:gridCol w:w="2457"/>
        <w:gridCol w:w="261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blHeader/>
        </w:trPr>
        <w:tc>
          <w:tcPr>
            <w:tcW w:w="1231" w:type="pct"/>
            <w:tcBorders>
              <w:top w:val="single" w:color="auto" w:sz="8" w:space="0"/>
              <w:left w:val="single" w:color="auto" w:sz="8" w:space="0"/>
              <w:bottom w:val="single" w:color="auto" w:sz="8" w:space="0"/>
            </w:tcBorders>
            <w:vAlign w:val="center"/>
          </w:tcPr>
          <w:p>
            <w:pPr>
              <w:jc w:val="center"/>
              <w:rPr>
                <w:color w:val="000000"/>
                <w:sz w:val="18"/>
                <w:szCs w:val="18"/>
              </w:rPr>
            </w:pPr>
            <w:r>
              <w:rPr>
                <w:color w:val="000000"/>
                <w:sz w:val="18"/>
                <w:szCs w:val="18"/>
              </w:rPr>
              <w:t>牌号</w:t>
            </w:r>
          </w:p>
        </w:tc>
        <w:tc>
          <w:tcPr>
            <w:tcW w:w="993" w:type="pct"/>
            <w:tcBorders>
              <w:top w:val="single" w:color="auto" w:sz="8" w:space="0"/>
              <w:bottom w:val="single" w:color="auto" w:sz="8" w:space="0"/>
            </w:tcBorders>
            <w:vAlign w:val="center"/>
          </w:tcPr>
          <w:p>
            <w:pPr>
              <w:jc w:val="center"/>
              <w:rPr>
                <w:color w:val="000000"/>
                <w:sz w:val="18"/>
                <w:szCs w:val="18"/>
              </w:rPr>
            </w:pPr>
            <w:r>
              <w:rPr>
                <w:color w:val="000000"/>
                <w:sz w:val="18"/>
                <w:szCs w:val="18"/>
              </w:rPr>
              <w:t>状态</w:t>
            </w:r>
          </w:p>
        </w:tc>
        <w:tc>
          <w:tcPr>
            <w:tcW w:w="1344" w:type="pct"/>
            <w:tcBorders>
              <w:top w:val="single" w:color="auto" w:sz="8" w:space="0"/>
              <w:bottom w:val="single" w:color="auto" w:sz="8" w:space="0"/>
            </w:tcBorders>
            <w:vAlign w:val="center"/>
          </w:tcPr>
          <w:p>
            <w:pPr>
              <w:jc w:val="center"/>
              <w:rPr>
                <w:color w:val="000000"/>
                <w:sz w:val="18"/>
                <w:szCs w:val="18"/>
              </w:rPr>
            </w:pPr>
            <w:r>
              <w:rPr>
                <w:color w:val="000000"/>
                <w:sz w:val="18"/>
                <w:szCs w:val="18"/>
              </w:rPr>
              <w:t>扩口率</w:t>
            </w:r>
          </w:p>
          <w:p>
            <w:pPr>
              <w:jc w:val="center"/>
              <w:rPr>
                <w:color w:val="000000"/>
                <w:sz w:val="18"/>
                <w:szCs w:val="18"/>
              </w:rPr>
            </w:pPr>
            <w:r>
              <w:rPr>
                <w:color w:val="000000"/>
                <w:sz w:val="18"/>
                <w:szCs w:val="18"/>
              </w:rPr>
              <w:t>%</w:t>
            </w:r>
          </w:p>
        </w:tc>
        <w:tc>
          <w:tcPr>
            <w:tcW w:w="1432" w:type="pct"/>
            <w:tcBorders>
              <w:top w:val="single" w:color="auto" w:sz="8" w:space="0"/>
              <w:bottom w:val="single" w:color="auto" w:sz="8" w:space="0"/>
              <w:right w:val="single" w:color="auto" w:sz="8" w:space="0"/>
            </w:tcBorders>
            <w:vAlign w:val="center"/>
          </w:tcPr>
          <w:p>
            <w:pPr>
              <w:jc w:val="center"/>
              <w:rPr>
                <w:color w:val="000000"/>
                <w:sz w:val="18"/>
                <w:szCs w:val="18"/>
              </w:rPr>
            </w:pPr>
            <w:r>
              <w:rPr>
                <w:color w:val="000000"/>
                <w:sz w:val="18"/>
                <w:szCs w:val="18"/>
              </w:rPr>
              <w:t>结果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6" w:hRule="exact"/>
        </w:trPr>
        <w:tc>
          <w:tcPr>
            <w:tcW w:w="1231" w:type="pct"/>
            <w:vMerge w:val="restart"/>
            <w:tcBorders>
              <w:top w:val="single" w:color="auto" w:sz="8" w:space="0"/>
              <w:left w:val="single" w:color="auto" w:sz="8" w:space="0"/>
            </w:tcBorders>
            <w:vAlign w:val="center"/>
          </w:tcPr>
          <w:p>
            <w:pPr>
              <w:pStyle w:val="40"/>
              <w:shd w:val="clear" w:color="auto" w:fill="auto"/>
              <w:spacing w:line="240" w:lineRule="auto"/>
              <w:jc w:val="center"/>
              <w:rPr>
                <w:rStyle w:val="42"/>
                <w:color w:val="000000"/>
                <w:sz w:val="18"/>
                <w:szCs w:val="18"/>
                <w:lang w:val="fr-FR"/>
              </w:rPr>
            </w:pPr>
            <w:r>
              <w:rPr>
                <w:rStyle w:val="42"/>
                <w:color w:val="000000"/>
                <w:sz w:val="18"/>
                <w:szCs w:val="18"/>
                <w:lang w:val="fr-FR"/>
              </w:rPr>
              <w:t>TU00</w:t>
            </w:r>
          </w:p>
          <w:p>
            <w:pPr>
              <w:pStyle w:val="40"/>
              <w:shd w:val="clear" w:color="auto" w:fill="auto"/>
              <w:spacing w:line="240" w:lineRule="auto"/>
              <w:jc w:val="center"/>
              <w:rPr>
                <w:rStyle w:val="42"/>
                <w:color w:val="000000"/>
                <w:sz w:val="18"/>
                <w:szCs w:val="18"/>
                <w:lang w:val="fr-FR"/>
              </w:rPr>
            </w:pPr>
            <w:r>
              <w:rPr>
                <w:rStyle w:val="42"/>
                <w:color w:val="000000"/>
                <w:sz w:val="18"/>
                <w:szCs w:val="18"/>
                <w:lang w:val="fr-FR"/>
              </w:rPr>
              <w:t>TU1</w:t>
            </w:r>
          </w:p>
          <w:p>
            <w:pPr>
              <w:pStyle w:val="40"/>
              <w:shd w:val="clear" w:color="auto" w:fill="auto"/>
              <w:spacing w:line="240" w:lineRule="auto"/>
              <w:jc w:val="center"/>
              <w:rPr>
                <w:rStyle w:val="42"/>
                <w:color w:val="000000"/>
                <w:sz w:val="18"/>
                <w:szCs w:val="18"/>
                <w:lang w:val="fr-FR"/>
              </w:rPr>
            </w:pPr>
            <w:r>
              <w:rPr>
                <w:rStyle w:val="42"/>
                <w:color w:val="000000"/>
                <w:sz w:val="18"/>
                <w:szCs w:val="18"/>
                <w:lang w:val="fr-FR"/>
              </w:rPr>
              <w:t>TU2</w:t>
            </w:r>
          </w:p>
          <w:p>
            <w:pPr>
              <w:pStyle w:val="40"/>
              <w:shd w:val="clear" w:color="auto" w:fill="auto"/>
              <w:spacing w:line="240" w:lineRule="auto"/>
              <w:jc w:val="center"/>
              <w:rPr>
                <w:rStyle w:val="42"/>
                <w:color w:val="000000"/>
                <w:sz w:val="18"/>
                <w:szCs w:val="18"/>
                <w:lang w:val="fr-FR"/>
              </w:rPr>
            </w:pPr>
            <w:r>
              <w:rPr>
                <w:rStyle w:val="42"/>
                <w:color w:val="000000"/>
                <w:sz w:val="18"/>
                <w:szCs w:val="18"/>
                <w:lang w:val="fr-FR"/>
              </w:rPr>
              <w:t>TP1</w:t>
            </w:r>
          </w:p>
          <w:p>
            <w:pPr>
              <w:jc w:val="center"/>
              <w:rPr>
                <w:color w:val="000000"/>
                <w:sz w:val="18"/>
                <w:szCs w:val="18"/>
                <w:lang w:val="fr-FR"/>
              </w:rPr>
            </w:pPr>
            <w:r>
              <w:rPr>
                <w:rStyle w:val="42"/>
                <w:color w:val="000000"/>
                <w:sz w:val="18"/>
                <w:szCs w:val="18"/>
                <w:lang w:val="fr-FR"/>
              </w:rPr>
              <w:t>TP2</w:t>
            </w:r>
          </w:p>
        </w:tc>
        <w:tc>
          <w:tcPr>
            <w:tcW w:w="993" w:type="pct"/>
            <w:tcBorders>
              <w:top w:val="single" w:color="auto" w:sz="8" w:space="0"/>
            </w:tcBorders>
            <w:vAlign w:val="center"/>
          </w:tcPr>
          <w:p>
            <w:pPr>
              <w:jc w:val="center"/>
              <w:rPr>
                <w:color w:val="000000"/>
                <w:sz w:val="18"/>
                <w:szCs w:val="18"/>
              </w:rPr>
            </w:pPr>
            <w:r>
              <w:rPr>
                <w:rStyle w:val="38"/>
                <w:rFonts w:ascii="Times New Roman" w:hAnsi="Times New Roman" w:eastAsia="宋体"/>
                <w:color w:val="000000"/>
                <w:sz w:val="18"/>
                <w:szCs w:val="18"/>
              </w:rPr>
              <w:t>软化退火（O60）</w:t>
            </w:r>
          </w:p>
        </w:tc>
        <w:tc>
          <w:tcPr>
            <w:tcW w:w="1344" w:type="pct"/>
            <w:tcBorders>
              <w:top w:val="single" w:color="auto" w:sz="8" w:space="0"/>
            </w:tcBorders>
            <w:vAlign w:val="center"/>
          </w:tcPr>
          <w:p>
            <w:pPr>
              <w:jc w:val="center"/>
              <w:rPr>
                <w:color w:val="000000"/>
                <w:sz w:val="18"/>
                <w:szCs w:val="18"/>
              </w:rPr>
            </w:pPr>
            <w:r>
              <w:rPr>
                <w:color w:val="000000"/>
                <w:sz w:val="18"/>
                <w:szCs w:val="18"/>
              </w:rPr>
              <w:t>35</w:t>
            </w:r>
          </w:p>
        </w:tc>
        <w:tc>
          <w:tcPr>
            <w:tcW w:w="1432" w:type="pct"/>
            <w:vMerge w:val="restart"/>
            <w:tcBorders>
              <w:top w:val="single" w:color="auto" w:sz="8" w:space="0"/>
              <w:right w:val="single" w:color="auto" w:sz="8" w:space="0"/>
            </w:tcBorders>
            <w:vAlign w:val="center"/>
          </w:tcPr>
          <w:p>
            <w:pPr>
              <w:jc w:val="center"/>
              <w:rPr>
                <w:color w:val="000000"/>
                <w:sz w:val="18"/>
                <w:szCs w:val="18"/>
              </w:rPr>
            </w:pPr>
            <w:r>
              <w:rPr>
                <w:sz w:val="18"/>
                <w:szCs w:val="18"/>
              </w:rPr>
              <w:t>管坯扩口试验后试样不应产生肉眼可见的裂纹或裂口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6" w:hRule="atLeast"/>
        </w:trPr>
        <w:tc>
          <w:tcPr>
            <w:tcW w:w="1231" w:type="pct"/>
            <w:vMerge w:val="continue"/>
            <w:tcBorders>
              <w:left w:val="single" w:color="auto" w:sz="8" w:space="0"/>
            </w:tcBorders>
            <w:vAlign w:val="center"/>
          </w:tcPr>
          <w:p>
            <w:pPr>
              <w:pStyle w:val="40"/>
              <w:keepNext/>
              <w:keepLines/>
              <w:shd w:val="clear" w:color="auto" w:fill="auto"/>
              <w:spacing w:before="340" w:after="330" w:line="240" w:lineRule="auto"/>
              <w:jc w:val="center"/>
              <w:outlineLvl w:val="0"/>
              <w:rPr>
                <w:rStyle w:val="42"/>
                <w:color w:val="000000"/>
                <w:sz w:val="18"/>
                <w:szCs w:val="18"/>
                <w:lang w:val="fr-FR"/>
              </w:rPr>
            </w:pPr>
          </w:p>
        </w:tc>
        <w:tc>
          <w:tcPr>
            <w:tcW w:w="993" w:type="pct"/>
            <w:vAlign w:val="center"/>
          </w:tcPr>
          <w:p>
            <w:pPr>
              <w:jc w:val="center"/>
              <w:rPr>
                <w:rStyle w:val="38"/>
                <w:rFonts w:ascii="Times New Roman" w:hAnsi="Times New Roman" w:eastAsia="宋体"/>
                <w:color w:val="000000"/>
                <w:sz w:val="18"/>
                <w:szCs w:val="18"/>
              </w:rPr>
            </w:pPr>
            <w:r>
              <w:rPr>
                <w:rStyle w:val="38"/>
                <w:rFonts w:ascii="Times New Roman" w:hAnsi="Times New Roman" w:eastAsia="宋体"/>
                <w:color w:val="000000"/>
                <w:sz w:val="18"/>
                <w:szCs w:val="18"/>
              </w:rPr>
              <w:t>轻拉（H55）</w:t>
            </w:r>
          </w:p>
        </w:tc>
        <w:tc>
          <w:tcPr>
            <w:tcW w:w="1344" w:type="pct"/>
            <w:vAlign w:val="center"/>
          </w:tcPr>
          <w:p>
            <w:pPr>
              <w:jc w:val="center"/>
              <w:rPr>
                <w:color w:val="000000"/>
                <w:sz w:val="18"/>
                <w:szCs w:val="18"/>
              </w:rPr>
            </w:pPr>
            <w:r>
              <w:rPr>
                <w:color w:val="000000"/>
                <w:sz w:val="18"/>
                <w:szCs w:val="18"/>
              </w:rPr>
              <w:t>20</w:t>
            </w:r>
          </w:p>
        </w:tc>
        <w:tc>
          <w:tcPr>
            <w:tcW w:w="1432" w:type="pct"/>
            <w:vMerge w:val="continue"/>
            <w:tcBorders>
              <w:right w:val="single" w:color="auto" w:sz="8" w:space="0"/>
            </w:tcBorders>
            <w:vAlign w:val="center"/>
          </w:tcPr>
          <w:p>
            <w:pPr>
              <w:jc w:val="center"/>
              <w:rPr>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1" w:type="pct"/>
            <w:tcBorders>
              <w:left w:val="single" w:color="auto" w:sz="8" w:space="0"/>
            </w:tcBorders>
            <w:vAlign w:val="center"/>
          </w:tcPr>
          <w:p>
            <w:pPr>
              <w:pStyle w:val="40"/>
              <w:shd w:val="clear" w:color="auto" w:fill="auto"/>
              <w:adjustRightInd w:val="0"/>
              <w:snapToGrid w:val="0"/>
              <w:spacing w:line="240" w:lineRule="auto"/>
              <w:jc w:val="center"/>
              <w:rPr>
                <w:rStyle w:val="42"/>
                <w:color w:val="000000"/>
                <w:kern w:val="2"/>
                <w:sz w:val="18"/>
                <w:szCs w:val="18"/>
                <w:lang w:val="en-US"/>
              </w:rPr>
            </w:pPr>
            <w:r>
              <w:rPr>
                <w:rStyle w:val="42"/>
                <w:color w:val="000000"/>
                <w:sz w:val="18"/>
                <w:szCs w:val="18"/>
                <w:lang w:val="en-US"/>
              </w:rPr>
              <w:t>HA177-2</w:t>
            </w:r>
          </w:p>
          <w:p>
            <w:pPr>
              <w:pStyle w:val="40"/>
              <w:shd w:val="clear" w:color="auto" w:fill="auto"/>
              <w:adjustRightInd w:val="0"/>
              <w:snapToGrid w:val="0"/>
              <w:spacing w:line="240" w:lineRule="auto"/>
              <w:jc w:val="center"/>
              <w:rPr>
                <w:rStyle w:val="42"/>
                <w:color w:val="000000"/>
                <w:sz w:val="18"/>
                <w:szCs w:val="18"/>
                <w:lang w:val="en-US"/>
              </w:rPr>
            </w:pPr>
            <w:r>
              <w:rPr>
                <w:rStyle w:val="42"/>
                <w:color w:val="000000"/>
                <w:sz w:val="18"/>
                <w:szCs w:val="18"/>
                <w:lang w:val="en-US"/>
              </w:rPr>
              <w:t>HSn70-</w:t>
            </w:r>
            <w:r>
              <w:rPr>
                <w:rStyle w:val="42"/>
                <w:rFonts w:hint="eastAsia"/>
                <w:color w:val="000000"/>
                <w:sz w:val="18"/>
                <w:szCs w:val="18"/>
                <w:lang w:val="en-US"/>
              </w:rPr>
              <w:t>1</w:t>
            </w:r>
          </w:p>
        </w:tc>
        <w:tc>
          <w:tcPr>
            <w:tcW w:w="993" w:type="pct"/>
            <w:vAlign w:val="center"/>
          </w:tcPr>
          <w:p>
            <w:pPr>
              <w:jc w:val="center"/>
              <w:rPr>
                <w:rStyle w:val="38"/>
                <w:rFonts w:ascii="Times New Roman" w:hAnsi="Times New Roman" w:eastAsia="宋体"/>
                <w:color w:val="000000"/>
                <w:sz w:val="18"/>
                <w:szCs w:val="18"/>
              </w:rPr>
            </w:pPr>
            <w:r>
              <w:rPr>
                <w:rStyle w:val="38"/>
                <w:rFonts w:ascii="Times New Roman" w:hAnsi="Times New Roman" w:eastAsia="宋体"/>
                <w:color w:val="000000"/>
                <w:sz w:val="18"/>
                <w:szCs w:val="18"/>
              </w:rPr>
              <w:t>软化退火（O60）</w:t>
            </w:r>
          </w:p>
        </w:tc>
        <w:tc>
          <w:tcPr>
            <w:tcW w:w="1344" w:type="pct"/>
            <w:vAlign w:val="center"/>
          </w:tcPr>
          <w:p>
            <w:pPr>
              <w:jc w:val="center"/>
              <w:rPr>
                <w:color w:val="000000"/>
                <w:sz w:val="18"/>
                <w:szCs w:val="18"/>
              </w:rPr>
            </w:pPr>
            <w:r>
              <w:rPr>
                <w:color w:val="000000"/>
                <w:sz w:val="18"/>
                <w:szCs w:val="18"/>
              </w:rPr>
              <w:t>25</w:t>
            </w:r>
          </w:p>
        </w:tc>
        <w:tc>
          <w:tcPr>
            <w:tcW w:w="1432" w:type="pct"/>
            <w:vMerge w:val="continue"/>
            <w:tcBorders>
              <w:right w:val="single" w:color="auto" w:sz="8" w:space="0"/>
            </w:tcBorders>
          </w:tcPr>
          <w:p>
            <w:pPr>
              <w:rPr>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1" w:type="pct"/>
            <w:tcBorders>
              <w:left w:val="single" w:color="auto" w:sz="8" w:space="0"/>
              <w:bottom w:val="single" w:color="auto" w:sz="8" w:space="0"/>
            </w:tcBorders>
            <w:vAlign w:val="center"/>
          </w:tcPr>
          <w:p>
            <w:pPr>
              <w:pStyle w:val="40"/>
              <w:shd w:val="clear" w:color="auto" w:fill="auto"/>
              <w:spacing w:line="240" w:lineRule="auto"/>
              <w:jc w:val="center"/>
              <w:rPr>
                <w:rStyle w:val="42"/>
                <w:color w:val="000000"/>
                <w:sz w:val="18"/>
                <w:szCs w:val="18"/>
                <w:lang w:val="en-US"/>
              </w:rPr>
            </w:pPr>
            <w:r>
              <w:rPr>
                <w:rStyle w:val="42"/>
                <w:color w:val="000000"/>
                <w:sz w:val="18"/>
                <w:szCs w:val="18"/>
                <w:lang w:val="en-US"/>
              </w:rPr>
              <w:t>BFe 10-1-1</w:t>
            </w:r>
          </w:p>
          <w:p>
            <w:pPr>
              <w:jc w:val="center"/>
              <w:rPr>
                <w:color w:val="000000"/>
                <w:sz w:val="18"/>
                <w:szCs w:val="18"/>
              </w:rPr>
            </w:pPr>
            <w:r>
              <w:rPr>
                <w:rStyle w:val="42"/>
                <w:color w:val="000000"/>
                <w:sz w:val="18"/>
                <w:szCs w:val="18"/>
              </w:rPr>
              <w:t>BFe 30-1-1</w:t>
            </w:r>
          </w:p>
        </w:tc>
        <w:tc>
          <w:tcPr>
            <w:tcW w:w="993" w:type="pct"/>
            <w:tcBorders>
              <w:bottom w:val="single" w:color="auto" w:sz="8" w:space="0"/>
            </w:tcBorders>
            <w:vAlign w:val="center"/>
          </w:tcPr>
          <w:p>
            <w:pPr>
              <w:jc w:val="center"/>
              <w:rPr>
                <w:color w:val="000000"/>
                <w:sz w:val="18"/>
                <w:szCs w:val="18"/>
              </w:rPr>
            </w:pPr>
            <w:r>
              <w:rPr>
                <w:rStyle w:val="38"/>
                <w:rFonts w:ascii="Times New Roman" w:hAnsi="Times New Roman" w:eastAsia="宋体"/>
                <w:color w:val="000000"/>
                <w:sz w:val="18"/>
                <w:szCs w:val="18"/>
              </w:rPr>
              <w:t>软化退火（O60）</w:t>
            </w:r>
          </w:p>
        </w:tc>
        <w:tc>
          <w:tcPr>
            <w:tcW w:w="1344" w:type="pct"/>
            <w:tcBorders>
              <w:bottom w:val="single" w:color="auto" w:sz="8" w:space="0"/>
            </w:tcBorders>
            <w:vAlign w:val="center"/>
          </w:tcPr>
          <w:p>
            <w:pPr>
              <w:jc w:val="center"/>
              <w:rPr>
                <w:color w:val="000000"/>
                <w:sz w:val="18"/>
                <w:szCs w:val="18"/>
              </w:rPr>
            </w:pPr>
            <w:r>
              <w:rPr>
                <w:color w:val="000000"/>
                <w:sz w:val="18"/>
                <w:szCs w:val="18"/>
              </w:rPr>
              <w:t>25</w:t>
            </w:r>
          </w:p>
        </w:tc>
        <w:tc>
          <w:tcPr>
            <w:tcW w:w="1432" w:type="pct"/>
            <w:vMerge w:val="continue"/>
            <w:tcBorders>
              <w:bottom w:val="single" w:color="auto" w:sz="8" w:space="0"/>
              <w:right w:val="single" w:color="auto" w:sz="8" w:space="0"/>
            </w:tcBorders>
          </w:tcPr>
          <w:p>
            <w:pPr>
              <w:rPr>
                <w:color w:val="000000"/>
                <w:sz w:val="18"/>
                <w:szCs w:val="18"/>
              </w:rPr>
            </w:pPr>
          </w:p>
        </w:tc>
      </w:tr>
    </w:tbl>
    <w:p>
      <w:pPr>
        <w:pStyle w:val="56"/>
        <w:numPr>
          <w:ilvl w:val="2"/>
          <w:numId w:val="9"/>
        </w:numPr>
        <w:ind w:firstLineChars="0"/>
        <w:rPr>
          <w:rFonts w:eastAsia="黑体"/>
          <w:bCs/>
          <w:color w:val="000000"/>
        </w:rPr>
      </w:pPr>
      <w:r>
        <w:rPr>
          <w:rFonts w:eastAsia="黑体"/>
          <w:bCs/>
          <w:color w:val="000000"/>
        </w:rPr>
        <w:t>压扁试验</w:t>
      </w:r>
    </w:p>
    <w:p>
      <w:pPr>
        <w:ind w:firstLine="420" w:firstLineChars="200"/>
      </w:pPr>
      <w:r>
        <w:t>需方有要求时，退火态管坯应进行压扁试验，压扁后两壁间的距离等于壁厚，试样不应产生肉眼可见的裂纹或断裂。</w:t>
      </w:r>
    </w:p>
    <w:p>
      <w:pPr>
        <w:pStyle w:val="56"/>
        <w:numPr>
          <w:ilvl w:val="1"/>
          <w:numId w:val="5"/>
        </w:numPr>
        <w:ind w:firstLineChars="0"/>
        <w:rPr>
          <w:rFonts w:eastAsia="黑体"/>
          <w:bCs/>
          <w:color w:val="000000"/>
        </w:rPr>
      </w:pPr>
      <w:r>
        <w:rPr>
          <w:rFonts w:eastAsia="黑体"/>
          <w:bCs/>
          <w:color w:val="000000"/>
        </w:rPr>
        <w:t>非破坏性试验</w:t>
      </w:r>
    </w:p>
    <w:p>
      <w:pPr>
        <w:pStyle w:val="56"/>
        <w:numPr>
          <w:ilvl w:val="2"/>
          <w:numId w:val="10"/>
        </w:numPr>
        <w:ind w:firstLineChars="0"/>
        <w:rPr>
          <w:rFonts w:eastAsia="黑体"/>
          <w:bCs/>
          <w:color w:val="000000"/>
        </w:rPr>
      </w:pPr>
      <w:r>
        <w:rPr>
          <w:rFonts w:eastAsia="黑体"/>
          <w:bCs/>
          <w:color w:val="000000"/>
        </w:rPr>
        <w:t>水压试验</w:t>
      </w:r>
    </w:p>
    <w:p>
      <w:pPr>
        <w:ind w:firstLine="420" w:firstLineChars="200"/>
        <w:jc w:val="left"/>
        <w:rPr>
          <w:color w:val="000000"/>
        </w:rPr>
      </w:pPr>
      <w:r>
        <w:rPr>
          <w:color w:val="000000"/>
        </w:rPr>
        <w:t>试验压力按公式（1）计算，试验持续时间为10s～15s，试验后无渗漏现象。</w:t>
      </w:r>
      <w:r>
        <w:rPr>
          <w:rFonts w:hint="eastAsia"/>
          <w:color w:val="000000"/>
        </w:rPr>
        <w:t>当按公式</w:t>
      </w:r>
      <w:r>
        <w:rPr>
          <w:color w:val="000000"/>
        </w:rPr>
        <w:t>(1)</w:t>
      </w:r>
      <w:r>
        <w:rPr>
          <w:rFonts w:hint="eastAsia"/>
          <w:color w:val="000000"/>
        </w:rPr>
        <w:t>计算出来的</w:t>
      </w:r>
      <w:r>
        <w:rPr>
          <w:i/>
          <w:iCs/>
          <w:color w:val="000000"/>
        </w:rPr>
        <w:t>P</w:t>
      </w:r>
      <w:r>
        <w:rPr>
          <w:rFonts w:hint="eastAsia"/>
          <w:color w:val="000000"/>
        </w:rPr>
        <w:t>值＞</w:t>
      </w:r>
      <w:r>
        <w:rPr>
          <w:color w:val="000000"/>
        </w:rPr>
        <w:t>6.9MPa</w:t>
      </w:r>
      <w:r>
        <w:rPr>
          <w:rFonts w:hint="eastAsia"/>
          <w:color w:val="000000"/>
        </w:rPr>
        <w:t>时，应采用</w:t>
      </w:r>
      <w:r>
        <w:rPr>
          <w:color w:val="000000"/>
        </w:rPr>
        <w:t>6.9MPa</w:t>
      </w:r>
      <w:r>
        <w:rPr>
          <w:rFonts w:hint="eastAsia"/>
          <w:color w:val="000000"/>
        </w:rPr>
        <w:t>的水压力进行试验。</w:t>
      </w:r>
    </w:p>
    <w:p>
      <w:pPr>
        <w:ind w:firstLine="560" w:firstLineChars="200"/>
        <w:jc w:val="right"/>
        <w:rPr>
          <w:color w:val="000000"/>
        </w:rPr>
      </w:pPr>
      <w:bookmarkStart w:id="44" w:name="_Hlk151392782"/>
      <m:oMath>
        <m:r>
          <m:rPr/>
          <w:rPr>
            <w:rFonts w:ascii="Cambria Math" w:hAnsi="Cambria Math"/>
            <w:color w:val="000000"/>
            <w:sz w:val="28"/>
            <w:szCs w:val="28"/>
          </w:rPr>
          <m:t>P=</m:t>
        </m:r>
        <m:f>
          <m:fPr>
            <m:ctrlPr>
              <w:rPr>
                <w:rFonts w:ascii="Cambria Math" w:hAnsi="Cambria Math"/>
                <w:i/>
                <w:color w:val="000000"/>
                <w:sz w:val="28"/>
                <w:szCs w:val="28"/>
              </w:rPr>
            </m:ctrlPr>
          </m:fPr>
          <m:num>
            <m:r>
              <m:rPr/>
              <w:rPr>
                <w:rFonts w:ascii="Cambria Math" w:hAnsi="Cambria Math"/>
                <w:color w:val="000000"/>
                <w:sz w:val="28"/>
                <w:szCs w:val="28"/>
              </w:rPr>
              <m:t>2ST</m:t>
            </m:r>
            <m:ctrlPr>
              <w:rPr>
                <w:rFonts w:ascii="Cambria Math" w:hAnsi="Cambria Math"/>
                <w:i/>
                <w:color w:val="000000"/>
                <w:sz w:val="28"/>
                <w:szCs w:val="28"/>
              </w:rPr>
            </m:ctrlPr>
          </m:num>
          <m:den>
            <m:r>
              <m:rPr/>
              <w:rPr>
                <w:rFonts w:ascii="Cambria Math" w:hAnsi="Cambria Math"/>
                <w:color w:val="000000"/>
                <w:sz w:val="28"/>
                <w:szCs w:val="28"/>
              </w:rPr>
              <m:t>D−0.8T</m:t>
            </m:r>
            <m:ctrlPr>
              <w:rPr>
                <w:rFonts w:ascii="Cambria Math" w:hAnsi="Cambria Math"/>
                <w:i/>
                <w:color w:val="000000"/>
                <w:sz w:val="28"/>
                <w:szCs w:val="28"/>
              </w:rPr>
            </m:ctrlPr>
          </m:den>
        </m:f>
      </m:oMath>
      <w:r>
        <w:rPr>
          <w:color w:val="000000"/>
        </w:rPr>
        <w:t>·························································(1)</w:t>
      </w:r>
    </w:p>
    <w:p>
      <w:pPr>
        <w:ind w:firstLine="457" w:firstLineChars="218"/>
        <w:jc w:val="center"/>
        <w:rPr>
          <w:color w:val="000000"/>
        </w:rPr>
      </w:pPr>
    </w:p>
    <w:bookmarkEnd w:id="44"/>
    <w:p>
      <w:pPr>
        <w:ind w:firstLine="457" w:firstLineChars="218"/>
        <w:rPr>
          <w:color w:val="000000"/>
        </w:rPr>
      </w:pPr>
      <w:r>
        <w:rPr>
          <w:color w:val="000000"/>
        </w:rPr>
        <w:t>式中：</w:t>
      </w:r>
    </w:p>
    <w:p>
      <w:pPr>
        <w:ind w:firstLine="420" w:firstLineChars="200"/>
        <w:rPr>
          <w:color w:val="000000"/>
        </w:rPr>
      </w:pPr>
      <w:r>
        <w:rPr>
          <w:i/>
          <w:iCs/>
          <w:color w:val="000000"/>
        </w:rPr>
        <w:t>P</w:t>
      </w:r>
      <w:r>
        <w:rPr>
          <w:rFonts w:hint="eastAsia"/>
          <w:color w:val="000000"/>
        </w:rPr>
        <w:t>——</w:t>
      </w:r>
      <w:r>
        <w:rPr>
          <w:color w:val="000000"/>
        </w:rPr>
        <w:t>最大试验压力，单位为兆帕（MPa</w:t>
      </w:r>
      <w:r>
        <w:rPr>
          <w:rStyle w:val="42"/>
          <w:color w:val="000000"/>
          <w:sz w:val="21"/>
          <w:szCs w:val="21"/>
          <w:lang w:val="fr-FR"/>
        </w:rPr>
        <w:t>）</w:t>
      </w:r>
      <w:r>
        <w:rPr>
          <w:color w:val="000000"/>
        </w:rPr>
        <w:t>；</w:t>
      </w:r>
    </w:p>
    <w:p>
      <w:pPr>
        <w:ind w:firstLine="420" w:firstLineChars="200"/>
        <w:rPr>
          <w:color w:val="000000"/>
        </w:rPr>
      </w:pPr>
      <w:r>
        <w:rPr>
          <w:i/>
          <w:iCs/>
          <w:color w:val="000000"/>
        </w:rPr>
        <w:t>T</w:t>
      </w:r>
      <w:bookmarkStart w:id="45" w:name="OLE_LINK35"/>
      <w:bookmarkStart w:id="46" w:name="OLE_LINK13"/>
      <w:r>
        <w:rPr>
          <w:rFonts w:hint="eastAsia"/>
          <w:color w:val="000000"/>
        </w:rPr>
        <w:t>——</w:t>
      </w:r>
      <w:bookmarkEnd w:id="45"/>
      <w:bookmarkEnd w:id="46"/>
      <w:r>
        <w:rPr>
          <w:color w:val="000000"/>
        </w:rPr>
        <w:t>管材光管段壁厚，单位为毫米（mm）；</w:t>
      </w:r>
    </w:p>
    <w:p>
      <w:pPr>
        <w:ind w:firstLine="420" w:firstLineChars="200"/>
        <w:rPr>
          <w:color w:val="000000"/>
        </w:rPr>
      </w:pPr>
      <w:r>
        <w:rPr>
          <w:i/>
          <w:iCs/>
          <w:color w:val="000000"/>
        </w:rPr>
        <w:t>D</w:t>
      </w:r>
      <w:r>
        <w:rPr>
          <w:rFonts w:hint="eastAsia"/>
          <w:color w:val="000000"/>
        </w:rPr>
        <w:t>——</w:t>
      </w:r>
      <w:r>
        <w:rPr>
          <w:color w:val="000000"/>
        </w:rPr>
        <w:t>管材光管段外径，单位为毫米（mm）；</w:t>
      </w:r>
    </w:p>
    <w:p>
      <w:pPr>
        <w:ind w:firstLine="420" w:firstLineChars="200"/>
        <w:rPr>
          <w:color w:val="000000"/>
          <w:szCs w:val="21"/>
        </w:rPr>
      </w:pPr>
      <w:r>
        <w:rPr>
          <w:i/>
          <w:iCs/>
          <w:color w:val="000000"/>
          <w:szCs w:val="21"/>
        </w:rPr>
        <w:t>S</w:t>
      </w:r>
      <w:r>
        <w:rPr>
          <w:rFonts w:hint="eastAsia"/>
          <w:color w:val="000000"/>
        </w:rPr>
        <w:t>——</w:t>
      </w:r>
      <w:r>
        <w:rPr>
          <w:color w:val="000000"/>
          <w:szCs w:val="21"/>
        </w:rPr>
        <w:t>材料许用应力，</w:t>
      </w:r>
      <w:r>
        <w:rPr>
          <w:color w:val="000000"/>
        </w:rPr>
        <w:t>单位为兆帕（MPa</w:t>
      </w:r>
      <w:r>
        <w:rPr>
          <w:rStyle w:val="42"/>
          <w:color w:val="000000"/>
          <w:sz w:val="21"/>
          <w:szCs w:val="21"/>
          <w:lang w:val="fr-FR"/>
        </w:rPr>
        <w:t>）</w:t>
      </w:r>
      <w:r>
        <w:rPr>
          <w:color w:val="000000"/>
          <w:szCs w:val="21"/>
        </w:rPr>
        <w:t>。</w:t>
      </w:r>
    </w:p>
    <w:p>
      <w:pPr>
        <w:ind w:firstLine="420" w:firstLineChars="200"/>
        <w:jc w:val="center"/>
        <w:rPr>
          <w:color w:val="000000"/>
        </w:rPr>
      </w:pPr>
      <w:r>
        <w:rPr>
          <w:rFonts w:hint="eastAsia"/>
        </w:rPr>
        <w:t xml:space="preserve">  </w:t>
      </w:r>
      <w:r>
        <w:rPr>
          <w:rFonts w:hint="eastAsia"/>
          <w:color w:val="000000"/>
        </w:rPr>
        <w:t>铜及铜合金管材的材料许用应力取值应符合表</w:t>
      </w:r>
      <w:r>
        <w:rPr>
          <w:color w:val="000000"/>
        </w:rPr>
        <w:t xml:space="preserve"> 7 </w:t>
      </w:r>
      <w:r>
        <w:rPr>
          <w:rFonts w:hint="eastAsia"/>
          <w:color w:val="000000"/>
        </w:rPr>
        <w:t>规定。材料力学性能达到表</w:t>
      </w:r>
      <w:r>
        <w:rPr>
          <w:color w:val="000000"/>
        </w:rPr>
        <w:t xml:space="preserve"> 7 </w:t>
      </w:r>
      <w:r>
        <w:rPr>
          <w:rFonts w:hint="eastAsia"/>
          <w:color w:val="000000"/>
        </w:rPr>
        <w:t>所列室温下限值时，方可采用表</w:t>
      </w:r>
      <w:r>
        <w:rPr>
          <w:color w:val="000000"/>
        </w:rPr>
        <w:t xml:space="preserve"> 7 </w:t>
      </w:r>
      <w:r>
        <w:rPr>
          <w:rFonts w:hint="eastAsia"/>
          <w:color w:val="000000"/>
        </w:rPr>
        <w:t>对应的许用应力数值；中间温度对应的许用应力宜采用插值法计算确定。</w:t>
      </w:r>
    </w:p>
    <w:p>
      <w:pPr>
        <w:jc w:val="center"/>
        <w:rPr>
          <w:color w:val="FF0000"/>
          <w:szCs w:val="21"/>
        </w:rPr>
      </w:pPr>
      <w:r>
        <w:rPr>
          <w:rFonts w:eastAsia="黑体"/>
          <w:bCs/>
          <w:color w:val="000000"/>
        </w:rPr>
        <w:t>表</w:t>
      </w:r>
      <w:r>
        <w:rPr>
          <w:rFonts w:hint="eastAsia" w:eastAsia="黑体"/>
          <w:bCs/>
          <w:color w:val="000000"/>
        </w:rPr>
        <w:t>7</w:t>
      </w:r>
      <w:r>
        <w:rPr>
          <w:rFonts w:eastAsia="黑体"/>
          <w:bCs/>
          <w:color w:val="000000"/>
        </w:rPr>
        <w:t xml:space="preserve">  管材的材料许用应力</w:t>
      </w:r>
    </w:p>
    <w:tbl>
      <w:tblPr>
        <w:tblStyle w:val="16"/>
        <w:tblW w:w="8819" w:type="dxa"/>
        <w:jc w:val="center"/>
        <w:tblLayout w:type="autofit"/>
        <w:tblCellMar>
          <w:top w:w="0" w:type="dxa"/>
          <w:left w:w="108" w:type="dxa"/>
          <w:bottom w:w="0" w:type="dxa"/>
          <w:right w:w="108" w:type="dxa"/>
        </w:tblCellMar>
      </w:tblPr>
      <w:tblGrid>
        <w:gridCol w:w="2710"/>
        <w:gridCol w:w="1559"/>
        <w:gridCol w:w="1153"/>
        <w:gridCol w:w="1134"/>
        <w:gridCol w:w="1134"/>
        <w:gridCol w:w="1129"/>
      </w:tblGrid>
      <w:tr>
        <w:tblPrEx>
          <w:tblCellMar>
            <w:top w:w="0" w:type="dxa"/>
            <w:left w:w="108" w:type="dxa"/>
            <w:bottom w:w="0" w:type="dxa"/>
            <w:right w:w="108" w:type="dxa"/>
          </w:tblCellMar>
        </w:tblPrEx>
        <w:trPr>
          <w:trHeight w:val="733" w:hRule="atLeast"/>
          <w:jc w:val="center"/>
        </w:trPr>
        <w:tc>
          <w:tcPr>
            <w:tcW w:w="2710" w:type="dxa"/>
            <w:vMerge w:val="restart"/>
            <w:tcBorders>
              <w:top w:val="single" w:color="auto" w:sz="8" w:space="0"/>
              <w:left w:val="single" w:color="auto" w:sz="8" w:space="0"/>
              <w:right w:val="single" w:color="auto" w:sz="4" w:space="0"/>
            </w:tcBorders>
            <w:noWrap/>
            <w:vAlign w:val="center"/>
          </w:tcPr>
          <w:p>
            <w:pPr>
              <w:widowControl/>
              <w:jc w:val="center"/>
              <w:rPr>
                <w:kern w:val="0"/>
                <w:sz w:val="18"/>
                <w:szCs w:val="18"/>
              </w:rPr>
            </w:pPr>
            <w:r>
              <w:rPr>
                <w:kern w:val="0"/>
                <w:sz w:val="18"/>
                <w:szCs w:val="18"/>
              </w:rPr>
              <w:t>牌号</w:t>
            </w:r>
          </w:p>
        </w:tc>
        <w:tc>
          <w:tcPr>
            <w:tcW w:w="1559" w:type="dxa"/>
            <w:vMerge w:val="restart"/>
            <w:tcBorders>
              <w:top w:val="single" w:color="auto" w:sz="8" w:space="0"/>
              <w:left w:val="nil"/>
              <w:right w:val="single" w:color="auto" w:sz="4" w:space="0"/>
            </w:tcBorders>
            <w:noWrap/>
            <w:vAlign w:val="center"/>
          </w:tcPr>
          <w:p>
            <w:pPr>
              <w:widowControl/>
              <w:jc w:val="center"/>
              <w:rPr>
                <w:kern w:val="0"/>
                <w:sz w:val="18"/>
                <w:szCs w:val="18"/>
              </w:rPr>
            </w:pPr>
            <w:r>
              <w:rPr>
                <w:kern w:val="0"/>
                <w:sz w:val="18"/>
                <w:szCs w:val="18"/>
              </w:rPr>
              <w:t>状态</w:t>
            </w:r>
          </w:p>
        </w:tc>
        <w:tc>
          <w:tcPr>
            <w:tcW w:w="4550" w:type="dxa"/>
            <w:gridSpan w:val="4"/>
            <w:tcBorders>
              <w:top w:val="single" w:color="auto" w:sz="8" w:space="0"/>
              <w:left w:val="nil"/>
              <w:bottom w:val="single" w:color="auto" w:sz="4" w:space="0"/>
              <w:right w:val="single" w:color="auto" w:sz="8" w:space="0"/>
            </w:tcBorders>
            <w:vAlign w:val="center"/>
          </w:tcPr>
          <w:p>
            <w:pPr>
              <w:widowControl/>
              <w:jc w:val="center"/>
              <w:rPr>
                <w:kern w:val="0"/>
                <w:sz w:val="18"/>
                <w:szCs w:val="18"/>
              </w:rPr>
            </w:pPr>
            <w:r>
              <w:rPr>
                <w:kern w:val="0"/>
                <w:sz w:val="18"/>
                <w:szCs w:val="18"/>
              </w:rPr>
              <w:t>不同温度下的许用应力M</w:t>
            </w:r>
            <w:r>
              <w:rPr>
                <w:rFonts w:hint="eastAsia"/>
                <w:kern w:val="0"/>
                <w:sz w:val="18"/>
                <w:szCs w:val="18"/>
              </w:rPr>
              <w:t>P</w:t>
            </w:r>
            <w:r>
              <w:rPr>
                <w:kern w:val="0"/>
                <w:sz w:val="18"/>
                <w:szCs w:val="18"/>
              </w:rPr>
              <w:t>a</w:t>
            </w:r>
          </w:p>
        </w:tc>
      </w:tr>
      <w:tr>
        <w:tblPrEx>
          <w:tblCellMar>
            <w:top w:w="0" w:type="dxa"/>
            <w:left w:w="108" w:type="dxa"/>
            <w:bottom w:w="0" w:type="dxa"/>
            <w:right w:w="108" w:type="dxa"/>
          </w:tblCellMar>
        </w:tblPrEx>
        <w:trPr>
          <w:trHeight w:val="340" w:hRule="exact"/>
          <w:jc w:val="center"/>
        </w:trPr>
        <w:tc>
          <w:tcPr>
            <w:tcW w:w="2710" w:type="dxa"/>
            <w:vMerge w:val="continue"/>
            <w:tcBorders>
              <w:left w:val="single" w:color="auto" w:sz="8" w:space="0"/>
              <w:bottom w:val="single" w:color="auto" w:sz="8" w:space="0"/>
              <w:right w:val="single" w:color="auto" w:sz="4" w:space="0"/>
            </w:tcBorders>
            <w:vAlign w:val="center"/>
          </w:tcPr>
          <w:p>
            <w:pPr>
              <w:keepNext/>
              <w:keepLines/>
              <w:widowControl/>
              <w:spacing w:before="340" w:after="330" w:line="578" w:lineRule="auto"/>
              <w:jc w:val="left"/>
              <w:outlineLvl w:val="0"/>
              <w:rPr>
                <w:kern w:val="0"/>
                <w:sz w:val="18"/>
                <w:szCs w:val="18"/>
              </w:rPr>
            </w:pPr>
          </w:p>
        </w:tc>
        <w:tc>
          <w:tcPr>
            <w:tcW w:w="1559" w:type="dxa"/>
            <w:vMerge w:val="continue"/>
            <w:tcBorders>
              <w:left w:val="nil"/>
              <w:bottom w:val="single" w:color="auto" w:sz="8" w:space="0"/>
              <w:right w:val="single" w:color="auto" w:sz="4" w:space="0"/>
            </w:tcBorders>
            <w:noWrap/>
            <w:vAlign w:val="bottom"/>
          </w:tcPr>
          <w:p>
            <w:pPr>
              <w:widowControl/>
              <w:jc w:val="center"/>
              <w:rPr>
                <w:kern w:val="0"/>
                <w:sz w:val="18"/>
                <w:szCs w:val="18"/>
              </w:rPr>
            </w:pPr>
          </w:p>
        </w:tc>
        <w:tc>
          <w:tcPr>
            <w:tcW w:w="1153" w:type="dxa"/>
            <w:tcBorders>
              <w:top w:val="nil"/>
              <w:left w:val="nil"/>
              <w:bottom w:val="single" w:color="auto" w:sz="8" w:space="0"/>
              <w:right w:val="single" w:color="auto" w:sz="4" w:space="0"/>
            </w:tcBorders>
            <w:noWrap/>
            <w:vAlign w:val="center"/>
          </w:tcPr>
          <w:p>
            <w:pPr>
              <w:widowControl/>
              <w:jc w:val="center"/>
              <w:rPr>
                <w:kern w:val="0"/>
                <w:sz w:val="18"/>
                <w:szCs w:val="18"/>
              </w:rPr>
            </w:pPr>
            <w:r>
              <w:rPr>
                <w:kern w:val="0"/>
                <w:sz w:val="18"/>
                <w:szCs w:val="18"/>
              </w:rPr>
              <w:t>20℃</w:t>
            </w:r>
          </w:p>
        </w:tc>
        <w:tc>
          <w:tcPr>
            <w:tcW w:w="1134" w:type="dxa"/>
            <w:tcBorders>
              <w:top w:val="nil"/>
              <w:left w:val="nil"/>
              <w:bottom w:val="single" w:color="auto" w:sz="8" w:space="0"/>
              <w:right w:val="single" w:color="auto" w:sz="4" w:space="0"/>
            </w:tcBorders>
            <w:noWrap/>
            <w:vAlign w:val="center"/>
          </w:tcPr>
          <w:p>
            <w:pPr>
              <w:widowControl/>
              <w:jc w:val="center"/>
              <w:rPr>
                <w:kern w:val="0"/>
                <w:sz w:val="18"/>
                <w:szCs w:val="18"/>
              </w:rPr>
            </w:pPr>
            <w:r>
              <w:rPr>
                <w:kern w:val="0"/>
                <w:sz w:val="18"/>
                <w:szCs w:val="18"/>
              </w:rPr>
              <w:t>100℃</w:t>
            </w:r>
          </w:p>
        </w:tc>
        <w:tc>
          <w:tcPr>
            <w:tcW w:w="1134" w:type="dxa"/>
            <w:tcBorders>
              <w:top w:val="nil"/>
              <w:left w:val="nil"/>
              <w:bottom w:val="single" w:color="auto" w:sz="8" w:space="0"/>
              <w:right w:val="single" w:color="auto" w:sz="4" w:space="0"/>
            </w:tcBorders>
            <w:noWrap/>
            <w:vAlign w:val="center"/>
          </w:tcPr>
          <w:p>
            <w:pPr>
              <w:widowControl/>
              <w:jc w:val="center"/>
              <w:rPr>
                <w:kern w:val="0"/>
                <w:sz w:val="18"/>
                <w:szCs w:val="18"/>
              </w:rPr>
            </w:pPr>
            <w:r>
              <w:rPr>
                <w:kern w:val="0"/>
                <w:sz w:val="18"/>
                <w:szCs w:val="18"/>
              </w:rPr>
              <w:t>150℃</w:t>
            </w:r>
          </w:p>
        </w:tc>
        <w:tc>
          <w:tcPr>
            <w:tcW w:w="1129" w:type="dxa"/>
            <w:tcBorders>
              <w:top w:val="nil"/>
              <w:left w:val="nil"/>
              <w:bottom w:val="single" w:color="auto" w:sz="8" w:space="0"/>
              <w:right w:val="single" w:color="auto" w:sz="8" w:space="0"/>
            </w:tcBorders>
            <w:vAlign w:val="center"/>
          </w:tcPr>
          <w:p>
            <w:pPr>
              <w:widowControl/>
              <w:jc w:val="center"/>
              <w:rPr>
                <w:kern w:val="0"/>
                <w:sz w:val="18"/>
                <w:szCs w:val="18"/>
              </w:rPr>
            </w:pPr>
            <w:r>
              <w:rPr>
                <w:kern w:val="0"/>
                <w:sz w:val="18"/>
                <w:szCs w:val="18"/>
              </w:rPr>
              <w:t>200℃</w:t>
            </w:r>
          </w:p>
        </w:tc>
      </w:tr>
      <w:tr>
        <w:tblPrEx>
          <w:tblCellMar>
            <w:top w:w="0" w:type="dxa"/>
            <w:left w:w="108" w:type="dxa"/>
            <w:bottom w:w="0" w:type="dxa"/>
            <w:right w:w="108" w:type="dxa"/>
          </w:tblCellMar>
        </w:tblPrEx>
        <w:trPr>
          <w:trHeight w:val="340" w:hRule="exact"/>
          <w:jc w:val="center"/>
        </w:trPr>
        <w:tc>
          <w:tcPr>
            <w:tcW w:w="2710" w:type="dxa"/>
            <w:vMerge w:val="restart"/>
            <w:tcBorders>
              <w:top w:val="single" w:color="auto" w:sz="8" w:space="0"/>
              <w:left w:val="single" w:color="auto" w:sz="8" w:space="0"/>
              <w:bottom w:val="single" w:color="auto" w:sz="4" w:space="0"/>
              <w:right w:val="single" w:color="auto" w:sz="4" w:space="0"/>
            </w:tcBorders>
            <w:vAlign w:val="center"/>
          </w:tcPr>
          <w:p>
            <w:pPr>
              <w:widowControl/>
              <w:jc w:val="center"/>
              <w:rPr>
                <w:kern w:val="0"/>
                <w:sz w:val="18"/>
                <w:szCs w:val="18"/>
              </w:rPr>
            </w:pPr>
            <w:r>
              <w:rPr>
                <w:kern w:val="0"/>
                <w:sz w:val="18"/>
                <w:szCs w:val="18"/>
              </w:rPr>
              <w:t>TU00、 TU1、 TU2、 TP1、TP2</w:t>
            </w:r>
          </w:p>
        </w:tc>
        <w:tc>
          <w:tcPr>
            <w:tcW w:w="1559" w:type="dxa"/>
            <w:tcBorders>
              <w:top w:val="single" w:color="auto" w:sz="8" w:space="0"/>
              <w:left w:val="nil"/>
              <w:bottom w:val="single" w:color="auto" w:sz="4" w:space="0"/>
              <w:right w:val="single" w:color="auto" w:sz="4" w:space="0"/>
            </w:tcBorders>
            <w:vAlign w:val="center"/>
          </w:tcPr>
          <w:p>
            <w:pPr>
              <w:widowControl/>
              <w:jc w:val="center"/>
              <w:rPr>
                <w:kern w:val="0"/>
                <w:sz w:val="18"/>
                <w:szCs w:val="18"/>
              </w:rPr>
            </w:pPr>
            <w:r>
              <w:rPr>
                <w:kern w:val="0"/>
                <w:sz w:val="18"/>
                <w:szCs w:val="18"/>
              </w:rPr>
              <w:t xml:space="preserve">H55    </w:t>
            </w:r>
          </w:p>
        </w:tc>
        <w:tc>
          <w:tcPr>
            <w:tcW w:w="1153" w:type="dxa"/>
            <w:tcBorders>
              <w:top w:val="single" w:color="auto" w:sz="8" w:space="0"/>
              <w:left w:val="nil"/>
              <w:bottom w:val="single" w:color="auto" w:sz="4" w:space="0"/>
              <w:right w:val="single" w:color="auto" w:sz="4" w:space="0"/>
            </w:tcBorders>
            <w:noWrap/>
            <w:vAlign w:val="center"/>
          </w:tcPr>
          <w:p>
            <w:pPr>
              <w:widowControl/>
              <w:jc w:val="center"/>
              <w:rPr>
                <w:kern w:val="0"/>
                <w:sz w:val="18"/>
                <w:szCs w:val="18"/>
              </w:rPr>
            </w:pPr>
            <w:r>
              <w:rPr>
                <w:kern w:val="0"/>
                <w:sz w:val="18"/>
                <w:szCs w:val="18"/>
              </w:rPr>
              <w:t>71</w:t>
            </w:r>
          </w:p>
        </w:tc>
        <w:tc>
          <w:tcPr>
            <w:tcW w:w="1134" w:type="dxa"/>
            <w:tcBorders>
              <w:top w:val="single" w:color="auto" w:sz="8" w:space="0"/>
              <w:left w:val="nil"/>
              <w:bottom w:val="single" w:color="auto" w:sz="4" w:space="0"/>
              <w:right w:val="single" w:color="auto" w:sz="4" w:space="0"/>
            </w:tcBorders>
            <w:noWrap/>
            <w:vAlign w:val="center"/>
          </w:tcPr>
          <w:p>
            <w:pPr>
              <w:widowControl/>
              <w:jc w:val="center"/>
              <w:rPr>
                <w:kern w:val="0"/>
                <w:sz w:val="18"/>
                <w:szCs w:val="18"/>
              </w:rPr>
            </w:pPr>
            <w:r>
              <w:rPr>
                <w:kern w:val="0"/>
                <w:sz w:val="18"/>
                <w:szCs w:val="18"/>
              </w:rPr>
              <w:t>71</w:t>
            </w:r>
          </w:p>
        </w:tc>
        <w:tc>
          <w:tcPr>
            <w:tcW w:w="1134" w:type="dxa"/>
            <w:tcBorders>
              <w:top w:val="single" w:color="auto" w:sz="8" w:space="0"/>
              <w:left w:val="nil"/>
              <w:bottom w:val="single" w:color="auto" w:sz="4" w:space="0"/>
              <w:right w:val="single" w:color="auto" w:sz="4" w:space="0"/>
            </w:tcBorders>
            <w:noWrap/>
            <w:vAlign w:val="center"/>
          </w:tcPr>
          <w:p>
            <w:pPr>
              <w:widowControl/>
              <w:jc w:val="center"/>
              <w:rPr>
                <w:kern w:val="0"/>
                <w:sz w:val="18"/>
                <w:szCs w:val="18"/>
              </w:rPr>
            </w:pPr>
            <w:r>
              <w:rPr>
                <w:kern w:val="0"/>
                <w:sz w:val="18"/>
                <w:szCs w:val="18"/>
              </w:rPr>
              <w:t>69</w:t>
            </w:r>
          </w:p>
        </w:tc>
        <w:tc>
          <w:tcPr>
            <w:tcW w:w="1129" w:type="dxa"/>
            <w:tcBorders>
              <w:top w:val="single" w:color="auto" w:sz="8" w:space="0"/>
              <w:left w:val="nil"/>
              <w:bottom w:val="single" w:color="auto" w:sz="4" w:space="0"/>
              <w:right w:val="single" w:color="auto" w:sz="8" w:space="0"/>
            </w:tcBorders>
            <w:vAlign w:val="center"/>
          </w:tcPr>
          <w:p>
            <w:pPr>
              <w:widowControl/>
              <w:jc w:val="center"/>
              <w:rPr>
                <w:kern w:val="0"/>
                <w:sz w:val="18"/>
                <w:szCs w:val="18"/>
              </w:rPr>
            </w:pPr>
            <w:r>
              <w:rPr>
                <w:kern w:val="0"/>
                <w:sz w:val="18"/>
                <w:szCs w:val="18"/>
              </w:rPr>
              <w:t>-</w:t>
            </w:r>
          </w:p>
        </w:tc>
      </w:tr>
      <w:tr>
        <w:tblPrEx>
          <w:tblCellMar>
            <w:top w:w="0" w:type="dxa"/>
            <w:left w:w="108" w:type="dxa"/>
            <w:bottom w:w="0" w:type="dxa"/>
            <w:right w:w="108" w:type="dxa"/>
          </w:tblCellMar>
        </w:tblPrEx>
        <w:trPr>
          <w:trHeight w:val="340" w:hRule="exact"/>
          <w:jc w:val="center"/>
        </w:trPr>
        <w:tc>
          <w:tcPr>
            <w:tcW w:w="2710" w:type="dxa"/>
            <w:vMerge w:val="continue"/>
            <w:tcBorders>
              <w:top w:val="nil"/>
              <w:left w:val="single" w:color="auto" w:sz="8" w:space="0"/>
              <w:bottom w:val="single" w:color="auto" w:sz="4" w:space="0"/>
              <w:right w:val="single" w:color="auto" w:sz="4" w:space="0"/>
            </w:tcBorders>
            <w:vAlign w:val="center"/>
          </w:tcPr>
          <w:p>
            <w:pPr>
              <w:keepNext/>
              <w:keepLines/>
              <w:widowControl/>
              <w:spacing w:before="340" w:after="330" w:line="578" w:lineRule="auto"/>
              <w:jc w:val="left"/>
              <w:outlineLvl w:val="0"/>
              <w:rPr>
                <w:kern w:val="0"/>
                <w:sz w:val="18"/>
                <w:szCs w:val="18"/>
              </w:rPr>
            </w:pPr>
          </w:p>
        </w:tc>
        <w:tc>
          <w:tcPr>
            <w:tcW w:w="1559" w:type="dxa"/>
            <w:tcBorders>
              <w:top w:val="nil"/>
              <w:left w:val="nil"/>
              <w:bottom w:val="single" w:color="auto" w:sz="4" w:space="0"/>
              <w:right w:val="single" w:color="auto" w:sz="4" w:space="0"/>
            </w:tcBorders>
            <w:vAlign w:val="center"/>
          </w:tcPr>
          <w:p>
            <w:pPr>
              <w:widowControl/>
              <w:jc w:val="center"/>
              <w:rPr>
                <w:kern w:val="0"/>
                <w:sz w:val="18"/>
                <w:szCs w:val="18"/>
              </w:rPr>
            </w:pPr>
            <w:r>
              <w:rPr>
                <w:kern w:val="0"/>
                <w:sz w:val="18"/>
                <w:szCs w:val="18"/>
              </w:rPr>
              <w:t>O60</w:t>
            </w:r>
          </w:p>
        </w:tc>
        <w:tc>
          <w:tcPr>
            <w:tcW w:w="1153" w:type="dxa"/>
            <w:tcBorders>
              <w:top w:val="nil"/>
              <w:left w:val="nil"/>
              <w:bottom w:val="single" w:color="auto" w:sz="4" w:space="0"/>
              <w:right w:val="single" w:color="auto" w:sz="4" w:space="0"/>
            </w:tcBorders>
            <w:noWrap/>
            <w:vAlign w:val="center"/>
          </w:tcPr>
          <w:p>
            <w:pPr>
              <w:widowControl/>
              <w:jc w:val="center"/>
              <w:rPr>
                <w:kern w:val="0"/>
                <w:sz w:val="18"/>
                <w:szCs w:val="18"/>
              </w:rPr>
            </w:pPr>
            <w:r>
              <w:rPr>
                <w:kern w:val="0"/>
                <w:sz w:val="18"/>
                <w:szCs w:val="18"/>
              </w:rPr>
              <w:t>30</w:t>
            </w:r>
          </w:p>
        </w:tc>
        <w:tc>
          <w:tcPr>
            <w:tcW w:w="1134" w:type="dxa"/>
            <w:tcBorders>
              <w:top w:val="nil"/>
              <w:left w:val="nil"/>
              <w:bottom w:val="single" w:color="auto" w:sz="4" w:space="0"/>
              <w:right w:val="single" w:color="auto" w:sz="4" w:space="0"/>
            </w:tcBorders>
            <w:noWrap/>
            <w:vAlign w:val="center"/>
          </w:tcPr>
          <w:p>
            <w:pPr>
              <w:widowControl/>
              <w:jc w:val="center"/>
              <w:rPr>
                <w:kern w:val="0"/>
                <w:sz w:val="18"/>
                <w:szCs w:val="18"/>
              </w:rPr>
            </w:pPr>
            <w:r>
              <w:rPr>
                <w:kern w:val="0"/>
                <w:sz w:val="18"/>
                <w:szCs w:val="18"/>
              </w:rPr>
              <w:t>25</w:t>
            </w:r>
          </w:p>
        </w:tc>
        <w:tc>
          <w:tcPr>
            <w:tcW w:w="1134" w:type="dxa"/>
            <w:tcBorders>
              <w:top w:val="nil"/>
              <w:left w:val="nil"/>
              <w:bottom w:val="single" w:color="auto" w:sz="4" w:space="0"/>
              <w:right w:val="single" w:color="auto" w:sz="4" w:space="0"/>
            </w:tcBorders>
            <w:noWrap/>
            <w:vAlign w:val="center"/>
          </w:tcPr>
          <w:p>
            <w:pPr>
              <w:widowControl/>
              <w:jc w:val="center"/>
              <w:rPr>
                <w:kern w:val="0"/>
                <w:sz w:val="18"/>
                <w:szCs w:val="18"/>
              </w:rPr>
            </w:pPr>
            <w:r>
              <w:rPr>
                <w:kern w:val="0"/>
                <w:sz w:val="18"/>
                <w:szCs w:val="18"/>
              </w:rPr>
              <w:t>23</w:t>
            </w:r>
          </w:p>
        </w:tc>
        <w:tc>
          <w:tcPr>
            <w:tcW w:w="1129" w:type="dxa"/>
            <w:tcBorders>
              <w:top w:val="nil"/>
              <w:left w:val="nil"/>
              <w:bottom w:val="single" w:color="auto" w:sz="4" w:space="0"/>
              <w:right w:val="single" w:color="auto" w:sz="8" w:space="0"/>
            </w:tcBorders>
            <w:vAlign w:val="center"/>
          </w:tcPr>
          <w:p>
            <w:pPr>
              <w:widowControl/>
              <w:jc w:val="center"/>
              <w:rPr>
                <w:kern w:val="0"/>
                <w:sz w:val="18"/>
                <w:szCs w:val="18"/>
              </w:rPr>
            </w:pPr>
            <w:r>
              <w:rPr>
                <w:kern w:val="0"/>
                <w:sz w:val="18"/>
                <w:szCs w:val="18"/>
              </w:rPr>
              <w:t>-</w:t>
            </w:r>
          </w:p>
        </w:tc>
      </w:tr>
      <w:tr>
        <w:tblPrEx>
          <w:tblCellMar>
            <w:top w:w="0" w:type="dxa"/>
            <w:left w:w="108" w:type="dxa"/>
            <w:bottom w:w="0" w:type="dxa"/>
            <w:right w:w="108" w:type="dxa"/>
          </w:tblCellMar>
        </w:tblPrEx>
        <w:trPr>
          <w:trHeight w:val="340" w:hRule="exact"/>
          <w:jc w:val="center"/>
        </w:trPr>
        <w:tc>
          <w:tcPr>
            <w:tcW w:w="2710" w:type="dxa"/>
            <w:tcBorders>
              <w:top w:val="nil"/>
              <w:left w:val="single" w:color="auto" w:sz="8" w:space="0"/>
              <w:bottom w:val="single" w:color="auto" w:sz="4" w:space="0"/>
              <w:right w:val="single" w:color="auto" w:sz="4" w:space="0"/>
            </w:tcBorders>
            <w:vAlign w:val="center"/>
          </w:tcPr>
          <w:p>
            <w:pPr>
              <w:widowControl/>
              <w:jc w:val="center"/>
              <w:rPr>
                <w:kern w:val="0"/>
                <w:sz w:val="18"/>
                <w:szCs w:val="18"/>
              </w:rPr>
            </w:pPr>
            <w:r>
              <w:rPr>
                <w:kern w:val="0"/>
                <w:sz w:val="18"/>
                <w:szCs w:val="18"/>
              </w:rPr>
              <w:t>HA177-2</w:t>
            </w:r>
          </w:p>
        </w:tc>
        <w:tc>
          <w:tcPr>
            <w:tcW w:w="1559" w:type="dxa"/>
            <w:tcBorders>
              <w:top w:val="nil"/>
              <w:left w:val="nil"/>
              <w:bottom w:val="single" w:color="auto" w:sz="4" w:space="0"/>
              <w:right w:val="single" w:color="auto" w:sz="4" w:space="0"/>
            </w:tcBorders>
            <w:vAlign w:val="center"/>
          </w:tcPr>
          <w:p>
            <w:pPr>
              <w:widowControl/>
              <w:jc w:val="center"/>
              <w:rPr>
                <w:kern w:val="0"/>
                <w:sz w:val="18"/>
                <w:szCs w:val="18"/>
              </w:rPr>
            </w:pPr>
            <w:r>
              <w:rPr>
                <w:kern w:val="0"/>
                <w:sz w:val="18"/>
                <w:szCs w:val="18"/>
              </w:rPr>
              <w:t>O60</w:t>
            </w:r>
          </w:p>
        </w:tc>
        <w:tc>
          <w:tcPr>
            <w:tcW w:w="1153" w:type="dxa"/>
            <w:tcBorders>
              <w:top w:val="nil"/>
              <w:left w:val="nil"/>
              <w:bottom w:val="single" w:color="auto" w:sz="4" w:space="0"/>
              <w:right w:val="single" w:color="auto" w:sz="4" w:space="0"/>
            </w:tcBorders>
            <w:noWrap/>
            <w:vAlign w:val="center"/>
          </w:tcPr>
          <w:p>
            <w:pPr>
              <w:widowControl/>
              <w:jc w:val="center"/>
              <w:rPr>
                <w:kern w:val="0"/>
                <w:sz w:val="18"/>
                <w:szCs w:val="18"/>
              </w:rPr>
            </w:pPr>
            <w:r>
              <w:rPr>
                <w:kern w:val="0"/>
                <w:sz w:val="18"/>
                <w:szCs w:val="18"/>
              </w:rPr>
              <w:t>80</w:t>
            </w:r>
          </w:p>
        </w:tc>
        <w:tc>
          <w:tcPr>
            <w:tcW w:w="1134" w:type="dxa"/>
            <w:tcBorders>
              <w:top w:val="nil"/>
              <w:left w:val="nil"/>
              <w:bottom w:val="single" w:color="auto" w:sz="4" w:space="0"/>
              <w:right w:val="single" w:color="auto" w:sz="4" w:space="0"/>
            </w:tcBorders>
            <w:noWrap/>
            <w:vAlign w:val="center"/>
          </w:tcPr>
          <w:p>
            <w:pPr>
              <w:widowControl/>
              <w:jc w:val="center"/>
              <w:rPr>
                <w:kern w:val="0"/>
                <w:sz w:val="18"/>
                <w:szCs w:val="18"/>
              </w:rPr>
            </w:pPr>
            <w:r>
              <w:rPr>
                <w:kern w:val="0"/>
                <w:sz w:val="18"/>
                <w:szCs w:val="18"/>
              </w:rPr>
              <w:t>79</w:t>
            </w:r>
          </w:p>
        </w:tc>
        <w:tc>
          <w:tcPr>
            <w:tcW w:w="1134" w:type="dxa"/>
            <w:tcBorders>
              <w:top w:val="nil"/>
              <w:left w:val="nil"/>
              <w:bottom w:val="single" w:color="auto" w:sz="4" w:space="0"/>
              <w:right w:val="single" w:color="auto" w:sz="4" w:space="0"/>
            </w:tcBorders>
            <w:noWrap/>
            <w:vAlign w:val="center"/>
          </w:tcPr>
          <w:p>
            <w:pPr>
              <w:widowControl/>
              <w:jc w:val="center"/>
              <w:rPr>
                <w:kern w:val="0"/>
                <w:sz w:val="18"/>
                <w:szCs w:val="18"/>
              </w:rPr>
            </w:pPr>
            <w:r>
              <w:rPr>
                <w:kern w:val="0"/>
                <w:sz w:val="18"/>
                <w:szCs w:val="18"/>
              </w:rPr>
              <w:t>77</w:t>
            </w:r>
          </w:p>
        </w:tc>
        <w:tc>
          <w:tcPr>
            <w:tcW w:w="1129" w:type="dxa"/>
            <w:tcBorders>
              <w:top w:val="nil"/>
              <w:left w:val="nil"/>
              <w:bottom w:val="single" w:color="auto" w:sz="4" w:space="0"/>
              <w:right w:val="single" w:color="auto" w:sz="8" w:space="0"/>
            </w:tcBorders>
            <w:vAlign w:val="center"/>
          </w:tcPr>
          <w:p>
            <w:pPr>
              <w:widowControl/>
              <w:jc w:val="center"/>
              <w:rPr>
                <w:kern w:val="0"/>
                <w:sz w:val="18"/>
                <w:szCs w:val="18"/>
              </w:rPr>
            </w:pPr>
            <w:r>
              <w:rPr>
                <w:rFonts w:hint="eastAsia"/>
                <w:kern w:val="0"/>
                <w:sz w:val="18"/>
                <w:szCs w:val="18"/>
              </w:rPr>
              <w:t>25</w:t>
            </w:r>
          </w:p>
        </w:tc>
      </w:tr>
      <w:tr>
        <w:tblPrEx>
          <w:tblCellMar>
            <w:top w:w="0" w:type="dxa"/>
            <w:left w:w="108" w:type="dxa"/>
            <w:bottom w:w="0" w:type="dxa"/>
            <w:right w:w="108" w:type="dxa"/>
          </w:tblCellMar>
        </w:tblPrEx>
        <w:trPr>
          <w:trHeight w:val="340" w:hRule="exact"/>
          <w:jc w:val="center"/>
        </w:trPr>
        <w:tc>
          <w:tcPr>
            <w:tcW w:w="2710" w:type="dxa"/>
            <w:tcBorders>
              <w:top w:val="nil"/>
              <w:left w:val="single" w:color="auto" w:sz="8" w:space="0"/>
              <w:bottom w:val="single" w:color="auto" w:sz="4" w:space="0"/>
              <w:right w:val="single" w:color="auto" w:sz="4" w:space="0"/>
            </w:tcBorders>
            <w:vAlign w:val="center"/>
          </w:tcPr>
          <w:p>
            <w:pPr>
              <w:widowControl/>
              <w:jc w:val="center"/>
              <w:rPr>
                <w:kern w:val="0"/>
                <w:sz w:val="18"/>
                <w:szCs w:val="18"/>
              </w:rPr>
            </w:pPr>
            <w:r>
              <w:rPr>
                <w:kern w:val="0"/>
                <w:sz w:val="18"/>
                <w:szCs w:val="18"/>
              </w:rPr>
              <w:t>HSn70-1</w:t>
            </w:r>
          </w:p>
        </w:tc>
        <w:tc>
          <w:tcPr>
            <w:tcW w:w="1559" w:type="dxa"/>
            <w:tcBorders>
              <w:top w:val="nil"/>
              <w:left w:val="nil"/>
              <w:bottom w:val="single" w:color="auto" w:sz="4" w:space="0"/>
              <w:right w:val="single" w:color="auto" w:sz="4" w:space="0"/>
            </w:tcBorders>
            <w:vAlign w:val="center"/>
          </w:tcPr>
          <w:p>
            <w:pPr>
              <w:widowControl/>
              <w:jc w:val="center"/>
              <w:rPr>
                <w:kern w:val="0"/>
                <w:sz w:val="18"/>
                <w:szCs w:val="18"/>
              </w:rPr>
            </w:pPr>
            <w:r>
              <w:rPr>
                <w:kern w:val="0"/>
                <w:sz w:val="18"/>
                <w:szCs w:val="18"/>
              </w:rPr>
              <w:t>O60</w:t>
            </w:r>
          </w:p>
        </w:tc>
        <w:tc>
          <w:tcPr>
            <w:tcW w:w="1153" w:type="dxa"/>
            <w:tcBorders>
              <w:top w:val="nil"/>
              <w:left w:val="nil"/>
              <w:bottom w:val="single" w:color="auto" w:sz="4" w:space="0"/>
              <w:right w:val="single" w:color="auto" w:sz="4" w:space="0"/>
            </w:tcBorders>
            <w:noWrap/>
            <w:vAlign w:val="center"/>
          </w:tcPr>
          <w:p>
            <w:pPr>
              <w:widowControl/>
              <w:jc w:val="center"/>
              <w:rPr>
                <w:kern w:val="0"/>
                <w:sz w:val="18"/>
                <w:szCs w:val="18"/>
              </w:rPr>
            </w:pPr>
            <w:r>
              <w:rPr>
                <w:kern w:val="0"/>
                <w:sz w:val="18"/>
                <w:szCs w:val="18"/>
              </w:rPr>
              <w:t>70</w:t>
            </w:r>
          </w:p>
        </w:tc>
        <w:tc>
          <w:tcPr>
            <w:tcW w:w="1134" w:type="dxa"/>
            <w:tcBorders>
              <w:top w:val="nil"/>
              <w:left w:val="nil"/>
              <w:bottom w:val="single" w:color="auto" w:sz="4" w:space="0"/>
              <w:right w:val="single" w:color="auto" w:sz="4" w:space="0"/>
            </w:tcBorders>
            <w:noWrap/>
            <w:vAlign w:val="center"/>
          </w:tcPr>
          <w:p>
            <w:pPr>
              <w:widowControl/>
              <w:spacing w:after="120"/>
              <w:jc w:val="center"/>
              <w:rPr>
                <w:kern w:val="0"/>
                <w:sz w:val="18"/>
                <w:szCs w:val="18"/>
              </w:rPr>
            </w:pPr>
            <w:r>
              <w:rPr>
                <w:kern w:val="0"/>
                <w:sz w:val="18"/>
                <w:szCs w:val="18"/>
              </w:rPr>
              <w:t>70</w:t>
            </w:r>
          </w:p>
        </w:tc>
        <w:tc>
          <w:tcPr>
            <w:tcW w:w="1134" w:type="dxa"/>
            <w:tcBorders>
              <w:top w:val="nil"/>
              <w:left w:val="nil"/>
              <w:bottom w:val="single" w:color="auto" w:sz="4" w:space="0"/>
              <w:right w:val="single" w:color="auto" w:sz="4" w:space="0"/>
            </w:tcBorders>
            <w:noWrap/>
            <w:vAlign w:val="center"/>
          </w:tcPr>
          <w:p>
            <w:pPr>
              <w:widowControl/>
              <w:jc w:val="center"/>
              <w:rPr>
                <w:kern w:val="0"/>
                <w:sz w:val="18"/>
                <w:szCs w:val="18"/>
              </w:rPr>
            </w:pPr>
            <w:r>
              <w:rPr>
                <w:kern w:val="0"/>
                <w:sz w:val="18"/>
                <w:szCs w:val="18"/>
              </w:rPr>
              <w:t>70</w:t>
            </w:r>
          </w:p>
        </w:tc>
        <w:tc>
          <w:tcPr>
            <w:tcW w:w="1129" w:type="dxa"/>
            <w:tcBorders>
              <w:top w:val="nil"/>
              <w:left w:val="nil"/>
              <w:bottom w:val="single" w:color="auto" w:sz="4" w:space="0"/>
              <w:right w:val="single" w:color="auto" w:sz="8" w:space="0"/>
            </w:tcBorders>
            <w:vAlign w:val="center"/>
          </w:tcPr>
          <w:p>
            <w:pPr>
              <w:widowControl/>
              <w:jc w:val="center"/>
              <w:rPr>
                <w:kern w:val="0"/>
                <w:sz w:val="18"/>
                <w:szCs w:val="18"/>
              </w:rPr>
            </w:pPr>
            <w:r>
              <w:rPr>
                <w:rFonts w:hint="eastAsia"/>
                <w:kern w:val="0"/>
                <w:sz w:val="18"/>
                <w:szCs w:val="18"/>
              </w:rPr>
              <w:t>31</w:t>
            </w:r>
          </w:p>
        </w:tc>
      </w:tr>
      <w:tr>
        <w:tblPrEx>
          <w:tblCellMar>
            <w:top w:w="0" w:type="dxa"/>
            <w:left w:w="108" w:type="dxa"/>
            <w:bottom w:w="0" w:type="dxa"/>
            <w:right w:w="108" w:type="dxa"/>
          </w:tblCellMar>
        </w:tblPrEx>
        <w:trPr>
          <w:trHeight w:val="340" w:hRule="exact"/>
          <w:jc w:val="center"/>
        </w:trPr>
        <w:tc>
          <w:tcPr>
            <w:tcW w:w="2710" w:type="dxa"/>
            <w:tcBorders>
              <w:top w:val="nil"/>
              <w:left w:val="single" w:color="auto" w:sz="8" w:space="0"/>
              <w:bottom w:val="single" w:color="auto" w:sz="4" w:space="0"/>
              <w:right w:val="single" w:color="auto" w:sz="4" w:space="0"/>
            </w:tcBorders>
            <w:vAlign w:val="center"/>
          </w:tcPr>
          <w:p>
            <w:pPr>
              <w:widowControl/>
              <w:spacing w:after="120"/>
              <w:jc w:val="center"/>
              <w:rPr>
                <w:kern w:val="0"/>
                <w:sz w:val="18"/>
                <w:szCs w:val="18"/>
              </w:rPr>
            </w:pPr>
            <w:r>
              <w:rPr>
                <w:kern w:val="0"/>
                <w:sz w:val="18"/>
                <w:szCs w:val="18"/>
              </w:rPr>
              <w:t xml:space="preserve">BFe10-1-1      </w:t>
            </w:r>
          </w:p>
        </w:tc>
        <w:tc>
          <w:tcPr>
            <w:tcW w:w="1559" w:type="dxa"/>
            <w:tcBorders>
              <w:top w:val="nil"/>
              <w:left w:val="nil"/>
              <w:bottom w:val="single" w:color="auto" w:sz="4" w:space="0"/>
              <w:right w:val="single" w:color="auto" w:sz="4" w:space="0"/>
            </w:tcBorders>
            <w:vAlign w:val="center"/>
          </w:tcPr>
          <w:p>
            <w:pPr>
              <w:widowControl/>
              <w:spacing w:after="120"/>
              <w:jc w:val="center"/>
              <w:rPr>
                <w:kern w:val="0"/>
                <w:sz w:val="18"/>
                <w:szCs w:val="18"/>
              </w:rPr>
            </w:pPr>
            <w:r>
              <w:rPr>
                <w:kern w:val="0"/>
                <w:sz w:val="18"/>
                <w:szCs w:val="18"/>
              </w:rPr>
              <w:t>O60</w:t>
            </w:r>
          </w:p>
        </w:tc>
        <w:tc>
          <w:tcPr>
            <w:tcW w:w="1153" w:type="dxa"/>
            <w:tcBorders>
              <w:top w:val="nil"/>
              <w:left w:val="nil"/>
              <w:bottom w:val="single" w:color="auto" w:sz="4" w:space="0"/>
              <w:right w:val="single" w:color="auto" w:sz="4" w:space="0"/>
            </w:tcBorders>
            <w:noWrap/>
            <w:vAlign w:val="center"/>
          </w:tcPr>
          <w:p>
            <w:pPr>
              <w:widowControl/>
              <w:spacing w:after="120"/>
              <w:jc w:val="center"/>
              <w:rPr>
                <w:kern w:val="0"/>
                <w:sz w:val="18"/>
                <w:szCs w:val="18"/>
              </w:rPr>
            </w:pPr>
            <w:r>
              <w:rPr>
                <w:kern w:val="0"/>
                <w:sz w:val="18"/>
                <w:szCs w:val="18"/>
              </w:rPr>
              <w:t>67</w:t>
            </w:r>
          </w:p>
        </w:tc>
        <w:tc>
          <w:tcPr>
            <w:tcW w:w="1134" w:type="dxa"/>
            <w:tcBorders>
              <w:top w:val="nil"/>
              <w:left w:val="nil"/>
              <w:bottom w:val="single" w:color="auto" w:sz="4" w:space="0"/>
              <w:right w:val="single" w:color="auto" w:sz="4" w:space="0"/>
            </w:tcBorders>
            <w:noWrap/>
            <w:vAlign w:val="center"/>
          </w:tcPr>
          <w:p>
            <w:pPr>
              <w:widowControl/>
              <w:spacing w:after="120"/>
              <w:jc w:val="center"/>
              <w:rPr>
                <w:kern w:val="0"/>
                <w:sz w:val="18"/>
                <w:szCs w:val="18"/>
              </w:rPr>
            </w:pPr>
            <w:r>
              <w:rPr>
                <w:kern w:val="0"/>
                <w:sz w:val="18"/>
                <w:szCs w:val="18"/>
              </w:rPr>
              <w:t>63</w:t>
            </w:r>
          </w:p>
        </w:tc>
        <w:tc>
          <w:tcPr>
            <w:tcW w:w="1134" w:type="dxa"/>
            <w:tcBorders>
              <w:top w:val="nil"/>
              <w:left w:val="nil"/>
              <w:bottom w:val="single" w:color="auto" w:sz="4" w:space="0"/>
              <w:right w:val="single" w:color="auto" w:sz="4" w:space="0"/>
            </w:tcBorders>
            <w:noWrap/>
            <w:vAlign w:val="center"/>
          </w:tcPr>
          <w:p>
            <w:pPr>
              <w:widowControl/>
              <w:jc w:val="center"/>
              <w:rPr>
                <w:kern w:val="0"/>
                <w:sz w:val="18"/>
                <w:szCs w:val="18"/>
              </w:rPr>
            </w:pPr>
            <w:r>
              <w:rPr>
                <w:kern w:val="0"/>
                <w:sz w:val="18"/>
                <w:szCs w:val="18"/>
              </w:rPr>
              <w:t>61</w:t>
            </w:r>
          </w:p>
        </w:tc>
        <w:tc>
          <w:tcPr>
            <w:tcW w:w="1129" w:type="dxa"/>
            <w:tcBorders>
              <w:top w:val="nil"/>
              <w:left w:val="nil"/>
              <w:bottom w:val="single" w:color="auto" w:sz="4" w:space="0"/>
              <w:right w:val="single" w:color="auto" w:sz="8" w:space="0"/>
            </w:tcBorders>
            <w:vAlign w:val="center"/>
          </w:tcPr>
          <w:p>
            <w:pPr>
              <w:widowControl/>
              <w:jc w:val="center"/>
              <w:rPr>
                <w:kern w:val="0"/>
                <w:sz w:val="18"/>
                <w:szCs w:val="18"/>
              </w:rPr>
            </w:pPr>
            <w:r>
              <w:rPr>
                <w:rFonts w:hint="eastAsia"/>
                <w:kern w:val="0"/>
                <w:sz w:val="18"/>
                <w:szCs w:val="18"/>
              </w:rPr>
              <w:t>58</w:t>
            </w:r>
          </w:p>
        </w:tc>
      </w:tr>
      <w:tr>
        <w:tblPrEx>
          <w:tblCellMar>
            <w:top w:w="0" w:type="dxa"/>
            <w:left w:w="108" w:type="dxa"/>
            <w:bottom w:w="0" w:type="dxa"/>
            <w:right w:w="108" w:type="dxa"/>
          </w:tblCellMar>
        </w:tblPrEx>
        <w:trPr>
          <w:trHeight w:val="340" w:hRule="exact"/>
          <w:jc w:val="center"/>
        </w:trPr>
        <w:tc>
          <w:tcPr>
            <w:tcW w:w="2710" w:type="dxa"/>
            <w:tcBorders>
              <w:top w:val="nil"/>
              <w:left w:val="single" w:color="auto" w:sz="8" w:space="0"/>
              <w:bottom w:val="single" w:color="auto" w:sz="4" w:space="0"/>
              <w:right w:val="single" w:color="auto" w:sz="4" w:space="0"/>
            </w:tcBorders>
            <w:vAlign w:val="center"/>
          </w:tcPr>
          <w:p>
            <w:pPr>
              <w:widowControl/>
              <w:spacing w:after="120"/>
              <w:jc w:val="center"/>
              <w:rPr>
                <w:kern w:val="0"/>
                <w:sz w:val="18"/>
                <w:szCs w:val="18"/>
              </w:rPr>
            </w:pPr>
            <w:r>
              <w:rPr>
                <w:kern w:val="0"/>
                <w:sz w:val="18"/>
                <w:szCs w:val="18"/>
              </w:rPr>
              <w:t>BFe30-1-1</w:t>
            </w:r>
          </w:p>
        </w:tc>
        <w:tc>
          <w:tcPr>
            <w:tcW w:w="1559" w:type="dxa"/>
            <w:tcBorders>
              <w:top w:val="nil"/>
              <w:left w:val="nil"/>
              <w:bottom w:val="single" w:color="auto" w:sz="4" w:space="0"/>
              <w:right w:val="single" w:color="auto" w:sz="4" w:space="0"/>
            </w:tcBorders>
            <w:vAlign w:val="center"/>
          </w:tcPr>
          <w:p>
            <w:pPr>
              <w:widowControl/>
              <w:spacing w:after="120"/>
              <w:jc w:val="center"/>
              <w:rPr>
                <w:kern w:val="0"/>
                <w:sz w:val="18"/>
                <w:szCs w:val="18"/>
              </w:rPr>
            </w:pPr>
            <w:r>
              <w:rPr>
                <w:kern w:val="0"/>
                <w:sz w:val="18"/>
                <w:szCs w:val="18"/>
              </w:rPr>
              <w:t>O60</w:t>
            </w:r>
          </w:p>
        </w:tc>
        <w:tc>
          <w:tcPr>
            <w:tcW w:w="1153" w:type="dxa"/>
            <w:tcBorders>
              <w:top w:val="nil"/>
              <w:left w:val="nil"/>
              <w:bottom w:val="single" w:color="auto" w:sz="4" w:space="0"/>
              <w:right w:val="single" w:color="auto" w:sz="4" w:space="0"/>
            </w:tcBorders>
            <w:noWrap/>
            <w:vAlign w:val="center"/>
          </w:tcPr>
          <w:p>
            <w:pPr>
              <w:widowControl/>
              <w:spacing w:after="120"/>
              <w:jc w:val="center"/>
              <w:rPr>
                <w:kern w:val="0"/>
                <w:sz w:val="18"/>
                <w:szCs w:val="18"/>
              </w:rPr>
            </w:pPr>
            <w:r>
              <w:rPr>
                <w:kern w:val="0"/>
                <w:sz w:val="18"/>
                <w:szCs w:val="18"/>
              </w:rPr>
              <w:t>100</w:t>
            </w:r>
          </w:p>
        </w:tc>
        <w:tc>
          <w:tcPr>
            <w:tcW w:w="1134" w:type="dxa"/>
            <w:tcBorders>
              <w:top w:val="nil"/>
              <w:left w:val="nil"/>
              <w:bottom w:val="single" w:color="auto" w:sz="4" w:space="0"/>
              <w:right w:val="single" w:color="auto" w:sz="4" w:space="0"/>
            </w:tcBorders>
            <w:noWrap/>
            <w:vAlign w:val="center"/>
          </w:tcPr>
          <w:p>
            <w:pPr>
              <w:widowControl/>
              <w:spacing w:after="120"/>
              <w:jc w:val="center"/>
              <w:rPr>
                <w:kern w:val="0"/>
                <w:sz w:val="18"/>
                <w:szCs w:val="18"/>
              </w:rPr>
            </w:pPr>
            <w:r>
              <w:rPr>
                <w:kern w:val="0"/>
                <w:sz w:val="18"/>
                <w:szCs w:val="18"/>
              </w:rPr>
              <w:t>93</w:t>
            </w:r>
          </w:p>
        </w:tc>
        <w:tc>
          <w:tcPr>
            <w:tcW w:w="1134" w:type="dxa"/>
            <w:tcBorders>
              <w:top w:val="nil"/>
              <w:left w:val="nil"/>
              <w:bottom w:val="single" w:color="auto" w:sz="4" w:space="0"/>
              <w:right w:val="single" w:color="auto" w:sz="4" w:space="0"/>
            </w:tcBorders>
            <w:noWrap/>
            <w:vAlign w:val="center"/>
          </w:tcPr>
          <w:p>
            <w:pPr>
              <w:widowControl/>
              <w:jc w:val="center"/>
              <w:rPr>
                <w:kern w:val="0"/>
                <w:sz w:val="18"/>
                <w:szCs w:val="18"/>
              </w:rPr>
            </w:pPr>
            <w:r>
              <w:rPr>
                <w:kern w:val="0"/>
                <w:sz w:val="18"/>
                <w:szCs w:val="18"/>
              </w:rPr>
              <w:t>90</w:t>
            </w:r>
          </w:p>
        </w:tc>
        <w:tc>
          <w:tcPr>
            <w:tcW w:w="1129" w:type="dxa"/>
            <w:tcBorders>
              <w:top w:val="nil"/>
              <w:left w:val="nil"/>
              <w:bottom w:val="single" w:color="auto" w:sz="4" w:space="0"/>
              <w:right w:val="single" w:color="auto" w:sz="8" w:space="0"/>
            </w:tcBorders>
            <w:vAlign w:val="center"/>
          </w:tcPr>
          <w:p>
            <w:pPr>
              <w:widowControl/>
              <w:jc w:val="center"/>
              <w:rPr>
                <w:kern w:val="0"/>
                <w:sz w:val="18"/>
                <w:szCs w:val="18"/>
              </w:rPr>
            </w:pPr>
            <w:r>
              <w:rPr>
                <w:rFonts w:hint="eastAsia"/>
                <w:kern w:val="0"/>
                <w:sz w:val="18"/>
                <w:szCs w:val="18"/>
              </w:rPr>
              <w:t>86</w:t>
            </w:r>
          </w:p>
        </w:tc>
      </w:tr>
    </w:tbl>
    <w:p>
      <w:pPr>
        <w:pStyle w:val="56"/>
        <w:numPr>
          <w:ilvl w:val="2"/>
          <w:numId w:val="10"/>
        </w:numPr>
        <w:ind w:firstLineChars="0"/>
        <w:rPr>
          <w:rFonts w:eastAsia="黑体"/>
          <w:bCs/>
          <w:color w:val="000000"/>
        </w:rPr>
      </w:pPr>
      <w:r>
        <w:rPr>
          <w:rFonts w:eastAsia="黑体"/>
          <w:bCs/>
          <w:color w:val="000000"/>
        </w:rPr>
        <w:t>气压试验</w:t>
      </w:r>
    </w:p>
    <w:p>
      <w:pPr>
        <w:ind w:firstLine="420" w:firstLineChars="200"/>
        <w:rPr>
          <w:color w:val="000000"/>
        </w:rPr>
      </w:pPr>
      <w:r>
        <w:rPr>
          <w:color w:val="000000"/>
        </w:rPr>
        <w:t>管材应能</w:t>
      </w:r>
      <w:r>
        <w:rPr>
          <w:color w:val="000000"/>
          <w:szCs w:val="21"/>
        </w:rPr>
        <w:t>承受</w:t>
      </w:r>
      <w:r>
        <w:rPr>
          <w:rFonts w:hint="eastAsia"/>
          <w:color w:val="000000"/>
          <w:szCs w:val="21"/>
        </w:rPr>
        <w:t>不小于</w:t>
      </w:r>
      <w:r>
        <w:rPr>
          <w:color w:val="000000"/>
          <w:szCs w:val="21"/>
        </w:rPr>
        <w:t>1.7</w:t>
      </w:r>
      <w:r>
        <w:rPr>
          <w:color w:val="000000"/>
        </w:rPr>
        <w:t xml:space="preserve"> MPa</w:t>
      </w:r>
      <w:r>
        <w:rPr>
          <w:color w:val="000000"/>
          <w:szCs w:val="21"/>
        </w:rPr>
        <w:t>的内气压试验，并保持5秒不应有渗漏现象。</w:t>
      </w:r>
    </w:p>
    <w:p>
      <w:pPr>
        <w:pStyle w:val="56"/>
        <w:numPr>
          <w:ilvl w:val="2"/>
          <w:numId w:val="10"/>
        </w:numPr>
        <w:ind w:firstLineChars="0"/>
        <w:rPr>
          <w:rFonts w:eastAsia="黑体"/>
          <w:bCs/>
          <w:color w:val="000000"/>
        </w:rPr>
      </w:pPr>
      <w:bookmarkStart w:id="47" w:name="OLE_LINK62"/>
      <w:bookmarkStart w:id="48" w:name="OLE_LINK44"/>
      <w:r>
        <w:rPr>
          <w:rFonts w:eastAsia="黑体"/>
          <w:bCs/>
          <w:color w:val="000000"/>
        </w:rPr>
        <w:t>穿过式</w:t>
      </w:r>
      <w:bookmarkStart w:id="49" w:name="OLE_LINK57"/>
      <w:bookmarkStart w:id="50" w:name="OLE_LINK56"/>
      <w:r>
        <w:rPr>
          <w:rFonts w:eastAsia="黑体"/>
          <w:bCs/>
          <w:color w:val="000000"/>
        </w:rPr>
        <w:t>涡流探伤</w:t>
      </w:r>
    </w:p>
    <w:bookmarkEnd w:id="47"/>
    <w:bookmarkEnd w:id="48"/>
    <w:p>
      <w:pPr>
        <w:pStyle w:val="56"/>
        <w:numPr>
          <w:ilvl w:val="3"/>
          <w:numId w:val="11"/>
        </w:numPr>
        <w:ind w:firstLineChars="0"/>
        <w:rPr>
          <w:color w:val="000000"/>
        </w:rPr>
      </w:pPr>
      <w:bookmarkStart w:id="51" w:name="OLE_LINK66"/>
      <w:bookmarkStart w:id="52" w:name="OLE_LINK67"/>
      <w:r>
        <w:rPr>
          <w:color w:val="000000"/>
        </w:rPr>
        <w:t>进行</w:t>
      </w:r>
      <w:bookmarkEnd w:id="49"/>
      <w:bookmarkEnd w:id="50"/>
      <w:bookmarkEnd w:id="51"/>
      <w:bookmarkEnd w:id="52"/>
      <w:r>
        <w:rPr>
          <w:color w:val="000000"/>
        </w:rPr>
        <w:t>穿过式涡流探伤检验时，人工标准缺陷</w:t>
      </w:r>
      <w:r>
        <w:rPr>
          <w:rFonts w:hint="eastAsia"/>
          <w:color w:val="000000"/>
        </w:rPr>
        <w:t>（</w:t>
      </w:r>
      <w:r>
        <w:rPr>
          <w:color w:val="000000"/>
        </w:rPr>
        <w:t>钻孔直径</w:t>
      </w:r>
      <w:r>
        <w:rPr>
          <w:rFonts w:hint="eastAsia"/>
          <w:color w:val="000000"/>
        </w:rPr>
        <w:t>）</w:t>
      </w:r>
      <w:r>
        <w:rPr>
          <w:color w:val="000000"/>
        </w:rPr>
        <w:t>应符合表</w:t>
      </w:r>
      <w:r>
        <w:rPr>
          <w:rFonts w:hint="eastAsia"/>
          <w:color w:val="000000"/>
        </w:rPr>
        <w:t>8</w:t>
      </w:r>
      <w:r>
        <w:rPr>
          <w:color w:val="000000"/>
        </w:rPr>
        <w:t>的规定。</w:t>
      </w:r>
    </w:p>
    <w:p>
      <w:pPr>
        <w:pStyle w:val="56"/>
        <w:numPr>
          <w:ilvl w:val="3"/>
          <w:numId w:val="11"/>
        </w:numPr>
        <w:ind w:firstLineChars="0"/>
        <w:rPr>
          <w:color w:val="000000"/>
        </w:rPr>
      </w:pPr>
      <w:r>
        <w:rPr>
          <w:color w:val="000000"/>
        </w:rPr>
        <w:t>按GB/T5248</w:t>
      </w:r>
      <w:r>
        <w:rPr>
          <w:rFonts w:hint="eastAsia"/>
          <w:color w:val="000000"/>
        </w:rPr>
        <w:t>并以</w:t>
      </w:r>
      <w:r>
        <w:rPr>
          <w:color w:val="000000"/>
        </w:rPr>
        <w:t>表</w:t>
      </w:r>
      <w:r>
        <w:rPr>
          <w:rFonts w:hint="eastAsia"/>
          <w:color w:val="000000"/>
        </w:rPr>
        <w:t>8</w:t>
      </w:r>
      <w:r>
        <w:rPr>
          <w:color w:val="000000"/>
        </w:rPr>
        <w:t>规定的孔径调节设备灵敏度。在穿过式涡流探伤设备装置上不引起报警反应的管材，应认为符合本文件要求。</w:t>
      </w:r>
    </w:p>
    <w:p>
      <w:pPr>
        <w:jc w:val="center"/>
        <w:rPr>
          <w:color w:val="000000"/>
        </w:rPr>
      </w:pPr>
      <w:r>
        <w:rPr>
          <w:rFonts w:eastAsia="黑体"/>
          <w:color w:val="000000"/>
        </w:rPr>
        <w:t>表</w:t>
      </w:r>
      <w:r>
        <w:rPr>
          <w:rFonts w:hint="eastAsia" w:eastAsia="黑体"/>
          <w:color w:val="000000"/>
        </w:rPr>
        <w:t>8</w:t>
      </w:r>
      <w:r>
        <w:rPr>
          <w:rFonts w:eastAsia="黑体"/>
          <w:color w:val="000000"/>
        </w:rPr>
        <w:t xml:space="preserve">   人工标准缺陷孔径尺寸</w:t>
      </w:r>
    </w:p>
    <w:p>
      <w:pPr>
        <w:jc w:val="right"/>
        <w:rPr>
          <w:color w:val="000000"/>
          <w:sz w:val="18"/>
          <w:szCs w:val="18"/>
        </w:rPr>
      </w:pPr>
      <w:r>
        <w:rPr>
          <w:color w:val="000000"/>
          <w:sz w:val="18"/>
          <w:szCs w:val="18"/>
        </w:rPr>
        <w:t>单位为毫米</w:t>
      </w:r>
    </w:p>
    <w:tbl>
      <w:tblPr>
        <w:tblStyle w:val="16"/>
        <w:tblW w:w="4851" w:type="pct"/>
        <w:tblInd w:w="27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500"/>
        <w:gridCol w:w="47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 w:hRule="atLeast"/>
        </w:trPr>
        <w:tc>
          <w:tcPr>
            <w:tcW w:w="2423" w:type="pct"/>
            <w:tcBorders>
              <w:top w:val="single" w:color="auto" w:sz="8" w:space="0"/>
              <w:left w:val="single" w:color="auto" w:sz="8" w:space="0"/>
              <w:bottom w:val="single" w:color="auto" w:sz="8" w:space="0"/>
            </w:tcBorders>
          </w:tcPr>
          <w:p>
            <w:pPr>
              <w:jc w:val="center"/>
              <w:rPr>
                <w:color w:val="000000"/>
                <w:sz w:val="18"/>
                <w:szCs w:val="18"/>
              </w:rPr>
            </w:pPr>
            <w:r>
              <w:rPr>
                <w:color w:val="000000"/>
                <w:sz w:val="18"/>
                <w:szCs w:val="18"/>
              </w:rPr>
              <w:t>外径</w:t>
            </w:r>
          </w:p>
        </w:tc>
        <w:tc>
          <w:tcPr>
            <w:tcW w:w="2577" w:type="pct"/>
            <w:tcBorders>
              <w:top w:val="single" w:color="auto" w:sz="8" w:space="0"/>
              <w:bottom w:val="single" w:color="auto" w:sz="8" w:space="0"/>
              <w:right w:val="single" w:color="auto" w:sz="8" w:space="0"/>
            </w:tcBorders>
          </w:tcPr>
          <w:p>
            <w:pPr>
              <w:jc w:val="center"/>
              <w:rPr>
                <w:color w:val="000000"/>
                <w:sz w:val="18"/>
                <w:szCs w:val="18"/>
              </w:rPr>
            </w:pPr>
            <w:r>
              <w:rPr>
                <w:color w:val="000000"/>
                <w:sz w:val="18"/>
                <w:szCs w:val="18"/>
              </w:rPr>
              <w:t>钻孔直径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23" w:type="pct"/>
            <w:tcBorders>
              <w:top w:val="single" w:color="auto" w:sz="8" w:space="0"/>
              <w:left w:val="single" w:color="auto" w:sz="8" w:space="0"/>
            </w:tcBorders>
          </w:tcPr>
          <w:p>
            <w:pPr>
              <w:jc w:val="center"/>
              <w:rPr>
                <w:color w:val="000000"/>
                <w:sz w:val="18"/>
                <w:szCs w:val="18"/>
              </w:rPr>
            </w:pPr>
            <w:r>
              <w:rPr>
                <w:rFonts w:hint="eastAsia"/>
                <w:color w:val="000000"/>
                <w:sz w:val="18"/>
                <w:szCs w:val="18"/>
              </w:rPr>
              <w:t>7</w:t>
            </w:r>
            <w:r>
              <w:rPr>
                <w:color w:val="000000"/>
                <w:sz w:val="18"/>
                <w:szCs w:val="18"/>
              </w:rPr>
              <w:t>.0</w:t>
            </w:r>
            <w:r>
              <w:rPr>
                <w:rFonts w:hint="eastAsia"/>
                <w:color w:val="000000"/>
                <w:sz w:val="18"/>
                <w:szCs w:val="18"/>
              </w:rPr>
              <w:t>0</w:t>
            </w:r>
            <w:r>
              <w:rPr>
                <w:color w:val="000000"/>
                <w:sz w:val="18"/>
                <w:szCs w:val="18"/>
              </w:rPr>
              <w:t>~16.0</w:t>
            </w:r>
            <w:r>
              <w:rPr>
                <w:rFonts w:hint="eastAsia"/>
                <w:color w:val="000000"/>
                <w:sz w:val="18"/>
                <w:szCs w:val="18"/>
              </w:rPr>
              <w:t>0</w:t>
            </w:r>
          </w:p>
        </w:tc>
        <w:tc>
          <w:tcPr>
            <w:tcW w:w="2577" w:type="pct"/>
            <w:tcBorders>
              <w:top w:val="single" w:color="auto" w:sz="8" w:space="0"/>
              <w:right w:val="single" w:color="auto" w:sz="8" w:space="0"/>
            </w:tcBorders>
          </w:tcPr>
          <w:p>
            <w:pPr>
              <w:jc w:val="center"/>
              <w:rPr>
                <w:color w:val="000000"/>
                <w:sz w:val="18"/>
                <w:szCs w:val="18"/>
              </w:rPr>
            </w:pPr>
            <w:r>
              <w:rPr>
                <w:color w:val="000000"/>
                <w:sz w:val="18"/>
                <w:szCs w:val="18"/>
              </w:rPr>
              <w:t>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23" w:type="pct"/>
            <w:tcBorders>
              <w:left w:val="single" w:color="auto" w:sz="8" w:space="0"/>
              <w:bottom w:val="single" w:color="auto" w:sz="8" w:space="0"/>
            </w:tcBorders>
          </w:tcPr>
          <w:p>
            <w:pPr>
              <w:jc w:val="center"/>
              <w:rPr>
                <w:color w:val="000000"/>
                <w:sz w:val="18"/>
                <w:szCs w:val="18"/>
              </w:rPr>
            </w:pPr>
            <w:r>
              <w:rPr>
                <w:color w:val="000000"/>
                <w:sz w:val="18"/>
                <w:szCs w:val="18"/>
              </w:rPr>
              <w:t>＞16.0</w:t>
            </w:r>
            <w:r>
              <w:rPr>
                <w:rFonts w:hint="eastAsia"/>
                <w:color w:val="000000"/>
                <w:sz w:val="18"/>
                <w:szCs w:val="18"/>
              </w:rPr>
              <w:t>0</w:t>
            </w:r>
            <w:r>
              <w:rPr>
                <w:color w:val="000000"/>
                <w:sz w:val="18"/>
                <w:szCs w:val="18"/>
              </w:rPr>
              <w:t>~30.0</w:t>
            </w:r>
            <w:r>
              <w:rPr>
                <w:rFonts w:hint="eastAsia"/>
                <w:color w:val="000000"/>
                <w:sz w:val="18"/>
                <w:szCs w:val="18"/>
              </w:rPr>
              <w:t>0</w:t>
            </w:r>
          </w:p>
        </w:tc>
        <w:tc>
          <w:tcPr>
            <w:tcW w:w="2577" w:type="pct"/>
            <w:tcBorders>
              <w:bottom w:val="single" w:color="auto" w:sz="8" w:space="0"/>
              <w:right w:val="single" w:color="auto" w:sz="8" w:space="0"/>
            </w:tcBorders>
          </w:tcPr>
          <w:p>
            <w:pPr>
              <w:jc w:val="center"/>
              <w:rPr>
                <w:color w:val="000000"/>
                <w:sz w:val="18"/>
                <w:szCs w:val="18"/>
              </w:rPr>
            </w:pPr>
            <w:r>
              <w:rPr>
                <w:color w:val="000000"/>
                <w:sz w:val="18"/>
                <w:szCs w:val="18"/>
              </w:rPr>
              <w:t>1.</w:t>
            </w:r>
            <w:r>
              <w:rPr>
                <w:rFonts w:hint="eastAsia"/>
                <w:color w:val="000000"/>
                <w:sz w:val="18"/>
                <w:szCs w:val="18"/>
              </w:rPr>
              <w:t>1</w:t>
            </w:r>
          </w:p>
        </w:tc>
      </w:tr>
    </w:tbl>
    <w:p>
      <w:pPr>
        <w:pStyle w:val="56"/>
        <w:ind w:firstLine="0" w:firstLineChars="0"/>
        <w:rPr>
          <w:rFonts w:eastAsia="黑体"/>
          <w:bCs/>
        </w:rPr>
      </w:pPr>
      <w:r>
        <w:rPr>
          <w:rFonts w:ascii="黑体" w:hAnsi="黑体" w:eastAsia="黑体" w:cs="黑体"/>
          <w:color w:val="000000"/>
        </w:rPr>
        <w:t>5.5.3.3</w:t>
      </w:r>
      <w:r>
        <w:rPr>
          <w:color w:val="000000"/>
        </w:rPr>
        <w:t>由于可看到的压痕产生不相关信号的管材可以按5.5.1进行静水试验或按5.5.2进行气压试验。</w:t>
      </w:r>
    </w:p>
    <w:p>
      <w:pPr>
        <w:pStyle w:val="56"/>
        <w:numPr>
          <w:ilvl w:val="2"/>
          <w:numId w:val="10"/>
        </w:numPr>
        <w:ind w:firstLineChars="0"/>
        <w:rPr>
          <w:rFonts w:eastAsia="黑体"/>
          <w:bCs/>
          <w:color w:val="000000"/>
        </w:rPr>
      </w:pPr>
      <w:r>
        <w:rPr>
          <w:rFonts w:eastAsia="黑体"/>
          <w:bCs/>
          <w:color w:val="000000"/>
        </w:rPr>
        <w:t>磁饱和探伤</w:t>
      </w:r>
    </w:p>
    <w:p>
      <w:pPr>
        <w:pStyle w:val="56"/>
        <w:numPr>
          <w:ilvl w:val="3"/>
          <w:numId w:val="12"/>
        </w:numPr>
        <w:ind w:firstLineChars="0"/>
        <w:rPr>
          <w:color w:val="000000"/>
        </w:rPr>
      </w:pPr>
      <w:r>
        <w:rPr>
          <w:color w:val="000000"/>
        </w:rPr>
        <w:t>管材进行磁饱和探伤检验时，人工标准缺陷</w:t>
      </w:r>
      <w:r>
        <w:rPr>
          <w:rFonts w:hint="eastAsia"/>
          <w:color w:val="000000"/>
        </w:rPr>
        <w:t>（夹铁重量）</w:t>
      </w:r>
      <w:r>
        <w:rPr>
          <w:color w:val="000000"/>
        </w:rPr>
        <w:t>应符合表</w:t>
      </w:r>
      <w:r>
        <w:rPr>
          <w:rFonts w:hint="eastAsia"/>
          <w:color w:val="000000"/>
        </w:rPr>
        <w:t>9</w:t>
      </w:r>
      <w:r>
        <w:rPr>
          <w:color w:val="000000"/>
        </w:rPr>
        <w:t>的规定。</w:t>
      </w:r>
    </w:p>
    <w:p>
      <w:pPr>
        <w:pStyle w:val="56"/>
        <w:numPr>
          <w:ilvl w:val="3"/>
          <w:numId w:val="12"/>
        </w:numPr>
        <w:ind w:firstLineChars="0"/>
        <w:rPr>
          <w:color w:val="000000"/>
        </w:rPr>
      </w:pPr>
      <w:r>
        <w:rPr>
          <w:color w:val="000000"/>
        </w:rPr>
        <w:t>按附录</w:t>
      </w:r>
      <w:r>
        <w:rPr>
          <w:rFonts w:hint="eastAsia"/>
          <w:color w:val="000000"/>
        </w:rPr>
        <w:t>B</w:t>
      </w:r>
      <w:r>
        <w:rPr>
          <w:color w:val="000000"/>
        </w:rPr>
        <w:t>并以表</w:t>
      </w:r>
      <w:r>
        <w:rPr>
          <w:rFonts w:hint="eastAsia"/>
          <w:color w:val="000000"/>
        </w:rPr>
        <w:t>9</w:t>
      </w:r>
      <w:r>
        <w:rPr>
          <w:color w:val="000000"/>
        </w:rPr>
        <w:t>规定的</w:t>
      </w:r>
      <w:r>
        <w:rPr>
          <w:rFonts w:hint="eastAsia"/>
          <w:color w:val="000000"/>
        </w:rPr>
        <w:t>夹铁重量</w:t>
      </w:r>
      <w:r>
        <w:rPr>
          <w:color w:val="000000"/>
        </w:rPr>
        <w:t>调节设备灵敏度。在磁饱和探伤设备装置上不引起报警反应的管材，应认为符合本文件要求。</w:t>
      </w:r>
    </w:p>
    <w:p>
      <w:pPr>
        <w:jc w:val="center"/>
        <w:rPr>
          <w:rFonts w:eastAsia="黑体"/>
          <w:color w:val="000000"/>
        </w:rPr>
      </w:pPr>
      <w:r>
        <w:rPr>
          <w:rFonts w:eastAsia="黑体"/>
          <w:color w:val="000000"/>
        </w:rPr>
        <w:t>表</w:t>
      </w:r>
      <w:r>
        <w:rPr>
          <w:rFonts w:hint="eastAsia" w:eastAsia="黑体"/>
          <w:color w:val="000000"/>
        </w:rPr>
        <w:t>9</w:t>
      </w:r>
      <w:r>
        <w:rPr>
          <w:rFonts w:eastAsia="黑体"/>
          <w:color w:val="000000"/>
        </w:rPr>
        <w:t xml:space="preserve">   人工标准缺陷</w:t>
      </w:r>
      <w:r>
        <w:rPr>
          <w:rFonts w:hint="eastAsia" w:eastAsia="黑体"/>
          <w:color w:val="000000"/>
        </w:rPr>
        <w:t>夹铁重量</w:t>
      </w:r>
    </w:p>
    <w:tbl>
      <w:tblPr>
        <w:tblStyle w:val="16"/>
        <w:tblW w:w="4851" w:type="pct"/>
        <w:tblInd w:w="27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806"/>
        <w:gridCol w:w="3120"/>
        <w:gridCol w:w="335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511" w:type="pct"/>
            <w:tcBorders>
              <w:top w:val="single" w:color="auto" w:sz="8" w:space="0"/>
              <w:left w:val="single" w:color="auto" w:sz="8" w:space="0"/>
              <w:bottom w:val="single" w:color="auto" w:sz="8" w:space="0"/>
            </w:tcBorders>
          </w:tcPr>
          <w:p>
            <w:pPr>
              <w:jc w:val="center"/>
              <w:rPr>
                <w:color w:val="000000"/>
                <w:sz w:val="18"/>
                <w:szCs w:val="18"/>
              </w:rPr>
            </w:pPr>
            <w:r>
              <w:rPr>
                <w:color w:val="000000"/>
                <w:sz w:val="18"/>
                <w:szCs w:val="18"/>
              </w:rPr>
              <w:t>外径</w:t>
            </w:r>
          </w:p>
          <w:p>
            <w:pPr>
              <w:jc w:val="center"/>
              <w:rPr>
                <w:color w:val="000000"/>
                <w:sz w:val="18"/>
                <w:szCs w:val="18"/>
              </w:rPr>
            </w:pPr>
            <w:r>
              <w:rPr>
                <w:color w:val="000000"/>
                <w:sz w:val="18"/>
                <w:szCs w:val="18"/>
              </w:rPr>
              <w:t>mm</w:t>
            </w:r>
          </w:p>
        </w:tc>
        <w:tc>
          <w:tcPr>
            <w:tcW w:w="1680" w:type="pct"/>
            <w:tcBorders>
              <w:top w:val="single" w:color="auto" w:sz="8" w:space="0"/>
              <w:bottom w:val="single" w:color="auto" w:sz="8" w:space="0"/>
            </w:tcBorders>
          </w:tcPr>
          <w:p>
            <w:pPr>
              <w:jc w:val="center"/>
              <w:rPr>
                <w:color w:val="000000"/>
                <w:sz w:val="18"/>
                <w:szCs w:val="18"/>
              </w:rPr>
            </w:pPr>
            <w:r>
              <w:rPr>
                <w:rFonts w:hint="eastAsia"/>
                <w:color w:val="000000"/>
                <w:sz w:val="18"/>
                <w:szCs w:val="18"/>
              </w:rPr>
              <w:t>外</w:t>
            </w:r>
            <w:r>
              <w:rPr>
                <w:color w:val="000000"/>
                <w:sz w:val="18"/>
                <w:szCs w:val="18"/>
              </w:rPr>
              <w:t>表面标准夹铁重量</w:t>
            </w:r>
          </w:p>
          <w:p>
            <w:pPr>
              <w:jc w:val="center"/>
              <w:rPr>
                <w:color w:val="000000"/>
                <w:sz w:val="18"/>
                <w:szCs w:val="18"/>
              </w:rPr>
            </w:pPr>
            <w:r>
              <w:rPr>
                <w:color w:val="000000"/>
                <w:sz w:val="18"/>
                <w:szCs w:val="18"/>
              </w:rPr>
              <w:t>mg</w:t>
            </w:r>
          </w:p>
        </w:tc>
        <w:tc>
          <w:tcPr>
            <w:tcW w:w="1809" w:type="pct"/>
            <w:tcBorders>
              <w:top w:val="single" w:color="auto" w:sz="8" w:space="0"/>
              <w:bottom w:val="single" w:color="auto" w:sz="8" w:space="0"/>
              <w:right w:val="single" w:color="auto" w:sz="8" w:space="0"/>
            </w:tcBorders>
          </w:tcPr>
          <w:p>
            <w:pPr>
              <w:jc w:val="center"/>
              <w:rPr>
                <w:color w:val="000000"/>
                <w:sz w:val="18"/>
                <w:szCs w:val="18"/>
              </w:rPr>
            </w:pPr>
            <w:r>
              <w:rPr>
                <w:color w:val="000000"/>
                <w:sz w:val="18"/>
                <w:szCs w:val="18"/>
              </w:rPr>
              <w:t>内表面标准夹铁重量</w:t>
            </w:r>
          </w:p>
          <w:p>
            <w:pPr>
              <w:jc w:val="center"/>
              <w:rPr>
                <w:color w:val="000000"/>
                <w:sz w:val="18"/>
                <w:szCs w:val="18"/>
              </w:rPr>
            </w:pPr>
            <w:r>
              <w:rPr>
                <w:color w:val="000000"/>
                <w:sz w:val="18"/>
                <w:szCs w:val="18"/>
              </w:rPr>
              <w:t>mg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11" w:type="pct"/>
            <w:tcBorders>
              <w:top w:val="single" w:color="auto" w:sz="8" w:space="0"/>
              <w:left w:val="single" w:color="auto" w:sz="8" w:space="0"/>
            </w:tcBorders>
          </w:tcPr>
          <w:p>
            <w:pPr>
              <w:jc w:val="center"/>
              <w:rPr>
                <w:color w:val="000000"/>
                <w:sz w:val="18"/>
                <w:szCs w:val="18"/>
              </w:rPr>
            </w:pPr>
            <w:r>
              <w:rPr>
                <w:rFonts w:hint="eastAsia"/>
                <w:color w:val="000000"/>
                <w:sz w:val="18"/>
                <w:szCs w:val="18"/>
              </w:rPr>
              <w:t>7</w:t>
            </w:r>
            <w:r>
              <w:rPr>
                <w:color w:val="000000"/>
                <w:sz w:val="18"/>
                <w:szCs w:val="18"/>
              </w:rPr>
              <w:t>.0</w:t>
            </w:r>
            <w:r>
              <w:rPr>
                <w:rFonts w:hint="eastAsia"/>
                <w:color w:val="000000"/>
                <w:sz w:val="18"/>
                <w:szCs w:val="18"/>
              </w:rPr>
              <w:t>0</w:t>
            </w:r>
            <w:r>
              <w:rPr>
                <w:color w:val="000000"/>
                <w:sz w:val="18"/>
                <w:szCs w:val="18"/>
              </w:rPr>
              <w:t>~16.0</w:t>
            </w:r>
            <w:r>
              <w:rPr>
                <w:rFonts w:hint="eastAsia"/>
                <w:color w:val="000000"/>
                <w:sz w:val="18"/>
                <w:szCs w:val="18"/>
              </w:rPr>
              <w:t>0</w:t>
            </w:r>
          </w:p>
        </w:tc>
        <w:tc>
          <w:tcPr>
            <w:tcW w:w="1680" w:type="pct"/>
            <w:tcBorders>
              <w:top w:val="single" w:color="auto" w:sz="8" w:space="0"/>
            </w:tcBorders>
          </w:tcPr>
          <w:p>
            <w:pPr>
              <w:jc w:val="center"/>
              <w:rPr>
                <w:color w:val="000000"/>
                <w:sz w:val="18"/>
                <w:szCs w:val="18"/>
              </w:rPr>
            </w:pPr>
            <w:r>
              <w:rPr>
                <w:color w:val="000000"/>
                <w:sz w:val="18"/>
                <w:szCs w:val="18"/>
              </w:rPr>
              <w:t>1.5</w:t>
            </w:r>
          </w:p>
        </w:tc>
        <w:tc>
          <w:tcPr>
            <w:tcW w:w="1809" w:type="pct"/>
            <w:tcBorders>
              <w:top w:val="single" w:color="auto" w:sz="8" w:space="0"/>
              <w:right w:val="single" w:color="auto" w:sz="8" w:space="0"/>
            </w:tcBorders>
          </w:tcPr>
          <w:p>
            <w:pPr>
              <w:jc w:val="center"/>
              <w:rPr>
                <w:color w:val="000000"/>
                <w:sz w:val="18"/>
                <w:szCs w:val="18"/>
              </w:rPr>
            </w:pPr>
            <w:r>
              <w:rPr>
                <w:color w:val="000000"/>
                <w:sz w:val="18"/>
                <w:szCs w:val="18"/>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511" w:type="pct"/>
            <w:tcBorders>
              <w:left w:val="single" w:color="auto" w:sz="8" w:space="0"/>
              <w:bottom w:val="single" w:color="auto" w:sz="8" w:space="0"/>
            </w:tcBorders>
          </w:tcPr>
          <w:p>
            <w:pPr>
              <w:jc w:val="center"/>
              <w:rPr>
                <w:color w:val="000000"/>
                <w:sz w:val="18"/>
                <w:szCs w:val="18"/>
              </w:rPr>
            </w:pPr>
            <w:r>
              <w:rPr>
                <w:color w:val="000000"/>
                <w:sz w:val="18"/>
                <w:szCs w:val="18"/>
              </w:rPr>
              <w:t>＞16.0</w:t>
            </w:r>
            <w:r>
              <w:rPr>
                <w:rFonts w:hint="eastAsia"/>
                <w:color w:val="000000"/>
                <w:sz w:val="18"/>
                <w:szCs w:val="18"/>
              </w:rPr>
              <w:t>0</w:t>
            </w:r>
            <w:r>
              <w:rPr>
                <w:color w:val="000000"/>
                <w:sz w:val="18"/>
                <w:szCs w:val="18"/>
              </w:rPr>
              <w:t>~30.0</w:t>
            </w:r>
            <w:r>
              <w:rPr>
                <w:rFonts w:hint="eastAsia"/>
                <w:color w:val="000000"/>
                <w:sz w:val="18"/>
                <w:szCs w:val="18"/>
              </w:rPr>
              <w:t>0</w:t>
            </w:r>
          </w:p>
        </w:tc>
        <w:tc>
          <w:tcPr>
            <w:tcW w:w="1680" w:type="pct"/>
            <w:tcBorders>
              <w:bottom w:val="single" w:color="auto" w:sz="8" w:space="0"/>
            </w:tcBorders>
          </w:tcPr>
          <w:p>
            <w:pPr>
              <w:jc w:val="center"/>
              <w:rPr>
                <w:color w:val="000000"/>
                <w:sz w:val="18"/>
                <w:szCs w:val="18"/>
              </w:rPr>
            </w:pPr>
            <w:r>
              <w:rPr>
                <w:color w:val="000000"/>
                <w:sz w:val="18"/>
                <w:szCs w:val="18"/>
              </w:rPr>
              <w:t>1.5</w:t>
            </w:r>
          </w:p>
        </w:tc>
        <w:tc>
          <w:tcPr>
            <w:tcW w:w="1809" w:type="pct"/>
            <w:tcBorders>
              <w:bottom w:val="single" w:color="auto" w:sz="8" w:space="0"/>
              <w:right w:val="single" w:color="auto" w:sz="8" w:space="0"/>
            </w:tcBorders>
          </w:tcPr>
          <w:p>
            <w:pPr>
              <w:jc w:val="center"/>
              <w:rPr>
                <w:color w:val="000000"/>
                <w:sz w:val="18"/>
                <w:szCs w:val="18"/>
              </w:rPr>
            </w:pPr>
            <w:r>
              <w:rPr>
                <w:color w:val="000000"/>
                <w:sz w:val="18"/>
                <w:szCs w:val="18"/>
              </w:rPr>
              <w:t>3</w:t>
            </w:r>
          </w:p>
        </w:tc>
      </w:tr>
    </w:tbl>
    <w:p>
      <w:pPr>
        <w:pStyle w:val="56"/>
        <w:numPr>
          <w:ilvl w:val="1"/>
          <w:numId w:val="5"/>
        </w:numPr>
        <w:ind w:firstLineChars="0"/>
        <w:rPr>
          <w:rFonts w:eastAsia="黑体"/>
          <w:bCs/>
          <w:color w:val="000000"/>
        </w:rPr>
      </w:pPr>
      <w:r>
        <w:rPr>
          <w:rFonts w:eastAsia="黑体"/>
          <w:bCs/>
          <w:color w:val="000000"/>
        </w:rPr>
        <w:t>外压设计检验</w:t>
      </w:r>
    </w:p>
    <w:p>
      <w:pPr>
        <w:ind w:firstLine="420" w:firstLineChars="200"/>
        <w:rPr>
          <w:color w:val="000000"/>
        </w:rPr>
      </w:pPr>
      <w:r>
        <w:rPr>
          <w:color w:val="000000"/>
        </w:rPr>
        <w:t>需方要求时，应进行外压设计检验。</w:t>
      </w:r>
    </w:p>
    <w:p>
      <w:pPr>
        <w:ind w:firstLine="420" w:firstLineChars="200"/>
        <w:rPr>
          <w:color w:val="000000"/>
        </w:rPr>
      </w:pPr>
      <w:r>
        <w:rPr>
          <w:color w:val="000000"/>
        </w:rPr>
        <w:t>外压设计检验最大许用压力</w:t>
      </w:r>
      <w:r>
        <w:rPr>
          <w:i/>
          <w:iCs/>
          <w:color w:val="000000"/>
        </w:rPr>
        <w:t>P</w:t>
      </w:r>
      <w:r>
        <w:rPr>
          <w:color w:val="000000"/>
        </w:rPr>
        <w:t>应按公式2确定：</w:t>
      </w:r>
    </w:p>
    <w:p>
      <w:pPr>
        <w:jc w:val="right"/>
      </w:pPr>
      <m:oMath>
        <m:r>
          <m:rPr/>
          <w:rPr>
            <w:rFonts w:ascii="Cambria Math" w:hAnsi="Cambria Math"/>
          </w:rPr>
          <m:t>P</m:t>
        </m:r>
        <m:r>
          <m:rPr>
            <m:sty m:val="p"/>
          </m:rPr>
          <w:rPr>
            <w:rFonts w:ascii="Cambria Math" w:hAnsi="Cambria Math"/>
          </w:rPr>
          <m:t>=</m:t>
        </m:r>
        <m:r>
          <m:rPr/>
          <w:rPr>
            <w:rFonts w:ascii="Cambria Math" w:hAnsi="Cambria Math"/>
          </w:rPr>
          <m:t>F</m:t>
        </m:r>
        <m:d>
          <m:dPr>
            <m:ctrlPr>
              <w:rPr>
                <w:rFonts w:ascii="Cambria Math" w:hAnsi="Cambria Math"/>
              </w:rPr>
            </m:ctrlPr>
          </m:dPr>
          <m:e>
            <m:f>
              <m:fPr>
                <m:ctrlPr>
                  <w:rPr>
                    <w:rFonts w:ascii="Cambria Math" w:hAnsi="Cambria Math"/>
                  </w:rPr>
                </m:ctrlPr>
              </m:fPr>
              <m:num>
                <m:r>
                  <m:rPr>
                    <m:sty m:val="p"/>
                  </m:rPr>
                  <w:rPr>
                    <w:rFonts w:ascii="Cambria Math" w:hAnsi="Cambria Math"/>
                  </w:rPr>
                  <m:t>B</m:t>
                </m:r>
                <m:ctrlPr>
                  <w:rPr>
                    <w:rFonts w:ascii="Cambria Math" w:hAnsi="Cambria Math"/>
                  </w:rPr>
                </m:ctrlPr>
              </m:num>
              <m:den>
                <m:r>
                  <m:rPr>
                    <m:sty m:val="p"/>
                  </m:rPr>
                  <w:rPr>
                    <w:rFonts w:ascii="Cambria Math" w:hAnsi="Cambria Math"/>
                  </w:rPr>
                  <m:t>3</m:t>
                </m:r>
                <m:ctrlPr>
                  <w:rPr>
                    <w:rFonts w:ascii="Cambria Math" w:hAnsi="Cambria Math"/>
                  </w:rPr>
                </m:ctrlPr>
              </m:den>
            </m:f>
            <m:ctrlPr>
              <w:rPr>
                <w:rFonts w:ascii="Cambria Math" w:hAnsi="Cambria Math"/>
              </w:rPr>
            </m:ctrlPr>
          </m:e>
        </m:d>
        <m:r>
          <m:rPr/>
          <w:rPr>
            <w:rFonts w:ascii="Cambria Math" w:hAnsi="Cambria Math"/>
          </w:rPr>
          <m:t>×</m:t>
        </m:r>
        <m:d>
          <m:dPr>
            <m:ctrlPr>
              <w:rPr>
                <w:rFonts w:ascii="Cambria Math" w:hAnsi="Cambria Math"/>
              </w:rPr>
            </m:ctrlPr>
          </m:dPr>
          <m:e>
            <m:f>
              <m:fPr>
                <m:ctrlPr>
                  <w:rPr>
                    <w:rFonts w:ascii="Cambria Math" w:hAnsi="Cambria Math"/>
                  </w:rPr>
                </m:ctrlPr>
              </m:fPr>
              <m:num>
                <m:sSub>
                  <m:sSubPr>
                    <m:ctrlPr>
                      <w:rPr>
                        <w:rFonts w:ascii="Cambria Math" w:hAnsi="Cambria Math"/>
                      </w:rPr>
                    </m:ctrlPr>
                  </m:sSubPr>
                  <m:e>
                    <m:r>
                      <m:rPr>
                        <m:sty m:val="p"/>
                      </m:rPr>
                      <w:rPr>
                        <w:rFonts w:ascii="Cambria Math" w:hAnsi="Cambria Math"/>
                      </w:rPr>
                      <m:t>R</m:t>
                    </m:r>
                    <m:ctrlPr>
                      <w:rPr>
                        <w:rFonts w:ascii="Cambria Math" w:hAnsi="Cambria Math"/>
                      </w:rPr>
                    </m:ctrlPr>
                  </m:e>
                  <m:sub>
                    <m:r>
                      <m:rPr>
                        <m:sty m:val="p"/>
                      </m:rPr>
                      <w:rPr>
                        <w:rFonts w:ascii="Cambria Math" w:hAnsi="Cambria Math"/>
                      </w:rPr>
                      <m:t>P0.2</m:t>
                    </m:r>
                    <m:ctrlPr>
                      <w:rPr>
                        <w:rFonts w:ascii="Cambria Math" w:hAnsi="Cambria Math"/>
                      </w:rPr>
                    </m:ctrlPr>
                  </m:sub>
                </m:sSub>
                <m:ctrlPr>
                  <w:rPr>
                    <w:rFonts w:ascii="Cambria Math" w:hAnsi="Cambria Math"/>
                  </w:rPr>
                </m:ctrlPr>
              </m:num>
              <m:den>
                <m:sSub>
                  <m:sSubPr>
                    <m:ctrlPr>
                      <w:rPr>
                        <w:rFonts w:ascii="Cambria Math" w:hAnsi="Cambria Math"/>
                      </w:rPr>
                    </m:ctrlPr>
                  </m:sSubPr>
                  <m:e>
                    <m:r>
                      <m:rPr>
                        <m:sty m:val="p"/>
                      </m:rPr>
                      <w:rPr>
                        <w:rFonts w:ascii="Cambria Math" w:hAnsi="Cambria Math"/>
                      </w:rPr>
                      <m:t>R</m:t>
                    </m:r>
                    <m:ctrlPr>
                      <w:rPr>
                        <w:rFonts w:ascii="Cambria Math" w:hAnsi="Cambria Math"/>
                      </w:rPr>
                    </m:ctrlPr>
                  </m:e>
                  <m:sub>
                    <m:r>
                      <m:rPr>
                        <m:sty m:val="p"/>
                      </m:rPr>
                      <w:rPr>
                        <w:rFonts w:ascii="Cambria Math" w:hAnsi="Cambria Math"/>
                      </w:rPr>
                      <m:t>P0.2a</m:t>
                    </m:r>
                    <m:ctrlPr>
                      <w:rPr>
                        <w:rFonts w:ascii="Cambria Math" w:hAnsi="Cambria Math"/>
                      </w:rPr>
                    </m:ctrlPr>
                  </m:sub>
                </m:sSub>
                <m:ctrlPr>
                  <w:rPr>
                    <w:rFonts w:ascii="Cambria Math" w:hAnsi="Cambria Math"/>
                  </w:rPr>
                </m:ctrlPr>
              </m:den>
            </m:f>
            <m:ctrlPr>
              <w:rPr>
                <w:rFonts w:ascii="Cambria Math" w:hAnsi="Cambria Math"/>
              </w:rPr>
            </m:ctrlPr>
          </m:e>
        </m:d>
      </m:oMath>
      <w:bookmarkStart w:id="53" w:name="OLE_LINK50"/>
      <w:bookmarkStart w:id="54" w:name="OLE_LINK51"/>
      <w:r>
        <w:rPr>
          <w:color w:val="000000"/>
        </w:rPr>
        <w:t>·······················································</w:t>
      </w:r>
      <w:r>
        <w:t>(2)</w:t>
      </w:r>
      <w:bookmarkEnd w:id="53"/>
      <w:bookmarkEnd w:id="54"/>
    </w:p>
    <w:p>
      <w:pPr>
        <w:ind w:firstLine="420" w:firstLineChars="200"/>
        <w:rPr>
          <w:color w:val="000000"/>
        </w:rPr>
      </w:pPr>
      <w:r>
        <w:rPr>
          <w:color w:val="000000"/>
        </w:rPr>
        <w:t>式中：</w:t>
      </w:r>
    </w:p>
    <w:p>
      <w:pPr>
        <w:ind w:firstLine="420" w:firstLineChars="200"/>
        <w:rPr>
          <w:color w:val="000000"/>
        </w:rPr>
      </w:pPr>
      <w:r>
        <w:rPr>
          <w:i/>
          <w:iCs/>
          <w:color w:val="000000"/>
        </w:rPr>
        <w:t>F</w:t>
      </w:r>
      <w:r>
        <w:rPr>
          <w:color w:val="000000"/>
        </w:rPr>
        <w:t>——由于设计温度而引起强度变化的调整系数；</w:t>
      </w:r>
    </w:p>
    <w:p>
      <w:pPr>
        <w:ind w:firstLine="420" w:firstLineChars="200"/>
        <w:rPr>
          <w:color w:val="000000"/>
        </w:rPr>
      </w:pPr>
      <w:r>
        <w:rPr>
          <w:i/>
          <w:iCs/>
          <w:color w:val="000000"/>
        </w:rPr>
        <w:t>B</w:t>
      </w:r>
      <w:r>
        <w:rPr>
          <w:color w:val="000000"/>
        </w:rPr>
        <w:t>——最小失稳压力，</w:t>
      </w:r>
      <w:r>
        <w:rPr>
          <w:rFonts w:hint="eastAsia"/>
          <w:color w:val="000000"/>
        </w:rPr>
        <w:t>单位为兆帕（</w:t>
      </w:r>
      <w:r>
        <w:rPr>
          <w:color w:val="000000"/>
        </w:rPr>
        <w:t>MPa</w:t>
      </w:r>
      <w:r>
        <w:rPr>
          <w:rFonts w:hint="eastAsia"/>
          <w:color w:val="000000"/>
        </w:rPr>
        <w:t>）</w:t>
      </w:r>
      <w:r>
        <w:rPr>
          <w:color w:val="000000"/>
        </w:rPr>
        <w:t>;</w:t>
      </w:r>
    </w:p>
    <w:p>
      <w:pPr>
        <w:ind w:firstLine="420" w:firstLineChars="200"/>
        <w:rPr>
          <w:color w:val="000000"/>
        </w:rPr>
      </w:pPr>
      <w:r>
        <w:rPr>
          <w:i/>
          <w:iCs/>
          <w:color w:val="000000"/>
        </w:rPr>
        <w:t>R</w:t>
      </w:r>
      <w:r>
        <w:rPr>
          <w:color w:val="000000"/>
          <w:vertAlign w:val="subscript"/>
        </w:rPr>
        <w:t>p0.2</w:t>
      </w:r>
      <w:r>
        <w:rPr>
          <w:color w:val="000000"/>
        </w:rPr>
        <w:t>——室温下规定的管子最低规定塑性延伸强度，</w:t>
      </w:r>
      <w:r>
        <w:rPr>
          <w:rFonts w:hint="eastAsia"/>
          <w:color w:val="000000"/>
        </w:rPr>
        <w:t>单位为兆帕（</w:t>
      </w:r>
      <w:r>
        <w:rPr>
          <w:color w:val="000000"/>
        </w:rPr>
        <w:t>MPa</w:t>
      </w:r>
      <w:r>
        <w:rPr>
          <w:rFonts w:hint="eastAsia"/>
          <w:color w:val="000000"/>
        </w:rPr>
        <w:t>）；</w:t>
      </w:r>
    </w:p>
    <w:p>
      <w:pPr>
        <w:ind w:firstLine="420" w:firstLineChars="200"/>
        <w:rPr>
          <w:color w:val="000000"/>
        </w:rPr>
      </w:pPr>
      <w:r>
        <w:rPr>
          <w:i/>
          <w:iCs/>
          <w:color w:val="000000"/>
        </w:rPr>
        <w:t>R</w:t>
      </w:r>
      <w:r>
        <w:rPr>
          <w:color w:val="000000"/>
          <w:vertAlign w:val="subscript"/>
        </w:rPr>
        <w:t>p0.2a</w:t>
      </w:r>
      <w:r>
        <w:rPr>
          <w:color w:val="000000"/>
        </w:rPr>
        <w:t>——由三个无翅片管段试样在室温下试验实测的</w:t>
      </w:r>
      <w:bookmarkStart w:id="55" w:name="_Hlk151392897"/>
      <w:r>
        <w:rPr>
          <w:color w:val="000000"/>
        </w:rPr>
        <w:t>规定塑性延伸强度</w:t>
      </w:r>
      <w:bookmarkEnd w:id="55"/>
      <w:r>
        <w:rPr>
          <w:color w:val="000000"/>
        </w:rPr>
        <w:t>的平均值，</w:t>
      </w:r>
      <w:r>
        <w:rPr>
          <w:rFonts w:hint="eastAsia"/>
          <w:color w:val="000000"/>
        </w:rPr>
        <w:t>单位为兆帕（</w:t>
      </w:r>
      <w:r>
        <w:rPr>
          <w:color w:val="000000"/>
        </w:rPr>
        <w:t>MPa</w:t>
      </w:r>
      <w:r>
        <w:rPr>
          <w:rFonts w:hint="eastAsia"/>
          <w:color w:val="000000"/>
        </w:rPr>
        <w:t>）。</w:t>
      </w:r>
    </w:p>
    <w:p>
      <w:pPr>
        <w:ind w:firstLine="420" w:firstLineChars="200"/>
        <w:rPr>
          <w:color w:val="000000"/>
        </w:rPr>
      </w:pPr>
      <w:r>
        <w:rPr>
          <w:color w:val="000000"/>
        </w:rPr>
        <w:t>公式</w:t>
      </w:r>
      <w:r>
        <w:rPr>
          <w:rFonts w:hint="eastAsia"/>
          <w:color w:val="000000"/>
        </w:rPr>
        <w:t>2中</w:t>
      </w:r>
      <m:oMath>
        <m:r>
          <m:rPr/>
          <w:rPr>
            <w:rFonts w:ascii="Cambria Math" w:hAnsi="Cambria Math"/>
            <w:color w:val="000000"/>
          </w:rPr>
          <m:t>F</m:t>
        </m:r>
      </m:oMath>
      <w:r>
        <w:rPr>
          <w:color w:val="000000"/>
        </w:rPr>
        <w:t>应按公式</w:t>
      </w:r>
      <w:r>
        <w:rPr>
          <w:rFonts w:hint="eastAsia"/>
          <w:color w:val="000000"/>
        </w:rPr>
        <w:t>3确定：</w:t>
      </w:r>
    </w:p>
    <w:p>
      <w:pPr>
        <w:ind w:firstLine="420" w:firstLineChars="200"/>
        <w:rPr>
          <w:color w:val="000000"/>
        </w:rPr>
      </w:pPr>
      <w:r>
        <w:rPr>
          <w:rFonts w:hint="eastAsia"/>
          <w:color w:val="000000"/>
        </w:rPr>
        <w:t xml:space="preserve">                               </w:t>
      </w:r>
      <m:oMath>
        <m:r>
          <m:rPr/>
          <w:rPr>
            <w:rFonts w:ascii="Cambria Math" w:hAnsi="Cambria Math"/>
            <w:color w:val="000000"/>
          </w:rPr>
          <m:t>F=</m:t>
        </m:r>
        <m:f>
          <m:fPr>
            <m:ctrlPr>
              <w:rPr>
                <w:rFonts w:ascii="Cambria Math" w:hAnsi="Cambria Math"/>
                <w:i/>
                <w:color w:val="000000"/>
              </w:rPr>
            </m:ctrlPr>
          </m:fPr>
          <m:num>
            <m:sSup>
              <m:sSupPr>
                <m:ctrlPr>
                  <w:rPr>
                    <w:rFonts w:ascii="Cambria Math" w:hAnsi="Cambria Math"/>
                    <w:i/>
                    <w:color w:val="000000"/>
                  </w:rPr>
                </m:ctrlPr>
              </m:sSupPr>
              <m:e>
                <m:d>
                  <m:dPr>
                    <m:begChr m:val="["/>
                    <m:endChr m:val="]"/>
                    <m:ctrlPr>
                      <w:rPr>
                        <w:rFonts w:ascii="Cambria Math" w:hAnsi="Cambria Math"/>
                        <w:i/>
                        <w:color w:val="000000"/>
                      </w:rPr>
                    </m:ctrlPr>
                  </m:dPr>
                  <m:e>
                    <m:r>
                      <m:rPr>
                        <m:sty m:val="p"/>
                      </m:rPr>
                      <w:rPr>
                        <w:rFonts w:ascii="Cambria Math" w:hAnsi="Cambria Math"/>
                        <w:color w:val="000000"/>
                      </w:rPr>
                      <m:t>σ</m:t>
                    </m:r>
                    <m:ctrlPr>
                      <w:rPr>
                        <w:rFonts w:ascii="Cambria Math" w:hAnsi="Cambria Math"/>
                        <w:i/>
                        <w:color w:val="000000"/>
                      </w:rPr>
                    </m:ctrlPr>
                  </m:e>
                </m:d>
                <m:ctrlPr>
                  <w:rPr>
                    <w:rFonts w:ascii="Cambria Math" w:hAnsi="Cambria Math"/>
                    <w:i/>
                    <w:color w:val="000000"/>
                  </w:rPr>
                </m:ctrlPr>
              </m:e>
              <m:sup>
                <m:r>
                  <m:rPr/>
                  <w:rPr>
                    <w:rFonts w:ascii="Cambria Math" w:hAnsi="Cambria Math"/>
                    <w:color w:val="000000"/>
                  </w:rPr>
                  <m:t>1</m:t>
                </m:r>
                <m:ctrlPr>
                  <w:rPr>
                    <w:rFonts w:ascii="Cambria Math" w:hAnsi="Cambria Math"/>
                    <w:i/>
                    <w:color w:val="000000"/>
                  </w:rPr>
                </m:ctrlPr>
              </m:sup>
            </m:sSup>
            <m:ctrlPr>
              <w:rPr>
                <w:rFonts w:ascii="Cambria Math" w:hAnsi="Cambria Math"/>
                <w:i/>
                <w:color w:val="000000"/>
              </w:rPr>
            </m:ctrlPr>
          </m:num>
          <m:den>
            <m:d>
              <m:dPr>
                <m:begChr m:val="["/>
                <m:endChr m:val="]"/>
                <m:ctrlPr>
                  <w:rPr>
                    <w:rFonts w:ascii="Cambria Math" w:hAnsi="Cambria Math"/>
                    <w:i/>
                    <w:color w:val="000000"/>
                  </w:rPr>
                </m:ctrlPr>
              </m:dPr>
              <m:e>
                <m:r>
                  <m:rPr>
                    <m:sty m:val="p"/>
                  </m:rPr>
                  <w:rPr>
                    <w:rFonts w:ascii="Cambria Math" w:hAnsi="Cambria Math"/>
                    <w:color w:val="000000"/>
                  </w:rPr>
                  <m:t>σ</m:t>
                </m:r>
                <m:ctrlPr>
                  <w:rPr>
                    <w:rFonts w:ascii="Cambria Math" w:hAnsi="Cambria Math"/>
                    <w:i/>
                    <w:color w:val="000000"/>
                  </w:rPr>
                </m:ctrlPr>
              </m:e>
            </m:d>
            <m:ctrlPr>
              <w:rPr>
                <w:rFonts w:ascii="Cambria Math" w:hAnsi="Cambria Math"/>
                <w:i/>
                <w:color w:val="000000"/>
              </w:rPr>
            </m:ctrlPr>
          </m:den>
        </m:f>
      </m:oMath>
      <w:r>
        <w:rPr>
          <w:color w:val="000000"/>
        </w:rPr>
        <w:t>············</w:t>
      </w:r>
      <w:bookmarkStart w:id="56" w:name="OLE_LINK53"/>
      <w:bookmarkStart w:id="57" w:name="OLE_LINK52"/>
      <w:r>
        <w:rPr>
          <w:color w:val="000000"/>
        </w:rPr>
        <w:t>··</w:t>
      </w:r>
      <w:bookmarkEnd w:id="56"/>
      <w:bookmarkEnd w:id="57"/>
      <w:r>
        <w:rPr>
          <w:color w:val="000000"/>
        </w:rPr>
        <w:t>································</w:t>
      </w:r>
      <w:bookmarkStart w:id="58" w:name="OLE_LINK54"/>
      <w:bookmarkStart w:id="59" w:name="OLE_LINK55"/>
      <w:r>
        <w:rPr>
          <w:color w:val="000000"/>
        </w:rPr>
        <w:t>··</w:t>
      </w:r>
      <w:bookmarkEnd w:id="58"/>
      <w:bookmarkEnd w:id="59"/>
      <w:r>
        <w:rPr>
          <w:color w:val="000000"/>
        </w:rPr>
        <w:t>·············</w:t>
      </w:r>
      <w:r>
        <w:t>(</w:t>
      </w:r>
      <w:r>
        <w:rPr>
          <w:rFonts w:hint="eastAsia"/>
        </w:rPr>
        <w:t>3</w:t>
      </w:r>
      <w:r>
        <w:t>)</w:t>
      </w:r>
    </w:p>
    <w:p>
      <w:pPr>
        <w:ind w:firstLine="420" w:firstLineChars="200"/>
        <w:rPr>
          <w:color w:val="000000"/>
        </w:rPr>
      </w:pPr>
      <w:r>
        <w:rPr>
          <w:rFonts w:hint="eastAsia"/>
          <w:color w:val="000000"/>
        </w:rPr>
        <w:t>式中：</w:t>
      </w:r>
    </w:p>
    <w:p>
      <w:pPr>
        <w:ind w:firstLine="420" w:firstLineChars="200"/>
        <w:rPr>
          <w:color w:val="000000"/>
        </w:rPr>
      </w:pPr>
      <w:r>
        <w:rPr>
          <w:color w:val="000000"/>
        </w:rPr>
        <w:t>[σ]</w:t>
      </w:r>
      <w:r>
        <w:rPr>
          <w:color w:val="000000"/>
          <w:vertAlign w:val="superscript"/>
        </w:rPr>
        <w:t>1</w:t>
      </w:r>
      <w:r>
        <w:rPr>
          <w:color w:val="000000"/>
        </w:rPr>
        <w:t>——设计温度下管子材料的许用应力，按表</w:t>
      </w:r>
      <w:r>
        <w:rPr>
          <w:rFonts w:hint="eastAsia"/>
          <w:color w:val="000000"/>
        </w:rPr>
        <w:t>7</w:t>
      </w:r>
      <w:r>
        <w:rPr>
          <w:color w:val="000000"/>
        </w:rPr>
        <w:t>选取，但不得超过[σ]，</w:t>
      </w:r>
      <w:r>
        <w:rPr>
          <w:rFonts w:hint="eastAsia"/>
          <w:color w:val="000000"/>
        </w:rPr>
        <w:t>单位为兆帕（</w:t>
      </w:r>
      <w:r>
        <w:rPr>
          <w:color w:val="000000"/>
        </w:rPr>
        <w:t>MPa</w:t>
      </w:r>
      <w:r>
        <w:rPr>
          <w:rFonts w:hint="eastAsia"/>
          <w:color w:val="000000"/>
        </w:rPr>
        <w:t>）</w:t>
      </w:r>
      <w:r>
        <w:rPr>
          <w:color w:val="000000"/>
        </w:rPr>
        <w:t>;</w:t>
      </w:r>
    </w:p>
    <w:p>
      <w:pPr>
        <w:ind w:firstLine="420" w:firstLineChars="200"/>
        <w:rPr>
          <w:color w:val="000000"/>
        </w:rPr>
      </w:pPr>
      <w:r>
        <w:rPr>
          <w:color w:val="000000"/>
        </w:rPr>
        <w:t>[σ]——试验温度下管子材料的许用应力，按表</w:t>
      </w:r>
      <w:r>
        <w:rPr>
          <w:rFonts w:hint="eastAsia"/>
          <w:color w:val="000000"/>
        </w:rPr>
        <w:t>7</w:t>
      </w:r>
      <w:r>
        <w:rPr>
          <w:color w:val="000000"/>
        </w:rPr>
        <w:t>选取，</w:t>
      </w:r>
      <w:r>
        <w:rPr>
          <w:rFonts w:hint="eastAsia"/>
          <w:color w:val="000000"/>
        </w:rPr>
        <w:t>单位为兆帕（</w:t>
      </w:r>
      <w:r>
        <w:rPr>
          <w:color w:val="000000"/>
        </w:rPr>
        <w:t>MPa</w:t>
      </w:r>
      <w:r>
        <w:rPr>
          <w:rFonts w:hint="eastAsia"/>
          <w:color w:val="000000"/>
        </w:rPr>
        <w:t>）。</w:t>
      </w:r>
    </w:p>
    <w:p>
      <w:pPr>
        <w:pStyle w:val="56"/>
        <w:numPr>
          <w:ilvl w:val="1"/>
          <w:numId w:val="5"/>
        </w:numPr>
        <w:ind w:firstLineChars="0"/>
        <w:rPr>
          <w:rFonts w:eastAsia="黑体"/>
          <w:bCs/>
          <w:color w:val="000000"/>
        </w:rPr>
      </w:pPr>
      <w:r>
        <w:rPr>
          <w:rFonts w:eastAsia="黑体"/>
          <w:bCs/>
          <w:color w:val="000000"/>
        </w:rPr>
        <w:t>残余应力</w:t>
      </w:r>
    </w:p>
    <w:p>
      <w:pPr>
        <w:ind w:left="-2" w:leftChars="-1" w:right="-57" w:rightChars="-27" w:firstLine="420" w:firstLineChars="200"/>
        <w:rPr>
          <w:szCs w:val="21"/>
        </w:rPr>
      </w:pPr>
      <w:bookmarkStart w:id="60" w:name="OLE_LINK29"/>
      <w:bookmarkStart w:id="61" w:name="OLE_LINK28"/>
      <w:bookmarkStart w:id="62" w:name="OLE_LINK58"/>
      <w:bookmarkStart w:id="63" w:name="OLE_LINK59"/>
      <w:r>
        <w:rPr>
          <w:szCs w:val="21"/>
        </w:rPr>
        <w:t>牌号为HA177-2、HSn70-1的管材</w:t>
      </w:r>
      <w:bookmarkEnd w:id="60"/>
      <w:bookmarkEnd w:id="61"/>
      <w:r>
        <w:rPr>
          <w:rStyle w:val="42"/>
          <w:sz w:val="21"/>
          <w:szCs w:val="21"/>
        </w:rPr>
        <w:t>应</w:t>
      </w:r>
      <w:r>
        <w:rPr>
          <w:szCs w:val="21"/>
        </w:rPr>
        <w:t>进行</w:t>
      </w:r>
      <w:bookmarkEnd w:id="62"/>
      <w:bookmarkEnd w:id="63"/>
      <w:r>
        <w:rPr>
          <w:szCs w:val="21"/>
        </w:rPr>
        <w:t>去应力退火。</w:t>
      </w:r>
      <w:r>
        <w:rPr>
          <w:rFonts w:hint="eastAsia"/>
          <w:szCs w:val="21"/>
        </w:rPr>
        <w:t>管材在退火后应进行残余应力试验。试验后，管材不应有肉眼可见的裂纹。</w:t>
      </w:r>
    </w:p>
    <w:p>
      <w:pPr>
        <w:pStyle w:val="56"/>
        <w:numPr>
          <w:ilvl w:val="1"/>
          <w:numId w:val="5"/>
        </w:numPr>
        <w:ind w:firstLineChars="0"/>
        <w:rPr>
          <w:rFonts w:eastAsia="黑体"/>
          <w:bCs/>
          <w:color w:val="000000"/>
        </w:rPr>
      </w:pPr>
      <w:r>
        <w:rPr>
          <w:rFonts w:eastAsia="黑体"/>
          <w:bCs/>
          <w:color w:val="000000"/>
        </w:rPr>
        <w:t>晶粒度</w:t>
      </w:r>
    </w:p>
    <w:p>
      <w:pPr>
        <w:ind w:firstLine="420" w:firstLineChars="200"/>
        <w:rPr>
          <w:color w:val="000000"/>
        </w:rPr>
      </w:pPr>
      <w:r>
        <w:rPr>
          <w:color w:val="000000"/>
        </w:rPr>
        <w:t>软化退火态（O60）的管坯晶粒度应在0.01mm~0.05mm之间。</w:t>
      </w:r>
    </w:p>
    <w:p>
      <w:pPr>
        <w:pStyle w:val="56"/>
        <w:numPr>
          <w:ilvl w:val="1"/>
          <w:numId w:val="5"/>
        </w:numPr>
        <w:ind w:firstLineChars="0"/>
        <w:rPr>
          <w:rFonts w:eastAsia="黑体"/>
          <w:bCs/>
          <w:color w:val="000000"/>
        </w:rPr>
      </w:pPr>
      <w:r>
        <w:rPr>
          <w:rFonts w:eastAsia="黑体"/>
          <w:bCs/>
          <w:color w:val="000000"/>
        </w:rPr>
        <w:t>清洁度</w:t>
      </w:r>
    </w:p>
    <w:p>
      <w:pPr>
        <w:ind w:firstLine="420" w:firstLineChars="200"/>
        <w:rPr>
          <w:color w:val="000000"/>
        </w:rPr>
      </w:pPr>
      <w:r>
        <w:rPr>
          <w:color w:val="000000"/>
        </w:rPr>
        <w:t>需方有要求时，管材应进行清洁度的检测。退火管材内、外表面残留污物总量由供需双方协商确定；未退火管材内、外表面残留污物总量应符合表1</w:t>
      </w:r>
      <w:r>
        <w:rPr>
          <w:rFonts w:hint="eastAsia"/>
          <w:color w:val="000000"/>
        </w:rPr>
        <w:t>0</w:t>
      </w:r>
      <w:r>
        <w:rPr>
          <w:color w:val="000000"/>
        </w:rPr>
        <w:t>。</w:t>
      </w:r>
    </w:p>
    <w:p>
      <w:pPr>
        <w:ind w:firstLine="420" w:firstLineChars="200"/>
        <w:rPr>
          <w:color w:val="000000"/>
        </w:rPr>
      </w:pPr>
    </w:p>
    <w:p>
      <w:pPr>
        <w:jc w:val="center"/>
        <w:rPr>
          <w:rFonts w:eastAsia="黑体"/>
          <w:bCs/>
          <w:color w:val="000000"/>
        </w:rPr>
      </w:pPr>
      <w:r>
        <w:rPr>
          <w:rFonts w:eastAsia="黑体"/>
          <w:bCs/>
          <w:color w:val="000000"/>
        </w:rPr>
        <w:t>表1</w:t>
      </w:r>
      <w:r>
        <w:rPr>
          <w:rFonts w:hint="eastAsia" w:eastAsia="黑体"/>
          <w:bCs/>
          <w:color w:val="000000"/>
        </w:rPr>
        <w:t>0</w:t>
      </w:r>
      <w:r>
        <w:rPr>
          <w:rFonts w:eastAsia="黑体"/>
          <w:bCs/>
          <w:color w:val="000000"/>
        </w:rPr>
        <w:t xml:space="preserve">  未退火管材清洁度</w:t>
      </w:r>
    </w:p>
    <w:tbl>
      <w:tblPr>
        <w:tblStyle w:val="16"/>
        <w:tblW w:w="9246" w:type="dxa"/>
        <w:tblInd w:w="13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554"/>
        <w:gridCol w:w="469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3" w:hRule="atLeast"/>
        </w:trPr>
        <w:tc>
          <w:tcPr>
            <w:tcW w:w="4554" w:type="dxa"/>
            <w:tcBorders>
              <w:top w:val="single" w:color="auto" w:sz="8" w:space="0"/>
              <w:left w:val="single" w:color="auto" w:sz="8" w:space="0"/>
              <w:bottom w:val="single" w:color="auto" w:sz="8" w:space="0"/>
            </w:tcBorders>
          </w:tcPr>
          <w:p>
            <w:pPr>
              <w:jc w:val="center"/>
              <w:rPr>
                <w:color w:val="000000"/>
                <w:sz w:val="18"/>
                <w:szCs w:val="18"/>
              </w:rPr>
            </w:pPr>
            <w:r>
              <w:rPr>
                <w:color w:val="000000"/>
                <w:sz w:val="18"/>
                <w:szCs w:val="18"/>
              </w:rPr>
              <w:t>外径</w:t>
            </w:r>
          </w:p>
          <w:p>
            <w:pPr>
              <w:jc w:val="center"/>
              <w:rPr>
                <w:color w:val="000000"/>
                <w:sz w:val="18"/>
                <w:szCs w:val="18"/>
              </w:rPr>
            </w:pPr>
            <w:r>
              <w:rPr>
                <w:rFonts w:hint="eastAsia"/>
                <w:color w:val="000000"/>
                <w:sz w:val="18"/>
                <w:szCs w:val="18"/>
              </w:rPr>
              <w:t>m</w:t>
            </w:r>
            <w:r>
              <w:rPr>
                <w:color w:val="000000"/>
                <w:sz w:val="18"/>
                <w:szCs w:val="18"/>
              </w:rPr>
              <w:t>m</w:t>
            </w:r>
          </w:p>
        </w:tc>
        <w:tc>
          <w:tcPr>
            <w:tcW w:w="4692" w:type="dxa"/>
            <w:tcBorders>
              <w:top w:val="single" w:color="auto" w:sz="8" w:space="0"/>
              <w:bottom w:val="single" w:color="auto" w:sz="8" w:space="0"/>
              <w:right w:val="single" w:color="auto" w:sz="8" w:space="0"/>
            </w:tcBorders>
          </w:tcPr>
          <w:p>
            <w:pPr>
              <w:jc w:val="center"/>
              <w:rPr>
                <w:color w:val="000000"/>
                <w:sz w:val="18"/>
                <w:szCs w:val="18"/>
              </w:rPr>
            </w:pPr>
            <w:r>
              <w:rPr>
                <w:color w:val="000000"/>
                <w:sz w:val="18"/>
                <w:szCs w:val="18"/>
              </w:rPr>
              <w:t>内、外表面残留污物总量</w:t>
            </w:r>
          </w:p>
          <w:p>
            <w:pPr>
              <w:jc w:val="center"/>
              <w:rPr>
                <w:color w:val="000000"/>
                <w:sz w:val="18"/>
                <w:szCs w:val="18"/>
              </w:rPr>
            </w:pPr>
            <w:r>
              <w:rPr>
                <w:color w:val="000000"/>
                <w:sz w:val="18"/>
                <w:szCs w:val="18"/>
              </w:rPr>
              <w:t>g/m</w:t>
            </w:r>
            <w:r>
              <w:rPr>
                <w:color w:val="000000"/>
                <w:sz w:val="18"/>
                <w:szCs w:val="18"/>
                <w:vertAlign w:val="superscript"/>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5" w:hRule="atLeast"/>
        </w:trPr>
        <w:tc>
          <w:tcPr>
            <w:tcW w:w="4554" w:type="dxa"/>
            <w:tcBorders>
              <w:top w:val="single" w:color="auto" w:sz="8" w:space="0"/>
              <w:left w:val="single" w:color="auto" w:sz="8" w:space="0"/>
            </w:tcBorders>
          </w:tcPr>
          <w:p>
            <w:pPr>
              <w:jc w:val="center"/>
              <w:rPr>
                <w:color w:val="000000"/>
                <w:sz w:val="18"/>
                <w:szCs w:val="18"/>
              </w:rPr>
            </w:pPr>
            <w:r>
              <w:rPr>
                <w:rFonts w:hint="eastAsia"/>
                <w:color w:val="000000"/>
                <w:sz w:val="18"/>
                <w:szCs w:val="18"/>
              </w:rPr>
              <w:t>7</w:t>
            </w:r>
            <w:r>
              <w:rPr>
                <w:color w:val="000000"/>
                <w:sz w:val="18"/>
                <w:szCs w:val="18"/>
              </w:rPr>
              <w:t>.0</w:t>
            </w:r>
            <w:r>
              <w:rPr>
                <w:rFonts w:hint="eastAsia"/>
                <w:color w:val="000000"/>
                <w:sz w:val="18"/>
                <w:szCs w:val="18"/>
              </w:rPr>
              <w:t>0</w:t>
            </w:r>
            <w:r>
              <w:rPr>
                <w:color w:val="000000"/>
                <w:sz w:val="18"/>
                <w:szCs w:val="18"/>
              </w:rPr>
              <w:t>~16.0</w:t>
            </w:r>
            <w:r>
              <w:rPr>
                <w:rFonts w:hint="eastAsia"/>
                <w:color w:val="000000"/>
                <w:sz w:val="18"/>
                <w:szCs w:val="18"/>
              </w:rPr>
              <w:t>0</w:t>
            </w:r>
          </w:p>
        </w:tc>
        <w:tc>
          <w:tcPr>
            <w:tcW w:w="4692" w:type="dxa"/>
            <w:tcBorders>
              <w:top w:val="single" w:color="auto" w:sz="8" w:space="0"/>
              <w:right w:val="single" w:color="auto" w:sz="8" w:space="0"/>
            </w:tcBorders>
          </w:tcPr>
          <w:p>
            <w:pPr>
              <w:jc w:val="center"/>
              <w:rPr>
                <w:color w:val="000000"/>
                <w:sz w:val="18"/>
                <w:szCs w:val="18"/>
              </w:rPr>
            </w:pPr>
            <w:r>
              <w:rPr>
                <w:rFonts w:hint="eastAsia" w:ascii="宋体" w:hAnsi="宋体" w:cs="宋体"/>
                <w:color w:val="000000"/>
                <w:sz w:val="18"/>
                <w:szCs w:val="18"/>
              </w:rPr>
              <w:t>≤</w:t>
            </w:r>
            <w:r>
              <w:rPr>
                <w:color w:val="000000"/>
                <w:sz w:val="18"/>
                <w:szCs w:val="18"/>
              </w:rPr>
              <w:t>0.25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trPr>
        <w:tc>
          <w:tcPr>
            <w:tcW w:w="4554" w:type="dxa"/>
            <w:tcBorders>
              <w:left w:val="single" w:color="auto" w:sz="8" w:space="0"/>
              <w:bottom w:val="single" w:color="auto" w:sz="8" w:space="0"/>
            </w:tcBorders>
          </w:tcPr>
          <w:p>
            <w:pPr>
              <w:jc w:val="center"/>
              <w:rPr>
                <w:color w:val="000000"/>
                <w:sz w:val="18"/>
                <w:szCs w:val="18"/>
              </w:rPr>
            </w:pPr>
            <w:r>
              <w:rPr>
                <w:color w:val="000000"/>
                <w:sz w:val="18"/>
                <w:szCs w:val="18"/>
              </w:rPr>
              <w:t>＞16.0</w:t>
            </w:r>
            <w:r>
              <w:rPr>
                <w:rFonts w:hint="eastAsia"/>
                <w:color w:val="000000"/>
                <w:sz w:val="18"/>
                <w:szCs w:val="18"/>
              </w:rPr>
              <w:t>0</w:t>
            </w:r>
            <w:r>
              <w:rPr>
                <w:color w:val="000000"/>
                <w:sz w:val="18"/>
                <w:szCs w:val="18"/>
              </w:rPr>
              <w:t>~30.0</w:t>
            </w:r>
            <w:r>
              <w:rPr>
                <w:rFonts w:hint="eastAsia"/>
                <w:color w:val="000000"/>
                <w:sz w:val="18"/>
                <w:szCs w:val="18"/>
              </w:rPr>
              <w:t>0</w:t>
            </w:r>
          </w:p>
        </w:tc>
        <w:tc>
          <w:tcPr>
            <w:tcW w:w="4692" w:type="dxa"/>
            <w:tcBorders>
              <w:bottom w:val="single" w:color="auto" w:sz="8" w:space="0"/>
              <w:right w:val="single" w:color="auto" w:sz="8" w:space="0"/>
            </w:tcBorders>
          </w:tcPr>
          <w:p>
            <w:pPr>
              <w:jc w:val="center"/>
              <w:rPr>
                <w:color w:val="000000"/>
                <w:sz w:val="18"/>
                <w:szCs w:val="18"/>
              </w:rPr>
            </w:pPr>
            <w:r>
              <w:rPr>
                <w:rFonts w:hint="eastAsia" w:ascii="宋体" w:hAnsi="宋体" w:cs="宋体"/>
                <w:color w:val="000000"/>
                <w:sz w:val="18"/>
                <w:szCs w:val="18"/>
              </w:rPr>
              <w:t>≤</w:t>
            </w:r>
            <w:r>
              <w:rPr>
                <w:color w:val="000000"/>
                <w:sz w:val="18"/>
                <w:szCs w:val="18"/>
              </w:rPr>
              <w:t>0.32</w:t>
            </w:r>
          </w:p>
        </w:tc>
      </w:tr>
    </w:tbl>
    <w:p>
      <w:pPr>
        <w:pStyle w:val="56"/>
        <w:numPr>
          <w:ilvl w:val="1"/>
          <w:numId w:val="5"/>
        </w:numPr>
        <w:ind w:firstLineChars="0"/>
        <w:rPr>
          <w:rFonts w:eastAsia="黑体"/>
          <w:bCs/>
          <w:color w:val="000000"/>
        </w:rPr>
      </w:pPr>
      <w:r>
        <w:rPr>
          <w:rFonts w:eastAsia="黑体"/>
          <w:bCs/>
          <w:color w:val="000000"/>
        </w:rPr>
        <w:t>热工性能</w:t>
      </w:r>
    </w:p>
    <w:p>
      <w:pPr>
        <w:ind w:firstLine="420" w:firstLineChars="200"/>
        <w:rPr>
          <w:color w:val="000000"/>
        </w:rPr>
      </w:pPr>
      <w:r>
        <w:rPr>
          <w:color w:val="000000"/>
        </w:rPr>
        <w:t>管材指定工况下的总换热性能和管内水阻等热工性能由供、需双方协商确定，需方要求时提供。</w:t>
      </w:r>
    </w:p>
    <w:p>
      <w:pPr>
        <w:pStyle w:val="56"/>
        <w:numPr>
          <w:ilvl w:val="1"/>
          <w:numId w:val="5"/>
        </w:numPr>
        <w:ind w:firstLineChars="0"/>
        <w:rPr>
          <w:rFonts w:eastAsia="黑体"/>
          <w:bCs/>
          <w:color w:val="000000"/>
        </w:rPr>
      </w:pPr>
      <w:r>
        <w:rPr>
          <w:rFonts w:eastAsia="黑体"/>
          <w:bCs/>
          <w:color w:val="000000"/>
        </w:rPr>
        <w:t>表面质量</w:t>
      </w:r>
    </w:p>
    <w:p>
      <w:pPr>
        <w:pStyle w:val="56"/>
        <w:numPr>
          <w:ilvl w:val="2"/>
          <w:numId w:val="13"/>
        </w:numPr>
        <w:ind w:firstLineChars="0"/>
        <w:rPr>
          <w:color w:val="000000"/>
        </w:rPr>
      </w:pPr>
      <w:r>
        <w:rPr>
          <w:color w:val="000000"/>
        </w:rPr>
        <w:t>管材的内、外表面应清洁。</w:t>
      </w:r>
      <w:r>
        <w:t>允许</w:t>
      </w:r>
      <w:r>
        <w:rPr>
          <w:color w:val="000000"/>
        </w:rPr>
        <w:t>有不造成管材外径和壁厚超出</w:t>
      </w:r>
      <w:r>
        <w:rPr>
          <w:rFonts w:hint="eastAsia"/>
          <w:color w:val="000000"/>
        </w:rPr>
        <w:t>其</w:t>
      </w:r>
      <w:r>
        <w:t>允许</w:t>
      </w:r>
      <w:r>
        <w:rPr>
          <w:color w:val="000000"/>
        </w:rPr>
        <w:t>偏差的划伤、凹坑、压入物、环状痕等缺陷。</w:t>
      </w:r>
    </w:p>
    <w:p>
      <w:pPr>
        <w:pStyle w:val="56"/>
        <w:numPr>
          <w:ilvl w:val="2"/>
          <w:numId w:val="13"/>
        </w:numPr>
        <w:ind w:firstLineChars="0"/>
        <w:rPr>
          <w:b/>
          <w:color w:val="000000"/>
        </w:rPr>
      </w:pPr>
      <w:r>
        <w:rPr>
          <w:color w:val="000000"/>
        </w:rPr>
        <w:t>管材表面上</w:t>
      </w:r>
      <w:r>
        <w:t>允许</w:t>
      </w:r>
      <w:r>
        <w:rPr>
          <w:color w:val="000000"/>
        </w:rPr>
        <w:t>有轻微加工润滑油膜、轻微的氧化色、发暗。</w:t>
      </w:r>
    </w:p>
    <w:p>
      <w:pPr>
        <w:rPr>
          <w:rFonts w:eastAsia="黑体"/>
          <w:bCs/>
          <w:color w:val="000000"/>
        </w:rPr>
      </w:pPr>
    </w:p>
    <w:p>
      <w:pPr>
        <w:pStyle w:val="56"/>
        <w:numPr>
          <w:ilvl w:val="0"/>
          <w:numId w:val="2"/>
        </w:numPr>
        <w:ind w:firstLineChars="0"/>
        <w:rPr>
          <w:rFonts w:eastAsia="黑体"/>
          <w:bCs/>
          <w:color w:val="000000"/>
        </w:rPr>
      </w:pPr>
      <w:r>
        <w:rPr>
          <w:rFonts w:eastAsia="黑体"/>
          <w:bCs/>
          <w:color w:val="000000"/>
        </w:rPr>
        <w:t>试验方法</w:t>
      </w:r>
    </w:p>
    <w:p>
      <w:pPr>
        <w:pStyle w:val="56"/>
        <w:numPr>
          <w:ilvl w:val="1"/>
          <w:numId w:val="14"/>
        </w:numPr>
        <w:ind w:firstLineChars="0"/>
        <w:rPr>
          <w:rFonts w:eastAsia="黑体"/>
          <w:bCs/>
          <w:color w:val="000000"/>
        </w:rPr>
      </w:pPr>
      <w:r>
        <w:rPr>
          <w:rFonts w:eastAsia="黑体"/>
          <w:bCs/>
          <w:color w:val="000000"/>
        </w:rPr>
        <w:t>化学成分</w:t>
      </w:r>
    </w:p>
    <w:p>
      <w:pPr>
        <w:ind w:firstLine="420" w:firstLineChars="200"/>
        <w:rPr>
          <w:color w:val="000000"/>
        </w:rPr>
      </w:pPr>
      <w:r>
        <w:rPr>
          <w:color w:val="000000"/>
        </w:rPr>
        <w:t>管材的化学成分的分析按</w:t>
      </w:r>
      <w:r>
        <w:rPr>
          <w:rFonts w:hint="eastAsia"/>
          <w:color w:val="000000"/>
        </w:rPr>
        <w:t>照</w:t>
      </w:r>
      <w:r>
        <w:rPr>
          <w:color w:val="000000"/>
        </w:rPr>
        <w:t>GB/T 5121</w:t>
      </w:r>
      <w:r>
        <w:rPr>
          <w:rFonts w:hint="eastAsia"/>
          <w:color w:val="000000"/>
        </w:rPr>
        <w:t>（所有部分）</w:t>
      </w:r>
      <w:r>
        <w:rPr>
          <w:color w:val="000000"/>
        </w:rPr>
        <w:t>、YS/T 482或YS/T 483的规定进行，仲裁时</w:t>
      </w:r>
      <w:r>
        <w:rPr>
          <w:rFonts w:hint="eastAsia"/>
          <w:color w:val="000000"/>
        </w:rPr>
        <w:t>采用</w:t>
      </w:r>
      <w:r>
        <w:rPr>
          <w:color w:val="000000"/>
        </w:rPr>
        <w:t>GB/T 5121</w:t>
      </w:r>
      <w:r>
        <w:rPr>
          <w:rFonts w:hint="eastAsia"/>
          <w:color w:val="000000"/>
        </w:rPr>
        <w:t>（所有部分）</w:t>
      </w:r>
      <w:r>
        <w:rPr>
          <w:color w:val="000000"/>
        </w:rPr>
        <w:t>的规定进行。</w:t>
      </w:r>
    </w:p>
    <w:p>
      <w:pPr>
        <w:pStyle w:val="56"/>
        <w:numPr>
          <w:ilvl w:val="1"/>
          <w:numId w:val="14"/>
        </w:numPr>
        <w:ind w:firstLineChars="0"/>
        <w:rPr>
          <w:rFonts w:eastAsia="黑体"/>
          <w:bCs/>
          <w:color w:val="000000"/>
        </w:rPr>
      </w:pPr>
      <w:r>
        <w:rPr>
          <w:rFonts w:eastAsia="黑体"/>
          <w:bCs/>
          <w:color w:val="000000"/>
        </w:rPr>
        <w:t>尺寸</w:t>
      </w:r>
      <w:r>
        <w:rPr>
          <w:rFonts w:hint="eastAsia" w:eastAsia="黑体"/>
          <w:bCs/>
          <w:color w:val="000000"/>
        </w:rPr>
        <w:t>及其允许偏差</w:t>
      </w:r>
    </w:p>
    <w:p>
      <w:pPr>
        <w:ind w:firstLine="420" w:firstLineChars="200"/>
        <w:rPr>
          <w:color w:val="000000"/>
        </w:rPr>
      </w:pPr>
      <w:r>
        <w:rPr>
          <w:color w:val="000000"/>
        </w:rPr>
        <w:t>管材的外形尺寸按</w:t>
      </w:r>
      <w:r>
        <w:rPr>
          <w:rFonts w:hint="eastAsia"/>
          <w:color w:val="000000"/>
        </w:rPr>
        <w:t>照</w:t>
      </w:r>
      <w:r>
        <w:rPr>
          <w:color w:val="000000"/>
        </w:rPr>
        <w:t>GB/T</w:t>
      </w:r>
      <w:r>
        <w:rPr>
          <w:rFonts w:hint="eastAsia"/>
          <w:color w:val="000000"/>
        </w:rPr>
        <w:t xml:space="preserve"> </w:t>
      </w:r>
      <w:r>
        <w:rPr>
          <w:color w:val="000000"/>
        </w:rPr>
        <w:t>26303.1的规定进行，仲裁方法采用GB/T</w:t>
      </w:r>
      <w:r>
        <w:rPr>
          <w:rFonts w:hint="eastAsia"/>
          <w:color w:val="000000"/>
        </w:rPr>
        <w:t xml:space="preserve"> </w:t>
      </w:r>
      <w:r>
        <w:rPr>
          <w:color w:val="000000"/>
        </w:rPr>
        <w:t>26303.1的</w:t>
      </w:r>
      <w:r>
        <w:rPr>
          <w:rFonts w:hint="eastAsia"/>
          <w:color w:val="000000"/>
        </w:rPr>
        <w:t>规定的</w:t>
      </w:r>
      <w:r>
        <w:rPr>
          <w:color w:val="000000"/>
        </w:rPr>
        <w:t>投</w:t>
      </w:r>
      <w:r>
        <w:rPr>
          <w:rFonts w:hint="eastAsia"/>
          <w:color w:val="000000"/>
        </w:rPr>
        <w:t>影</w:t>
      </w:r>
      <w:r>
        <w:rPr>
          <w:color w:val="000000"/>
        </w:rPr>
        <w:t>仪测量方法。</w:t>
      </w:r>
    </w:p>
    <w:p>
      <w:pPr>
        <w:pStyle w:val="56"/>
        <w:numPr>
          <w:ilvl w:val="1"/>
          <w:numId w:val="14"/>
        </w:numPr>
        <w:ind w:firstLineChars="0"/>
        <w:rPr>
          <w:rFonts w:eastAsia="黑体"/>
          <w:bCs/>
          <w:color w:val="000000"/>
        </w:rPr>
      </w:pPr>
      <w:r>
        <w:rPr>
          <w:rFonts w:eastAsia="黑体"/>
          <w:bCs/>
          <w:color w:val="000000"/>
        </w:rPr>
        <w:t>室温力学性能试验方法</w:t>
      </w:r>
    </w:p>
    <w:p>
      <w:pPr>
        <w:rPr>
          <w:color w:val="000000"/>
        </w:rPr>
      </w:pPr>
      <w:r>
        <w:rPr>
          <w:rFonts w:ascii="黑体" w:hAnsi="黑体" w:eastAsia="黑体"/>
          <w:color w:val="000000"/>
        </w:rPr>
        <w:t>6.3.1</w:t>
      </w:r>
      <w:r>
        <w:rPr>
          <w:color w:val="000000"/>
        </w:rPr>
        <w:t>管材的拉伸试验方法按</w:t>
      </w:r>
      <w:r>
        <w:rPr>
          <w:rFonts w:hint="eastAsia"/>
          <w:color w:val="000000"/>
        </w:rPr>
        <w:t>照</w:t>
      </w:r>
      <w:r>
        <w:rPr>
          <w:color w:val="000000"/>
        </w:rPr>
        <w:t>GB/T</w:t>
      </w:r>
      <w:r>
        <w:rPr>
          <w:rFonts w:hint="eastAsia"/>
          <w:color w:val="000000"/>
        </w:rPr>
        <w:t xml:space="preserve"> </w:t>
      </w:r>
      <w:r>
        <w:rPr>
          <w:color w:val="000000"/>
        </w:rPr>
        <w:t>34505的规定进行</w:t>
      </w:r>
      <w:r>
        <w:rPr>
          <w:rFonts w:hint="eastAsia"/>
          <w:color w:val="000000"/>
        </w:rPr>
        <w:t>。</w:t>
      </w:r>
    </w:p>
    <w:p>
      <w:pPr>
        <w:rPr>
          <w:color w:val="000000"/>
        </w:rPr>
      </w:pPr>
      <w:r>
        <w:rPr>
          <w:rFonts w:ascii="黑体" w:hAnsi="黑体" w:eastAsia="黑体"/>
          <w:color w:val="000000"/>
        </w:rPr>
        <w:t>6.3.2</w:t>
      </w:r>
      <w:r>
        <w:rPr>
          <w:color w:val="000000"/>
        </w:rPr>
        <w:t>维氏硬度试验按照GB/T</w:t>
      </w:r>
      <w:r>
        <w:rPr>
          <w:rFonts w:hint="eastAsia"/>
          <w:color w:val="000000"/>
        </w:rPr>
        <w:t xml:space="preserve"> </w:t>
      </w:r>
      <w:r>
        <w:rPr>
          <w:color w:val="000000"/>
        </w:rPr>
        <w:t>4340.1的规定进行。</w:t>
      </w:r>
    </w:p>
    <w:p>
      <w:pPr>
        <w:pStyle w:val="56"/>
        <w:numPr>
          <w:ilvl w:val="1"/>
          <w:numId w:val="14"/>
        </w:numPr>
        <w:ind w:firstLineChars="0"/>
        <w:rPr>
          <w:rFonts w:eastAsia="黑体"/>
          <w:bCs/>
          <w:color w:val="000000"/>
        </w:rPr>
      </w:pPr>
      <w:r>
        <w:rPr>
          <w:rFonts w:eastAsia="黑体"/>
          <w:bCs/>
          <w:color w:val="000000"/>
        </w:rPr>
        <w:t>工艺性能检验方法</w:t>
      </w:r>
    </w:p>
    <w:p>
      <w:pPr>
        <w:pStyle w:val="56"/>
        <w:numPr>
          <w:ilvl w:val="2"/>
          <w:numId w:val="15"/>
        </w:numPr>
        <w:ind w:firstLineChars="0"/>
        <w:rPr>
          <w:color w:val="000000"/>
        </w:rPr>
      </w:pPr>
      <w:r>
        <w:rPr>
          <w:color w:val="000000"/>
        </w:rPr>
        <w:t>管材的扩口检验方法按</w:t>
      </w:r>
      <w:r>
        <w:rPr>
          <w:rFonts w:hint="eastAsia"/>
          <w:color w:val="000000"/>
        </w:rPr>
        <w:t>照</w:t>
      </w:r>
      <w:r>
        <w:rPr>
          <w:color w:val="000000"/>
        </w:rPr>
        <w:t>GB/T</w:t>
      </w:r>
      <w:r>
        <w:rPr>
          <w:rFonts w:hint="eastAsia"/>
          <w:color w:val="000000"/>
        </w:rPr>
        <w:t xml:space="preserve"> </w:t>
      </w:r>
      <w:r>
        <w:rPr>
          <w:color w:val="000000"/>
        </w:rPr>
        <w:t>242的规定进行。</w:t>
      </w:r>
    </w:p>
    <w:p>
      <w:pPr>
        <w:pStyle w:val="56"/>
        <w:numPr>
          <w:ilvl w:val="2"/>
          <w:numId w:val="15"/>
        </w:numPr>
        <w:ind w:firstLineChars="0"/>
        <w:rPr>
          <w:color w:val="000000"/>
        </w:rPr>
      </w:pPr>
      <w:r>
        <w:rPr>
          <w:color w:val="000000"/>
        </w:rPr>
        <w:t>管材的压扁检验方法按</w:t>
      </w:r>
      <w:r>
        <w:rPr>
          <w:rFonts w:hint="eastAsia"/>
          <w:color w:val="000000"/>
        </w:rPr>
        <w:t>照</w:t>
      </w:r>
      <w:r>
        <w:rPr>
          <w:color w:val="000000"/>
        </w:rPr>
        <w:t>GB/T</w:t>
      </w:r>
      <w:r>
        <w:rPr>
          <w:rFonts w:hint="eastAsia"/>
          <w:color w:val="000000"/>
        </w:rPr>
        <w:t xml:space="preserve"> </w:t>
      </w:r>
      <w:r>
        <w:rPr>
          <w:color w:val="000000"/>
        </w:rPr>
        <w:t>246的规定进行。</w:t>
      </w:r>
    </w:p>
    <w:p>
      <w:pPr>
        <w:pStyle w:val="56"/>
        <w:numPr>
          <w:ilvl w:val="1"/>
          <w:numId w:val="14"/>
        </w:numPr>
        <w:ind w:firstLineChars="0"/>
        <w:rPr>
          <w:rFonts w:eastAsia="黑体"/>
          <w:bCs/>
          <w:color w:val="000000"/>
        </w:rPr>
      </w:pPr>
      <w:r>
        <w:rPr>
          <w:rFonts w:eastAsia="黑体"/>
          <w:bCs/>
          <w:color w:val="000000"/>
        </w:rPr>
        <w:t>非破坏性试验方法</w:t>
      </w:r>
    </w:p>
    <w:p>
      <w:pPr>
        <w:pStyle w:val="56"/>
        <w:numPr>
          <w:ilvl w:val="2"/>
          <w:numId w:val="16"/>
        </w:numPr>
        <w:ind w:firstLineChars="0"/>
        <w:rPr>
          <w:color w:val="000000"/>
        </w:rPr>
      </w:pPr>
      <w:r>
        <w:rPr>
          <w:color w:val="000000"/>
        </w:rPr>
        <w:t>管材的水压检验方法按</w:t>
      </w:r>
      <w:r>
        <w:rPr>
          <w:rFonts w:hint="eastAsia"/>
          <w:color w:val="000000"/>
        </w:rPr>
        <w:t>照</w:t>
      </w:r>
      <w:bookmarkStart w:id="64" w:name="OLE_LINK70"/>
      <w:bookmarkStart w:id="65" w:name="OLE_LINK71"/>
      <w:r>
        <w:rPr>
          <w:color w:val="000000"/>
        </w:rPr>
        <w:t>GB/T</w:t>
      </w:r>
      <w:r>
        <w:rPr>
          <w:rFonts w:hint="eastAsia"/>
          <w:color w:val="000000"/>
        </w:rPr>
        <w:t xml:space="preserve"> </w:t>
      </w:r>
      <w:r>
        <w:rPr>
          <w:color w:val="000000"/>
        </w:rPr>
        <w:t>241</w:t>
      </w:r>
      <w:bookmarkEnd w:id="64"/>
      <w:bookmarkEnd w:id="65"/>
      <w:r>
        <w:rPr>
          <w:color w:val="000000"/>
        </w:rPr>
        <w:t>的规定进行。</w:t>
      </w:r>
    </w:p>
    <w:p>
      <w:pPr>
        <w:pStyle w:val="56"/>
        <w:numPr>
          <w:ilvl w:val="2"/>
          <w:numId w:val="16"/>
        </w:numPr>
        <w:ind w:firstLineChars="0"/>
        <w:rPr>
          <w:color w:val="000000"/>
        </w:rPr>
      </w:pPr>
      <w:r>
        <w:rPr>
          <w:rFonts w:hint="eastAsia"/>
          <w:color w:val="000000"/>
        </w:rPr>
        <w:t>气压检验方法可采用简易目视法（或设备自动测试）观察渗漏，比如将管材置于水中或采用压差方法。</w:t>
      </w:r>
    </w:p>
    <w:p>
      <w:pPr>
        <w:pStyle w:val="56"/>
        <w:numPr>
          <w:ilvl w:val="2"/>
          <w:numId w:val="16"/>
        </w:numPr>
        <w:ind w:firstLineChars="0"/>
        <w:rPr>
          <w:color w:val="000000"/>
        </w:rPr>
      </w:pPr>
      <w:r>
        <w:rPr>
          <w:rFonts w:hint="eastAsia"/>
          <w:color w:val="000000"/>
        </w:rPr>
        <w:t>管材的穿过式涡流探伤检验方法按照</w:t>
      </w:r>
      <w:r>
        <w:rPr>
          <w:color w:val="000000"/>
        </w:rPr>
        <w:t>GB/T</w:t>
      </w:r>
      <w:r>
        <w:rPr>
          <w:rFonts w:hint="eastAsia"/>
          <w:color w:val="000000"/>
        </w:rPr>
        <w:t xml:space="preserve"> </w:t>
      </w:r>
      <w:r>
        <w:rPr>
          <w:color w:val="000000"/>
        </w:rPr>
        <w:t>5248</w:t>
      </w:r>
      <w:r>
        <w:rPr>
          <w:rFonts w:hint="eastAsia"/>
          <w:color w:val="000000"/>
        </w:rPr>
        <w:t>的规定进行。</w:t>
      </w:r>
    </w:p>
    <w:p>
      <w:pPr>
        <w:pStyle w:val="56"/>
        <w:numPr>
          <w:ilvl w:val="2"/>
          <w:numId w:val="16"/>
        </w:numPr>
        <w:ind w:firstLineChars="0"/>
        <w:rPr>
          <w:color w:val="000000"/>
        </w:rPr>
      </w:pPr>
      <w:r>
        <w:rPr>
          <w:rFonts w:hint="eastAsia"/>
          <w:color w:val="000000"/>
        </w:rPr>
        <w:t>管材的磁饱和探伤检验方法按照</w:t>
      </w:r>
      <w:r>
        <w:rPr>
          <w:color w:val="000000"/>
        </w:rPr>
        <w:t>附录</w:t>
      </w:r>
      <w:r>
        <w:rPr>
          <w:rFonts w:hint="eastAsia"/>
          <w:color w:val="000000"/>
        </w:rPr>
        <w:t>B</w:t>
      </w:r>
      <w:r>
        <w:rPr>
          <w:color w:val="000000"/>
        </w:rPr>
        <w:t>的规定进行。</w:t>
      </w:r>
    </w:p>
    <w:p>
      <w:pPr>
        <w:pStyle w:val="56"/>
        <w:numPr>
          <w:ilvl w:val="1"/>
          <w:numId w:val="14"/>
        </w:numPr>
        <w:ind w:firstLineChars="0"/>
        <w:rPr>
          <w:rFonts w:eastAsia="黑体"/>
          <w:bCs/>
          <w:color w:val="000000"/>
        </w:rPr>
      </w:pPr>
      <w:r>
        <w:rPr>
          <w:rFonts w:eastAsia="黑体"/>
          <w:bCs/>
          <w:color w:val="000000"/>
        </w:rPr>
        <w:t>外压设计检验方法</w:t>
      </w:r>
    </w:p>
    <w:p>
      <w:pPr>
        <w:ind w:firstLine="420" w:firstLineChars="200"/>
        <w:rPr>
          <w:color w:val="000000"/>
        </w:rPr>
      </w:pPr>
      <w:r>
        <w:rPr>
          <w:color w:val="000000"/>
        </w:rPr>
        <w:t>管材的外压设计检验方法</w:t>
      </w:r>
      <w:r>
        <w:rPr>
          <w:rFonts w:hint="eastAsia"/>
          <w:color w:val="000000"/>
        </w:rPr>
        <w:t>按照</w:t>
      </w:r>
      <w:r>
        <w:rPr>
          <w:color w:val="000000"/>
        </w:rPr>
        <w:t>NB/T</w:t>
      </w:r>
      <w:r>
        <w:rPr>
          <w:rFonts w:hint="eastAsia"/>
          <w:color w:val="000000"/>
        </w:rPr>
        <w:t xml:space="preserve"> </w:t>
      </w:r>
      <w:r>
        <w:rPr>
          <w:color w:val="000000"/>
        </w:rPr>
        <w:t>47012-2020附录B进行。</w:t>
      </w:r>
    </w:p>
    <w:p>
      <w:pPr>
        <w:pStyle w:val="56"/>
        <w:numPr>
          <w:ilvl w:val="1"/>
          <w:numId w:val="14"/>
        </w:numPr>
        <w:ind w:firstLineChars="0"/>
        <w:rPr>
          <w:rFonts w:eastAsia="黑体"/>
          <w:bCs/>
          <w:color w:val="000000"/>
        </w:rPr>
      </w:pPr>
      <w:r>
        <w:rPr>
          <w:rFonts w:eastAsia="黑体"/>
          <w:bCs/>
          <w:color w:val="000000"/>
        </w:rPr>
        <w:t>残余应力检验方法</w:t>
      </w:r>
    </w:p>
    <w:p>
      <w:pPr>
        <w:ind w:firstLine="420" w:firstLineChars="200"/>
        <w:rPr>
          <w:color w:val="000000"/>
        </w:rPr>
      </w:pPr>
      <w:r>
        <w:rPr>
          <w:color w:val="000000"/>
        </w:rPr>
        <w:t>管材残余应力检验方法按照</w:t>
      </w:r>
      <w:bookmarkStart w:id="66" w:name="OLE_LINK64"/>
      <w:bookmarkStart w:id="67" w:name="OLE_LINK63"/>
      <w:r>
        <w:rPr>
          <w:rFonts w:hint="eastAsia"/>
          <w:color w:val="000000"/>
        </w:rPr>
        <w:t>YS</w:t>
      </w:r>
      <w:r>
        <w:rPr>
          <w:color w:val="000000"/>
        </w:rPr>
        <w:t>/T</w:t>
      </w:r>
      <w:r>
        <w:rPr>
          <w:rFonts w:hint="eastAsia"/>
          <w:color w:val="000000"/>
        </w:rPr>
        <w:t xml:space="preserve"> 1578</w:t>
      </w:r>
      <w:bookmarkEnd w:id="66"/>
      <w:bookmarkEnd w:id="67"/>
      <w:r>
        <w:rPr>
          <w:rFonts w:hint="eastAsia"/>
          <w:color w:val="000000"/>
        </w:rPr>
        <w:t>的</w:t>
      </w:r>
      <w:r>
        <w:rPr>
          <w:color w:val="000000"/>
        </w:rPr>
        <w:t>规定进行。</w:t>
      </w:r>
    </w:p>
    <w:p>
      <w:pPr>
        <w:pStyle w:val="56"/>
        <w:numPr>
          <w:ilvl w:val="1"/>
          <w:numId w:val="14"/>
        </w:numPr>
        <w:ind w:firstLineChars="0"/>
        <w:rPr>
          <w:rFonts w:eastAsia="黑体"/>
          <w:bCs/>
          <w:color w:val="000000"/>
        </w:rPr>
      </w:pPr>
      <w:r>
        <w:rPr>
          <w:rFonts w:eastAsia="黑体"/>
          <w:bCs/>
          <w:color w:val="000000"/>
        </w:rPr>
        <w:t>晶粒度检验方法</w:t>
      </w:r>
    </w:p>
    <w:p>
      <w:pPr>
        <w:ind w:firstLine="420" w:firstLineChars="200"/>
        <w:rPr>
          <w:color w:val="000000"/>
        </w:rPr>
      </w:pPr>
      <w:r>
        <w:rPr>
          <w:color w:val="000000"/>
        </w:rPr>
        <w:t>管</w:t>
      </w:r>
      <w:r>
        <w:rPr>
          <w:rFonts w:hint="eastAsia"/>
          <w:color w:val="000000"/>
        </w:rPr>
        <w:t>材</w:t>
      </w:r>
      <w:r>
        <w:rPr>
          <w:color w:val="000000"/>
        </w:rPr>
        <w:t>的晶粒度检验方法按</w:t>
      </w:r>
      <w:r>
        <w:rPr>
          <w:rFonts w:hint="eastAsia"/>
          <w:color w:val="000000"/>
        </w:rPr>
        <w:t>照</w:t>
      </w:r>
      <w:r>
        <w:rPr>
          <w:color w:val="000000"/>
        </w:rPr>
        <w:t>YS/T</w:t>
      </w:r>
      <w:r>
        <w:rPr>
          <w:rFonts w:hint="eastAsia"/>
          <w:color w:val="000000"/>
        </w:rPr>
        <w:t xml:space="preserve"> </w:t>
      </w:r>
      <w:r>
        <w:rPr>
          <w:color w:val="000000"/>
        </w:rPr>
        <w:t>347的规定进行。</w:t>
      </w:r>
    </w:p>
    <w:p>
      <w:pPr>
        <w:pStyle w:val="56"/>
        <w:numPr>
          <w:ilvl w:val="1"/>
          <w:numId w:val="14"/>
        </w:numPr>
        <w:ind w:firstLineChars="0"/>
        <w:rPr>
          <w:rFonts w:eastAsia="黑体"/>
          <w:bCs/>
          <w:color w:val="000000"/>
        </w:rPr>
      </w:pPr>
      <w:r>
        <w:rPr>
          <w:rFonts w:eastAsia="黑体"/>
          <w:bCs/>
          <w:color w:val="000000"/>
        </w:rPr>
        <w:t>表面清洁度检验方法</w:t>
      </w:r>
    </w:p>
    <w:p>
      <w:pPr>
        <w:ind w:firstLine="420"/>
        <w:rPr>
          <w:color w:val="000000"/>
        </w:rPr>
      </w:pPr>
      <w:r>
        <w:rPr>
          <w:color w:val="000000"/>
        </w:rPr>
        <w:t>管材内、外表面残留污物总量的检验方法按照附录</w:t>
      </w:r>
      <w:r>
        <w:rPr>
          <w:rFonts w:hint="eastAsia"/>
          <w:color w:val="000000"/>
        </w:rPr>
        <w:t>C</w:t>
      </w:r>
      <w:r>
        <w:rPr>
          <w:color w:val="000000"/>
        </w:rPr>
        <w:t>的方法进行。</w:t>
      </w:r>
    </w:p>
    <w:p>
      <w:pPr>
        <w:pStyle w:val="56"/>
        <w:numPr>
          <w:ilvl w:val="1"/>
          <w:numId w:val="14"/>
        </w:numPr>
        <w:ind w:firstLineChars="0"/>
        <w:rPr>
          <w:rFonts w:eastAsia="黑体"/>
          <w:bCs/>
          <w:color w:val="000000"/>
        </w:rPr>
      </w:pPr>
      <w:r>
        <w:rPr>
          <w:rFonts w:eastAsia="黑体"/>
          <w:bCs/>
          <w:color w:val="000000"/>
        </w:rPr>
        <w:t>热工性能检验方法</w:t>
      </w:r>
    </w:p>
    <w:p>
      <w:pPr>
        <w:ind w:firstLine="420" w:firstLineChars="200"/>
        <w:rPr>
          <w:color w:val="000000"/>
        </w:rPr>
      </w:pPr>
      <w:r>
        <w:rPr>
          <w:color w:val="000000"/>
        </w:rPr>
        <w:t>管材的热工性能检测方法</w:t>
      </w:r>
      <w:r>
        <w:rPr>
          <w:rFonts w:hint="eastAsia"/>
          <w:color w:val="000000"/>
        </w:rPr>
        <w:t>按照</w:t>
      </w:r>
      <w:r>
        <w:rPr>
          <w:color w:val="000000"/>
        </w:rPr>
        <w:t>YS/T</w:t>
      </w:r>
      <w:r>
        <w:rPr>
          <w:rFonts w:hint="eastAsia"/>
          <w:color w:val="000000"/>
        </w:rPr>
        <w:t xml:space="preserve"> </w:t>
      </w:r>
      <w:r>
        <w:rPr>
          <w:color w:val="000000"/>
        </w:rPr>
        <w:t>1656的规定进行。</w:t>
      </w:r>
    </w:p>
    <w:p>
      <w:pPr>
        <w:pStyle w:val="56"/>
        <w:numPr>
          <w:ilvl w:val="1"/>
          <w:numId w:val="14"/>
        </w:numPr>
        <w:ind w:firstLineChars="0"/>
        <w:rPr>
          <w:rFonts w:eastAsia="黑体"/>
          <w:bCs/>
          <w:color w:val="000000"/>
        </w:rPr>
      </w:pPr>
      <w:r>
        <w:rPr>
          <w:rFonts w:eastAsia="黑体"/>
          <w:bCs/>
          <w:color w:val="000000"/>
        </w:rPr>
        <w:t>表面质量检查方法</w:t>
      </w:r>
    </w:p>
    <w:p>
      <w:pPr>
        <w:ind w:firstLine="420" w:firstLineChars="200"/>
        <w:rPr>
          <w:color w:val="000000"/>
        </w:rPr>
      </w:pPr>
      <w:r>
        <w:rPr>
          <w:color w:val="000000"/>
        </w:rPr>
        <w:t>管材表面质量用目视进行检查。</w:t>
      </w:r>
    </w:p>
    <w:p>
      <w:pPr>
        <w:ind w:firstLine="422" w:firstLineChars="200"/>
        <w:rPr>
          <w:b/>
          <w:color w:val="000000"/>
        </w:rPr>
      </w:pPr>
    </w:p>
    <w:p>
      <w:pPr>
        <w:pStyle w:val="56"/>
        <w:numPr>
          <w:ilvl w:val="0"/>
          <w:numId w:val="2"/>
        </w:numPr>
        <w:ind w:firstLineChars="0"/>
        <w:rPr>
          <w:rFonts w:eastAsia="黑体"/>
          <w:bCs/>
          <w:color w:val="000000"/>
        </w:rPr>
      </w:pPr>
      <w:r>
        <w:rPr>
          <w:rFonts w:eastAsia="黑体"/>
          <w:bCs/>
          <w:color w:val="000000"/>
        </w:rPr>
        <w:t>检验规则</w:t>
      </w:r>
    </w:p>
    <w:p>
      <w:pPr>
        <w:pStyle w:val="56"/>
        <w:numPr>
          <w:ilvl w:val="1"/>
          <w:numId w:val="17"/>
        </w:numPr>
        <w:ind w:firstLineChars="0"/>
        <w:rPr>
          <w:rFonts w:eastAsia="黑体"/>
          <w:bCs/>
          <w:color w:val="000000"/>
        </w:rPr>
      </w:pPr>
      <w:r>
        <w:rPr>
          <w:rFonts w:eastAsia="黑体"/>
          <w:bCs/>
          <w:color w:val="000000"/>
        </w:rPr>
        <w:t>检查和验收</w:t>
      </w:r>
    </w:p>
    <w:p>
      <w:pPr>
        <w:pStyle w:val="56"/>
        <w:numPr>
          <w:ilvl w:val="2"/>
          <w:numId w:val="18"/>
        </w:numPr>
        <w:ind w:firstLineChars="0"/>
        <w:rPr>
          <w:color w:val="000000"/>
        </w:rPr>
      </w:pPr>
      <w:r>
        <w:rPr>
          <w:color w:val="000000"/>
        </w:rPr>
        <w:t>管材应由供方</w:t>
      </w:r>
      <w:r>
        <w:rPr>
          <w:rFonts w:hint="eastAsia"/>
          <w:color w:val="000000"/>
        </w:rPr>
        <w:t>或第三方</w:t>
      </w:r>
      <w:r>
        <w:rPr>
          <w:color w:val="000000"/>
        </w:rPr>
        <w:t>进行检验，保证产品质量符合本文件</w:t>
      </w:r>
      <w:r>
        <w:rPr>
          <w:color w:val="000000"/>
          <w:szCs w:val="21"/>
        </w:rPr>
        <w:t>或订货单</w:t>
      </w:r>
      <w:r>
        <w:rPr>
          <w:color w:val="000000"/>
        </w:rPr>
        <w:t>的规定，并填写质量证明书。</w:t>
      </w:r>
    </w:p>
    <w:p>
      <w:pPr>
        <w:pStyle w:val="56"/>
        <w:numPr>
          <w:ilvl w:val="2"/>
          <w:numId w:val="18"/>
        </w:numPr>
        <w:ind w:firstLineChars="0"/>
        <w:rPr>
          <w:color w:val="000000"/>
        </w:rPr>
      </w:pPr>
      <w:r>
        <w:rPr>
          <w:color w:val="000000"/>
        </w:rPr>
        <w:t>需方应对收到的产品按本文件</w:t>
      </w:r>
      <w:r>
        <w:rPr>
          <w:color w:val="000000"/>
          <w:szCs w:val="21"/>
        </w:rPr>
        <w:t>或订货单</w:t>
      </w:r>
      <w:r>
        <w:rPr>
          <w:color w:val="000000"/>
        </w:rPr>
        <w:t>的规定进行复验，复验结果与本文件</w:t>
      </w:r>
      <w:r>
        <w:rPr>
          <w:color w:val="000000"/>
          <w:szCs w:val="21"/>
        </w:rPr>
        <w:t>或订货单</w:t>
      </w:r>
      <w:r>
        <w:rPr>
          <w:color w:val="000000"/>
        </w:rPr>
        <w:t>的规定不符时，应以书面形式向供方提出，由供需双方协商解决。属于表面质量及尺寸偏差的异议，应在收到产品之日起一个月内提出，属于其他性能的异议，应在收到产品之日起三个月内提出。如需仲裁，可委托供需双方认可的单位进行，并由供需双方共同进行。</w:t>
      </w:r>
    </w:p>
    <w:p>
      <w:pPr>
        <w:pStyle w:val="56"/>
        <w:numPr>
          <w:ilvl w:val="1"/>
          <w:numId w:val="17"/>
        </w:numPr>
        <w:ind w:firstLineChars="0"/>
        <w:rPr>
          <w:rFonts w:eastAsia="黑体"/>
          <w:bCs/>
          <w:color w:val="000000"/>
        </w:rPr>
      </w:pPr>
      <w:r>
        <w:rPr>
          <w:rFonts w:eastAsia="黑体"/>
          <w:bCs/>
          <w:color w:val="000000"/>
        </w:rPr>
        <w:t>组批</w:t>
      </w:r>
    </w:p>
    <w:p>
      <w:pPr>
        <w:ind w:firstLine="420" w:firstLineChars="200"/>
        <w:rPr>
          <w:color w:val="000000"/>
        </w:rPr>
      </w:pPr>
      <w:r>
        <w:rPr>
          <w:color w:val="000000"/>
        </w:rPr>
        <w:t>管材应成批提交验收。每批应由同一牌号、状态和规格产品组成，每批质量不大于4500kg（且根数不能超过</w:t>
      </w:r>
      <w:r>
        <w:rPr>
          <w:rFonts w:hint="eastAsia"/>
          <w:color w:val="000000"/>
        </w:rPr>
        <w:t>600支</w:t>
      </w:r>
      <w:r>
        <w:rPr>
          <w:color w:val="000000"/>
        </w:rPr>
        <w:t>）。</w:t>
      </w:r>
    </w:p>
    <w:p>
      <w:pPr>
        <w:pStyle w:val="56"/>
        <w:numPr>
          <w:ilvl w:val="1"/>
          <w:numId w:val="17"/>
        </w:numPr>
        <w:ind w:firstLineChars="0"/>
        <w:rPr>
          <w:rFonts w:eastAsia="黑体"/>
          <w:bCs/>
          <w:color w:val="000000"/>
        </w:rPr>
      </w:pPr>
      <w:r>
        <w:rPr>
          <w:rFonts w:eastAsia="黑体"/>
          <w:bCs/>
          <w:color w:val="000000"/>
        </w:rPr>
        <w:t>检验项目</w:t>
      </w:r>
    </w:p>
    <w:p>
      <w:pPr>
        <w:pStyle w:val="56"/>
        <w:numPr>
          <w:ilvl w:val="2"/>
          <w:numId w:val="19"/>
        </w:numPr>
        <w:ind w:firstLineChars="0"/>
        <w:jc w:val="left"/>
        <w:rPr>
          <w:rFonts w:eastAsia="黑体"/>
          <w:bCs/>
          <w:color w:val="000000"/>
        </w:rPr>
      </w:pPr>
      <w:r>
        <w:rPr>
          <w:rFonts w:eastAsia="黑体"/>
          <w:bCs/>
          <w:color w:val="000000"/>
        </w:rPr>
        <w:t>出厂检验</w:t>
      </w:r>
    </w:p>
    <w:p>
      <w:pPr>
        <w:pStyle w:val="56"/>
        <w:autoSpaceDE w:val="0"/>
        <w:autoSpaceDN w:val="0"/>
        <w:adjustRightInd w:val="0"/>
        <w:ind w:firstLine="0" w:firstLineChars="0"/>
        <w:jc w:val="left"/>
        <w:rPr>
          <w:strike/>
          <w:color w:val="000000"/>
        </w:rPr>
      </w:pPr>
      <w:r>
        <w:rPr>
          <w:rFonts w:hint="eastAsia"/>
          <w:color w:val="000000"/>
        </w:rPr>
        <w:t xml:space="preserve">    </w:t>
      </w:r>
      <w:r>
        <w:rPr>
          <w:color w:val="000000"/>
        </w:rPr>
        <w:t>每批管材应进行化学成分、外形尺寸、抗拉强度、晶粒度、扩口试验、非破坏性试验及表面质量的检验。需方有要求时，还应进行</w:t>
      </w:r>
      <w:bookmarkStart w:id="68" w:name="_Hlk151393775"/>
      <w:bookmarkStart w:id="69" w:name="_Hlk151394160"/>
      <w:r>
        <w:rPr>
          <w:color w:val="000000"/>
        </w:rPr>
        <w:t>规定塑性延伸强度、规定总延伸强度、</w:t>
      </w:r>
      <w:bookmarkEnd w:id="68"/>
      <w:r>
        <w:rPr>
          <w:color w:val="000000"/>
        </w:rPr>
        <w:t>压扁试验、维氏硬度、外压设计检验、残余应力、清洁度</w:t>
      </w:r>
      <w:bookmarkEnd w:id="69"/>
      <w:r>
        <w:rPr>
          <w:color w:val="000000"/>
        </w:rPr>
        <w:t>和热工性能的检测。</w:t>
      </w:r>
    </w:p>
    <w:p>
      <w:pPr>
        <w:pStyle w:val="56"/>
        <w:numPr>
          <w:ilvl w:val="2"/>
          <w:numId w:val="19"/>
        </w:numPr>
        <w:ind w:firstLineChars="0"/>
        <w:rPr>
          <w:rFonts w:eastAsia="黑体"/>
          <w:bCs/>
          <w:color w:val="000000"/>
        </w:rPr>
      </w:pPr>
      <w:r>
        <w:rPr>
          <w:rFonts w:eastAsia="黑体"/>
          <w:bCs/>
          <w:color w:val="000000"/>
        </w:rPr>
        <w:t>型式检验</w:t>
      </w:r>
    </w:p>
    <w:p>
      <w:pPr>
        <w:pStyle w:val="28"/>
        <w:numPr>
          <w:ilvl w:val="0"/>
          <w:numId w:val="0"/>
        </w:numPr>
        <w:ind w:firstLine="420" w:firstLineChars="200"/>
        <w:rPr>
          <w:rFonts w:ascii="Times New Roman" w:eastAsia="宋体"/>
          <w:color w:val="000000"/>
        </w:rPr>
      </w:pPr>
      <w:r>
        <w:rPr>
          <w:rFonts w:ascii="Times New Roman" w:eastAsia="宋体"/>
          <w:color w:val="000000"/>
          <w:szCs w:val="21"/>
        </w:rPr>
        <w:t>有下列情况之一者，产品应进行</w:t>
      </w:r>
      <w:r>
        <w:rPr>
          <w:rFonts w:ascii="Times New Roman" w:eastAsia="宋体"/>
          <w:color w:val="000000"/>
        </w:rPr>
        <w:t>的型式检验</w:t>
      </w:r>
      <w:r>
        <w:rPr>
          <w:rFonts w:ascii="Times New Roman" w:eastAsia="宋体"/>
          <w:color w:val="000000"/>
          <w:szCs w:val="21"/>
        </w:rPr>
        <w:t>。型式检验项目见表1</w:t>
      </w:r>
      <w:r>
        <w:rPr>
          <w:rFonts w:hint="eastAsia" w:ascii="Times New Roman" w:eastAsia="宋体"/>
          <w:color w:val="000000"/>
          <w:szCs w:val="21"/>
        </w:rPr>
        <w:t>1</w:t>
      </w:r>
      <w:r>
        <w:rPr>
          <w:rFonts w:ascii="Times New Roman" w:eastAsia="宋体"/>
          <w:color w:val="000000"/>
          <w:szCs w:val="21"/>
        </w:rPr>
        <w:t>。</w:t>
      </w:r>
    </w:p>
    <w:p>
      <w:pPr>
        <w:pStyle w:val="3"/>
        <w:numPr>
          <w:ilvl w:val="0"/>
          <w:numId w:val="20"/>
        </w:numPr>
        <w:ind w:left="766" w:hanging="346"/>
        <w:jc w:val="left"/>
        <w:textAlignment w:val="baseline"/>
        <w:rPr>
          <w:color w:val="000000"/>
        </w:rPr>
      </w:pPr>
      <w:r>
        <w:rPr>
          <w:color w:val="000000"/>
        </w:rPr>
        <w:t>新产品或老产品转厂的试制定型鉴定；</w:t>
      </w:r>
    </w:p>
    <w:p>
      <w:pPr>
        <w:pStyle w:val="3"/>
        <w:numPr>
          <w:ilvl w:val="0"/>
          <w:numId w:val="20"/>
        </w:numPr>
        <w:ind w:left="766" w:hanging="346"/>
        <w:jc w:val="left"/>
        <w:textAlignment w:val="baseline"/>
        <w:rPr>
          <w:color w:val="000000"/>
        </w:rPr>
      </w:pPr>
      <w:r>
        <w:rPr>
          <w:color w:val="000000"/>
        </w:rPr>
        <w:t>正常生产时，每年进行一次型式检验；</w:t>
      </w:r>
    </w:p>
    <w:p>
      <w:pPr>
        <w:pStyle w:val="3"/>
        <w:numPr>
          <w:ilvl w:val="0"/>
          <w:numId w:val="20"/>
        </w:numPr>
        <w:ind w:left="766" w:hanging="346"/>
        <w:jc w:val="left"/>
        <w:textAlignment w:val="baseline"/>
        <w:rPr>
          <w:color w:val="000000"/>
        </w:rPr>
      </w:pPr>
      <w:r>
        <w:rPr>
          <w:color w:val="000000"/>
        </w:rPr>
        <w:t>产品的原料、工艺有较大改变，可能影响产品性能时；</w:t>
      </w:r>
    </w:p>
    <w:p>
      <w:pPr>
        <w:pStyle w:val="3"/>
        <w:numPr>
          <w:ilvl w:val="0"/>
          <w:numId w:val="20"/>
        </w:numPr>
        <w:ind w:left="766" w:hanging="346"/>
        <w:jc w:val="left"/>
        <w:textAlignment w:val="baseline"/>
        <w:rPr>
          <w:color w:val="000000"/>
        </w:rPr>
      </w:pPr>
      <w:r>
        <w:rPr>
          <w:color w:val="000000"/>
        </w:rPr>
        <w:t>产品的结构有较大改变时；</w:t>
      </w:r>
    </w:p>
    <w:p>
      <w:pPr>
        <w:pStyle w:val="3"/>
        <w:numPr>
          <w:ilvl w:val="0"/>
          <w:numId w:val="20"/>
        </w:numPr>
        <w:ind w:left="766" w:hanging="346"/>
        <w:jc w:val="left"/>
        <w:textAlignment w:val="baseline"/>
        <w:rPr>
          <w:color w:val="000000"/>
        </w:rPr>
      </w:pPr>
      <w:r>
        <w:rPr>
          <w:color w:val="000000"/>
        </w:rPr>
        <w:t>产品停产后，恢复生产时；</w:t>
      </w:r>
    </w:p>
    <w:p>
      <w:pPr>
        <w:pStyle w:val="3"/>
        <w:numPr>
          <w:ilvl w:val="0"/>
          <w:numId w:val="20"/>
        </w:numPr>
        <w:ind w:left="766" w:hanging="346"/>
        <w:jc w:val="left"/>
        <w:textAlignment w:val="baseline"/>
        <w:rPr>
          <w:color w:val="000000"/>
        </w:rPr>
      </w:pPr>
      <w:r>
        <w:rPr>
          <w:color w:val="000000"/>
        </w:rPr>
        <w:t>出厂检验结果与上次型式检验有较大差异时；</w:t>
      </w:r>
    </w:p>
    <w:p>
      <w:pPr>
        <w:pStyle w:val="3"/>
        <w:numPr>
          <w:ilvl w:val="0"/>
          <w:numId w:val="20"/>
        </w:numPr>
        <w:ind w:left="766" w:hanging="346"/>
        <w:jc w:val="left"/>
        <w:textAlignment w:val="baseline"/>
        <w:rPr>
          <w:color w:val="000000"/>
        </w:rPr>
      </w:pPr>
      <w:r>
        <w:rPr>
          <w:color w:val="000000"/>
        </w:rPr>
        <w:t>需方要求时；</w:t>
      </w:r>
    </w:p>
    <w:p>
      <w:pPr>
        <w:pStyle w:val="3"/>
        <w:numPr>
          <w:ilvl w:val="0"/>
          <w:numId w:val="20"/>
        </w:numPr>
        <w:ind w:left="766" w:hanging="346"/>
        <w:jc w:val="left"/>
        <w:textAlignment w:val="baseline"/>
        <w:rPr>
          <w:color w:val="000000"/>
        </w:rPr>
      </w:pPr>
      <w:r>
        <w:rPr>
          <w:color w:val="000000"/>
        </w:rPr>
        <w:t>国家质量监督机构提出进行型式检验的要求时。</w:t>
      </w:r>
    </w:p>
    <w:p>
      <w:pPr>
        <w:pStyle w:val="3"/>
        <w:ind w:firstLine="420" w:firstLineChars="200"/>
        <w:jc w:val="center"/>
        <w:textAlignment w:val="baseline"/>
        <w:rPr>
          <w:rFonts w:eastAsia="黑体"/>
          <w:bCs/>
          <w:color w:val="000000"/>
          <w:kern w:val="2"/>
          <w:szCs w:val="24"/>
        </w:rPr>
      </w:pPr>
    </w:p>
    <w:p>
      <w:pPr>
        <w:pStyle w:val="3"/>
        <w:ind w:firstLine="420" w:firstLineChars="200"/>
        <w:jc w:val="center"/>
        <w:textAlignment w:val="baseline"/>
        <w:rPr>
          <w:color w:val="000000"/>
        </w:rPr>
      </w:pPr>
      <w:r>
        <w:rPr>
          <w:rFonts w:eastAsia="黑体"/>
          <w:bCs/>
          <w:color w:val="000000"/>
          <w:kern w:val="2"/>
          <w:szCs w:val="24"/>
        </w:rPr>
        <w:t>表1</w:t>
      </w:r>
      <w:r>
        <w:rPr>
          <w:rFonts w:hint="eastAsia" w:eastAsia="黑体"/>
          <w:bCs/>
          <w:color w:val="000000"/>
          <w:kern w:val="2"/>
          <w:szCs w:val="24"/>
        </w:rPr>
        <w:t>1</w:t>
      </w:r>
      <w:r>
        <w:rPr>
          <w:rFonts w:eastAsia="黑体"/>
          <w:bCs/>
          <w:color w:val="000000"/>
          <w:kern w:val="2"/>
          <w:szCs w:val="24"/>
        </w:rPr>
        <w:t xml:space="preserve"> 检验项目</w:t>
      </w:r>
    </w:p>
    <w:tbl>
      <w:tblPr>
        <w:tblStyle w:val="16"/>
        <w:tblW w:w="931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643"/>
        <w:gridCol w:w="2835"/>
        <w:gridCol w:w="283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643" w:type="dxa"/>
            <w:tcBorders>
              <w:top w:val="single" w:color="auto" w:sz="8" w:space="0"/>
              <w:left w:val="single" w:color="auto" w:sz="8" w:space="0"/>
              <w:bottom w:val="single" w:color="auto" w:sz="8" w:space="0"/>
            </w:tcBorders>
            <w:vAlign w:val="center"/>
          </w:tcPr>
          <w:p>
            <w:pPr>
              <w:jc w:val="center"/>
              <w:rPr>
                <w:color w:val="000000"/>
                <w:sz w:val="18"/>
                <w:szCs w:val="18"/>
              </w:rPr>
            </w:pPr>
            <w:r>
              <w:rPr>
                <w:color w:val="000000"/>
                <w:sz w:val="18"/>
                <w:szCs w:val="18"/>
              </w:rPr>
              <w:t>检验项目</w:t>
            </w:r>
          </w:p>
        </w:tc>
        <w:tc>
          <w:tcPr>
            <w:tcW w:w="2835" w:type="dxa"/>
            <w:tcBorders>
              <w:top w:val="single" w:color="auto" w:sz="8" w:space="0"/>
              <w:bottom w:val="single" w:color="auto" w:sz="8" w:space="0"/>
            </w:tcBorders>
            <w:vAlign w:val="center"/>
          </w:tcPr>
          <w:p>
            <w:pPr>
              <w:jc w:val="center"/>
              <w:rPr>
                <w:color w:val="000000"/>
                <w:sz w:val="18"/>
                <w:szCs w:val="18"/>
              </w:rPr>
            </w:pPr>
            <w:r>
              <w:rPr>
                <w:color w:val="000000"/>
                <w:sz w:val="18"/>
                <w:szCs w:val="18"/>
              </w:rPr>
              <w:t>出厂检验项目</w:t>
            </w:r>
          </w:p>
        </w:tc>
        <w:tc>
          <w:tcPr>
            <w:tcW w:w="2835" w:type="dxa"/>
            <w:tcBorders>
              <w:top w:val="single" w:color="auto" w:sz="8" w:space="0"/>
              <w:bottom w:val="single" w:color="auto" w:sz="8" w:space="0"/>
              <w:right w:val="single" w:color="auto" w:sz="8" w:space="0"/>
            </w:tcBorders>
            <w:vAlign w:val="center"/>
          </w:tcPr>
          <w:p>
            <w:pPr>
              <w:jc w:val="center"/>
              <w:rPr>
                <w:color w:val="000000"/>
                <w:sz w:val="18"/>
                <w:szCs w:val="18"/>
              </w:rPr>
            </w:pPr>
            <w:r>
              <w:rPr>
                <w:color w:val="000000"/>
                <w:sz w:val="18"/>
                <w:szCs w:val="18"/>
              </w:rPr>
              <w:t>型式检验项目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643" w:type="dxa"/>
            <w:tcBorders>
              <w:top w:val="single" w:color="auto" w:sz="8" w:space="0"/>
              <w:left w:val="single" w:color="auto" w:sz="8" w:space="0"/>
            </w:tcBorders>
            <w:vAlign w:val="center"/>
          </w:tcPr>
          <w:p>
            <w:pPr>
              <w:rPr>
                <w:color w:val="000000"/>
                <w:sz w:val="18"/>
                <w:szCs w:val="18"/>
              </w:rPr>
            </w:pPr>
            <w:r>
              <w:rPr>
                <w:color w:val="000000"/>
                <w:sz w:val="18"/>
                <w:szCs w:val="18"/>
              </w:rPr>
              <w:t>化学成分</w:t>
            </w:r>
          </w:p>
        </w:tc>
        <w:tc>
          <w:tcPr>
            <w:tcW w:w="2835" w:type="dxa"/>
            <w:tcBorders>
              <w:top w:val="single" w:color="auto" w:sz="8" w:space="0"/>
            </w:tcBorders>
            <w:vAlign w:val="center"/>
          </w:tcPr>
          <w:p>
            <w:pPr>
              <w:jc w:val="center"/>
              <w:rPr>
                <w:color w:val="000000"/>
                <w:sz w:val="18"/>
                <w:szCs w:val="18"/>
              </w:rPr>
            </w:pPr>
            <w:r>
              <w:rPr>
                <w:color w:val="000000"/>
                <w:sz w:val="18"/>
                <w:szCs w:val="18"/>
              </w:rPr>
              <w:t>√</w:t>
            </w:r>
          </w:p>
        </w:tc>
        <w:tc>
          <w:tcPr>
            <w:tcW w:w="2835" w:type="dxa"/>
            <w:tcBorders>
              <w:top w:val="single" w:color="auto" w:sz="8" w:space="0"/>
              <w:right w:val="single" w:color="auto" w:sz="8" w:space="0"/>
            </w:tcBorders>
            <w:vAlign w:val="center"/>
          </w:tcPr>
          <w:p>
            <w:pPr>
              <w:jc w:val="center"/>
              <w:rPr>
                <w:color w:val="000000"/>
                <w:sz w:val="18"/>
                <w:szCs w:val="18"/>
              </w:rPr>
            </w:pPr>
            <w:r>
              <w:rPr>
                <w:color w:val="000000"/>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643" w:type="dxa"/>
            <w:tcBorders>
              <w:left w:val="single" w:color="auto" w:sz="8" w:space="0"/>
            </w:tcBorders>
            <w:vAlign w:val="center"/>
          </w:tcPr>
          <w:p>
            <w:pPr>
              <w:rPr>
                <w:color w:val="000000"/>
                <w:sz w:val="18"/>
                <w:szCs w:val="18"/>
              </w:rPr>
            </w:pPr>
            <w:r>
              <w:rPr>
                <w:color w:val="000000"/>
                <w:sz w:val="18"/>
                <w:szCs w:val="18"/>
              </w:rPr>
              <w:t>外形尺寸</w:t>
            </w:r>
          </w:p>
        </w:tc>
        <w:tc>
          <w:tcPr>
            <w:tcW w:w="2835" w:type="dxa"/>
            <w:vAlign w:val="center"/>
          </w:tcPr>
          <w:p>
            <w:pPr>
              <w:jc w:val="center"/>
              <w:rPr>
                <w:color w:val="000000"/>
                <w:sz w:val="18"/>
                <w:szCs w:val="18"/>
              </w:rPr>
            </w:pPr>
            <w:r>
              <w:rPr>
                <w:color w:val="000000"/>
                <w:sz w:val="18"/>
                <w:szCs w:val="18"/>
              </w:rPr>
              <w:t>√</w:t>
            </w:r>
          </w:p>
        </w:tc>
        <w:tc>
          <w:tcPr>
            <w:tcW w:w="2835" w:type="dxa"/>
            <w:tcBorders>
              <w:right w:val="single" w:color="auto" w:sz="8" w:space="0"/>
            </w:tcBorders>
            <w:vAlign w:val="center"/>
          </w:tcPr>
          <w:p>
            <w:pPr>
              <w:jc w:val="center"/>
              <w:rPr>
                <w:color w:val="000000"/>
                <w:sz w:val="18"/>
                <w:szCs w:val="18"/>
              </w:rPr>
            </w:pPr>
            <w:r>
              <w:rPr>
                <w:color w:val="000000"/>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643" w:type="dxa"/>
            <w:tcBorders>
              <w:left w:val="single" w:color="auto" w:sz="8" w:space="0"/>
            </w:tcBorders>
            <w:vAlign w:val="center"/>
          </w:tcPr>
          <w:p>
            <w:pPr>
              <w:rPr>
                <w:color w:val="000000"/>
                <w:sz w:val="18"/>
                <w:szCs w:val="18"/>
              </w:rPr>
            </w:pPr>
            <w:r>
              <w:rPr>
                <w:color w:val="000000"/>
                <w:sz w:val="18"/>
                <w:szCs w:val="18"/>
              </w:rPr>
              <w:t>抗拉强度</w:t>
            </w:r>
          </w:p>
        </w:tc>
        <w:tc>
          <w:tcPr>
            <w:tcW w:w="2835" w:type="dxa"/>
            <w:vAlign w:val="center"/>
          </w:tcPr>
          <w:p>
            <w:pPr>
              <w:jc w:val="center"/>
              <w:rPr>
                <w:color w:val="000000"/>
                <w:sz w:val="18"/>
                <w:szCs w:val="18"/>
              </w:rPr>
            </w:pPr>
            <w:r>
              <w:rPr>
                <w:color w:val="000000"/>
                <w:sz w:val="18"/>
                <w:szCs w:val="18"/>
              </w:rPr>
              <w:t>√</w:t>
            </w:r>
          </w:p>
        </w:tc>
        <w:tc>
          <w:tcPr>
            <w:tcW w:w="2835" w:type="dxa"/>
            <w:tcBorders>
              <w:right w:val="single" w:color="auto" w:sz="8" w:space="0"/>
            </w:tcBorders>
            <w:vAlign w:val="center"/>
          </w:tcPr>
          <w:p>
            <w:pPr>
              <w:jc w:val="center"/>
              <w:rPr>
                <w:color w:val="000000"/>
                <w:sz w:val="18"/>
                <w:szCs w:val="18"/>
              </w:rPr>
            </w:pPr>
            <w:r>
              <w:rPr>
                <w:color w:val="000000"/>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643" w:type="dxa"/>
            <w:tcBorders>
              <w:left w:val="single" w:color="auto" w:sz="8" w:space="0"/>
            </w:tcBorders>
            <w:vAlign w:val="center"/>
          </w:tcPr>
          <w:p>
            <w:pPr>
              <w:rPr>
                <w:color w:val="000000"/>
                <w:sz w:val="18"/>
                <w:szCs w:val="18"/>
              </w:rPr>
            </w:pPr>
            <w:r>
              <w:rPr>
                <w:color w:val="000000"/>
                <w:sz w:val="18"/>
                <w:szCs w:val="18"/>
              </w:rPr>
              <w:t>规定塑性延伸强度</w:t>
            </w:r>
          </w:p>
        </w:tc>
        <w:tc>
          <w:tcPr>
            <w:tcW w:w="2835" w:type="dxa"/>
            <w:vAlign w:val="center"/>
          </w:tcPr>
          <w:p>
            <w:pPr>
              <w:jc w:val="center"/>
              <w:rPr>
                <w:color w:val="000000"/>
                <w:sz w:val="18"/>
                <w:szCs w:val="18"/>
              </w:rPr>
            </w:pPr>
            <w:r>
              <w:rPr>
                <w:rFonts w:ascii="Cambria Math" w:hAnsi="Cambria Math" w:cs="Cambria Math"/>
                <w:color w:val="000000"/>
                <w:sz w:val="18"/>
                <w:szCs w:val="18"/>
              </w:rPr>
              <w:t>△</w:t>
            </w:r>
          </w:p>
        </w:tc>
        <w:tc>
          <w:tcPr>
            <w:tcW w:w="2835" w:type="dxa"/>
            <w:tcBorders>
              <w:right w:val="single" w:color="auto" w:sz="8" w:space="0"/>
            </w:tcBorders>
            <w:vAlign w:val="center"/>
          </w:tcPr>
          <w:p>
            <w:pPr>
              <w:jc w:val="center"/>
              <w:rPr>
                <w:color w:val="000000"/>
                <w:sz w:val="18"/>
                <w:szCs w:val="18"/>
              </w:rPr>
            </w:pPr>
            <w:r>
              <w:rPr>
                <w:color w:val="000000"/>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643" w:type="dxa"/>
            <w:tcBorders>
              <w:left w:val="single" w:color="auto" w:sz="8" w:space="0"/>
            </w:tcBorders>
            <w:vAlign w:val="center"/>
          </w:tcPr>
          <w:p>
            <w:pPr>
              <w:rPr>
                <w:color w:val="000000"/>
                <w:sz w:val="18"/>
                <w:szCs w:val="18"/>
              </w:rPr>
            </w:pPr>
            <w:r>
              <w:rPr>
                <w:color w:val="000000"/>
                <w:sz w:val="18"/>
                <w:szCs w:val="18"/>
              </w:rPr>
              <w:t>规定总延伸强度</w:t>
            </w:r>
          </w:p>
        </w:tc>
        <w:tc>
          <w:tcPr>
            <w:tcW w:w="2835" w:type="dxa"/>
            <w:vAlign w:val="center"/>
          </w:tcPr>
          <w:p>
            <w:pPr>
              <w:jc w:val="center"/>
              <w:rPr>
                <w:color w:val="000000"/>
                <w:sz w:val="18"/>
                <w:szCs w:val="18"/>
              </w:rPr>
            </w:pPr>
            <w:r>
              <w:rPr>
                <w:rFonts w:ascii="Cambria Math" w:hAnsi="Cambria Math" w:cs="Cambria Math"/>
                <w:color w:val="000000"/>
                <w:sz w:val="18"/>
                <w:szCs w:val="18"/>
              </w:rPr>
              <w:t>△</w:t>
            </w:r>
          </w:p>
        </w:tc>
        <w:tc>
          <w:tcPr>
            <w:tcW w:w="2835" w:type="dxa"/>
            <w:tcBorders>
              <w:right w:val="single" w:color="auto" w:sz="8" w:space="0"/>
            </w:tcBorders>
            <w:vAlign w:val="center"/>
          </w:tcPr>
          <w:p>
            <w:pPr>
              <w:jc w:val="center"/>
              <w:rPr>
                <w:color w:val="000000"/>
                <w:sz w:val="18"/>
                <w:szCs w:val="18"/>
              </w:rPr>
            </w:pPr>
            <w:r>
              <w:rPr>
                <w:color w:val="000000"/>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643" w:type="dxa"/>
            <w:tcBorders>
              <w:left w:val="single" w:color="auto" w:sz="8" w:space="0"/>
            </w:tcBorders>
            <w:vAlign w:val="center"/>
          </w:tcPr>
          <w:p>
            <w:pPr>
              <w:rPr>
                <w:color w:val="000000"/>
                <w:sz w:val="18"/>
                <w:szCs w:val="18"/>
              </w:rPr>
            </w:pPr>
            <w:r>
              <w:rPr>
                <w:color w:val="000000"/>
                <w:sz w:val="18"/>
                <w:szCs w:val="18"/>
              </w:rPr>
              <w:t>维氏硬度</w:t>
            </w:r>
          </w:p>
        </w:tc>
        <w:tc>
          <w:tcPr>
            <w:tcW w:w="2835" w:type="dxa"/>
            <w:vAlign w:val="center"/>
          </w:tcPr>
          <w:p>
            <w:pPr>
              <w:jc w:val="center"/>
              <w:rPr>
                <w:color w:val="000000"/>
                <w:sz w:val="18"/>
                <w:szCs w:val="18"/>
              </w:rPr>
            </w:pPr>
            <w:r>
              <w:rPr>
                <w:color w:val="000000"/>
                <w:sz w:val="18"/>
                <w:szCs w:val="18"/>
              </w:rPr>
              <w:t>√</w:t>
            </w:r>
          </w:p>
        </w:tc>
        <w:tc>
          <w:tcPr>
            <w:tcW w:w="2835" w:type="dxa"/>
            <w:tcBorders>
              <w:right w:val="single" w:color="auto" w:sz="8" w:space="0"/>
            </w:tcBorders>
            <w:vAlign w:val="center"/>
          </w:tcPr>
          <w:p>
            <w:pPr>
              <w:jc w:val="center"/>
              <w:rPr>
                <w:color w:val="000000"/>
                <w:sz w:val="18"/>
                <w:szCs w:val="18"/>
              </w:rPr>
            </w:pPr>
            <w:r>
              <w:rPr>
                <w:color w:val="000000"/>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643" w:type="dxa"/>
            <w:tcBorders>
              <w:left w:val="single" w:color="auto" w:sz="8" w:space="0"/>
            </w:tcBorders>
            <w:vAlign w:val="center"/>
          </w:tcPr>
          <w:p>
            <w:pPr>
              <w:rPr>
                <w:color w:val="000000"/>
                <w:sz w:val="18"/>
                <w:szCs w:val="18"/>
              </w:rPr>
            </w:pPr>
            <w:r>
              <w:rPr>
                <w:color w:val="000000"/>
                <w:sz w:val="18"/>
                <w:szCs w:val="18"/>
              </w:rPr>
              <w:t>扩口试验</w:t>
            </w:r>
          </w:p>
        </w:tc>
        <w:tc>
          <w:tcPr>
            <w:tcW w:w="2835" w:type="dxa"/>
            <w:vAlign w:val="center"/>
          </w:tcPr>
          <w:p>
            <w:pPr>
              <w:jc w:val="center"/>
              <w:rPr>
                <w:color w:val="000000"/>
                <w:sz w:val="18"/>
                <w:szCs w:val="18"/>
              </w:rPr>
            </w:pPr>
            <w:r>
              <w:rPr>
                <w:color w:val="000000"/>
                <w:sz w:val="18"/>
                <w:szCs w:val="18"/>
              </w:rPr>
              <w:t>√</w:t>
            </w:r>
          </w:p>
        </w:tc>
        <w:tc>
          <w:tcPr>
            <w:tcW w:w="2835" w:type="dxa"/>
            <w:tcBorders>
              <w:right w:val="single" w:color="auto" w:sz="8" w:space="0"/>
            </w:tcBorders>
            <w:vAlign w:val="center"/>
          </w:tcPr>
          <w:p>
            <w:pPr>
              <w:jc w:val="center"/>
              <w:rPr>
                <w:color w:val="000000"/>
                <w:sz w:val="18"/>
                <w:szCs w:val="18"/>
              </w:rPr>
            </w:pPr>
            <w:r>
              <w:rPr>
                <w:color w:val="000000"/>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643" w:type="dxa"/>
            <w:tcBorders>
              <w:left w:val="single" w:color="auto" w:sz="8" w:space="0"/>
            </w:tcBorders>
            <w:vAlign w:val="center"/>
          </w:tcPr>
          <w:p>
            <w:pPr>
              <w:rPr>
                <w:color w:val="000000"/>
                <w:sz w:val="18"/>
                <w:szCs w:val="18"/>
              </w:rPr>
            </w:pPr>
            <w:r>
              <w:rPr>
                <w:color w:val="000000"/>
                <w:sz w:val="18"/>
                <w:szCs w:val="18"/>
              </w:rPr>
              <w:t>压扁试验</w:t>
            </w:r>
          </w:p>
        </w:tc>
        <w:tc>
          <w:tcPr>
            <w:tcW w:w="2835" w:type="dxa"/>
            <w:vAlign w:val="center"/>
          </w:tcPr>
          <w:p>
            <w:pPr>
              <w:jc w:val="center"/>
              <w:rPr>
                <w:color w:val="000000"/>
                <w:sz w:val="18"/>
                <w:szCs w:val="18"/>
              </w:rPr>
            </w:pPr>
            <w:r>
              <w:rPr>
                <w:rFonts w:ascii="Cambria Math" w:hAnsi="Cambria Math" w:cs="Cambria Math"/>
                <w:color w:val="000000"/>
                <w:sz w:val="18"/>
                <w:szCs w:val="18"/>
              </w:rPr>
              <w:t>△</w:t>
            </w:r>
          </w:p>
        </w:tc>
        <w:tc>
          <w:tcPr>
            <w:tcW w:w="2835" w:type="dxa"/>
            <w:tcBorders>
              <w:right w:val="single" w:color="auto" w:sz="8" w:space="0"/>
            </w:tcBorders>
            <w:vAlign w:val="center"/>
          </w:tcPr>
          <w:p>
            <w:pPr>
              <w:jc w:val="center"/>
              <w:rPr>
                <w:color w:val="000000"/>
                <w:sz w:val="18"/>
                <w:szCs w:val="18"/>
              </w:rPr>
            </w:pPr>
            <w:r>
              <w:rPr>
                <w:color w:val="000000"/>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643" w:type="dxa"/>
            <w:tcBorders>
              <w:left w:val="single" w:color="auto" w:sz="8" w:space="0"/>
            </w:tcBorders>
            <w:vAlign w:val="center"/>
          </w:tcPr>
          <w:p>
            <w:pPr>
              <w:rPr>
                <w:color w:val="000000"/>
                <w:sz w:val="18"/>
                <w:szCs w:val="18"/>
                <w:vertAlign w:val="superscript"/>
              </w:rPr>
            </w:pPr>
            <w:bookmarkStart w:id="70" w:name="OLE_LINK26"/>
            <w:bookmarkStart w:id="71" w:name="OLE_LINK27"/>
            <w:r>
              <w:rPr>
                <w:color w:val="000000"/>
                <w:sz w:val="18"/>
                <w:szCs w:val="18"/>
              </w:rPr>
              <w:t>非破坏性试验</w:t>
            </w:r>
            <w:bookmarkEnd w:id="70"/>
            <w:bookmarkEnd w:id="71"/>
            <w:r>
              <w:rPr>
                <w:color w:val="000000"/>
                <w:sz w:val="18"/>
                <w:szCs w:val="18"/>
                <w:vertAlign w:val="superscript"/>
              </w:rPr>
              <w:t>a</w:t>
            </w:r>
          </w:p>
        </w:tc>
        <w:tc>
          <w:tcPr>
            <w:tcW w:w="2835" w:type="dxa"/>
            <w:vAlign w:val="center"/>
          </w:tcPr>
          <w:p>
            <w:pPr>
              <w:jc w:val="center"/>
              <w:rPr>
                <w:color w:val="000000"/>
                <w:sz w:val="18"/>
                <w:szCs w:val="18"/>
              </w:rPr>
            </w:pPr>
            <w:r>
              <w:rPr>
                <w:color w:val="000000"/>
                <w:sz w:val="18"/>
                <w:szCs w:val="18"/>
              </w:rPr>
              <w:t>√</w:t>
            </w:r>
          </w:p>
        </w:tc>
        <w:tc>
          <w:tcPr>
            <w:tcW w:w="2835" w:type="dxa"/>
            <w:tcBorders>
              <w:right w:val="single" w:color="auto" w:sz="8" w:space="0"/>
            </w:tcBorders>
            <w:vAlign w:val="center"/>
          </w:tcPr>
          <w:p>
            <w:pPr>
              <w:jc w:val="center"/>
              <w:rPr>
                <w:color w:val="000000"/>
                <w:sz w:val="18"/>
                <w:szCs w:val="18"/>
              </w:rPr>
            </w:pPr>
            <w:r>
              <w:rPr>
                <w:color w:val="000000"/>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643" w:type="dxa"/>
            <w:tcBorders>
              <w:left w:val="single" w:color="auto" w:sz="8" w:space="0"/>
            </w:tcBorders>
            <w:vAlign w:val="center"/>
          </w:tcPr>
          <w:p>
            <w:pPr>
              <w:rPr>
                <w:color w:val="000000"/>
                <w:sz w:val="18"/>
                <w:szCs w:val="18"/>
              </w:rPr>
            </w:pPr>
            <w:r>
              <w:rPr>
                <w:color w:val="000000"/>
                <w:sz w:val="18"/>
                <w:szCs w:val="18"/>
              </w:rPr>
              <w:t>外压设计检验</w:t>
            </w:r>
          </w:p>
        </w:tc>
        <w:tc>
          <w:tcPr>
            <w:tcW w:w="2835" w:type="dxa"/>
            <w:vAlign w:val="center"/>
          </w:tcPr>
          <w:p>
            <w:pPr>
              <w:jc w:val="center"/>
              <w:rPr>
                <w:color w:val="000000"/>
                <w:sz w:val="18"/>
                <w:szCs w:val="18"/>
              </w:rPr>
            </w:pPr>
            <w:r>
              <w:rPr>
                <w:rFonts w:ascii="Cambria Math" w:hAnsi="Cambria Math" w:cs="Cambria Math"/>
                <w:color w:val="000000"/>
                <w:sz w:val="18"/>
                <w:szCs w:val="18"/>
              </w:rPr>
              <w:t>△</w:t>
            </w:r>
          </w:p>
        </w:tc>
        <w:tc>
          <w:tcPr>
            <w:tcW w:w="2835" w:type="dxa"/>
            <w:tcBorders>
              <w:right w:val="single" w:color="auto" w:sz="8" w:space="0"/>
            </w:tcBorders>
            <w:vAlign w:val="center"/>
          </w:tcPr>
          <w:p>
            <w:pPr>
              <w:jc w:val="center"/>
              <w:rPr>
                <w:color w:val="000000"/>
                <w:sz w:val="18"/>
                <w:szCs w:val="18"/>
              </w:rPr>
            </w:pPr>
            <w:r>
              <w:rPr>
                <w:color w:val="000000"/>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643" w:type="dxa"/>
            <w:tcBorders>
              <w:left w:val="single" w:color="auto" w:sz="8" w:space="0"/>
            </w:tcBorders>
            <w:vAlign w:val="center"/>
          </w:tcPr>
          <w:p>
            <w:pPr>
              <w:rPr>
                <w:color w:val="000000"/>
                <w:sz w:val="18"/>
                <w:szCs w:val="18"/>
                <w:vertAlign w:val="superscript"/>
              </w:rPr>
            </w:pPr>
            <w:r>
              <w:rPr>
                <w:color w:val="000000"/>
                <w:sz w:val="18"/>
                <w:szCs w:val="18"/>
              </w:rPr>
              <w:t>残余应力</w:t>
            </w:r>
            <w:r>
              <w:rPr>
                <w:color w:val="000000"/>
                <w:sz w:val="18"/>
                <w:szCs w:val="18"/>
                <w:vertAlign w:val="superscript"/>
              </w:rPr>
              <w:t>b</w:t>
            </w:r>
          </w:p>
        </w:tc>
        <w:tc>
          <w:tcPr>
            <w:tcW w:w="2835" w:type="dxa"/>
            <w:vAlign w:val="center"/>
          </w:tcPr>
          <w:p>
            <w:pPr>
              <w:jc w:val="center"/>
              <w:rPr>
                <w:rFonts w:ascii="Cambria Math" w:hAnsi="Cambria Math" w:cs="Cambria Math"/>
                <w:color w:val="000000"/>
                <w:sz w:val="18"/>
                <w:szCs w:val="18"/>
              </w:rPr>
            </w:pPr>
            <w:r>
              <w:rPr>
                <w:rFonts w:ascii="Cambria Math" w:hAnsi="Cambria Math" w:cs="Cambria Math"/>
                <w:color w:val="000000"/>
                <w:sz w:val="18"/>
                <w:szCs w:val="18"/>
              </w:rPr>
              <w:t>△</w:t>
            </w:r>
          </w:p>
        </w:tc>
        <w:tc>
          <w:tcPr>
            <w:tcW w:w="2835" w:type="dxa"/>
            <w:tcBorders>
              <w:right w:val="single" w:color="auto" w:sz="8" w:space="0"/>
            </w:tcBorders>
            <w:vAlign w:val="center"/>
          </w:tcPr>
          <w:p>
            <w:pPr>
              <w:jc w:val="center"/>
              <w:rPr>
                <w:color w:val="000000"/>
                <w:sz w:val="18"/>
                <w:szCs w:val="18"/>
              </w:rPr>
            </w:pPr>
            <w:r>
              <w:rPr>
                <w:color w:val="000000"/>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643" w:type="dxa"/>
            <w:tcBorders>
              <w:left w:val="single" w:color="auto" w:sz="8" w:space="0"/>
            </w:tcBorders>
            <w:vAlign w:val="center"/>
          </w:tcPr>
          <w:p>
            <w:pPr>
              <w:rPr>
                <w:color w:val="000000"/>
                <w:sz w:val="18"/>
                <w:szCs w:val="18"/>
              </w:rPr>
            </w:pPr>
            <w:r>
              <w:rPr>
                <w:color w:val="000000"/>
                <w:sz w:val="18"/>
                <w:szCs w:val="18"/>
              </w:rPr>
              <w:t>晶粒度</w:t>
            </w:r>
          </w:p>
        </w:tc>
        <w:tc>
          <w:tcPr>
            <w:tcW w:w="2835" w:type="dxa"/>
            <w:vAlign w:val="center"/>
          </w:tcPr>
          <w:p>
            <w:pPr>
              <w:ind w:hanging="13"/>
              <w:jc w:val="center"/>
              <w:rPr>
                <w:color w:val="000000"/>
                <w:sz w:val="18"/>
                <w:szCs w:val="18"/>
              </w:rPr>
            </w:pPr>
            <w:r>
              <w:rPr>
                <w:color w:val="000000"/>
                <w:sz w:val="18"/>
                <w:szCs w:val="18"/>
              </w:rPr>
              <w:t>√</w:t>
            </w:r>
          </w:p>
        </w:tc>
        <w:tc>
          <w:tcPr>
            <w:tcW w:w="2835" w:type="dxa"/>
            <w:tcBorders>
              <w:right w:val="single" w:color="auto" w:sz="8" w:space="0"/>
            </w:tcBorders>
            <w:vAlign w:val="center"/>
          </w:tcPr>
          <w:p>
            <w:pPr>
              <w:jc w:val="center"/>
              <w:rPr>
                <w:color w:val="000000"/>
                <w:sz w:val="18"/>
                <w:szCs w:val="18"/>
              </w:rPr>
            </w:pPr>
            <w:r>
              <w:rPr>
                <w:color w:val="000000"/>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643" w:type="dxa"/>
            <w:tcBorders>
              <w:left w:val="single" w:color="auto" w:sz="8" w:space="0"/>
            </w:tcBorders>
            <w:vAlign w:val="center"/>
          </w:tcPr>
          <w:p>
            <w:pPr>
              <w:rPr>
                <w:color w:val="000000"/>
                <w:sz w:val="18"/>
                <w:szCs w:val="18"/>
              </w:rPr>
            </w:pPr>
            <w:r>
              <w:rPr>
                <w:color w:val="000000"/>
                <w:sz w:val="18"/>
                <w:szCs w:val="18"/>
              </w:rPr>
              <w:t>清洁度</w:t>
            </w:r>
          </w:p>
        </w:tc>
        <w:tc>
          <w:tcPr>
            <w:tcW w:w="2835" w:type="dxa"/>
            <w:vAlign w:val="center"/>
          </w:tcPr>
          <w:p>
            <w:pPr>
              <w:ind w:hanging="13"/>
              <w:jc w:val="center"/>
              <w:rPr>
                <w:color w:val="000000"/>
                <w:sz w:val="18"/>
                <w:szCs w:val="18"/>
              </w:rPr>
            </w:pPr>
            <w:r>
              <w:rPr>
                <w:rFonts w:ascii="Cambria Math" w:hAnsi="Cambria Math" w:cs="Cambria Math"/>
                <w:color w:val="000000"/>
                <w:sz w:val="18"/>
                <w:szCs w:val="18"/>
              </w:rPr>
              <w:t>△</w:t>
            </w:r>
          </w:p>
        </w:tc>
        <w:tc>
          <w:tcPr>
            <w:tcW w:w="2835" w:type="dxa"/>
            <w:tcBorders>
              <w:right w:val="single" w:color="auto" w:sz="8" w:space="0"/>
            </w:tcBorders>
            <w:vAlign w:val="center"/>
          </w:tcPr>
          <w:p>
            <w:pPr>
              <w:jc w:val="center"/>
              <w:rPr>
                <w:color w:val="000000"/>
                <w:sz w:val="18"/>
                <w:szCs w:val="18"/>
              </w:rPr>
            </w:pPr>
            <w:r>
              <w:rPr>
                <w:color w:val="000000"/>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643" w:type="dxa"/>
            <w:tcBorders>
              <w:left w:val="single" w:color="auto" w:sz="8" w:space="0"/>
            </w:tcBorders>
            <w:vAlign w:val="center"/>
          </w:tcPr>
          <w:p>
            <w:pPr>
              <w:rPr>
                <w:color w:val="000000"/>
                <w:sz w:val="18"/>
                <w:szCs w:val="18"/>
              </w:rPr>
            </w:pPr>
            <w:r>
              <w:rPr>
                <w:color w:val="000000"/>
                <w:sz w:val="18"/>
                <w:szCs w:val="18"/>
              </w:rPr>
              <w:t>热工性能</w:t>
            </w:r>
          </w:p>
        </w:tc>
        <w:tc>
          <w:tcPr>
            <w:tcW w:w="2835" w:type="dxa"/>
            <w:vAlign w:val="center"/>
          </w:tcPr>
          <w:p>
            <w:pPr>
              <w:ind w:hanging="13"/>
              <w:jc w:val="center"/>
              <w:rPr>
                <w:rFonts w:ascii="Cambria Math" w:hAnsi="Cambria Math" w:cs="Cambria Math"/>
                <w:color w:val="000000"/>
                <w:sz w:val="18"/>
                <w:szCs w:val="18"/>
              </w:rPr>
            </w:pPr>
            <w:r>
              <w:rPr>
                <w:rFonts w:ascii="Cambria Math" w:hAnsi="Cambria Math" w:cs="Cambria Math"/>
                <w:color w:val="000000"/>
                <w:sz w:val="18"/>
                <w:szCs w:val="18"/>
              </w:rPr>
              <w:t>△</w:t>
            </w:r>
          </w:p>
        </w:tc>
        <w:tc>
          <w:tcPr>
            <w:tcW w:w="2835" w:type="dxa"/>
            <w:tcBorders>
              <w:right w:val="single" w:color="auto" w:sz="8" w:space="0"/>
            </w:tcBorders>
            <w:vAlign w:val="center"/>
          </w:tcPr>
          <w:p>
            <w:pPr>
              <w:jc w:val="center"/>
              <w:rPr>
                <w:color w:val="000000"/>
                <w:sz w:val="18"/>
                <w:szCs w:val="18"/>
              </w:rPr>
            </w:pPr>
            <w:r>
              <w:rPr>
                <w:color w:val="000000"/>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643" w:type="dxa"/>
            <w:tcBorders>
              <w:left w:val="single" w:color="auto" w:sz="8" w:space="0"/>
            </w:tcBorders>
            <w:vAlign w:val="center"/>
          </w:tcPr>
          <w:p>
            <w:pPr>
              <w:rPr>
                <w:color w:val="000000"/>
                <w:sz w:val="18"/>
                <w:szCs w:val="18"/>
              </w:rPr>
            </w:pPr>
            <w:r>
              <w:rPr>
                <w:color w:val="000000"/>
                <w:sz w:val="18"/>
                <w:szCs w:val="18"/>
              </w:rPr>
              <w:t>表面质量</w:t>
            </w:r>
          </w:p>
        </w:tc>
        <w:tc>
          <w:tcPr>
            <w:tcW w:w="2835" w:type="dxa"/>
            <w:vAlign w:val="center"/>
          </w:tcPr>
          <w:p>
            <w:pPr>
              <w:ind w:hanging="13"/>
              <w:jc w:val="center"/>
              <w:rPr>
                <w:color w:val="000000"/>
                <w:sz w:val="18"/>
                <w:szCs w:val="18"/>
              </w:rPr>
            </w:pPr>
            <w:r>
              <w:rPr>
                <w:color w:val="000000"/>
                <w:sz w:val="18"/>
                <w:szCs w:val="18"/>
              </w:rPr>
              <w:t>√</w:t>
            </w:r>
          </w:p>
        </w:tc>
        <w:tc>
          <w:tcPr>
            <w:tcW w:w="2835" w:type="dxa"/>
            <w:tcBorders>
              <w:right w:val="single" w:color="auto" w:sz="8" w:space="0"/>
            </w:tcBorders>
            <w:vAlign w:val="center"/>
          </w:tcPr>
          <w:p>
            <w:pPr>
              <w:jc w:val="center"/>
              <w:rPr>
                <w:color w:val="000000"/>
                <w:sz w:val="18"/>
                <w:szCs w:val="18"/>
              </w:rPr>
            </w:pPr>
            <w:r>
              <w:rPr>
                <w:color w:val="000000"/>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313" w:type="dxa"/>
            <w:gridSpan w:val="3"/>
            <w:tcBorders>
              <w:left w:val="single" w:color="auto" w:sz="8" w:space="0"/>
              <w:bottom w:val="single" w:color="auto" w:sz="8" w:space="0"/>
              <w:right w:val="single" w:color="auto" w:sz="8" w:space="0"/>
            </w:tcBorders>
          </w:tcPr>
          <w:p>
            <w:pPr>
              <w:rPr>
                <w:color w:val="000000"/>
                <w:sz w:val="18"/>
                <w:szCs w:val="18"/>
              </w:rPr>
            </w:pPr>
            <w:r>
              <w:rPr>
                <w:rFonts w:eastAsia="黑体"/>
                <w:color w:val="000000"/>
                <w:sz w:val="18"/>
                <w:szCs w:val="18"/>
              </w:rPr>
              <w:t>注：</w:t>
            </w:r>
            <w:r>
              <w:rPr>
                <w:color w:val="000000"/>
                <w:sz w:val="18"/>
                <w:szCs w:val="18"/>
              </w:rPr>
              <w:t>表中“√”表示“检验项目”；“</w:t>
            </w:r>
            <w:r>
              <w:rPr>
                <w:rFonts w:ascii="Cambria Math" w:hAnsi="Cambria Math" w:cs="Cambria Math"/>
                <w:color w:val="000000"/>
                <w:sz w:val="18"/>
                <w:szCs w:val="18"/>
              </w:rPr>
              <w:t>△</w:t>
            </w:r>
            <w:r>
              <w:rPr>
                <w:color w:val="000000"/>
                <w:sz w:val="18"/>
                <w:szCs w:val="18"/>
              </w:rPr>
              <w:t>”表示“需方有要求时进行的检验项目”。</w:t>
            </w:r>
          </w:p>
          <w:p>
            <w:pPr>
              <w:pStyle w:val="56"/>
              <w:ind w:firstLine="0" w:firstLineChars="0"/>
              <w:rPr>
                <w:color w:val="000000"/>
                <w:sz w:val="18"/>
                <w:szCs w:val="18"/>
              </w:rPr>
            </w:pPr>
            <w:r>
              <w:rPr>
                <w:color w:val="000000"/>
                <w:sz w:val="18"/>
                <w:szCs w:val="18"/>
                <w:vertAlign w:val="superscript"/>
              </w:rPr>
              <w:t xml:space="preserve">a </w:t>
            </w:r>
            <w:r>
              <w:rPr>
                <w:color w:val="000000"/>
                <w:sz w:val="18"/>
                <w:szCs w:val="18"/>
              </w:rPr>
              <w:t>非破坏性试验中，应从 5.5.1、5.5.2 规定的两类检测方法中至少选取一种</w:t>
            </w:r>
            <w:r>
              <w:rPr>
                <w:rFonts w:hint="eastAsia"/>
                <w:color w:val="000000"/>
                <w:sz w:val="18"/>
                <w:szCs w:val="18"/>
              </w:rPr>
              <w:t>检测；同时</w:t>
            </w:r>
            <w:r>
              <w:rPr>
                <w:color w:val="000000"/>
                <w:sz w:val="18"/>
                <w:szCs w:val="18"/>
              </w:rPr>
              <w:t>应从 5.5.3、5.5.4 规定的两类检测方法中至少选取一种</w:t>
            </w:r>
            <w:r>
              <w:rPr>
                <w:rFonts w:hint="eastAsia"/>
                <w:color w:val="000000"/>
                <w:sz w:val="18"/>
                <w:szCs w:val="18"/>
              </w:rPr>
              <w:t>检测。</w:t>
            </w:r>
          </w:p>
          <w:p>
            <w:pPr>
              <w:pStyle w:val="56"/>
              <w:ind w:firstLine="0" w:firstLineChars="0"/>
              <w:rPr>
                <w:color w:val="000000"/>
                <w:sz w:val="18"/>
                <w:szCs w:val="18"/>
              </w:rPr>
            </w:pPr>
            <w:r>
              <w:rPr>
                <w:color w:val="000000"/>
                <w:sz w:val="18"/>
                <w:szCs w:val="18"/>
                <w:vertAlign w:val="superscript"/>
              </w:rPr>
              <w:t>b</w:t>
            </w:r>
            <w:r>
              <w:rPr>
                <w:rFonts w:hint="eastAsia"/>
                <w:color w:val="000000"/>
                <w:sz w:val="18"/>
                <w:szCs w:val="18"/>
              </w:rPr>
              <w:t xml:space="preserve"> </w:t>
            </w:r>
            <w:r>
              <w:rPr>
                <w:rFonts w:hint="eastAsia" w:ascii="宋体" w:hAnsi="宋体"/>
                <w:sz w:val="18"/>
                <w:szCs w:val="18"/>
              </w:rPr>
              <w:t>牌号为</w:t>
            </w:r>
            <w:r>
              <w:rPr>
                <w:rFonts w:ascii="宋体" w:hAnsi="宋体"/>
                <w:sz w:val="18"/>
                <w:szCs w:val="18"/>
              </w:rPr>
              <w:t>HA177-2</w:t>
            </w:r>
            <w:r>
              <w:rPr>
                <w:rFonts w:hint="eastAsia" w:ascii="宋体" w:hAnsi="宋体"/>
                <w:sz w:val="18"/>
                <w:szCs w:val="18"/>
              </w:rPr>
              <w:t>、</w:t>
            </w:r>
            <w:r>
              <w:rPr>
                <w:rFonts w:ascii="宋体" w:hAnsi="宋体"/>
                <w:sz w:val="18"/>
                <w:szCs w:val="18"/>
              </w:rPr>
              <w:t>HSn70-1</w:t>
            </w:r>
            <w:r>
              <w:rPr>
                <w:rFonts w:hint="eastAsia" w:ascii="宋体" w:hAnsi="宋体"/>
                <w:sz w:val="18"/>
                <w:szCs w:val="18"/>
              </w:rPr>
              <w:t>的管材需</w:t>
            </w:r>
            <w:r>
              <w:rPr>
                <w:rFonts w:ascii="宋体" w:hAnsi="宋体"/>
                <w:sz w:val="18"/>
                <w:szCs w:val="18"/>
              </w:rPr>
              <w:t>进行残余应力检测；其他牌号的管材需方有要求时进行残余应力检测</w:t>
            </w:r>
            <w:r>
              <w:rPr>
                <w:rFonts w:hint="eastAsia" w:ascii="宋体" w:hAnsi="宋体"/>
                <w:sz w:val="18"/>
                <w:szCs w:val="18"/>
              </w:rPr>
              <w:t>。</w:t>
            </w:r>
          </w:p>
        </w:tc>
      </w:tr>
    </w:tbl>
    <w:p>
      <w:pPr>
        <w:pStyle w:val="3"/>
        <w:ind w:firstLine="420" w:firstLineChars="200"/>
        <w:jc w:val="left"/>
        <w:textAlignment w:val="baseline"/>
        <w:rPr>
          <w:color w:val="000000"/>
        </w:rPr>
      </w:pPr>
    </w:p>
    <w:p>
      <w:pPr>
        <w:pStyle w:val="56"/>
        <w:numPr>
          <w:ilvl w:val="1"/>
          <w:numId w:val="17"/>
        </w:numPr>
        <w:ind w:firstLineChars="0"/>
        <w:rPr>
          <w:rFonts w:eastAsia="黑体"/>
          <w:bCs/>
          <w:color w:val="000000"/>
        </w:rPr>
      </w:pPr>
      <w:r>
        <w:rPr>
          <w:rFonts w:eastAsia="黑体"/>
          <w:bCs/>
          <w:color w:val="000000"/>
        </w:rPr>
        <w:t>取样</w:t>
      </w:r>
    </w:p>
    <w:p>
      <w:pPr>
        <w:ind w:firstLine="315" w:firstLineChars="150"/>
        <w:rPr>
          <w:color w:val="000000"/>
        </w:rPr>
      </w:pPr>
      <w:r>
        <w:rPr>
          <w:color w:val="000000"/>
        </w:rPr>
        <w:t>产品取样应符合表1</w:t>
      </w:r>
      <w:r>
        <w:rPr>
          <w:rFonts w:hint="eastAsia"/>
          <w:color w:val="000000"/>
        </w:rPr>
        <w:t>2</w:t>
      </w:r>
      <w:r>
        <w:rPr>
          <w:color w:val="000000"/>
        </w:rPr>
        <w:t>的规定。</w:t>
      </w:r>
    </w:p>
    <w:p>
      <w:pPr>
        <w:ind w:firstLine="315" w:firstLineChars="150"/>
        <w:rPr>
          <w:color w:val="000000"/>
        </w:rPr>
      </w:pPr>
    </w:p>
    <w:p>
      <w:pPr>
        <w:jc w:val="center"/>
        <w:rPr>
          <w:rFonts w:eastAsia="黑体"/>
          <w:bCs/>
          <w:color w:val="000000"/>
        </w:rPr>
      </w:pPr>
      <w:r>
        <w:rPr>
          <w:rFonts w:eastAsia="黑体"/>
          <w:bCs/>
          <w:color w:val="000000"/>
        </w:rPr>
        <w:t>表1</w:t>
      </w:r>
      <w:r>
        <w:rPr>
          <w:rFonts w:hint="eastAsia" w:eastAsia="黑体"/>
          <w:bCs/>
          <w:color w:val="000000"/>
        </w:rPr>
        <w:t>2</w:t>
      </w:r>
      <w:r>
        <w:rPr>
          <w:rFonts w:eastAsia="黑体"/>
          <w:bCs/>
          <w:color w:val="000000"/>
        </w:rPr>
        <w:t xml:space="preserve">  取样规定</w:t>
      </w:r>
    </w:p>
    <w:tbl>
      <w:tblPr>
        <w:tblStyle w:val="16"/>
        <w:tblW w:w="492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43"/>
        <w:gridCol w:w="2903"/>
        <w:gridCol w:w="2393"/>
        <w:gridCol w:w="239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924" w:type="pct"/>
            <w:tcBorders>
              <w:top w:val="single" w:color="auto" w:sz="8" w:space="0"/>
              <w:left w:val="single" w:color="auto" w:sz="8" w:space="0"/>
              <w:bottom w:val="single" w:color="auto" w:sz="8" w:space="0"/>
            </w:tcBorders>
            <w:vAlign w:val="center"/>
          </w:tcPr>
          <w:p>
            <w:pPr>
              <w:jc w:val="center"/>
              <w:rPr>
                <w:color w:val="000000"/>
                <w:sz w:val="18"/>
                <w:szCs w:val="18"/>
              </w:rPr>
            </w:pPr>
            <w:r>
              <w:rPr>
                <w:color w:val="000000"/>
                <w:sz w:val="18"/>
                <w:szCs w:val="18"/>
              </w:rPr>
              <w:t>检验项目</w:t>
            </w:r>
          </w:p>
        </w:tc>
        <w:tc>
          <w:tcPr>
            <w:tcW w:w="1539" w:type="pct"/>
            <w:tcBorders>
              <w:top w:val="single" w:color="auto" w:sz="8" w:space="0"/>
              <w:bottom w:val="single" w:color="auto" w:sz="8" w:space="0"/>
            </w:tcBorders>
            <w:vAlign w:val="center"/>
          </w:tcPr>
          <w:p>
            <w:pPr>
              <w:jc w:val="center"/>
              <w:rPr>
                <w:color w:val="000000"/>
                <w:sz w:val="18"/>
                <w:szCs w:val="18"/>
              </w:rPr>
            </w:pPr>
            <w:r>
              <w:rPr>
                <w:color w:val="000000"/>
                <w:sz w:val="18"/>
                <w:szCs w:val="18"/>
              </w:rPr>
              <w:t>取样规定</w:t>
            </w:r>
          </w:p>
        </w:tc>
        <w:tc>
          <w:tcPr>
            <w:tcW w:w="1269" w:type="pct"/>
            <w:tcBorders>
              <w:top w:val="single" w:color="auto" w:sz="8" w:space="0"/>
              <w:bottom w:val="single" w:color="auto" w:sz="8" w:space="0"/>
            </w:tcBorders>
            <w:vAlign w:val="center"/>
          </w:tcPr>
          <w:p>
            <w:pPr>
              <w:jc w:val="center"/>
              <w:rPr>
                <w:color w:val="000000"/>
                <w:sz w:val="18"/>
                <w:szCs w:val="18"/>
              </w:rPr>
            </w:pPr>
            <w:r>
              <w:rPr>
                <w:rFonts w:hint="eastAsia"/>
                <w:color w:val="000000"/>
                <w:sz w:val="18"/>
                <w:szCs w:val="18"/>
              </w:rPr>
              <w:t>技术</w:t>
            </w:r>
            <w:r>
              <w:rPr>
                <w:color w:val="000000"/>
                <w:sz w:val="18"/>
                <w:szCs w:val="18"/>
              </w:rPr>
              <w:t>要求的章节条号</w:t>
            </w:r>
          </w:p>
        </w:tc>
        <w:tc>
          <w:tcPr>
            <w:tcW w:w="1268" w:type="pct"/>
            <w:tcBorders>
              <w:top w:val="single" w:color="auto" w:sz="8" w:space="0"/>
              <w:bottom w:val="single" w:color="auto" w:sz="8" w:space="0"/>
              <w:right w:val="single" w:color="auto" w:sz="8" w:space="0"/>
            </w:tcBorders>
            <w:vAlign w:val="center"/>
          </w:tcPr>
          <w:p>
            <w:pPr>
              <w:jc w:val="center"/>
              <w:rPr>
                <w:color w:val="000000"/>
                <w:sz w:val="18"/>
                <w:szCs w:val="18"/>
              </w:rPr>
            </w:pPr>
            <w:r>
              <w:rPr>
                <w:color w:val="000000"/>
                <w:sz w:val="18"/>
                <w:szCs w:val="18"/>
              </w:rPr>
              <w:t>试验方法的章条号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4" w:type="pct"/>
            <w:tcBorders>
              <w:top w:val="single" w:color="auto" w:sz="8" w:space="0"/>
              <w:left w:val="single" w:color="auto" w:sz="8" w:space="0"/>
            </w:tcBorders>
            <w:vAlign w:val="center"/>
          </w:tcPr>
          <w:p>
            <w:pPr>
              <w:jc w:val="center"/>
              <w:rPr>
                <w:color w:val="000000"/>
                <w:sz w:val="18"/>
                <w:szCs w:val="18"/>
              </w:rPr>
            </w:pPr>
            <w:r>
              <w:rPr>
                <w:color w:val="000000"/>
                <w:sz w:val="18"/>
                <w:szCs w:val="18"/>
              </w:rPr>
              <w:t>化学成分</w:t>
            </w:r>
          </w:p>
        </w:tc>
        <w:tc>
          <w:tcPr>
            <w:tcW w:w="1539" w:type="pct"/>
            <w:tcBorders>
              <w:top w:val="single" w:color="auto" w:sz="8" w:space="0"/>
            </w:tcBorders>
            <w:vAlign w:val="center"/>
          </w:tcPr>
          <w:p>
            <w:pPr>
              <w:jc w:val="center"/>
              <w:rPr>
                <w:color w:val="000000"/>
                <w:sz w:val="18"/>
                <w:szCs w:val="18"/>
              </w:rPr>
            </w:pPr>
            <w:r>
              <w:rPr>
                <w:color w:val="000000"/>
                <w:sz w:val="18"/>
                <w:szCs w:val="18"/>
              </w:rPr>
              <w:t>每批管材中任取一个试样</w:t>
            </w:r>
          </w:p>
        </w:tc>
        <w:tc>
          <w:tcPr>
            <w:tcW w:w="1269" w:type="pct"/>
            <w:tcBorders>
              <w:top w:val="single" w:color="auto" w:sz="8" w:space="0"/>
            </w:tcBorders>
            <w:vAlign w:val="center"/>
          </w:tcPr>
          <w:p>
            <w:pPr>
              <w:jc w:val="center"/>
              <w:rPr>
                <w:color w:val="000000"/>
                <w:sz w:val="18"/>
                <w:szCs w:val="18"/>
              </w:rPr>
            </w:pPr>
            <w:r>
              <w:rPr>
                <w:color w:val="000000"/>
                <w:sz w:val="18"/>
                <w:szCs w:val="18"/>
              </w:rPr>
              <w:t xml:space="preserve">5.1 </w:t>
            </w:r>
          </w:p>
        </w:tc>
        <w:tc>
          <w:tcPr>
            <w:tcW w:w="1268" w:type="pct"/>
            <w:tcBorders>
              <w:top w:val="single" w:color="auto" w:sz="8" w:space="0"/>
              <w:right w:val="single" w:color="auto" w:sz="8" w:space="0"/>
            </w:tcBorders>
            <w:vAlign w:val="center"/>
          </w:tcPr>
          <w:p>
            <w:pPr>
              <w:jc w:val="center"/>
              <w:rPr>
                <w:color w:val="000000"/>
                <w:sz w:val="18"/>
                <w:szCs w:val="18"/>
              </w:rPr>
            </w:pPr>
            <w:r>
              <w:rPr>
                <w:color w:val="000000"/>
                <w:sz w:val="18"/>
                <w:szCs w:val="18"/>
              </w:rPr>
              <w:t>6.1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924" w:type="pct"/>
            <w:tcBorders>
              <w:left w:val="single" w:color="auto" w:sz="8" w:space="0"/>
            </w:tcBorders>
            <w:vAlign w:val="center"/>
          </w:tcPr>
          <w:p>
            <w:pPr>
              <w:jc w:val="center"/>
              <w:rPr>
                <w:color w:val="000000"/>
                <w:sz w:val="18"/>
                <w:szCs w:val="18"/>
              </w:rPr>
            </w:pPr>
            <w:r>
              <w:rPr>
                <w:color w:val="000000"/>
                <w:sz w:val="18"/>
                <w:szCs w:val="18"/>
              </w:rPr>
              <w:t>外形尺寸偏差</w:t>
            </w:r>
          </w:p>
        </w:tc>
        <w:tc>
          <w:tcPr>
            <w:tcW w:w="1539" w:type="pct"/>
            <w:vAlign w:val="center"/>
          </w:tcPr>
          <w:p>
            <w:pPr>
              <w:ind w:firstLine="29"/>
              <w:jc w:val="center"/>
              <w:rPr>
                <w:color w:val="000000"/>
                <w:sz w:val="18"/>
                <w:szCs w:val="18"/>
              </w:rPr>
            </w:pPr>
            <w:r>
              <w:rPr>
                <w:color w:val="000000"/>
                <w:sz w:val="18"/>
                <w:szCs w:val="18"/>
              </w:rPr>
              <w:t>按</w:t>
            </w:r>
            <w:r>
              <w:rPr>
                <w:color w:val="000000" w:themeColor="text1"/>
                <w:sz w:val="18"/>
                <w:szCs w:val="18"/>
                <w14:textFill>
                  <w14:solidFill>
                    <w14:schemeClr w14:val="tx1"/>
                  </w14:solidFill>
                </w14:textFill>
              </w:rPr>
              <w:t>照GB/T2</w:t>
            </w:r>
            <w:r>
              <w:rPr>
                <w:sz w:val="18"/>
                <w:szCs w:val="18"/>
              </w:rPr>
              <w:t>828.1规定</w:t>
            </w:r>
            <w:r>
              <w:rPr>
                <w:color w:val="000000"/>
                <w:sz w:val="18"/>
                <w:szCs w:val="18"/>
              </w:rPr>
              <w:t>取样，一般检验水平Ⅱ或供需双方协商，接收质量限AQL=2.5</w:t>
            </w:r>
          </w:p>
        </w:tc>
        <w:tc>
          <w:tcPr>
            <w:tcW w:w="1269" w:type="pct"/>
            <w:vAlign w:val="center"/>
          </w:tcPr>
          <w:p>
            <w:pPr>
              <w:jc w:val="center"/>
              <w:rPr>
                <w:color w:val="000000"/>
                <w:sz w:val="18"/>
                <w:szCs w:val="18"/>
              </w:rPr>
            </w:pPr>
            <w:r>
              <w:rPr>
                <w:color w:val="000000"/>
                <w:sz w:val="18"/>
                <w:szCs w:val="18"/>
              </w:rPr>
              <w:t>5.2</w:t>
            </w:r>
          </w:p>
        </w:tc>
        <w:tc>
          <w:tcPr>
            <w:tcW w:w="1268" w:type="pct"/>
            <w:tcBorders>
              <w:right w:val="single" w:color="auto" w:sz="8" w:space="0"/>
            </w:tcBorders>
            <w:vAlign w:val="center"/>
          </w:tcPr>
          <w:p>
            <w:pPr>
              <w:jc w:val="center"/>
              <w:rPr>
                <w:color w:val="000000"/>
                <w:sz w:val="18"/>
                <w:szCs w:val="18"/>
              </w:rPr>
            </w:pPr>
            <w:r>
              <w:rPr>
                <w:color w:val="000000"/>
                <w:sz w:val="18"/>
                <w:szCs w:val="18"/>
              </w:rPr>
              <w:t>6.2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4" w:type="pct"/>
            <w:tcBorders>
              <w:left w:val="single" w:color="auto" w:sz="8" w:space="0"/>
            </w:tcBorders>
            <w:vAlign w:val="center"/>
          </w:tcPr>
          <w:p>
            <w:pPr>
              <w:jc w:val="center"/>
              <w:rPr>
                <w:color w:val="000000"/>
                <w:sz w:val="18"/>
                <w:szCs w:val="18"/>
              </w:rPr>
            </w:pPr>
            <w:r>
              <w:rPr>
                <w:color w:val="000000"/>
                <w:sz w:val="18"/>
                <w:szCs w:val="18"/>
              </w:rPr>
              <w:t>力学性能</w:t>
            </w:r>
          </w:p>
        </w:tc>
        <w:tc>
          <w:tcPr>
            <w:tcW w:w="1539" w:type="pct"/>
            <w:vAlign w:val="center"/>
          </w:tcPr>
          <w:p>
            <w:pPr>
              <w:ind w:firstLine="29"/>
              <w:rPr>
                <w:color w:val="000000"/>
                <w:sz w:val="18"/>
                <w:szCs w:val="18"/>
              </w:rPr>
            </w:pPr>
            <w:r>
              <w:rPr>
                <w:color w:val="000000"/>
                <w:sz w:val="18"/>
                <w:szCs w:val="18"/>
              </w:rPr>
              <w:t>每批管材中任取一个试样</w:t>
            </w:r>
          </w:p>
        </w:tc>
        <w:tc>
          <w:tcPr>
            <w:tcW w:w="1269" w:type="pct"/>
            <w:vAlign w:val="center"/>
          </w:tcPr>
          <w:p>
            <w:pPr>
              <w:jc w:val="center"/>
              <w:rPr>
                <w:color w:val="000000"/>
                <w:sz w:val="18"/>
                <w:szCs w:val="18"/>
              </w:rPr>
            </w:pPr>
            <w:r>
              <w:rPr>
                <w:color w:val="000000"/>
                <w:sz w:val="18"/>
                <w:szCs w:val="18"/>
              </w:rPr>
              <w:t>5.3</w:t>
            </w:r>
          </w:p>
        </w:tc>
        <w:tc>
          <w:tcPr>
            <w:tcW w:w="1268" w:type="pct"/>
            <w:tcBorders>
              <w:right w:val="single" w:color="auto" w:sz="8" w:space="0"/>
            </w:tcBorders>
            <w:vAlign w:val="center"/>
          </w:tcPr>
          <w:p>
            <w:pPr>
              <w:jc w:val="center"/>
              <w:rPr>
                <w:color w:val="000000"/>
                <w:sz w:val="18"/>
                <w:szCs w:val="18"/>
              </w:rPr>
            </w:pPr>
            <w:r>
              <w:rPr>
                <w:color w:val="000000"/>
                <w:sz w:val="18"/>
                <w:szCs w:val="18"/>
              </w:rPr>
              <w:t>6.3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4" w:type="pct"/>
            <w:tcBorders>
              <w:left w:val="single" w:color="auto" w:sz="8" w:space="0"/>
            </w:tcBorders>
            <w:vAlign w:val="center"/>
          </w:tcPr>
          <w:p>
            <w:pPr>
              <w:jc w:val="center"/>
              <w:rPr>
                <w:color w:val="000000"/>
                <w:sz w:val="18"/>
                <w:szCs w:val="18"/>
              </w:rPr>
            </w:pPr>
            <w:r>
              <w:rPr>
                <w:color w:val="000000"/>
                <w:sz w:val="18"/>
                <w:szCs w:val="18"/>
              </w:rPr>
              <w:t>扩口试验</w:t>
            </w:r>
          </w:p>
          <w:p>
            <w:pPr>
              <w:jc w:val="center"/>
              <w:rPr>
                <w:color w:val="000000"/>
                <w:sz w:val="18"/>
                <w:szCs w:val="18"/>
              </w:rPr>
            </w:pPr>
            <w:r>
              <w:rPr>
                <w:color w:val="000000"/>
                <w:sz w:val="18"/>
                <w:szCs w:val="18"/>
              </w:rPr>
              <w:t>压扁试验</w:t>
            </w:r>
          </w:p>
        </w:tc>
        <w:tc>
          <w:tcPr>
            <w:tcW w:w="1539" w:type="pct"/>
            <w:vAlign w:val="center"/>
          </w:tcPr>
          <w:p>
            <w:pPr>
              <w:ind w:firstLine="29"/>
              <w:rPr>
                <w:color w:val="000000"/>
                <w:sz w:val="18"/>
                <w:szCs w:val="18"/>
              </w:rPr>
            </w:pPr>
            <w:r>
              <w:rPr>
                <w:color w:val="000000"/>
                <w:sz w:val="18"/>
                <w:szCs w:val="18"/>
              </w:rPr>
              <w:t>每批管材中任取一个试样</w:t>
            </w:r>
          </w:p>
        </w:tc>
        <w:tc>
          <w:tcPr>
            <w:tcW w:w="1269" w:type="pct"/>
            <w:vAlign w:val="center"/>
          </w:tcPr>
          <w:p>
            <w:pPr>
              <w:jc w:val="center"/>
              <w:rPr>
                <w:color w:val="000000"/>
                <w:sz w:val="18"/>
                <w:szCs w:val="18"/>
              </w:rPr>
            </w:pPr>
            <w:r>
              <w:rPr>
                <w:color w:val="000000"/>
                <w:sz w:val="18"/>
                <w:szCs w:val="18"/>
              </w:rPr>
              <w:t>5.4.1</w:t>
            </w:r>
          </w:p>
          <w:p>
            <w:pPr>
              <w:jc w:val="center"/>
              <w:rPr>
                <w:color w:val="000000"/>
                <w:sz w:val="18"/>
                <w:szCs w:val="18"/>
              </w:rPr>
            </w:pPr>
            <w:r>
              <w:rPr>
                <w:color w:val="000000"/>
                <w:sz w:val="18"/>
                <w:szCs w:val="18"/>
              </w:rPr>
              <w:t>5.4.2</w:t>
            </w:r>
          </w:p>
        </w:tc>
        <w:tc>
          <w:tcPr>
            <w:tcW w:w="1268" w:type="pct"/>
            <w:tcBorders>
              <w:right w:val="single" w:color="auto" w:sz="8" w:space="0"/>
            </w:tcBorders>
            <w:vAlign w:val="center"/>
          </w:tcPr>
          <w:p>
            <w:pPr>
              <w:jc w:val="center"/>
              <w:rPr>
                <w:color w:val="000000"/>
                <w:sz w:val="18"/>
                <w:szCs w:val="18"/>
              </w:rPr>
            </w:pPr>
            <w:r>
              <w:rPr>
                <w:color w:val="000000"/>
                <w:sz w:val="18"/>
                <w:szCs w:val="18"/>
              </w:rPr>
              <w:t>6.4.1</w:t>
            </w:r>
          </w:p>
          <w:p>
            <w:pPr>
              <w:jc w:val="center"/>
              <w:rPr>
                <w:color w:val="000000"/>
                <w:sz w:val="18"/>
                <w:szCs w:val="18"/>
              </w:rPr>
            </w:pPr>
            <w:r>
              <w:rPr>
                <w:color w:val="000000"/>
                <w:sz w:val="18"/>
                <w:szCs w:val="18"/>
              </w:rPr>
              <w:t>6.4.2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4" w:type="pct"/>
            <w:tcBorders>
              <w:left w:val="single" w:color="auto" w:sz="8" w:space="0"/>
            </w:tcBorders>
            <w:vAlign w:val="center"/>
          </w:tcPr>
          <w:p>
            <w:pPr>
              <w:snapToGrid w:val="0"/>
              <w:jc w:val="center"/>
              <w:rPr>
                <w:color w:val="000000"/>
                <w:sz w:val="18"/>
                <w:szCs w:val="18"/>
              </w:rPr>
            </w:pPr>
            <w:r>
              <w:rPr>
                <w:color w:val="000000"/>
                <w:sz w:val="18"/>
                <w:szCs w:val="18"/>
              </w:rPr>
              <w:t>水压试验</w:t>
            </w:r>
          </w:p>
          <w:p>
            <w:pPr>
              <w:snapToGrid w:val="0"/>
              <w:jc w:val="center"/>
              <w:rPr>
                <w:color w:val="000000"/>
                <w:sz w:val="18"/>
                <w:szCs w:val="18"/>
              </w:rPr>
            </w:pPr>
            <w:r>
              <w:rPr>
                <w:color w:val="000000"/>
                <w:sz w:val="18"/>
                <w:szCs w:val="18"/>
              </w:rPr>
              <w:t>气压试验</w:t>
            </w:r>
          </w:p>
          <w:p>
            <w:pPr>
              <w:snapToGrid w:val="0"/>
              <w:jc w:val="center"/>
              <w:rPr>
                <w:color w:val="000000"/>
                <w:sz w:val="18"/>
                <w:szCs w:val="18"/>
              </w:rPr>
            </w:pPr>
            <w:r>
              <w:rPr>
                <w:color w:val="000000"/>
                <w:sz w:val="18"/>
                <w:szCs w:val="18"/>
              </w:rPr>
              <w:t>穿过式涡流探伤</w:t>
            </w:r>
          </w:p>
          <w:p>
            <w:pPr>
              <w:snapToGrid w:val="0"/>
              <w:jc w:val="center"/>
              <w:rPr>
                <w:color w:val="000000"/>
                <w:sz w:val="18"/>
                <w:szCs w:val="18"/>
              </w:rPr>
            </w:pPr>
            <w:r>
              <w:rPr>
                <w:color w:val="000000"/>
                <w:sz w:val="18"/>
                <w:szCs w:val="18"/>
              </w:rPr>
              <w:t>磁饱和探伤</w:t>
            </w:r>
          </w:p>
        </w:tc>
        <w:tc>
          <w:tcPr>
            <w:tcW w:w="1539" w:type="pct"/>
            <w:vAlign w:val="center"/>
          </w:tcPr>
          <w:p>
            <w:pPr>
              <w:snapToGrid w:val="0"/>
              <w:jc w:val="center"/>
              <w:rPr>
                <w:color w:val="000000"/>
                <w:sz w:val="18"/>
                <w:szCs w:val="18"/>
              </w:rPr>
            </w:pPr>
            <w:r>
              <w:rPr>
                <w:color w:val="000000"/>
                <w:sz w:val="18"/>
                <w:szCs w:val="18"/>
              </w:rPr>
              <w:t>供方逐根检测</w:t>
            </w:r>
          </w:p>
        </w:tc>
        <w:tc>
          <w:tcPr>
            <w:tcW w:w="1269" w:type="pct"/>
            <w:vAlign w:val="center"/>
          </w:tcPr>
          <w:p>
            <w:pPr>
              <w:snapToGrid w:val="0"/>
              <w:jc w:val="center"/>
              <w:rPr>
                <w:color w:val="000000"/>
                <w:sz w:val="18"/>
                <w:szCs w:val="18"/>
              </w:rPr>
            </w:pPr>
            <w:r>
              <w:rPr>
                <w:color w:val="000000"/>
                <w:sz w:val="18"/>
                <w:szCs w:val="18"/>
              </w:rPr>
              <w:t>5.5.1</w:t>
            </w:r>
          </w:p>
          <w:p>
            <w:pPr>
              <w:snapToGrid w:val="0"/>
              <w:jc w:val="center"/>
              <w:rPr>
                <w:color w:val="000000"/>
                <w:sz w:val="18"/>
                <w:szCs w:val="18"/>
              </w:rPr>
            </w:pPr>
            <w:r>
              <w:rPr>
                <w:color w:val="000000"/>
                <w:sz w:val="18"/>
                <w:szCs w:val="18"/>
              </w:rPr>
              <w:t>5.5.2</w:t>
            </w:r>
          </w:p>
          <w:p>
            <w:pPr>
              <w:snapToGrid w:val="0"/>
              <w:jc w:val="center"/>
              <w:rPr>
                <w:color w:val="000000"/>
                <w:sz w:val="18"/>
                <w:szCs w:val="18"/>
              </w:rPr>
            </w:pPr>
            <w:r>
              <w:rPr>
                <w:color w:val="000000"/>
                <w:sz w:val="18"/>
                <w:szCs w:val="18"/>
              </w:rPr>
              <w:t>5.5.3</w:t>
            </w:r>
          </w:p>
          <w:p>
            <w:pPr>
              <w:snapToGrid w:val="0"/>
              <w:jc w:val="center"/>
              <w:rPr>
                <w:color w:val="000000"/>
                <w:sz w:val="18"/>
                <w:szCs w:val="18"/>
              </w:rPr>
            </w:pPr>
            <w:r>
              <w:rPr>
                <w:color w:val="000000"/>
                <w:sz w:val="18"/>
                <w:szCs w:val="18"/>
              </w:rPr>
              <w:t>5.5.4</w:t>
            </w:r>
          </w:p>
        </w:tc>
        <w:tc>
          <w:tcPr>
            <w:tcW w:w="1268" w:type="pct"/>
            <w:tcBorders>
              <w:right w:val="single" w:color="auto" w:sz="8" w:space="0"/>
            </w:tcBorders>
            <w:vAlign w:val="center"/>
          </w:tcPr>
          <w:p>
            <w:pPr>
              <w:snapToGrid w:val="0"/>
              <w:jc w:val="center"/>
              <w:rPr>
                <w:color w:val="000000"/>
                <w:sz w:val="18"/>
                <w:szCs w:val="18"/>
              </w:rPr>
            </w:pPr>
            <w:r>
              <w:rPr>
                <w:color w:val="000000"/>
                <w:sz w:val="18"/>
                <w:szCs w:val="18"/>
              </w:rPr>
              <w:t>6.5.1</w:t>
            </w:r>
          </w:p>
          <w:p>
            <w:pPr>
              <w:snapToGrid w:val="0"/>
              <w:jc w:val="center"/>
              <w:rPr>
                <w:color w:val="000000"/>
                <w:sz w:val="18"/>
                <w:szCs w:val="18"/>
              </w:rPr>
            </w:pPr>
            <w:r>
              <w:rPr>
                <w:color w:val="000000"/>
                <w:sz w:val="18"/>
                <w:szCs w:val="18"/>
              </w:rPr>
              <w:t>6.5.2</w:t>
            </w:r>
          </w:p>
          <w:p>
            <w:pPr>
              <w:snapToGrid w:val="0"/>
              <w:jc w:val="center"/>
              <w:rPr>
                <w:color w:val="000000"/>
                <w:sz w:val="18"/>
                <w:szCs w:val="18"/>
              </w:rPr>
            </w:pPr>
            <w:r>
              <w:rPr>
                <w:color w:val="000000"/>
                <w:sz w:val="18"/>
                <w:szCs w:val="18"/>
              </w:rPr>
              <w:t>6.5.3</w:t>
            </w:r>
          </w:p>
          <w:p>
            <w:pPr>
              <w:snapToGrid w:val="0"/>
              <w:jc w:val="center"/>
              <w:rPr>
                <w:color w:val="000000"/>
                <w:sz w:val="18"/>
                <w:szCs w:val="18"/>
              </w:rPr>
            </w:pPr>
            <w:r>
              <w:rPr>
                <w:color w:val="000000"/>
                <w:sz w:val="18"/>
                <w:szCs w:val="18"/>
              </w:rPr>
              <w:t>6.5.4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4" w:type="pct"/>
            <w:tcBorders>
              <w:left w:val="single" w:color="auto" w:sz="8" w:space="0"/>
            </w:tcBorders>
            <w:vAlign w:val="center"/>
          </w:tcPr>
          <w:p>
            <w:pPr>
              <w:jc w:val="center"/>
              <w:rPr>
                <w:color w:val="000000"/>
                <w:sz w:val="18"/>
                <w:szCs w:val="18"/>
              </w:rPr>
            </w:pPr>
            <w:r>
              <w:rPr>
                <w:color w:val="000000"/>
                <w:sz w:val="18"/>
                <w:szCs w:val="18"/>
              </w:rPr>
              <w:t>残余应力</w:t>
            </w:r>
          </w:p>
        </w:tc>
        <w:tc>
          <w:tcPr>
            <w:tcW w:w="1539" w:type="pct"/>
            <w:vAlign w:val="center"/>
          </w:tcPr>
          <w:p>
            <w:pPr>
              <w:jc w:val="center"/>
              <w:rPr>
                <w:color w:val="000000"/>
                <w:sz w:val="18"/>
                <w:szCs w:val="18"/>
              </w:rPr>
            </w:pPr>
            <w:r>
              <w:rPr>
                <w:color w:val="000000"/>
                <w:sz w:val="18"/>
                <w:szCs w:val="18"/>
              </w:rPr>
              <w:t>每批取两根，每根在管材的</w:t>
            </w:r>
            <w:r>
              <w:rPr>
                <w:rFonts w:hint="eastAsia"/>
                <w:color w:val="000000"/>
                <w:sz w:val="18"/>
                <w:szCs w:val="18"/>
              </w:rPr>
              <w:t>成翅</w:t>
            </w:r>
            <w:r>
              <w:rPr>
                <w:color w:val="000000"/>
                <w:sz w:val="18"/>
                <w:szCs w:val="18"/>
              </w:rPr>
              <w:t>段任取一个试样</w:t>
            </w:r>
          </w:p>
        </w:tc>
        <w:tc>
          <w:tcPr>
            <w:tcW w:w="1269" w:type="pct"/>
            <w:vAlign w:val="center"/>
          </w:tcPr>
          <w:p>
            <w:pPr>
              <w:jc w:val="center"/>
              <w:rPr>
                <w:color w:val="000000"/>
                <w:sz w:val="18"/>
                <w:szCs w:val="18"/>
              </w:rPr>
            </w:pPr>
            <w:r>
              <w:rPr>
                <w:color w:val="000000"/>
                <w:sz w:val="18"/>
                <w:szCs w:val="18"/>
              </w:rPr>
              <w:t>5.7</w:t>
            </w:r>
          </w:p>
        </w:tc>
        <w:tc>
          <w:tcPr>
            <w:tcW w:w="1268" w:type="pct"/>
            <w:tcBorders>
              <w:right w:val="single" w:color="auto" w:sz="8" w:space="0"/>
            </w:tcBorders>
            <w:vAlign w:val="center"/>
          </w:tcPr>
          <w:p>
            <w:pPr>
              <w:jc w:val="center"/>
              <w:rPr>
                <w:color w:val="000000"/>
                <w:sz w:val="18"/>
                <w:szCs w:val="18"/>
              </w:rPr>
            </w:pPr>
            <w:r>
              <w:rPr>
                <w:color w:val="000000"/>
                <w:sz w:val="18"/>
                <w:szCs w:val="18"/>
              </w:rPr>
              <w:t>6.7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4" w:type="pct"/>
            <w:tcBorders>
              <w:left w:val="single" w:color="auto" w:sz="8" w:space="0"/>
            </w:tcBorders>
            <w:vAlign w:val="center"/>
          </w:tcPr>
          <w:p>
            <w:pPr>
              <w:jc w:val="center"/>
              <w:rPr>
                <w:color w:val="000000"/>
                <w:sz w:val="18"/>
                <w:szCs w:val="18"/>
              </w:rPr>
            </w:pPr>
            <w:r>
              <w:rPr>
                <w:color w:val="000000"/>
                <w:sz w:val="18"/>
                <w:szCs w:val="18"/>
              </w:rPr>
              <w:t>晶粒度</w:t>
            </w:r>
          </w:p>
        </w:tc>
        <w:tc>
          <w:tcPr>
            <w:tcW w:w="1539" w:type="pct"/>
            <w:vAlign w:val="center"/>
          </w:tcPr>
          <w:p>
            <w:pPr>
              <w:jc w:val="center"/>
              <w:rPr>
                <w:color w:val="000000"/>
                <w:sz w:val="18"/>
                <w:szCs w:val="18"/>
              </w:rPr>
            </w:pPr>
            <w:r>
              <w:rPr>
                <w:color w:val="000000"/>
                <w:sz w:val="18"/>
                <w:szCs w:val="18"/>
              </w:rPr>
              <w:t>每批管材中任取一个试样</w:t>
            </w:r>
          </w:p>
        </w:tc>
        <w:tc>
          <w:tcPr>
            <w:tcW w:w="1269" w:type="pct"/>
            <w:vAlign w:val="center"/>
          </w:tcPr>
          <w:p>
            <w:pPr>
              <w:jc w:val="center"/>
              <w:rPr>
                <w:color w:val="000000"/>
                <w:sz w:val="18"/>
                <w:szCs w:val="18"/>
              </w:rPr>
            </w:pPr>
            <w:r>
              <w:rPr>
                <w:color w:val="000000"/>
                <w:sz w:val="18"/>
                <w:szCs w:val="18"/>
              </w:rPr>
              <w:t>5.8</w:t>
            </w:r>
          </w:p>
        </w:tc>
        <w:tc>
          <w:tcPr>
            <w:tcW w:w="1268" w:type="pct"/>
            <w:tcBorders>
              <w:right w:val="single" w:color="auto" w:sz="8" w:space="0"/>
            </w:tcBorders>
            <w:vAlign w:val="center"/>
          </w:tcPr>
          <w:p>
            <w:pPr>
              <w:jc w:val="center"/>
              <w:rPr>
                <w:color w:val="000000"/>
                <w:sz w:val="18"/>
                <w:szCs w:val="18"/>
              </w:rPr>
            </w:pPr>
            <w:r>
              <w:rPr>
                <w:color w:val="000000"/>
                <w:sz w:val="18"/>
                <w:szCs w:val="18"/>
              </w:rPr>
              <w:t>6.8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4" w:type="pct"/>
            <w:tcBorders>
              <w:left w:val="single" w:color="auto" w:sz="8" w:space="0"/>
            </w:tcBorders>
            <w:vAlign w:val="center"/>
          </w:tcPr>
          <w:p>
            <w:pPr>
              <w:jc w:val="center"/>
              <w:rPr>
                <w:color w:val="000000"/>
                <w:sz w:val="18"/>
                <w:szCs w:val="18"/>
              </w:rPr>
            </w:pPr>
            <w:r>
              <w:rPr>
                <w:color w:val="000000"/>
                <w:sz w:val="18"/>
                <w:szCs w:val="18"/>
              </w:rPr>
              <w:t>清洁度</w:t>
            </w:r>
          </w:p>
        </w:tc>
        <w:tc>
          <w:tcPr>
            <w:tcW w:w="1539" w:type="pct"/>
            <w:vAlign w:val="center"/>
          </w:tcPr>
          <w:p>
            <w:pPr>
              <w:jc w:val="center"/>
              <w:rPr>
                <w:color w:val="000000"/>
                <w:sz w:val="18"/>
                <w:szCs w:val="18"/>
              </w:rPr>
            </w:pPr>
            <w:r>
              <w:rPr>
                <w:color w:val="000000"/>
                <w:sz w:val="18"/>
                <w:szCs w:val="18"/>
              </w:rPr>
              <w:t>每批任取一个试样</w:t>
            </w:r>
          </w:p>
        </w:tc>
        <w:tc>
          <w:tcPr>
            <w:tcW w:w="1269" w:type="pct"/>
            <w:vAlign w:val="center"/>
          </w:tcPr>
          <w:p>
            <w:pPr>
              <w:jc w:val="center"/>
              <w:rPr>
                <w:color w:val="000000"/>
                <w:sz w:val="18"/>
                <w:szCs w:val="18"/>
              </w:rPr>
            </w:pPr>
            <w:r>
              <w:rPr>
                <w:color w:val="000000"/>
                <w:sz w:val="18"/>
                <w:szCs w:val="18"/>
              </w:rPr>
              <w:t>5.9</w:t>
            </w:r>
          </w:p>
        </w:tc>
        <w:tc>
          <w:tcPr>
            <w:tcW w:w="1268" w:type="pct"/>
            <w:tcBorders>
              <w:right w:val="single" w:color="auto" w:sz="8" w:space="0"/>
            </w:tcBorders>
            <w:vAlign w:val="center"/>
          </w:tcPr>
          <w:p>
            <w:pPr>
              <w:spacing w:after="120"/>
              <w:jc w:val="center"/>
              <w:rPr>
                <w:color w:val="000000"/>
                <w:sz w:val="18"/>
                <w:szCs w:val="18"/>
              </w:rPr>
            </w:pPr>
            <w:r>
              <w:rPr>
                <w:color w:val="000000"/>
                <w:sz w:val="18"/>
                <w:szCs w:val="18"/>
              </w:rPr>
              <w:t>6.9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4" w:type="pct"/>
            <w:tcBorders>
              <w:left w:val="single" w:color="auto" w:sz="8" w:space="0"/>
            </w:tcBorders>
            <w:vAlign w:val="center"/>
          </w:tcPr>
          <w:p>
            <w:pPr>
              <w:jc w:val="center"/>
              <w:rPr>
                <w:color w:val="000000"/>
                <w:sz w:val="18"/>
                <w:szCs w:val="18"/>
              </w:rPr>
            </w:pPr>
            <w:r>
              <w:rPr>
                <w:color w:val="000000"/>
                <w:sz w:val="18"/>
                <w:szCs w:val="18"/>
              </w:rPr>
              <w:t>热工性能</w:t>
            </w:r>
          </w:p>
        </w:tc>
        <w:tc>
          <w:tcPr>
            <w:tcW w:w="1539" w:type="pct"/>
            <w:vAlign w:val="center"/>
          </w:tcPr>
          <w:p>
            <w:pPr>
              <w:jc w:val="center"/>
              <w:rPr>
                <w:color w:val="000000"/>
                <w:sz w:val="18"/>
                <w:szCs w:val="18"/>
              </w:rPr>
            </w:pPr>
            <w:r>
              <w:rPr>
                <w:color w:val="000000"/>
                <w:sz w:val="18"/>
                <w:szCs w:val="18"/>
              </w:rPr>
              <w:t>任取两根，每根任取一个试样</w:t>
            </w:r>
          </w:p>
        </w:tc>
        <w:tc>
          <w:tcPr>
            <w:tcW w:w="1269" w:type="pct"/>
            <w:vAlign w:val="center"/>
          </w:tcPr>
          <w:p>
            <w:pPr>
              <w:jc w:val="center"/>
              <w:rPr>
                <w:color w:val="000000"/>
                <w:sz w:val="18"/>
                <w:szCs w:val="18"/>
              </w:rPr>
            </w:pPr>
            <w:r>
              <w:rPr>
                <w:color w:val="000000"/>
                <w:sz w:val="18"/>
                <w:szCs w:val="18"/>
              </w:rPr>
              <w:t>5.10</w:t>
            </w:r>
          </w:p>
        </w:tc>
        <w:tc>
          <w:tcPr>
            <w:tcW w:w="1268" w:type="pct"/>
            <w:tcBorders>
              <w:right w:val="single" w:color="auto" w:sz="8" w:space="0"/>
            </w:tcBorders>
            <w:vAlign w:val="center"/>
          </w:tcPr>
          <w:p>
            <w:pPr>
              <w:jc w:val="center"/>
              <w:rPr>
                <w:color w:val="000000"/>
                <w:sz w:val="18"/>
                <w:szCs w:val="18"/>
              </w:rPr>
            </w:pPr>
            <w:r>
              <w:rPr>
                <w:color w:val="000000"/>
                <w:sz w:val="18"/>
                <w:szCs w:val="18"/>
              </w:rPr>
              <w:t>6.10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4" w:type="pct"/>
            <w:tcBorders>
              <w:left w:val="single" w:color="auto" w:sz="8" w:space="0"/>
              <w:bottom w:val="single" w:color="auto" w:sz="8" w:space="0"/>
            </w:tcBorders>
            <w:vAlign w:val="center"/>
          </w:tcPr>
          <w:p>
            <w:pPr>
              <w:jc w:val="center"/>
              <w:rPr>
                <w:color w:val="000000"/>
                <w:sz w:val="18"/>
                <w:szCs w:val="18"/>
              </w:rPr>
            </w:pPr>
            <w:r>
              <w:rPr>
                <w:color w:val="000000"/>
                <w:sz w:val="18"/>
                <w:szCs w:val="18"/>
              </w:rPr>
              <w:t>表面质量</w:t>
            </w:r>
          </w:p>
        </w:tc>
        <w:tc>
          <w:tcPr>
            <w:tcW w:w="1539" w:type="pct"/>
            <w:tcBorders>
              <w:bottom w:val="single" w:color="auto" w:sz="8" w:space="0"/>
            </w:tcBorders>
            <w:vAlign w:val="center"/>
          </w:tcPr>
          <w:p>
            <w:pPr>
              <w:jc w:val="center"/>
              <w:rPr>
                <w:color w:val="000000"/>
                <w:sz w:val="18"/>
                <w:szCs w:val="18"/>
              </w:rPr>
            </w:pPr>
            <w:r>
              <w:rPr>
                <w:color w:val="000000"/>
                <w:sz w:val="18"/>
                <w:szCs w:val="18"/>
              </w:rPr>
              <w:t>供方逐根检测，需方每批任取一个试样</w:t>
            </w:r>
          </w:p>
        </w:tc>
        <w:tc>
          <w:tcPr>
            <w:tcW w:w="1269" w:type="pct"/>
            <w:tcBorders>
              <w:bottom w:val="single" w:color="auto" w:sz="8" w:space="0"/>
            </w:tcBorders>
            <w:vAlign w:val="center"/>
          </w:tcPr>
          <w:p>
            <w:pPr>
              <w:jc w:val="center"/>
              <w:rPr>
                <w:color w:val="000000"/>
                <w:sz w:val="18"/>
                <w:szCs w:val="18"/>
              </w:rPr>
            </w:pPr>
            <w:r>
              <w:rPr>
                <w:color w:val="000000"/>
                <w:sz w:val="18"/>
                <w:szCs w:val="18"/>
              </w:rPr>
              <w:t>5.11</w:t>
            </w:r>
          </w:p>
        </w:tc>
        <w:tc>
          <w:tcPr>
            <w:tcW w:w="1268" w:type="pct"/>
            <w:tcBorders>
              <w:bottom w:val="single" w:color="auto" w:sz="8" w:space="0"/>
              <w:right w:val="single" w:color="auto" w:sz="8" w:space="0"/>
            </w:tcBorders>
            <w:vAlign w:val="center"/>
          </w:tcPr>
          <w:p>
            <w:pPr>
              <w:jc w:val="center"/>
              <w:rPr>
                <w:color w:val="000000"/>
                <w:sz w:val="18"/>
                <w:szCs w:val="18"/>
              </w:rPr>
            </w:pPr>
            <w:r>
              <w:rPr>
                <w:color w:val="000000"/>
                <w:sz w:val="18"/>
                <w:szCs w:val="18"/>
              </w:rPr>
              <w:t>6.11</w:t>
            </w:r>
          </w:p>
        </w:tc>
      </w:tr>
    </w:tbl>
    <w:p>
      <w:pPr>
        <w:pStyle w:val="56"/>
        <w:numPr>
          <w:ilvl w:val="1"/>
          <w:numId w:val="17"/>
        </w:numPr>
        <w:ind w:firstLineChars="0"/>
        <w:rPr>
          <w:rFonts w:eastAsia="黑体"/>
          <w:bCs/>
          <w:color w:val="000000"/>
        </w:rPr>
      </w:pPr>
      <w:r>
        <w:rPr>
          <w:rFonts w:eastAsia="黑体"/>
          <w:bCs/>
          <w:color w:val="000000"/>
        </w:rPr>
        <w:t>检验结果的判定</w:t>
      </w:r>
    </w:p>
    <w:p>
      <w:pPr>
        <w:pStyle w:val="56"/>
        <w:numPr>
          <w:ilvl w:val="2"/>
          <w:numId w:val="17"/>
        </w:numPr>
        <w:ind w:firstLineChars="0"/>
        <w:rPr>
          <w:rFonts w:eastAsia="黑体"/>
          <w:bCs/>
          <w:color w:val="000000"/>
        </w:rPr>
      </w:pPr>
      <w:r>
        <w:rPr>
          <w:rFonts w:hint="eastAsia" w:ascii="宋体" w:hAnsi="宋体"/>
          <w:szCs w:val="21"/>
        </w:rPr>
        <w:t>检验结果的数值按</w:t>
      </w:r>
      <w:r>
        <w:rPr>
          <w:rFonts w:ascii="宋体" w:hAnsi="宋体"/>
          <w:szCs w:val="21"/>
        </w:rPr>
        <w:t>GB/T 8170的规定进行修约，并采用修约值比较法判定</w:t>
      </w:r>
      <w:r>
        <w:rPr>
          <w:rFonts w:hint="eastAsia" w:ascii="宋体" w:hAnsi="宋体"/>
          <w:szCs w:val="21"/>
        </w:rPr>
        <w:t>。</w:t>
      </w:r>
    </w:p>
    <w:p>
      <w:pPr>
        <w:pStyle w:val="56"/>
        <w:numPr>
          <w:ilvl w:val="2"/>
          <w:numId w:val="17"/>
        </w:numPr>
        <w:ind w:firstLineChars="0"/>
        <w:rPr>
          <w:rFonts w:eastAsia="黑体"/>
          <w:bCs/>
          <w:color w:val="000000"/>
        </w:rPr>
      </w:pPr>
      <w:r>
        <w:rPr>
          <w:rFonts w:ascii="宋体" w:hAnsi="宋体"/>
          <w:szCs w:val="21"/>
        </w:rPr>
        <w:t>化学成分不合格时，判该批产品不合格。</w:t>
      </w:r>
    </w:p>
    <w:p>
      <w:pPr>
        <w:pStyle w:val="56"/>
        <w:numPr>
          <w:ilvl w:val="2"/>
          <w:numId w:val="17"/>
        </w:numPr>
        <w:ind w:firstLineChars="0"/>
        <w:rPr>
          <w:rFonts w:eastAsia="黑体"/>
          <w:bCs/>
          <w:color w:val="000000"/>
        </w:rPr>
      </w:pPr>
      <w:r>
        <w:t>当外形尺寸</w:t>
      </w:r>
      <w:r>
        <w:rPr>
          <w:rFonts w:hint="eastAsia"/>
        </w:rPr>
        <w:t>及其</w:t>
      </w:r>
      <w:r>
        <w:t>允许偏差</w:t>
      </w:r>
      <w:r>
        <w:rPr>
          <w:rFonts w:hint="eastAsia"/>
        </w:rPr>
        <w:t>、力学性能、扩口试验、压扁试验、残余应力、</w:t>
      </w:r>
      <w:r>
        <w:t>晶粒度</w:t>
      </w:r>
      <w:r>
        <w:rPr>
          <w:rFonts w:hint="eastAsia"/>
        </w:rPr>
        <w:t>、清洁度检</w:t>
      </w:r>
      <w:r>
        <w:t>验结果中有试样不合格时，应从该批</w:t>
      </w:r>
      <w:r>
        <w:rPr>
          <w:rFonts w:hint="eastAsia"/>
        </w:rPr>
        <w:t>产品</w:t>
      </w:r>
      <w:r>
        <w:t>中另取双倍数量的试样进行重复试验，重复试验结果全部合格时，则判整批产品合格。</w:t>
      </w:r>
      <w:r>
        <w:rPr>
          <w:rFonts w:hint="eastAsia"/>
        </w:rPr>
        <w:t>否则</w:t>
      </w:r>
      <w:r>
        <w:t>，则判该批产品不合格</w:t>
      </w:r>
      <w:r>
        <w:rPr>
          <w:rFonts w:hint="eastAsia"/>
        </w:rPr>
        <w:t>。</w:t>
      </w:r>
      <w:r>
        <w:t>或供方逐件检验，</w:t>
      </w:r>
      <w:r>
        <w:rPr>
          <w:rFonts w:hint="eastAsia"/>
        </w:rPr>
        <w:t>逐根判定</w:t>
      </w:r>
      <w:r>
        <w:t>。</w:t>
      </w:r>
      <w:r>
        <w:rPr>
          <w:rFonts w:hint="eastAsia"/>
        </w:rPr>
        <w:t>其中清洁度、残余应力不合格时允许重新处理后再复检。重复处理两次后复检仍不合格的，判定该批不合格。</w:t>
      </w:r>
    </w:p>
    <w:p>
      <w:pPr>
        <w:pStyle w:val="56"/>
        <w:numPr>
          <w:ilvl w:val="2"/>
          <w:numId w:val="17"/>
        </w:numPr>
        <w:ind w:firstLineChars="0"/>
        <w:rPr>
          <w:rFonts w:eastAsia="黑体"/>
          <w:bCs/>
          <w:color w:val="000000"/>
        </w:rPr>
      </w:pPr>
      <w:r>
        <w:t>当</w:t>
      </w:r>
      <w:r>
        <w:rPr>
          <w:rFonts w:hint="eastAsia"/>
        </w:rPr>
        <w:t>水压试验、气压试验、穿过式涡流探伤、磁饱和探伤检</w:t>
      </w:r>
      <w:r>
        <w:t>验结果不合格时，</w:t>
      </w:r>
      <w:r>
        <w:rPr>
          <w:rFonts w:hint="eastAsia"/>
        </w:rPr>
        <w:t>判定该试样不合格。</w:t>
      </w:r>
    </w:p>
    <w:p>
      <w:pPr>
        <w:pStyle w:val="56"/>
        <w:numPr>
          <w:numId w:val="0"/>
        </w:numPr>
        <w:ind w:leftChars="0"/>
        <w:rPr>
          <w:rFonts w:eastAsia="黑体"/>
          <w:bCs/>
          <w:color w:val="000000"/>
        </w:rPr>
      </w:pPr>
    </w:p>
    <w:p>
      <w:pPr>
        <w:pStyle w:val="56"/>
        <w:numPr>
          <w:ilvl w:val="0"/>
          <w:numId w:val="2"/>
        </w:numPr>
        <w:ind w:firstLineChars="0"/>
        <w:rPr>
          <w:rFonts w:eastAsia="黑体"/>
          <w:bCs/>
          <w:color w:val="000000"/>
        </w:rPr>
      </w:pPr>
      <w:r>
        <w:rPr>
          <w:rFonts w:eastAsia="黑体"/>
          <w:bCs/>
          <w:color w:val="000000"/>
        </w:rPr>
        <w:t>标志、包装、运输、贮存及随行文件</w:t>
      </w:r>
    </w:p>
    <w:p>
      <w:pPr>
        <w:pStyle w:val="56"/>
        <w:numPr>
          <w:ilvl w:val="1"/>
          <w:numId w:val="21"/>
        </w:numPr>
        <w:ind w:firstLineChars="0"/>
        <w:rPr>
          <w:rFonts w:eastAsia="黑体"/>
          <w:bCs/>
          <w:color w:val="000000"/>
        </w:rPr>
      </w:pPr>
      <w:r>
        <w:rPr>
          <w:rFonts w:eastAsia="黑体"/>
          <w:bCs/>
          <w:color w:val="000000"/>
        </w:rPr>
        <w:t>标志、包装、运输、贮存</w:t>
      </w:r>
    </w:p>
    <w:p>
      <w:pPr>
        <w:ind w:firstLine="420" w:firstLineChars="200"/>
        <w:rPr>
          <w:color w:val="000000"/>
        </w:rPr>
      </w:pPr>
      <w:r>
        <w:rPr>
          <w:color w:val="000000"/>
        </w:rPr>
        <w:t>管材的标志、包装、运输、贮存应符合GB/T8888的规定。</w:t>
      </w:r>
    </w:p>
    <w:p>
      <w:pPr>
        <w:pStyle w:val="56"/>
        <w:numPr>
          <w:ilvl w:val="1"/>
          <w:numId w:val="21"/>
        </w:numPr>
        <w:ind w:firstLineChars="0"/>
        <w:rPr>
          <w:rFonts w:eastAsia="黑体"/>
          <w:bCs/>
          <w:color w:val="000000"/>
        </w:rPr>
      </w:pPr>
      <w:r>
        <w:rPr>
          <w:rFonts w:eastAsia="黑体"/>
          <w:bCs/>
          <w:color w:val="000000"/>
        </w:rPr>
        <w:t>随行文件</w:t>
      </w:r>
    </w:p>
    <w:p>
      <w:pPr>
        <w:ind w:firstLine="420" w:firstLineChars="200"/>
        <w:rPr>
          <w:color w:val="000000"/>
        </w:rPr>
      </w:pPr>
      <w:r>
        <w:rPr>
          <w:color w:val="000000"/>
        </w:rPr>
        <w:t>每批管材应附有随行文件,其中除应包括供方信息、产品信息、本文件编号、出厂日期或包装日期外，还宜包括：</w:t>
      </w:r>
    </w:p>
    <w:p>
      <w:pPr>
        <w:pStyle w:val="56"/>
        <w:numPr>
          <w:ilvl w:val="0"/>
          <w:numId w:val="22"/>
        </w:numPr>
        <w:ind w:firstLineChars="0"/>
        <w:rPr>
          <w:color w:val="000000"/>
        </w:rPr>
      </w:pPr>
      <w:r>
        <w:rPr>
          <w:color w:val="000000"/>
        </w:rPr>
        <w:t>质量证明书，内容如下:</w:t>
      </w:r>
    </w:p>
    <w:p>
      <w:pPr>
        <w:ind w:firstLine="420" w:firstLineChars="200"/>
        <w:rPr>
          <w:color w:val="000000"/>
        </w:rPr>
      </w:pPr>
      <w:r>
        <w:rPr>
          <w:color w:val="000000"/>
        </w:rPr>
        <w:t>管材的主要性能及技术参数；</w:t>
      </w:r>
    </w:p>
    <w:p>
      <w:pPr>
        <w:ind w:firstLine="420" w:firstLineChars="200"/>
        <w:rPr>
          <w:color w:val="000000"/>
        </w:rPr>
      </w:pPr>
      <w:r>
        <w:rPr>
          <w:color w:val="000000"/>
        </w:rPr>
        <w:t>检验项目及其结果或检验结论；</w:t>
      </w:r>
    </w:p>
    <w:p>
      <w:pPr>
        <w:ind w:firstLine="420" w:firstLineChars="200"/>
        <w:rPr>
          <w:color w:val="000000"/>
        </w:rPr>
      </w:pPr>
      <w:r>
        <w:rPr>
          <w:color w:val="000000"/>
        </w:rPr>
        <w:t>检验员签名或盖章；</w:t>
      </w:r>
    </w:p>
    <w:p>
      <w:pPr>
        <w:ind w:firstLine="420" w:firstLineChars="200"/>
        <w:rPr>
          <w:color w:val="000000"/>
        </w:rPr>
      </w:pPr>
      <w:r>
        <w:rPr>
          <w:color w:val="000000"/>
        </w:rPr>
        <w:t>管材获得的质量认证及带供方技术监督部门检印的各项分析检验结果。</w:t>
      </w:r>
    </w:p>
    <w:p>
      <w:pPr>
        <w:pStyle w:val="56"/>
        <w:numPr>
          <w:ilvl w:val="0"/>
          <w:numId w:val="22"/>
        </w:numPr>
        <w:ind w:firstLineChars="0"/>
        <w:rPr>
          <w:color w:val="000000"/>
        </w:rPr>
      </w:pPr>
      <w:r>
        <w:rPr>
          <w:color w:val="000000"/>
        </w:rPr>
        <w:t>合格证,内容如下；</w:t>
      </w:r>
    </w:p>
    <w:p>
      <w:pPr>
        <w:ind w:firstLine="420" w:firstLineChars="200"/>
        <w:rPr>
          <w:color w:val="000000"/>
        </w:rPr>
      </w:pPr>
      <w:r>
        <w:rPr>
          <w:color w:val="000000"/>
        </w:rPr>
        <w:t>生产厂名称、商标；</w:t>
      </w:r>
    </w:p>
    <w:p>
      <w:pPr>
        <w:ind w:firstLine="420" w:firstLineChars="200"/>
        <w:rPr>
          <w:color w:val="000000"/>
        </w:rPr>
      </w:pPr>
      <w:r>
        <w:rPr>
          <w:color w:val="000000"/>
        </w:rPr>
        <w:t>批量或批号。</w:t>
      </w:r>
    </w:p>
    <w:p>
      <w:pPr>
        <w:pStyle w:val="56"/>
        <w:numPr>
          <w:ilvl w:val="0"/>
          <w:numId w:val="22"/>
        </w:numPr>
        <w:ind w:firstLineChars="0"/>
        <w:rPr>
          <w:color w:val="000000"/>
        </w:rPr>
      </w:pPr>
      <w:r>
        <w:rPr>
          <w:color w:val="000000"/>
        </w:rPr>
        <w:t>产品质量控制过程中的检验报告及成品检验报告。</w:t>
      </w:r>
    </w:p>
    <w:p>
      <w:pPr>
        <w:pStyle w:val="56"/>
        <w:numPr>
          <w:ilvl w:val="0"/>
          <w:numId w:val="22"/>
        </w:numPr>
        <w:ind w:firstLineChars="0"/>
        <w:rPr>
          <w:color w:val="000000"/>
        </w:rPr>
      </w:pPr>
      <w:r>
        <w:rPr>
          <w:color w:val="000000"/>
        </w:rPr>
        <w:t>产品使用说明；正确搬运、使用、贮存方法等</w:t>
      </w:r>
    </w:p>
    <w:p>
      <w:pPr>
        <w:pStyle w:val="56"/>
        <w:numPr>
          <w:ilvl w:val="0"/>
          <w:numId w:val="22"/>
        </w:numPr>
        <w:ind w:firstLineChars="0"/>
        <w:rPr>
          <w:color w:val="000000"/>
        </w:rPr>
      </w:pPr>
      <w:r>
        <w:rPr>
          <w:color w:val="000000"/>
        </w:rPr>
        <w:t>许用温度，紫铜的许用温度应不高于150℃，铜合金应不高于200℃。</w:t>
      </w:r>
    </w:p>
    <w:p>
      <w:pPr>
        <w:pStyle w:val="56"/>
        <w:numPr>
          <w:ilvl w:val="0"/>
          <w:numId w:val="22"/>
        </w:numPr>
        <w:ind w:firstLineChars="0"/>
        <w:rPr>
          <w:color w:val="000000"/>
        </w:rPr>
      </w:pPr>
      <w:r>
        <w:rPr>
          <w:color w:val="000000"/>
        </w:rPr>
        <w:t>其他。</w:t>
      </w:r>
    </w:p>
    <w:p>
      <w:pPr>
        <w:pStyle w:val="56"/>
        <w:ind w:left="860" w:firstLine="0" w:firstLineChars="0"/>
        <w:rPr>
          <w:color w:val="000000"/>
        </w:rPr>
      </w:pPr>
    </w:p>
    <w:p>
      <w:pPr>
        <w:pStyle w:val="56"/>
        <w:numPr>
          <w:ilvl w:val="0"/>
          <w:numId w:val="2"/>
        </w:numPr>
        <w:ind w:firstLineChars="0"/>
        <w:rPr>
          <w:rFonts w:eastAsia="黑体"/>
          <w:bCs/>
          <w:color w:val="000000"/>
        </w:rPr>
      </w:pPr>
      <w:r>
        <w:rPr>
          <w:rFonts w:eastAsia="黑体"/>
          <w:bCs/>
          <w:color w:val="000000"/>
        </w:rPr>
        <w:t>订货单内容</w:t>
      </w:r>
    </w:p>
    <w:p>
      <w:pPr>
        <w:ind w:firstLine="420" w:firstLineChars="200"/>
        <w:rPr>
          <w:color w:val="000000"/>
        </w:rPr>
      </w:pPr>
      <w:r>
        <w:rPr>
          <w:color w:val="000000"/>
        </w:rPr>
        <w:t>需方可根据自身的需要，在订购本文件所列产品的订货单内，列出如下内容：</w:t>
      </w:r>
    </w:p>
    <w:p>
      <w:pPr>
        <w:pStyle w:val="56"/>
        <w:numPr>
          <w:ilvl w:val="1"/>
          <w:numId w:val="23"/>
        </w:numPr>
        <w:ind w:firstLineChars="0"/>
        <w:rPr>
          <w:color w:val="000000"/>
        </w:rPr>
      </w:pPr>
      <w:r>
        <w:rPr>
          <w:color w:val="000000"/>
        </w:rPr>
        <w:t>产品名称；</w:t>
      </w:r>
    </w:p>
    <w:p>
      <w:pPr>
        <w:pStyle w:val="56"/>
        <w:numPr>
          <w:ilvl w:val="1"/>
          <w:numId w:val="23"/>
        </w:numPr>
        <w:ind w:firstLineChars="0"/>
        <w:rPr>
          <w:color w:val="000000"/>
        </w:rPr>
      </w:pPr>
      <w:r>
        <w:rPr>
          <w:color w:val="000000"/>
        </w:rPr>
        <w:t>牌号；</w:t>
      </w:r>
    </w:p>
    <w:p>
      <w:pPr>
        <w:pStyle w:val="56"/>
        <w:numPr>
          <w:ilvl w:val="1"/>
          <w:numId w:val="23"/>
        </w:numPr>
        <w:ind w:firstLineChars="0"/>
        <w:rPr>
          <w:color w:val="000000"/>
        </w:rPr>
      </w:pPr>
      <w:r>
        <w:rPr>
          <w:color w:val="000000"/>
        </w:rPr>
        <w:t>状态；</w:t>
      </w:r>
    </w:p>
    <w:p>
      <w:pPr>
        <w:pStyle w:val="56"/>
        <w:numPr>
          <w:ilvl w:val="1"/>
          <w:numId w:val="23"/>
        </w:numPr>
        <w:ind w:firstLineChars="0"/>
        <w:rPr>
          <w:color w:val="000000"/>
        </w:rPr>
      </w:pPr>
      <w:r>
        <w:rPr>
          <w:color w:val="000000"/>
        </w:rPr>
        <w:t>规格(光管段外径、光管段壁厚、成翅段的翅片高度、外翅片数、内齿高度、内齿条数、底壁厚、管材总长)或图纸；</w:t>
      </w:r>
    </w:p>
    <w:p>
      <w:pPr>
        <w:pStyle w:val="56"/>
        <w:numPr>
          <w:ilvl w:val="1"/>
          <w:numId w:val="23"/>
        </w:numPr>
        <w:ind w:firstLineChars="0"/>
        <w:rPr>
          <w:color w:val="000000"/>
        </w:rPr>
      </w:pPr>
      <w:r>
        <w:rPr>
          <w:color w:val="000000"/>
        </w:rPr>
        <w:t>数量（根数或重量）；</w:t>
      </w:r>
    </w:p>
    <w:p>
      <w:pPr>
        <w:pStyle w:val="56"/>
        <w:numPr>
          <w:ilvl w:val="1"/>
          <w:numId w:val="23"/>
        </w:numPr>
        <w:ind w:firstLineChars="0"/>
        <w:rPr>
          <w:color w:val="000000"/>
        </w:rPr>
      </w:pPr>
      <w:r>
        <w:rPr>
          <w:color w:val="000000"/>
        </w:rPr>
        <w:t>规定塑性延伸强度、规定总延伸强度、压扁试验、维氏硬度、热工性能、外压设计检验、残余应力和清洁度（用户要求时）；</w:t>
      </w:r>
    </w:p>
    <w:p>
      <w:pPr>
        <w:pStyle w:val="56"/>
        <w:numPr>
          <w:ilvl w:val="1"/>
          <w:numId w:val="23"/>
        </w:numPr>
        <w:ind w:firstLineChars="0"/>
        <w:rPr>
          <w:color w:val="000000"/>
        </w:rPr>
      </w:pPr>
      <w:r>
        <w:rPr>
          <w:color w:val="000000"/>
        </w:rPr>
        <w:t>本文件编号；</w:t>
      </w:r>
    </w:p>
    <w:p>
      <w:pPr>
        <w:pStyle w:val="56"/>
        <w:numPr>
          <w:ilvl w:val="1"/>
          <w:numId w:val="23"/>
        </w:numPr>
        <w:ind w:firstLineChars="0"/>
        <w:rPr>
          <w:color w:val="000000"/>
        </w:rPr>
      </w:pPr>
      <w:r>
        <w:rPr>
          <w:color w:val="000000"/>
        </w:rPr>
        <w:t>其他。</w:t>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pStyle w:val="47"/>
        <w:shd w:val="clear" w:color="auto" w:fill="auto"/>
        <w:spacing w:before="0" w:line="317" w:lineRule="exact"/>
        <w:ind w:right="200" w:firstLine="0"/>
        <w:jc w:val="center"/>
        <w:rPr>
          <w:rStyle w:val="48"/>
          <w:rFonts w:ascii="Times New Roman" w:hAnsi="Times New Roman" w:eastAsia="黑体"/>
          <w:color w:val="000000"/>
          <w:szCs w:val="21"/>
        </w:rPr>
      </w:pPr>
    </w:p>
    <w:p>
      <w:pPr>
        <w:widowControl/>
        <w:jc w:val="left"/>
        <w:rPr>
          <w:rStyle w:val="48"/>
          <w:rFonts w:ascii="Times New Roman" w:hAnsi="Times New Roman" w:eastAsia="黑体"/>
          <w:color w:val="000000"/>
          <w:szCs w:val="21"/>
        </w:rPr>
        <w:sectPr>
          <w:footerReference r:id="rId11" w:type="first"/>
          <w:footerReference r:id="rId10" w:type="default"/>
          <w:pgSz w:w="11906" w:h="16838"/>
          <w:pgMar w:top="1134" w:right="1134" w:bottom="1247" w:left="1418" w:header="851" w:footer="992" w:gutter="0"/>
          <w:pgNumType w:start="1"/>
          <w:cols w:space="425" w:num="1"/>
          <w:titlePg/>
          <w:docGrid w:type="lines" w:linePitch="312" w:charSpace="0"/>
        </w:sectPr>
      </w:pPr>
    </w:p>
    <w:p>
      <w:pPr>
        <w:spacing w:line="360" w:lineRule="auto"/>
        <w:jc w:val="center"/>
        <w:rPr>
          <w:rFonts w:hint="eastAsia" w:ascii="黑体" w:hAnsi="黑体" w:eastAsia="黑体" w:cs="黑体"/>
        </w:rPr>
      </w:pPr>
      <w:r>
        <w:rPr>
          <w:rFonts w:hint="eastAsia" w:ascii="黑体" w:hAnsi="黑体" w:eastAsia="黑体" w:cs="黑体"/>
        </w:rPr>
        <w:t xml:space="preserve">附录A </w:t>
      </w:r>
    </w:p>
    <w:p>
      <w:pPr>
        <w:spacing w:line="360" w:lineRule="auto"/>
        <w:jc w:val="center"/>
        <w:rPr>
          <w:rFonts w:hint="eastAsia" w:ascii="黑体" w:hAnsi="黑体" w:eastAsia="黑体" w:cs="黑体"/>
        </w:rPr>
      </w:pPr>
      <w:r>
        <w:rPr>
          <w:rFonts w:hint="eastAsia" w:ascii="黑体" w:hAnsi="黑体" w:eastAsia="黑体" w:cs="黑体"/>
        </w:rPr>
        <w:t>（资料性）</w:t>
      </w:r>
    </w:p>
    <w:p>
      <w:pPr>
        <w:spacing w:line="360" w:lineRule="auto"/>
        <w:jc w:val="center"/>
        <w:rPr>
          <w:rFonts w:hint="eastAsia" w:ascii="黑体" w:hAnsi="黑体" w:eastAsia="黑体" w:cs="黑体"/>
        </w:rPr>
      </w:pPr>
      <w:r>
        <w:rPr>
          <w:rFonts w:hint="eastAsia" w:ascii="黑体" w:hAnsi="黑体" w:eastAsia="黑体" w:cs="黑体"/>
        </w:rPr>
        <w:t>推荐规格及主要参数</w:t>
      </w:r>
    </w:p>
    <w:p>
      <w:pPr>
        <w:spacing w:line="360" w:lineRule="auto"/>
        <w:ind w:firstLine="420" w:firstLineChars="200"/>
        <w:rPr>
          <w:rFonts w:hint="eastAsia" w:ascii="宋体" w:hAnsi="宋体" w:cs="宋体"/>
        </w:rPr>
      </w:pPr>
      <w:r>
        <w:rPr>
          <w:rFonts w:hint="eastAsia" w:ascii="宋体" w:hAnsi="宋体" w:cs="宋体"/>
        </w:rPr>
        <w:t>管材的推荐规格及主要参数参见表A.1。</w:t>
      </w:r>
    </w:p>
    <w:p>
      <w:pPr>
        <w:spacing w:line="360" w:lineRule="auto"/>
        <w:jc w:val="center"/>
        <w:rPr>
          <w:rFonts w:hint="eastAsia" w:ascii="宋体" w:hAnsi="宋体" w:cs="宋体"/>
        </w:rPr>
      </w:pPr>
      <w:r>
        <w:rPr>
          <w:rFonts w:hint="eastAsia" w:ascii="黑体" w:hAnsi="黑体" w:eastAsia="黑体" w:cs="黑体"/>
        </w:rPr>
        <w:t xml:space="preserve">表A.1  </w:t>
      </w:r>
      <w:bookmarkStart w:id="72" w:name="_Hlk232510655"/>
      <w:r>
        <w:rPr>
          <w:rFonts w:hint="eastAsia" w:ascii="黑体" w:hAnsi="黑体" w:eastAsia="黑体" w:cs="黑体"/>
          <w:bCs/>
          <w:color w:val="000000"/>
        </w:rPr>
        <w:t>推荐规</w:t>
      </w:r>
      <w:r>
        <w:rPr>
          <w:rFonts w:eastAsia="黑体"/>
          <w:bCs/>
          <w:color w:val="000000"/>
        </w:rPr>
        <w:t>格及主要参数</w:t>
      </w:r>
      <w:bookmarkEnd w:id="72"/>
    </w:p>
    <w:tbl>
      <w:tblPr>
        <w:tblStyle w:val="16"/>
        <w:tblW w:w="14368" w:type="dxa"/>
        <w:jc w:val="center"/>
        <w:tblLayout w:type="fixed"/>
        <w:tblCellMar>
          <w:top w:w="0" w:type="dxa"/>
          <w:left w:w="108" w:type="dxa"/>
          <w:bottom w:w="0" w:type="dxa"/>
          <w:right w:w="108" w:type="dxa"/>
        </w:tblCellMar>
      </w:tblPr>
      <w:tblGrid>
        <w:gridCol w:w="1870"/>
        <w:gridCol w:w="2027"/>
        <w:gridCol w:w="1127"/>
        <w:gridCol w:w="1118"/>
        <w:gridCol w:w="1319"/>
        <w:gridCol w:w="918"/>
        <w:gridCol w:w="1509"/>
        <w:gridCol w:w="1054"/>
        <w:gridCol w:w="1173"/>
        <w:gridCol w:w="1146"/>
        <w:gridCol w:w="1107"/>
      </w:tblGrid>
      <w:tr>
        <w:tblPrEx>
          <w:tblCellMar>
            <w:top w:w="0" w:type="dxa"/>
            <w:left w:w="108" w:type="dxa"/>
            <w:bottom w:w="0" w:type="dxa"/>
            <w:right w:w="108" w:type="dxa"/>
          </w:tblCellMar>
        </w:tblPrEx>
        <w:trPr>
          <w:trHeight w:val="90" w:hRule="atLeast"/>
          <w:jc w:val="center"/>
        </w:trPr>
        <w:tc>
          <w:tcPr>
            <w:tcW w:w="1870" w:type="dxa"/>
            <w:vMerge w:val="restart"/>
            <w:tcBorders>
              <w:top w:val="single" w:color="auto" w:sz="8" w:space="0"/>
              <w:left w:val="single" w:color="auto" w:sz="8" w:space="0"/>
              <w:bottom w:val="single" w:color="000000" w:sz="8" w:space="0"/>
              <w:right w:val="single" w:color="auto" w:sz="8" w:space="0"/>
            </w:tcBorders>
            <w:vAlign w:val="center"/>
          </w:tcPr>
          <w:p>
            <w:pPr>
              <w:widowControl/>
              <w:jc w:val="center"/>
              <w:rPr>
                <w:rFonts w:hint="eastAsia" w:ascii="宋体" w:hAnsi="宋体" w:cs="宋体"/>
                <w:kern w:val="0"/>
                <w:sz w:val="18"/>
                <w:szCs w:val="18"/>
              </w:rPr>
            </w:pPr>
            <w:bookmarkStart w:id="73" w:name="_Hlk232510637"/>
            <w:r>
              <w:rPr>
                <w:rFonts w:hint="eastAsia" w:ascii="宋体" w:hAnsi="宋体" w:cs="宋体"/>
                <w:kern w:val="0"/>
                <w:sz w:val="18"/>
                <w:szCs w:val="18"/>
              </w:rPr>
              <w:t>管型</w:t>
            </w:r>
            <w:r>
              <w:rPr>
                <w:kern w:val="0"/>
                <w:sz w:val="18"/>
                <w:szCs w:val="18"/>
              </w:rPr>
              <w:t> </w:t>
            </w:r>
          </w:p>
        </w:tc>
        <w:tc>
          <w:tcPr>
            <w:tcW w:w="2027" w:type="dxa"/>
            <w:vMerge w:val="restart"/>
            <w:tcBorders>
              <w:top w:val="single" w:color="auto" w:sz="8" w:space="0"/>
              <w:left w:val="single" w:color="auto" w:sz="8" w:space="0"/>
              <w:bottom w:val="single" w:color="000000" w:sz="8" w:space="0"/>
              <w:right w:val="single" w:color="auto" w:sz="8" w:space="0"/>
            </w:tcBorders>
            <w:vAlign w:val="center"/>
          </w:tcPr>
          <w:p>
            <w:pPr>
              <w:widowControl/>
              <w:jc w:val="center"/>
              <w:rPr>
                <w:rFonts w:hint="eastAsia" w:ascii="宋体" w:hAnsi="宋体" w:cs="宋体"/>
                <w:kern w:val="0"/>
                <w:sz w:val="18"/>
                <w:szCs w:val="18"/>
              </w:rPr>
            </w:pPr>
            <w:r>
              <w:rPr>
                <w:rFonts w:hint="eastAsia" w:ascii="宋体" w:hAnsi="宋体" w:cs="宋体"/>
                <w:kern w:val="0"/>
                <w:sz w:val="18"/>
                <w:szCs w:val="18"/>
              </w:rPr>
              <w:t>公称规格</w:t>
            </w:r>
          </w:p>
          <w:p>
            <w:pPr>
              <w:widowControl/>
              <w:jc w:val="center"/>
              <w:rPr>
                <w:rFonts w:hint="eastAsia" w:ascii="宋体" w:hAnsi="宋体" w:cs="宋体"/>
                <w:kern w:val="0"/>
                <w:sz w:val="18"/>
                <w:szCs w:val="18"/>
              </w:rPr>
            </w:pPr>
            <w:r>
              <w:rPr>
                <w:rFonts w:hint="eastAsia" w:ascii="宋体" w:hAnsi="宋体" w:cs="宋体"/>
                <w:kern w:val="0"/>
                <w:sz w:val="18"/>
                <w:szCs w:val="18"/>
              </w:rPr>
              <w:t>mm</w:t>
            </w:r>
          </w:p>
        </w:tc>
        <w:tc>
          <w:tcPr>
            <w:tcW w:w="2245" w:type="dxa"/>
            <w:gridSpan w:val="2"/>
            <w:tcBorders>
              <w:top w:val="single" w:color="auto" w:sz="8" w:space="0"/>
              <w:left w:val="nil"/>
              <w:bottom w:val="single" w:color="auto" w:sz="8" w:space="0"/>
              <w:right w:val="single" w:color="000000" w:sz="8" w:space="0"/>
            </w:tcBorders>
            <w:noWrap/>
            <w:vAlign w:val="center"/>
          </w:tcPr>
          <w:p>
            <w:pPr>
              <w:widowControl/>
              <w:jc w:val="center"/>
              <w:rPr>
                <w:rFonts w:hint="eastAsia" w:ascii="宋体" w:hAnsi="宋体" w:cs="宋体"/>
                <w:kern w:val="0"/>
                <w:sz w:val="18"/>
                <w:szCs w:val="18"/>
              </w:rPr>
            </w:pPr>
            <w:r>
              <w:rPr>
                <w:rFonts w:hint="eastAsia" w:ascii="宋体" w:hAnsi="宋体" w:cs="宋体"/>
                <w:kern w:val="0"/>
                <w:sz w:val="18"/>
                <w:szCs w:val="18"/>
              </w:rPr>
              <w:t>无翅段</w:t>
            </w:r>
          </w:p>
        </w:tc>
        <w:tc>
          <w:tcPr>
            <w:tcW w:w="8226" w:type="dxa"/>
            <w:gridSpan w:val="7"/>
            <w:tcBorders>
              <w:top w:val="single" w:color="auto" w:sz="8" w:space="0"/>
              <w:left w:val="nil"/>
              <w:bottom w:val="single" w:color="auto" w:sz="8" w:space="0"/>
              <w:right w:val="single" w:color="000000" w:sz="8" w:space="0"/>
            </w:tcBorders>
            <w:noWrap/>
            <w:vAlign w:val="center"/>
          </w:tcPr>
          <w:p>
            <w:pPr>
              <w:widowControl/>
              <w:jc w:val="center"/>
              <w:rPr>
                <w:rFonts w:hint="eastAsia" w:ascii="宋体" w:hAnsi="宋体" w:cs="宋体"/>
                <w:kern w:val="0"/>
                <w:sz w:val="18"/>
                <w:szCs w:val="18"/>
              </w:rPr>
            </w:pPr>
            <w:r>
              <w:rPr>
                <w:rFonts w:hint="eastAsia" w:ascii="宋体" w:hAnsi="宋体" w:cs="宋体"/>
                <w:kern w:val="0"/>
                <w:sz w:val="18"/>
                <w:szCs w:val="18"/>
              </w:rPr>
              <w:t>成翅段</w:t>
            </w:r>
          </w:p>
        </w:tc>
      </w:tr>
      <w:tr>
        <w:tblPrEx>
          <w:tblCellMar>
            <w:top w:w="0" w:type="dxa"/>
            <w:left w:w="108" w:type="dxa"/>
            <w:bottom w:w="0" w:type="dxa"/>
            <w:right w:w="108" w:type="dxa"/>
          </w:tblCellMar>
        </w:tblPrEx>
        <w:trPr>
          <w:trHeight w:val="133" w:hRule="atLeast"/>
          <w:jc w:val="center"/>
        </w:trPr>
        <w:tc>
          <w:tcPr>
            <w:tcW w:w="1870" w:type="dxa"/>
            <w:vMerge w:val="continue"/>
            <w:tcBorders>
              <w:top w:val="single" w:color="auto" w:sz="8" w:space="0"/>
              <w:left w:val="single" w:color="auto" w:sz="8" w:space="0"/>
              <w:bottom w:val="single" w:color="000000" w:sz="8" w:space="0"/>
              <w:right w:val="single" w:color="auto" w:sz="8" w:space="0"/>
            </w:tcBorders>
            <w:vAlign w:val="center"/>
          </w:tcPr>
          <w:p>
            <w:pPr>
              <w:widowControl/>
              <w:jc w:val="left"/>
              <w:rPr>
                <w:rFonts w:hint="eastAsia" w:ascii="宋体" w:hAnsi="宋体" w:cs="宋体"/>
                <w:kern w:val="0"/>
                <w:sz w:val="18"/>
                <w:szCs w:val="18"/>
              </w:rPr>
            </w:pPr>
          </w:p>
        </w:tc>
        <w:tc>
          <w:tcPr>
            <w:tcW w:w="2027" w:type="dxa"/>
            <w:vMerge w:val="continue"/>
            <w:tcBorders>
              <w:top w:val="single" w:color="auto" w:sz="8" w:space="0"/>
              <w:left w:val="single" w:color="auto" w:sz="8" w:space="0"/>
              <w:bottom w:val="single" w:color="000000" w:sz="8" w:space="0"/>
              <w:right w:val="single" w:color="auto" w:sz="8" w:space="0"/>
            </w:tcBorders>
            <w:vAlign w:val="center"/>
          </w:tcPr>
          <w:p>
            <w:pPr>
              <w:widowControl/>
              <w:jc w:val="left"/>
              <w:rPr>
                <w:rFonts w:hint="eastAsia" w:ascii="宋体" w:hAnsi="宋体" w:cs="宋体"/>
                <w:kern w:val="0"/>
                <w:sz w:val="18"/>
                <w:szCs w:val="18"/>
              </w:rPr>
            </w:pPr>
          </w:p>
        </w:tc>
        <w:tc>
          <w:tcPr>
            <w:tcW w:w="1127" w:type="dxa"/>
            <w:tcBorders>
              <w:top w:val="nil"/>
              <w:left w:val="nil"/>
              <w:bottom w:val="single" w:color="auto" w:sz="8" w:space="0"/>
              <w:right w:val="single" w:color="auto" w:sz="8" w:space="0"/>
            </w:tcBorders>
            <w:vAlign w:val="center"/>
          </w:tcPr>
          <w:p>
            <w:pPr>
              <w:widowControl/>
              <w:jc w:val="center"/>
              <w:rPr>
                <w:rFonts w:hint="eastAsia" w:ascii="宋体" w:hAnsi="宋体" w:cs="宋体"/>
                <w:kern w:val="0"/>
                <w:sz w:val="18"/>
                <w:szCs w:val="18"/>
              </w:rPr>
            </w:pPr>
            <w:r>
              <w:rPr>
                <w:rFonts w:hint="eastAsia" w:ascii="宋体" w:hAnsi="宋体" w:cs="宋体"/>
                <w:kern w:val="0"/>
                <w:sz w:val="18"/>
                <w:szCs w:val="18"/>
              </w:rPr>
              <w:t xml:space="preserve">外径 D </w:t>
            </w:r>
          </w:p>
          <w:p>
            <w:pPr>
              <w:widowControl/>
              <w:jc w:val="center"/>
              <w:rPr>
                <w:rFonts w:hint="eastAsia" w:ascii="宋体" w:hAnsi="宋体" w:cs="宋体"/>
                <w:kern w:val="0"/>
                <w:sz w:val="18"/>
                <w:szCs w:val="18"/>
              </w:rPr>
            </w:pPr>
            <w:r>
              <w:rPr>
                <w:rFonts w:hint="eastAsia" w:ascii="宋体" w:hAnsi="宋体" w:cs="宋体"/>
                <w:kern w:val="0"/>
                <w:sz w:val="18"/>
                <w:szCs w:val="18"/>
              </w:rPr>
              <w:t>mm</w:t>
            </w:r>
          </w:p>
        </w:tc>
        <w:tc>
          <w:tcPr>
            <w:tcW w:w="1118" w:type="dxa"/>
            <w:tcBorders>
              <w:top w:val="nil"/>
              <w:left w:val="nil"/>
              <w:bottom w:val="single" w:color="auto" w:sz="8" w:space="0"/>
              <w:right w:val="single" w:color="auto" w:sz="8" w:space="0"/>
            </w:tcBorders>
            <w:vAlign w:val="center"/>
          </w:tcPr>
          <w:p>
            <w:pPr>
              <w:widowControl/>
              <w:jc w:val="center"/>
              <w:rPr>
                <w:rFonts w:hint="eastAsia" w:ascii="宋体" w:hAnsi="宋体" w:cs="宋体"/>
                <w:kern w:val="0"/>
                <w:sz w:val="18"/>
                <w:szCs w:val="18"/>
              </w:rPr>
            </w:pPr>
            <w:r>
              <w:rPr>
                <w:rFonts w:hint="eastAsia" w:ascii="宋体" w:hAnsi="宋体" w:cs="宋体"/>
                <w:kern w:val="0"/>
                <w:sz w:val="18"/>
                <w:szCs w:val="18"/>
              </w:rPr>
              <w:t xml:space="preserve">壁厚T </w:t>
            </w:r>
          </w:p>
          <w:p>
            <w:pPr>
              <w:widowControl/>
              <w:jc w:val="center"/>
              <w:rPr>
                <w:rFonts w:hint="eastAsia" w:ascii="宋体" w:hAnsi="宋体" w:cs="宋体"/>
                <w:kern w:val="0"/>
                <w:sz w:val="18"/>
                <w:szCs w:val="18"/>
              </w:rPr>
            </w:pPr>
            <w:r>
              <w:rPr>
                <w:rFonts w:hint="eastAsia" w:ascii="宋体" w:hAnsi="宋体" w:cs="宋体"/>
                <w:kern w:val="0"/>
                <w:sz w:val="18"/>
                <w:szCs w:val="18"/>
              </w:rPr>
              <w:t>mm</w:t>
            </w:r>
          </w:p>
        </w:tc>
        <w:tc>
          <w:tcPr>
            <w:tcW w:w="1319" w:type="dxa"/>
            <w:tcBorders>
              <w:top w:val="nil"/>
              <w:left w:val="nil"/>
              <w:bottom w:val="single" w:color="auto" w:sz="8" w:space="0"/>
              <w:right w:val="single" w:color="auto" w:sz="8" w:space="0"/>
            </w:tcBorders>
            <w:vAlign w:val="center"/>
          </w:tcPr>
          <w:p>
            <w:pPr>
              <w:widowControl/>
              <w:jc w:val="center"/>
              <w:rPr>
                <w:rFonts w:hint="eastAsia" w:ascii="宋体" w:hAnsi="宋体" w:cs="宋体"/>
                <w:kern w:val="0"/>
                <w:sz w:val="18"/>
                <w:szCs w:val="18"/>
              </w:rPr>
            </w:pPr>
            <w:r>
              <w:rPr>
                <w:rFonts w:hint="eastAsia" w:ascii="宋体" w:hAnsi="宋体" w:cs="宋体"/>
                <w:kern w:val="0"/>
                <w:sz w:val="18"/>
                <w:szCs w:val="18"/>
              </w:rPr>
              <w:t>外径 D</w:t>
            </w:r>
            <w:r>
              <w:rPr>
                <w:rFonts w:hint="eastAsia" w:ascii="宋体" w:hAnsi="宋体" w:cs="宋体"/>
                <w:kern w:val="0"/>
                <w:sz w:val="18"/>
                <w:szCs w:val="18"/>
                <w:vertAlign w:val="subscript"/>
              </w:rPr>
              <w:t>f</w:t>
            </w:r>
            <w:r>
              <w:rPr>
                <w:rFonts w:hint="eastAsia" w:ascii="宋体" w:hAnsi="宋体" w:cs="宋体"/>
                <w:kern w:val="0"/>
                <w:sz w:val="18"/>
                <w:szCs w:val="18"/>
              </w:rPr>
              <w:t xml:space="preserve"> </w:t>
            </w:r>
          </w:p>
          <w:p>
            <w:pPr>
              <w:widowControl/>
              <w:jc w:val="center"/>
              <w:rPr>
                <w:rFonts w:hint="eastAsia" w:ascii="宋体" w:hAnsi="宋体" w:cs="宋体"/>
                <w:kern w:val="0"/>
                <w:sz w:val="18"/>
                <w:szCs w:val="18"/>
              </w:rPr>
            </w:pPr>
            <w:r>
              <w:rPr>
                <w:rFonts w:hint="eastAsia" w:ascii="宋体" w:hAnsi="宋体" w:cs="宋体"/>
                <w:kern w:val="0"/>
                <w:sz w:val="18"/>
                <w:szCs w:val="18"/>
              </w:rPr>
              <w:t>mm</w:t>
            </w:r>
          </w:p>
        </w:tc>
        <w:tc>
          <w:tcPr>
            <w:tcW w:w="918" w:type="dxa"/>
            <w:tcBorders>
              <w:top w:val="nil"/>
              <w:left w:val="nil"/>
              <w:bottom w:val="single" w:color="auto" w:sz="8" w:space="0"/>
              <w:right w:val="single" w:color="auto" w:sz="8" w:space="0"/>
            </w:tcBorders>
            <w:vAlign w:val="center"/>
          </w:tcPr>
          <w:p>
            <w:pPr>
              <w:widowControl/>
              <w:jc w:val="center"/>
              <w:rPr>
                <w:rFonts w:hint="eastAsia" w:ascii="宋体" w:hAnsi="宋体" w:cs="宋体"/>
                <w:kern w:val="0"/>
                <w:sz w:val="18"/>
                <w:szCs w:val="18"/>
              </w:rPr>
            </w:pPr>
            <w:r>
              <w:rPr>
                <w:rFonts w:hint="eastAsia" w:ascii="宋体" w:hAnsi="宋体" w:cs="宋体"/>
                <w:kern w:val="0"/>
                <w:sz w:val="18"/>
                <w:szCs w:val="18"/>
              </w:rPr>
              <w:t>外翅高 H</w:t>
            </w:r>
            <w:r>
              <w:rPr>
                <w:rFonts w:hint="eastAsia" w:ascii="宋体" w:hAnsi="宋体" w:cs="宋体"/>
                <w:kern w:val="0"/>
                <w:sz w:val="18"/>
                <w:szCs w:val="18"/>
                <w:vertAlign w:val="subscript"/>
              </w:rPr>
              <w:t>f</w:t>
            </w:r>
            <w:r>
              <w:rPr>
                <w:rFonts w:hint="eastAsia" w:ascii="宋体" w:hAnsi="宋体" w:cs="宋体"/>
                <w:kern w:val="0"/>
                <w:sz w:val="18"/>
                <w:szCs w:val="18"/>
              </w:rPr>
              <w:t xml:space="preserve"> mm</w:t>
            </w:r>
          </w:p>
        </w:tc>
        <w:tc>
          <w:tcPr>
            <w:tcW w:w="1509" w:type="dxa"/>
            <w:tcBorders>
              <w:top w:val="nil"/>
              <w:left w:val="nil"/>
              <w:bottom w:val="single" w:color="auto" w:sz="8" w:space="0"/>
              <w:right w:val="single" w:color="auto" w:sz="8" w:space="0"/>
            </w:tcBorders>
            <w:vAlign w:val="center"/>
          </w:tcPr>
          <w:p>
            <w:pPr>
              <w:widowControl/>
              <w:jc w:val="center"/>
              <w:rPr>
                <w:rFonts w:hint="eastAsia" w:ascii="宋体" w:hAnsi="宋体" w:cs="宋体"/>
                <w:kern w:val="0"/>
                <w:sz w:val="18"/>
                <w:szCs w:val="18"/>
              </w:rPr>
            </w:pPr>
            <w:r>
              <w:rPr>
                <w:rFonts w:hint="eastAsia" w:ascii="宋体" w:hAnsi="宋体" w:cs="宋体"/>
                <w:kern w:val="0"/>
                <w:sz w:val="18"/>
                <w:szCs w:val="18"/>
              </w:rPr>
              <w:t xml:space="preserve">外翅翅片数FPI  </w:t>
            </w:r>
          </w:p>
          <w:p>
            <w:pPr>
              <w:widowControl/>
              <w:jc w:val="center"/>
              <w:rPr>
                <w:rFonts w:hint="eastAsia" w:ascii="宋体" w:hAnsi="宋体" w:cs="宋体"/>
                <w:kern w:val="0"/>
                <w:sz w:val="18"/>
                <w:szCs w:val="18"/>
              </w:rPr>
            </w:pPr>
            <w:r>
              <w:rPr>
                <w:rFonts w:hint="eastAsia" w:ascii="宋体" w:hAnsi="宋体" w:cs="宋体"/>
                <w:kern w:val="0"/>
                <w:sz w:val="18"/>
                <w:szCs w:val="18"/>
              </w:rPr>
              <w:t>条/英寸</w:t>
            </w:r>
          </w:p>
        </w:tc>
        <w:tc>
          <w:tcPr>
            <w:tcW w:w="1054" w:type="dxa"/>
            <w:tcBorders>
              <w:top w:val="nil"/>
              <w:left w:val="nil"/>
              <w:bottom w:val="single" w:color="auto" w:sz="8" w:space="0"/>
              <w:right w:val="single" w:color="auto" w:sz="8" w:space="0"/>
            </w:tcBorders>
            <w:vAlign w:val="center"/>
          </w:tcPr>
          <w:p>
            <w:pPr>
              <w:widowControl/>
              <w:jc w:val="center"/>
              <w:rPr>
                <w:rFonts w:hint="eastAsia" w:ascii="宋体" w:hAnsi="宋体" w:cs="宋体"/>
                <w:kern w:val="0"/>
                <w:sz w:val="18"/>
                <w:szCs w:val="18"/>
              </w:rPr>
            </w:pPr>
            <w:r>
              <w:rPr>
                <w:rFonts w:hint="eastAsia" w:ascii="宋体" w:hAnsi="宋体" w:cs="宋体"/>
                <w:kern w:val="0"/>
                <w:sz w:val="18"/>
                <w:szCs w:val="18"/>
              </w:rPr>
              <w:t>内齿高 R</w:t>
            </w:r>
            <w:r>
              <w:rPr>
                <w:rFonts w:hint="eastAsia" w:ascii="宋体" w:hAnsi="宋体" w:cs="宋体"/>
                <w:kern w:val="0"/>
                <w:sz w:val="18"/>
                <w:szCs w:val="18"/>
                <w:vertAlign w:val="subscript"/>
              </w:rPr>
              <w:t>h</w:t>
            </w:r>
            <w:r>
              <w:rPr>
                <w:rFonts w:hint="eastAsia" w:ascii="宋体" w:hAnsi="宋体" w:cs="宋体"/>
                <w:kern w:val="0"/>
                <w:sz w:val="18"/>
                <w:szCs w:val="18"/>
              </w:rPr>
              <w:t xml:space="preserve">     mm</w:t>
            </w:r>
          </w:p>
        </w:tc>
        <w:tc>
          <w:tcPr>
            <w:tcW w:w="1173" w:type="dxa"/>
            <w:tcBorders>
              <w:top w:val="nil"/>
              <w:left w:val="nil"/>
              <w:bottom w:val="single" w:color="auto" w:sz="8" w:space="0"/>
              <w:right w:val="single" w:color="auto" w:sz="8" w:space="0"/>
            </w:tcBorders>
            <w:vAlign w:val="center"/>
          </w:tcPr>
          <w:p>
            <w:pPr>
              <w:widowControl/>
              <w:jc w:val="center"/>
              <w:rPr>
                <w:rFonts w:hint="eastAsia" w:ascii="宋体" w:hAnsi="宋体" w:cs="宋体"/>
                <w:kern w:val="0"/>
                <w:sz w:val="18"/>
                <w:szCs w:val="18"/>
              </w:rPr>
            </w:pPr>
            <w:r>
              <w:rPr>
                <w:rFonts w:hint="eastAsia" w:ascii="宋体" w:hAnsi="宋体" w:cs="宋体"/>
                <w:kern w:val="0"/>
                <w:sz w:val="18"/>
                <w:szCs w:val="18"/>
              </w:rPr>
              <w:t>内齿条数</w:t>
            </w:r>
          </w:p>
          <w:p>
            <w:pPr>
              <w:widowControl/>
              <w:jc w:val="center"/>
              <w:rPr>
                <w:rFonts w:hint="eastAsia" w:ascii="宋体" w:hAnsi="宋体" w:cs="宋体"/>
                <w:kern w:val="0"/>
                <w:sz w:val="18"/>
                <w:szCs w:val="18"/>
              </w:rPr>
            </w:pPr>
            <w:r>
              <w:rPr>
                <w:rFonts w:hint="eastAsia" w:ascii="宋体" w:hAnsi="宋体" w:cs="宋体"/>
                <w:kern w:val="0"/>
                <w:sz w:val="18"/>
                <w:szCs w:val="18"/>
              </w:rPr>
              <w:t>N条</w:t>
            </w:r>
          </w:p>
        </w:tc>
        <w:tc>
          <w:tcPr>
            <w:tcW w:w="1146" w:type="dxa"/>
            <w:tcBorders>
              <w:top w:val="nil"/>
              <w:left w:val="nil"/>
              <w:bottom w:val="single" w:color="auto" w:sz="8" w:space="0"/>
              <w:right w:val="single" w:color="auto" w:sz="8" w:space="0"/>
            </w:tcBorders>
            <w:vAlign w:val="center"/>
          </w:tcPr>
          <w:p>
            <w:pPr>
              <w:widowControl/>
              <w:jc w:val="center"/>
              <w:rPr>
                <w:rFonts w:hint="eastAsia" w:ascii="宋体" w:hAnsi="宋体" w:cs="宋体"/>
                <w:kern w:val="0"/>
                <w:sz w:val="18"/>
                <w:szCs w:val="18"/>
              </w:rPr>
            </w:pPr>
            <w:r>
              <w:rPr>
                <w:rFonts w:hint="eastAsia" w:ascii="宋体" w:hAnsi="宋体" w:cs="宋体"/>
                <w:kern w:val="0"/>
                <w:sz w:val="18"/>
                <w:szCs w:val="18"/>
              </w:rPr>
              <w:t>内齿螺旋角</w:t>
            </w:r>
            <w:r>
              <w:rPr>
                <w:rFonts w:ascii="Calibri" w:hAnsi="Calibri" w:cs="宋体"/>
                <w:kern w:val="0"/>
                <w:sz w:val="18"/>
                <w:szCs w:val="18"/>
              </w:rPr>
              <w:t>β</w:t>
            </w:r>
            <w:r>
              <w:rPr>
                <w:rFonts w:hint="eastAsia" w:ascii="宋体" w:hAnsi="宋体" w:cs="宋体"/>
                <w:kern w:val="0"/>
                <w:sz w:val="18"/>
                <w:szCs w:val="18"/>
              </w:rPr>
              <w:t>（°）</w:t>
            </w:r>
          </w:p>
        </w:tc>
        <w:tc>
          <w:tcPr>
            <w:tcW w:w="1107" w:type="dxa"/>
            <w:tcBorders>
              <w:top w:val="nil"/>
              <w:left w:val="nil"/>
              <w:bottom w:val="single" w:color="auto" w:sz="8" w:space="0"/>
              <w:right w:val="single" w:color="auto" w:sz="8" w:space="0"/>
            </w:tcBorders>
            <w:vAlign w:val="center"/>
          </w:tcPr>
          <w:p>
            <w:pPr>
              <w:widowControl/>
              <w:jc w:val="center"/>
              <w:rPr>
                <w:rFonts w:hint="eastAsia" w:ascii="宋体" w:hAnsi="宋体" w:cs="宋体"/>
                <w:kern w:val="0"/>
                <w:sz w:val="18"/>
                <w:szCs w:val="18"/>
              </w:rPr>
            </w:pPr>
            <w:r>
              <w:rPr>
                <w:rFonts w:hint="eastAsia" w:ascii="宋体" w:hAnsi="宋体" w:cs="宋体"/>
                <w:kern w:val="0"/>
                <w:sz w:val="18"/>
                <w:szCs w:val="18"/>
              </w:rPr>
              <w:t>底壁厚 T</w:t>
            </w:r>
            <w:r>
              <w:rPr>
                <w:rFonts w:hint="eastAsia" w:ascii="宋体" w:hAnsi="宋体" w:cs="宋体"/>
                <w:kern w:val="0"/>
                <w:sz w:val="18"/>
                <w:szCs w:val="18"/>
                <w:vertAlign w:val="subscript"/>
              </w:rPr>
              <w:t>f</w:t>
            </w:r>
            <w:r>
              <w:rPr>
                <w:rFonts w:hint="eastAsia" w:ascii="宋体" w:hAnsi="宋体" w:cs="宋体"/>
                <w:kern w:val="0"/>
                <w:sz w:val="18"/>
                <w:szCs w:val="18"/>
              </w:rPr>
              <w:t xml:space="preserve"> mm</w:t>
            </w:r>
          </w:p>
        </w:tc>
      </w:tr>
      <w:tr>
        <w:tblPrEx>
          <w:tblCellMar>
            <w:top w:w="0" w:type="dxa"/>
            <w:left w:w="108" w:type="dxa"/>
            <w:bottom w:w="0" w:type="dxa"/>
            <w:right w:w="108" w:type="dxa"/>
          </w:tblCellMar>
        </w:tblPrEx>
        <w:trPr>
          <w:trHeight w:val="300" w:hRule="atLeast"/>
          <w:jc w:val="center"/>
        </w:trPr>
        <w:tc>
          <w:tcPr>
            <w:tcW w:w="1870" w:type="dxa"/>
            <w:tcBorders>
              <w:top w:val="nil"/>
              <w:left w:val="single" w:color="auto" w:sz="8" w:space="0"/>
              <w:bottom w:val="single" w:color="auto" w:sz="8" w:space="0"/>
              <w:right w:val="single" w:color="auto" w:sz="8" w:space="0"/>
            </w:tcBorders>
          </w:tcPr>
          <w:p>
            <w:pPr>
              <w:widowControl/>
              <w:jc w:val="center"/>
              <w:rPr>
                <w:rFonts w:hint="eastAsia" w:ascii="宋体" w:hAnsi="宋体" w:cs="宋体"/>
                <w:kern w:val="0"/>
                <w:sz w:val="18"/>
                <w:szCs w:val="18"/>
              </w:rPr>
            </w:pPr>
            <w:r>
              <w:rPr>
                <w:rFonts w:hint="eastAsia" w:ascii="宋体" w:hAnsi="宋体" w:cs="宋体"/>
                <w:kern w:val="0"/>
                <w:sz w:val="18"/>
                <w:szCs w:val="18"/>
              </w:rPr>
              <w:t>冷凝管</w:t>
            </w:r>
          </w:p>
        </w:tc>
        <w:tc>
          <w:tcPr>
            <w:tcW w:w="2027" w:type="dxa"/>
            <w:tcBorders>
              <w:top w:val="nil"/>
              <w:left w:val="nil"/>
              <w:bottom w:val="single" w:color="auto" w:sz="8" w:space="0"/>
              <w:right w:val="single" w:color="auto" w:sz="8" w:space="0"/>
            </w:tcBorders>
            <w:noWrap/>
            <w:vAlign w:val="bottom"/>
          </w:tcPr>
          <w:p>
            <w:pPr>
              <w:widowControl/>
              <w:jc w:val="center"/>
              <w:rPr>
                <w:rFonts w:hint="eastAsia" w:ascii="宋体" w:hAnsi="宋体" w:cs="宋体"/>
                <w:kern w:val="0"/>
                <w:sz w:val="18"/>
                <w:szCs w:val="18"/>
              </w:rPr>
            </w:pPr>
            <w:r>
              <w:rPr>
                <w:rFonts w:hint="eastAsia" w:ascii="宋体" w:hAnsi="宋体" w:cs="宋体"/>
                <w:kern w:val="0"/>
                <w:sz w:val="18"/>
                <w:szCs w:val="18"/>
              </w:rPr>
              <w:t>25.4</w:t>
            </w:r>
            <w:r>
              <w:rPr>
                <w:rFonts w:hint="eastAsia" w:ascii="宋体" w:hAnsi="宋体" w:cs="宋体"/>
                <w:kern w:val="0"/>
                <w:sz w:val="18"/>
                <w:szCs w:val="18"/>
              </w:rPr>
              <w:sym w:font="Symbol" w:char="F0B4"/>
            </w:r>
            <w:r>
              <w:rPr>
                <w:rFonts w:hint="eastAsia" w:ascii="宋体" w:hAnsi="宋体" w:cs="宋体"/>
                <w:kern w:val="0"/>
                <w:sz w:val="18"/>
                <w:szCs w:val="18"/>
              </w:rPr>
              <w:t>1.18</w:t>
            </w:r>
          </w:p>
        </w:tc>
        <w:tc>
          <w:tcPr>
            <w:tcW w:w="1127" w:type="dxa"/>
            <w:tcBorders>
              <w:top w:val="nil"/>
              <w:left w:val="nil"/>
              <w:bottom w:val="single" w:color="auto" w:sz="8" w:space="0"/>
              <w:right w:val="single" w:color="auto" w:sz="8" w:space="0"/>
            </w:tcBorders>
            <w:noWrap/>
            <w:vAlign w:val="bottom"/>
          </w:tcPr>
          <w:p>
            <w:pPr>
              <w:widowControl/>
              <w:jc w:val="center"/>
              <w:rPr>
                <w:rFonts w:hint="eastAsia" w:ascii="宋体" w:hAnsi="宋体" w:cs="宋体"/>
                <w:kern w:val="0"/>
                <w:sz w:val="18"/>
                <w:szCs w:val="18"/>
              </w:rPr>
            </w:pPr>
            <w:r>
              <w:rPr>
                <w:rFonts w:hint="eastAsia" w:ascii="宋体" w:hAnsi="宋体" w:cs="宋体"/>
                <w:kern w:val="0"/>
                <w:sz w:val="18"/>
                <w:szCs w:val="18"/>
              </w:rPr>
              <w:t>25.32</w:t>
            </w:r>
          </w:p>
        </w:tc>
        <w:tc>
          <w:tcPr>
            <w:tcW w:w="1118" w:type="dxa"/>
            <w:tcBorders>
              <w:top w:val="nil"/>
              <w:left w:val="nil"/>
              <w:bottom w:val="single" w:color="auto" w:sz="8" w:space="0"/>
              <w:right w:val="single" w:color="auto" w:sz="8" w:space="0"/>
            </w:tcBorders>
            <w:noWrap/>
            <w:vAlign w:val="bottom"/>
          </w:tcPr>
          <w:p>
            <w:pPr>
              <w:widowControl/>
              <w:jc w:val="center"/>
              <w:rPr>
                <w:rFonts w:hint="eastAsia" w:ascii="宋体" w:hAnsi="宋体" w:cs="宋体"/>
                <w:kern w:val="0"/>
                <w:sz w:val="18"/>
                <w:szCs w:val="18"/>
              </w:rPr>
            </w:pPr>
            <w:r>
              <w:rPr>
                <w:rFonts w:hint="eastAsia" w:ascii="宋体" w:hAnsi="宋体" w:cs="宋体"/>
                <w:kern w:val="0"/>
                <w:sz w:val="18"/>
                <w:szCs w:val="18"/>
              </w:rPr>
              <w:t>1.18</w:t>
            </w:r>
          </w:p>
        </w:tc>
        <w:tc>
          <w:tcPr>
            <w:tcW w:w="1319" w:type="dxa"/>
            <w:tcBorders>
              <w:top w:val="nil"/>
              <w:left w:val="nil"/>
              <w:bottom w:val="single" w:color="auto" w:sz="8" w:space="0"/>
              <w:right w:val="single" w:color="auto" w:sz="8" w:space="0"/>
            </w:tcBorders>
            <w:noWrap/>
            <w:vAlign w:val="bottom"/>
          </w:tcPr>
          <w:p>
            <w:pPr>
              <w:widowControl/>
              <w:jc w:val="center"/>
              <w:rPr>
                <w:rFonts w:hint="eastAsia" w:ascii="宋体" w:hAnsi="宋体" w:cs="宋体"/>
                <w:kern w:val="0"/>
                <w:sz w:val="18"/>
                <w:szCs w:val="18"/>
              </w:rPr>
            </w:pPr>
            <w:r>
              <w:rPr>
                <w:rFonts w:hint="eastAsia" w:ascii="宋体" w:hAnsi="宋体" w:cs="宋体"/>
                <w:kern w:val="0"/>
                <w:sz w:val="18"/>
                <w:szCs w:val="18"/>
              </w:rPr>
              <w:t>25.32</w:t>
            </w:r>
          </w:p>
        </w:tc>
        <w:tc>
          <w:tcPr>
            <w:tcW w:w="918" w:type="dxa"/>
            <w:tcBorders>
              <w:top w:val="nil"/>
              <w:left w:val="nil"/>
              <w:bottom w:val="single" w:color="auto" w:sz="8" w:space="0"/>
              <w:right w:val="single" w:color="auto" w:sz="8" w:space="0"/>
            </w:tcBorders>
            <w:noWrap/>
            <w:vAlign w:val="bottom"/>
          </w:tcPr>
          <w:p>
            <w:pPr>
              <w:widowControl/>
              <w:jc w:val="center"/>
              <w:rPr>
                <w:rFonts w:hint="eastAsia" w:ascii="宋体" w:hAnsi="宋体" w:cs="宋体"/>
                <w:kern w:val="0"/>
                <w:sz w:val="18"/>
                <w:szCs w:val="18"/>
              </w:rPr>
            </w:pPr>
            <w:r>
              <w:rPr>
                <w:rFonts w:hint="eastAsia" w:ascii="宋体" w:hAnsi="宋体" w:cs="宋体"/>
                <w:kern w:val="0"/>
                <w:sz w:val="18"/>
                <w:szCs w:val="18"/>
              </w:rPr>
              <w:t>0.9</w:t>
            </w:r>
          </w:p>
        </w:tc>
        <w:tc>
          <w:tcPr>
            <w:tcW w:w="1509" w:type="dxa"/>
            <w:tcBorders>
              <w:top w:val="nil"/>
              <w:left w:val="nil"/>
              <w:bottom w:val="single" w:color="auto" w:sz="8" w:space="0"/>
              <w:right w:val="single" w:color="auto" w:sz="8" w:space="0"/>
            </w:tcBorders>
            <w:noWrap/>
            <w:vAlign w:val="bottom"/>
          </w:tcPr>
          <w:p>
            <w:pPr>
              <w:widowControl/>
              <w:jc w:val="center"/>
              <w:rPr>
                <w:rFonts w:hint="eastAsia" w:ascii="宋体" w:hAnsi="宋体" w:cs="宋体"/>
                <w:kern w:val="0"/>
                <w:sz w:val="18"/>
                <w:szCs w:val="18"/>
              </w:rPr>
            </w:pPr>
            <w:r>
              <w:rPr>
                <w:rFonts w:hint="eastAsia" w:ascii="宋体" w:hAnsi="宋体" w:cs="宋体"/>
                <w:kern w:val="0"/>
                <w:sz w:val="18"/>
                <w:szCs w:val="18"/>
              </w:rPr>
              <w:t>46</w:t>
            </w:r>
          </w:p>
        </w:tc>
        <w:tc>
          <w:tcPr>
            <w:tcW w:w="1054" w:type="dxa"/>
            <w:tcBorders>
              <w:top w:val="nil"/>
              <w:left w:val="nil"/>
              <w:bottom w:val="single" w:color="auto" w:sz="8" w:space="0"/>
              <w:right w:val="single" w:color="auto" w:sz="8" w:space="0"/>
            </w:tcBorders>
            <w:noWrap/>
            <w:vAlign w:val="bottom"/>
          </w:tcPr>
          <w:p>
            <w:pPr>
              <w:widowControl/>
              <w:jc w:val="center"/>
              <w:rPr>
                <w:rFonts w:hint="eastAsia" w:ascii="宋体" w:hAnsi="宋体" w:cs="宋体"/>
                <w:kern w:val="0"/>
                <w:sz w:val="18"/>
                <w:szCs w:val="18"/>
              </w:rPr>
            </w:pPr>
            <w:r>
              <w:rPr>
                <w:rFonts w:hint="eastAsia" w:ascii="宋体" w:hAnsi="宋体" w:cs="宋体"/>
                <w:kern w:val="0"/>
                <w:sz w:val="18"/>
                <w:szCs w:val="18"/>
              </w:rPr>
              <w:t>0.36</w:t>
            </w:r>
          </w:p>
        </w:tc>
        <w:tc>
          <w:tcPr>
            <w:tcW w:w="1173" w:type="dxa"/>
            <w:tcBorders>
              <w:top w:val="nil"/>
              <w:left w:val="nil"/>
              <w:bottom w:val="single" w:color="auto" w:sz="8" w:space="0"/>
              <w:right w:val="single" w:color="auto" w:sz="8" w:space="0"/>
            </w:tcBorders>
            <w:noWrap/>
            <w:vAlign w:val="bottom"/>
          </w:tcPr>
          <w:p>
            <w:pPr>
              <w:widowControl/>
              <w:jc w:val="center"/>
              <w:rPr>
                <w:rFonts w:hint="eastAsia" w:ascii="宋体" w:hAnsi="宋体" w:cs="宋体"/>
                <w:kern w:val="0"/>
                <w:sz w:val="18"/>
                <w:szCs w:val="18"/>
              </w:rPr>
            </w:pPr>
            <w:r>
              <w:rPr>
                <w:rFonts w:hint="eastAsia" w:ascii="宋体" w:hAnsi="宋体" w:cs="宋体"/>
                <w:kern w:val="0"/>
                <w:sz w:val="18"/>
                <w:szCs w:val="18"/>
              </w:rPr>
              <w:t>45</w:t>
            </w:r>
          </w:p>
        </w:tc>
        <w:tc>
          <w:tcPr>
            <w:tcW w:w="1146" w:type="dxa"/>
            <w:tcBorders>
              <w:top w:val="nil"/>
              <w:left w:val="nil"/>
              <w:bottom w:val="single" w:color="auto" w:sz="8" w:space="0"/>
              <w:right w:val="single" w:color="auto" w:sz="8" w:space="0"/>
            </w:tcBorders>
            <w:noWrap/>
            <w:vAlign w:val="bottom"/>
          </w:tcPr>
          <w:p>
            <w:pPr>
              <w:widowControl/>
              <w:jc w:val="center"/>
              <w:rPr>
                <w:rFonts w:hint="eastAsia" w:ascii="宋体" w:hAnsi="宋体" w:cs="宋体"/>
                <w:kern w:val="0"/>
                <w:sz w:val="18"/>
                <w:szCs w:val="18"/>
              </w:rPr>
            </w:pPr>
            <w:r>
              <w:rPr>
                <w:rFonts w:hint="eastAsia" w:ascii="宋体" w:hAnsi="宋体" w:cs="宋体"/>
                <w:kern w:val="0"/>
                <w:sz w:val="18"/>
                <w:szCs w:val="18"/>
              </w:rPr>
              <w:t>42</w:t>
            </w:r>
          </w:p>
        </w:tc>
        <w:tc>
          <w:tcPr>
            <w:tcW w:w="1107" w:type="dxa"/>
            <w:tcBorders>
              <w:top w:val="nil"/>
              <w:left w:val="nil"/>
              <w:bottom w:val="single" w:color="auto" w:sz="8" w:space="0"/>
              <w:right w:val="single" w:color="auto" w:sz="8" w:space="0"/>
            </w:tcBorders>
            <w:noWrap/>
            <w:vAlign w:val="bottom"/>
          </w:tcPr>
          <w:p>
            <w:pPr>
              <w:widowControl/>
              <w:jc w:val="center"/>
              <w:rPr>
                <w:rFonts w:hint="eastAsia" w:ascii="宋体" w:hAnsi="宋体" w:cs="宋体"/>
                <w:kern w:val="0"/>
                <w:sz w:val="18"/>
                <w:szCs w:val="18"/>
              </w:rPr>
            </w:pPr>
            <w:r>
              <w:rPr>
                <w:rFonts w:hint="eastAsia" w:ascii="宋体" w:hAnsi="宋体" w:cs="宋体"/>
                <w:kern w:val="0"/>
                <w:sz w:val="18"/>
                <w:szCs w:val="18"/>
              </w:rPr>
              <w:t>0.635</w:t>
            </w:r>
          </w:p>
        </w:tc>
      </w:tr>
      <w:tr>
        <w:tblPrEx>
          <w:tblCellMar>
            <w:top w:w="0" w:type="dxa"/>
            <w:left w:w="108" w:type="dxa"/>
            <w:bottom w:w="0" w:type="dxa"/>
            <w:right w:w="108" w:type="dxa"/>
          </w:tblCellMar>
        </w:tblPrEx>
        <w:trPr>
          <w:trHeight w:val="315" w:hRule="atLeast"/>
          <w:jc w:val="center"/>
        </w:trPr>
        <w:tc>
          <w:tcPr>
            <w:tcW w:w="1870" w:type="dxa"/>
            <w:tcBorders>
              <w:top w:val="nil"/>
              <w:left w:val="single" w:color="auto" w:sz="8" w:space="0"/>
              <w:bottom w:val="single" w:color="auto" w:sz="8" w:space="0"/>
              <w:right w:val="single" w:color="auto" w:sz="8" w:space="0"/>
            </w:tcBorders>
          </w:tcPr>
          <w:p>
            <w:pPr>
              <w:widowControl/>
              <w:jc w:val="center"/>
              <w:rPr>
                <w:rFonts w:hint="eastAsia" w:ascii="宋体" w:hAnsi="宋体" w:cs="宋体"/>
                <w:kern w:val="0"/>
                <w:sz w:val="18"/>
                <w:szCs w:val="18"/>
              </w:rPr>
            </w:pPr>
            <w:r>
              <w:rPr>
                <w:rFonts w:hint="eastAsia" w:ascii="宋体" w:hAnsi="宋体" w:cs="宋体"/>
                <w:kern w:val="0"/>
                <w:sz w:val="18"/>
                <w:szCs w:val="18"/>
              </w:rPr>
              <w:t>蒸发管</w:t>
            </w:r>
          </w:p>
        </w:tc>
        <w:tc>
          <w:tcPr>
            <w:tcW w:w="2027" w:type="dxa"/>
            <w:tcBorders>
              <w:top w:val="nil"/>
              <w:left w:val="nil"/>
              <w:bottom w:val="single" w:color="auto" w:sz="8" w:space="0"/>
              <w:right w:val="single" w:color="auto" w:sz="8" w:space="0"/>
            </w:tcBorders>
            <w:noWrap/>
            <w:vAlign w:val="bottom"/>
          </w:tcPr>
          <w:p>
            <w:pPr>
              <w:widowControl/>
              <w:jc w:val="center"/>
              <w:rPr>
                <w:rFonts w:hint="eastAsia" w:ascii="宋体" w:hAnsi="宋体" w:cs="宋体"/>
                <w:kern w:val="0"/>
                <w:sz w:val="18"/>
                <w:szCs w:val="18"/>
              </w:rPr>
            </w:pPr>
            <w:r>
              <w:rPr>
                <w:rFonts w:hint="eastAsia" w:ascii="宋体" w:hAnsi="宋体" w:cs="宋体"/>
                <w:kern w:val="0"/>
                <w:sz w:val="18"/>
                <w:szCs w:val="18"/>
              </w:rPr>
              <w:t>25.4</w:t>
            </w:r>
            <w:r>
              <w:rPr>
                <w:rFonts w:hint="eastAsia" w:ascii="宋体" w:hAnsi="宋体" w:cs="宋体"/>
                <w:kern w:val="0"/>
                <w:sz w:val="18"/>
                <w:szCs w:val="18"/>
              </w:rPr>
              <w:sym w:font="Symbol" w:char="F0B4"/>
            </w:r>
            <w:r>
              <w:rPr>
                <w:rFonts w:hint="eastAsia" w:ascii="宋体" w:hAnsi="宋体" w:cs="宋体"/>
                <w:kern w:val="0"/>
                <w:sz w:val="18"/>
                <w:szCs w:val="18"/>
              </w:rPr>
              <w:t>1.18</w:t>
            </w:r>
            <w:r>
              <w:rPr>
                <w:kern w:val="0"/>
                <w:sz w:val="18"/>
                <w:szCs w:val="18"/>
              </w:rPr>
              <w:t> </w:t>
            </w:r>
          </w:p>
        </w:tc>
        <w:tc>
          <w:tcPr>
            <w:tcW w:w="1127" w:type="dxa"/>
            <w:tcBorders>
              <w:top w:val="nil"/>
              <w:left w:val="nil"/>
              <w:bottom w:val="single" w:color="auto" w:sz="8" w:space="0"/>
              <w:right w:val="single" w:color="auto" w:sz="8" w:space="0"/>
            </w:tcBorders>
            <w:noWrap/>
            <w:vAlign w:val="bottom"/>
          </w:tcPr>
          <w:p>
            <w:pPr>
              <w:widowControl/>
              <w:jc w:val="center"/>
              <w:rPr>
                <w:rFonts w:hint="eastAsia" w:ascii="宋体" w:hAnsi="宋体" w:cs="宋体"/>
                <w:kern w:val="0"/>
                <w:sz w:val="18"/>
                <w:szCs w:val="18"/>
              </w:rPr>
            </w:pPr>
            <w:r>
              <w:rPr>
                <w:rFonts w:hint="eastAsia" w:ascii="宋体" w:hAnsi="宋体" w:cs="宋体"/>
                <w:kern w:val="0"/>
                <w:sz w:val="18"/>
                <w:szCs w:val="18"/>
              </w:rPr>
              <w:t>25.32</w:t>
            </w:r>
          </w:p>
        </w:tc>
        <w:tc>
          <w:tcPr>
            <w:tcW w:w="1118" w:type="dxa"/>
            <w:tcBorders>
              <w:top w:val="nil"/>
              <w:left w:val="nil"/>
              <w:bottom w:val="single" w:color="auto" w:sz="8" w:space="0"/>
              <w:right w:val="single" w:color="auto" w:sz="8" w:space="0"/>
            </w:tcBorders>
            <w:noWrap/>
            <w:vAlign w:val="bottom"/>
          </w:tcPr>
          <w:p>
            <w:pPr>
              <w:widowControl/>
              <w:jc w:val="center"/>
              <w:rPr>
                <w:rFonts w:hint="eastAsia" w:ascii="宋体" w:hAnsi="宋体" w:cs="宋体"/>
                <w:kern w:val="0"/>
                <w:sz w:val="18"/>
                <w:szCs w:val="18"/>
              </w:rPr>
            </w:pPr>
            <w:r>
              <w:rPr>
                <w:rFonts w:hint="eastAsia" w:ascii="宋体" w:hAnsi="宋体" w:cs="宋体"/>
                <w:kern w:val="0"/>
                <w:sz w:val="18"/>
                <w:szCs w:val="18"/>
              </w:rPr>
              <w:t>1.18</w:t>
            </w:r>
          </w:p>
        </w:tc>
        <w:tc>
          <w:tcPr>
            <w:tcW w:w="1319" w:type="dxa"/>
            <w:tcBorders>
              <w:top w:val="nil"/>
              <w:left w:val="nil"/>
              <w:bottom w:val="single" w:color="auto" w:sz="8" w:space="0"/>
              <w:right w:val="single" w:color="auto" w:sz="8" w:space="0"/>
            </w:tcBorders>
            <w:noWrap/>
            <w:vAlign w:val="bottom"/>
          </w:tcPr>
          <w:p>
            <w:pPr>
              <w:widowControl/>
              <w:jc w:val="center"/>
              <w:rPr>
                <w:rFonts w:hint="eastAsia" w:ascii="宋体" w:hAnsi="宋体" w:cs="宋体"/>
                <w:kern w:val="0"/>
                <w:sz w:val="18"/>
                <w:szCs w:val="18"/>
              </w:rPr>
            </w:pPr>
            <w:r>
              <w:rPr>
                <w:rFonts w:hint="eastAsia" w:ascii="宋体" w:hAnsi="宋体" w:cs="宋体"/>
                <w:kern w:val="0"/>
                <w:sz w:val="18"/>
                <w:szCs w:val="18"/>
              </w:rPr>
              <w:t>25.32</w:t>
            </w:r>
          </w:p>
        </w:tc>
        <w:tc>
          <w:tcPr>
            <w:tcW w:w="918" w:type="dxa"/>
            <w:tcBorders>
              <w:top w:val="nil"/>
              <w:left w:val="nil"/>
              <w:bottom w:val="single" w:color="auto" w:sz="8" w:space="0"/>
              <w:right w:val="single" w:color="auto" w:sz="8" w:space="0"/>
            </w:tcBorders>
            <w:noWrap/>
            <w:vAlign w:val="bottom"/>
          </w:tcPr>
          <w:p>
            <w:pPr>
              <w:widowControl/>
              <w:jc w:val="center"/>
              <w:rPr>
                <w:rFonts w:hint="eastAsia" w:ascii="宋体" w:hAnsi="宋体" w:cs="宋体"/>
                <w:kern w:val="0"/>
                <w:sz w:val="18"/>
                <w:szCs w:val="18"/>
              </w:rPr>
            </w:pPr>
            <w:r>
              <w:rPr>
                <w:rFonts w:hint="eastAsia" w:ascii="宋体" w:hAnsi="宋体" w:cs="宋体"/>
                <w:kern w:val="0"/>
                <w:sz w:val="18"/>
                <w:szCs w:val="18"/>
              </w:rPr>
              <w:t>0.6</w:t>
            </w:r>
          </w:p>
        </w:tc>
        <w:tc>
          <w:tcPr>
            <w:tcW w:w="1509" w:type="dxa"/>
            <w:tcBorders>
              <w:top w:val="nil"/>
              <w:left w:val="nil"/>
              <w:bottom w:val="single" w:color="auto" w:sz="8" w:space="0"/>
              <w:right w:val="single" w:color="auto" w:sz="8" w:space="0"/>
            </w:tcBorders>
            <w:noWrap/>
            <w:vAlign w:val="bottom"/>
          </w:tcPr>
          <w:p>
            <w:pPr>
              <w:widowControl/>
              <w:jc w:val="center"/>
              <w:rPr>
                <w:rFonts w:hint="eastAsia" w:ascii="宋体" w:hAnsi="宋体" w:cs="宋体"/>
                <w:kern w:val="0"/>
                <w:sz w:val="18"/>
                <w:szCs w:val="18"/>
              </w:rPr>
            </w:pPr>
            <w:r>
              <w:rPr>
                <w:rFonts w:hint="eastAsia" w:ascii="宋体" w:hAnsi="宋体" w:cs="宋体"/>
                <w:kern w:val="0"/>
                <w:sz w:val="18"/>
                <w:szCs w:val="18"/>
              </w:rPr>
              <w:t>50</w:t>
            </w:r>
          </w:p>
        </w:tc>
        <w:tc>
          <w:tcPr>
            <w:tcW w:w="1054" w:type="dxa"/>
            <w:tcBorders>
              <w:top w:val="nil"/>
              <w:left w:val="nil"/>
              <w:bottom w:val="single" w:color="auto" w:sz="8" w:space="0"/>
              <w:right w:val="single" w:color="auto" w:sz="8" w:space="0"/>
            </w:tcBorders>
            <w:noWrap/>
            <w:vAlign w:val="bottom"/>
          </w:tcPr>
          <w:p>
            <w:pPr>
              <w:widowControl/>
              <w:jc w:val="center"/>
              <w:rPr>
                <w:rFonts w:hint="eastAsia" w:ascii="宋体" w:hAnsi="宋体" w:cs="宋体"/>
                <w:kern w:val="0"/>
                <w:sz w:val="18"/>
                <w:szCs w:val="18"/>
              </w:rPr>
            </w:pPr>
            <w:r>
              <w:rPr>
                <w:rFonts w:hint="eastAsia" w:ascii="宋体" w:hAnsi="宋体" w:cs="宋体"/>
                <w:kern w:val="0"/>
                <w:sz w:val="18"/>
                <w:szCs w:val="18"/>
              </w:rPr>
              <w:t>0.36</w:t>
            </w:r>
          </w:p>
        </w:tc>
        <w:tc>
          <w:tcPr>
            <w:tcW w:w="1173" w:type="dxa"/>
            <w:tcBorders>
              <w:top w:val="nil"/>
              <w:left w:val="nil"/>
              <w:bottom w:val="single" w:color="auto" w:sz="8" w:space="0"/>
              <w:right w:val="single" w:color="auto" w:sz="8" w:space="0"/>
            </w:tcBorders>
            <w:noWrap/>
            <w:vAlign w:val="bottom"/>
          </w:tcPr>
          <w:p>
            <w:pPr>
              <w:widowControl/>
              <w:jc w:val="center"/>
              <w:rPr>
                <w:rFonts w:hint="eastAsia" w:ascii="宋体" w:hAnsi="宋体" w:cs="宋体"/>
                <w:kern w:val="0"/>
                <w:sz w:val="18"/>
                <w:szCs w:val="18"/>
              </w:rPr>
            </w:pPr>
            <w:r>
              <w:rPr>
                <w:rFonts w:hint="eastAsia" w:ascii="宋体" w:hAnsi="宋体" w:cs="宋体"/>
                <w:kern w:val="0"/>
                <w:sz w:val="18"/>
                <w:szCs w:val="18"/>
              </w:rPr>
              <w:t>52</w:t>
            </w:r>
          </w:p>
        </w:tc>
        <w:tc>
          <w:tcPr>
            <w:tcW w:w="1146" w:type="dxa"/>
            <w:tcBorders>
              <w:top w:val="nil"/>
              <w:left w:val="nil"/>
              <w:bottom w:val="single" w:color="auto" w:sz="8" w:space="0"/>
              <w:right w:val="single" w:color="auto" w:sz="8" w:space="0"/>
            </w:tcBorders>
            <w:noWrap/>
            <w:vAlign w:val="bottom"/>
          </w:tcPr>
          <w:p>
            <w:pPr>
              <w:widowControl/>
              <w:jc w:val="center"/>
              <w:rPr>
                <w:rFonts w:hint="eastAsia" w:ascii="宋体" w:hAnsi="宋体" w:cs="宋体"/>
                <w:kern w:val="0"/>
                <w:sz w:val="18"/>
                <w:szCs w:val="18"/>
              </w:rPr>
            </w:pPr>
            <w:r>
              <w:rPr>
                <w:rFonts w:hint="eastAsia" w:ascii="宋体" w:hAnsi="宋体" w:cs="宋体"/>
                <w:kern w:val="0"/>
                <w:sz w:val="18"/>
                <w:szCs w:val="18"/>
              </w:rPr>
              <w:t>42</w:t>
            </w:r>
          </w:p>
        </w:tc>
        <w:tc>
          <w:tcPr>
            <w:tcW w:w="1107" w:type="dxa"/>
            <w:tcBorders>
              <w:top w:val="nil"/>
              <w:left w:val="nil"/>
              <w:bottom w:val="single" w:color="auto" w:sz="8" w:space="0"/>
              <w:right w:val="single" w:color="auto" w:sz="8" w:space="0"/>
            </w:tcBorders>
            <w:noWrap/>
            <w:vAlign w:val="bottom"/>
          </w:tcPr>
          <w:p>
            <w:pPr>
              <w:widowControl/>
              <w:jc w:val="center"/>
              <w:rPr>
                <w:rFonts w:hint="eastAsia" w:ascii="宋体" w:hAnsi="宋体" w:cs="宋体"/>
                <w:kern w:val="0"/>
                <w:sz w:val="18"/>
                <w:szCs w:val="18"/>
              </w:rPr>
            </w:pPr>
            <w:r>
              <w:rPr>
                <w:rFonts w:hint="eastAsia" w:ascii="宋体" w:hAnsi="宋体" w:cs="宋体"/>
                <w:kern w:val="0"/>
                <w:sz w:val="18"/>
                <w:szCs w:val="18"/>
              </w:rPr>
              <w:t>0.635</w:t>
            </w:r>
          </w:p>
        </w:tc>
      </w:tr>
      <w:tr>
        <w:tblPrEx>
          <w:tblCellMar>
            <w:top w:w="0" w:type="dxa"/>
            <w:left w:w="108" w:type="dxa"/>
            <w:bottom w:w="0" w:type="dxa"/>
            <w:right w:w="108" w:type="dxa"/>
          </w:tblCellMar>
        </w:tblPrEx>
        <w:trPr>
          <w:trHeight w:val="315" w:hRule="atLeast"/>
          <w:jc w:val="center"/>
        </w:trPr>
        <w:tc>
          <w:tcPr>
            <w:tcW w:w="1870" w:type="dxa"/>
            <w:tcBorders>
              <w:top w:val="nil"/>
              <w:left w:val="single" w:color="auto" w:sz="8" w:space="0"/>
              <w:bottom w:val="single" w:color="auto" w:sz="8" w:space="0"/>
              <w:right w:val="single" w:color="auto" w:sz="8" w:space="0"/>
            </w:tcBorders>
          </w:tcPr>
          <w:p>
            <w:pPr>
              <w:widowControl/>
              <w:jc w:val="center"/>
              <w:rPr>
                <w:rFonts w:hint="eastAsia" w:ascii="宋体" w:hAnsi="宋体" w:cs="宋体"/>
                <w:kern w:val="0"/>
                <w:sz w:val="18"/>
                <w:szCs w:val="18"/>
              </w:rPr>
            </w:pPr>
            <w:r>
              <w:rPr>
                <w:rFonts w:hint="eastAsia" w:ascii="宋体" w:hAnsi="宋体" w:cs="宋体"/>
                <w:kern w:val="0"/>
                <w:sz w:val="18"/>
                <w:szCs w:val="18"/>
              </w:rPr>
              <w:t>冷凝管</w:t>
            </w:r>
          </w:p>
        </w:tc>
        <w:tc>
          <w:tcPr>
            <w:tcW w:w="2027" w:type="dxa"/>
            <w:tcBorders>
              <w:top w:val="nil"/>
              <w:left w:val="nil"/>
              <w:bottom w:val="single" w:color="auto" w:sz="8" w:space="0"/>
              <w:right w:val="single" w:color="auto" w:sz="8" w:space="0"/>
            </w:tcBorders>
            <w:noWrap/>
            <w:vAlign w:val="bottom"/>
          </w:tcPr>
          <w:p>
            <w:pPr>
              <w:widowControl/>
              <w:jc w:val="center"/>
              <w:rPr>
                <w:rFonts w:hint="eastAsia" w:ascii="宋体" w:hAnsi="宋体" w:cs="宋体"/>
                <w:kern w:val="0"/>
                <w:sz w:val="18"/>
                <w:szCs w:val="18"/>
              </w:rPr>
            </w:pPr>
            <w:r>
              <w:rPr>
                <w:rFonts w:hint="eastAsia" w:ascii="宋体" w:hAnsi="宋体" w:cs="宋体"/>
                <w:kern w:val="0"/>
                <w:sz w:val="18"/>
                <w:szCs w:val="18"/>
              </w:rPr>
              <w:t>25.4</w:t>
            </w:r>
            <w:r>
              <w:rPr>
                <w:rFonts w:hint="eastAsia" w:ascii="宋体" w:hAnsi="宋体" w:cs="宋体"/>
                <w:kern w:val="0"/>
                <w:sz w:val="18"/>
                <w:szCs w:val="18"/>
              </w:rPr>
              <w:sym w:font="Symbol" w:char="F0B4"/>
            </w:r>
            <w:r>
              <w:rPr>
                <w:rFonts w:hint="eastAsia" w:ascii="宋体" w:hAnsi="宋体" w:cs="宋体"/>
                <w:kern w:val="0"/>
                <w:sz w:val="18"/>
                <w:szCs w:val="18"/>
              </w:rPr>
              <w:t>1.05</w:t>
            </w:r>
          </w:p>
        </w:tc>
        <w:tc>
          <w:tcPr>
            <w:tcW w:w="1127" w:type="dxa"/>
            <w:tcBorders>
              <w:top w:val="nil"/>
              <w:left w:val="nil"/>
              <w:bottom w:val="single" w:color="auto" w:sz="8" w:space="0"/>
              <w:right w:val="single" w:color="auto" w:sz="8" w:space="0"/>
            </w:tcBorders>
            <w:noWrap/>
            <w:vAlign w:val="bottom"/>
          </w:tcPr>
          <w:p>
            <w:pPr>
              <w:widowControl/>
              <w:jc w:val="center"/>
              <w:rPr>
                <w:rFonts w:hint="eastAsia" w:ascii="宋体" w:hAnsi="宋体" w:cs="宋体"/>
                <w:kern w:val="0"/>
                <w:sz w:val="18"/>
                <w:szCs w:val="18"/>
              </w:rPr>
            </w:pPr>
            <w:r>
              <w:rPr>
                <w:rFonts w:hint="eastAsia" w:ascii="宋体" w:hAnsi="宋体" w:cs="宋体"/>
                <w:kern w:val="0"/>
                <w:sz w:val="18"/>
                <w:szCs w:val="18"/>
              </w:rPr>
              <w:t>25.32</w:t>
            </w:r>
          </w:p>
        </w:tc>
        <w:tc>
          <w:tcPr>
            <w:tcW w:w="1118" w:type="dxa"/>
            <w:tcBorders>
              <w:top w:val="nil"/>
              <w:left w:val="nil"/>
              <w:bottom w:val="single" w:color="auto" w:sz="8" w:space="0"/>
              <w:right w:val="single" w:color="auto" w:sz="8" w:space="0"/>
            </w:tcBorders>
            <w:noWrap/>
            <w:vAlign w:val="bottom"/>
          </w:tcPr>
          <w:p>
            <w:pPr>
              <w:widowControl/>
              <w:jc w:val="center"/>
              <w:rPr>
                <w:rFonts w:hint="eastAsia" w:ascii="宋体" w:hAnsi="宋体" w:cs="宋体"/>
                <w:kern w:val="0"/>
                <w:sz w:val="18"/>
                <w:szCs w:val="18"/>
              </w:rPr>
            </w:pPr>
            <w:r>
              <w:rPr>
                <w:rFonts w:hint="eastAsia" w:ascii="宋体" w:hAnsi="宋体" w:cs="宋体"/>
                <w:kern w:val="0"/>
                <w:sz w:val="18"/>
                <w:szCs w:val="18"/>
              </w:rPr>
              <w:t>1.05</w:t>
            </w:r>
          </w:p>
        </w:tc>
        <w:tc>
          <w:tcPr>
            <w:tcW w:w="1319" w:type="dxa"/>
            <w:tcBorders>
              <w:top w:val="nil"/>
              <w:left w:val="nil"/>
              <w:bottom w:val="single" w:color="auto" w:sz="8" w:space="0"/>
              <w:right w:val="single" w:color="auto" w:sz="8" w:space="0"/>
            </w:tcBorders>
            <w:noWrap/>
            <w:vAlign w:val="bottom"/>
          </w:tcPr>
          <w:p>
            <w:pPr>
              <w:widowControl/>
              <w:jc w:val="center"/>
              <w:rPr>
                <w:rFonts w:hint="eastAsia" w:ascii="宋体" w:hAnsi="宋体" w:cs="宋体"/>
                <w:kern w:val="0"/>
                <w:sz w:val="18"/>
                <w:szCs w:val="18"/>
              </w:rPr>
            </w:pPr>
            <w:r>
              <w:rPr>
                <w:rFonts w:hint="eastAsia" w:ascii="宋体" w:hAnsi="宋体" w:cs="宋体"/>
                <w:kern w:val="0"/>
                <w:sz w:val="18"/>
                <w:szCs w:val="18"/>
              </w:rPr>
              <w:t>25.15</w:t>
            </w:r>
          </w:p>
        </w:tc>
        <w:tc>
          <w:tcPr>
            <w:tcW w:w="918" w:type="dxa"/>
            <w:tcBorders>
              <w:top w:val="nil"/>
              <w:left w:val="nil"/>
              <w:bottom w:val="single" w:color="auto" w:sz="8" w:space="0"/>
              <w:right w:val="single" w:color="auto" w:sz="8" w:space="0"/>
            </w:tcBorders>
            <w:noWrap/>
            <w:vAlign w:val="bottom"/>
          </w:tcPr>
          <w:p>
            <w:pPr>
              <w:widowControl/>
              <w:jc w:val="center"/>
              <w:rPr>
                <w:rFonts w:hint="eastAsia" w:ascii="宋体" w:hAnsi="宋体" w:cs="宋体"/>
                <w:kern w:val="0"/>
                <w:sz w:val="18"/>
                <w:szCs w:val="18"/>
              </w:rPr>
            </w:pPr>
            <w:r>
              <w:rPr>
                <w:rFonts w:hint="eastAsia" w:ascii="宋体" w:hAnsi="宋体" w:cs="宋体"/>
                <w:kern w:val="0"/>
                <w:sz w:val="18"/>
                <w:szCs w:val="18"/>
              </w:rPr>
              <w:t>0.85</w:t>
            </w:r>
          </w:p>
        </w:tc>
        <w:tc>
          <w:tcPr>
            <w:tcW w:w="1509" w:type="dxa"/>
            <w:tcBorders>
              <w:top w:val="nil"/>
              <w:left w:val="nil"/>
              <w:bottom w:val="single" w:color="auto" w:sz="8" w:space="0"/>
              <w:right w:val="single" w:color="auto" w:sz="8" w:space="0"/>
            </w:tcBorders>
            <w:noWrap/>
            <w:vAlign w:val="bottom"/>
          </w:tcPr>
          <w:p>
            <w:pPr>
              <w:widowControl/>
              <w:jc w:val="center"/>
              <w:rPr>
                <w:rFonts w:hint="eastAsia" w:ascii="宋体" w:hAnsi="宋体" w:cs="宋体"/>
                <w:kern w:val="0"/>
                <w:sz w:val="18"/>
                <w:szCs w:val="18"/>
              </w:rPr>
            </w:pPr>
            <w:r>
              <w:rPr>
                <w:rFonts w:hint="eastAsia" w:ascii="宋体" w:hAnsi="宋体" w:cs="宋体"/>
                <w:kern w:val="0"/>
                <w:sz w:val="18"/>
                <w:szCs w:val="18"/>
              </w:rPr>
              <w:t>48</w:t>
            </w:r>
          </w:p>
        </w:tc>
        <w:tc>
          <w:tcPr>
            <w:tcW w:w="1054" w:type="dxa"/>
            <w:tcBorders>
              <w:top w:val="nil"/>
              <w:left w:val="nil"/>
              <w:bottom w:val="single" w:color="auto" w:sz="8" w:space="0"/>
              <w:right w:val="single" w:color="auto" w:sz="8" w:space="0"/>
            </w:tcBorders>
            <w:noWrap/>
            <w:vAlign w:val="bottom"/>
          </w:tcPr>
          <w:p>
            <w:pPr>
              <w:widowControl/>
              <w:jc w:val="center"/>
              <w:rPr>
                <w:rFonts w:hint="eastAsia" w:ascii="宋体" w:hAnsi="宋体" w:cs="宋体"/>
                <w:kern w:val="0"/>
                <w:sz w:val="18"/>
                <w:szCs w:val="18"/>
              </w:rPr>
            </w:pPr>
            <w:r>
              <w:rPr>
                <w:rFonts w:hint="eastAsia" w:ascii="宋体" w:hAnsi="宋体" w:cs="宋体"/>
                <w:kern w:val="0"/>
                <w:sz w:val="18"/>
                <w:szCs w:val="18"/>
              </w:rPr>
              <w:t>0.38</w:t>
            </w:r>
          </w:p>
        </w:tc>
        <w:tc>
          <w:tcPr>
            <w:tcW w:w="1173" w:type="dxa"/>
            <w:tcBorders>
              <w:top w:val="nil"/>
              <w:left w:val="nil"/>
              <w:bottom w:val="single" w:color="auto" w:sz="8" w:space="0"/>
              <w:right w:val="single" w:color="auto" w:sz="8" w:space="0"/>
            </w:tcBorders>
            <w:noWrap/>
            <w:vAlign w:val="bottom"/>
          </w:tcPr>
          <w:p>
            <w:pPr>
              <w:widowControl/>
              <w:jc w:val="center"/>
              <w:rPr>
                <w:rFonts w:hint="eastAsia" w:ascii="宋体" w:hAnsi="宋体" w:cs="宋体"/>
                <w:kern w:val="0"/>
                <w:sz w:val="18"/>
                <w:szCs w:val="18"/>
              </w:rPr>
            </w:pPr>
            <w:r>
              <w:rPr>
                <w:rFonts w:hint="eastAsia" w:ascii="宋体" w:hAnsi="宋体" w:cs="宋体"/>
                <w:kern w:val="0"/>
                <w:sz w:val="18"/>
                <w:szCs w:val="18"/>
              </w:rPr>
              <w:t>58</w:t>
            </w:r>
          </w:p>
        </w:tc>
        <w:tc>
          <w:tcPr>
            <w:tcW w:w="1146" w:type="dxa"/>
            <w:tcBorders>
              <w:top w:val="nil"/>
              <w:left w:val="nil"/>
              <w:bottom w:val="single" w:color="auto" w:sz="8" w:space="0"/>
              <w:right w:val="single" w:color="auto" w:sz="8" w:space="0"/>
            </w:tcBorders>
            <w:noWrap/>
            <w:vAlign w:val="bottom"/>
          </w:tcPr>
          <w:p>
            <w:pPr>
              <w:widowControl/>
              <w:jc w:val="center"/>
              <w:rPr>
                <w:rFonts w:hint="eastAsia" w:ascii="宋体" w:hAnsi="宋体" w:cs="宋体"/>
                <w:kern w:val="0"/>
                <w:sz w:val="18"/>
                <w:szCs w:val="18"/>
              </w:rPr>
            </w:pPr>
            <w:r>
              <w:rPr>
                <w:rFonts w:hint="eastAsia" w:ascii="宋体" w:hAnsi="宋体" w:cs="宋体"/>
                <w:kern w:val="0"/>
                <w:sz w:val="18"/>
                <w:szCs w:val="18"/>
              </w:rPr>
              <w:t>40</w:t>
            </w:r>
          </w:p>
        </w:tc>
        <w:tc>
          <w:tcPr>
            <w:tcW w:w="1107" w:type="dxa"/>
            <w:tcBorders>
              <w:top w:val="nil"/>
              <w:left w:val="nil"/>
              <w:bottom w:val="single" w:color="auto" w:sz="8" w:space="0"/>
              <w:right w:val="single" w:color="auto" w:sz="8" w:space="0"/>
            </w:tcBorders>
            <w:noWrap/>
            <w:vAlign w:val="bottom"/>
          </w:tcPr>
          <w:p>
            <w:pPr>
              <w:widowControl/>
              <w:jc w:val="center"/>
              <w:rPr>
                <w:rFonts w:hint="eastAsia" w:ascii="宋体" w:hAnsi="宋体" w:cs="宋体"/>
                <w:kern w:val="0"/>
                <w:sz w:val="18"/>
                <w:szCs w:val="18"/>
              </w:rPr>
            </w:pPr>
            <w:r>
              <w:rPr>
                <w:rFonts w:hint="eastAsia" w:ascii="宋体" w:hAnsi="宋体" w:cs="宋体"/>
                <w:kern w:val="0"/>
                <w:sz w:val="18"/>
                <w:szCs w:val="18"/>
              </w:rPr>
              <w:t>0.635</w:t>
            </w:r>
          </w:p>
        </w:tc>
      </w:tr>
      <w:tr>
        <w:tblPrEx>
          <w:tblCellMar>
            <w:top w:w="0" w:type="dxa"/>
            <w:left w:w="108" w:type="dxa"/>
            <w:bottom w:w="0" w:type="dxa"/>
            <w:right w:w="108" w:type="dxa"/>
          </w:tblCellMar>
        </w:tblPrEx>
        <w:trPr>
          <w:trHeight w:val="315" w:hRule="atLeast"/>
          <w:jc w:val="center"/>
        </w:trPr>
        <w:tc>
          <w:tcPr>
            <w:tcW w:w="1870" w:type="dxa"/>
            <w:tcBorders>
              <w:top w:val="nil"/>
              <w:left w:val="single" w:color="auto" w:sz="8" w:space="0"/>
              <w:bottom w:val="single" w:color="auto" w:sz="8" w:space="0"/>
              <w:right w:val="single" w:color="auto" w:sz="8" w:space="0"/>
            </w:tcBorders>
          </w:tcPr>
          <w:p>
            <w:pPr>
              <w:widowControl/>
              <w:jc w:val="center"/>
              <w:rPr>
                <w:rFonts w:hint="eastAsia" w:ascii="宋体" w:hAnsi="宋体" w:cs="宋体"/>
                <w:kern w:val="0"/>
                <w:sz w:val="18"/>
                <w:szCs w:val="18"/>
              </w:rPr>
            </w:pPr>
            <w:r>
              <w:rPr>
                <w:rFonts w:hint="eastAsia" w:ascii="宋体" w:hAnsi="宋体" w:cs="宋体"/>
                <w:kern w:val="0"/>
                <w:sz w:val="18"/>
                <w:szCs w:val="18"/>
              </w:rPr>
              <w:t>蒸发管</w:t>
            </w:r>
          </w:p>
        </w:tc>
        <w:tc>
          <w:tcPr>
            <w:tcW w:w="2027" w:type="dxa"/>
            <w:tcBorders>
              <w:top w:val="nil"/>
              <w:left w:val="nil"/>
              <w:bottom w:val="single" w:color="auto" w:sz="8" w:space="0"/>
              <w:right w:val="single" w:color="auto" w:sz="8" w:space="0"/>
            </w:tcBorders>
            <w:noWrap/>
            <w:vAlign w:val="bottom"/>
          </w:tcPr>
          <w:p>
            <w:pPr>
              <w:widowControl/>
              <w:jc w:val="center"/>
              <w:rPr>
                <w:rFonts w:hint="eastAsia" w:ascii="宋体" w:hAnsi="宋体" w:cs="宋体"/>
                <w:kern w:val="0"/>
                <w:sz w:val="18"/>
                <w:szCs w:val="18"/>
              </w:rPr>
            </w:pPr>
            <w:r>
              <w:rPr>
                <w:rFonts w:hint="eastAsia" w:ascii="宋体" w:hAnsi="宋体" w:cs="宋体"/>
                <w:kern w:val="0"/>
                <w:sz w:val="18"/>
                <w:szCs w:val="18"/>
              </w:rPr>
              <w:t>25.4</w:t>
            </w:r>
            <w:r>
              <w:rPr>
                <w:rFonts w:hint="eastAsia" w:ascii="宋体" w:hAnsi="宋体" w:cs="宋体"/>
                <w:kern w:val="0"/>
                <w:sz w:val="18"/>
                <w:szCs w:val="18"/>
              </w:rPr>
              <w:sym w:font="Symbol" w:char="F0B4"/>
            </w:r>
            <w:r>
              <w:rPr>
                <w:rFonts w:hint="eastAsia" w:ascii="宋体" w:hAnsi="宋体" w:cs="宋体"/>
                <w:kern w:val="0"/>
                <w:sz w:val="18"/>
                <w:szCs w:val="18"/>
              </w:rPr>
              <w:t>1.05</w:t>
            </w:r>
          </w:p>
        </w:tc>
        <w:tc>
          <w:tcPr>
            <w:tcW w:w="1127" w:type="dxa"/>
            <w:tcBorders>
              <w:top w:val="nil"/>
              <w:left w:val="nil"/>
              <w:bottom w:val="single" w:color="auto" w:sz="8" w:space="0"/>
              <w:right w:val="single" w:color="auto" w:sz="8" w:space="0"/>
            </w:tcBorders>
            <w:noWrap/>
            <w:vAlign w:val="bottom"/>
          </w:tcPr>
          <w:p>
            <w:pPr>
              <w:widowControl/>
              <w:jc w:val="center"/>
              <w:rPr>
                <w:rFonts w:hint="eastAsia" w:ascii="宋体" w:hAnsi="宋体" w:cs="宋体"/>
                <w:kern w:val="0"/>
                <w:sz w:val="18"/>
                <w:szCs w:val="18"/>
              </w:rPr>
            </w:pPr>
            <w:r>
              <w:rPr>
                <w:rFonts w:hint="eastAsia" w:ascii="宋体" w:hAnsi="宋体" w:cs="宋体"/>
                <w:kern w:val="0"/>
                <w:sz w:val="18"/>
                <w:szCs w:val="18"/>
              </w:rPr>
              <w:t>25.32</w:t>
            </w:r>
          </w:p>
        </w:tc>
        <w:tc>
          <w:tcPr>
            <w:tcW w:w="1118" w:type="dxa"/>
            <w:tcBorders>
              <w:top w:val="nil"/>
              <w:left w:val="nil"/>
              <w:bottom w:val="single" w:color="auto" w:sz="8" w:space="0"/>
              <w:right w:val="single" w:color="auto" w:sz="8" w:space="0"/>
            </w:tcBorders>
            <w:noWrap/>
            <w:vAlign w:val="bottom"/>
          </w:tcPr>
          <w:p>
            <w:pPr>
              <w:widowControl/>
              <w:jc w:val="center"/>
              <w:rPr>
                <w:rFonts w:hint="eastAsia" w:ascii="宋体" w:hAnsi="宋体" w:cs="宋体"/>
                <w:kern w:val="0"/>
                <w:sz w:val="18"/>
                <w:szCs w:val="18"/>
              </w:rPr>
            </w:pPr>
            <w:r>
              <w:rPr>
                <w:rFonts w:hint="eastAsia" w:ascii="宋体" w:hAnsi="宋体" w:cs="宋体"/>
                <w:kern w:val="0"/>
                <w:sz w:val="18"/>
                <w:szCs w:val="18"/>
              </w:rPr>
              <w:t>1.05</w:t>
            </w:r>
          </w:p>
        </w:tc>
        <w:tc>
          <w:tcPr>
            <w:tcW w:w="1319" w:type="dxa"/>
            <w:tcBorders>
              <w:top w:val="nil"/>
              <w:left w:val="nil"/>
              <w:bottom w:val="single" w:color="auto" w:sz="8" w:space="0"/>
              <w:right w:val="single" w:color="auto" w:sz="8" w:space="0"/>
            </w:tcBorders>
            <w:noWrap/>
            <w:vAlign w:val="bottom"/>
          </w:tcPr>
          <w:p>
            <w:pPr>
              <w:widowControl/>
              <w:jc w:val="center"/>
              <w:rPr>
                <w:rFonts w:hint="eastAsia" w:ascii="宋体" w:hAnsi="宋体" w:cs="宋体"/>
                <w:kern w:val="0"/>
                <w:sz w:val="18"/>
                <w:szCs w:val="18"/>
              </w:rPr>
            </w:pPr>
            <w:r>
              <w:rPr>
                <w:rFonts w:hint="eastAsia" w:ascii="宋体" w:hAnsi="宋体" w:cs="宋体"/>
                <w:kern w:val="0"/>
                <w:sz w:val="18"/>
                <w:szCs w:val="18"/>
              </w:rPr>
              <w:t>25.15</w:t>
            </w:r>
          </w:p>
        </w:tc>
        <w:tc>
          <w:tcPr>
            <w:tcW w:w="918" w:type="dxa"/>
            <w:tcBorders>
              <w:top w:val="nil"/>
              <w:left w:val="nil"/>
              <w:bottom w:val="single" w:color="auto" w:sz="8" w:space="0"/>
              <w:right w:val="single" w:color="auto" w:sz="8" w:space="0"/>
            </w:tcBorders>
            <w:noWrap/>
            <w:vAlign w:val="bottom"/>
          </w:tcPr>
          <w:p>
            <w:pPr>
              <w:widowControl/>
              <w:jc w:val="center"/>
              <w:rPr>
                <w:rFonts w:hint="eastAsia" w:ascii="宋体" w:hAnsi="宋体" w:cs="宋体"/>
                <w:kern w:val="0"/>
                <w:sz w:val="18"/>
                <w:szCs w:val="18"/>
              </w:rPr>
            </w:pPr>
            <w:r>
              <w:rPr>
                <w:rFonts w:hint="eastAsia" w:ascii="宋体" w:hAnsi="宋体" w:cs="宋体"/>
                <w:kern w:val="0"/>
                <w:sz w:val="18"/>
                <w:szCs w:val="18"/>
              </w:rPr>
              <w:t>0.6</w:t>
            </w:r>
          </w:p>
        </w:tc>
        <w:tc>
          <w:tcPr>
            <w:tcW w:w="1509" w:type="dxa"/>
            <w:tcBorders>
              <w:top w:val="nil"/>
              <w:left w:val="nil"/>
              <w:bottom w:val="single" w:color="auto" w:sz="8" w:space="0"/>
              <w:right w:val="single" w:color="auto" w:sz="8" w:space="0"/>
            </w:tcBorders>
            <w:noWrap/>
            <w:vAlign w:val="bottom"/>
          </w:tcPr>
          <w:p>
            <w:pPr>
              <w:widowControl/>
              <w:jc w:val="center"/>
              <w:rPr>
                <w:rFonts w:hint="eastAsia" w:ascii="宋体" w:hAnsi="宋体" w:cs="宋体"/>
                <w:kern w:val="0"/>
                <w:sz w:val="18"/>
                <w:szCs w:val="18"/>
              </w:rPr>
            </w:pPr>
            <w:r>
              <w:rPr>
                <w:rFonts w:hint="eastAsia" w:ascii="宋体" w:hAnsi="宋体" w:cs="宋体"/>
                <w:kern w:val="0"/>
                <w:sz w:val="18"/>
                <w:szCs w:val="18"/>
              </w:rPr>
              <w:t>50</w:t>
            </w:r>
          </w:p>
        </w:tc>
        <w:tc>
          <w:tcPr>
            <w:tcW w:w="1054" w:type="dxa"/>
            <w:tcBorders>
              <w:top w:val="nil"/>
              <w:left w:val="nil"/>
              <w:bottom w:val="single" w:color="auto" w:sz="8" w:space="0"/>
              <w:right w:val="single" w:color="auto" w:sz="8" w:space="0"/>
            </w:tcBorders>
            <w:noWrap/>
            <w:vAlign w:val="bottom"/>
          </w:tcPr>
          <w:p>
            <w:pPr>
              <w:widowControl/>
              <w:jc w:val="center"/>
              <w:rPr>
                <w:rFonts w:hint="eastAsia" w:ascii="宋体" w:hAnsi="宋体" w:cs="宋体"/>
                <w:kern w:val="0"/>
                <w:sz w:val="18"/>
                <w:szCs w:val="18"/>
              </w:rPr>
            </w:pPr>
            <w:r>
              <w:rPr>
                <w:rFonts w:hint="eastAsia" w:ascii="宋体" w:hAnsi="宋体" w:cs="宋体"/>
                <w:kern w:val="0"/>
                <w:sz w:val="18"/>
                <w:szCs w:val="18"/>
              </w:rPr>
              <w:t>0.4</w:t>
            </w:r>
          </w:p>
        </w:tc>
        <w:tc>
          <w:tcPr>
            <w:tcW w:w="1173" w:type="dxa"/>
            <w:tcBorders>
              <w:top w:val="nil"/>
              <w:left w:val="nil"/>
              <w:bottom w:val="single" w:color="auto" w:sz="8" w:space="0"/>
              <w:right w:val="single" w:color="auto" w:sz="8" w:space="0"/>
            </w:tcBorders>
            <w:noWrap/>
            <w:vAlign w:val="bottom"/>
          </w:tcPr>
          <w:p>
            <w:pPr>
              <w:widowControl/>
              <w:jc w:val="center"/>
              <w:rPr>
                <w:rFonts w:hint="eastAsia" w:ascii="宋体" w:hAnsi="宋体" w:cs="宋体"/>
                <w:kern w:val="0"/>
                <w:sz w:val="18"/>
                <w:szCs w:val="18"/>
              </w:rPr>
            </w:pPr>
            <w:r>
              <w:rPr>
                <w:rFonts w:hint="eastAsia" w:ascii="宋体" w:hAnsi="宋体" w:cs="宋体"/>
                <w:kern w:val="0"/>
                <w:sz w:val="18"/>
                <w:szCs w:val="18"/>
              </w:rPr>
              <w:t>60</w:t>
            </w:r>
          </w:p>
        </w:tc>
        <w:tc>
          <w:tcPr>
            <w:tcW w:w="1146" w:type="dxa"/>
            <w:tcBorders>
              <w:top w:val="nil"/>
              <w:left w:val="nil"/>
              <w:bottom w:val="single" w:color="auto" w:sz="8" w:space="0"/>
              <w:right w:val="single" w:color="auto" w:sz="8" w:space="0"/>
            </w:tcBorders>
            <w:noWrap/>
            <w:vAlign w:val="bottom"/>
          </w:tcPr>
          <w:p>
            <w:pPr>
              <w:widowControl/>
              <w:jc w:val="center"/>
              <w:rPr>
                <w:rFonts w:hint="eastAsia" w:ascii="宋体" w:hAnsi="宋体" w:cs="宋体"/>
                <w:kern w:val="0"/>
                <w:sz w:val="18"/>
                <w:szCs w:val="18"/>
              </w:rPr>
            </w:pPr>
            <w:r>
              <w:rPr>
                <w:rFonts w:hint="eastAsia" w:ascii="宋体" w:hAnsi="宋体" w:cs="宋体"/>
                <w:kern w:val="0"/>
                <w:sz w:val="18"/>
                <w:szCs w:val="18"/>
              </w:rPr>
              <w:t>40</w:t>
            </w:r>
          </w:p>
        </w:tc>
        <w:tc>
          <w:tcPr>
            <w:tcW w:w="1107" w:type="dxa"/>
            <w:tcBorders>
              <w:top w:val="nil"/>
              <w:left w:val="nil"/>
              <w:bottom w:val="single" w:color="auto" w:sz="8" w:space="0"/>
              <w:right w:val="single" w:color="auto" w:sz="8" w:space="0"/>
            </w:tcBorders>
            <w:noWrap/>
            <w:vAlign w:val="bottom"/>
          </w:tcPr>
          <w:p>
            <w:pPr>
              <w:widowControl/>
              <w:jc w:val="center"/>
              <w:rPr>
                <w:rFonts w:hint="eastAsia" w:ascii="宋体" w:hAnsi="宋体" w:cs="宋体"/>
                <w:kern w:val="0"/>
                <w:sz w:val="18"/>
                <w:szCs w:val="18"/>
              </w:rPr>
            </w:pPr>
            <w:r>
              <w:rPr>
                <w:rFonts w:hint="eastAsia" w:ascii="宋体" w:hAnsi="宋体" w:cs="宋体"/>
                <w:kern w:val="0"/>
                <w:sz w:val="18"/>
                <w:szCs w:val="18"/>
              </w:rPr>
              <w:t>0.635</w:t>
            </w:r>
          </w:p>
        </w:tc>
      </w:tr>
      <w:tr>
        <w:tblPrEx>
          <w:tblCellMar>
            <w:top w:w="0" w:type="dxa"/>
            <w:left w:w="108" w:type="dxa"/>
            <w:bottom w:w="0" w:type="dxa"/>
            <w:right w:w="108" w:type="dxa"/>
          </w:tblCellMar>
        </w:tblPrEx>
        <w:trPr>
          <w:trHeight w:val="315" w:hRule="atLeast"/>
          <w:jc w:val="center"/>
        </w:trPr>
        <w:tc>
          <w:tcPr>
            <w:tcW w:w="1870" w:type="dxa"/>
            <w:tcBorders>
              <w:top w:val="nil"/>
              <w:left w:val="single" w:color="auto" w:sz="8" w:space="0"/>
              <w:bottom w:val="single" w:color="auto" w:sz="8" w:space="0"/>
              <w:right w:val="single" w:color="auto" w:sz="8" w:space="0"/>
            </w:tcBorders>
          </w:tcPr>
          <w:p>
            <w:pPr>
              <w:widowControl/>
              <w:jc w:val="center"/>
              <w:rPr>
                <w:rFonts w:hint="eastAsia" w:ascii="宋体" w:hAnsi="宋体" w:cs="宋体"/>
                <w:kern w:val="0"/>
                <w:sz w:val="18"/>
                <w:szCs w:val="18"/>
              </w:rPr>
            </w:pPr>
            <w:r>
              <w:rPr>
                <w:rFonts w:hint="eastAsia" w:ascii="宋体" w:hAnsi="宋体" w:cs="宋体"/>
                <w:kern w:val="0"/>
                <w:sz w:val="18"/>
                <w:szCs w:val="18"/>
              </w:rPr>
              <w:t>蒸发管</w:t>
            </w:r>
          </w:p>
        </w:tc>
        <w:tc>
          <w:tcPr>
            <w:tcW w:w="2027" w:type="dxa"/>
            <w:tcBorders>
              <w:top w:val="nil"/>
              <w:left w:val="nil"/>
              <w:bottom w:val="single" w:color="auto" w:sz="8" w:space="0"/>
              <w:right w:val="single" w:color="auto" w:sz="8" w:space="0"/>
            </w:tcBorders>
            <w:noWrap/>
            <w:vAlign w:val="bottom"/>
          </w:tcPr>
          <w:p>
            <w:pPr>
              <w:widowControl/>
              <w:jc w:val="center"/>
              <w:rPr>
                <w:rFonts w:hint="eastAsia" w:ascii="宋体" w:hAnsi="宋体" w:cs="宋体"/>
                <w:kern w:val="0"/>
                <w:sz w:val="18"/>
                <w:szCs w:val="18"/>
              </w:rPr>
            </w:pPr>
            <w:r>
              <w:rPr>
                <w:rFonts w:hint="eastAsia" w:ascii="宋体" w:hAnsi="宋体" w:cs="宋体"/>
                <w:kern w:val="0"/>
                <w:sz w:val="18"/>
                <w:szCs w:val="18"/>
              </w:rPr>
              <w:t>19.05</w:t>
            </w:r>
            <w:r>
              <w:rPr>
                <w:rFonts w:hint="eastAsia" w:ascii="宋体" w:hAnsi="宋体" w:cs="宋体"/>
                <w:kern w:val="0"/>
                <w:sz w:val="18"/>
                <w:szCs w:val="18"/>
              </w:rPr>
              <w:sym w:font="Symbol" w:char="F0B4"/>
            </w:r>
            <w:r>
              <w:rPr>
                <w:rFonts w:hint="eastAsia" w:ascii="宋体" w:hAnsi="宋体" w:cs="宋体"/>
                <w:kern w:val="0"/>
                <w:sz w:val="18"/>
                <w:szCs w:val="18"/>
              </w:rPr>
              <w:t>1.13</w:t>
            </w:r>
            <w:r>
              <w:rPr>
                <w:kern w:val="0"/>
                <w:sz w:val="18"/>
                <w:szCs w:val="18"/>
              </w:rPr>
              <w:t> </w:t>
            </w:r>
          </w:p>
        </w:tc>
        <w:tc>
          <w:tcPr>
            <w:tcW w:w="1127" w:type="dxa"/>
            <w:tcBorders>
              <w:top w:val="nil"/>
              <w:left w:val="nil"/>
              <w:bottom w:val="single" w:color="auto" w:sz="8" w:space="0"/>
              <w:right w:val="single" w:color="auto" w:sz="8" w:space="0"/>
            </w:tcBorders>
            <w:noWrap/>
            <w:vAlign w:val="bottom"/>
          </w:tcPr>
          <w:p>
            <w:pPr>
              <w:widowControl/>
              <w:jc w:val="center"/>
              <w:rPr>
                <w:rFonts w:hint="eastAsia" w:ascii="宋体" w:hAnsi="宋体" w:cs="宋体"/>
                <w:kern w:val="0"/>
                <w:sz w:val="18"/>
                <w:szCs w:val="18"/>
              </w:rPr>
            </w:pPr>
            <w:r>
              <w:rPr>
                <w:rFonts w:hint="eastAsia" w:ascii="宋体" w:hAnsi="宋体" w:cs="宋体"/>
                <w:kern w:val="0"/>
                <w:sz w:val="18"/>
                <w:szCs w:val="18"/>
              </w:rPr>
              <w:t>18.97</w:t>
            </w:r>
          </w:p>
        </w:tc>
        <w:tc>
          <w:tcPr>
            <w:tcW w:w="1118" w:type="dxa"/>
            <w:tcBorders>
              <w:top w:val="nil"/>
              <w:left w:val="nil"/>
              <w:bottom w:val="single" w:color="auto" w:sz="8" w:space="0"/>
              <w:right w:val="single" w:color="auto" w:sz="8" w:space="0"/>
            </w:tcBorders>
            <w:noWrap/>
            <w:vAlign w:val="bottom"/>
          </w:tcPr>
          <w:p>
            <w:pPr>
              <w:widowControl/>
              <w:jc w:val="center"/>
              <w:rPr>
                <w:rFonts w:hint="eastAsia" w:ascii="宋体" w:hAnsi="宋体" w:cs="宋体"/>
                <w:kern w:val="0"/>
                <w:sz w:val="18"/>
                <w:szCs w:val="18"/>
              </w:rPr>
            </w:pPr>
            <w:r>
              <w:rPr>
                <w:rFonts w:hint="eastAsia" w:ascii="宋体" w:hAnsi="宋体" w:cs="宋体"/>
                <w:kern w:val="0"/>
                <w:sz w:val="18"/>
                <w:szCs w:val="18"/>
              </w:rPr>
              <w:t>1.13</w:t>
            </w:r>
          </w:p>
        </w:tc>
        <w:tc>
          <w:tcPr>
            <w:tcW w:w="1319" w:type="dxa"/>
            <w:tcBorders>
              <w:top w:val="nil"/>
              <w:left w:val="nil"/>
              <w:bottom w:val="single" w:color="auto" w:sz="8" w:space="0"/>
              <w:right w:val="single" w:color="auto" w:sz="8" w:space="0"/>
            </w:tcBorders>
            <w:noWrap/>
            <w:vAlign w:val="bottom"/>
          </w:tcPr>
          <w:p>
            <w:pPr>
              <w:widowControl/>
              <w:jc w:val="center"/>
              <w:rPr>
                <w:rFonts w:hint="eastAsia" w:ascii="宋体" w:hAnsi="宋体" w:cs="宋体"/>
                <w:kern w:val="0"/>
                <w:sz w:val="18"/>
                <w:szCs w:val="18"/>
              </w:rPr>
            </w:pPr>
            <w:r>
              <w:rPr>
                <w:rFonts w:hint="eastAsia" w:ascii="宋体" w:hAnsi="宋体" w:cs="宋体"/>
                <w:kern w:val="0"/>
                <w:sz w:val="18"/>
                <w:szCs w:val="18"/>
              </w:rPr>
              <w:t>18.92</w:t>
            </w:r>
          </w:p>
        </w:tc>
        <w:tc>
          <w:tcPr>
            <w:tcW w:w="918" w:type="dxa"/>
            <w:tcBorders>
              <w:top w:val="nil"/>
              <w:left w:val="nil"/>
              <w:bottom w:val="single" w:color="auto" w:sz="8" w:space="0"/>
              <w:right w:val="single" w:color="auto" w:sz="8" w:space="0"/>
            </w:tcBorders>
            <w:noWrap/>
            <w:vAlign w:val="bottom"/>
          </w:tcPr>
          <w:p>
            <w:pPr>
              <w:widowControl/>
              <w:jc w:val="center"/>
              <w:rPr>
                <w:rFonts w:hint="eastAsia" w:ascii="宋体" w:hAnsi="宋体" w:cs="宋体"/>
                <w:kern w:val="0"/>
                <w:sz w:val="18"/>
                <w:szCs w:val="18"/>
              </w:rPr>
            </w:pPr>
            <w:r>
              <w:rPr>
                <w:rFonts w:hint="eastAsia" w:ascii="宋体" w:hAnsi="宋体" w:cs="宋体"/>
                <w:kern w:val="0"/>
                <w:sz w:val="18"/>
                <w:szCs w:val="18"/>
              </w:rPr>
              <w:t>0.6</w:t>
            </w:r>
          </w:p>
        </w:tc>
        <w:tc>
          <w:tcPr>
            <w:tcW w:w="1509" w:type="dxa"/>
            <w:tcBorders>
              <w:top w:val="nil"/>
              <w:left w:val="nil"/>
              <w:bottom w:val="single" w:color="auto" w:sz="8" w:space="0"/>
              <w:right w:val="single" w:color="auto" w:sz="8" w:space="0"/>
            </w:tcBorders>
            <w:noWrap/>
            <w:vAlign w:val="bottom"/>
          </w:tcPr>
          <w:p>
            <w:pPr>
              <w:widowControl/>
              <w:jc w:val="center"/>
              <w:rPr>
                <w:rFonts w:hint="eastAsia" w:ascii="宋体" w:hAnsi="宋体" w:cs="宋体"/>
                <w:kern w:val="0"/>
                <w:sz w:val="18"/>
                <w:szCs w:val="18"/>
              </w:rPr>
            </w:pPr>
            <w:r>
              <w:rPr>
                <w:rFonts w:hint="eastAsia" w:ascii="宋体" w:hAnsi="宋体" w:cs="宋体"/>
                <w:kern w:val="0"/>
                <w:sz w:val="18"/>
                <w:szCs w:val="18"/>
              </w:rPr>
              <w:t>46</w:t>
            </w:r>
          </w:p>
        </w:tc>
        <w:tc>
          <w:tcPr>
            <w:tcW w:w="1054" w:type="dxa"/>
            <w:tcBorders>
              <w:top w:val="nil"/>
              <w:left w:val="nil"/>
              <w:bottom w:val="single" w:color="auto" w:sz="8" w:space="0"/>
              <w:right w:val="single" w:color="auto" w:sz="8" w:space="0"/>
            </w:tcBorders>
            <w:noWrap/>
            <w:vAlign w:val="bottom"/>
          </w:tcPr>
          <w:p>
            <w:pPr>
              <w:widowControl/>
              <w:jc w:val="center"/>
              <w:rPr>
                <w:rFonts w:hint="eastAsia" w:ascii="宋体" w:hAnsi="宋体" w:cs="宋体"/>
                <w:kern w:val="0"/>
                <w:sz w:val="18"/>
                <w:szCs w:val="18"/>
              </w:rPr>
            </w:pPr>
            <w:r>
              <w:rPr>
                <w:rFonts w:hint="eastAsia" w:ascii="宋体" w:hAnsi="宋体" w:cs="宋体"/>
                <w:kern w:val="0"/>
                <w:sz w:val="18"/>
                <w:szCs w:val="18"/>
              </w:rPr>
              <w:t>0.36</w:t>
            </w:r>
          </w:p>
        </w:tc>
        <w:tc>
          <w:tcPr>
            <w:tcW w:w="1173" w:type="dxa"/>
            <w:tcBorders>
              <w:top w:val="nil"/>
              <w:left w:val="nil"/>
              <w:bottom w:val="single" w:color="auto" w:sz="8" w:space="0"/>
              <w:right w:val="single" w:color="auto" w:sz="8" w:space="0"/>
            </w:tcBorders>
            <w:noWrap/>
            <w:vAlign w:val="bottom"/>
          </w:tcPr>
          <w:p>
            <w:pPr>
              <w:widowControl/>
              <w:jc w:val="center"/>
              <w:rPr>
                <w:rFonts w:hint="eastAsia" w:ascii="宋体" w:hAnsi="宋体" w:cs="宋体"/>
                <w:kern w:val="0"/>
                <w:sz w:val="18"/>
                <w:szCs w:val="18"/>
              </w:rPr>
            </w:pPr>
            <w:r>
              <w:rPr>
                <w:rFonts w:hint="eastAsia" w:ascii="宋体" w:hAnsi="宋体" w:cs="宋体"/>
                <w:kern w:val="0"/>
                <w:sz w:val="18"/>
                <w:szCs w:val="18"/>
              </w:rPr>
              <w:t>45</w:t>
            </w:r>
          </w:p>
        </w:tc>
        <w:tc>
          <w:tcPr>
            <w:tcW w:w="1146" w:type="dxa"/>
            <w:tcBorders>
              <w:top w:val="nil"/>
              <w:left w:val="nil"/>
              <w:bottom w:val="single" w:color="auto" w:sz="8" w:space="0"/>
              <w:right w:val="single" w:color="auto" w:sz="8" w:space="0"/>
            </w:tcBorders>
            <w:noWrap/>
            <w:vAlign w:val="bottom"/>
          </w:tcPr>
          <w:p>
            <w:pPr>
              <w:widowControl/>
              <w:jc w:val="center"/>
              <w:rPr>
                <w:rFonts w:hint="eastAsia" w:ascii="宋体" w:hAnsi="宋体" w:cs="宋体"/>
                <w:kern w:val="0"/>
                <w:sz w:val="18"/>
                <w:szCs w:val="18"/>
              </w:rPr>
            </w:pPr>
            <w:r>
              <w:rPr>
                <w:rFonts w:hint="eastAsia" w:ascii="宋体" w:hAnsi="宋体" w:cs="宋体"/>
                <w:kern w:val="0"/>
                <w:sz w:val="18"/>
                <w:szCs w:val="18"/>
              </w:rPr>
              <w:t>42</w:t>
            </w:r>
          </w:p>
        </w:tc>
        <w:tc>
          <w:tcPr>
            <w:tcW w:w="1107" w:type="dxa"/>
            <w:tcBorders>
              <w:top w:val="nil"/>
              <w:left w:val="nil"/>
              <w:bottom w:val="single" w:color="auto" w:sz="8" w:space="0"/>
              <w:right w:val="single" w:color="auto" w:sz="8" w:space="0"/>
            </w:tcBorders>
            <w:noWrap/>
            <w:vAlign w:val="bottom"/>
          </w:tcPr>
          <w:p>
            <w:pPr>
              <w:widowControl/>
              <w:jc w:val="center"/>
              <w:rPr>
                <w:rFonts w:hint="eastAsia" w:ascii="宋体" w:hAnsi="宋体" w:cs="宋体"/>
                <w:kern w:val="0"/>
                <w:sz w:val="18"/>
                <w:szCs w:val="18"/>
              </w:rPr>
            </w:pPr>
            <w:r>
              <w:rPr>
                <w:rFonts w:hint="eastAsia" w:ascii="宋体" w:hAnsi="宋体" w:cs="宋体"/>
                <w:kern w:val="0"/>
                <w:sz w:val="18"/>
                <w:szCs w:val="18"/>
              </w:rPr>
              <w:t>0.635</w:t>
            </w:r>
          </w:p>
        </w:tc>
      </w:tr>
      <w:tr>
        <w:tblPrEx>
          <w:tblCellMar>
            <w:top w:w="0" w:type="dxa"/>
            <w:left w:w="108" w:type="dxa"/>
            <w:bottom w:w="0" w:type="dxa"/>
            <w:right w:w="108" w:type="dxa"/>
          </w:tblCellMar>
        </w:tblPrEx>
        <w:trPr>
          <w:trHeight w:val="315" w:hRule="atLeast"/>
          <w:jc w:val="center"/>
        </w:trPr>
        <w:tc>
          <w:tcPr>
            <w:tcW w:w="1870" w:type="dxa"/>
            <w:tcBorders>
              <w:top w:val="nil"/>
              <w:left w:val="single" w:color="auto" w:sz="8" w:space="0"/>
              <w:bottom w:val="single" w:color="auto" w:sz="8" w:space="0"/>
              <w:right w:val="single" w:color="auto" w:sz="8" w:space="0"/>
            </w:tcBorders>
          </w:tcPr>
          <w:p>
            <w:pPr>
              <w:widowControl/>
              <w:jc w:val="center"/>
              <w:rPr>
                <w:rFonts w:hint="eastAsia" w:ascii="宋体" w:hAnsi="宋体" w:cs="宋体"/>
                <w:kern w:val="0"/>
                <w:sz w:val="18"/>
                <w:szCs w:val="18"/>
              </w:rPr>
            </w:pPr>
            <w:r>
              <w:rPr>
                <w:rFonts w:hint="eastAsia" w:ascii="宋体" w:hAnsi="宋体" w:cs="宋体"/>
                <w:kern w:val="0"/>
                <w:sz w:val="18"/>
                <w:szCs w:val="18"/>
              </w:rPr>
              <w:t>冷凝管</w:t>
            </w:r>
          </w:p>
        </w:tc>
        <w:tc>
          <w:tcPr>
            <w:tcW w:w="2027" w:type="dxa"/>
            <w:tcBorders>
              <w:top w:val="nil"/>
              <w:left w:val="nil"/>
              <w:bottom w:val="single" w:color="auto" w:sz="8" w:space="0"/>
              <w:right w:val="single" w:color="auto" w:sz="8" w:space="0"/>
            </w:tcBorders>
            <w:noWrap/>
            <w:vAlign w:val="bottom"/>
          </w:tcPr>
          <w:p>
            <w:pPr>
              <w:widowControl/>
              <w:jc w:val="center"/>
              <w:rPr>
                <w:rFonts w:hint="eastAsia" w:ascii="宋体" w:hAnsi="宋体" w:cs="宋体"/>
                <w:kern w:val="0"/>
                <w:sz w:val="18"/>
                <w:szCs w:val="18"/>
              </w:rPr>
            </w:pPr>
            <w:r>
              <w:rPr>
                <w:rFonts w:hint="eastAsia" w:ascii="宋体" w:hAnsi="宋体" w:cs="宋体"/>
                <w:kern w:val="0"/>
                <w:sz w:val="18"/>
                <w:szCs w:val="18"/>
              </w:rPr>
              <w:t>19.05</w:t>
            </w:r>
            <w:r>
              <w:rPr>
                <w:rFonts w:hint="eastAsia" w:ascii="宋体" w:hAnsi="宋体" w:cs="宋体"/>
                <w:kern w:val="0"/>
                <w:sz w:val="18"/>
                <w:szCs w:val="18"/>
              </w:rPr>
              <w:sym w:font="Symbol" w:char="F0B4"/>
            </w:r>
            <w:r>
              <w:rPr>
                <w:rFonts w:hint="eastAsia" w:ascii="宋体" w:hAnsi="宋体" w:cs="宋体"/>
                <w:kern w:val="0"/>
                <w:sz w:val="18"/>
                <w:szCs w:val="18"/>
              </w:rPr>
              <w:t>1.04</w:t>
            </w:r>
            <w:r>
              <w:rPr>
                <w:kern w:val="0"/>
                <w:sz w:val="18"/>
                <w:szCs w:val="18"/>
              </w:rPr>
              <w:t> </w:t>
            </w:r>
          </w:p>
        </w:tc>
        <w:tc>
          <w:tcPr>
            <w:tcW w:w="1127" w:type="dxa"/>
            <w:tcBorders>
              <w:top w:val="nil"/>
              <w:left w:val="nil"/>
              <w:bottom w:val="single" w:color="auto" w:sz="8" w:space="0"/>
              <w:right w:val="single" w:color="auto" w:sz="8" w:space="0"/>
            </w:tcBorders>
            <w:noWrap/>
            <w:vAlign w:val="bottom"/>
          </w:tcPr>
          <w:p>
            <w:pPr>
              <w:widowControl/>
              <w:jc w:val="center"/>
              <w:rPr>
                <w:rFonts w:hint="eastAsia" w:ascii="宋体" w:hAnsi="宋体" w:cs="宋体"/>
                <w:kern w:val="0"/>
                <w:sz w:val="18"/>
                <w:szCs w:val="18"/>
              </w:rPr>
            </w:pPr>
            <w:r>
              <w:rPr>
                <w:rFonts w:hint="eastAsia" w:ascii="宋体" w:hAnsi="宋体" w:cs="宋体"/>
                <w:kern w:val="0"/>
                <w:sz w:val="18"/>
                <w:szCs w:val="18"/>
              </w:rPr>
              <w:t>18.97</w:t>
            </w:r>
          </w:p>
        </w:tc>
        <w:tc>
          <w:tcPr>
            <w:tcW w:w="1118" w:type="dxa"/>
            <w:tcBorders>
              <w:top w:val="nil"/>
              <w:left w:val="nil"/>
              <w:bottom w:val="single" w:color="auto" w:sz="8" w:space="0"/>
              <w:right w:val="single" w:color="auto" w:sz="8" w:space="0"/>
            </w:tcBorders>
            <w:noWrap/>
            <w:vAlign w:val="bottom"/>
          </w:tcPr>
          <w:p>
            <w:pPr>
              <w:widowControl/>
              <w:jc w:val="center"/>
              <w:rPr>
                <w:rFonts w:hint="eastAsia" w:ascii="宋体" w:hAnsi="宋体" w:cs="宋体"/>
                <w:kern w:val="0"/>
                <w:sz w:val="18"/>
                <w:szCs w:val="18"/>
              </w:rPr>
            </w:pPr>
            <w:r>
              <w:rPr>
                <w:rFonts w:hint="eastAsia" w:ascii="宋体" w:hAnsi="宋体" w:cs="宋体"/>
                <w:kern w:val="0"/>
                <w:sz w:val="18"/>
                <w:szCs w:val="18"/>
              </w:rPr>
              <w:t>1.04</w:t>
            </w:r>
          </w:p>
        </w:tc>
        <w:tc>
          <w:tcPr>
            <w:tcW w:w="1319" w:type="dxa"/>
            <w:tcBorders>
              <w:top w:val="nil"/>
              <w:left w:val="nil"/>
              <w:bottom w:val="single" w:color="auto" w:sz="8" w:space="0"/>
              <w:right w:val="single" w:color="auto" w:sz="8" w:space="0"/>
            </w:tcBorders>
            <w:noWrap/>
            <w:vAlign w:val="bottom"/>
          </w:tcPr>
          <w:p>
            <w:pPr>
              <w:widowControl/>
              <w:jc w:val="center"/>
              <w:rPr>
                <w:rFonts w:hint="eastAsia" w:ascii="宋体" w:hAnsi="宋体" w:cs="宋体"/>
                <w:kern w:val="0"/>
                <w:sz w:val="18"/>
                <w:szCs w:val="18"/>
              </w:rPr>
            </w:pPr>
            <w:r>
              <w:rPr>
                <w:rFonts w:hint="eastAsia" w:ascii="宋体" w:hAnsi="宋体" w:cs="宋体"/>
                <w:kern w:val="0"/>
                <w:sz w:val="18"/>
                <w:szCs w:val="18"/>
              </w:rPr>
              <w:t>18.92</w:t>
            </w:r>
          </w:p>
        </w:tc>
        <w:tc>
          <w:tcPr>
            <w:tcW w:w="918" w:type="dxa"/>
            <w:tcBorders>
              <w:top w:val="nil"/>
              <w:left w:val="nil"/>
              <w:bottom w:val="single" w:color="auto" w:sz="8" w:space="0"/>
              <w:right w:val="single" w:color="auto" w:sz="8" w:space="0"/>
            </w:tcBorders>
            <w:noWrap/>
            <w:vAlign w:val="bottom"/>
          </w:tcPr>
          <w:p>
            <w:pPr>
              <w:widowControl/>
              <w:jc w:val="center"/>
              <w:rPr>
                <w:rFonts w:hint="eastAsia" w:ascii="宋体" w:hAnsi="宋体" w:cs="宋体"/>
                <w:kern w:val="0"/>
                <w:sz w:val="18"/>
                <w:szCs w:val="18"/>
              </w:rPr>
            </w:pPr>
            <w:r>
              <w:rPr>
                <w:rFonts w:hint="eastAsia" w:ascii="宋体" w:hAnsi="宋体" w:cs="宋体"/>
                <w:kern w:val="0"/>
                <w:sz w:val="18"/>
                <w:szCs w:val="18"/>
              </w:rPr>
              <w:t>0.9</w:t>
            </w:r>
          </w:p>
        </w:tc>
        <w:tc>
          <w:tcPr>
            <w:tcW w:w="1509" w:type="dxa"/>
            <w:tcBorders>
              <w:top w:val="nil"/>
              <w:left w:val="nil"/>
              <w:bottom w:val="single" w:color="auto" w:sz="8" w:space="0"/>
              <w:right w:val="single" w:color="auto" w:sz="8" w:space="0"/>
            </w:tcBorders>
            <w:noWrap/>
            <w:vAlign w:val="bottom"/>
          </w:tcPr>
          <w:p>
            <w:pPr>
              <w:widowControl/>
              <w:jc w:val="center"/>
              <w:rPr>
                <w:rFonts w:hint="eastAsia" w:ascii="宋体" w:hAnsi="宋体" w:cs="宋体"/>
                <w:kern w:val="0"/>
                <w:sz w:val="18"/>
                <w:szCs w:val="18"/>
              </w:rPr>
            </w:pPr>
            <w:r>
              <w:rPr>
                <w:rFonts w:hint="eastAsia" w:ascii="宋体" w:hAnsi="宋体" w:cs="宋体"/>
                <w:kern w:val="0"/>
                <w:sz w:val="18"/>
                <w:szCs w:val="18"/>
              </w:rPr>
              <w:t>46</w:t>
            </w:r>
          </w:p>
        </w:tc>
        <w:tc>
          <w:tcPr>
            <w:tcW w:w="1054" w:type="dxa"/>
            <w:tcBorders>
              <w:top w:val="nil"/>
              <w:left w:val="nil"/>
              <w:bottom w:val="single" w:color="auto" w:sz="8" w:space="0"/>
              <w:right w:val="single" w:color="auto" w:sz="8" w:space="0"/>
            </w:tcBorders>
            <w:noWrap/>
            <w:vAlign w:val="bottom"/>
          </w:tcPr>
          <w:p>
            <w:pPr>
              <w:widowControl/>
              <w:jc w:val="center"/>
              <w:rPr>
                <w:rFonts w:hint="eastAsia" w:ascii="宋体" w:hAnsi="宋体" w:cs="宋体"/>
                <w:kern w:val="0"/>
                <w:sz w:val="18"/>
                <w:szCs w:val="18"/>
              </w:rPr>
            </w:pPr>
            <w:r>
              <w:rPr>
                <w:rFonts w:hint="eastAsia" w:ascii="宋体" w:hAnsi="宋体" w:cs="宋体"/>
                <w:kern w:val="0"/>
                <w:sz w:val="18"/>
                <w:szCs w:val="18"/>
              </w:rPr>
              <w:t>0.36</w:t>
            </w:r>
          </w:p>
        </w:tc>
        <w:tc>
          <w:tcPr>
            <w:tcW w:w="1173" w:type="dxa"/>
            <w:tcBorders>
              <w:top w:val="nil"/>
              <w:left w:val="nil"/>
              <w:bottom w:val="single" w:color="auto" w:sz="8" w:space="0"/>
              <w:right w:val="single" w:color="auto" w:sz="8" w:space="0"/>
            </w:tcBorders>
            <w:noWrap/>
            <w:vAlign w:val="bottom"/>
          </w:tcPr>
          <w:p>
            <w:pPr>
              <w:widowControl/>
              <w:jc w:val="center"/>
              <w:rPr>
                <w:rFonts w:hint="eastAsia" w:ascii="宋体" w:hAnsi="宋体" w:cs="宋体"/>
                <w:kern w:val="0"/>
                <w:sz w:val="18"/>
                <w:szCs w:val="18"/>
              </w:rPr>
            </w:pPr>
            <w:r>
              <w:rPr>
                <w:rFonts w:hint="eastAsia" w:ascii="宋体" w:hAnsi="宋体" w:cs="宋体"/>
                <w:kern w:val="0"/>
                <w:sz w:val="18"/>
                <w:szCs w:val="18"/>
              </w:rPr>
              <w:t>45</w:t>
            </w:r>
          </w:p>
        </w:tc>
        <w:tc>
          <w:tcPr>
            <w:tcW w:w="1146" w:type="dxa"/>
            <w:tcBorders>
              <w:top w:val="nil"/>
              <w:left w:val="nil"/>
              <w:bottom w:val="single" w:color="auto" w:sz="8" w:space="0"/>
              <w:right w:val="single" w:color="auto" w:sz="8" w:space="0"/>
            </w:tcBorders>
            <w:noWrap/>
            <w:vAlign w:val="bottom"/>
          </w:tcPr>
          <w:p>
            <w:pPr>
              <w:widowControl/>
              <w:jc w:val="center"/>
              <w:rPr>
                <w:rFonts w:hint="eastAsia" w:ascii="宋体" w:hAnsi="宋体" w:cs="宋体"/>
                <w:kern w:val="0"/>
                <w:sz w:val="18"/>
                <w:szCs w:val="18"/>
              </w:rPr>
            </w:pPr>
            <w:r>
              <w:rPr>
                <w:rFonts w:hint="eastAsia" w:ascii="宋体" w:hAnsi="宋体" w:cs="宋体"/>
                <w:kern w:val="0"/>
                <w:sz w:val="18"/>
                <w:szCs w:val="18"/>
              </w:rPr>
              <w:t>42</w:t>
            </w:r>
          </w:p>
        </w:tc>
        <w:tc>
          <w:tcPr>
            <w:tcW w:w="1107" w:type="dxa"/>
            <w:tcBorders>
              <w:top w:val="nil"/>
              <w:left w:val="nil"/>
              <w:bottom w:val="single" w:color="auto" w:sz="8" w:space="0"/>
              <w:right w:val="single" w:color="auto" w:sz="8" w:space="0"/>
            </w:tcBorders>
            <w:noWrap/>
            <w:vAlign w:val="bottom"/>
          </w:tcPr>
          <w:p>
            <w:pPr>
              <w:widowControl/>
              <w:jc w:val="center"/>
              <w:rPr>
                <w:rFonts w:hint="eastAsia" w:ascii="宋体" w:hAnsi="宋体" w:cs="宋体"/>
                <w:kern w:val="0"/>
                <w:sz w:val="18"/>
                <w:szCs w:val="18"/>
              </w:rPr>
            </w:pPr>
            <w:r>
              <w:rPr>
                <w:rFonts w:hint="eastAsia" w:ascii="宋体" w:hAnsi="宋体" w:cs="宋体"/>
                <w:kern w:val="0"/>
                <w:sz w:val="18"/>
                <w:szCs w:val="18"/>
              </w:rPr>
              <w:t>0.635</w:t>
            </w:r>
          </w:p>
        </w:tc>
      </w:tr>
      <w:tr>
        <w:tblPrEx>
          <w:tblCellMar>
            <w:top w:w="0" w:type="dxa"/>
            <w:left w:w="108" w:type="dxa"/>
            <w:bottom w:w="0" w:type="dxa"/>
            <w:right w:w="108" w:type="dxa"/>
          </w:tblCellMar>
        </w:tblPrEx>
        <w:trPr>
          <w:trHeight w:val="315" w:hRule="atLeast"/>
          <w:jc w:val="center"/>
        </w:trPr>
        <w:tc>
          <w:tcPr>
            <w:tcW w:w="1870" w:type="dxa"/>
            <w:tcBorders>
              <w:top w:val="nil"/>
              <w:left w:val="single" w:color="auto" w:sz="8" w:space="0"/>
              <w:bottom w:val="single" w:color="auto" w:sz="8" w:space="0"/>
              <w:right w:val="single" w:color="auto" w:sz="8" w:space="0"/>
            </w:tcBorders>
          </w:tcPr>
          <w:p>
            <w:pPr>
              <w:widowControl/>
              <w:jc w:val="center"/>
              <w:rPr>
                <w:rFonts w:hint="eastAsia" w:ascii="宋体" w:hAnsi="宋体" w:cs="宋体"/>
                <w:kern w:val="0"/>
                <w:sz w:val="18"/>
                <w:szCs w:val="18"/>
              </w:rPr>
            </w:pPr>
            <w:r>
              <w:rPr>
                <w:rFonts w:hint="eastAsia" w:ascii="宋体" w:hAnsi="宋体" w:cs="宋体"/>
                <w:kern w:val="0"/>
                <w:sz w:val="18"/>
                <w:szCs w:val="18"/>
              </w:rPr>
              <w:t>蒸发管</w:t>
            </w:r>
          </w:p>
        </w:tc>
        <w:tc>
          <w:tcPr>
            <w:tcW w:w="2027" w:type="dxa"/>
            <w:tcBorders>
              <w:top w:val="nil"/>
              <w:left w:val="nil"/>
              <w:bottom w:val="single" w:color="auto" w:sz="8" w:space="0"/>
              <w:right w:val="single" w:color="auto" w:sz="8" w:space="0"/>
            </w:tcBorders>
            <w:noWrap/>
            <w:vAlign w:val="bottom"/>
          </w:tcPr>
          <w:p>
            <w:pPr>
              <w:widowControl/>
              <w:jc w:val="center"/>
              <w:rPr>
                <w:rFonts w:hint="eastAsia" w:ascii="宋体" w:hAnsi="宋体" w:cs="宋体"/>
                <w:kern w:val="0"/>
                <w:sz w:val="18"/>
                <w:szCs w:val="18"/>
              </w:rPr>
            </w:pPr>
            <w:r>
              <w:rPr>
                <w:rFonts w:hint="eastAsia" w:ascii="宋体" w:hAnsi="宋体" w:cs="宋体"/>
                <w:kern w:val="0"/>
                <w:sz w:val="18"/>
                <w:szCs w:val="18"/>
              </w:rPr>
              <w:t>19.05</w:t>
            </w:r>
            <w:r>
              <w:rPr>
                <w:rFonts w:hint="eastAsia" w:ascii="宋体" w:hAnsi="宋体" w:cs="宋体"/>
                <w:kern w:val="0"/>
                <w:sz w:val="18"/>
                <w:szCs w:val="18"/>
              </w:rPr>
              <w:sym w:font="Symbol" w:char="F0B4"/>
            </w:r>
            <w:r>
              <w:rPr>
                <w:rFonts w:hint="eastAsia" w:ascii="宋体" w:hAnsi="宋体" w:cs="宋体"/>
                <w:kern w:val="0"/>
                <w:sz w:val="18"/>
                <w:szCs w:val="18"/>
              </w:rPr>
              <w:t>1.05</w:t>
            </w:r>
            <w:r>
              <w:rPr>
                <w:kern w:val="0"/>
                <w:sz w:val="18"/>
                <w:szCs w:val="18"/>
              </w:rPr>
              <w:t> </w:t>
            </w:r>
          </w:p>
        </w:tc>
        <w:tc>
          <w:tcPr>
            <w:tcW w:w="1127" w:type="dxa"/>
            <w:tcBorders>
              <w:top w:val="nil"/>
              <w:left w:val="nil"/>
              <w:bottom w:val="single" w:color="auto" w:sz="8" w:space="0"/>
              <w:right w:val="single" w:color="auto" w:sz="8" w:space="0"/>
            </w:tcBorders>
            <w:noWrap/>
            <w:vAlign w:val="bottom"/>
          </w:tcPr>
          <w:p>
            <w:pPr>
              <w:widowControl/>
              <w:jc w:val="center"/>
              <w:rPr>
                <w:rFonts w:hint="eastAsia" w:ascii="宋体" w:hAnsi="宋体" w:cs="宋体"/>
                <w:kern w:val="0"/>
                <w:sz w:val="18"/>
                <w:szCs w:val="18"/>
              </w:rPr>
            </w:pPr>
            <w:r>
              <w:rPr>
                <w:rFonts w:hint="eastAsia" w:ascii="宋体" w:hAnsi="宋体" w:cs="宋体"/>
                <w:kern w:val="0"/>
                <w:sz w:val="18"/>
                <w:szCs w:val="18"/>
              </w:rPr>
              <w:t>19.05</w:t>
            </w:r>
          </w:p>
        </w:tc>
        <w:tc>
          <w:tcPr>
            <w:tcW w:w="1118" w:type="dxa"/>
            <w:tcBorders>
              <w:top w:val="nil"/>
              <w:left w:val="nil"/>
              <w:bottom w:val="single" w:color="auto" w:sz="8" w:space="0"/>
              <w:right w:val="single" w:color="auto" w:sz="8" w:space="0"/>
            </w:tcBorders>
            <w:noWrap/>
            <w:vAlign w:val="bottom"/>
          </w:tcPr>
          <w:p>
            <w:pPr>
              <w:widowControl/>
              <w:jc w:val="center"/>
              <w:rPr>
                <w:rFonts w:hint="eastAsia" w:ascii="宋体" w:hAnsi="宋体" w:cs="宋体"/>
                <w:kern w:val="0"/>
                <w:sz w:val="18"/>
                <w:szCs w:val="18"/>
              </w:rPr>
            </w:pPr>
            <w:r>
              <w:rPr>
                <w:rFonts w:hint="eastAsia" w:ascii="宋体" w:hAnsi="宋体" w:cs="宋体"/>
                <w:kern w:val="0"/>
                <w:sz w:val="18"/>
                <w:szCs w:val="18"/>
              </w:rPr>
              <w:t>1.05</w:t>
            </w:r>
          </w:p>
        </w:tc>
        <w:tc>
          <w:tcPr>
            <w:tcW w:w="1319" w:type="dxa"/>
            <w:tcBorders>
              <w:top w:val="nil"/>
              <w:left w:val="nil"/>
              <w:bottom w:val="single" w:color="auto" w:sz="8" w:space="0"/>
              <w:right w:val="single" w:color="auto" w:sz="8" w:space="0"/>
            </w:tcBorders>
            <w:noWrap/>
            <w:vAlign w:val="bottom"/>
          </w:tcPr>
          <w:p>
            <w:pPr>
              <w:widowControl/>
              <w:jc w:val="center"/>
              <w:rPr>
                <w:rFonts w:hint="eastAsia" w:ascii="宋体" w:hAnsi="宋体" w:cs="宋体"/>
                <w:kern w:val="0"/>
                <w:sz w:val="18"/>
                <w:szCs w:val="18"/>
              </w:rPr>
            </w:pPr>
            <w:r>
              <w:rPr>
                <w:rFonts w:hint="eastAsia" w:ascii="宋体" w:hAnsi="宋体" w:cs="宋体"/>
                <w:kern w:val="0"/>
                <w:sz w:val="18"/>
                <w:szCs w:val="18"/>
              </w:rPr>
              <w:t>18.9</w:t>
            </w:r>
          </w:p>
        </w:tc>
        <w:tc>
          <w:tcPr>
            <w:tcW w:w="918" w:type="dxa"/>
            <w:tcBorders>
              <w:top w:val="nil"/>
              <w:left w:val="nil"/>
              <w:bottom w:val="single" w:color="auto" w:sz="8" w:space="0"/>
              <w:right w:val="single" w:color="auto" w:sz="8" w:space="0"/>
            </w:tcBorders>
            <w:noWrap/>
            <w:vAlign w:val="bottom"/>
          </w:tcPr>
          <w:p>
            <w:pPr>
              <w:widowControl/>
              <w:jc w:val="center"/>
              <w:rPr>
                <w:rFonts w:hint="eastAsia" w:ascii="宋体" w:hAnsi="宋体" w:cs="宋体"/>
                <w:kern w:val="0"/>
                <w:sz w:val="18"/>
                <w:szCs w:val="18"/>
              </w:rPr>
            </w:pPr>
            <w:r>
              <w:rPr>
                <w:rFonts w:hint="eastAsia" w:ascii="宋体" w:hAnsi="宋体" w:cs="宋体"/>
                <w:kern w:val="0"/>
                <w:sz w:val="18"/>
                <w:szCs w:val="18"/>
              </w:rPr>
              <w:t>0.6</w:t>
            </w:r>
          </w:p>
        </w:tc>
        <w:tc>
          <w:tcPr>
            <w:tcW w:w="1509" w:type="dxa"/>
            <w:tcBorders>
              <w:top w:val="nil"/>
              <w:left w:val="nil"/>
              <w:bottom w:val="single" w:color="auto" w:sz="8" w:space="0"/>
              <w:right w:val="single" w:color="auto" w:sz="8" w:space="0"/>
            </w:tcBorders>
            <w:noWrap/>
            <w:vAlign w:val="bottom"/>
          </w:tcPr>
          <w:p>
            <w:pPr>
              <w:widowControl/>
              <w:jc w:val="center"/>
              <w:rPr>
                <w:rFonts w:hint="eastAsia" w:ascii="宋体" w:hAnsi="宋体" w:cs="宋体"/>
                <w:kern w:val="0"/>
                <w:sz w:val="18"/>
                <w:szCs w:val="18"/>
              </w:rPr>
            </w:pPr>
            <w:r>
              <w:rPr>
                <w:rFonts w:hint="eastAsia" w:ascii="宋体" w:hAnsi="宋体" w:cs="宋体"/>
                <w:kern w:val="0"/>
                <w:sz w:val="18"/>
                <w:szCs w:val="18"/>
              </w:rPr>
              <w:t>50</w:t>
            </w:r>
          </w:p>
        </w:tc>
        <w:tc>
          <w:tcPr>
            <w:tcW w:w="1054" w:type="dxa"/>
            <w:tcBorders>
              <w:top w:val="nil"/>
              <w:left w:val="nil"/>
              <w:bottom w:val="single" w:color="auto" w:sz="8" w:space="0"/>
              <w:right w:val="single" w:color="auto" w:sz="8" w:space="0"/>
            </w:tcBorders>
            <w:noWrap/>
            <w:vAlign w:val="bottom"/>
          </w:tcPr>
          <w:p>
            <w:pPr>
              <w:widowControl/>
              <w:jc w:val="center"/>
              <w:rPr>
                <w:rFonts w:hint="eastAsia" w:ascii="宋体" w:hAnsi="宋体" w:cs="宋体"/>
                <w:kern w:val="0"/>
                <w:sz w:val="18"/>
                <w:szCs w:val="18"/>
              </w:rPr>
            </w:pPr>
            <w:r>
              <w:rPr>
                <w:rFonts w:hint="eastAsia" w:ascii="宋体" w:hAnsi="宋体" w:cs="宋体"/>
                <w:kern w:val="0"/>
                <w:sz w:val="18"/>
                <w:szCs w:val="18"/>
              </w:rPr>
              <w:t>0.4</w:t>
            </w:r>
          </w:p>
        </w:tc>
        <w:tc>
          <w:tcPr>
            <w:tcW w:w="1173" w:type="dxa"/>
            <w:tcBorders>
              <w:top w:val="nil"/>
              <w:left w:val="nil"/>
              <w:bottom w:val="single" w:color="auto" w:sz="8" w:space="0"/>
              <w:right w:val="single" w:color="auto" w:sz="8" w:space="0"/>
            </w:tcBorders>
            <w:noWrap/>
            <w:vAlign w:val="bottom"/>
          </w:tcPr>
          <w:p>
            <w:pPr>
              <w:widowControl/>
              <w:jc w:val="center"/>
              <w:rPr>
                <w:rFonts w:hint="eastAsia" w:ascii="宋体" w:hAnsi="宋体" w:cs="宋体"/>
                <w:kern w:val="0"/>
                <w:sz w:val="18"/>
                <w:szCs w:val="18"/>
              </w:rPr>
            </w:pPr>
            <w:r>
              <w:rPr>
                <w:rFonts w:hint="eastAsia" w:ascii="宋体" w:hAnsi="宋体" w:cs="宋体"/>
                <w:kern w:val="0"/>
                <w:sz w:val="18"/>
                <w:szCs w:val="18"/>
              </w:rPr>
              <w:t>45</w:t>
            </w:r>
          </w:p>
        </w:tc>
        <w:tc>
          <w:tcPr>
            <w:tcW w:w="1146" w:type="dxa"/>
            <w:tcBorders>
              <w:top w:val="nil"/>
              <w:left w:val="nil"/>
              <w:bottom w:val="single" w:color="auto" w:sz="8" w:space="0"/>
              <w:right w:val="single" w:color="auto" w:sz="8" w:space="0"/>
            </w:tcBorders>
            <w:noWrap/>
            <w:vAlign w:val="bottom"/>
          </w:tcPr>
          <w:p>
            <w:pPr>
              <w:widowControl/>
              <w:jc w:val="center"/>
              <w:rPr>
                <w:rFonts w:hint="eastAsia" w:ascii="宋体" w:hAnsi="宋体" w:cs="宋体"/>
                <w:kern w:val="0"/>
                <w:sz w:val="18"/>
                <w:szCs w:val="18"/>
              </w:rPr>
            </w:pPr>
            <w:r>
              <w:rPr>
                <w:rFonts w:hint="eastAsia" w:ascii="宋体" w:hAnsi="宋体" w:cs="宋体"/>
                <w:kern w:val="0"/>
                <w:sz w:val="18"/>
                <w:szCs w:val="18"/>
              </w:rPr>
              <w:t>43</w:t>
            </w:r>
          </w:p>
        </w:tc>
        <w:tc>
          <w:tcPr>
            <w:tcW w:w="1107" w:type="dxa"/>
            <w:tcBorders>
              <w:top w:val="nil"/>
              <w:left w:val="nil"/>
              <w:bottom w:val="single" w:color="auto" w:sz="8" w:space="0"/>
              <w:right w:val="single" w:color="auto" w:sz="8" w:space="0"/>
            </w:tcBorders>
            <w:noWrap/>
            <w:vAlign w:val="bottom"/>
          </w:tcPr>
          <w:p>
            <w:pPr>
              <w:widowControl/>
              <w:jc w:val="center"/>
              <w:rPr>
                <w:rFonts w:hint="eastAsia" w:ascii="宋体" w:hAnsi="宋体" w:cs="宋体"/>
                <w:kern w:val="0"/>
                <w:sz w:val="18"/>
                <w:szCs w:val="18"/>
              </w:rPr>
            </w:pPr>
            <w:r>
              <w:rPr>
                <w:rFonts w:hint="eastAsia" w:ascii="宋体" w:hAnsi="宋体" w:cs="宋体"/>
                <w:kern w:val="0"/>
                <w:sz w:val="18"/>
                <w:szCs w:val="18"/>
              </w:rPr>
              <w:t>0.635</w:t>
            </w:r>
          </w:p>
        </w:tc>
      </w:tr>
      <w:tr>
        <w:tblPrEx>
          <w:tblCellMar>
            <w:top w:w="0" w:type="dxa"/>
            <w:left w:w="108" w:type="dxa"/>
            <w:bottom w:w="0" w:type="dxa"/>
            <w:right w:w="108" w:type="dxa"/>
          </w:tblCellMar>
        </w:tblPrEx>
        <w:trPr>
          <w:trHeight w:val="315" w:hRule="atLeast"/>
          <w:jc w:val="center"/>
        </w:trPr>
        <w:tc>
          <w:tcPr>
            <w:tcW w:w="1870" w:type="dxa"/>
            <w:tcBorders>
              <w:top w:val="nil"/>
              <w:left w:val="single" w:color="auto" w:sz="8" w:space="0"/>
              <w:bottom w:val="single" w:color="auto" w:sz="8" w:space="0"/>
              <w:right w:val="single" w:color="auto" w:sz="8" w:space="0"/>
            </w:tcBorders>
          </w:tcPr>
          <w:p>
            <w:pPr>
              <w:widowControl/>
              <w:jc w:val="center"/>
              <w:rPr>
                <w:rFonts w:hint="eastAsia" w:ascii="宋体" w:hAnsi="宋体" w:cs="宋体"/>
                <w:kern w:val="0"/>
                <w:sz w:val="18"/>
                <w:szCs w:val="18"/>
              </w:rPr>
            </w:pPr>
            <w:r>
              <w:rPr>
                <w:rFonts w:hint="eastAsia" w:ascii="宋体" w:hAnsi="宋体" w:cs="宋体"/>
                <w:kern w:val="0"/>
                <w:sz w:val="18"/>
                <w:szCs w:val="18"/>
              </w:rPr>
              <w:t>冷凝管</w:t>
            </w:r>
          </w:p>
        </w:tc>
        <w:tc>
          <w:tcPr>
            <w:tcW w:w="2027" w:type="dxa"/>
            <w:tcBorders>
              <w:top w:val="nil"/>
              <w:left w:val="nil"/>
              <w:bottom w:val="single" w:color="auto" w:sz="8" w:space="0"/>
              <w:right w:val="single" w:color="auto" w:sz="8" w:space="0"/>
            </w:tcBorders>
            <w:noWrap/>
            <w:vAlign w:val="bottom"/>
          </w:tcPr>
          <w:p>
            <w:pPr>
              <w:widowControl/>
              <w:jc w:val="center"/>
              <w:rPr>
                <w:rFonts w:hint="eastAsia" w:ascii="宋体" w:hAnsi="宋体" w:cs="宋体"/>
                <w:kern w:val="0"/>
                <w:sz w:val="18"/>
                <w:szCs w:val="18"/>
              </w:rPr>
            </w:pPr>
            <w:r>
              <w:rPr>
                <w:rFonts w:hint="eastAsia" w:ascii="宋体" w:hAnsi="宋体" w:cs="宋体"/>
                <w:kern w:val="0"/>
                <w:sz w:val="18"/>
                <w:szCs w:val="18"/>
              </w:rPr>
              <w:t>19.05</w:t>
            </w:r>
            <w:r>
              <w:rPr>
                <w:rFonts w:hint="eastAsia" w:ascii="宋体" w:hAnsi="宋体" w:cs="宋体"/>
                <w:kern w:val="0"/>
                <w:sz w:val="18"/>
                <w:szCs w:val="18"/>
              </w:rPr>
              <w:sym w:font="Symbol" w:char="F0B4"/>
            </w:r>
            <w:r>
              <w:rPr>
                <w:rFonts w:hint="eastAsia" w:ascii="宋体" w:hAnsi="宋体" w:cs="宋体"/>
                <w:kern w:val="0"/>
                <w:sz w:val="18"/>
                <w:szCs w:val="18"/>
              </w:rPr>
              <w:t>1.03</w:t>
            </w:r>
            <w:r>
              <w:rPr>
                <w:kern w:val="0"/>
                <w:sz w:val="18"/>
                <w:szCs w:val="18"/>
              </w:rPr>
              <w:t> </w:t>
            </w:r>
          </w:p>
        </w:tc>
        <w:tc>
          <w:tcPr>
            <w:tcW w:w="1127" w:type="dxa"/>
            <w:tcBorders>
              <w:top w:val="nil"/>
              <w:left w:val="nil"/>
              <w:bottom w:val="single" w:color="auto" w:sz="8" w:space="0"/>
              <w:right w:val="single" w:color="auto" w:sz="8" w:space="0"/>
            </w:tcBorders>
            <w:noWrap/>
            <w:vAlign w:val="bottom"/>
          </w:tcPr>
          <w:p>
            <w:pPr>
              <w:widowControl/>
              <w:jc w:val="center"/>
              <w:rPr>
                <w:rFonts w:hint="eastAsia" w:ascii="宋体" w:hAnsi="宋体" w:cs="宋体"/>
                <w:kern w:val="0"/>
                <w:sz w:val="18"/>
                <w:szCs w:val="18"/>
              </w:rPr>
            </w:pPr>
            <w:r>
              <w:rPr>
                <w:rFonts w:hint="eastAsia" w:ascii="宋体" w:hAnsi="宋体" w:cs="宋体"/>
                <w:kern w:val="0"/>
                <w:sz w:val="18"/>
                <w:szCs w:val="18"/>
              </w:rPr>
              <w:t>19.05</w:t>
            </w:r>
          </w:p>
        </w:tc>
        <w:tc>
          <w:tcPr>
            <w:tcW w:w="1118" w:type="dxa"/>
            <w:tcBorders>
              <w:top w:val="nil"/>
              <w:left w:val="nil"/>
              <w:bottom w:val="single" w:color="auto" w:sz="8" w:space="0"/>
              <w:right w:val="single" w:color="auto" w:sz="8" w:space="0"/>
            </w:tcBorders>
            <w:noWrap/>
            <w:vAlign w:val="bottom"/>
          </w:tcPr>
          <w:p>
            <w:pPr>
              <w:widowControl/>
              <w:jc w:val="center"/>
              <w:rPr>
                <w:rFonts w:hint="eastAsia" w:ascii="宋体" w:hAnsi="宋体" w:cs="宋体"/>
                <w:kern w:val="0"/>
                <w:sz w:val="18"/>
                <w:szCs w:val="18"/>
              </w:rPr>
            </w:pPr>
            <w:r>
              <w:rPr>
                <w:rFonts w:hint="eastAsia" w:ascii="宋体" w:hAnsi="宋体" w:cs="宋体"/>
                <w:kern w:val="0"/>
                <w:sz w:val="18"/>
                <w:szCs w:val="18"/>
              </w:rPr>
              <w:t>1.03</w:t>
            </w:r>
          </w:p>
        </w:tc>
        <w:tc>
          <w:tcPr>
            <w:tcW w:w="1319" w:type="dxa"/>
            <w:tcBorders>
              <w:top w:val="nil"/>
              <w:left w:val="nil"/>
              <w:bottom w:val="single" w:color="auto" w:sz="8" w:space="0"/>
              <w:right w:val="single" w:color="auto" w:sz="8" w:space="0"/>
            </w:tcBorders>
            <w:noWrap/>
            <w:vAlign w:val="bottom"/>
          </w:tcPr>
          <w:p>
            <w:pPr>
              <w:widowControl/>
              <w:jc w:val="center"/>
              <w:rPr>
                <w:rFonts w:hint="eastAsia" w:ascii="宋体" w:hAnsi="宋体" w:cs="宋体"/>
                <w:kern w:val="0"/>
                <w:sz w:val="18"/>
                <w:szCs w:val="18"/>
              </w:rPr>
            </w:pPr>
            <w:r>
              <w:rPr>
                <w:rFonts w:hint="eastAsia" w:ascii="宋体" w:hAnsi="宋体" w:cs="宋体"/>
                <w:kern w:val="0"/>
                <w:sz w:val="18"/>
                <w:szCs w:val="18"/>
              </w:rPr>
              <w:t>18.9</w:t>
            </w:r>
          </w:p>
        </w:tc>
        <w:tc>
          <w:tcPr>
            <w:tcW w:w="918" w:type="dxa"/>
            <w:tcBorders>
              <w:top w:val="nil"/>
              <w:left w:val="nil"/>
              <w:bottom w:val="single" w:color="auto" w:sz="8" w:space="0"/>
              <w:right w:val="single" w:color="auto" w:sz="8" w:space="0"/>
            </w:tcBorders>
            <w:noWrap/>
            <w:vAlign w:val="bottom"/>
          </w:tcPr>
          <w:p>
            <w:pPr>
              <w:widowControl/>
              <w:jc w:val="center"/>
              <w:rPr>
                <w:rFonts w:hint="eastAsia" w:ascii="宋体" w:hAnsi="宋体" w:cs="宋体"/>
                <w:kern w:val="0"/>
                <w:sz w:val="18"/>
                <w:szCs w:val="18"/>
              </w:rPr>
            </w:pPr>
            <w:r>
              <w:rPr>
                <w:rFonts w:hint="eastAsia" w:ascii="宋体" w:hAnsi="宋体" w:cs="宋体"/>
                <w:kern w:val="0"/>
                <w:sz w:val="18"/>
                <w:szCs w:val="18"/>
              </w:rPr>
              <w:t>0.9</w:t>
            </w:r>
          </w:p>
        </w:tc>
        <w:tc>
          <w:tcPr>
            <w:tcW w:w="1509" w:type="dxa"/>
            <w:tcBorders>
              <w:top w:val="nil"/>
              <w:left w:val="nil"/>
              <w:bottom w:val="single" w:color="auto" w:sz="8" w:space="0"/>
              <w:right w:val="single" w:color="auto" w:sz="8" w:space="0"/>
            </w:tcBorders>
            <w:noWrap/>
            <w:vAlign w:val="bottom"/>
          </w:tcPr>
          <w:p>
            <w:pPr>
              <w:widowControl/>
              <w:jc w:val="center"/>
              <w:rPr>
                <w:rFonts w:hint="eastAsia" w:ascii="宋体" w:hAnsi="宋体" w:cs="宋体"/>
                <w:kern w:val="0"/>
                <w:sz w:val="18"/>
                <w:szCs w:val="18"/>
              </w:rPr>
            </w:pPr>
            <w:r>
              <w:rPr>
                <w:rFonts w:hint="eastAsia" w:ascii="宋体" w:hAnsi="宋体" w:cs="宋体"/>
                <w:kern w:val="0"/>
                <w:sz w:val="18"/>
                <w:szCs w:val="18"/>
              </w:rPr>
              <w:t>48</w:t>
            </w:r>
          </w:p>
        </w:tc>
        <w:tc>
          <w:tcPr>
            <w:tcW w:w="1054" w:type="dxa"/>
            <w:tcBorders>
              <w:top w:val="nil"/>
              <w:left w:val="nil"/>
              <w:bottom w:val="single" w:color="auto" w:sz="8" w:space="0"/>
              <w:right w:val="single" w:color="auto" w:sz="8" w:space="0"/>
            </w:tcBorders>
            <w:noWrap/>
            <w:vAlign w:val="bottom"/>
          </w:tcPr>
          <w:p>
            <w:pPr>
              <w:widowControl/>
              <w:jc w:val="center"/>
              <w:rPr>
                <w:rFonts w:hint="eastAsia" w:ascii="宋体" w:hAnsi="宋体" w:cs="宋体"/>
                <w:kern w:val="0"/>
                <w:sz w:val="18"/>
                <w:szCs w:val="18"/>
              </w:rPr>
            </w:pPr>
            <w:r>
              <w:rPr>
                <w:rFonts w:hint="eastAsia" w:ascii="宋体" w:hAnsi="宋体" w:cs="宋体"/>
                <w:kern w:val="0"/>
                <w:sz w:val="18"/>
                <w:szCs w:val="18"/>
              </w:rPr>
              <w:t>0.4</w:t>
            </w:r>
          </w:p>
        </w:tc>
        <w:tc>
          <w:tcPr>
            <w:tcW w:w="1173" w:type="dxa"/>
            <w:tcBorders>
              <w:top w:val="nil"/>
              <w:left w:val="nil"/>
              <w:bottom w:val="single" w:color="auto" w:sz="8" w:space="0"/>
              <w:right w:val="single" w:color="auto" w:sz="8" w:space="0"/>
            </w:tcBorders>
            <w:noWrap/>
            <w:vAlign w:val="bottom"/>
          </w:tcPr>
          <w:p>
            <w:pPr>
              <w:widowControl/>
              <w:jc w:val="center"/>
              <w:rPr>
                <w:rFonts w:hint="eastAsia" w:ascii="宋体" w:hAnsi="宋体" w:cs="宋体"/>
                <w:kern w:val="0"/>
                <w:sz w:val="18"/>
                <w:szCs w:val="18"/>
              </w:rPr>
            </w:pPr>
            <w:r>
              <w:rPr>
                <w:rFonts w:hint="eastAsia" w:ascii="宋体" w:hAnsi="宋体" w:cs="宋体"/>
                <w:kern w:val="0"/>
                <w:sz w:val="18"/>
                <w:szCs w:val="18"/>
              </w:rPr>
              <w:t>45</w:t>
            </w:r>
          </w:p>
        </w:tc>
        <w:tc>
          <w:tcPr>
            <w:tcW w:w="1146" w:type="dxa"/>
            <w:tcBorders>
              <w:top w:val="nil"/>
              <w:left w:val="nil"/>
              <w:bottom w:val="single" w:color="auto" w:sz="8" w:space="0"/>
              <w:right w:val="single" w:color="auto" w:sz="8" w:space="0"/>
            </w:tcBorders>
            <w:noWrap/>
            <w:vAlign w:val="bottom"/>
          </w:tcPr>
          <w:p>
            <w:pPr>
              <w:widowControl/>
              <w:jc w:val="center"/>
              <w:rPr>
                <w:rFonts w:hint="eastAsia" w:ascii="宋体" w:hAnsi="宋体" w:cs="宋体"/>
                <w:kern w:val="0"/>
                <w:sz w:val="18"/>
                <w:szCs w:val="18"/>
              </w:rPr>
            </w:pPr>
            <w:r>
              <w:rPr>
                <w:rFonts w:hint="eastAsia" w:ascii="宋体" w:hAnsi="宋体" w:cs="宋体"/>
                <w:kern w:val="0"/>
                <w:sz w:val="18"/>
                <w:szCs w:val="18"/>
              </w:rPr>
              <w:t>40</w:t>
            </w:r>
          </w:p>
        </w:tc>
        <w:tc>
          <w:tcPr>
            <w:tcW w:w="1107" w:type="dxa"/>
            <w:tcBorders>
              <w:top w:val="nil"/>
              <w:left w:val="nil"/>
              <w:bottom w:val="single" w:color="auto" w:sz="8" w:space="0"/>
              <w:right w:val="single" w:color="auto" w:sz="8" w:space="0"/>
            </w:tcBorders>
            <w:noWrap/>
            <w:vAlign w:val="bottom"/>
          </w:tcPr>
          <w:p>
            <w:pPr>
              <w:widowControl/>
              <w:jc w:val="center"/>
              <w:rPr>
                <w:rFonts w:hint="eastAsia" w:ascii="宋体" w:hAnsi="宋体" w:cs="宋体"/>
                <w:kern w:val="0"/>
                <w:sz w:val="18"/>
                <w:szCs w:val="18"/>
              </w:rPr>
            </w:pPr>
            <w:r>
              <w:rPr>
                <w:rFonts w:hint="eastAsia" w:ascii="宋体" w:hAnsi="宋体" w:cs="宋体"/>
                <w:kern w:val="0"/>
                <w:sz w:val="18"/>
                <w:szCs w:val="18"/>
              </w:rPr>
              <w:t>0.635</w:t>
            </w:r>
          </w:p>
        </w:tc>
      </w:tr>
      <w:tr>
        <w:tblPrEx>
          <w:tblCellMar>
            <w:top w:w="0" w:type="dxa"/>
            <w:left w:w="108" w:type="dxa"/>
            <w:bottom w:w="0" w:type="dxa"/>
            <w:right w:w="108" w:type="dxa"/>
          </w:tblCellMar>
        </w:tblPrEx>
        <w:trPr>
          <w:trHeight w:val="300" w:hRule="atLeast"/>
          <w:jc w:val="center"/>
        </w:trPr>
        <w:tc>
          <w:tcPr>
            <w:tcW w:w="1870" w:type="dxa"/>
            <w:tcBorders>
              <w:top w:val="nil"/>
              <w:left w:val="single" w:color="auto" w:sz="8" w:space="0"/>
              <w:bottom w:val="single" w:color="auto" w:sz="8" w:space="0"/>
              <w:right w:val="single" w:color="auto" w:sz="8" w:space="0"/>
            </w:tcBorders>
          </w:tcPr>
          <w:p>
            <w:pPr>
              <w:widowControl/>
              <w:jc w:val="center"/>
              <w:rPr>
                <w:rFonts w:hint="eastAsia" w:ascii="宋体" w:hAnsi="宋体" w:cs="宋体"/>
                <w:kern w:val="0"/>
                <w:sz w:val="18"/>
                <w:szCs w:val="18"/>
              </w:rPr>
            </w:pPr>
            <w:r>
              <w:rPr>
                <w:rFonts w:hint="eastAsia" w:ascii="宋体" w:hAnsi="宋体" w:cs="宋体"/>
                <w:kern w:val="0"/>
                <w:sz w:val="18"/>
                <w:szCs w:val="18"/>
              </w:rPr>
              <w:t>冷凝管</w:t>
            </w:r>
          </w:p>
        </w:tc>
        <w:tc>
          <w:tcPr>
            <w:tcW w:w="2027" w:type="dxa"/>
            <w:tcBorders>
              <w:top w:val="nil"/>
              <w:left w:val="nil"/>
              <w:bottom w:val="single" w:color="auto" w:sz="8" w:space="0"/>
              <w:right w:val="single" w:color="auto" w:sz="8" w:space="0"/>
            </w:tcBorders>
            <w:noWrap/>
            <w:vAlign w:val="bottom"/>
          </w:tcPr>
          <w:p>
            <w:pPr>
              <w:widowControl/>
              <w:jc w:val="center"/>
              <w:rPr>
                <w:rFonts w:hint="eastAsia" w:ascii="宋体" w:hAnsi="宋体" w:cs="宋体"/>
                <w:kern w:val="0"/>
                <w:sz w:val="18"/>
                <w:szCs w:val="18"/>
              </w:rPr>
            </w:pPr>
            <w:r>
              <w:rPr>
                <w:rFonts w:hint="eastAsia" w:ascii="宋体" w:hAnsi="宋体" w:cs="宋体"/>
                <w:kern w:val="0"/>
                <w:sz w:val="18"/>
                <w:szCs w:val="18"/>
              </w:rPr>
              <w:t>15.88</w:t>
            </w:r>
            <w:r>
              <w:rPr>
                <w:rFonts w:hint="eastAsia" w:ascii="宋体" w:hAnsi="宋体" w:cs="宋体"/>
                <w:kern w:val="0"/>
                <w:sz w:val="18"/>
                <w:szCs w:val="18"/>
              </w:rPr>
              <w:sym w:font="Symbol" w:char="F0B4"/>
            </w:r>
            <w:r>
              <w:rPr>
                <w:rFonts w:hint="eastAsia" w:ascii="宋体" w:hAnsi="宋体" w:cs="宋体"/>
                <w:kern w:val="0"/>
                <w:sz w:val="18"/>
                <w:szCs w:val="18"/>
              </w:rPr>
              <w:t>1.1</w:t>
            </w:r>
          </w:p>
        </w:tc>
        <w:tc>
          <w:tcPr>
            <w:tcW w:w="1127" w:type="dxa"/>
            <w:tcBorders>
              <w:top w:val="nil"/>
              <w:left w:val="nil"/>
              <w:bottom w:val="single" w:color="auto" w:sz="8" w:space="0"/>
              <w:right w:val="single" w:color="auto" w:sz="8" w:space="0"/>
            </w:tcBorders>
            <w:noWrap/>
            <w:vAlign w:val="bottom"/>
          </w:tcPr>
          <w:p>
            <w:pPr>
              <w:widowControl/>
              <w:jc w:val="center"/>
              <w:rPr>
                <w:rFonts w:hint="eastAsia" w:ascii="宋体" w:hAnsi="宋体" w:cs="宋体"/>
                <w:kern w:val="0"/>
                <w:sz w:val="18"/>
                <w:szCs w:val="18"/>
              </w:rPr>
            </w:pPr>
            <w:r>
              <w:rPr>
                <w:rFonts w:hint="eastAsia" w:ascii="宋体" w:hAnsi="宋体" w:cs="宋体"/>
                <w:kern w:val="0"/>
                <w:sz w:val="18"/>
                <w:szCs w:val="18"/>
              </w:rPr>
              <w:t>15.88</w:t>
            </w:r>
          </w:p>
        </w:tc>
        <w:tc>
          <w:tcPr>
            <w:tcW w:w="1118" w:type="dxa"/>
            <w:tcBorders>
              <w:top w:val="nil"/>
              <w:left w:val="nil"/>
              <w:bottom w:val="single" w:color="auto" w:sz="8" w:space="0"/>
              <w:right w:val="single" w:color="auto" w:sz="8" w:space="0"/>
            </w:tcBorders>
            <w:noWrap/>
            <w:vAlign w:val="bottom"/>
          </w:tcPr>
          <w:p>
            <w:pPr>
              <w:widowControl/>
              <w:jc w:val="center"/>
              <w:rPr>
                <w:rFonts w:hint="eastAsia" w:ascii="宋体" w:hAnsi="宋体" w:cs="宋体"/>
                <w:kern w:val="0"/>
                <w:sz w:val="18"/>
                <w:szCs w:val="18"/>
              </w:rPr>
            </w:pPr>
            <w:r>
              <w:rPr>
                <w:rFonts w:hint="eastAsia" w:ascii="宋体" w:hAnsi="宋体" w:cs="宋体"/>
                <w:kern w:val="0"/>
                <w:sz w:val="18"/>
                <w:szCs w:val="18"/>
              </w:rPr>
              <w:t>1.1</w:t>
            </w:r>
          </w:p>
        </w:tc>
        <w:tc>
          <w:tcPr>
            <w:tcW w:w="1319" w:type="dxa"/>
            <w:tcBorders>
              <w:top w:val="nil"/>
              <w:left w:val="nil"/>
              <w:bottom w:val="single" w:color="auto" w:sz="8" w:space="0"/>
              <w:right w:val="single" w:color="auto" w:sz="8" w:space="0"/>
            </w:tcBorders>
            <w:noWrap/>
            <w:vAlign w:val="bottom"/>
          </w:tcPr>
          <w:p>
            <w:pPr>
              <w:widowControl/>
              <w:jc w:val="center"/>
              <w:rPr>
                <w:rFonts w:hint="eastAsia" w:ascii="宋体" w:hAnsi="宋体" w:cs="宋体"/>
                <w:kern w:val="0"/>
                <w:sz w:val="18"/>
                <w:szCs w:val="18"/>
              </w:rPr>
            </w:pPr>
            <w:r>
              <w:rPr>
                <w:rFonts w:hint="eastAsia" w:ascii="宋体" w:hAnsi="宋体" w:cs="宋体"/>
                <w:kern w:val="0"/>
                <w:sz w:val="18"/>
                <w:szCs w:val="18"/>
              </w:rPr>
              <w:t>15.88</w:t>
            </w:r>
          </w:p>
        </w:tc>
        <w:tc>
          <w:tcPr>
            <w:tcW w:w="918" w:type="dxa"/>
            <w:tcBorders>
              <w:top w:val="nil"/>
              <w:left w:val="nil"/>
              <w:bottom w:val="single" w:color="auto" w:sz="8" w:space="0"/>
              <w:right w:val="single" w:color="auto" w:sz="8" w:space="0"/>
            </w:tcBorders>
            <w:noWrap/>
            <w:vAlign w:val="bottom"/>
          </w:tcPr>
          <w:p>
            <w:pPr>
              <w:widowControl/>
              <w:jc w:val="center"/>
              <w:rPr>
                <w:rFonts w:hint="eastAsia" w:ascii="宋体" w:hAnsi="宋体" w:cs="宋体"/>
                <w:kern w:val="0"/>
                <w:sz w:val="18"/>
                <w:szCs w:val="18"/>
              </w:rPr>
            </w:pPr>
            <w:r>
              <w:rPr>
                <w:rFonts w:hint="eastAsia" w:ascii="宋体" w:hAnsi="宋体" w:cs="宋体"/>
                <w:kern w:val="0"/>
                <w:sz w:val="18"/>
                <w:szCs w:val="18"/>
              </w:rPr>
              <w:t>0.9</w:t>
            </w:r>
          </w:p>
        </w:tc>
        <w:tc>
          <w:tcPr>
            <w:tcW w:w="1509" w:type="dxa"/>
            <w:tcBorders>
              <w:top w:val="nil"/>
              <w:left w:val="nil"/>
              <w:bottom w:val="single" w:color="auto" w:sz="8" w:space="0"/>
              <w:right w:val="single" w:color="auto" w:sz="8" w:space="0"/>
            </w:tcBorders>
            <w:noWrap/>
            <w:vAlign w:val="bottom"/>
          </w:tcPr>
          <w:p>
            <w:pPr>
              <w:widowControl/>
              <w:jc w:val="center"/>
              <w:rPr>
                <w:rFonts w:hint="eastAsia" w:ascii="宋体" w:hAnsi="宋体" w:cs="宋体"/>
                <w:kern w:val="0"/>
                <w:sz w:val="18"/>
                <w:szCs w:val="18"/>
              </w:rPr>
            </w:pPr>
            <w:r>
              <w:rPr>
                <w:rFonts w:hint="eastAsia" w:ascii="宋体" w:hAnsi="宋体" w:cs="宋体"/>
                <w:kern w:val="0"/>
                <w:sz w:val="18"/>
                <w:szCs w:val="18"/>
              </w:rPr>
              <w:t>40</w:t>
            </w:r>
          </w:p>
        </w:tc>
        <w:tc>
          <w:tcPr>
            <w:tcW w:w="1054" w:type="dxa"/>
            <w:tcBorders>
              <w:top w:val="nil"/>
              <w:left w:val="nil"/>
              <w:bottom w:val="single" w:color="auto" w:sz="8" w:space="0"/>
              <w:right w:val="single" w:color="auto" w:sz="8" w:space="0"/>
            </w:tcBorders>
            <w:noWrap/>
            <w:vAlign w:val="bottom"/>
          </w:tcPr>
          <w:p>
            <w:pPr>
              <w:widowControl/>
              <w:jc w:val="center"/>
              <w:rPr>
                <w:rFonts w:hint="eastAsia" w:ascii="宋体" w:hAnsi="宋体" w:cs="宋体"/>
                <w:kern w:val="0"/>
                <w:sz w:val="18"/>
                <w:szCs w:val="18"/>
              </w:rPr>
            </w:pPr>
            <w:r>
              <w:rPr>
                <w:rFonts w:hint="eastAsia" w:ascii="宋体" w:hAnsi="宋体" w:cs="宋体"/>
                <w:kern w:val="0"/>
                <w:sz w:val="18"/>
                <w:szCs w:val="18"/>
              </w:rPr>
              <w:t>0.25</w:t>
            </w:r>
          </w:p>
        </w:tc>
        <w:tc>
          <w:tcPr>
            <w:tcW w:w="1173" w:type="dxa"/>
            <w:tcBorders>
              <w:top w:val="nil"/>
              <w:left w:val="nil"/>
              <w:bottom w:val="single" w:color="auto" w:sz="8" w:space="0"/>
              <w:right w:val="single" w:color="auto" w:sz="8" w:space="0"/>
            </w:tcBorders>
            <w:noWrap/>
            <w:vAlign w:val="bottom"/>
          </w:tcPr>
          <w:p>
            <w:pPr>
              <w:widowControl/>
              <w:jc w:val="center"/>
              <w:rPr>
                <w:rFonts w:hint="eastAsia" w:ascii="宋体" w:hAnsi="宋体" w:cs="宋体"/>
                <w:kern w:val="0"/>
                <w:sz w:val="18"/>
                <w:szCs w:val="18"/>
              </w:rPr>
            </w:pPr>
            <w:r>
              <w:rPr>
                <w:rFonts w:hint="eastAsia" w:ascii="宋体" w:hAnsi="宋体" w:cs="宋体"/>
                <w:kern w:val="0"/>
                <w:sz w:val="18"/>
                <w:szCs w:val="18"/>
              </w:rPr>
              <w:t>38</w:t>
            </w:r>
          </w:p>
        </w:tc>
        <w:tc>
          <w:tcPr>
            <w:tcW w:w="1146" w:type="dxa"/>
            <w:tcBorders>
              <w:top w:val="nil"/>
              <w:left w:val="nil"/>
              <w:bottom w:val="single" w:color="auto" w:sz="8" w:space="0"/>
              <w:right w:val="single" w:color="auto" w:sz="8" w:space="0"/>
            </w:tcBorders>
            <w:noWrap/>
            <w:vAlign w:val="bottom"/>
          </w:tcPr>
          <w:p>
            <w:pPr>
              <w:widowControl/>
              <w:jc w:val="center"/>
              <w:rPr>
                <w:rFonts w:hint="eastAsia" w:ascii="宋体" w:hAnsi="宋体" w:cs="宋体"/>
                <w:kern w:val="0"/>
                <w:sz w:val="18"/>
                <w:szCs w:val="18"/>
              </w:rPr>
            </w:pPr>
            <w:r>
              <w:rPr>
                <w:rFonts w:hint="eastAsia" w:ascii="宋体" w:hAnsi="宋体" w:cs="宋体"/>
                <w:kern w:val="0"/>
                <w:sz w:val="18"/>
                <w:szCs w:val="18"/>
              </w:rPr>
              <w:t>40</w:t>
            </w:r>
          </w:p>
        </w:tc>
        <w:tc>
          <w:tcPr>
            <w:tcW w:w="1107" w:type="dxa"/>
            <w:tcBorders>
              <w:top w:val="nil"/>
              <w:left w:val="nil"/>
              <w:bottom w:val="single" w:color="auto" w:sz="8" w:space="0"/>
              <w:right w:val="single" w:color="auto" w:sz="8" w:space="0"/>
            </w:tcBorders>
            <w:noWrap/>
            <w:vAlign w:val="bottom"/>
          </w:tcPr>
          <w:p>
            <w:pPr>
              <w:widowControl/>
              <w:jc w:val="center"/>
              <w:rPr>
                <w:rFonts w:hint="eastAsia" w:ascii="宋体" w:hAnsi="宋体" w:cs="宋体"/>
                <w:kern w:val="0"/>
                <w:sz w:val="18"/>
                <w:szCs w:val="18"/>
              </w:rPr>
            </w:pPr>
            <w:r>
              <w:rPr>
                <w:rFonts w:hint="eastAsia" w:ascii="宋体" w:hAnsi="宋体" w:cs="宋体"/>
                <w:kern w:val="0"/>
                <w:sz w:val="18"/>
                <w:szCs w:val="18"/>
              </w:rPr>
              <w:t>0.55</w:t>
            </w:r>
          </w:p>
        </w:tc>
      </w:tr>
      <w:tr>
        <w:tblPrEx>
          <w:tblCellMar>
            <w:top w:w="0" w:type="dxa"/>
            <w:left w:w="108" w:type="dxa"/>
            <w:bottom w:w="0" w:type="dxa"/>
            <w:right w:w="108" w:type="dxa"/>
          </w:tblCellMar>
        </w:tblPrEx>
        <w:trPr>
          <w:trHeight w:val="300" w:hRule="atLeast"/>
          <w:jc w:val="center"/>
        </w:trPr>
        <w:tc>
          <w:tcPr>
            <w:tcW w:w="1870" w:type="dxa"/>
            <w:tcBorders>
              <w:top w:val="nil"/>
              <w:left w:val="single" w:color="auto" w:sz="8" w:space="0"/>
              <w:bottom w:val="single" w:color="auto" w:sz="8" w:space="0"/>
              <w:right w:val="single" w:color="auto" w:sz="8" w:space="0"/>
            </w:tcBorders>
          </w:tcPr>
          <w:p>
            <w:pPr>
              <w:widowControl/>
              <w:jc w:val="center"/>
              <w:rPr>
                <w:rFonts w:hint="eastAsia" w:ascii="宋体" w:hAnsi="宋体" w:cs="宋体"/>
                <w:kern w:val="0"/>
                <w:sz w:val="18"/>
                <w:szCs w:val="18"/>
              </w:rPr>
            </w:pPr>
            <w:r>
              <w:rPr>
                <w:rFonts w:hint="eastAsia" w:ascii="宋体" w:hAnsi="宋体" w:cs="宋体"/>
                <w:kern w:val="0"/>
                <w:sz w:val="18"/>
                <w:szCs w:val="18"/>
              </w:rPr>
              <w:t>麻面管</w:t>
            </w:r>
          </w:p>
        </w:tc>
        <w:tc>
          <w:tcPr>
            <w:tcW w:w="2027" w:type="dxa"/>
            <w:tcBorders>
              <w:top w:val="nil"/>
              <w:left w:val="nil"/>
              <w:bottom w:val="single" w:color="auto" w:sz="8" w:space="0"/>
              <w:right w:val="single" w:color="auto" w:sz="8" w:space="0"/>
            </w:tcBorders>
            <w:noWrap/>
            <w:vAlign w:val="bottom"/>
          </w:tcPr>
          <w:p>
            <w:pPr>
              <w:widowControl/>
              <w:jc w:val="center"/>
              <w:rPr>
                <w:rFonts w:hint="eastAsia" w:ascii="宋体" w:hAnsi="宋体" w:cs="宋体"/>
                <w:kern w:val="0"/>
                <w:sz w:val="18"/>
                <w:szCs w:val="18"/>
              </w:rPr>
            </w:pPr>
            <w:r>
              <w:rPr>
                <w:rFonts w:hint="eastAsia" w:ascii="宋体" w:hAnsi="宋体" w:cs="宋体"/>
                <w:kern w:val="0"/>
                <w:sz w:val="18"/>
                <w:szCs w:val="18"/>
              </w:rPr>
              <w:t>16</w:t>
            </w:r>
            <w:r>
              <w:rPr>
                <w:rFonts w:hint="eastAsia" w:ascii="宋体" w:hAnsi="宋体" w:cs="宋体"/>
                <w:kern w:val="0"/>
                <w:sz w:val="18"/>
                <w:szCs w:val="18"/>
              </w:rPr>
              <w:sym w:font="Symbol" w:char="F0B4"/>
            </w:r>
            <w:r>
              <w:rPr>
                <w:rFonts w:hint="eastAsia" w:ascii="宋体" w:hAnsi="宋体" w:cs="宋体"/>
                <w:kern w:val="0"/>
                <w:sz w:val="18"/>
                <w:szCs w:val="18"/>
              </w:rPr>
              <w:t>0.65</w:t>
            </w:r>
          </w:p>
        </w:tc>
        <w:tc>
          <w:tcPr>
            <w:tcW w:w="1127" w:type="dxa"/>
            <w:tcBorders>
              <w:top w:val="nil"/>
              <w:left w:val="nil"/>
              <w:bottom w:val="single" w:color="auto" w:sz="8" w:space="0"/>
              <w:right w:val="single" w:color="auto" w:sz="8" w:space="0"/>
            </w:tcBorders>
            <w:noWrap/>
            <w:vAlign w:val="bottom"/>
          </w:tcPr>
          <w:p>
            <w:pPr>
              <w:widowControl/>
              <w:jc w:val="center"/>
              <w:rPr>
                <w:rFonts w:hint="eastAsia" w:ascii="宋体" w:hAnsi="宋体" w:cs="宋体"/>
                <w:kern w:val="0"/>
                <w:sz w:val="18"/>
                <w:szCs w:val="18"/>
              </w:rPr>
            </w:pPr>
            <w:r>
              <w:rPr>
                <w:rFonts w:hint="eastAsia" w:ascii="宋体" w:hAnsi="宋体" w:cs="宋体"/>
                <w:kern w:val="0"/>
                <w:sz w:val="18"/>
                <w:szCs w:val="18"/>
              </w:rPr>
              <w:t>16</w:t>
            </w:r>
          </w:p>
        </w:tc>
        <w:tc>
          <w:tcPr>
            <w:tcW w:w="1118" w:type="dxa"/>
            <w:tcBorders>
              <w:top w:val="nil"/>
              <w:left w:val="nil"/>
              <w:bottom w:val="single" w:color="auto" w:sz="8" w:space="0"/>
              <w:right w:val="single" w:color="auto" w:sz="8" w:space="0"/>
            </w:tcBorders>
            <w:noWrap/>
            <w:vAlign w:val="bottom"/>
          </w:tcPr>
          <w:p>
            <w:pPr>
              <w:widowControl/>
              <w:jc w:val="center"/>
              <w:rPr>
                <w:rFonts w:hint="eastAsia" w:ascii="宋体" w:hAnsi="宋体" w:cs="宋体"/>
                <w:kern w:val="0"/>
                <w:sz w:val="18"/>
                <w:szCs w:val="18"/>
              </w:rPr>
            </w:pPr>
            <w:r>
              <w:rPr>
                <w:rFonts w:hint="eastAsia" w:ascii="宋体" w:hAnsi="宋体" w:cs="宋体"/>
                <w:kern w:val="0"/>
                <w:sz w:val="18"/>
                <w:szCs w:val="18"/>
              </w:rPr>
              <w:t>0.65</w:t>
            </w:r>
          </w:p>
        </w:tc>
        <w:tc>
          <w:tcPr>
            <w:tcW w:w="1319" w:type="dxa"/>
            <w:tcBorders>
              <w:top w:val="nil"/>
              <w:left w:val="nil"/>
              <w:bottom w:val="single" w:color="auto" w:sz="8" w:space="0"/>
              <w:right w:val="single" w:color="auto" w:sz="8" w:space="0"/>
            </w:tcBorders>
            <w:noWrap/>
            <w:vAlign w:val="bottom"/>
          </w:tcPr>
          <w:p>
            <w:pPr>
              <w:widowControl/>
              <w:jc w:val="center"/>
              <w:rPr>
                <w:rFonts w:hint="eastAsia" w:ascii="宋体" w:hAnsi="宋体" w:cs="宋体"/>
                <w:kern w:val="0"/>
                <w:sz w:val="18"/>
                <w:szCs w:val="18"/>
              </w:rPr>
            </w:pPr>
            <w:r>
              <w:rPr>
                <w:rFonts w:hint="eastAsia" w:ascii="宋体" w:hAnsi="宋体" w:cs="宋体"/>
                <w:kern w:val="0"/>
                <w:sz w:val="18"/>
                <w:szCs w:val="18"/>
              </w:rPr>
              <w:t>16</w:t>
            </w:r>
          </w:p>
        </w:tc>
        <w:tc>
          <w:tcPr>
            <w:tcW w:w="918" w:type="dxa"/>
            <w:tcBorders>
              <w:top w:val="nil"/>
              <w:left w:val="nil"/>
              <w:bottom w:val="single" w:color="auto" w:sz="8" w:space="0"/>
              <w:right w:val="single" w:color="auto" w:sz="8" w:space="0"/>
            </w:tcBorders>
            <w:noWrap/>
            <w:vAlign w:val="bottom"/>
          </w:tcPr>
          <w:p>
            <w:pPr>
              <w:widowControl/>
              <w:jc w:val="center"/>
              <w:rPr>
                <w:rFonts w:hint="eastAsia" w:ascii="宋体" w:hAnsi="宋体" w:cs="宋体"/>
                <w:kern w:val="0"/>
                <w:sz w:val="18"/>
                <w:szCs w:val="18"/>
              </w:rPr>
            </w:pPr>
            <w:r>
              <w:rPr>
                <w:rFonts w:hint="eastAsia" w:ascii="宋体" w:hAnsi="宋体" w:cs="宋体"/>
                <w:kern w:val="0"/>
                <w:sz w:val="18"/>
                <w:szCs w:val="18"/>
              </w:rPr>
              <w:t>0.3</w:t>
            </w:r>
          </w:p>
        </w:tc>
        <w:tc>
          <w:tcPr>
            <w:tcW w:w="1509" w:type="dxa"/>
            <w:tcBorders>
              <w:top w:val="nil"/>
              <w:left w:val="nil"/>
              <w:bottom w:val="single" w:color="auto" w:sz="8" w:space="0"/>
              <w:right w:val="single" w:color="auto" w:sz="8" w:space="0"/>
            </w:tcBorders>
            <w:noWrap/>
            <w:vAlign w:val="bottom"/>
          </w:tcPr>
          <w:p>
            <w:pPr>
              <w:widowControl/>
              <w:jc w:val="center"/>
              <w:rPr>
                <w:rFonts w:hint="eastAsia" w:ascii="宋体" w:hAnsi="宋体" w:cs="宋体"/>
                <w:kern w:val="0"/>
                <w:sz w:val="18"/>
                <w:szCs w:val="18"/>
              </w:rPr>
            </w:pPr>
            <w:r>
              <w:rPr>
                <w:rFonts w:hint="eastAsia" w:ascii="宋体" w:hAnsi="宋体" w:cs="宋体"/>
                <w:kern w:val="0"/>
                <w:sz w:val="18"/>
                <w:szCs w:val="18"/>
              </w:rPr>
              <w:t>26</w:t>
            </w:r>
          </w:p>
        </w:tc>
        <w:tc>
          <w:tcPr>
            <w:tcW w:w="1054" w:type="dxa"/>
            <w:tcBorders>
              <w:top w:val="nil"/>
              <w:left w:val="nil"/>
              <w:bottom w:val="single" w:color="auto" w:sz="8" w:space="0"/>
              <w:right w:val="single" w:color="auto" w:sz="8" w:space="0"/>
            </w:tcBorders>
            <w:noWrap/>
            <w:vAlign w:val="bottom"/>
          </w:tcPr>
          <w:p>
            <w:pPr>
              <w:widowControl/>
              <w:jc w:val="center"/>
              <w:rPr>
                <w:rFonts w:hint="eastAsia" w:ascii="宋体" w:hAnsi="宋体" w:cs="宋体"/>
                <w:kern w:val="0"/>
                <w:sz w:val="18"/>
                <w:szCs w:val="18"/>
              </w:rPr>
            </w:pPr>
            <w:r>
              <w:rPr>
                <w:rFonts w:hint="eastAsia" w:ascii="宋体" w:hAnsi="宋体" w:cs="宋体"/>
                <w:kern w:val="0"/>
                <w:sz w:val="18"/>
                <w:szCs w:val="18"/>
              </w:rPr>
              <w:t>0.15</w:t>
            </w:r>
          </w:p>
        </w:tc>
        <w:tc>
          <w:tcPr>
            <w:tcW w:w="1173" w:type="dxa"/>
            <w:tcBorders>
              <w:top w:val="nil"/>
              <w:left w:val="nil"/>
              <w:bottom w:val="single" w:color="auto" w:sz="8" w:space="0"/>
              <w:right w:val="single" w:color="auto" w:sz="8" w:space="0"/>
            </w:tcBorders>
            <w:noWrap/>
            <w:vAlign w:val="bottom"/>
          </w:tcPr>
          <w:p>
            <w:pPr>
              <w:widowControl/>
              <w:jc w:val="center"/>
              <w:rPr>
                <w:rFonts w:hint="eastAsia" w:ascii="宋体" w:hAnsi="宋体" w:cs="宋体"/>
                <w:kern w:val="0"/>
                <w:sz w:val="18"/>
                <w:szCs w:val="18"/>
              </w:rPr>
            </w:pPr>
            <w:r>
              <w:rPr>
                <w:rFonts w:hint="eastAsia" w:ascii="宋体" w:hAnsi="宋体" w:cs="宋体"/>
                <w:kern w:val="0"/>
                <w:sz w:val="18"/>
                <w:szCs w:val="18"/>
              </w:rPr>
              <w:t>8</w:t>
            </w:r>
          </w:p>
        </w:tc>
        <w:tc>
          <w:tcPr>
            <w:tcW w:w="1146" w:type="dxa"/>
            <w:tcBorders>
              <w:top w:val="nil"/>
              <w:left w:val="nil"/>
              <w:bottom w:val="single" w:color="auto" w:sz="8" w:space="0"/>
              <w:right w:val="single" w:color="auto" w:sz="8" w:space="0"/>
            </w:tcBorders>
            <w:noWrap/>
            <w:vAlign w:val="bottom"/>
          </w:tcPr>
          <w:p>
            <w:pPr>
              <w:widowControl/>
              <w:jc w:val="center"/>
              <w:rPr>
                <w:rFonts w:hint="eastAsia" w:ascii="宋体" w:hAnsi="宋体" w:cs="宋体"/>
                <w:kern w:val="0"/>
                <w:sz w:val="18"/>
                <w:szCs w:val="18"/>
              </w:rPr>
            </w:pPr>
            <w:r>
              <w:rPr>
                <w:rFonts w:hint="eastAsia" w:ascii="宋体" w:hAnsi="宋体" w:cs="宋体"/>
                <w:kern w:val="0"/>
                <w:sz w:val="18"/>
                <w:szCs w:val="18"/>
              </w:rPr>
              <w:t>43</w:t>
            </w:r>
          </w:p>
        </w:tc>
        <w:tc>
          <w:tcPr>
            <w:tcW w:w="1107" w:type="dxa"/>
            <w:tcBorders>
              <w:top w:val="nil"/>
              <w:left w:val="nil"/>
              <w:bottom w:val="single" w:color="auto" w:sz="8" w:space="0"/>
              <w:right w:val="single" w:color="auto" w:sz="8" w:space="0"/>
            </w:tcBorders>
            <w:noWrap/>
            <w:vAlign w:val="bottom"/>
          </w:tcPr>
          <w:p>
            <w:pPr>
              <w:widowControl/>
              <w:jc w:val="center"/>
              <w:rPr>
                <w:rFonts w:hint="eastAsia" w:ascii="宋体" w:hAnsi="宋体" w:cs="宋体"/>
                <w:kern w:val="0"/>
                <w:sz w:val="18"/>
                <w:szCs w:val="18"/>
              </w:rPr>
            </w:pPr>
            <w:r>
              <w:rPr>
                <w:rFonts w:hint="eastAsia" w:ascii="宋体" w:hAnsi="宋体" w:cs="宋体"/>
                <w:kern w:val="0"/>
                <w:sz w:val="18"/>
                <w:szCs w:val="18"/>
              </w:rPr>
              <w:t>≥0.5</w:t>
            </w:r>
          </w:p>
        </w:tc>
      </w:tr>
      <w:tr>
        <w:tblPrEx>
          <w:tblCellMar>
            <w:top w:w="0" w:type="dxa"/>
            <w:left w:w="108" w:type="dxa"/>
            <w:bottom w:w="0" w:type="dxa"/>
            <w:right w:w="108" w:type="dxa"/>
          </w:tblCellMar>
        </w:tblPrEx>
        <w:trPr>
          <w:trHeight w:val="315" w:hRule="atLeast"/>
          <w:jc w:val="center"/>
        </w:trPr>
        <w:tc>
          <w:tcPr>
            <w:tcW w:w="1870" w:type="dxa"/>
            <w:tcBorders>
              <w:top w:val="nil"/>
              <w:left w:val="single" w:color="auto" w:sz="8" w:space="0"/>
              <w:bottom w:val="single" w:color="auto" w:sz="8" w:space="0"/>
              <w:right w:val="single" w:color="auto" w:sz="8" w:space="0"/>
            </w:tcBorders>
          </w:tcPr>
          <w:p>
            <w:pPr>
              <w:widowControl/>
              <w:jc w:val="center"/>
              <w:rPr>
                <w:rFonts w:hint="eastAsia" w:ascii="宋体" w:hAnsi="宋体" w:cs="宋体"/>
                <w:kern w:val="0"/>
                <w:sz w:val="18"/>
                <w:szCs w:val="18"/>
              </w:rPr>
            </w:pPr>
            <w:r>
              <w:rPr>
                <w:rFonts w:hint="eastAsia" w:ascii="宋体" w:hAnsi="宋体" w:cs="宋体"/>
                <w:kern w:val="0"/>
                <w:sz w:val="18"/>
                <w:szCs w:val="18"/>
              </w:rPr>
              <w:t>花柄管</w:t>
            </w:r>
          </w:p>
        </w:tc>
        <w:tc>
          <w:tcPr>
            <w:tcW w:w="2027" w:type="dxa"/>
            <w:tcBorders>
              <w:top w:val="nil"/>
              <w:left w:val="nil"/>
              <w:bottom w:val="single" w:color="auto" w:sz="8" w:space="0"/>
              <w:right w:val="single" w:color="auto" w:sz="8" w:space="0"/>
            </w:tcBorders>
            <w:noWrap/>
            <w:vAlign w:val="bottom"/>
          </w:tcPr>
          <w:p>
            <w:pPr>
              <w:widowControl/>
              <w:jc w:val="center"/>
              <w:rPr>
                <w:rFonts w:hint="eastAsia" w:ascii="宋体" w:hAnsi="宋体" w:cs="宋体"/>
                <w:kern w:val="0"/>
                <w:sz w:val="18"/>
                <w:szCs w:val="18"/>
              </w:rPr>
            </w:pPr>
            <w:r>
              <w:rPr>
                <w:rFonts w:hint="eastAsia" w:ascii="宋体" w:hAnsi="宋体" w:cs="宋体"/>
                <w:kern w:val="0"/>
                <w:sz w:val="18"/>
                <w:szCs w:val="18"/>
              </w:rPr>
              <w:t>16</w:t>
            </w:r>
            <w:r>
              <w:rPr>
                <w:rFonts w:hint="eastAsia" w:ascii="宋体" w:hAnsi="宋体" w:cs="宋体"/>
                <w:kern w:val="0"/>
                <w:sz w:val="18"/>
                <w:szCs w:val="18"/>
              </w:rPr>
              <w:sym w:font="Symbol" w:char="F0B4"/>
            </w:r>
            <w:r>
              <w:rPr>
                <w:rFonts w:hint="eastAsia" w:ascii="宋体" w:hAnsi="宋体" w:cs="宋体"/>
                <w:kern w:val="0"/>
                <w:sz w:val="18"/>
                <w:szCs w:val="18"/>
              </w:rPr>
              <w:t>0.55</w:t>
            </w:r>
            <w:r>
              <w:rPr>
                <w:kern w:val="0"/>
                <w:sz w:val="18"/>
                <w:szCs w:val="18"/>
              </w:rPr>
              <w:t> </w:t>
            </w:r>
          </w:p>
        </w:tc>
        <w:tc>
          <w:tcPr>
            <w:tcW w:w="1127" w:type="dxa"/>
            <w:tcBorders>
              <w:top w:val="nil"/>
              <w:left w:val="nil"/>
              <w:bottom w:val="single" w:color="auto" w:sz="8" w:space="0"/>
              <w:right w:val="single" w:color="auto" w:sz="8" w:space="0"/>
            </w:tcBorders>
            <w:noWrap/>
            <w:vAlign w:val="bottom"/>
          </w:tcPr>
          <w:p>
            <w:pPr>
              <w:widowControl/>
              <w:jc w:val="center"/>
              <w:rPr>
                <w:rFonts w:hint="eastAsia" w:ascii="宋体" w:hAnsi="宋体" w:cs="宋体"/>
                <w:kern w:val="0"/>
                <w:sz w:val="18"/>
                <w:szCs w:val="18"/>
              </w:rPr>
            </w:pPr>
            <w:r>
              <w:rPr>
                <w:rFonts w:hint="eastAsia" w:ascii="宋体" w:hAnsi="宋体" w:cs="宋体"/>
                <w:kern w:val="0"/>
                <w:sz w:val="18"/>
                <w:szCs w:val="18"/>
              </w:rPr>
              <w:t>16</w:t>
            </w:r>
          </w:p>
        </w:tc>
        <w:tc>
          <w:tcPr>
            <w:tcW w:w="1118" w:type="dxa"/>
            <w:tcBorders>
              <w:top w:val="nil"/>
              <w:left w:val="nil"/>
              <w:bottom w:val="single" w:color="auto" w:sz="8" w:space="0"/>
              <w:right w:val="single" w:color="auto" w:sz="8" w:space="0"/>
            </w:tcBorders>
            <w:noWrap/>
            <w:vAlign w:val="bottom"/>
          </w:tcPr>
          <w:p>
            <w:pPr>
              <w:widowControl/>
              <w:jc w:val="center"/>
              <w:rPr>
                <w:rFonts w:hint="eastAsia" w:ascii="宋体" w:hAnsi="宋体" w:cs="宋体"/>
                <w:kern w:val="0"/>
                <w:sz w:val="18"/>
                <w:szCs w:val="18"/>
              </w:rPr>
            </w:pPr>
            <w:r>
              <w:rPr>
                <w:rFonts w:hint="eastAsia" w:ascii="宋体" w:hAnsi="宋体" w:cs="宋体"/>
                <w:kern w:val="0"/>
                <w:sz w:val="18"/>
                <w:szCs w:val="18"/>
              </w:rPr>
              <w:t>0.55</w:t>
            </w:r>
          </w:p>
        </w:tc>
        <w:tc>
          <w:tcPr>
            <w:tcW w:w="1319" w:type="dxa"/>
            <w:tcBorders>
              <w:top w:val="nil"/>
              <w:left w:val="nil"/>
              <w:bottom w:val="single" w:color="auto" w:sz="8" w:space="0"/>
              <w:right w:val="single" w:color="auto" w:sz="8" w:space="0"/>
            </w:tcBorders>
            <w:noWrap/>
            <w:vAlign w:val="bottom"/>
          </w:tcPr>
          <w:p>
            <w:pPr>
              <w:widowControl/>
              <w:jc w:val="center"/>
              <w:rPr>
                <w:rFonts w:hint="eastAsia" w:ascii="宋体" w:hAnsi="宋体" w:cs="宋体"/>
                <w:kern w:val="0"/>
                <w:sz w:val="18"/>
                <w:szCs w:val="18"/>
              </w:rPr>
            </w:pPr>
            <w:r>
              <w:rPr>
                <w:rFonts w:hint="eastAsia" w:ascii="宋体" w:hAnsi="宋体" w:cs="宋体"/>
                <w:kern w:val="0"/>
                <w:sz w:val="18"/>
                <w:szCs w:val="18"/>
              </w:rPr>
              <w:t>16</w:t>
            </w:r>
          </w:p>
        </w:tc>
        <w:tc>
          <w:tcPr>
            <w:tcW w:w="918" w:type="dxa"/>
            <w:tcBorders>
              <w:top w:val="nil"/>
              <w:left w:val="nil"/>
              <w:bottom w:val="single" w:color="auto" w:sz="8" w:space="0"/>
              <w:right w:val="single" w:color="auto" w:sz="8" w:space="0"/>
            </w:tcBorders>
            <w:noWrap/>
            <w:vAlign w:val="bottom"/>
          </w:tcPr>
          <w:p>
            <w:pPr>
              <w:widowControl/>
              <w:jc w:val="center"/>
              <w:rPr>
                <w:rFonts w:hint="eastAsia" w:ascii="宋体" w:hAnsi="宋体" w:cs="宋体"/>
                <w:kern w:val="0"/>
                <w:sz w:val="18"/>
                <w:szCs w:val="18"/>
              </w:rPr>
            </w:pPr>
            <w:r>
              <w:rPr>
                <w:rFonts w:hint="eastAsia" w:ascii="宋体" w:hAnsi="宋体" w:cs="宋体"/>
                <w:kern w:val="0"/>
                <w:sz w:val="18"/>
                <w:szCs w:val="18"/>
              </w:rPr>
              <w:t>—</w:t>
            </w:r>
          </w:p>
        </w:tc>
        <w:tc>
          <w:tcPr>
            <w:tcW w:w="1509" w:type="dxa"/>
            <w:tcBorders>
              <w:top w:val="nil"/>
              <w:left w:val="nil"/>
              <w:bottom w:val="single" w:color="auto" w:sz="8" w:space="0"/>
              <w:right w:val="single" w:color="auto" w:sz="8" w:space="0"/>
            </w:tcBorders>
            <w:noWrap/>
            <w:vAlign w:val="bottom"/>
          </w:tcPr>
          <w:p>
            <w:pPr>
              <w:widowControl/>
              <w:jc w:val="center"/>
              <w:rPr>
                <w:rFonts w:hint="eastAsia" w:ascii="宋体" w:hAnsi="宋体" w:cs="宋体"/>
                <w:kern w:val="0"/>
                <w:sz w:val="18"/>
                <w:szCs w:val="18"/>
              </w:rPr>
            </w:pPr>
            <w:r>
              <w:rPr>
                <w:rFonts w:hint="eastAsia" w:ascii="宋体" w:hAnsi="宋体" w:cs="宋体"/>
                <w:kern w:val="0"/>
                <w:sz w:val="18"/>
                <w:szCs w:val="18"/>
              </w:rPr>
              <w:t>—</w:t>
            </w:r>
          </w:p>
        </w:tc>
        <w:tc>
          <w:tcPr>
            <w:tcW w:w="1054" w:type="dxa"/>
            <w:tcBorders>
              <w:top w:val="nil"/>
              <w:left w:val="nil"/>
              <w:bottom w:val="single" w:color="auto" w:sz="8" w:space="0"/>
              <w:right w:val="single" w:color="auto" w:sz="8" w:space="0"/>
            </w:tcBorders>
            <w:noWrap/>
            <w:vAlign w:val="bottom"/>
          </w:tcPr>
          <w:p>
            <w:pPr>
              <w:widowControl/>
              <w:jc w:val="center"/>
              <w:rPr>
                <w:rFonts w:hint="eastAsia" w:ascii="宋体" w:hAnsi="宋体" w:cs="宋体"/>
                <w:kern w:val="0"/>
                <w:sz w:val="18"/>
                <w:szCs w:val="18"/>
              </w:rPr>
            </w:pPr>
            <w:r>
              <w:rPr>
                <w:rFonts w:hint="eastAsia" w:ascii="宋体" w:hAnsi="宋体" w:cs="宋体"/>
                <w:kern w:val="0"/>
                <w:sz w:val="18"/>
                <w:szCs w:val="18"/>
              </w:rPr>
              <w:t>—</w:t>
            </w:r>
          </w:p>
        </w:tc>
        <w:tc>
          <w:tcPr>
            <w:tcW w:w="1173" w:type="dxa"/>
            <w:tcBorders>
              <w:top w:val="nil"/>
              <w:left w:val="nil"/>
              <w:bottom w:val="single" w:color="auto" w:sz="8" w:space="0"/>
              <w:right w:val="single" w:color="auto" w:sz="8" w:space="0"/>
            </w:tcBorders>
            <w:noWrap/>
            <w:vAlign w:val="bottom"/>
          </w:tcPr>
          <w:p>
            <w:pPr>
              <w:widowControl/>
              <w:jc w:val="center"/>
              <w:rPr>
                <w:rFonts w:hint="eastAsia" w:ascii="宋体" w:hAnsi="宋体" w:cs="宋体"/>
                <w:kern w:val="0"/>
                <w:sz w:val="18"/>
                <w:szCs w:val="18"/>
              </w:rPr>
            </w:pPr>
            <w:r>
              <w:rPr>
                <w:rFonts w:hint="eastAsia" w:ascii="宋体" w:hAnsi="宋体" w:cs="宋体"/>
                <w:kern w:val="0"/>
                <w:sz w:val="18"/>
                <w:szCs w:val="18"/>
              </w:rPr>
              <w:t>—</w:t>
            </w:r>
          </w:p>
        </w:tc>
        <w:tc>
          <w:tcPr>
            <w:tcW w:w="1146" w:type="dxa"/>
            <w:tcBorders>
              <w:top w:val="nil"/>
              <w:left w:val="nil"/>
              <w:bottom w:val="single" w:color="auto" w:sz="8" w:space="0"/>
              <w:right w:val="single" w:color="auto" w:sz="8" w:space="0"/>
            </w:tcBorders>
            <w:noWrap/>
            <w:vAlign w:val="bottom"/>
          </w:tcPr>
          <w:p>
            <w:pPr>
              <w:widowControl/>
              <w:jc w:val="center"/>
              <w:rPr>
                <w:rFonts w:hint="eastAsia" w:ascii="宋体" w:hAnsi="宋体" w:cs="宋体"/>
                <w:kern w:val="0"/>
                <w:sz w:val="18"/>
                <w:szCs w:val="18"/>
              </w:rPr>
            </w:pPr>
            <w:r>
              <w:rPr>
                <w:rFonts w:hint="eastAsia" w:ascii="宋体" w:hAnsi="宋体" w:cs="宋体"/>
                <w:kern w:val="0"/>
                <w:sz w:val="18"/>
                <w:szCs w:val="18"/>
              </w:rPr>
              <w:t>—</w:t>
            </w:r>
          </w:p>
        </w:tc>
        <w:tc>
          <w:tcPr>
            <w:tcW w:w="1107" w:type="dxa"/>
            <w:tcBorders>
              <w:top w:val="nil"/>
              <w:left w:val="nil"/>
              <w:bottom w:val="single" w:color="auto" w:sz="8" w:space="0"/>
              <w:right w:val="single" w:color="auto" w:sz="8" w:space="0"/>
            </w:tcBorders>
            <w:noWrap/>
            <w:vAlign w:val="bottom"/>
          </w:tcPr>
          <w:p>
            <w:pPr>
              <w:widowControl/>
              <w:jc w:val="center"/>
              <w:rPr>
                <w:rFonts w:hint="eastAsia" w:ascii="宋体" w:hAnsi="宋体" w:cs="宋体"/>
                <w:kern w:val="0"/>
                <w:sz w:val="18"/>
                <w:szCs w:val="18"/>
              </w:rPr>
            </w:pPr>
            <w:r>
              <w:rPr>
                <w:rFonts w:hint="eastAsia" w:ascii="宋体" w:hAnsi="宋体" w:cs="宋体"/>
                <w:kern w:val="0"/>
                <w:sz w:val="18"/>
                <w:szCs w:val="18"/>
              </w:rPr>
              <w:t>≥0.5</w:t>
            </w:r>
          </w:p>
        </w:tc>
      </w:tr>
      <w:tr>
        <w:tblPrEx>
          <w:tblCellMar>
            <w:top w:w="0" w:type="dxa"/>
            <w:left w:w="108" w:type="dxa"/>
            <w:bottom w:w="0" w:type="dxa"/>
            <w:right w:w="108" w:type="dxa"/>
          </w:tblCellMar>
        </w:tblPrEx>
        <w:trPr>
          <w:trHeight w:val="300" w:hRule="atLeast"/>
          <w:jc w:val="center"/>
        </w:trPr>
        <w:tc>
          <w:tcPr>
            <w:tcW w:w="1870" w:type="dxa"/>
            <w:tcBorders>
              <w:top w:val="nil"/>
              <w:left w:val="single" w:color="auto" w:sz="8" w:space="0"/>
              <w:bottom w:val="single" w:color="auto" w:sz="8" w:space="0"/>
              <w:right w:val="single" w:color="auto" w:sz="8" w:space="0"/>
            </w:tcBorders>
          </w:tcPr>
          <w:p>
            <w:pPr>
              <w:widowControl/>
              <w:jc w:val="center"/>
              <w:rPr>
                <w:rFonts w:hint="eastAsia" w:ascii="宋体" w:hAnsi="宋体" w:cs="宋体"/>
                <w:kern w:val="0"/>
                <w:sz w:val="18"/>
                <w:szCs w:val="18"/>
              </w:rPr>
            </w:pPr>
            <w:r>
              <w:rPr>
                <w:rFonts w:hint="eastAsia" w:ascii="宋体" w:hAnsi="宋体" w:cs="宋体"/>
                <w:kern w:val="0"/>
                <w:sz w:val="18"/>
                <w:szCs w:val="18"/>
              </w:rPr>
              <w:t>轧丝管</w:t>
            </w:r>
          </w:p>
        </w:tc>
        <w:tc>
          <w:tcPr>
            <w:tcW w:w="2027" w:type="dxa"/>
            <w:tcBorders>
              <w:top w:val="nil"/>
              <w:left w:val="nil"/>
              <w:bottom w:val="single" w:color="auto" w:sz="8" w:space="0"/>
              <w:right w:val="single" w:color="auto" w:sz="8" w:space="0"/>
            </w:tcBorders>
            <w:noWrap/>
            <w:vAlign w:val="bottom"/>
          </w:tcPr>
          <w:p>
            <w:pPr>
              <w:widowControl/>
              <w:jc w:val="center"/>
              <w:rPr>
                <w:rFonts w:hint="eastAsia" w:ascii="宋体" w:hAnsi="宋体" w:cs="宋体"/>
                <w:kern w:val="0"/>
                <w:sz w:val="18"/>
                <w:szCs w:val="18"/>
              </w:rPr>
            </w:pPr>
            <w:r>
              <w:rPr>
                <w:rFonts w:hint="eastAsia" w:ascii="宋体" w:hAnsi="宋体" w:cs="宋体"/>
                <w:kern w:val="0"/>
                <w:sz w:val="18"/>
                <w:szCs w:val="18"/>
              </w:rPr>
              <w:t>19.05</w:t>
            </w:r>
            <w:r>
              <w:rPr>
                <w:rFonts w:hint="eastAsia" w:ascii="宋体" w:hAnsi="宋体" w:cs="宋体"/>
                <w:kern w:val="0"/>
                <w:sz w:val="18"/>
                <w:szCs w:val="18"/>
              </w:rPr>
              <w:sym w:font="Symbol" w:char="F0B4"/>
            </w:r>
            <w:r>
              <w:rPr>
                <w:rFonts w:hint="eastAsia" w:ascii="宋体" w:hAnsi="宋体" w:cs="宋体"/>
                <w:kern w:val="0"/>
                <w:sz w:val="18"/>
                <w:szCs w:val="18"/>
              </w:rPr>
              <w:t>1.15</w:t>
            </w:r>
          </w:p>
        </w:tc>
        <w:tc>
          <w:tcPr>
            <w:tcW w:w="1127" w:type="dxa"/>
            <w:tcBorders>
              <w:top w:val="nil"/>
              <w:left w:val="nil"/>
              <w:bottom w:val="single" w:color="auto" w:sz="8" w:space="0"/>
              <w:right w:val="single" w:color="auto" w:sz="8" w:space="0"/>
            </w:tcBorders>
            <w:noWrap/>
            <w:vAlign w:val="bottom"/>
          </w:tcPr>
          <w:p>
            <w:pPr>
              <w:widowControl/>
              <w:jc w:val="center"/>
              <w:rPr>
                <w:rFonts w:hint="eastAsia" w:ascii="宋体" w:hAnsi="宋体" w:cs="宋体"/>
                <w:kern w:val="0"/>
                <w:sz w:val="18"/>
                <w:szCs w:val="18"/>
              </w:rPr>
            </w:pPr>
            <w:r>
              <w:rPr>
                <w:rFonts w:hint="eastAsia" w:ascii="宋体" w:hAnsi="宋体" w:cs="宋体"/>
                <w:kern w:val="0"/>
                <w:sz w:val="18"/>
                <w:szCs w:val="18"/>
              </w:rPr>
              <w:t>19.05</w:t>
            </w:r>
          </w:p>
        </w:tc>
        <w:tc>
          <w:tcPr>
            <w:tcW w:w="1118" w:type="dxa"/>
            <w:tcBorders>
              <w:top w:val="nil"/>
              <w:left w:val="nil"/>
              <w:bottom w:val="single" w:color="auto" w:sz="8" w:space="0"/>
              <w:right w:val="single" w:color="auto" w:sz="8" w:space="0"/>
            </w:tcBorders>
            <w:noWrap/>
            <w:vAlign w:val="bottom"/>
          </w:tcPr>
          <w:p>
            <w:pPr>
              <w:widowControl/>
              <w:jc w:val="center"/>
              <w:rPr>
                <w:rFonts w:hint="eastAsia" w:ascii="宋体" w:hAnsi="宋体" w:cs="宋体"/>
                <w:kern w:val="0"/>
                <w:sz w:val="18"/>
                <w:szCs w:val="18"/>
              </w:rPr>
            </w:pPr>
            <w:r>
              <w:rPr>
                <w:rFonts w:hint="eastAsia" w:ascii="宋体" w:hAnsi="宋体" w:cs="宋体"/>
                <w:kern w:val="0"/>
                <w:sz w:val="18"/>
                <w:szCs w:val="18"/>
              </w:rPr>
              <w:t>1.15</w:t>
            </w:r>
          </w:p>
        </w:tc>
        <w:tc>
          <w:tcPr>
            <w:tcW w:w="1319" w:type="dxa"/>
            <w:tcBorders>
              <w:top w:val="nil"/>
              <w:left w:val="nil"/>
              <w:bottom w:val="single" w:color="auto" w:sz="8" w:space="0"/>
              <w:right w:val="single" w:color="auto" w:sz="8" w:space="0"/>
            </w:tcBorders>
            <w:noWrap/>
            <w:vAlign w:val="bottom"/>
          </w:tcPr>
          <w:p>
            <w:pPr>
              <w:widowControl/>
              <w:jc w:val="center"/>
              <w:rPr>
                <w:rFonts w:hint="eastAsia" w:ascii="宋体" w:hAnsi="宋体" w:cs="宋体"/>
                <w:kern w:val="0"/>
                <w:sz w:val="18"/>
                <w:szCs w:val="18"/>
              </w:rPr>
            </w:pPr>
            <w:r>
              <w:rPr>
                <w:rFonts w:hint="eastAsia" w:ascii="宋体" w:hAnsi="宋体" w:cs="宋体"/>
                <w:kern w:val="0"/>
                <w:sz w:val="18"/>
                <w:szCs w:val="18"/>
              </w:rPr>
              <w:t>19.05</w:t>
            </w:r>
          </w:p>
        </w:tc>
        <w:tc>
          <w:tcPr>
            <w:tcW w:w="918" w:type="dxa"/>
            <w:tcBorders>
              <w:top w:val="nil"/>
              <w:left w:val="nil"/>
              <w:bottom w:val="single" w:color="auto" w:sz="8" w:space="0"/>
              <w:right w:val="single" w:color="auto" w:sz="8" w:space="0"/>
            </w:tcBorders>
            <w:noWrap/>
            <w:vAlign w:val="bottom"/>
          </w:tcPr>
          <w:p>
            <w:pPr>
              <w:widowControl/>
              <w:jc w:val="center"/>
              <w:rPr>
                <w:rFonts w:hint="eastAsia" w:ascii="宋体" w:hAnsi="宋体" w:cs="宋体"/>
                <w:kern w:val="0"/>
                <w:sz w:val="18"/>
                <w:szCs w:val="18"/>
              </w:rPr>
            </w:pPr>
            <w:r>
              <w:rPr>
                <w:rFonts w:hint="eastAsia" w:ascii="宋体" w:hAnsi="宋体" w:cs="宋体"/>
                <w:kern w:val="0"/>
                <w:sz w:val="18"/>
                <w:szCs w:val="18"/>
              </w:rPr>
              <w:t>1.45</w:t>
            </w:r>
          </w:p>
        </w:tc>
        <w:tc>
          <w:tcPr>
            <w:tcW w:w="1509" w:type="dxa"/>
            <w:tcBorders>
              <w:top w:val="nil"/>
              <w:left w:val="nil"/>
              <w:bottom w:val="single" w:color="auto" w:sz="8" w:space="0"/>
              <w:right w:val="single" w:color="auto" w:sz="8" w:space="0"/>
            </w:tcBorders>
            <w:noWrap/>
            <w:vAlign w:val="bottom"/>
          </w:tcPr>
          <w:p>
            <w:pPr>
              <w:widowControl/>
              <w:jc w:val="center"/>
              <w:rPr>
                <w:rFonts w:hint="eastAsia" w:ascii="宋体" w:hAnsi="宋体" w:cs="宋体"/>
                <w:kern w:val="0"/>
                <w:sz w:val="18"/>
                <w:szCs w:val="18"/>
              </w:rPr>
            </w:pPr>
            <w:r>
              <w:rPr>
                <w:rFonts w:hint="eastAsia" w:ascii="宋体" w:hAnsi="宋体" w:cs="宋体"/>
                <w:kern w:val="0"/>
                <w:sz w:val="18"/>
                <w:szCs w:val="18"/>
              </w:rPr>
              <w:t>26</w:t>
            </w:r>
          </w:p>
        </w:tc>
        <w:tc>
          <w:tcPr>
            <w:tcW w:w="1054" w:type="dxa"/>
            <w:tcBorders>
              <w:top w:val="nil"/>
              <w:left w:val="nil"/>
              <w:bottom w:val="single" w:color="auto" w:sz="8" w:space="0"/>
              <w:right w:val="single" w:color="auto" w:sz="8" w:space="0"/>
            </w:tcBorders>
            <w:noWrap/>
            <w:vAlign w:val="bottom"/>
          </w:tcPr>
          <w:p>
            <w:pPr>
              <w:widowControl/>
              <w:jc w:val="center"/>
              <w:rPr>
                <w:rFonts w:hint="eastAsia" w:ascii="宋体" w:hAnsi="宋体" w:cs="宋体"/>
                <w:kern w:val="0"/>
                <w:sz w:val="18"/>
                <w:szCs w:val="18"/>
              </w:rPr>
            </w:pPr>
            <w:r>
              <w:rPr>
                <w:rFonts w:hint="eastAsia" w:ascii="宋体" w:hAnsi="宋体" w:cs="宋体"/>
                <w:kern w:val="0"/>
                <w:sz w:val="18"/>
                <w:szCs w:val="18"/>
              </w:rPr>
              <w:t>—</w:t>
            </w:r>
          </w:p>
        </w:tc>
        <w:tc>
          <w:tcPr>
            <w:tcW w:w="1173" w:type="dxa"/>
            <w:tcBorders>
              <w:top w:val="nil"/>
              <w:left w:val="nil"/>
              <w:bottom w:val="single" w:color="auto" w:sz="8" w:space="0"/>
              <w:right w:val="single" w:color="auto" w:sz="8" w:space="0"/>
            </w:tcBorders>
            <w:noWrap/>
            <w:vAlign w:val="bottom"/>
          </w:tcPr>
          <w:p>
            <w:pPr>
              <w:widowControl/>
              <w:jc w:val="center"/>
              <w:rPr>
                <w:rFonts w:hint="eastAsia" w:ascii="宋体" w:hAnsi="宋体" w:cs="宋体"/>
                <w:kern w:val="0"/>
                <w:sz w:val="18"/>
                <w:szCs w:val="18"/>
              </w:rPr>
            </w:pPr>
            <w:r>
              <w:rPr>
                <w:rFonts w:hint="eastAsia" w:ascii="宋体" w:hAnsi="宋体" w:cs="宋体"/>
                <w:kern w:val="0"/>
                <w:sz w:val="18"/>
                <w:szCs w:val="18"/>
              </w:rPr>
              <w:t>—</w:t>
            </w:r>
          </w:p>
        </w:tc>
        <w:tc>
          <w:tcPr>
            <w:tcW w:w="1146" w:type="dxa"/>
            <w:tcBorders>
              <w:top w:val="nil"/>
              <w:left w:val="nil"/>
              <w:bottom w:val="single" w:color="auto" w:sz="8" w:space="0"/>
              <w:right w:val="single" w:color="auto" w:sz="8" w:space="0"/>
            </w:tcBorders>
            <w:noWrap/>
            <w:vAlign w:val="bottom"/>
          </w:tcPr>
          <w:p>
            <w:pPr>
              <w:widowControl/>
              <w:jc w:val="center"/>
              <w:rPr>
                <w:rFonts w:hint="eastAsia" w:ascii="宋体" w:hAnsi="宋体" w:cs="宋体"/>
                <w:kern w:val="0"/>
                <w:sz w:val="18"/>
                <w:szCs w:val="18"/>
              </w:rPr>
            </w:pPr>
            <w:r>
              <w:rPr>
                <w:rFonts w:hint="eastAsia" w:ascii="宋体" w:hAnsi="宋体" w:cs="宋体"/>
                <w:kern w:val="0"/>
                <w:sz w:val="18"/>
                <w:szCs w:val="18"/>
              </w:rPr>
              <w:t>—</w:t>
            </w:r>
          </w:p>
        </w:tc>
        <w:tc>
          <w:tcPr>
            <w:tcW w:w="1107" w:type="dxa"/>
            <w:tcBorders>
              <w:top w:val="nil"/>
              <w:left w:val="nil"/>
              <w:bottom w:val="single" w:color="auto" w:sz="8" w:space="0"/>
              <w:right w:val="single" w:color="auto" w:sz="8" w:space="0"/>
            </w:tcBorders>
            <w:noWrap/>
            <w:vAlign w:val="bottom"/>
          </w:tcPr>
          <w:p>
            <w:pPr>
              <w:widowControl/>
              <w:jc w:val="center"/>
              <w:rPr>
                <w:rFonts w:hint="eastAsia" w:ascii="宋体" w:hAnsi="宋体" w:cs="宋体"/>
                <w:kern w:val="0"/>
                <w:sz w:val="18"/>
                <w:szCs w:val="18"/>
              </w:rPr>
            </w:pPr>
            <w:r>
              <w:rPr>
                <w:rFonts w:hint="eastAsia" w:ascii="宋体" w:hAnsi="宋体" w:cs="宋体"/>
                <w:kern w:val="0"/>
                <w:sz w:val="18"/>
                <w:szCs w:val="18"/>
              </w:rPr>
              <w:t>≥0.55</w:t>
            </w:r>
          </w:p>
        </w:tc>
      </w:tr>
      <w:tr>
        <w:tblPrEx>
          <w:tblCellMar>
            <w:top w:w="0" w:type="dxa"/>
            <w:left w:w="108" w:type="dxa"/>
            <w:bottom w:w="0" w:type="dxa"/>
            <w:right w:w="108" w:type="dxa"/>
          </w:tblCellMar>
        </w:tblPrEx>
        <w:trPr>
          <w:trHeight w:val="315" w:hRule="atLeast"/>
          <w:jc w:val="center"/>
        </w:trPr>
        <w:tc>
          <w:tcPr>
            <w:tcW w:w="1870" w:type="dxa"/>
            <w:tcBorders>
              <w:top w:val="nil"/>
              <w:left w:val="single" w:color="auto" w:sz="8" w:space="0"/>
              <w:bottom w:val="single" w:color="auto" w:sz="8" w:space="0"/>
              <w:right w:val="single" w:color="auto" w:sz="8" w:space="0"/>
            </w:tcBorders>
          </w:tcPr>
          <w:p>
            <w:pPr>
              <w:widowControl/>
              <w:jc w:val="center"/>
              <w:rPr>
                <w:rFonts w:hint="eastAsia" w:ascii="宋体" w:hAnsi="宋体" w:cs="宋体"/>
                <w:kern w:val="0"/>
                <w:sz w:val="18"/>
                <w:szCs w:val="18"/>
              </w:rPr>
            </w:pPr>
            <w:r>
              <w:rPr>
                <w:rFonts w:hint="eastAsia" w:ascii="宋体" w:hAnsi="宋体" w:cs="宋体"/>
                <w:kern w:val="0"/>
                <w:sz w:val="18"/>
                <w:szCs w:val="18"/>
              </w:rPr>
              <w:t>波纹管</w:t>
            </w:r>
          </w:p>
        </w:tc>
        <w:tc>
          <w:tcPr>
            <w:tcW w:w="2027" w:type="dxa"/>
            <w:tcBorders>
              <w:top w:val="nil"/>
              <w:left w:val="nil"/>
              <w:bottom w:val="single" w:color="auto" w:sz="8" w:space="0"/>
              <w:right w:val="single" w:color="auto" w:sz="8" w:space="0"/>
            </w:tcBorders>
            <w:noWrap/>
            <w:vAlign w:val="bottom"/>
          </w:tcPr>
          <w:p>
            <w:pPr>
              <w:widowControl/>
              <w:jc w:val="center"/>
              <w:rPr>
                <w:rFonts w:hint="eastAsia" w:ascii="宋体" w:hAnsi="宋体" w:cs="宋体"/>
                <w:kern w:val="0"/>
                <w:sz w:val="18"/>
                <w:szCs w:val="18"/>
              </w:rPr>
            </w:pPr>
            <w:r>
              <w:rPr>
                <w:rFonts w:hint="eastAsia" w:ascii="宋体" w:hAnsi="宋体" w:cs="宋体"/>
                <w:kern w:val="0"/>
                <w:sz w:val="18"/>
                <w:szCs w:val="18"/>
              </w:rPr>
              <w:t>15.88</w:t>
            </w:r>
            <w:r>
              <w:rPr>
                <w:rFonts w:hint="eastAsia" w:ascii="宋体" w:hAnsi="宋体" w:cs="宋体"/>
                <w:kern w:val="0"/>
                <w:sz w:val="18"/>
                <w:szCs w:val="18"/>
              </w:rPr>
              <w:sym w:font="Symbol" w:char="F0B4"/>
            </w:r>
            <w:r>
              <w:rPr>
                <w:rFonts w:hint="eastAsia" w:ascii="宋体" w:hAnsi="宋体" w:cs="宋体"/>
                <w:kern w:val="0"/>
                <w:sz w:val="18"/>
                <w:szCs w:val="18"/>
              </w:rPr>
              <w:t>0.8</w:t>
            </w:r>
            <w:r>
              <w:rPr>
                <w:kern w:val="0"/>
                <w:sz w:val="18"/>
                <w:szCs w:val="18"/>
              </w:rPr>
              <w:t> </w:t>
            </w:r>
          </w:p>
        </w:tc>
        <w:tc>
          <w:tcPr>
            <w:tcW w:w="1127" w:type="dxa"/>
            <w:tcBorders>
              <w:top w:val="nil"/>
              <w:left w:val="nil"/>
              <w:bottom w:val="single" w:color="auto" w:sz="8" w:space="0"/>
              <w:right w:val="single" w:color="auto" w:sz="8" w:space="0"/>
            </w:tcBorders>
            <w:noWrap/>
            <w:vAlign w:val="bottom"/>
          </w:tcPr>
          <w:p>
            <w:pPr>
              <w:widowControl/>
              <w:jc w:val="center"/>
              <w:rPr>
                <w:rFonts w:hint="eastAsia" w:ascii="宋体" w:hAnsi="宋体" w:cs="宋体"/>
                <w:kern w:val="0"/>
                <w:sz w:val="18"/>
                <w:szCs w:val="18"/>
              </w:rPr>
            </w:pPr>
            <w:r>
              <w:rPr>
                <w:rFonts w:hint="eastAsia" w:ascii="宋体" w:hAnsi="宋体" w:cs="宋体"/>
                <w:kern w:val="0"/>
                <w:sz w:val="18"/>
                <w:szCs w:val="18"/>
              </w:rPr>
              <w:t>15.88</w:t>
            </w:r>
          </w:p>
        </w:tc>
        <w:tc>
          <w:tcPr>
            <w:tcW w:w="1118" w:type="dxa"/>
            <w:tcBorders>
              <w:top w:val="nil"/>
              <w:left w:val="nil"/>
              <w:bottom w:val="single" w:color="auto" w:sz="8" w:space="0"/>
              <w:right w:val="single" w:color="auto" w:sz="8" w:space="0"/>
            </w:tcBorders>
            <w:noWrap/>
            <w:vAlign w:val="bottom"/>
          </w:tcPr>
          <w:p>
            <w:pPr>
              <w:widowControl/>
              <w:jc w:val="center"/>
              <w:rPr>
                <w:rFonts w:hint="eastAsia" w:ascii="宋体" w:hAnsi="宋体" w:cs="宋体"/>
                <w:kern w:val="0"/>
                <w:sz w:val="18"/>
                <w:szCs w:val="18"/>
              </w:rPr>
            </w:pPr>
            <w:r>
              <w:rPr>
                <w:rFonts w:hint="eastAsia" w:ascii="宋体" w:hAnsi="宋体" w:cs="宋体"/>
                <w:kern w:val="0"/>
                <w:sz w:val="18"/>
                <w:szCs w:val="18"/>
              </w:rPr>
              <w:t>0.8</w:t>
            </w:r>
          </w:p>
        </w:tc>
        <w:tc>
          <w:tcPr>
            <w:tcW w:w="1319" w:type="dxa"/>
            <w:tcBorders>
              <w:top w:val="nil"/>
              <w:left w:val="nil"/>
              <w:bottom w:val="single" w:color="auto" w:sz="8" w:space="0"/>
              <w:right w:val="single" w:color="auto" w:sz="8" w:space="0"/>
            </w:tcBorders>
            <w:noWrap/>
            <w:vAlign w:val="bottom"/>
          </w:tcPr>
          <w:p>
            <w:pPr>
              <w:widowControl/>
              <w:jc w:val="center"/>
              <w:rPr>
                <w:rFonts w:hint="eastAsia" w:ascii="宋体" w:hAnsi="宋体" w:cs="宋体"/>
                <w:kern w:val="0"/>
                <w:sz w:val="18"/>
                <w:szCs w:val="18"/>
              </w:rPr>
            </w:pPr>
            <w:r>
              <w:rPr>
                <w:rFonts w:hint="eastAsia" w:ascii="宋体" w:hAnsi="宋体" w:cs="宋体"/>
                <w:kern w:val="0"/>
                <w:sz w:val="18"/>
                <w:szCs w:val="18"/>
              </w:rPr>
              <w:t>15.88</w:t>
            </w:r>
          </w:p>
        </w:tc>
        <w:tc>
          <w:tcPr>
            <w:tcW w:w="918" w:type="dxa"/>
            <w:tcBorders>
              <w:top w:val="nil"/>
              <w:left w:val="nil"/>
              <w:bottom w:val="single" w:color="auto" w:sz="8" w:space="0"/>
              <w:right w:val="single" w:color="auto" w:sz="8" w:space="0"/>
            </w:tcBorders>
            <w:noWrap/>
            <w:vAlign w:val="bottom"/>
          </w:tcPr>
          <w:p>
            <w:pPr>
              <w:widowControl/>
              <w:jc w:val="center"/>
              <w:rPr>
                <w:rFonts w:hint="eastAsia" w:ascii="宋体" w:hAnsi="宋体" w:cs="宋体"/>
                <w:kern w:val="0"/>
                <w:sz w:val="18"/>
                <w:szCs w:val="18"/>
              </w:rPr>
            </w:pPr>
            <w:r>
              <w:rPr>
                <w:rFonts w:hint="eastAsia" w:ascii="宋体" w:hAnsi="宋体" w:cs="宋体"/>
                <w:kern w:val="0"/>
                <w:sz w:val="18"/>
                <w:szCs w:val="18"/>
              </w:rPr>
              <w:t>—</w:t>
            </w:r>
          </w:p>
        </w:tc>
        <w:tc>
          <w:tcPr>
            <w:tcW w:w="1509" w:type="dxa"/>
            <w:tcBorders>
              <w:top w:val="nil"/>
              <w:left w:val="nil"/>
              <w:bottom w:val="single" w:color="auto" w:sz="8" w:space="0"/>
              <w:right w:val="single" w:color="auto" w:sz="8" w:space="0"/>
            </w:tcBorders>
            <w:noWrap/>
            <w:vAlign w:val="bottom"/>
          </w:tcPr>
          <w:p>
            <w:pPr>
              <w:widowControl/>
              <w:jc w:val="center"/>
              <w:rPr>
                <w:rFonts w:hint="eastAsia" w:ascii="宋体" w:hAnsi="宋体" w:cs="宋体"/>
                <w:kern w:val="0"/>
                <w:sz w:val="18"/>
                <w:szCs w:val="18"/>
              </w:rPr>
            </w:pPr>
            <w:r>
              <w:rPr>
                <w:rFonts w:hint="eastAsia" w:ascii="宋体" w:hAnsi="宋体" w:cs="宋体"/>
                <w:kern w:val="0"/>
                <w:sz w:val="18"/>
                <w:szCs w:val="18"/>
              </w:rPr>
              <w:t>—</w:t>
            </w:r>
          </w:p>
        </w:tc>
        <w:tc>
          <w:tcPr>
            <w:tcW w:w="1054" w:type="dxa"/>
            <w:tcBorders>
              <w:top w:val="nil"/>
              <w:left w:val="nil"/>
              <w:bottom w:val="single" w:color="auto" w:sz="8" w:space="0"/>
              <w:right w:val="single" w:color="auto" w:sz="8" w:space="0"/>
            </w:tcBorders>
            <w:noWrap/>
            <w:vAlign w:val="bottom"/>
          </w:tcPr>
          <w:p>
            <w:pPr>
              <w:widowControl/>
              <w:jc w:val="center"/>
              <w:rPr>
                <w:rFonts w:hint="eastAsia" w:ascii="宋体" w:hAnsi="宋体" w:cs="宋体"/>
                <w:kern w:val="0"/>
                <w:sz w:val="18"/>
                <w:szCs w:val="18"/>
              </w:rPr>
            </w:pPr>
            <w:r>
              <w:rPr>
                <w:rFonts w:hint="eastAsia" w:ascii="宋体" w:hAnsi="宋体" w:cs="宋体"/>
                <w:kern w:val="0"/>
                <w:sz w:val="18"/>
                <w:szCs w:val="18"/>
              </w:rPr>
              <w:t>—</w:t>
            </w:r>
          </w:p>
        </w:tc>
        <w:tc>
          <w:tcPr>
            <w:tcW w:w="1173" w:type="dxa"/>
            <w:tcBorders>
              <w:top w:val="nil"/>
              <w:left w:val="nil"/>
              <w:bottom w:val="single" w:color="auto" w:sz="8" w:space="0"/>
              <w:right w:val="single" w:color="auto" w:sz="8" w:space="0"/>
            </w:tcBorders>
            <w:noWrap/>
            <w:vAlign w:val="bottom"/>
          </w:tcPr>
          <w:p>
            <w:pPr>
              <w:widowControl/>
              <w:jc w:val="center"/>
              <w:rPr>
                <w:rFonts w:hint="eastAsia" w:ascii="宋体" w:hAnsi="宋体" w:cs="宋体"/>
                <w:kern w:val="0"/>
                <w:sz w:val="18"/>
                <w:szCs w:val="18"/>
              </w:rPr>
            </w:pPr>
            <w:r>
              <w:rPr>
                <w:rFonts w:hint="eastAsia" w:ascii="宋体" w:hAnsi="宋体" w:cs="宋体"/>
                <w:kern w:val="0"/>
                <w:sz w:val="18"/>
                <w:szCs w:val="18"/>
              </w:rPr>
              <w:t>—</w:t>
            </w:r>
          </w:p>
        </w:tc>
        <w:tc>
          <w:tcPr>
            <w:tcW w:w="1146" w:type="dxa"/>
            <w:tcBorders>
              <w:top w:val="nil"/>
              <w:left w:val="nil"/>
              <w:bottom w:val="single" w:color="auto" w:sz="8" w:space="0"/>
              <w:right w:val="single" w:color="auto" w:sz="8" w:space="0"/>
            </w:tcBorders>
            <w:noWrap/>
            <w:vAlign w:val="bottom"/>
          </w:tcPr>
          <w:p>
            <w:pPr>
              <w:widowControl/>
              <w:jc w:val="center"/>
              <w:rPr>
                <w:rFonts w:hint="eastAsia" w:ascii="宋体" w:hAnsi="宋体" w:cs="宋体"/>
                <w:kern w:val="0"/>
                <w:sz w:val="18"/>
                <w:szCs w:val="18"/>
              </w:rPr>
            </w:pPr>
            <w:r>
              <w:rPr>
                <w:rFonts w:hint="eastAsia" w:ascii="宋体" w:hAnsi="宋体" w:cs="宋体"/>
                <w:kern w:val="0"/>
                <w:sz w:val="18"/>
                <w:szCs w:val="18"/>
              </w:rPr>
              <w:t>—</w:t>
            </w:r>
          </w:p>
        </w:tc>
        <w:tc>
          <w:tcPr>
            <w:tcW w:w="1107" w:type="dxa"/>
            <w:tcBorders>
              <w:top w:val="nil"/>
              <w:left w:val="nil"/>
              <w:bottom w:val="single" w:color="auto" w:sz="8" w:space="0"/>
              <w:right w:val="single" w:color="auto" w:sz="8" w:space="0"/>
            </w:tcBorders>
            <w:noWrap/>
            <w:vAlign w:val="bottom"/>
          </w:tcPr>
          <w:p>
            <w:pPr>
              <w:widowControl/>
              <w:jc w:val="center"/>
              <w:rPr>
                <w:rFonts w:hint="eastAsia" w:ascii="宋体" w:hAnsi="宋体" w:cs="宋体"/>
                <w:kern w:val="0"/>
                <w:sz w:val="18"/>
                <w:szCs w:val="18"/>
              </w:rPr>
            </w:pPr>
            <w:r>
              <w:rPr>
                <w:rFonts w:hint="eastAsia" w:ascii="宋体" w:hAnsi="宋体" w:cs="宋体"/>
                <w:kern w:val="0"/>
                <w:sz w:val="18"/>
                <w:szCs w:val="18"/>
              </w:rPr>
              <w:t>≥0.7</w:t>
            </w:r>
          </w:p>
        </w:tc>
      </w:tr>
      <w:tr>
        <w:tblPrEx>
          <w:tblCellMar>
            <w:top w:w="0" w:type="dxa"/>
            <w:left w:w="108" w:type="dxa"/>
            <w:bottom w:w="0" w:type="dxa"/>
            <w:right w:w="108" w:type="dxa"/>
          </w:tblCellMar>
        </w:tblPrEx>
        <w:trPr>
          <w:trHeight w:val="300" w:hRule="atLeast"/>
          <w:jc w:val="center"/>
        </w:trPr>
        <w:tc>
          <w:tcPr>
            <w:tcW w:w="1870" w:type="dxa"/>
            <w:tcBorders>
              <w:top w:val="nil"/>
              <w:left w:val="single" w:color="auto" w:sz="8" w:space="0"/>
              <w:bottom w:val="single" w:color="auto" w:sz="8" w:space="0"/>
              <w:right w:val="single" w:color="auto" w:sz="8" w:space="0"/>
            </w:tcBorders>
          </w:tcPr>
          <w:p>
            <w:pPr>
              <w:widowControl/>
              <w:jc w:val="center"/>
              <w:rPr>
                <w:rFonts w:hint="eastAsia" w:ascii="宋体" w:hAnsi="宋体" w:cs="宋体"/>
                <w:kern w:val="0"/>
                <w:sz w:val="18"/>
                <w:szCs w:val="18"/>
              </w:rPr>
            </w:pPr>
            <w:r>
              <w:rPr>
                <w:rFonts w:hint="eastAsia" w:ascii="宋体" w:hAnsi="宋体" w:cs="宋体"/>
                <w:kern w:val="0"/>
                <w:sz w:val="18"/>
                <w:szCs w:val="18"/>
              </w:rPr>
              <w:t>干蒸管</w:t>
            </w:r>
          </w:p>
        </w:tc>
        <w:tc>
          <w:tcPr>
            <w:tcW w:w="2027" w:type="dxa"/>
            <w:tcBorders>
              <w:top w:val="nil"/>
              <w:left w:val="nil"/>
              <w:bottom w:val="single" w:color="auto" w:sz="8" w:space="0"/>
              <w:right w:val="single" w:color="auto" w:sz="8" w:space="0"/>
            </w:tcBorders>
            <w:noWrap/>
            <w:vAlign w:val="bottom"/>
          </w:tcPr>
          <w:p>
            <w:pPr>
              <w:widowControl/>
              <w:jc w:val="center"/>
              <w:rPr>
                <w:rFonts w:hint="eastAsia" w:ascii="宋体" w:hAnsi="宋体" w:cs="宋体"/>
                <w:kern w:val="0"/>
                <w:sz w:val="18"/>
                <w:szCs w:val="18"/>
              </w:rPr>
            </w:pPr>
            <w:r>
              <w:rPr>
                <w:rFonts w:hint="eastAsia" w:ascii="宋体" w:hAnsi="宋体" w:cs="宋体"/>
                <w:kern w:val="0"/>
                <w:sz w:val="18"/>
                <w:szCs w:val="18"/>
              </w:rPr>
              <w:t>15.88</w:t>
            </w:r>
            <w:r>
              <w:rPr>
                <w:rFonts w:hint="eastAsia" w:ascii="宋体" w:hAnsi="宋体" w:cs="宋体"/>
                <w:kern w:val="0"/>
                <w:sz w:val="18"/>
                <w:szCs w:val="18"/>
              </w:rPr>
              <w:sym w:font="Symbol" w:char="F0B4"/>
            </w:r>
            <w:r>
              <w:rPr>
                <w:rFonts w:hint="eastAsia" w:ascii="宋体" w:hAnsi="宋体" w:cs="宋体"/>
                <w:kern w:val="0"/>
                <w:sz w:val="18"/>
                <w:szCs w:val="18"/>
              </w:rPr>
              <w:t>0.6</w:t>
            </w:r>
          </w:p>
        </w:tc>
        <w:tc>
          <w:tcPr>
            <w:tcW w:w="1127" w:type="dxa"/>
            <w:tcBorders>
              <w:top w:val="nil"/>
              <w:left w:val="nil"/>
              <w:bottom w:val="single" w:color="auto" w:sz="8" w:space="0"/>
              <w:right w:val="single" w:color="auto" w:sz="8" w:space="0"/>
            </w:tcBorders>
            <w:noWrap/>
            <w:vAlign w:val="bottom"/>
          </w:tcPr>
          <w:p>
            <w:pPr>
              <w:widowControl/>
              <w:jc w:val="center"/>
              <w:rPr>
                <w:rFonts w:hint="eastAsia" w:ascii="宋体" w:hAnsi="宋体" w:cs="宋体"/>
                <w:kern w:val="0"/>
                <w:sz w:val="18"/>
                <w:szCs w:val="18"/>
              </w:rPr>
            </w:pPr>
            <w:r>
              <w:rPr>
                <w:rFonts w:hint="eastAsia" w:ascii="宋体" w:hAnsi="宋体" w:cs="宋体"/>
                <w:kern w:val="0"/>
                <w:sz w:val="18"/>
                <w:szCs w:val="18"/>
              </w:rPr>
              <w:t>15.88</w:t>
            </w:r>
          </w:p>
        </w:tc>
        <w:tc>
          <w:tcPr>
            <w:tcW w:w="1118" w:type="dxa"/>
            <w:tcBorders>
              <w:top w:val="nil"/>
              <w:left w:val="nil"/>
              <w:bottom w:val="single" w:color="auto" w:sz="8" w:space="0"/>
              <w:right w:val="single" w:color="auto" w:sz="8" w:space="0"/>
            </w:tcBorders>
            <w:noWrap/>
            <w:vAlign w:val="bottom"/>
          </w:tcPr>
          <w:p>
            <w:pPr>
              <w:widowControl/>
              <w:jc w:val="center"/>
              <w:rPr>
                <w:rFonts w:hint="eastAsia" w:ascii="宋体" w:hAnsi="宋体" w:cs="宋体"/>
                <w:kern w:val="0"/>
                <w:sz w:val="18"/>
                <w:szCs w:val="18"/>
              </w:rPr>
            </w:pPr>
            <w:r>
              <w:rPr>
                <w:rFonts w:hint="eastAsia" w:ascii="宋体" w:hAnsi="宋体" w:cs="宋体"/>
                <w:kern w:val="0"/>
                <w:sz w:val="18"/>
                <w:szCs w:val="18"/>
              </w:rPr>
              <w:t>0.6</w:t>
            </w:r>
          </w:p>
        </w:tc>
        <w:tc>
          <w:tcPr>
            <w:tcW w:w="1319" w:type="dxa"/>
            <w:tcBorders>
              <w:top w:val="nil"/>
              <w:left w:val="nil"/>
              <w:bottom w:val="single" w:color="auto" w:sz="8" w:space="0"/>
              <w:right w:val="single" w:color="auto" w:sz="8" w:space="0"/>
            </w:tcBorders>
            <w:noWrap/>
            <w:vAlign w:val="bottom"/>
          </w:tcPr>
          <w:p>
            <w:pPr>
              <w:widowControl/>
              <w:jc w:val="center"/>
              <w:rPr>
                <w:rFonts w:hint="eastAsia" w:ascii="宋体" w:hAnsi="宋体" w:cs="宋体"/>
                <w:kern w:val="0"/>
                <w:sz w:val="18"/>
                <w:szCs w:val="18"/>
              </w:rPr>
            </w:pPr>
            <w:r>
              <w:rPr>
                <w:rFonts w:hint="eastAsia" w:ascii="宋体" w:hAnsi="宋体" w:cs="宋体"/>
                <w:kern w:val="0"/>
                <w:sz w:val="18"/>
                <w:szCs w:val="18"/>
              </w:rPr>
              <w:t>15.88</w:t>
            </w:r>
          </w:p>
        </w:tc>
        <w:tc>
          <w:tcPr>
            <w:tcW w:w="918" w:type="dxa"/>
            <w:tcBorders>
              <w:top w:val="nil"/>
              <w:left w:val="nil"/>
              <w:bottom w:val="single" w:color="auto" w:sz="8" w:space="0"/>
              <w:right w:val="single" w:color="auto" w:sz="8" w:space="0"/>
            </w:tcBorders>
            <w:noWrap/>
            <w:vAlign w:val="bottom"/>
          </w:tcPr>
          <w:p>
            <w:pPr>
              <w:widowControl/>
              <w:jc w:val="center"/>
              <w:rPr>
                <w:rFonts w:hint="eastAsia" w:ascii="宋体" w:hAnsi="宋体" w:cs="宋体"/>
                <w:kern w:val="0"/>
                <w:sz w:val="18"/>
                <w:szCs w:val="18"/>
              </w:rPr>
            </w:pPr>
            <w:r>
              <w:rPr>
                <w:rFonts w:hint="eastAsia" w:ascii="宋体" w:hAnsi="宋体" w:cs="宋体"/>
                <w:kern w:val="0"/>
                <w:sz w:val="18"/>
                <w:szCs w:val="18"/>
              </w:rPr>
              <w:t>—</w:t>
            </w:r>
          </w:p>
        </w:tc>
        <w:tc>
          <w:tcPr>
            <w:tcW w:w="1509" w:type="dxa"/>
            <w:tcBorders>
              <w:top w:val="nil"/>
              <w:left w:val="nil"/>
              <w:bottom w:val="single" w:color="auto" w:sz="8" w:space="0"/>
              <w:right w:val="single" w:color="auto" w:sz="8" w:space="0"/>
            </w:tcBorders>
            <w:noWrap/>
            <w:vAlign w:val="bottom"/>
          </w:tcPr>
          <w:p>
            <w:pPr>
              <w:widowControl/>
              <w:jc w:val="center"/>
              <w:rPr>
                <w:rFonts w:hint="eastAsia" w:ascii="宋体" w:hAnsi="宋体" w:cs="宋体"/>
                <w:kern w:val="0"/>
                <w:sz w:val="18"/>
                <w:szCs w:val="18"/>
              </w:rPr>
            </w:pPr>
            <w:r>
              <w:rPr>
                <w:rFonts w:hint="eastAsia" w:ascii="宋体" w:hAnsi="宋体" w:cs="宋体"/>
                <w:kern w:val="0"/>
                <w:sz w:val="18"/>
                <w:szCs w:val="18"/>
              </w:rPr>
              <w:t>—</w:t>
            </w:r>
          </w:p>
        </w:tc>
        <w:tc>
          <w:tcPr>
            <w:tcW w:w="1054" w:type="dxa"/>
            <w:tcBorders>
              <w:top w:val="nil"/>
              <w:left w:val="nil"/>
              <w:bottom w:val="single" w:color="auto" w:sz="8" w:space="0"/>
              <w:right w:val="single" w:color="auto" w:sz="8" w:space="0"/>
            </w:tcBorders>
            <w:noWrap/>
            <w:vAlign w:val="bottom"/>
          </w:tcPr>
          <w:p>
            <w:pPr>
              <w:widowControl/>
              <w:jc w:val="center"/>
              <w:rPr>
                <w:rFonts w:hint="eastAsia" w:ascii="宋体" w:hAnsi="宋体" w:cs="宋体"/>
                <w:kern w:val="0"/>
                <w:sz w:val="18"/>
                <w:szCs w:val="18"/>
              </w:rPr>
            </w:pPr>
            <w:r>
              <w:rPr>
                <w:rFonts w:hint="eastAsia" w:ascii="宋体" w:hAnsi="宋体" w:cs="宋体"/>
                <w:kern w:val="0"/>
                <w:sz w:val="18"/>
                <w:szCs w:val="18"/>
              </w:rPr>
              <w:t>0.3</w:t>
            </w:r>
          </w:p>
        </w:tc>
        <w:tc>
          <w:tcPr>
            <w:tcW w:w="1173" w:type="dxa"/>
            <w:tcBorders>
              <w:top w:val="nil"/>
              <w:left w:val="nil"/>
              <w:bottom w:val="single" w:color="auto" w:sz="8" w:space="0"/>
              <w:right w:val="single" w:color="auto" w:sz="8" w:space="0"/>
            </w:tcBorders>
            <w:noWrap/>
            <w:vAlign w:val="bottom"/>
          </w:tcPr>
          <w:p>
            <w:pPr>
              <w:widowControl/>
              <w:jc w:val="center"/>
              <w:rPr>
                <w:rFonts w:hint="eastAsia" w:ascii="宋体" w:hAnsi="宋体" w:cs="宋体"/>
                <w:kern w:val="0"/>
                <w:sz w:val="18"/>
                <w:szCs w:val="18"/>
              </w:rPr>
            </w:pPr>
            <w:r>
              <w:rPr>
                <w:rFonts w:hint="eastAsia" w:ascii="宋体" w:hAnsi="宋体" w:cs="宋体"/>
                <w:kern w:val="0"/>
                <w:sz w:val="18"/>
                <w:szCs w:val="18"/>
              </w:rPr>
              <w:t>60</w:t>
            </w:r>
          </w:p>
        </w:tc>
        <w:tc>
          <w:tcPr>
            <w:tcW w:w="1146" w:type="dxa"/>
            <w:tcBorders>
              <w:top w:val="nil"/>
              <w:left w:val="nil"/>
              <w:bottom w:val="single" w:color="auto" w:sz="8" w:space="0"/>
              <w:right w:val="single" w:color="auto" w:sz="8" w:space="0"/>
            </w:tcBorders>
            <w:noWrap/>
            <w:vAlign w:val="bottom"/>
          </w:tcPr>
          <w:p>
            <w:pPr>
              <w:widowControl/>
              <w:jc w:val="center"/>
              <w:rPr>
                <w:rFonts w:hint="eastAsia" w:ascii="宋体" w:hAnsi="宋体" w:cs="宋体"/>
                <w:kern w:val="0"/>
                <w:sz w:val="18"/>
                <w:szCs w:val="18"/>
              </w:rPr>
            </w:pPr>
            <w:r>
              <w:rPr>
                <w:rFonts w:hint="eastAsia" w:ascii="宋体" w:hAnsi="宋体" w:cs="宋体"/>
                <w:kern w:val="0"/>
                <w:sz w:val="18"/>
                <w:szCs w:val="18"/>
              </w:rPr>
              <w:t>25</w:t>
            </w:r>
          </w:p>
        </w:tc>
        <w:tc>
          <w:tcPr>
            <w:tcW w:w="1107" w:type="dxa"/>
            <w:tcBorders>
              <w:top w:val="nil"/>
              <w:left w:val="nil"/>
              <w:bottom w:val="single" w:color="auto" w:sz="8" w:space="0"/>
              <w:right w:val="single" w:color="auto" w:sz="8" w:space="0"/>
            </w:tcBorders>
            <w:noWrap/>
            <w:vAlign w:val="bottom"/>
          </w:tcPr>
          <w:p>
            <w:pPr>
              <w:widowControl/>
              <w:jc w:val="center"/>
              <w:rPr>
                <w:rFonts w:hint="eastAsia" w:ascii="宋体" w:hAnsi="宋体" w:cs="宋体"/>
                <w:kern w:val="0"/>
                <w:sz w:val="18"/>
                <w:szCs w:val="18"/>
              </w:rPr>
            </w:pPr>
            <w:r>
              <w:rPr>
                <w:rFonts w:hint="eastAsia" w:ascii="宋体" w:hAnsi="宋体" w:cs="宋体"/>
                <w:kern w:val="0"/>
                <w:sz w:val="18"/>
                <w:szCs w:val="18"/>
              </w:rPr>
              <w:t>0.5</w:t>
            </w:r>
          </w:p>
        </w:tc>
      </w:tr>
      <w:tr>
        <w:tblPrEx>
          <w:tblCellMar>
            <w:top w:w="0" w:type="dxa"/>
            <w:left w:w="108" w:type="dxa"/>
            <w:bottom w:w="0" w:type="dxa"/>
            <w:right w:w="108" w:type="dxa"/>
          </w:tblCellMar>
        </w:tblPrEx>
        <w:trPr>
          <w:trHeight w:val="300" w:hRule="atLeast"/>
          <w:jc w:val="center"/>
        </w:trPr>
        <w:tc>
          <w:tcPr>
            <w:tcW w:w="1870" w:type="dxa"/>
            <w:tcBorders>
              <w:top w:val="nil"/>
              <w:left w:val="single" w:color="auto" w:sz="8" w:space="0"/>
              <w:bottom w:val="single" w:color="auto" w:sz="8" w:space="0"/>
              <w:right w:val="single" w:color="auto" w:sz="8" w:space="0"/>
            </w:tcBorders>
          </w:tcPr>
          <w:p>
            <w:pPr>
              <w:widowControl/>
              <w:jc w:val="center"/>
              <w:rPr>
                <w:rFonts w:hint="eastAsia" w:ascii="宋体" w:hAnsi="宋体" w:cs="宋体"/>
                <w:kern w:val="0"/>
                <w:sz w:val="18"/>
                <w:szCs w:val="18"/>
              </w:rPr>
            </w:pPr>
            <w:r>
              <w:rPr>
                <w:rFonts w:hint="eastAsia" w:ascii="宋体" w:hAnsi="宋体" w:cs="宋体"/>
                <w:kern w:val="0"/>
                <w:sz w:val="18"/>
                <w:szCs w:val="18"/>
              </w:rPr>
              <w:t>干蒸管</w:t>
            </w:r>
          </w:p>
        </w:tc>
        <w:tc>
          <w:tcPr>
            <w:tcW w:w="2027" w:type="dxa"/>
            <w:tcBorders>
              <w:top w:val="nil"/>
              <w:left w:val="nil"/>
              <w:bottom w:val="single" w:color="auto" w:sz="8" w:space="0"/>
              <w:right w:val="single" w:color="auto" w:sz="8" w:space="0"/>
            </w:tcBorders>
            <w:noWrap/>
            <w:vAlign w:val="bottom"/>
          </w:tcPr>
          <w:p>
            <w:pPr>
              <w:widowControl/>
              <w:jc w:val="center"/>
              <w:rPr>
                <w:rFonts w:hint="eastAsia" w:ascii="宋体" w:hAnsi="宋体" w:cs="宋体"/>
                <w:kern w:val="0"/>
                <w:sz w:val="18"/>
                <w:szCs w:val="18"/>
              </w:rPr>
            </w:pPr>
            <w:r>
              <w:rPr>
                <w:rFonts w:hint="eastAsia" w:ascii="宋体" w:hAnsi="宋体" w:cs="宋体"/>
                <w:kern w:val="0"/>
                <w:sz w:val="18"/>
                <w:szCs w:val="18"/>
              </w:rPr>
              <w:t>15.88</w:t>
            </w:r>
            <w:r>
              <w:rPr>
                <w:rFonts w:hint="eastAsia" w:ascii="宋体" w:hAnsi="宋体" w:cs="宋体"/>
                <w:kern w:val="0"/>
                <w:sz w:val="18"/>
                <w:szCs w:val="18"/>
              </w:rPr>
              <w:sym w:font="Symbol" w:char="F0B4"/>
            </w:r>
            <w:r>
              <w:rPr>
                <w:rFonts w:hint="eastAsia" w:ascii="宋体" w:hAnsi="宋体" w:cs="宋体"/>
                <w:kern w:val="0"/>
                <w:sz w:val="18"/>
                <w:szCs w:val="18"/>
              </w:rPr>
              <w:t>0.6</w:t>
            </w:r>
          </w:p>
        </w:tc>
        <w:tc>
          <w:tcPr>
            <w:tcW w:w="1127" w:type="dxa"/>
            <w:tcBorders>
              <w:top w:val="nil"/>
              <w:left w:val="nil"/>
              <w:bottom w:val="single" w:color="auto" w:sz="8" w:space="0"/>
              <w:right w:val="single" w:color="auto" w:sz="8" w:space="0"/>
            </w:tcBorders>
            <w:noWrap/>
            <w:vAlign w:val="bottom"/>
          </w:tcPr>
          <w:p>
            <w:pPr>
              <w:widowControl/>
              <w:jc w:val="center"/>
              <w:rPr>
                <w:rFonts w:hint="eastAsia" w:ascii="宋体" w:hAnsi="宋体" w:cs="宋体"/>
                <w:kern w:val="0"/>
                <w:sz w:val="18"/>
                <w:szCs w:val="18"/>
              </w:rPr>
            </w:pPr>
            <w:r>
              <w:rPr>
                <w:rFonts w:hint="eastAsia" w:ascii="宋体" w:hAnsi="宋体" w:cs="宋体"/>
                <w:kern w:val="0"/>
                <w:sz w:val="18"/>
                <w:szCs w:val="18"/>
              </w:rPr>
              <w:t>15.88</w:t>
            </w:r>
          </w:p>
        </w:tc>
        <w:tc>
          <w:tcPr>
            <w:tcW w:w="1118" w:type="dxa"/>
            <w:tcBorders>
              <w:top w:val="nil"/>
              <w:left w:val="nil"/>
              <w:bottom w:val="single" w:color="auto" w:sz="8" w:space="0"/>
              <w:right w:val="single" w:color="auto" w:sz="8" w:space="0"/>
            </w:tcBorders>
            <w:noWrap/>
            <w:vAlign w:val="bottom"/>
          </w:tcPr>
          <w:p>
            <w:pPr>
              <w:widowControl/>
              <w:jc w:val="center"/>
              <w:rPr>
                <w:rFonts w:hint="eastAsia" w:ascii="宋体" w:hAnsi="宋体" w:cs="宋体"/>
                <w:kern w:val="0"/>
                <w:sz w:val="18"/>
                <w:szCs w:val="18"/>
              </w:rPr>
            </w:pPr>
            <w:r>
              <w:rPr>
                <w:rFonts w:hint="eastAsia" w:ascii="宋体" w:hAnsi="宋体" w:cs="宋体"/>
                <w:kern w:val="0"/>
                <w:sz w:val="18"/>
                <w:szCs w:val="18"/>
              </w:rPr>
              <w:t>0.6</w:t>
            </w:r>
          </w:p>
        </w:tc>
        <w:tc>
          <w:tcPr>
            <w:tcW w:w="1319" w:type="dxa"/>
            <w:tcBorders>
              <w:top w:val="nil"/>
              <w:left w:val="nil"/>
              <w:bottom w:val="single" w:color="auto" w:sz="8" w:space="0"/>
              <w:right w:val="single" w:color="auto" w:sz="8" w:space="0"/>
            </w:tcBorders>
            <w:noWrap/>
            <w:vAlign w:val="bottom"/>
          </w:tcPr>
          <w:p>
            <w:pPr>
              <w:widowControl/>
              <w:jc w:val="center"/>
              <w:rPr>
                <w:rFonts w:hint="eastAsia" w:ascii="宋体" w:hAnsi="宋体" w:cs="宋体"/>
                <w:kern w:val="0"/>
                <w:sz w:val="18"/>
                <w:szCs w:val="18"/>
              </w:rPr>
            </w:pPr>
            <w:r>
              <w:rPr>
                <w:rFonts w:hint="eastAsia" w:ascii="宋体" w:hAnsi="宋体" w:cs="宋体"/>
                <w:kern w:val="0"/>
                <w:sz w:val="18"/>
                <w:szCs w:val="18"/>
              </w:rPr>
              <w:t>15.88</w:t>
            </w:r>
          </w:p>
        </w:tc>
        <w:tc>
          <w:tcPr>
            <w:tcW w:w="918" w:type="dxa"/>
            <w:tcBorders>
              <w:top w:val="nil"/>
              <w:left w:val="nil"/>
              <w:bottom w:val="single" w:color="auto" w:sz="8" w:space="0"/>
              <w:right w:val="single" w:color="auto" w:sz="8" w:space="0"/>
            </w:tcBorders>
            <w:noWrap/>
            <w:vAlign w:val="bottom"/>
          </w:tcPr>
          <w:p>
            <w:pPr>
              <w:widowControl/>
              <w:jc w:val="center"/>
              <w:rPr>
                <w:rFonts w:hint="eastAsia" w:ascii="宋体" w:hAnsi="宋体" w:cs="宋体"/>
                <w:kern w:val="0"/>
                <w:sz w:val="18"/>
                <w:szCs w:val="18"/>
              </w:rPr>
            </w:pPr>
            <w:r>
              <w:rPr>
                <w:rFonts w:hint="eastAsia" w:ascii="宋体" w:hAnsi="宋体" w:cs="宋体"/>
                <w:kern w:val="0"/>
                <w:sz w:val="18"/>
                <w:szCs w:val="18"/>
              </w:rPr>
              <w:t>—</w:t>
            </w:r>
          </w:p>
        </w:tc>
        <w:tc>
          <w:tcPr>
            <w:tcW w:w="1509" w:type="dxa"/>
            <w:tcBorders>
              <w:top w:val="nil"/>
              <w:left w:val="nil"/>
              <w:bottom w:val="single" w:color="auto" w:sz="8" w:space="0"/>
              <w:right w:val="single" w:color="auto" w:sz="8" w:space="0"/>
            </w:tcBorders>
            <w:noWrap/>
            <w:vAlign w:val="bottom"/>
          </w:tcPr>
          <w:p>
            <w:pPr>
              <w:widowControl/>
              <w:jc w:val="center"/>
              <w:rPr>
                <w:rFonts w:hint="eastAsia" w:ascii="宋体" w:hAnsi="宋体" w:cs="宋体"/>
                <w:kern w:val="0"/>
                <w:sz w:val="18"/>
                <w:szCs w:val="18"/>
              </w:rPr>
            </w:pPr>
            <w:r>
              <w:rPr>
                <w:rFonts w:hint="eastAsia" w:ascii="宋体" w:hAnsi="宋体" w:cs="宋体"/>
                <w:kern w:val="0"/>
                <w:sz w:val="18"/>
                <w:szCs w:val="18"/>
              </w:rPr>
              <w:t>—</w:t>
            </w:r>
          </w:p>
        </w:tc>
        <w:tc>
          <w:tcPr>
            <w:tcW w:w="1054" w:type="dxa"/>
            <w:tcBorders>
              <w:top w:val="nil"/>
              <w:left w:val="nil"/>
              <w:bottom w:val="single" w:color="auto" w:sz="8" w:space="0"/>
              <w:right w:val="single" w:color="auto" w:sz="8" w:space="0"/>
            </w:tcBorders>
            <w:noWrap/>
            <w:vAlign w:val="bottom"/>
          </w:tcPr>
          <w:p>
            <w:pPr>
              <w:widowControl/>
              <w:jc w:val="center"/>
              <w:rPr>
                <w:rFonts w:hint="eastAsia" w:ascii="宋体" w:hAnsi="宋体" w:cs="宋体"/>
                <w:kern w:val="0"/>
                <w:sz w:val="18"/>
                <w:szCs w:val="18"/>
              </w:rPr>
            </w:pPr>
            <w:r>
              <w:rPr>
                <w:rFonts w:hint="eastAsia" w:ascii="宋体" w:hAnsi="宋体" w:cs="宋体"/>
                <w:kern w:val="0"/>
                <w:sz w:val="18"/>
                <w:szCs w:val="18"/>
              </w:rPr>
              <w:t>0.25</w:t>
            </w:r>
          </w:p>
        </w:tc>
        <w:tc>
          <w:tcPr>
            <w:tcW w:w="1173" w:type="dxa"/>
            <w:tcBorders>
              <w:top w:val="nil"/>
              <w:left w:val="nil"/>
              <w:bottom w:val="single" w:color="auto" w:sz="8" w:space="0"/>
              <w:right w:val="single" w:color="auto" w:sz="8" w:space="0"/>
            </w:tcBorders>
            <w:noWrap/>
            <w:vAlign w:val="bottom"/>
          </w:tcPr>
          <w:p>
            <w:pPr>
              <w:widowControl/>
              <w:jc w:val="center"/>
              <w:rPr>
                <w:rFonts w:hint="eastAsia" w:ascii="宋体" w:hAnsi="宋体" w:cs="宋体"/>
                <w:kern w:val="0"/>
                <w:sz w:val="18"/>
                <w:szCs w:val="18"/>
              </w:rPr>
            </w:pPr>
            <w:r>
              <w:rPr>
                <w:rFonts w:hint="eastAsia" w:ascii="宋体" w:hAnsi="宋体" w:cs="宋体"/>
                <w:kern w:val="0"/>
                <w:sz w:val="18"/>
                <w:szCs w:val="18"/>
              </w:rPr>
              <w:t>75</w:t>
            </w:r>
          </w:p>
        </w:tc>
        <w:tc>
          <w:tcPr>
            <w:tcW w:w="1146" w:type="dxa"/>
            <w:tcBorders>
              <w:top w:val="nil"/>
              <w:left w:val="nil"/>
              <w:bottom w:val="single" w:color="auto" w:sz="8" w:space="0"/>
              <w:right w:val="single" w:color="auto" w:sz="8" w:space="0"/>
            </w:tcBorders>
            <w:noWrap/>
            <w:vAlign w:val="bottom"/>
          </w:tcPr>
          <w:p>
            <w:pPr>
              <w:widowControl/>
              <w:jc w:val="center"/>
              <w:rPr>
                <w:rFonts w:hint="eastAsia" w:ascii="宋体" w:hAnsi="宋体" w:cs="宋体"/>
                <w:kern w:val="0"/>
                <w:sz w:val="18"/>
                <w:szCs w:val="18"/>
              </w:rPr>
            </w:pPr>
            <w:r>
              <w:rPr>
                <w:rFonts w:hint="eastAsia" w:ascii="宋体" w:hAnsi="宋体" w:cs="宋体"/>
                <w:kern w:val="0"/>
                <w:sz w:val="18"/>
                <w:szCs w:val="18"/>
              </w:rPr>
              <w:t>23</w:t>
            </w:r>
          </w:p>
        </w:tc>
        <w:tc>
          <w:tcPr>
            <w:tcW w:w="1107" w:type="dxa"/>
            <w:tcBorders>
              <w:top w:val="nil"/>
              <w:left w:val="nil"/>
              <w:bottom w:val="single" w:color="auto" w:sz="8" w:space="0"/>
              <w:right w:val="single" w:color="auto" w:sz="8" w:space="0"/>
            </w:tcBorders>
            <w:noWrap/>
            <w:vAlign w:val="bottom"/>
          </w:tcPr>
          <w:p>
            <w:pPr>
              <w:widowControl/>
              <w:jc w:val="center"/>
              <w:rPr>
                <w:rFonts w:hint="eastAsia" w:ascii="宋体" w:hAnsi="宋体" w:cs="宋体"/>
                <w:kern w:val="0"/>
                <w:sz w:val="18"/>
                <w:szCs w:val="18"/>
              </w:rPr>
            </w:pPr>
            <w:r>
              <w:rPr>
                <w:rFonts w:hint="eastAsia" w:ascii="宋体" w:hAnsi="宋体" w:cs="宋体"/>
                <w:kern w:val="0"/>
                <w:sz w:val="18"/>
                <w:szCs w:val="18"/>
              </w:rPr>
              <w:t>0.45</w:t>
            </w:r>
          </w:p>
        </w:tc>
      </w:tr>
      <w:tr>
        <w:tblPrEx>
          <w:tblCellMar>
            <w:top w:w="0" w:type="dxa"/>
            <w:left w:w="108" w:type="dxa"/>
            <w:bottom w:w="0" w:type="dxa"/>
            <w:right w:w="108" w:type="dxa"/>
          </w:tblCellMar>
        </w:tblPrEx>
        <w:trPr>
          <w:trHeight w:val="300" w:hRule="atLeast"/>
          <w:jc w:val="center"/>
        </w:trPr>
        <w:tc>
          <w:tcPr>
            <w:tcW w:w="1870" w:type="dxa"/>
            <w:tcBorders>
              <w:top w:val="nil"/>
              <w:left w:val="single" w:color="auto" w:sz="8" w:space="0"/>
              <w:bottom w:val="single" w:color="auto" w:sz="8" w:space="0"/>
              <w:right w:val="single" w:color="auto" w:sz="8" w:space="0"/>
            </w:tcBorders>
          </w:tcPr>
          <w:p>
            <w:pPr>
              <w:widowControl/>
              <w:jc w:val="center"/>
              <w:rPr>
                <w:rFonts w:hint="eastAsia" w:ascii="宋体" w:hAnsi="宋体" w:cs="宋体"/>
                <w:kern w:val="0"/>
                <w:sz w:val="18"/>
                <w:szCs w:val="18"/>
              </w:rPr>
            </w:pPr>
            <w:r>
              <w:rPr>
                <w:rFonts w:hint="eastAsia" w:ascii="宋体" w:hAnsi="宋体" w:cs="宋体"/>
                <w:kern w:val="0"/>
                <w:sz w:val="18"/>
                <w:szCs w:val="18"/>
              </w:rPr>
              <w:t>干蒸管</w:t>
            </w:r>
          </w:p>
        </w:tc>
        <w:tc>
          <w:tcPr>
            <w:tcW w:w="2027" w:type="dxa"/>
            <w:tcBorders>
              <w:top w:val="nil"/>
              <w:left w:val="nil"/>
              <w:bottom w:val="single" w:color="auto" w:sz="8" w:space="0"/>
              <w:right w:val="single" w:color="auto" w:sz="8" w:space="0"/>
            </w:tcBorders>
            <w:noWrap/>
            <w:vAlign w:val="bottom"/>
          </w:tcPr>
          <w:p>
            <w:pPr>
              <w:widowControl/>
              <w:jc w:val="center"/>
              <w:rPr>
                <w:rFonts w:hint="eastAsia" w:ascii="宋体" w:hAnsi="宋体" w:cs="宋体"/>
                <w:kern w:val="0"/>
                <w:sz w:val="18"/>
                <w:szCs w:val="18"/>
              </w:rPr>
            </w:pPr>
            <w:r>
              <w:rPr>
                <w:rFonts w:hint="eastAsia" w:ascii="宋体" w:hAnsi="宋体" w:cs="宋体"/>
                <w:kern w:val="0"/>
                <w:sz w:val="18"/>
                <w:szCs w:val="18"/>
              </w:rPr>
              <w:t>12.7</w:t>
            </w:r>
            <w:r>
              <w:rPr>
                <w:rFonts w:hint="eastAsia" w:ascii="宋体" w:hAnsi="宋体" w:cs="宋体"/>
                <w:kern w:val="0"/>
                <w:sz w:val="18"/>
                <w:szCs w:val="18"/>
              </w:rPr>
              <w:sym w:font="Symbol" w:char="F0B4"/>
            </w:r>
            <w:r>
              <w:rPr>
                <w:rFonts w:hint="eastAsia" w:ascii="宋体" w:hAnsi="宋体" w:cs="宋体"/>
                <w:kern w:val="0"/>
                <w:sz w:val="18"/>
                <w:szCs w:val="18"/>
              </w:rPr>
              <w:t>0.6</w:t>
            </w:r>
          </w:p>
        </w:tc>
        <w:tc>
          <w:tcPr>
            <w:tcW w:w="1127" w:type="dxa"/>
            <w:tcBorders>
              <w:top w:val="nil"/>
              <w:left w:val="nil"/>
              <w:bottom w:val="single" w:color="auto" w:sz="8" w:space="0"/>
              <w:right w:val="single" w:color="auto" w:sz="8" w:space="0"/>
            </w:tcBorders>
            <w:noWrap/>
            <w:vAlign w:val="bottom"/>
          </w:tcPr>
          <w:p>
            <w:pPr>
              <w:widowControl/>
              <w:jc w:val="center"/>
              <w:rPr>
                <w:rFonts w:hint="eastAsia" w:ascii="宋体" w:hAnsi="宋体" w:cs="宋体"/>
                <w:kern w:val="0"/>
                <w:sz w:val="18"/>
                <w:szCs w:val="18"/>
              </w:rPr>
            </w:pPr>
            <w:r>
              <w:rPr>
                <w:rFonts w:hint="eastAsia" w:ascii="宋体" w:hAnsi="宋体" w:cs="宋体"/>
                <w:kern w:val="0"/>
                <w:sz w:val="18"/>
                <w:szCs w:val="18"/>
              </w:rPr>
              <w:t>12.7</w:t>
            </w:r>
          </w:p>
        </w:tc>
        <w:tc>
          <w:tcPr>
            <w:tcW w:w="1118" w:type="dxa"/>
            <w:tcBorders>
              <w:top w:val="nil"/>
              <w:left w:val="nil"/>
              <w:bottom w:val="single" w:color="auto" w:sz="8" w:space="0"/>
              <w:right w:val="single" w:color="auto" w:sz="8" w:space="0"/>
            </w:tcBorders>
            <w:noWrap/>
            <w:vAlign w:val="bottom"/>
          </w:tcPr>
          <w:p>
            <w:pPr>
              <w:widowControl/>
              <w:jc w:val="center"/>
              <w:rPr>
                <w:rFonts w:hint="eastAsia" w:ascii="宋体" w:hAnsi="宋体" w:cs="宋体"/>
                <w:kern w:val="0"/>
                <w:sz w:val="18"/>
                <w:szCs w:val="18"/>
              </w:rPr>
            </w:pPr>
            <w:r>
              <w:rPr>
                <w:rFonts w:hint="eastAsia" w:ascii="宋体" w:hAnsi="宋体" w:cs="宋体"/>
                <w:kern w:val="0"/>
                <w:sz w:val="18"/>
                <w:szCs w:val="18"/>
              </w:rPr>
              <w:t>0.6</w:t>
            </w:r>
          </w:p>
        </w:tc>
        <w:tc>
          <w:tcPr>
            <w:tcW w:w="1319" w:type="dxa"/>
            <w:tcBorders>
              <w:top w:val="nil"/>
              <w:left w:val="nil"/>
              <w:bottom w:val="single" w:color="auto" w:sz="8" w:space="0"/>
              <w:right w:val="single" w:color="auto" w:sz="8" w:space="0"/>
            </w:tcBorders>
            <w:noWrap/>
            <w:vAlign w:val="bottom"/>
          </w:tcPr>
          <w:p>
            <w:pPr>
              <w:widowControl/>
              <w:jc w:val="center"/>
              <w:rPr>
                <w:rFonts w:hint="eastAsia" w:ascii="宋体" w:hAnsi="宋体" w:cs="宋体"/>
                <w:kern w:val="0"/>
                <w:sz w:val="18"/>
                <w:szCs w:val="18"/>
              </w:rPr>
            </w:pPr>
            <w:r>
              <w:rPr>
                <w:rFonts w:hint="eastAsia" w:ascii="宋体" w:hAnsi="宋体" w:cs="宋体"/>
                <w:kern w:val="0"/>
                <w:sz w:val="18"/>
                <w:szCs w:val="18"/>
              </w:rPr>
              <w:t>12.7</w:t>
            </w:r>
          </w:p>
        </w:tc>
        <w:tc>
          <w:tcPr>
            <w:tcW w:w="918" w:type="dxa"/>
            <w:tcBorders>
              <w:top w:val="nil"/>
              <w:left w:val="nil"/>
              <w:bottom w:val="single" w:color="auto" w:sz="8" w:space="0"/>
              <w:right w:val="single" w:color="auto" w:sz="8" w:space="0"/>
            </w:tcBorders>
            <w:noWrap/>
            <w:vAlign w:val="bottom"/>
          </w:tcPr>
          <w:p>
            <w:pPr>
              <w:widowControl/>
              <w:jc w:val="center"/>
              <w:rPr>
                <w:rFonts w:hint="eastAsia" w:ascii="宋体" w:hAnsi="宋体" w:cs="宋体"/>
                <w:kern w:val="0"/>
                <w:sz w:val="18"/>
                <w:szCs w:val="18"/>
              </w:rPr>
            </w:pPr>
            <w:r>
              <w:rPr>
                <w:rFonts w:hint="eastAsia" w:ascii="宋体" w:hAnsi="宋体" w:cs="宋体"/>
                <w:kern w:val="0"/>
                <w:sz w:val="18"/>
                <w:szCs w:val="18"/>
              </w:rPr>
              <w:t>—</w:t>
            </w:r>
          </w:p>
        </w:tc>
        <w:tc>
          <w:tcPr>
            <w:tcW w:w="1509" w:type="dxa"/>
            <w:tcBorders>
              <w:top w:val="nil"/>
              <w:left w:val="nil"/>
              <w:bottom w:val="single" w:color="auto" w:sz="8" w:space="0"/>
              <w:right w:val="single" w:color="auto" w:sz="8" w:space="0"/>
            </w:tcBorders>
            <w:noWrap/>
            <w:vAlign w:val="bottom"/>
          </w:tcPr>
          <w:p>
            <w:pPr>
              <w:widowControl/>
              <w:jc w:val="center"/>
              <w:rPr>
                <w:rFonts w:hint="eastAsia" w:ascii="宋体" w:hAnsi="宋体" w:cs="宋体"/>
                <w:kern w:val="0"/>
                <w:sz w:val="18"/>
                <w:szCs w:val="18"/>
              </w:rPr>
            </w:pPr>
            <w:r>
              <w:rPr>
                <w:rFonts w:hint="eastAsia" w:ascii="宋体" w:hAnsi="宋体" w:cs="宋体"/>
                <w:kern w:val="0"/>
                <w:sz w:val="18"/>
                <w:szCs w:val="18"/>
              </w:rPr>
              <w:t>—</w:t>
            </w:r>
          </w:p>
        </w:tc>
        <w:tc>
          <w:tcPr>
            <w:tcW w:w="1054" w:type="dxa"/>
            <w:tcBorders>
              <w:top w:val="nil"/>
              <w:left w:val="nil"/>
              <w:bottom w:val="single" w:color="auto" w:sz="8" w:space="0"/>
              <w:right w:val="single" w:color="auto" w:sz="8" w:space="0"/>
            </w:tcBorders>
            <w:noWrap/>
            <w:vAlign w:val="bottom"/>
          </w:tcPr>
          <w:p>
            <w:pPr>
              <w:widowControl/>
              <w:jc w:val="center"/>
              <w:rPr>
                <w:rFonts w:hint="eastAsia" w:ascii="宋体" w:hAnsi="宋体" w:cs="宋体"/>
                <w:kern w:val="0"/>
                <w:sz w:val="18"/>
                <w:szCs w:val="18"/>
              </w:rPr>
            </w:pPr>
            <w:r>
              <w:rPr>
                <w:rFonts w:hint="eastAsia" w:ascii="宋体" w:hAnsi="宋体" w:cs="宋体"/>
                <w:kern w:val="0"/>
                <w:sz w:val="18"/>
                <w:szCs w:val="18"/>
              </w:rPr>
              <w:t>0.25</w:t>
            </w:r>
          </w:p>
        </w:tc>
        <w:tc>
          <w:tcPr>
            <w:tcW w:w="1173" w:type="dxa"/>
            <w:tcBorders>
              <w:top w:val="nil"/>
              <w:left w:val="nil"/>
              <w:bottom w:val="single" w:color="auto" w:sz="8" w:space="0"/>
              <w:right w:val="single" w:color="auto" w:sz="8" w:space="0"/>
            </w:tcBorders>
            <w:noWrap/>
            <w:vAlign w:val="bottom"/>
          </w:tcPr>
          <w:p>
            <w:pPr>
              <w:widowControl/>
              <w:jc w:val="center"/>
              <w:rPr>
                <w:rFonts w:hint="eastAsia" w:ascii="宋体" w:hAnsi="宋体" w:cs="宋体"/>
                <w:kern w:val="0"/>
                <w:sz w:val="18"/>
                <w:szCs w:val="18"/>
              </w:rPr>
            </w:pPr>
            <w:r>
              <w:rPr>
                <w:rFonts w:hint="eastAsia" w:ascii="宋体" w:hAnsi="宋体" w:cs="宋体"/>
                <w:kern w:val="0"/>
                <w:sz w:val="18"/>
                <w:szCs w:val="18"/>
              </w:rPr>
              <w:t>60</w:t>
            </w:r>
          </w:p>
        </w:tc>
        <w:tc>
          <w:tcPr>
            <w:tcW w:w="1146" w:type="dxa"/>
            <w:tcBorders>
              <w:top w:val="nil"/>
              <w:left w:val="nil"/>
              <w:bottom w:val="single" w:color="auto" w:sz="8" w:space="0"/>
              <w:right w:val="single" w:color="auto" w:sz="8" w:space="0"/>
            </w:tcBorders>
            <w:noWrap/>
            <w:vAlign w:val="bottom"/>
          </w:tcPr>
          <w:p>
            <w:pPr>
              <w:widowControl/>
              <w:jc w:val="center"/>
              <w:rPr>
                <w:rFonts w:hint="eastAsia" w:ascii="宋体" w:hAnsi="宋体" w:cs="宋体"/>
                <w:kern w:val="0"/>
                <w:sz w:val="18"/>
                <w:szCs w:val="18"/>
              </w:rPr>
            </w:pPr>
            <w:r>
              <w:rPr>
                <w:rFonts w:hint="eastAsia" w:ascii="宋体" w:hAnsi="宋体" w:cs="宋体"/>
                <w:kern w:val="0"/>
                <w:sz w:val="18"/>
                <w:szCs w:val="18"/>
              </w:rPr>
              <w:t>18</w:t>
            </w:r>
          </w:p>
        </w:tc>
        <w:tc>
          <w:tcPr>
            <w:tcW w:w="1107" w:type="dxa"/>
            <w:tcBorders>
              <w:top w:val="nil"/>
              <w:left w:val="nil"/>
              <w:bottom w:val="single" w:color="auto" w:sz="8" w:space="0"/>
              <w:right w:val="single" w:color="auto" w:sz="8" w:space="0"/>
            </w:tcBorders>
            <w:noWrap/>
            <w:vAlign w:val="bottom"/>
          </w:tcPr>
          <w:p>
            <w:pPr>
              <w:widowControl/>
              <w:jc w:val="center"/>
              <w:rPr>
                <w:rFonts w:hint="eastAsia" w:ascii="宋体" w:hAnsi="宋体" w:cs="宋体"/>
                <w:kern w:val="0"/>
                <w:sz w:val="18"/>
                <w:szCs w:val="18"/>
              </w:rPr>
            </w:pPr>
            <w:r>
              <w:rPr>
                <w:rFonts w:hint="eastAsia" w:ascii="宋体" w:hAnsi="宋体" w:cs="宋体"/>
                <w:kern w:val="0"/>
                <w:sz w:val="18"/>
                <w:szCs w:val="18"/>
              </w:rPr>
              <w:t>0.4</w:t>
            </w:r>
          </w:p>
        </w:tc>
      </w:tr>
      <w:tr>
        <w:tblPrEx>
          <w:tblCellMar>
            <w:top w:w="0" w:type="dxa"/>
            <w:left w:w="108" w:type="dxa"/>
            <w:bottom w:w="0" w:type="dxa"/>
            <w:right w:w="108" w:type="dxa"/>
          </w:tblCellMar>
        </w:tblPrEx>
        <w:trPr>
          <w:trHeight w:val="315" w:hRule="atLeast"/>
          <w:jc w:val="center"/>
        </w:trPr>
        <w:tc>
          <w:tcPr>
            <w:tcW w:w="1870" w:type="dxa"/>
            <w:tcBorders>
              <w:top w:val="nil"/>
              <w:left w:val="single" w:color="auto" w:sz="8" w:space="0"/>
              <w:bottom w:val="single" w:color="auto" w:sz="8" w:space="0"/>
              <w:right w:val="single" w:color="auto" w:sz="8" w:space="0"/>
            </w:tcBorders>
          </w:tcPr>
          <w:p>
            <w:pPr>
              <w:widowControl/>
              <w:jc w:val="center"/>
              <w:rPr>
                <w:rFonts w:hint="eastAsia" w:ascii="宋体" w:hAnsi="宋体" w:cs="宋体"/>
                <w:kern w:val="0"/>
                <w:sz w:val="18"/>
                <w:szCs w:val="18"/>
              </w:rPr>
            </w:pPr>
            <w:r>
              <w:rPr>
                <w:rFonts w:hint="eastAsia" w:ascii="宋体" w:hAnsi="宋体" w:cs="宋体"/>
                <w:kern w:val="0"/>
                <w:sz w:val="18"/>
                <w:szCs w:val="18"/>
              </w:rPr>
              <w:t>中翅片管</w:t>
            </w:r>
          </w:p>
        </w:tc>
        <w:tc>
          <w:tcPr>
            <w:tcW w:w="2027" w:type="dxa"/>
            <w:tcBorders>
              <w:top w:val="nil"/>
              <w:left w:val="nil"/>
              <w:bottom w:val="single" w:color="auto" w:sz="8" w:space="0"/>
              <w:right w:val="single" w:color="auto" w:sz="8" w:space="0"/>
            </w:tcBorders>
            <w:noWrap/>
            <w:vAlign w:val="bottom"/>
          </w:tcPr>
          <w:p>
            <w:pPr>
              <w:widowControl/>
              <w:jc w:val="center"/>
              <w:rPr>
                <w:rFonts w:hint="eastAsia" w:ascii="宋体" w:hAnsi="宋体" w:cs="宋体"/>
                <w:kern w:val="0"/>
                <w:sz w:val="18"/>
                <w:szCs w:val="18"/>
              </w:rPr>
            </w:pPr>
            <w:r>
              <w:rPr>
                <w:rFonts w:hint="eastAsia" w:ascii="宋体" w:hAnsi="宋体" w:cs="宋体"/>
                <w:kern w:val="0"/>
                <w:sz w:val="18"/>
                <w:szCs w:val="18"/>
              </w:rPr>
              <w:t>26</w:t>
            </w:r>
            <w:r>
              <w:rPr>
                <w:rFonts w:hint="eastAsia" w:ascii="宋体" w:hAnsi="宋体" w:cs="宋体"/>
                <w:kern w:val="0"/>
                <w:sz w:val="18"/>
                <w:szCs w:val="18"/>
              </w:rPr>
              <w:sym w:font="Symbol" w:char="F0B4"/>
            </w:r>
            <w:r>
              <w:rPr>
                <w:rFonts w:hint="eastAsia" w:ascii="宋体" w:hAnsi="宋体" w:cs="宋体"/>
                <w:kern w:val="0"/>
                <w:sz w:val="18"/>
                <w:szCs w:val="18"/>
              </w:rPr>
              <w:t>2.5</w:t>
            </w:r>
            <w:r>
              <w:rPr>
                <w:kern w:val="0"/>
                <w:sz w:val="18"/>
                <w:szCs w:val="18"/>
              </w:rPr>
              <w:t> </w:t>
            </w:r>
          </w:p>
        </w:tc>
        <w:tc>
          <w:tcPr>
            <w:tcW w:w="1127" w:type="dxa"/>
            <w:tcBorders>
              <w:top w:val="nil"/>
              <w:left w:val="nil"/>
              <w:bottom w:val="single" w:color="auto" w:sz="8" w:space="0"/>
              <w:right w:val="single" w:color="auto" w:sz="8" w:space="0"/>
            </w:tcBorders>
            <w:noWrap/>
            <w:vAlign w:val="bottom"/>
          </w:tcPr>
          <w:p>
            <w:pPr>
              <w:widowControl/>
              <w:jc w:val="center"/>
              <w:rPr>
                <w:rFonts w:hint="eastAsia" w:ascii="宋体" w:hAnsi="宋体" w:cs="宋体"/>
                <w:kern w:val="0"/>
                <w:sz w:val="18"/>
                <w:szCs w:val="18"/>
              </w:rPr>
            </w:pPr>
            <w:r>
              <w:rPr>
                <w:rFonts w:hint="eastAsia" w:ascii="宋体" w:hAnsi="宋体" w:cs="宋体"/>
                <w:kern w:val="0"/>
                <w:sz w:val="18"/>
                <w:szCs w:val="18"/>
              </w:rPr>
              <w:t>23.4</w:t>
            </w:r>
          </w:p>
        </w:tc>
        <w:tc>
          <w:tcPr>
            <w:tcW w:w="1118" w:type="dxa"/>
            <w:tcBorders>
              <w:top w:val="nil"/>
              <w:left w:val="nil"/>
              <w:bottom w:val="single" w:color="auto" w:sz="8" w:space="0"/>
              <w:right w:val="single" w:color="auto" w:sz="8" w:space="0"/>
            </w:tcBorders>
            <w:noWrap/>
            <w:vAlign w:val="bottom"/>
          </w:tcPr>
          <w:p>
            <w:pPr>
              <w:widowControl/>
              <w:jc w:val="center"/>
              <w:rPr>
                <w:rFonts w:hint="eastAsia" w:ascii="宋体" w:hAnsi="宋体" w:cs="宋体"/>
                <w:kern w:val="0"/>
                <w:sz w:val="18"/>
                <w:szCs w:val="18"/>
              </w:rPr>
            </w:pPr>
            <w:r>
              <w:rPr>
                <w:rFonts w:hint="eastAsia" w:ascii="宋体" w:hAnsi="宋体" w:cs="宋体"/>
                <w:kern w:val="0"/>
                <w:sz w:val="18"/>
                <w:szCs w:val="18"/>
              </w:rPr>
              <w:t>2.5</w:t>
            </w:r>
          </w:p>
        </w:tc>
        <w:tc>
          <w:tcPr>
            <w:tcW w:w="1319" w:type="dxa"/>
            <w:tcBorders>
              <w:top w:val="nil"/>
              <w:left w:val="nil"/>
              <w:bottom w:val="single" w:color="auto" w:sz="8" w:space="0"/>
              <w:right w:val="single" w:color="auto" w:sz="8" w:space="0"/>
            </w:tcBorders>
            <w:noWrap/>
            <w:vAlign w:val="bottom"/>
          </w:tcPr>
          <w:p>
            <w:pPr>
              <w:widowControl/>
              <w:jc w:val="center"/>
              <w:rPr>
                <w:rFonts w:hint="eastAsia" w:ascii="宋体" w:hAnsi="宋体" w:cs="宋体"/>
                <w:kern w:val="0"/>
                <w:sz w:val="18"/>
                <w:szCs w:val="18"/>
              </w:rPr>
            </w:pPr>
            <w:r>
              <w:rPr>
                <w:rFonts w:hint="eastAsia" w:ascii="宋体" w:hAnsi="宋体" w:cs="宋体"/>
                <w:kern w:val="0"/>
                <w:sz w:val="18"/>
                <w:szCs w:val="18"/>
              </w:rPr>
              <w:t>26</w:t>
            </w:r>
          </w:p>
        </w:tc>
        <w:tc>
          <w:tcPr>
            <w:tcW w:w="918" w:type="dxa"/>
            <w:tcBorders>
              <w:top w:val="nil"/>
              <w:left w:val="nil"/>
              <w:bottom w:val="single" w:color="auto" w:sz="8" w:space="0"/>
              <w:right w:val="single" w:color="auto" w:sz="8" w:space="0"/>
            </w:tcBorders>
            <w:noWrap/>
            <w:vAlign w:val="bottom"/>
          </w:tcPr>
          <w:p>
            <w:pPr>
              <w:widowControl/>
              <w:jc w:val="center"/>
              <w:rPr>
                <w:rFonts w:hint="eastAsia" w:ascii="宋体" w:hAnsi="宋体" w:cs="宋体"/>
                <w:kern w:val="0"/>
                <w:sz w:val="18"/>
                <w:szCs w:val="18"/>
              </w:rPr>
            </w:pPr>
            <w:r>
              <w:rPr>
                <w:rFonts w:hint="eastAsia" w:ascii="宋体" w:hAnsi="宋体" w:cs="宋体"/>
                <w:kern w:val="0"/>
                <w:sz w:val="18"/>
                <w:szCs w:val="18"/>
              </w:rPr>
              <w:t>2.8</w:t>
            </w:r>
          </w:p>
        </w:tc>
        <w:tc>
          <w:tcPr>
            <w:tcW w:w="1509" w:type="dxa"/>
            <w:tcBorders>
              <w:top w:val="nil"/>
              <w:left w:val="nil"/>
              <w:bottom w:val="single" w:color="auto" w:sz="8" w:space="0"/>
              <w:right w:val="single" w:color="auto" w:sz="8" w:space="0"/>
            </w:tcBorders>
            <w:noWrap/>
            <w:vAlign w:val="bottom"/>
          </w:tcPr>
          <w:p>
            <w:pPr>
              <w:widowControl/>
              <w:jc w:val="center"/>
              <w:rPr>
                <w:rFonts w:hint="eastAsia" w:ascii="宋体" w:hAnsi="宋体" w:cs="宋体"/>
                <w:kern w:val="0"/>
                <w:sz w:val="18"/>
                <w:szCs w:val="18"/>
              </w:rPr>
            </w:pPr>
            <w:r>
              <w:rPr>
                <w:rFonts w:hint="eastAsia" w:ascii="宋体" w:hAnsi="宋体" w:cs="宋体"/>
                <w:kern w:val="0"/>
                <w:sz w:val="18"/>
                <w:szCs w:val="18"/>
              </w:rPr>
              <w:t>13</w:t>
            </w:r>
          </w:p>
        </w:tc>
        <w:tc>
          <w:tcPr>
            <w:tcW w:w="1054" w:type="dxa"/>
            <w:tcBorders>
              <w:top w:val="nil"/>
              <w:left w:val="nil"/>
              <w:bottom w:val="single" w:color="auto" w:sz="8" w:space="0"/>
              <w:right w:val="single" w:color="auto" w:sz="8" w:space="0"/>
            </w:tcBorders>
            <w:noWrap/>
            <w:vAlign w:val="bottom"/>
          </w:tcPr>
          <w:p>
            <w:pPr>
              <w:widowControl/>
              <w:jc w:val="center"/>
              <w:rPr>
                <w:rFonts w:hint="eastAsia" w:ascii="宋体" w:hAnsi="宋体" w:cs="宋体"/>
                <w:kern w:val="0"/>
                <w:sz w:val="18"/>
                <w:szCs w:val="18"/>
              </w:rPr>
            </w:pPr>
            <w:r>
              <w:rPr>
                <w:rFonts w:hint="eastAsia" w:ascii="宋体" w:hAnsi="宋体" w:cs="宋体"/>
                <w:kern w:val="0"/>
                <w:sz w:val="18"/>
                <w:szCs w:val="18"/>
              </w:rPr>
              <w:t>—</w:t>
            </w:r>
          </w:p>
        </w:tc>
        <w:tc>
          <w:tcPr>
            <w:tcW w:w="1173" w:type="dxa"/>
            <w:tcBorders>
              <w:top w:val="nil"/>
              <w:left w:val="nil"/>
              <w:bottom w:val="single" w:color="auto" w:sz="8" w:space="0"/>
              <w:right w:val="single" w:color="auto" w:sz="8" w:space="0"/>
            </w:tcBorders>
            <w:noWrap/>
            <w:vAlign w:val="bottom"/>
          </w:tcPr>
          <w:p>
            <w:pPr>
              <w:widowControl/>
              <w:jc w:val="center"/>
              <w:rPr>
                <w:rFonts w:hint="eastAsia" w:ascii="宋体" w:hAnsi="宋体" w:cs="宋体"/>
                <w:kern w:val="0"/>
                <w:sz w:val="18"/>
                <w:szCs w:val="18"/>
              </w:rPr>
            </w:pPr>
            <w:r>
              <w:rPr>
                <w:rFonts w:hint="eastAsia" w:ascii="宋体" w:hAnsi="宋体" w:cs="宋体"/>
                <w:kern w:val="0"/>
                <w:sz w:val="18"/>
                <w:szCs w:val="18"/>
              </w:rPr>
              <w:t>—</w:t>
            </w:r>
          </w:p>
        </w:tc>
        <w:tc>
          <w:tcPr>
            <w:tcW w:w="1146" w:type="dxa"/>
            <w:tcBorders>
              <w:top w:val="nil"/>
              <w:left w:val="nil"/>
              <w:bottom w:val="single" w:color="auto" w:sz="8" w:space="0"/>
              <w:right w:val="single" w:color="auto" w:sz="8" w:space="0"/>
            </w:tcBorders>
            <w:noWrap/>
            <w:vAlign w:val="bottom"/>
          </w:tcPr>
          <w:p>
            <w:pPr>
              <w:widowControl/>
              <w:jc w:val="center"/>
              <w:rPr>
                <w:rFonts w:hint="eastAsia" w:ascii="宋体" w:hAnsi="宋体" w:cs="宋体"/>
                <w:kern w:val="0"/>
                <w:sz w:val="18"/>
                <w:szCs w:val="18"/>
              </w:rPr>
            </w:pPr>
            <w:r>
              <w:rPr>
                <w:rFonts w:hint="eastAsia" w:ascii="宋体" w:hAnsi="宋体" w:cs="宋体"/>
                <w:kern w:val="0"/>
                <w:sz w:val="18"/>
                <w:szCs w:val="18"/>
              </w:rPr>
              <w:t>—</w:t>
            </w:r>
          </w:p>
        </w:tc>
        <w:tc>
          <w:tcPr>
            <w:tcW w:w="1107" w:type="dxa"/>
            <w:tcBorders>
              <w:top w:val="nil"/>
              <w:left w:val="nil"/>
              <w:bottom w:val="single" w:color="auto" w:sz="8" w:space="0"/>
              <w:right w:val="single" w:color="auto" w:sz="8" w:space="0"/>
            </w:tcBorders>
            <w:noWrap/>
            <w:vAlign w:val="bottom"/>
          </w:tcPr>
          <w:p>
            <w:pPr>
              <w:widowControl/>
              <w:jc w:val="center"/>
              <w:rPr>
                <w:rFonts w:hint="eastAsia" w:ascii="宋体" w:hAnsi="宋体" w:cs="宋体"/>
                <w:kern w:val="0"/>
                <w:sz w:val="18"/>
                <w:szCs w:val="18"/>
              </w:rPr>
            </w:pPr>
            <w:r>
              <w:rPr>
                <w:rFonts w:hint="eastAsia" w:ascii="宋体" w:hAnsi="宋体" w:cs="宋体"/>
                <w:kern w:val="0"/>
                <w:sz w:val="18"/>
                <w:szCs w:val="18"/>
              </w:rPr>
              <w:t>1.5</w:t>
            </w:r>
          </w:p>
        </w:tc>
      </w:tr>
      <w:tr>
        <w:tblPrEx>
          <w:tblCellMar>
            <w:top w:w="0" w:type="dxa"/>
            <w:left w:w="108" w:type="dxa"/>
            <w:bottom w:w="0" w:type="dxa"/>
            <w:right w:w="108" w:type="dxa"/>
          </w:tblCellMar>
        </w:tblPrEx>
        <w:trPr>
          <w:trHeight w:val="315" w:hRule="atLeast"/>
          <w:jc w:val="center"/>
        </w:trPr>
        <w:tc>
          <w:tcPr>
            <w:tcW w:w="1870" w:type="dxa"/>
            <w:tcBorders>
              <w:top w:val="nil"/>
              <w:left w:val="single" w:color="auto" w:sz="8" w:space="0"/>
              <w:bottom w:val="single" w:color="auto" w:sz="8" w:space="0"/>
              <w:right w:val="single" w:color="auto" w:sz="8" w:space="0"/>
            </w:tcBorders>
          </w:tcPr>
          <w:p>
            <w:pPr>
              <w:widowControl/>
              <w:jc w:val="center"/>
              <w:rPr>
                <w:rFonts w:hint="eastAsia" w:ascii="宋体" w:hAnsi="宋体" w:cs="宋体"/>
                <w:kern w:val="0"/>
                <w:sz w:val="18"/>
                <w:szCs w:val="18"/>
              </w:rPr>
            </w:pPr>
            <w:r>
              <w:rPr>
                <w:rFonts w:hint="eastAsia" w:ascii="宋体" w:hAnsi="宋体" w:cs="宋体"/>
                <w:kern w:val="0"/>
                <w:sz w:val="18"/>
                <w:szCs w:val="18"/>
              </w:rPr>
              <w:t>中翅片管</w:t>
            </w:r>
          </w:p>
        </w:tc>
        <w:tc>
          <w:tcPr>
            <w:tcW w:w="2027" w:type="dxa"/>
            <w:tcBorders>
              <w:top w:val="nil"/>
              <w:left w:val="nil"/>
              <w:bottom w:val="single" w:color="auto" w:sz="8" w:space="0"/>
              <w:right w:val="single" w:color="auto" w:sz="8" w:space="0"/>
            </w:tcBorders>
            <w:noWrap/>
            <w:vAlign w:val="bottom"/>
          </w:tcPr>
          <w:p>
            <w:pPr>
              <w:widowControl/>
              <w:jc w:val="center"/>
              <w:rPr>
                <w:rFonts w:hint="eastAsia" w:ascii="宋体" w:hAnsi="宋体" w:cs="宋体"/>
                <w:kern w:val="0"/>
                <w:sz w:val="18"/>
                <w:szCs w:val="18"/>
              </w:rPr>
            </w:pPr>
            <w:r>
              <w:rPr>
                <w:rFonts w:hint="eastAsia" w:ascii="宋体" w:hAnsi="宋体" w:cs="宋体"/>
                <w:kern w:val="0"/>
                <w:sz w:val="18"/>
                <w:szCs w:val="18"/>
              </w:rPr>
              <w:t>21.5</w:t>
            </w:r>
            <w:r>
              <w:rPr>
                <w:rFonts w:hint="eastAsia" w:ascii="宋体" w:hAnsi="宋体" w:cs="宋体"/>
                <w:kern w:val="0"/>
                <w:sz w:val="18"/>
                <w:szCs w:val="18"/>
              </w:rPr>
              <w:sym w:font="Symbol" w:char="F0B4"/>
            </w:r>
            <w:r>
              <w:rPr>
                <w:rFonts w:hint="eastAsia" w:ascii="宋体" w:hAnsi="宋体" w:cs="宋体"/>
                <w:kern w:val="0"/>
                <w:sz w:val="18"/>
                <w:szCs w:val="18"/>
              </w:rPr>
              <w:t>2.3</w:t>
            </w:r>
          </w:p>
        </w:tc>
        <w:tc>
          <w:tcPr>
            <w:tcW w:w="1127" w:type="dxa"/>
            <w:tcBorders>
              <w:top w:val="nil"/>
              <w:left w:val="nil"/>
              <w:bottom w:val="single" w:color="auto" w:sz="8" w:space="0"/>
              <w:right w:val="single" w:color="auto" w:sz="8" w:space="0"/>
            </w:tcBorders>
            <w:noWrap/>
            <w:vAlign w:val="bottom"/>
          </w:tcPr>
          <w:p>
            <w:pPr>
              <w:widowControl/>
              <w:jc w:val="center"/>
              <w:rPr>
                <w:rFonts w:hint="eastAsia" w:ascii="宋体" w:hAnsi="宋体" w:cs="宋体"/>
                <w:kern w:val="0"/>
                <w:sz w:val="18"/>
                <w:szCs w:val="18"/>
              </w:rPr>
            </w:pPr>
            <w:r>
              <w:rPr>
                <w:rFonts w:hint="eastAsia" w:ascii="宋体" w:hAnsi="宋体" w:cs="宋体"/>
                <w:kern w:val="0"/>
                <w:sz w:val="18"/>
                <w:szCs w:val="18"/>
              </w:rPr>
              <w:t>18.6</w:t>
            </w:r>
          </w:p>
        </w:tc>
        <w:tc>
          <w:tcPr>
            <w:tcW w:w="1118" w:type="dxa"/>
            <w:tcBorders>
              <w:top w:val="nil"/>
              <w:left w:val="nil"/>
              <w:bottom w:val="single" w:color="auto" w:sz="8" w:space="0"/>
              <w:right w:val="single" w:color="auto" w:sz="8" w:space="0"/>
            </w:tcBorders>
            <w:noWrap/>
            <w:vAlign w:val="bottom"/>
          </w:tcPr>
          <w:p>
            <w:pPr>
              <w:widowControl/>
              <w:jc w:val="center"/>
              <w:rPr>
                <w:rFonts w:hint="eastAsia" w:ascii="宋体" w:hAnsi="宋体" w:cs="宋体"/>
                <w:kern w:val="0"/>
                <w:sz w:val="18"/>
                <w:szCs w:val="18"/>
              </w:rPr>
            </w:pPr>
            <w:r>
              <w:rPr>
                <w:rFonts w:hint="eastAsia" w:ascii="宋体" w:hAnsi="宋体" w:cs="宋体"/>
                <w:kern w:val="0"/>
                <w:sz w:val="18"/>
                <w:szCs w:val="18"/>
              </w:rPr>
              <w:t>2.3</w:t>
            </w:r>
          </w:p>
        </w:tc>
        <w:tc>
          <w:tcPr>
            <w:tcW w:w="1319" w:type="dxa"/>
            <w:tcBorders>
              <w:top w:val="nil"/>
              <w:left w:val="nil"/>
              <w:bottom w:val="single" w:color="auto" w:sz="8" w:space="0"/>
              <w:right w:val="single" w:color="auto" w:sz="8" w:space="0"/>
            </w:tcBorders>
            <w:noWrap/>
            <w:vAlign w:val="bottom"/>
          </w:tcPr>
          <w:p>
            <w:pPr>
              <w:widowControl/>
              <w:jc w:val="center"/>
              <w:rPr>
                <w:rFonts w:hint="eastAsia" w:ascii="宋体" w:hAnsi="宋体" w:cs="宋体"/>
                <w:kern w:val="0"/>
                <w:sz w:val="18"/>
                <w:szCs w:val="18"/>
              </w:rPr>
            </w:pPr>
            <w:r>
              <w:rPr>
                <w:rFonts w:hint="eastAsia" w:ascii="宋体" w:hAnsi="宋体" w:cs="宋体"/>
                <w:kern w:val="0"/>
                <w:sz w:val="18"/>
                <w:szCs w:val="18"/>
              </w:rPr>
              <w:t>26</w:t>
            </w:r>
          </w:p>
        </w:tc>
        <w:tc>
          <w:tcPr>
            <w:tcW w:w="918" w:type="dxa"/>
            <w:tcBorders>
              <w:top w:val="nil"/>
              <w:left w:val="nil"/>
              <w:bottom w:val="single" w:color="auto" w:sz="8" w:space="0"/>
              <w:right w:val="single" w:color="auto" w:sz="8" w:space="0"/>
            </w:tcBorders>
            <w:noWrap/>
            <w:vAlign w:val="bottom"/>
          </w:tcPr>
          <w:p>
            <w:pPr>
              <w:widowControl/>
              <w:jc w:val="center"/>
              <w:rPr>
                <w:rFonts w:hint="eastAsia" w:ascii="宋体" w:hAnsi="宋体" w:cs="宋体"/>
                <w:kern w:val="0"/>
                <w:sz w:val="18"/>
                <w:szCs w:val="18"/>
              </w:rPr>
            </w:pPr>
            <w:r>
              <w:rPr>
                <w:rFonts w:hint="eastAsia" w:ascii="宋体" w:hAnsi="宋体" w:cs="宋体"/>
                <w:kern w:val="0"/>
                <w:sz w:val="18"/>
                <w:szCs w:val="18"/>
              </w:rPr>
              <w:t>2.8</w:t>
            </w:r>
          </w:p>
        </w:tc>
        <w:tc>
          <w:tcPr>
            <w:tcW w:w="1509" w:type="dxa"/>
            <w:tcBorders>
              <w:top w:val="nil"/>
              <w:left w:val="nil"/>
              <w:bottom w:val="single" w:color="auto" w:sz="8" w:space="0"/>
              <w:right w:val="single" w:color="auto" w:sz="8" w:space="0"/>
            </w:tcBorders>
            <w:noWrap/>
            <w:vAlign w:val="bottom"/>
          </w:tcPr>
          <w:p>
            <w:pPr>
              <w:widowControl/>
              <w:jc w:val="center"/>
              <w:rPr>
                <w:rFonts w:hint="eastAsia" w:ascii="宋体" w:hAnsi="宋体" w:cs="宋体"/>
                <w:kern w:val="0"/>
                <w:sz w:val="18"/>
                <w:szCs w:val="18"/>
              </w:rPr>
            </w:pPr>
            <w:r>
              <w:rPr>
                <w:rFonts w:hint="eastAsia" w:ascii="宋体" w:hAnsi="宋体" w:cs="宋体"/>
                <w:kern w:val="0"/>
                <w:sz w:val="18"/>
                <w:szCs w:val="18"/>
              </w:rPr>
              <w:t>13</w:t>
            </w:r>
          </w:p>
        </w:tc>
        <w:tc>
          <w:tcPr>
            <w:tcW w:w="1054" w:type="dxa"/>
            <w:tcBorders>
              <w:top w:val="nil"/>
              <w:left w:val="nil"/>
              <w:bottom w:val="single" w:color="auto" w:sz="8" w:space="0"/>
              <w:right w:val="single" w:color="auto" w:sz="8" w:space="0"/>
            </w:tcBorders>
            <w:noWrap/>
            <w:vAlign w:val="bottom"/>
          </w:tcPr>
          <w:p>
            <w:pPr>
              <w:widowControl/>
              <w:jc w:val="center"/>
              <w:rPr>
                <w:rFonts w:hint="eastAsia" w:ascii="宋体" w:hAnsi="宋体" w:cs="宋体"/>
                <w:kern w:val="0"/>
                <w:sz w:val="18"/>
                <w:szCs w:val="18"/>
              </w:rPr>
            </w:pPr>
            <w:r>
              <w:rPr>
                <w:rFonts w:hint="eastAsia" w:ascii="宋体" w:hAnsi="宋体" w:cs="宋体"/>
                <w:kern w:val="0"/>
                <w:sz w:val="18"/>
                <w:szCs w:val="18"/>
              </w:rPr>
              <w:t>—</w:t>
            </w:r>
          </w:p>
        </w:tc>
        <w:tc>
          <w:tcPr>
            <w:tcW w:w="1173" w:type="dxa"/>
            <w:tcBorders>
              <w:top w:val="nil"/>
              <w:left w:val="nil"/>
              <w:bottom w:val="single" w:color="auto" w:sz="8" w:space="0"/>
              <w:right w:val="single" w:color="auto" w:sz="8" w:space="0"/>
            </w:tcBorders>
            <w:noWrap/>
            <w:vAlign w:val="bottom"/>
          </w:tcPr>
          <w:p>
            <w:pPr>
              <w:widowControl/>
              <w:jc w:val="center"/>
              <w:rPr>
                <w:rFonts w:hint="eastAsia" w:ascii="宋体" w:hAnsi="宋体" w:cs="宋体"/>
                <w:kern w:val="0"/>
                <w:sz w:val="18"/>
                <w:szCs w:val="18"/>
              </w:rPr>
            </w:pPr>
            <w:r>
              <w:rPr>
                <w:rFonts w:hint="eastAsia" w:ascii="宋体" w:hAnsi="宋体" w:cs="宋体"/>
                <w:kern w:val="0"/>
                <w:sz w:val="18"/>
                <w:szCs w:val="18"/>
              </w:rPr>
              <w:t>—</w:t>
            </w:r>
          </w:p>
        </w:tc>
        <w:tc>
          <w:tcPr>
            <w:tcW w:w="1146" w:type="dxa"/>
            <w:tcBorders>
              <w:top w:val="nil"/>
              <w:left w:val="nil"/>
              <w:bottom w:val="single" w:color="auto" w:sz="8" w:space="0"/>
              <w:right w:val="single" w:color="auto" w:sz="8" w:space="0"/>
            </w:tcBorders>
            <w:noWrap/>
            <w:vAlign w:val="bottom"/>
          </w:tcPr>
          <w:p>
            <w:pPr>
              <w:widowControl/>
              <w:jc w:val="center"/>
              <w:rPr>
                <w:rFonts w:hint="eastAsia" w:ascii="宋体" w:hAnsi="宋体" w:cs="宋体"/>
                <w:kern w:val="0"/>
                <w:sz w:val="18"/>
                <w:szCs w:val="18"/>
              </w:rPr>
            </w:pPr>
            <w:r>
              <w:rPr>
                <w:rFonts w:hint="eastAsia" w:ascii="宋体" w:hAnsi="宋体" w:cs="宋体"/>
                <w:kern w:val="0"/>
                <w:sz w:val="18"/>
                <w:szCs w:val="18"/>
              </w:rPr>
              <w:t>—</w:t>
            </w:r>
          </w:p>
        </w:tc>
        <w:tc>
          <w:tcPr>
            <w:tcW w:w="1107" w:type="dxa"/>
            <w:tcBorders>
              <w:top w:val="nil"/>
              <w:left w:val="nil"/>
              <w:bottom w:val="single" w:color="auto" w:sz="8" w:space="0"/>
              <w:right w:val="single" w:color="auto" w:sz="8" w:space="0"/>
            </w:tcBorders>
            <w:noWrap/>
            <w:vAlign w:val="bottom"/>
          </w:tcPr>
          <w:p>
            <w:pPr>
              <w:widowControl/>
              <w:jc w:val="center"/>
              <w:rPr>
                <w:rFonts w:hint="eastAsia" w:ascii="宋体" w:hAnsi="宋体" w:cs="宋体"/>
                <w:kern w:val="0"/>
                <w:sz w:val="18"/>
                <w:szCs w:val="18"/>
              </w:rPr>
            </w:pPr>
            <w:r>
              <w:rPr>
                <w:rFonts w:hint="eastAsia" w:ascii="宋体" w:hAnsi="宋体" w:cs="宋体"/>
                <w:kern w:val="0"/>
                <w:sz w:val="18"/>
                <w:szCs w:val="18"/>
              </w:rPr>
              <w:t>1.3</w:t>
            </w:r>
          </w:p>
        </w:tc>
      </w:tr>
      <w:tr>
        <w:tblPrEx>
          <w:tblCellMar>
            <w:top w:w="0" w:type="dxa"/>
            <w:left w:w="108" w:type="dxa"/>
            <w:bottom w:w="0" w:type="dxa"/>
            <w:right w:w="108" w:type="dxa"/>
          </w:tblCellMar>
        </w:tblPrEx>
        <w:trPr>
          <w:trHeight w:val="315" w:hRule="atLeast"/>
          <w:jc w:val="center"/>
        </w:trPr>
        <w:tc>
          <w:tcPr>
            <w:tcW w:w="1870" w:type="dxa"/>
            <w:tcBorders>
              <w:top w:val="nil"/>
              <w:left w:val="single" w:color="auto" w:sz="8" w:space="0"/>
              <w:bottom w:val="single" w:color="auto" w:sz="8" w:space="0"/>
              <w:right w:val="single" w:color="auto" w:sz="8" w:space="0"/>
            </w:tcBorders>
          </w:tcPr>
          <w:p>
            <w:pPr>
              <w:widowControl/>
              <w:jc w:val="center"/>
              <w:rPr>
                <w:rFonts w:hint="eastAsia" w:ascii="宋体" w:hAnsi="宋体" w:cs="宋体"/>
                <w:kern w:val="0"/>
                <w:sz w:val="18"/>
                <w:szCs w:val="18"/>
              </w:rPr>
            </w:pPr>
            <w:r>
              <w:rPr>
                <w:rFonts w:hint="eastAsia" w:ascii="宋体" w:hAnsi="宋体" w:cs="宋体"/>
                <w:kern w:val="0"/>
                <w:sz w:val="18"/>
                <w:szCs w:val="18"/>
              </w:rPr>
              <w:t>中翅片管</w:t>
            </w:r>
          </w:p>
        </w:tc>
        <w:tc>
          <w:tcPr>
            <w:tcW w:w="2027" w:type="dxa"/>
            <w:tcBorders>
              <w:top w:val="nil"/>
              <w:left w:val="nil"/>
              <w:bottom w:val="single" w:color="auto" w:sz="8" w:space="0"/>
              <w:right w:val="single" w:color="auto" w:sz="8" w:space="0"/>
            </w:tcBorders>
            <w:noWrap/>
            <w:vAlign w:val="bottom"/>
          </w:tcPr>
          <w:p>
            <w:pPr>
              <w:widowControl/>
              <w:jc w:val="center"/>
              <w:rPr>
                <w:rFonts w:hint="eastAsia" w:ascii="宋体" w:hAnsi="宋体" w:cs="宋体"/>
                <w:kern w:val="0"/>
                <w:sz w:val="18"/>
                <w:szCs w:val="18"/>
              </w:rPr>
            </w:pPr>
            <w:r>
              <w:rPr>
                <w:rFonts w:hint="eastAsia" w:ascii="宋体" w:hAnsi="宋体" w:cs="宋体"/>
                <w:kern w:val="0"/>
                <w:sz w:val="18"/>
                <w:szCs w:val="18"/>
              </w:rPr>
              <w:t>19</w:t>
            </w:r>
            <w:r>
              <w:rPr>
                <w:rFonts w:hint="eastAsia" w:ascii="宋体" w:hAnsi="宋体" w:cs="宋体"/>
                <w:kern w:val="0"/>
                <w:sz w:val="18"/>
                <w:szCs w:val="18"/>
              </w:rPr>
              <w:sym w:font="Symbol" w:char="F0B4"/>
            </w:r>
            <w:r>
              <w:rPr>
                <w:rFonts w:hint="eastAsia" w:ascii="宋体" w:hAnsi="宋体" w:cs="宋体"/>
                <w:kern w:val="0"/>
                <w:sz w:val="18"/>
                <w:szCs w:val="18"/>
              </w:rPr>
              <w:t>2.1</w:t>
            </w:r>
          </w:p>
        </w:tc>
        <w:tc>
          <w:tcPr>
            <w:tcW w:w="1127" w:type="dxa"/>
            <w:tcBorders>
              <w:top w:val="nil"/>
              <w:left w:val="nil"/>
              <w:bottom w:val="single" w:color="auto" w:sz="8" w:space="0"/>
              <w:right w:val="single" w:color="auto" w:sz="8" w:space="0"/>
            </w:tcBorders>
            <w:noWrap/>
            <w:vAlign w:val="bottom"/>
          </w:tcPr>
          <w:p>
            <w:pPr>
              <w:widowControl/>
              <w:jc w:val="center"/>
              <w:rPr>
                <w:rFonts w:hint="eastAsia" w:ascii="宋体" w:hAnsi="宋体" w:cs="宋体"/>
                <w:kern w:val="0"/>
                <w:sz w:val="18"/>
                <w:szCs w:val="18"/>
              </w:rPr>
            </w:pPr>
            <w:r>
              <w:rPr>
                <w:rFonts w:hint="eastAsia" w:ascii="宋体" w:hAnsi="宋体" w:cs="宋体"/>
                <w:kern w:val="0"/>
                <w:sz w:val="18"/>
                <w:szCs w:val="18"/>
              </w:rPr>
              <w:t>17</w:t>
            </w:r>
          </w:p>
        </w:tc>
        <w:tc>
          <w:tcPr>
            <w:tcW w:w="1118" w:type="dxa"/>
            <w:tcBorders>
              <w:top w:val="nil"/>
              <w:left w:val="nil"/>
              <w:bottom w:val="single" w:color="auto" w:sz="8" w:space="0"/>
              <w:right w:val="single" w:color="auto" w:sz="8" w:space="0"/>
            </w:tcBorders>
            <w:noWrap/>
            <w:vAlign w:val="bottom"/>
          </w:tcPr>
          <w:p>
            <w:pPr>
              <w:widowControl/>
              <w:jc w:val="center"/>
              <w:rPr>
                <w:rFonts w:hint="eastAsia" w:ascii="宋体" w:hAnsi="宋体" w:cs="宋体"/>
                <w:kern w:val="0"/>
                <w:sz w:val="18"/>
                <w:szCs w:val="18"/>
              </w:rPr>
            </w:pPr>
            <w:r>
              <w:rPr>
                <w:rFonts w:hint="eastAsia" w:ascii="宋体" w:hAnsi="宋体" w:cs="宋体"/>
                <w:kern w:val="0"/>
                <w:sz w:val="18"/>
                <w:szCs w:val="18"/>
              </w:rPr>
              <w:t>2.1</w:t>
            </w:r>
          </w:p>
        </w:tc>
        <w:tc>
          <w:tcPr>
            <w:tcW w:w="1319" w:type="dxa"/>
            <w:tcBorders>
              <w:top w:val="nil"/>
              <w:left w:val="nil"/>
              <w:bottom w:val="single" w:color="auto" w:sz="8" w:space="0"/>
              <w:right w:val="single" w:color="auto" w:sz="8" w:space="0"/>
            </w:tcBorders>
            <w:noWrap/>
            <w:vAlign w:val="bottom"/>
          </w:tcPr>
          <w:p>
            <w:pPr>
              <w:widowControl/>
              <w:jc w:val="center"/>
              <w:rPr>
                <w:rFonts w:hint="eastAsia" w:ascii="宋体" w:hAnsi="宋体" w:cs="宋体"/>
                <w:kern w:val="0"/>
                <w:sz w:val="18"/>
                <w:szCs w:val="18"/>
              </w:rPr>
            </w:pPr>
            <w:r>
              <w:rPr>
                <w:rFonts w:hint="eastAsia" w:ascii="宋体" w:hAnsi="宋体" w:cs="宋体"/>
                <w:kern w:val="0"/>
                <w:sz w:val="18"/>
                <w:szCs w:val="18"/>
              </w:rPr>
              <w:t>26</w:t>
            </w:r>
          </w:p>
        </w:tc>
        <w:tc>
          <w:tcPr>
            <w:tcW w:w="918" w:type="dxa"/>
            <w:tcBorders>
              <w:top w:val="nil"/>
              <w:left w:val="nil"/>
              <w:bottom w:val="single" w:color="auto" w:sz="8" w:space="0"/>
              <w:right w:val="single" w:color="auto" w:sz="8" w:space="0"/>
            </w:tcBorders>
            <w:noWrap/>
            <w:vAlign w:val="bottom"/>
          </w:tcPr>
          <w:p>
            <w:pPr>
              <w:widowControl/>
              <w:jc w:val="center"/>
              <w:rPr>
                <w:rFonts w:hint="eastAsia" w:ascii="宋体" w:hAnsi="宋体" w:cs="宋体"/>
                <w:kern w:val="0"/>
                <w:sz w:val="18"/>
                <w:szCs w:val="18"/>
              </w:rPr>
            </w:pPr>
            <w:r>
              <w:rPr>
                <w:rFonts w:hint="eastAsia" w:ascii="宋体" w:hAnsi="宋体" w:cs="宋体"/>
                <w:kern w:val="0"/>
                <w:sz w:val="18"/>
                <w:szCs w:val="18"/>
              </w:rPr>
              <w:t>2.3</w:t>
            </w:r>
          </w:p>
        </w:tc>
        <w:tc>
          <w:tcPr>
            <w:tcW w:w="1509" w:type="dxa"/>
            <w:tcBorders>
              <w:top w:val="nil"/>
              <w:left w:val="nil"/>
              <w:bottom w:val="single" w:color="auto" w:sz="8" w:space="0"/>
              <w:right w:val="single" w:color="auto" w:sz="8" w:space="0"/>
            </w:tcBorders>
            <w:noWrap/>
            <w:vAlign w:val="bottom"/>
          </w:tcPr>
          <w:p>
            <w:pPr>
              <w:widowControl/>
              <w:jc w:val="center"/>
              <w:rPr>
                <w:rFonts w:hint="eastAsia" w:ascii="宋体" w:hAnsi="宋体" w:cs="宋体"/>
                <w:kern w:val="0"/>
                <w:sz w:val="18"/>
                <w:szCs w:val="18"/>
              </w:rPr>
            </w:pPr>
            <w:r>
              <w:rPr>
                <w:rFonts w:hint="eastAsia" w:ascii="宋体" w:hAnsi="宋体" w:cs="宋体"/>
                <w:kern w:val="0"/>
                <w:sz w:val="18"/>
                <w:szCs w:val="18"/>
              </w:rPr>
              <w:t>13</w:t>
            </w:r>
          </w:p>
        </w:tc>
        <w:tc>
          <w:tcPr>
            <w:tcW w:w="1054" w:type="dxa"/>
            <w:tcBorders>
              <w:top w:val="nil"/>
              <w:left w:val="nil"/>
              <w:bottom w:val="single" w:color="auto" w:sz="8" w:space="0"/>
              <w:right w:val="single" w:color="auto" w:sz="8" w:space="0"/>
            </w:tcBorders>
            <w:noWrap/>
            <w:vAlign w:val="bottom"/>
          </w:tcPr>
          <w:p>
            <w:pPr>
              <w:widowControl/>
              <w:jc w:val="center"/>
              <w:rPr>
                <w:rFonts w:hint="eastAsia" w:ascii="宋体" w:hAnsi="宋体" w:cs="宋体"/>
                <w:kern w:val="0"/>
                <w:sz w:val="18"/>
                <w:szCs w:val="18"/>
              </w:rPr>
            </w:pPr>
            <w:r>
              <w:rPr>
                <w:rFonts w:hint="eastAsia" w:ascii="宋体" w:hAnsi="宋体" w:cs="宋体"/>
                <w:kern w:val="0"/>
                <w:sz w:val="18"/>
                <w:szCs w:val="18"/>
              </w:rPr>
              <w:t>—</w:t>
            </w:r>
          </w:p>
        </w:tc>
        <w:tc>
          <w:tcPr>
            <w:tcW w:w="1173" w:type="dxa"/>
            <w:tcBorders>
              <w:top w:val="nil"/>
              <w:left w:val="nil"/>
              <w:bottom w:val="single" w:color="auto" w:sz="8" w:space="0"/>
              <w:right w:val="single" w:color="auto" w:sz="8" w:space="0"/>
            </w:tcBorders>
            <w:noWrap/>
            <w:vAlign w:val="bottom"/>
          </w:tcPr>
          <w:p>
            <w:pPr>
              <w:widowControl/>
              <w:jc w:val="center"/>
              <w:rPr>
                <w:rFonts w:hint="eastAsia" w:ascii="宋体" w:hAnsi="宋体" w:cs="宋体"/>
                <w:kern w:val="0"/>
                <w:sz w:val="18"/>
                <w:szCs w:val="18"/>
              </w:rPr>
            </w:pPr>
            <w:r>
              <w:rPr>
                <w:rFonts w:hint="eastAsia" w:ascii="宋体" w:hAnsi="宋体" w:cs="宋体"/>
                <w:kern w:val="0"/>
                <w:sz w:val="18"/>
                <w:szCs w:val="18"/>
              </w:rPr>
              <w:t>—</w:t>
            </w:r>
          </w:p>
        </w:tc>
        <w:tc>
          <w:tcPr>
            <w:tcW w:w="1146" w:type="dxa"/>
            <w:tcBorders>
              <w:top w:val="nil"/>
              <w:left w:val="nil"/>
              <w:bottom w:val="single" w:color="auto" w:sz="8" w:space="0"/>
              <w:right w:val="single" w:color="auto" w:sz="8" w:space="0"/>
            </w:tcBorders>
            <w:noWrap/>
            <w:vAlign w:val="bottom"/>
          </w:tcPr>
          <w:p>
            <w:pPr>
              <w:widowControl/>
              <w:jc w:val="center"/>
              <w:rPr>
                <w:rFonts w:hint="eastAsia" w:ascii="宋体" w:hAnsi="宋体" w:cs="宋体"/>
                <w:kern w:val="0"/>
                <w:sz w:val="18"/>
                <w:szCs w:val="18"/>
              </w:rPr>
            </w:pPr>
            <w:r>
              <w:rPr>
                <w:rFonts w:hint="eastAsia" w:ascii="宋体" w:hAnsi="宋体" w:cs="宋体"/>
                <w:kern w:val="0"/>
                <w:sz w:val="18"/>
                <w:szCs w:val="18"/>
              </w:rPr>
              <w:t>—</w:t>
            </w:r>
          </w:p>
        </w:tc>
        <w:tc>
          <w:tcPr>
            <w:tcW w:w="1107" w:type="dxa"/>
            <w:tcBorders>
              <w:top w:val="nil"/>
              <w:left w:val="nil"/>
              <w:bottom w:val="single" w:color="auto" w:sz="8" w:space="0"/>
              <w:right w:val="single" w:color="auto" w:sz="8" w:space="0"/>
            </w:tcBorders>
            <w:noWrap/>
            <w:vAlign w:val="bottom"/>
          </w:tcPr>
          <w:p>
            <w:pPr>
              <w:widowControl/>
              <w:jc w:val="center"/>
              <w:rPr>
                <w:rFonts w:hint="eastAsia" w:ascii="宋体" w:hAnsi="宋体" w:cs="宋体"/>
                <w:kern w:val="0"/>
                <w:sz w:val="18"/>
                <w:szCs w:val="18"/>
              </w:rPr>
            </w:pPr>
            <w:r>
              <w:rPr>
                <w:rFonts w:hint="eastAsia" w:ascii="宋体" w:hAnsi="宋体" w:cs="宋体"/>
                <w:kern w:val="0"/>
                <w:sz w:val="18"/>
                <w:szCs w:val="18"/>
              </w:rPr>
              <w:t>1.3</w:t>
            </w:r>
          </w:p>
        </w:tc>
      </w:tr>
      <w:bookmarkEnd w:id="73"/>
    </w:tbl>
    <w:p>
      <w:pPr>
        <w:autoSpaceDE w:val="0"/>
        <w:autoSpaceDN w:val="0"/>
        <w:adjustRightInd w:val="0"/>
        <w:jc w:val="left"/>
        <w:rPr>
          <w:color w:val="000000"/>
          <w:u w:val="single"/>
        </w:rPr>
      </w:pPr>
    </w:p>
    <w:p>
      <w:pPr>
        <w:pStyle w:val="47"/>
        <w:shd w:val="clear" w:color="auto" w:fill="auto"/>
        <w:spacing w:before="0" w:line="317" w:lineRule="exact"/>
        <w:ind w:right="200" w:firstLine="0"/>
        <w:jc w:val="center"/>
        <w:rPr>
          <w:rStyle w:val="48"/>
          <w:rFonts w:ascii="Times New Roman" w:hAnsi="Times New Roman" w:eastAsia="黑体"/>
          <w:color w:val="000000"/>
          <w:szCs w:val="21"/>
        </w:rPr>
      </w:pPr>
    </w:p>
    <w:p>
      <w:pPr>
        <w:pStyle w:val="47"/>
        <w:shd w:val="clear" w:color="auto" w:fill="auto"/>
        <w:spacing w:before="0" w:line="317" w:lineRule="exact"/>
        <w:ind w:right="200" w:firstLine="0"/>
        <w:jc w:val="center"/>
        <w:rPr>
          <w:rStyle w:val="48"/>
          <w:rFonts w:ascii="Times New Roman" w:hAnsi="Times New Roman" w:eastAsia="黑体"/>
          <w:color w:val="000000"/>
          <w:szCs w:val="21"/>
        </w:rPr>
      </w:pPr>
    </w:p>
    <w:p>
      <w:pPr>
        <w:pStyle w:val="47"/>
        <w:shd w:val="clear" w:color="auto" w:fill="auto"/>
        <w:spacing w:before="0" w:line="317" w:lineRule="exact"/>
        <w:ind w:right="200" w:firstLine="0"/>
        <w:jc w:val="center"/>
        <w:rPr>
          <w:rStyle w:val="48"/>
          <w:rFonts w:ascii="Times New Roman" w:hAnsi="Times New Roman" w:eastAsia="黑体"/>
          <w:color w:val="000000"/>
          <w:szCs w:val="21"/>
        </w:rPr>
      </w:pPr>
    </w:p>
    <w:p>
      <w:pPr>
        <w:pStyle w:val="47"/>
        <w:shd w:val="clear" w:color="auto" w:fill="auto"/>
        <w:spacing w:before="0" w:line="317" w:lineRule="exact"/>
        <w:ind w:right="200" w:firstLine="0"/>
        <w:jc w:val="center"/>
        <w:rPr>
          <w:rStyle w:val="48"/>
          <w:rFonts w:ascii="Times New Roman" w:hAnsi="Times New Roman" w:eastAsia="黑体"/>
          <w:color w:val="000000"/>
          <w:szCs w:val="21"/>
        </w:rPr>
      </w:pPr>
    </w:p>
    <w:p>
      <w:pPr>
        <w:pStyle w:val="47"/>
        <w:shd w:val="clear" w:color="auto" w:fill="auto"/>
        <w:spacing w:before="0" w:line="317" w:lineRule="exact"/>
        <w:ind w:right="200" w:firstLine="0"/>
        <w:jc w:val="center"/>
        <w:rPr>
          <w:rStyle w:val="48"/>
          <w:rFonts w:ascii="Times New Roman" w:hAnsi="Times New Roman" w:eastAsia="黑体"/>
          <w:color w:val="000000"/>
          <w:szCs w:val="21"/>
        </w:rPr>
      </w:pPr>
    </w:p>
    <w:p>
      <w:pPr>
        <w:pStyle w:val="47"/>
        <w:shd w:val="clear" w:color="auto" w:fill="auto"/>
        <w:spacing w:before="0" w:line="317" w:lineRule="exact"/>
        <w:ind w:right="200" w:firstLine="0"/>
        <w:jc w:val="center"/>
        <w:rPr>
          <w:rStyle w:val="48"/>
          <w:rFonts w:ascii="Times New Roman" w:hAnsi="Times New Roman" w:eastAsia="黑体"/>
          <w:color w:val="000000"/>
          <w:szCs w:val="21"/>
        </w:rPr>
      </w:pPr>
    </w:p>
    <w:p>
      <w:pPr>
        <w:pStyle w:val="47"/>
        <w:shd w:val="clear" w:color="auto" w:fill="auto"/>
        <w:spacing w:before="0" w:line="317" w:lineRule="exact"/>
        <w:ind w:right="200" w:firstLine="0"/>
        <w:jc w:val="center"/>
        <w:rPr>
          <w:rStyle w:val="48"/>
          <w:rFonts w:ascii="Times New Roman" w:hAnsi="Times New Roman" w:eastAsia="黑体"/>
          <w:color w:val="000000"/>
          <w:szCs w:val="21"/>
        </w:rPr>
      </w:pPr>
    </w:p>
    <w:p>
      <w:pPr>
        <w:pStyle w:val="47"/>
        <w:shd w:val="clear" w:color="auto" w:fill="auto"/>
        <w:spacing w:before="0" w:line="317" w:lineRule="exact"/>
        <w:ind w:right="200" w:firstLine="0"/>
        <w:jc w:val="center"/>
        <w:rPr>
          <w:rStyle w:val="48"/>
          <w:rFonts w:ascii="Times New Roman" w:hAnsi="Times New Roman" w:eastAsia="黑体"/>
          <w:color w:val="000000"/>
          <w:szCs w:val="21"/>
        </w:rPr>
      </w:pPr>
    </w:p>
    <w:p>
      <w:pPr>
        <w:pStyle w:val="47"/>
        <w:shd w:val="clear" w:color="auto" w:fill="auto"/>
        <w:spacing w:before="0" w:line="317" w:lineRule="exact"/>
        <w:ind w:right="200" w:firstLine="0"/>
        <w:jc w:val="center"/>
        <w:rPr>
          <w:rStyle w:val="48"/>
          <w:rFonts w:ascii="Times New Roman" w:hAnsi="Times New Roman" w:eastAsia="黑体"/>
          <w:color w:val="000000"/>
          <w:szCs w:val="21"/>
        </w:rPr>
      </w:pPr>
    </w:p>
    <w:p>
      <w:pPr>
        <w:pStyle w:val="47"/>
        <w:shd w:val="clear" w:color="auto" w:fill="auto"/>
        <w:spacing w:before="0" w:line="317" w:lineRule="exact"/>
        <w:ind w:right="200" w:firstLine="0"/>
        <w:jc w:val="center"/>
        <w:rPr>
          <w:rStyle w:val="48"/>
          <w:rFonts w:ascii="Times New Roman" w:hAnsi="Times New Roman" w:eastAsia="黑体"/>
          <w:color w:val="000000"/>
          <w:szCs w:val="21"/>
        </w:rPr>
      </w:pPr>
    </w:p>
    <w:p>
      <w:pPr>
        <w:pStyle w:val="47"/>
        <w:shd w:val="clear" w:color="auto" w:fill="auto"/>
        <w:spacing w:before="0" w:line="317" w:lineRule="exact"/>
        <w:ind w:right="200" w:firstLine="0"/>
        <w:jc w:val="center"/>
        <w:rPr>
          <w:rStyle w:val="48"/>
          <w:rFonts w:ascii="Times New Roman" w:hAnsi="Times New Roman" w:eastAsia="黑体"/>
          <w:color w:val="000000"/>
          <w:szCs w:val="21"/>
        </w:rPr>
      </w:pPr>
    </w:p>
    <w:p>
      <w:pPr>
        <w:pStyle w:val="47"/>
        <w:shd w:val="clear" w:color="auto" w:fill="auto"/>
        <w:spacing w:before="0" w:line="317" w:lineRule="exact"/>
        <w:ind w:right="200" w:firstLine="0"/>
        <w:jc w:val="center"/>
        <w:rPr>
          <w:rStyle w:val="48"/>
          <w:rFonts w:ascii="Times New Roman" w:hAnsi="Times New Roman" w:eastAsia="黑体"/>
          <w:color w:val="000000"/>
          <w:szCs w:val="21"/>
        </w:rPr>
      </w:pPr>
    </w:p>
    <w:p>
      <w:pPr>
        <w:pStyle w:val="47"/>
        <w:shd w:val="clear" w:color="auto" w:fill="auto"/>
        <w:spacing w:before="0" w:line="317" w:lineRule="exact"/>
        <w:ind w:right="200" w:firstLine="0"/>
        <w:jc w:val="center"/>
        <w:rPr>
          <w:rStyle w:val="48"/>
          <w:rFonts w:ascii="Times New Roman" w:hAnsi="Times New Roman" w:eastAsia="黑体"/>
          <w:color w:val="000000"/>
          <w:szCs w:val="21"/>
        </w:rPr>
      </w:pPr>
    </w:p>
    <w:p>
      <w:pPr>
        <w:pStyle w:val="47"/>
        <w:shd w:val="clear" w:color="auto" w:fill="auto"/>
        <w:spacing w:before="0" w:line="317" w:lineRule="exact"/>
        <w:ind w:right="200" w:firstLine="0"/>
        <w:jc w:val="center"/>
        <w:rPr>
          <w:rStyle w:val="48"/>
          <w:rFonts w:ascii="Times New Roman" w:hAnsi="Times New Roman" w:eastAsia="黑体"/>
          <w:color w:val="000000"/>
          <w:szCs w:val="21"/>
        </w:rPr>
      </w:pPr>
    </w:p>
    <w:p>
      <w:pPr>
        <w:pStyle w:val="47"/>
        <w:shd w:val="clear" w:color="auto" w:fill="auto"/>
        <w:spacing w:before="0" w:line="317" w:lineRule="exact"/>
        <w:ind w:right="200" w:firstLine="0"/>
        <w:jc w:val="center"/>
        <w:rPr>
          <w:rStyle w:val="48"/>
          <w:rFonts w:ascii="Times New Roman" w:hAnsi="Times New Roman" w:eastAsia="黑体"/>
          <w:color w:val="000000"/>
          <w:szCs w:val="21"/>
        </w:rPr>
      </w:pPr>
    </w:p>
    <w:p>
      <w:pPr>
        <w:pStyle w:val="47"/>
        <w:shd w:val="clear" w:color="auto" w:fill="auto"/>
        <w:spacing w:before="0" w:line="317" w:lineRule="exact"/>
        <w:ind w:right="200" w:firstLine="0"/>
        <w:jc w:val="center"/>
        <w:rPr>
          <w:rStyle w:val="48"/>
          <w:rFonts w:ascii="Times New Roman" w:hAnsi="Times New Roman" w:eastAsia="黑体"/>
          <w:color w:val="000000"/>
          <w:szCs w:val="21"/>
        </w:rPr>
      </w:pPr>
    </w:p>
    <w:p>
      <w:pPr>
        <w:pStyle w:val="47"/>
        <w:shd w:val="clear" w:color="auto" w:fill="auto"/>
        <w:spacing w:before="0" w:line="317" w:lineRule="exact"/>
        <w:ind w:right="200" w:firstLine="0"/>
        <w:jc w:val="center"/>
        <w:rPr>
          <w:rStyle w:val="48"/>
          <w:rFonts w:ascii="Times New Roman" w:hAnsi="Times New Roman" w:eastAsia="黑体"/>
          <w:color w:val="000000"/>
          <w:szCs w:val="21"/>
        </w:rPr>
      </w:pPr>
    </w:p>
    <w:p>
      <w:pPr>
        <w:pStyle w:val="47"/>
        <w:shd w:val="clear" w:color="auto" w:fill="auto"/>
        <w:spacing w:before="0" w:line="317" w:lineRule="exact"/>
        <w:ind w:right="200" w:firstLine="0"/>
        <w:jc w:val="center"/>
        <w:rPr>
          <w:rStyle w:val="48"/>
          <w:rFonts w:ascii="Times New Roman" w:hAnsi="Times New Roman" w:eastAsia="黑体"/>
          <w:color w:val="000000"/>
          <w:szCs w:val="21"/>
        </w:rPr>
      </w:pPr>
    </w:p>
    <w:p>
      <w:pPr>
        <w:pStyle w:val="47"/>
        <w:shd w:val="clear" w:color="auto" w:fill="auto"/>
        <w:spacing w:before="0" w:line="317" w:lineRule="exact"/>
        <w:ind w:right="200" w:firstLine="0"/>
        <w:jc w:val="center"/>
        <w:rPr>
          <w:rStyle w:val="48"/>
          <w:rFonts w:ascii="Times New Roman" w:hAnsi="Times New Roman" w:eastAsia="黑体"/>
          <w:color w:val="000000"/>
          <w:szCs w:val="21"/>
        </w:rPr>
      </w:pPr>
    </w:p>
    <w:p>
      <w:pPr>
        <w:pStyle w:val="47"/>
        <w:shd w:val="clear" w:color="auto" w:fill="auto"/>
        <w:spacing w:before="0" w:line="317" w:lineRule="exact"/>
        <w:ind w:right="200" w:firstLine="0"/>
        <w:jc w:val="center"/>
        <w:rPr>
          <w:rStyle w:val="48"/>
          <w:rFonts w:ascii="Times New Roman" w:hAnsi="Times New Roman" w:eastAsia="黑体"/>
          <w:color w:val="000000"/>
          <w:szCs w:val="21"/>
        </w:rPr>
      </w:pPr>
    </w:p>
    <w:p>
      <w:pPr>
        <w:pStyle w:val="47"/>
        <w:shd w:val="clear" w:color="auto" w:fill="auto"/>
        <w:spacing w:before="0" w:line="317" w:lineRule="exact"/>
        <w:ind w:right="200" w:firstLine="0"/>
        <w:jc w:val="center"/>
        <w:rPr>
          <w:rStyle w:val="48"/>
          <w:rFonts w:ascii="Times New Roman" w:hAnsi="Times New Roman" w:eastAsia="黑体"/>
          <w:color w:val="000000"/>
          <w:szCs w:val="21"/>
        </w:rPr>
      </w:pPr>
    </w:p>
    <w:p>
      <w:pPr>
        <w:pStyle w:val="47"/>
        <w:shd w:val="clear" w:color="auto" w:fill="auto"/>
        <w:spacing w:before="0" w:line="317" w:lineRule="exact"/>
        <w:ind w:right="200" w:firstLine="0"/>
        <w:jc w:val="center"/>
        <w:rPr>
          <w:rStyle w:val="48"/>
          <w:rFonts w:ascii="Times New Roman" w:hAnsi="Times New Roman" w:eastAsia="黑体"/>
          <w:color w:val="000000"/>
          <w:szCs w:val="21"/>
        </w:rPr>
      </w:pPr>
    </w:p>
    <w:p>
      <w:pPr>
        <w:pStyle w:val="47"/>
        <w:shd w:val="clear" w:color="auto" w:fill="auto"/>
        <w:spacing w:before="0" w:line="317" w:lineRule="exact"/>
        <w:ind w:right="200" w:firstLine="0"/>
        <w:jc w:val="center"/>
        <w:rPr>
          <w:rStyle w:val="48"/>
          <w:rFonts w:ascii="Times New Roman" w:hAnsi="Times New Roman" w:eastAsia="黑体"/>
          <w:color w:val="000000"/>
          <w:szCs w:val="21"/>
        </w:rPr>
      </w:pPr>
    </w:p>
    <w:p>
      <w:pPr>
        <w:pStyle w:val="47"/>
        <w:shd w:val="clear" w:color="auto" w:fill="auto"/>
        <w:spacing w:before="0" w:line="317" w:lineRule="exact"/>
        <w:ind w:right="200" w:firstLine="0"/>
        <w:jc w:val="center"/>
        <w:rPr>
          <w:rStyle w:val="48"/>
          <w:rFonts w:ascii="Times New Roman" w:hAnsi="Times New Roman" w:eastAsia="黑体"/>
          <w:color w:val="000000"/>
          <w:szCs w:val="21"/>
        </w:rPr>
      </w:pPr>
    </w:p>
    <w:p>
      <w:pPr>
        <w:pStyle w:val="47"/>
        <w:shd w:val="clear" w:color="auto" w:fill="auto"/>
        <w:spacing w:before="0" w:line="317" w:lineRule="exact"/>
        <w:ind w:right="200" w:firstLine="0"/>
        <w:jc w:val="center"/>
        <w:rPr>
          <w:rStyle w:val="48"/>
          <w:rFonts w:ascii="Times New Roman" w:hAnsi="Times New Roman" w:eastAsia="黑体"/>
          <w:color w:val="000000"/>
          <w:szCs w:val="21"/>
        </w:rPr>
      </w:pPr>
    </w:p>
    <w:p>
      <w:pPr>
        <w:pStyle w:val="47"/>
        <w:shd w:val="clear" w:color="auto" w:fill="auto"/>
        <w:spacing w:before="0" w:line="317" w:lineRule="exact"/>
        <w:ind w:right="200" w:firstLine="0"/>
        <w:jc w:val="center"/>
        <w:rPr>
          <w:rStyle w:val="48"/>
          <w:rFonts w:ascii="Times New Roman" w:hAnsi="Times New Roman" w:eastAsia="黑体"/>
          <w:color w:val="000000"/>
          <w:szCs w:val="21"/>
        </w:rPr>
      </w:pPr>
    </w:p>
    <w:p>
      <w:pPr>
        <w:pStyle w:val="47"/>
        <w:shd w:val="clear" w:color="auto" w:fill="auto"/>
        <w:spacing w:before="0" w:line="317" w:lineRule="exact"/>
        <w:ind w:right="200" w:firstLine="0"/>
        <w:jc w:val="both"/>
        <w:rPr>
          <w:rStyle w:val="48"/>
          <w:rFonts w:ascii="Times New Roman" w:hAnsi="Times New Roman" w:eastAsia="黑体"/>
          <w:color w:val="000000"/>
          <w:szCs w:val="21"/>
        </w:rPr>
        <w:sectPr>
          <w:pgSz w:w="16838" w:h="11906" w:orient="landscape"/>
          <w:pgMar w:top="1134" w:right="1247" w:bottom="1418" w:left="1134" w:header="851" w:footer="992" w:gutter="0"/>
          <w:pgNumType w:start="1"/>
          <w:cols w:space="425" w:num="1"/>
          <w:titlePg/>
          <w:docGrid w:type="lines" w:linePitch="312" w:charSpace="0"/>
        </w:sectPr>
      </w:pPr>
    </w:p>
    <w:p>
      <w:pPr>
        <w:pStyle w:val="47"/>
        <w:shd w:val="clear" w:color="auto" w:fill="auto"/>
        <w:spacing w:before="0" w:line="317" w:lineRule="exact"/>
        <w:ind w:right="200" w:firstLine="0"/>
        <w:jc w:val="both"/>
        <w:rPr>
          <w:rStyle w:val="48"/>
          <w:rFonts w:hint="eastAsia" w:ascii="黑体" w:hAnsi="黑体" w:eastAsia="黑体" w:cs="黑体"/>
          <w:color w:val="000000"/>
          <w:szCs w:val="21"/>
        </w:rPr>
      </w:pPr>
    </w:p>
    <w:p>
      <w:pPr>
        <w:pStyle w:val="47"/>
        <w:shd w:val="clear" w:color="auto" w:fill="auto"/>
        <w:spacing w:before="0" w:line="317" w:lineRule="exact"/>
        <w:ind w:right="200" w:firstLine="0"/>
        <w:jc w:val="center"/>
        <w:rPr>
          <w:rStyle w:val="48"/>
          <w:rFonts w:hint="eastAsia" w:ascii="黑体" w:hAnsi="黑体" w:eastAsia="黑体" w:cs="黑体"/>
          <w:color w:val="000000"/>
          <w:sz w:val="21"/>
          <w:szCs w:val="21"/>
        </w:rPr>
      </w:pPr>
      <w:r>
        <w:rPr>
          <w:rStyle w:val="48"/>
          <w:rFonts w:hint="eastAsia" w:ascii="黑体" w:hAnsi="黑体" w:eastAsia="黑体" w:cs="黑体"/>
          <w:color w:val="000000"/>
          <w:sz w:val="21"/>
          <w:szCs w:val="21"/>
        </w:rPr>
        <w:t>附录</w:t>
      </w:r>
      <w:r>
        <w:rPr>
          <w:rStyle w:val="48"/>
          <w:rFonts w:ascii="黑体" w:hAnsi="黑体" w:eastAsia="黑体" w:cs="黑体"/>
          <w:color w:val="000000"/>
          <w:sz w:val="21"/>
          <w:szCs w:val="21"/>
        </w:rPr>
        <w:t xml:space="preserve">B </w:t>
      </w:r>
    </w:p>
    <w:p>
      <w:pPr>
        <w:pStyle w:val="47"/>
        <w:shd w:val="clear" w:color="auto" w:fill="auto"/>
        <w:spacing w:before="0" w:line="317" w:lineRule="exact"/>
        <w:ind w:right="200" w:firstLine="0"/>
        <w:jc w:val="center"/>
        <w:rPr>
          <w:rStyle w:val="48"/>
          <w:rFonts w:hint="eastAsia" w:ascii="黑体" w:hAnsi="黑体" w:eastAsia="黑体" w:cs="黑体"/>
          <w:color w:val="000000"/>
          <w:sz w:val="21"/>
          <w:szCs w:val="21"/>
        </w:rPr>
      </w:pPr>
      <w:r>
        <w:rPr>
          <w:rStyle w:val="48"/>
          <w:rFonts w:hint="eastAsia" w:ascii="黑体" w:hAnsi="黑体" w:eastAsia="黑体" w:cs="黑体"/>
          <w:color w:val="000000"/>
          <w:sz w:val="21"/>
          <w:szCs w:val="21"/>
        </w:rPr>
        <w:t>（规范性）</w:t>
      </w:r>
    </w:p>
    <w:p>
      <w:pPr>
        <w:pStyle w:val="47"/>
        <w:shd w:val="clear" w:color="auto" w:fill="auto"/>
        <w:spacing w:before="0" w:line="317" w:lineRule="exact"/>
        <w:ind w:right="200" w:firstLine="0"/>
        <w:jc w:val="center"/>
        <w:rPr>
          <w:rStyle w:val="48"/>
          <w:rFonts w:hint="eastAsia" w:ascii="黑体" w:hAnsi="黑体" w:eastAsia="黑体" w:cs="黑体"/>
          <w:color w:val="000000"/>
          <w:sz w:val="21"/>
          <w:szCs w:val="21"/>
        </w:rPr>
      </w:pPr>
      <w:r>
        <w:rPr>
          <w:rStyle w:val="48"/>
          <w:rFonts w:hint="eastAsia" w:ascii="黑体" w:hAnsi="黑体" w:eastAsia="黑体" w:cs="黑体"/>
          <w:color w:val="000000"/>
          <w:sz w:val="21"/>
          <w:szCs w:val="21"/>
        </w:rPr>
        <w:t>管材磁饱和探伤测定方法</w:t>
      </w:r>
    </w:p>
    <w:p>
      <w:pPr>
        <w:pStyle w:val="47"/>
        <w:shd w:val="clear" w:color="auto" w:fill="auto"/>
        <w:spacing w:before="0" w:line="317" w:lineRule="exact"/>
        <w:ind w:right="200" w:firstLine="0"/>
        <w:jc w:val="center"/>
        <w:rPr>
          <w:rFonts w:ascii="Times New Roman" w:hAnsi="Times New Roman"/>
          <w:color w:val="000000"/>
          <w:sz w:val="24"/>
          <w:szCs w:val="24"/>
        </w:rPr>
      </w:pPr>
    </w:p>
    <w:p>
      <w:pPr>
        <w:rPr>
          <w:rFonts w:hint="eastAsia" w:ascii="黑体" w:hAnsi="黑体" w:eastAsia="黑体" w:cs="黑体"/>
        </w:rPr>
      </w:pPr>
      <w:r>
        <w:rPr>
          <w:rFonts w:hint="eastAsia" w:ascii="黑体" w:hAnsi="黑体" w:eastAsia="黑体" w:cs="黑体"/>
        </w:rPr>
        <w:t>B.1方法提要</w:t>
      </w:r>
    </w:p>
    <w:p>
      <w:pPr>
        <w:ind w:firstLine="420" w:firstLineChars="200"/>
        <w:rPr>
          <w:rFonts w:hint="eastAsia" w:hAnsi="宋体"/>
        </w:rPr>
      </w:pPr>
      <w:r>
        <w:rPr>
          <w:rFonts w:hint="eastAsia" w:hAnsi="宋体"/>
        </w:rPr>
        <w:t>本测定方法通过施加额定高强度磁场，使管材表面及管壁内部的铁磁性杂质达到磁饱和状态，依托铜及铜合金基材无磁性的特性，彻底规避基材磁导率波动干扰，保障缺陷检测信号的稳定性、真实性与可识别性。</w:t>
      </w:r>
    </w:p>
    <w:p>
      <w:pPr>
        <w:rPr>
          <w:rFonts w:hint="eastAsia" w:ascii="黑体" w:hAnsi="黑体" w:eastAsia="黑体" w:cs="黑体"/>
        </w:rPr>
      </w:pPr>
    </w:p>
    <w:p>
      <w:pPr>
        <w:rPr>
          <w:rFonts w:hint="eastAsia" w:ascii="黑体" w:hAnsi="黑体" w:eastAsia="黑体" w:cs="黑体"/>
        </w:rPr>
      </w:pPr>
      <w:r>
        <w:rPr>
          <w:rFonts w:hint="eastAsia" w:ascii="黑体" w:hAnsi="黑体" w:eastAsia="黑体" w:cs="黑体"/>
        </w:rPr>
        <w:t>B.2检测设备</w:t>
      </w:r>
    </w:p>
    <w:p>
      <w:pPr>
        <w:rPr>
          <w:rFonts w:hint="eastAsia" w:hAnsi="宋体"/>
        </w:rPr>
      </w:pPr>
      <w:r>
        <w:rPr>
          <w:rFonts w:hint="eastAsia" w:ascii="黑体" w:hAnsi="黑体" w:eastAsia="黑体" w:cs="黑体"/>
        </w:rPr>
        <w:t xml:space="preserve">B.2.1 </w:t>
      </w:r>
      <w:r>
        <w:rPr>
          <w:rFonts w:hint="eastAsia" w:hAnsi="宋体"/>
        </w:rPr>
        <w:t xml:space="preserve"> 磁饱和探伤仪需集具有实时信号显示、声光报警、端部干扰信号消除、自动分选、缺陷标记、数据输出等完整功能模块，满足自动化检测与数据溯源要求。</w:t>
      </w:r>
    </w:p>
    <w:p>
      <w:pPr>
        <w:rPr>
          <w:rFonts w:hint="eastAsia" w:hAnsi="宋体"/>
          <w:color w:val="000000"/>
        </w:rPr>
      </w:pPr>
      <w:r>
        <w:rPr>
          <w:rFonts w:hint="eastAsia" w:ascii="黑体" w:hAnsi="黑体" w:eastAsia="黑体" w:cs="黑体"/>
        </w:rPr>
        <w:t>B.2.2</w:t>
      </w:r>
      <w:r>
        <w:rPr>
          <w:rFonts w:hint="eastAsia" w:hAnsi="宋体"/>
          <w:color w:val="000000"/>
        </w:rPr>
        <w:t>饱和磁化装置：磁化装置输出磁场需满足管材检测区域全段饱和磁化要求，为缺陷信号精准采集提供稳定磁场环境</w:t>
      </w:r>
    </w:p>
    <w:p>
      <w:pPr>
        <w:rPr>
          <w:rFonts w:hint="eastAsia" w:hAnsi="宋体"/>
        </w:rPr>
      </w:pPr>
      <w:r>
        <w:rPr>
          <w:rFonts w:hint="eastAsia" w:ascii="黑体" w:hAnsi="黑体" w:eastAsia="黑体" w:cs="黑体"/>
        </w:rPr>
        <w:t>B.2.3</w:t>
      </w:r>
      <w:r>
        <w:rPr>
          <w:rFonts w:hint="eastAsia" w:hAnsi="宋体"/>
        </w:rPr>
        <w:t>检测线圈:检测线圈采用差动式结构，由单组或多组激励线圈、测量线圈组合而成，采用单一固定频率激励。线圈内径需与被检管材外径精准匹配，填充系数不得低于0.56。</w:t>
      </w:r>
    </w:p>
    <w:p>
      <w:pPr>
        <w:rPr>
          <w:rFonts w:hint="eastAsia" w:hAnsi="宋体"/>
        </w:rPr>
      </w:pPr>
      <w:r>
        <w:rPr>
          <w:rFonts w:hint="eastAsia" w:ascii="黑体" w:hAnsi="黑体" w:eastAsia="黑体" w:cs="黑体"/>
        </w:rPr>
        <w:t>B.2.4</w:t>
      </w:r>
      <w:r>
        <w:rPr>
          <w:rFonts w:hint="eastAsia" w:hAnsi="宋体"/>
        </w:rPr>
        <w:t>传动装置：传动装置需具备匀速、平稳输送功能，保证检测过程稳定性与一致性。</w:t>
      </w:r>
    </w:p>
    <w:p>
      <w:pPr>
        <w:rPr>
          <w:rFonts w:hint="eastAsia" w:ascii="黑体" w:hAnsi="黑体" w:eastAsia="黑体" w:cs="黑体"/>
        </w:rPr>
      </w:pPr>
    </w:p>
    <w:p>
      <w:pPr>
        <w:rPr>
          <w:rFonts w:hint="eastAsia" w:ascii="黑体" w:hAnsi="黑体" w:eastAsia="黑体" w:cs="黑体"/>
        </w:rPr>
      </w:pPr>
      <w:r>
        <w:rPr>
          <w:rFonts w:hint="eastAsia" w:ascii="黑体" w:hAnsi="黑体" w:eastAsia="黑体" w:cs="黑体"/>
        </w:rPr>
        <w:t>B.3标准管制备要求</w:t>
      </w:r>
    </w:p>
    <w:p>
      <w:pPr>
        <w:rPr>
          <w:rFonts w:hint="eastAsia" w:hAnsi="宋体"/>
        </w:rPr>
      </w:pPr>
      <w:r>
        <w:rPr>
          <w:rFonts w:hint="eastAsia" w:ascii="黑体" w:hAnsi="黑体" w:eastAsia="黑体" w:cs="黑体"/>
        </w:rPr>
        <w:t>B.3.1</w:t>
      </w:r>
      <w:r>
        <w:rPr>
          <w:rFonts w:hint="eastAsia" w:hAnsi="宋体"/>
        </w:rPr>
        <w:t>材质与外形：标准管需与待检管材为同牌号铜及铜合金材质，翅形、规格与待检产品保持一致，确保校准基准统一。</w:t>
      </w:r>
    </w:p>
    <w:p>
      <w:pPr>
        <w:rPr>
          <w:rFonts w:hint="eastAsia" w:hAnsi="宋体"/>
        </w:rPr>
      </w:pPr>
      <w:r>
        <w:rPr>
          <w:rFonts w:hint="eastAsia" w:ascii="黑体" w:hAnsi="黑体" w:eastAsia="黑体" w:cs="黑体"/>
        </w:rPr>
        <w:t>B.3.2</w:t>
      </w:r>
      <w:r>
        <w:rPr>
          <w:rFonts w:hint="eastAsia" w:hAnsi="宋体"/>
        </w:rPr>
        <w:t>精度与外观：标准管整体平直，弯曲度≤1.5mm/m；管体表面洁净，无油污、氧化皮、划痕、杂物等影响检测校准的干扰缺陷，有效长度不小于1.8m。</w:t>
      </w:r>
    </w:p>
    <w:p>
      <w:pPr>
        <w:rPr>
          <w:rFonts w:hint="eastAsia" w:hAnsi="宋体"/>
        </w:rPr>
      </w:pPr>
      <w:r>
        <w:rPr>
          <w:rFonts w:hint="eastAsia" w:ascii="黑体" w:hAnsi="黑体" w:eastAsia="黑体" w:cs="黑体"/>
        </w:rPr>
        <w:t>B.3.3</w:t>
      </w:r>
      <w:r>
        <w:rPr>
          <w:rFonts w:hint="eastAsia" w:hAnsi="宋体"/>
        </w:rPr>
        <w:t>缺陷布设要求：标准管缺陷分为外壁缺陷和内壁缺陷两类，标准管内外缺陷采用标准重量铁磁性杂质颗粒制备，单支管体内外各均匀布设3处缺陷。缺陷颗粒轴向间距500mm，圆周方向呈120°均匀分布，分别镶嵌固定于管材内壁或外壁指定位置，作为检测校准基准。</w:t>
      </w:r>
    </w:p>
    <w:p>
      <w:pPr>
        <w:rPr>
          <w:rFonts w:hint="eastAsia" w:ascii="黑体" w:hAnsi="黑体" w:eastAsia="黑体" w:cs="黑体"/>
        </w:rPr>
      </w:pPr>
    </w:p>
    <w:p>
      <w:pPr>
        <w:rPr>
          <w:rFonts w:hint="eastAsia" w:ascii="黑体" w:hAnsi="黑体" w:eastAsia="黑体" w:cs="黑体"/>
        </w:rPr>
      </w:pPr>
      <w:r>
        <w:rPr>
          <w:rFonts w:hint="eastAsia" w:ascii="黑体" w:hAnsi="黑体" w:eastAsia="黑体" w:cs="黑体"/>
        </w:rPr>
        <w:t>B.4探伤操作步骤</w:t>
      </w:r>
    </w:p>
    <w:p>
      <w:pPr>
        <w:rPr>
          <w:rFonts w:hint="eastAsia" w:hAnsi="宋体"/>
        </w:rPr>
      </w:pPr>
      <w:r>
        <w:rPr>
          <w:rFonts w:hint="eastAsia" w:ascii="黑体" w:hAnsi="黑体" w:eastAsia="黑体" w:cs="黑体"/>
        </w:rPr>
        <w:t>B.4.1</w:t>
      </w:r>
      <w:r>
        <w:rPr>
          <w:rFonts w:hint="eastAsia" w:hAnsi="宋体"/>
        </w:rPr>
        <w:t>设备预热：启动整套磁饱和探伤检测系统，待分析仪及配套设备充分预热、运行参数稳定后，方可开展设备校准与批量探伤作业。</w:t>
      </w:r>
    </w:p>
    <w:p>
      <w:pPr>
        <w:rPr>
          <w:rFonts w:hint="eastAsia" w:hAnsi="宋体"/>
        </w:rPr>
      </w:pPr>
      <w:r>
        <w:rPr>
          <w:rFonts w:hint="eastAsia" w:ascii="黑体" w:hAnsi="黑体" w:eastAsia="黑体" w:cs="黑体"/>
        </w:rPr>
        <w:t>B.4.2</w:t>
      </w:r>
      <w:r>
        <w:rPr>
          <w:rFonts w:hint="eastAsia" w:hAnsi="宋体"/>
        </w:rPr>
        <w:t>参数匹配与校准：根据待检管材的外径、壁厚、合金材质规格，选配适配规格的检测线圈，调用系统内置校准参数。若无对应规格参数，需采用匹配的标准管重新完成参数校准，留存校准记录。</w:t>
      </w:r>
    </w:p>
    <w:p>
      <w:pPr>
        <w:rPr>
          <w:rFonts w:hint="eastAsia" w:hAnsi="宋体"/>
        </w:rPr>
      </w:pPr>
      <w:r>
        <w:rPr>
          <w:rFonts w:hint="eastAsia" w:ascii="黑体" w:hAnsi="黑体" w:eastAsia="黑体" w:cs="黑体"/>
        </w:rPr>
        <w:t>B.4.3</w:t>
      </w:r>
      <w:r>
        <w:rPr>
          <w:rFonts w:hint="eastAsia" w:hAnsi="宋体"/>
        </w:rPr>
        <w:t>磁场加载确认：启动饱和磁化装置，对管材检测区域施加恒定磁场，实时监测磁场强度参数，确认磁场强度达到管材磁饱和工艺要求后，方可进入检测工序。</w:t>
      </w:r>
    </w:p>
    <w:p>
      <w:pPr>
        <w:rPr>
          <w:rFonts w:hint="eastAsia" w:hAnsi="宋体"/>
        </w:rPr>
      </w:pPr>
      <w:r>
        <w:rPr>
          <w:rFonts w:hint="eastAsia" w:ascii="黑体" w:hAnsi="黑体" w:eastAsia="黑体" w:cs="黑体"/>
        </w:rPr>
        <w:t>B.4.4</w:t>
      </w:r>
      <w:r>
        <w:rPr>
          <w:rFonts w:hint="eastAsia" w:hAnsi="宋体"/>
        </w:rPr>
        <w:t>设备工况调试：设定管材输送速度，基准检测速度区间为60m/min～80m/min，可根据现场缺陷检出精度需求合理微调。调整设备位置，保证管材中心与检测线圈中心同轴对齐，杜绝偏心偏移引发的信号干扰。</w:t>
      </w:r>
    </w:p>
    <w:p>
      <w:pPr>
        <w:rPr>
          <w:rFonts w:hint="eastAsia" w:hAnsi="宋体"/>
          <w:color w:val="000000"/>
        </w:rPr>
      </w:pPr>
      <w:r>
        <w:rPr>
          <w:rFonts w:hint="eastAsia" w:ascii="黑体" w:hAnsi="黑体" w:eastAsia="黑体" w:cs="黑体"/>
        </w:rPr>
        <w:t xml:space="preserve">B.4.5 </w:t>
      </w:r>
      <w:r>
        <w:rPr>
          <w:rFonts w:hint="eastAsia" w:hAnsi="宋体"/>
        </w:rPr>
        <w:t>系统灵敏度校准：选取对应规格的标准管，在设定探伤速度下启动设备空载运行，调试分析仪参数，使标准缺陷信号幅值达到设备报警满量程的80%及以上，且系统信噪比≥10dB，确认设备检测灵敏度达标。</w:t>
      </w:r>
    </w:p>
    <w:p>
      <w:pPr>
        <w:rPr>
          <w:rFonts w:hint="eastAsia" w:hAnsi="宋体"/>
        </w:rPr>
      </w:pPr>
      <w:r>
        <w:rPr>
          <w:rFonts w:hint="eastAsia" w:ascii="黑体" w:hAnsi="黑体" w:eastAsia="黑体" w:cs="黑体"/>
        </w:rPr>
        <w:t>B.4.6</w:t>
      </w:r>
      <w:r>
        <w:rPr>
          <w:rFonts w:hint="eastAsia" w:hAnsi="宋体"/>
        </w:rPr>
        <w:t>批量探伤检测：将待检管材置于传动输送装置，使管材匀速通过探伤检测区域。实时监测系统信号显示界面，当检测信号触发预设报警阈值时，设备自动触发声光报警，同步记录缺陷位置、信号幅值等核心检测数据。</w:t>
      </w:r>
    </w:p>
    <w:p>
      <w:pPr>
        <w:rPr>
          <w:rFonts w:hint="eastAsia" w:hAnsi="宋体"/>
        </w:rPr>
      </w:pPr>
      <w:r>
        <w:rPr>
          <w:rFonts w:hint="eastAsia" w:ascii="黑体" w:hAnsi="黑体" w:eastAsia="黑体" w:cs="黑体"/>
        </w:rPr>
        <w:t>B.4.7</w:t>
      </w:r>
      <w:r>
        <w:rPr>
          <w:rFonts w:hint="eastAsia" w:hAnsi="宋体"/>
        </w:rPr>
        <w:t>缺陷复核确认：对报警管材进行精准标记，针对缺陷点位开展二次复探，核验缺陷信号的重复性与稳定性，甄别并剔除设备波动、管材抖动等引发的虚假缺陷信号。</w:t>
      </w:r>
    </w:p>
    <w:p>
      <w:pPr>
        <w:rPr>
          <w:rFonts w:hint="eastAsia" w:hAnsi="宋体"/>
        </w:rPr>
      </w:pPr>
      <w:r>
        <w:rPr>
          <w:rFonts w:hint="eastAsia" w:ascii="黑体" w:hAnsi="黑体" w:eastAsia="黑体" w:cs="黑体"/>
        </w:rPr>
        <w:t>B.4.8</w:t>
      </w:r>
      <w:r>
        <w:rPr>
          <w:rFonts w:hint="eastAsia" w:hAnsi="宋体"/>
        </w:rPr>
        <w:t>设备关停与物料分类：检测作业完成后，依次关闭磁化装置、输送装置、分析仪，按照合格、不合格对检测后管材进行分区规整存放，做好批次检测台账记录。</w:t>
      </w:r>
    </w:p>
    <w:p>
      <w:pPr>
        <w:rPr>
          <w:rFonts w:hint="eastAsia" w:ascii="黑体" w:hAnsi="黑体" w:eastAsia="黑体" w:cs="黑体"/>
        </w:rPr>
      </w:pPr>
    </w:p>
    <w:p>
      <w:pPr>
        <w:rPr>
          <w:rFonts w:hint="eastAsia" w:ascii="黑体" w:hAnsi="黑体" w:eastAsia="黑体" w:cs="黑体"/>
        </w:rPr>
      </w:pPr>
      <w:r>
        <w:rPr>
          <w:rFonts w:hint="eastAsia" w:ascii="黑体" w:hAnsi="黑体" w:eastAsia="黑体" w:cs="黑体"/>
        </w:rPr>
        <w:t>B.5缺陷评定标准</w:t>
      </w:r>
    </w:p>
    <w:p>
      <w:pPr>
        <w:ind w:firstLine="420" w:firstLineChars="200"/>
        <w:rPr>
          <w:color w:val="000000"/>
        </w:rPr>
      </w:pPr>
      <w:r>
        <w:rPr>
          <w:rFonts w:hint="eastAsia" w:hAnsi="宋体"/>
        </w:rPr>
        <w:t>管材检测缺陷信号幅值≥标准管缺陷信号幅值</w:t>
      </w:r>
      <w:r>
        <w:rPr>
          <w:rFonts w:hAnsi="宋体"/>
        </w:rPr>
        <w:t>80%</w:t>
      </w:r>
      <w:r>
        <w:rPr>
          <w:rFonts w:hint="eastAsia" w:hAnsi="宋体"/>
        </w:rPr>
        <w:t>，判定为不合格品；管材检测缺陷信号幅值＜标准管人工缺陷信号幅值</w:t>
      </w:r>
      <w:r>
        <w:rPr>
          <w:rFonts w:hAnsi="宋体"/>
        </w:rPr>
        <w:t>80%</w:t>
      </w:r>
      <w:r>
        <w:rPr>
          <w:rFonts w:hint="eastAsia" w:hAnsi="宋体"/>
        </w:rPr>
        <w:t>，判定为合格品。</w:t>
      </w:r>
    </w:p>
    <w:p>
      <w:pPr>
        <w:rPr>
          <w:color w:val="000000"/>
        </w:rPr>
      </w:pPr>
    </w:p>
    <w:p>
      <w:pPr>
        <w:rPr>
          <w:color w:val="000000"/>
        </w:rPr>
      </w:pPr>
    </w:p>
    <w:p>
      <w:pPr>
        <w:widowControl/>
        <w:spacing w:line="317" w:lineRule="exact"/>
        <w:ind w:right="200"/>
        <w:jc w:val="center"/>
        <w:rPr>
          <w:rFonts w:eastAsia="黑体" w:cs="MingLiU"/>
          <w:color w:val="000000"/>
          <w:kern w:val="0"/>
          <w:szCs w:val="21"/>
        </w:rPr>
      </w:pPr>
    </w:p>
    <w:p>
      <w:pPr>
        <w:widowControl/>
        <w:spacing w:line="317" w:lineRule="exact"/>
        <w:ind w:right="200"/>
        <w:jc w:val="center"/>
        <w:rPr>
          <w:rFonts w:eastAsia="黑体" w:cs="MingLiU"/>
          <w:color w:val="000000"/>
          <w:kern w:val="0"/>
          <w:szCs w:val="21"/>
        </w:rPr>
      </w:pPr>
    </w:p>
    <w:p>
      <w:pPr>
        <w:widowControl/>
        <w:spacing w:line="317" w:lineRule="exact"/>
        <w:ind w:right="200"/>
        <w:jc w:val="center"/>
        <w:rPr>
          <w:rFonts w:eastAsia="黑体" w:cs="MingLiU"/>
          <w:color w:val="000000"/>
          <w:kern w:val="0"/>
          <w:szCs w:val="21"/>
        </w:rPr>
      </w:pPr>
    </w:p>
    <w:p>
      <w:pPr>
        <w:widowControl/>
        <w:spacing w:line="317" w:lineRule="exact"/>
        <w:ind w:right="200"/>
        <w:jc w:val="center"/>
        <w:rPr>
          <w:rFonts w:eastAsia="黑体" w:cs="MingLiU"/>
          <w:color w:val="000000"/>
          <w:kern w:val="0"/>
          <w:szCs w:val="21"/>
        </w:rPr>
      </w:pPr>
    </w:p>
    <w:p>
      <w:pPr>
        <w:widowControl/>
        <w:spacing w:line="317" w:lineRule="exact"/>
        <w:ind w:right="200"/>
        <w:jc w:val="center"/>
        <w:rPr>
          <w:rFonts w:eastAsia="黑体" w:cs="MingLiU"/>
          <w:color w:val="000000"/>
          <w:kern w:val="0"/>
          <w:szCs w:val="21"/>
        </w:rPr>
      </w:pPr>
    </w:p>
    <w:p>
      <w:pPr>
        <w:widowControl/>
        <w:spacing w:line="317" w:lineRule="exact"/>
        <w:ind w:right="200"/>
        <w:jc w:val="center"/>
        <w:rPr>
          <w:rFonts w:eastAsia="黑体" w:cs="MingLiU"/>
          <w:color w:val="000000"/>
          <w:kern w:val="0"/>
          <w:szCs w:val="21"/>
        </w:rPr>
      </w:pPr>
    </w:p>
    <w:p>
      <w:pPr>
        <w:widowControl/>
        <w:spacing w:line="317" w:lineRule="exact"/>
        <w:ind w:right="200"/>
        <w:jc w:val="center"/>
        <w:rPr>
          <w:rFonts w:eastAsia="黑体" w:cs="MingLiU"/>
          <w:color w:val="000000"/>
          <w:kern w:val="0"/>
          <w:szCs w:val="21"/>
        </w:rPr>
      </w:pPr>
    </w:p>
    <w:p>
      <w:pPr>
        <w:widowControl/>
        <w:spacing w:line="317" w:lineRule="exact"/>
        <w:ind w:right="200"/>
        <w:jc w:val="center"/>
        <w:rPr>
          <w:rFonts w:eastAsia="黑体" w:cs="MingLiU"/>
          <w:color w:val="000000"/>
          <w:kern w:val="0"/>
          <w:szCs w:val="21"/>
        </w:rPr>
      </w:pPr>
    </w:p>
    <w:p>
      <w:pPr>
        <w:widowControl/>
        <w:spacing w:line="317" w:lineRule="exact"/>
        <w:ind w:right="200"/>
        <w:jc w:val="center"/>
        <w:rPr>
          <w:rFonts w:eastAsia="黑体" w:cs="MingLiU"/>
          <w:color w:val="000000"/>
          <w:kern w:val="0"/>
          <w:szCs w:val="21"/>
        </w:rPr>
      </w:pPr>
    </w:p>
    <w:p>
      <w:pPr>
        <w:widowControl/>
        <w:spacing w:line="317" w:lineRule="exact"/>
        <w:ind w:right="200"/>
        <w:jc w:val="center"/>
        <w:rPr>
          <w:rFonts w:eastAsia="黑体" w:cs="MingLiU"/>
          <w:color w:val="000000"/>
          <w:kern w:val="0"/>
          <w:szCs w:val="21"/>
        </w:rPr>
      </w:pPr>
    </w:p>
    <w:p>
      <w:pPr>
        <w:widowControl/>
        <w:spacing w:line="317" w:lineRule="exact"/>
        <w:ind w:right="200"/>
        <w:jc w:val="center"/>
        <w:rPr>
          <w:rFonts w:eastAsia="黑体" w:cs="MingLiU"/>
          <w:color w:val="000000"/>
          <w:kern w:val="0"/>
          <w:szCs w:val="21"/>
        </w:rPr>
      </w:pPr>
    </w:p>
    <w:p>
      <w:pPr>
        <w:widowControl/>
        <w:spacing w:line="317" w:lineRule="exact"/>
        <w:ind w:right="200"/>
        <w:jc w:val="center"/>
        <w:rPr>
          <w:rFonts w:eastAsia="黑体" w:cs="MingLiU"/>
          <w:color w:val="000000"/>
          <w:kern w:val="0"/>
          <w:szCs w:val="21"/>
        </w:rPr>
      </w:pPr>
    </w:p>
    <w:p>
      <w:pPr>
        <w:widowControl/>
        <w:spacing w:line="317" w:lineRule="exact"/>
        <w:ind w:right="200"/>
        <w:jc w:val="center"/>
        <w:rPr>
          <w:rFonts w:eastAsia="黑体" w:cs="MingLiU"/>
          <w:color w:val="000000"/>
          <w:kern w:val="0"/>
          <w:szCs w:val="21"/>
        </w:rPr>
      </w:pPr>
    </w:p>
    <w:p>
      <w:pPr>
        <w:widowControl/>
        <w:spacing w:line="317" w:lineRule="exact"/>
        <w:ind w:right="200"/>
        <w:jc w:val="center"/>
        <w:rPr>
          <w:rFonts w:eastAsia="黑体" w:cs="MingLiU"/>
          <w:color w:val="000000"/>
          <w:kern w:val="0"/>
          <w:szCs w:val="21"/>
        </w:rPr>
      </w:pPr>
    </w:p>
    <w:p>
      <w:pPr>
        <w:widowControl/>
        <w:spacing w:line="317" w:lineRule="exact"/>
        <w:ind w:right="200"/>
        <w:jc w:val="center"/>
        <w:rPr>
          <w:rFonts w:eastAsia="黑体" w:cs="MingLiU"/>
          <w:color w:val="000000"/>
          <w:kern w:val="0"/>
          <w:szCs w:val="21"/>
        </w:rPr>
      </w:pPr>
    </w:p>
    <w:p>
      <w:pPr>
        <w:widowControl/>
        <w:spacing w:line="317" w:lineRule="exact"/>
        <w:ind w:right="200"/>
        <w:jc w:val="center"/>
        <w:rPr>
          <w:rFonts w:eastAsia="黑体" w:cs="MingLiU"/>
          <w:color w:val="000000"/>
          <w:kern w:val="0"/>
          <w:szCs w:val="21"/>
        </w:rPr>
      </w:pPr>
    </w:p>
    <w:p>
      <w:pPr>
        <w:widowControl/>
        <w:spacing w:line="317" w:lineRule="exact"/>
        <w:ind w:right="200"/>
        <w:jc w:val="center"/>
        <w:rPr>
          <w:rFonts w:eastAsia="黑体" w:cs="MingLiU"/>
          <w:color w:val="000000"/>
          <w:kern w:val="0"/>
          <w:szCs w:val="21"/>
        </w:rPr>
      </w:pPr>
    </w:p>
    <w:p>
      <w:pPr>
        <w:widowControl/>
        <w:spacing w:line="317" w:lineRule="exact"/>
        <w:ind w:right="200"/>
        <w:jc w:val="center"/>
        <w:rPr>
          <w:rFonts w:eastAsia="黑体" w:cs="MingLiU"/>
          <w:color w:val="000000"/>
          <w:kern w:val="0"/>
          <w:szCs w:val="21"/>
        </w:rPr>
      </w:pPr>
    </w:p>
    <w:p>
      <w:pPr>
        <w:widowControl/>
        <w:spacing w:line="317" w:lineRule="exact"/>
        <w:ind w:right="200"/>
        <w:jc w:val="center"/>
        <w:rPr>
          <w:rFonts w:eastAsia="黑体" w:cs="MingLiU"/>
          <w:color w:val="000000"/>
          <w:kern w:val="0"/>
          <w:szCs w:val="21"/>
        </w:rPr>
      </w:pPr>
    </w:p>
    <w:p>
      <w:pPr>
        <w:widowControl/>
        <w:spacing w:line="317" w:lineRule="exact"/>
        <w:ind w:right="200"/>
        <w:jc w:val="center"/>
        <w:rPr>
          <w:rFonts w:eastAsia="黑体" w:cs="MingLiU"/>
          <w:color w:val="000000"/>
          <w:kern w:val="0"/>
          <w:szCs w:val="21"/>
        </w:rPr>
      </w:pPr>
    </w:p>
    <w:p>
      <w:pPr>
        <w:widowControl/>
        <w:spacing w:line="317" w:lineRule="exact"/>
        <w:ind w:right="200"/>
        <w:jc w:val="center"/>
        <w:rPr>
          <w:rFonts w:eastAsia="黑体" w:cs="MingLiU"/>
          <w:color w:val="000000"/>
          <w:kern w:val="0"/>
          <w:szCs w:val="21"/>
        </w:rPr>
      </w:pPr>
    </w:p>
    <w:p>
      <w:pPr>
        <w:widowControl/>
        <w:spacing w:line="317" w:lineRule="exact"/>
        <w:ind w:right="200"/>
        <w:jc w:val="center"/>
        <w:rPr>
          <w:rFonts w:eastAsia="黑体" w:cs="MingLiU"/>
          <w:color w:val="000000"/>
          <w:kern w:val="0"/>
          <w:szCs w:val="21"/>
        </w:rPr>
      </w:pPr>
    </w:p>
    <w:p>
      <w:pPr>
        <w:widowControl/>
        <w:spacing w:line="317" w:lineRule="exact"/>
        <w:ind w:right="200"/>
        <w:jc w:val="center"/>
        <w:rPr>
          <w:rFonts w:eastAsia="黑体" w:cs="MingLiU"/>
          <w:color w:val="000000"/>
          <w:kern w:val="0"/>
          <w:szCs w:val="21"/>
        </w:rPr>
      </w:pPr>
    </w:p>
    <w:p>
      <w:pPr>
        <w:widowControl/>
        <w:spacing w:line="317" w:lineRule="exact"/>
        <w:ind w:right="200"/>
        <w:jc w:val="center"/>
        <w:rPr>
          <w:rFonts w:eastAsia="黑体" w:cs="MingLiU"/>
          <w:color w:val="000000"/>
          <w:kern w:val="0"/>
          <w:szCs w:val="21"/>
        </w:rPr>
      </w:pPr>
    </w:p>
    <w:p>
      <w:pPr>
        <w:widowControl/>
        <w:spacing w:line="317" w:lineRule="exact"/>
        <w:ind w:right="200"/>
        <w:jc w:val="center"/>
        <w:rPr>
          <w:rFonts w:eastAsia="黑体" w:cs="MingLiU"/>
          <w:color w:val="000000"/>
          <w:kern w:val="0"/>
          <w:szCs w:val="21"/>
        </w:rPr>
      </w:pPr>
    </w:p>
    <w:p>
      <w:pPr>
        <w:widowControl/>
        <w:spacing w:line="317" w:lineRule="exact"/>
        <w:ind w:right="200"/>
        <w:jc w:val="center"/>
        <w:rPr>
          <w:rFonts w:eastAsia="黑体" w:cs="MingLiU"/>
          <w:color w:val="000000"/>
          <w:kern w:val="0"/>
          <w:szCs w:val="21"/>
        </w:rPr>
      </w:pPr>
    </w:p>
    <w:p>
      <w:pPr>
        <w:widowControl/>
        <w:spacing w:line="317" w:lineRule="exact"/>
        <w:ind w:right="200"/>
        <w:jc w:val="center"/>
        <w:rPr>
          <w:rFonts w:eastAsia="黑体" w:cs="MingLiU"/>
          <w:color w:val="000000"/>
          <w:kern w:val="0"/>
          <w:szCs w:val="21"/>
        </w:rPr>
      </w:pPr>
    </w:p>
    <w:p>
      <w:pPr>
        <w:widowControl/>
        <w:spacing w:line="317" w:lineRule="exact"/>
        <w:ind w:right="200"/>
        <w:jc w:val="center"/>
        <w:rPr>
          <w:rFonts w:eastAsia="黑体" w:cs="MingLiU"/>
          <w:color w:val="000000"/>
          <w:kern w:val="0"/>
          <w:szCs w:val="21"/>
        </w:rPr>
      </w:pPr>
    </w:p>
    <w:p>
      <w:pPr>
        <w:widowControl/>
        <w:spacing w:line="317" w:lineRule="exact"/>
        <w:ind w:right="200"/>
        <w:jc w:val="center"/>
        <w:rPr>
          <w:rFonts w:eastAsia="黑体" w:cs="MingLiU"/>
          <w:color w:val="000000"/>
          <w:kern w:val="0"/>
          <w:szCs w:val="21"/>
        </w:rPr>
      </w:pPr>
    </w:p>
    <w:p>
      <w:pPr>
        <w:widowControl/>
        <w:spacing w:line="317" w:lineRule="exact"/>
        <w:ind w:right="200"/>
        <w:jc w:val="center"/>
        <w:rPr>
          <w:rFonts w:eastAsia="黑体" w:cs="MingLiU"/>
          <w:color w:val="000000"/>
          <w:kern w:val="0"/>
          <w:szCs w:val="21"/>
        </w:rPr>
      </w:pPr>
    </w:p>
    <w:p>
      <w:pPr>
        <w:widowControl/>
        <w:spacing w:line="317" w:lineRule="exact"/>
        <w:ind w:right="200"/>
        <w:jc w:val="center"/>
        <w:rPr>
          <w:rFonts w:eastAsia="黑体" w:cs="MingLiU"/>
          <w:color w:val="000000"/>
          <w:kern w:val="0"/>
          <w:szCs w:val="21"/>
        </w:rPr>
      </w:pPr>
    </w:p>
    <w:p>
      <w:pPr>
        <w:widowControl/>
        <w:spacing w:line="317" w:lineRule="exact"/>
        <w:ind w:right="200"/>
        <w:jc w:val="center"/>
        <w:rPr>
          <w:rFonts w:eastAsia="黑体" w:cs="MingLiU"/>
          <w:color w:val="000000"/>
          <w:kern w:val="0"/>
          <w:szCs w:val="21"/>
        </w:rPr>
      </w:pPr>
    </w:p>
    <w:p>
      <w:pPr>
        <w:widowControl/>
        <w:spacing w:line="317" w:lineRule="exact"/>
        <w:ind w:right="200"/>
        <w:jc w:val="center"/>
        <w:rPr>
          <w:rFonts w:eastAsia="黑体" w:cs="MingLiU"/>
          <w:color w:val="000000"/>
          <w:kern w:val="0"/>
          <w:szCs w:val="21"/>
        </w:rPr>
      </w:pPr>
    </w:p>
    <w:p>
      <w:pPr>
        <w:widowControl/>
        <w:spacing w:line="317" w:lineRule="exact"/>
        <w:ind w:right="200"/>
        <w:jc w:val="center"/>
        <w:rPr>
          <w:rFonts w:eastAsia="黑体" w:cs="MingLiU"/>
          <w:color w:val="000000"/>
          <w:kern w:val="0"/>
          <w:szCs w:val="21"/>
        </w:rPr>
      </w:pPr>
    </w:p>
    <w:p>
      <w:pPr>
        <w:widowControl/>
        <w:spacing w:line="317" w:lineRule="exact"/>
        <w:ind w:right="200"/>
        <w:jc w:val="center"/>
        <w:rPr>
          <w:rFonts w:eastAsia="黑体" w:cs="MingLiU"/>
          <w:color w:val="000000"/>
          <w:kern w:val="0"/>
          <w:szCs w:val="21"/>
        </w:rPr>
      </w:pPr>
    </w:p>
    <w:p>
      <w:pPr>
        <w:widowControl/>
        <w:spacing w:line="317" w:lineRule="exact"/>
        <w:ind w:right="200"/>
        <w:jc w:val="center"/>
        <w:rPr>
          <w:rFonts w:eastAsia="黑体" w:cs="MingLiU"/>
          <w:color w:val="000000"/>
          <w:kern w:val="0"/>
          <w:szCs w:val="21"/>
        </w:rPr>
      </w:pPr>
    </w:p>
    <w:p>
      <w:pPr>
        <w:widowControl/>
        <w:spacing w:line="317" w:lineRule="exact"/>
        <w:ind w:right="200"/>
        <w:jc w:val="center"/>
        <w:rPr>
          <w:rFonts w:eastAsia="黑体" w:cs="MingLiU"/>
          <w:color w:val="000000"/>
          <w:kern w:val="0"/>
          <w:szCs w:val="21"/>
        </w:rPr>
      </w:pPr>
    </w:p>
    <w:p>
      <w:pPr>
        <w:widowControl/>
        <w:spacing w:line="317" w:lineRule="exact"/>
        <w:ind w:right="200"/>
        <w:jc w:val="center"/>
        <w:rPr>
          <w:rFonts w:eastAsia="黑体" w:cs="MingLiU"/>
          <w:color w:val="000000"/>
          <w:kern w:val="0"/>
          <w:szCs w:val="21"/>
        </w:rPr>
      </w:pPr>
      <w:r>
        <w:rPr>
          <w:rFonts w:eastAsia="黑体" w:cs="MingLiU"/>
          <w:color w:val="000000"/>
          <w:kern w:val="0"/>
          <w:szCs w:val="21"/>
        </w:rPr>
        <w:t>附录</w:t>
      </w:r>
      <w:r>
        <w:rPr>
          <w:rFonts w:hint="eastAsia" w:eastAsia="黑体" w:cs="MingLiU"/>
          <w:color w:val="000000"/>
          <w:kern w:val="0"/>
          <w:szCs w:val="21"/>
        </w:rPr>
        <w:t>C （</w:t>
      </w:r>
      <w:r>
        <w:rPr>
          <w:rFonts w:eastAsia="黑体" w:cs="MingLiU"/>
          <w:color w:val="000000"/>
          <w:kern w:val="0"/>
          <w:szCs w:val="21"/>
        </w:rPr>
        <w:t>规范性</w:t>
      </w:r>
      <w:r>
        <w:rPr>
          <w:rFonts w:hint="eastAsia" w:eastAsia="黑体" w:cs="MingLiU"/>
          <w:color w:val="000000"/>
          <w:kern w:val="0"/>
          <w:szCs w:val="21"/>
        </w:rPr>
        <w:t>）</w:t>
      </w:r>
    </w:p>
    <w:p>
      <w:pPr>
        <w:widowControl/>
        <w:spacing w:line="317" w:lineRule="exact"/>
        <w:ind w:right="200"/>
        <w:jc w:val="center"/>
        <w:rPr>
          <w:rFonts w:eastAsia="黑体"/>
          <w:color w:val="000000"/>
          <w:kern w:val="0"/>
          <w:szCs w:val="21"/>
        </w:rPr>
      </w:pPr>
      <w:r>
        <w:rPr>
          <w:rFonts w:eastAsia="黑体" w:cs="MingLiU"/>
          <w:color w:val="000000"/>
          <w:kern w:val="0"/>
          <w:szCs w:val="21"/>
        </w:rPr>
        <w:t>翅片管</w:t>
      </w:r>
      <w:r>
        <w:rPr>
          <w:rFonts w:hint="eastAsia" w:eastAsia="黑体" w:cs="MingLiU"/>
          <w:color w:val="000000"/>
          <w:kern w:val="0"/>
          <w:szCs w:val="21"/>
        </w:rPr>
        <w:t>内外</w:t>
      </w:r>
      <w:r>
        <w:rPr>
          <w:rFonts w:eastAsia="黑体" w:cs="MingLiU"/>
          <w:color w:val="000000"/>
          <w:kern w:val="0"/>
          <w:szCs w:val="21"/>
        </w:rPr>
        <w:t>清洁度测定</w:t>
      </w:r>
      <w:r>
        <w:rPr>
          <w:rFonts w:hint="eastAsia" w:eastAsia="黑体" w:cs="MingLiU"/>
          <w:color w:val="000000"/>
          <w:kern w:val="0"/>
          <w:szCs w:val="21"/>
        </w:rPr>
        <w:t>方法</w:t>
      </w:r>
    </w:p>
    <w:p>
      <w:pPr>
        <w:widowControl/>
        <w:spacing w:line="317" w:lineRule="exact"/>
        <w:ind w:right="200"/>
        <w:jc w:val="center"/>
        <w:rPr>
          <w:color w:val="000000"/>
          <w:spacing w:val="10"/>
          <w:kern w:val="0"/>
          <w:sz w:val="18"/>
          <w:szCs w:val="18"/>
        </w:rPr>
      </w:pPr>
    </w:p>
    <w:p>
      <w:pPr>
        <w:rPr>
          <w:color w:val="000000"/>
        </w:rPr>
      </w:pPr>
      <w:r>
        <w:rPr>
          <w:rFonts w:ascii="黑体" w:hAnsi="黑体" w:eastAsia="黑体"/>
          <w:color w:val="000000"/>
        </w:rPr>
        <w:t>C.1</w:t>
      </w:r>
      <w:r>
        <w:rPr>
          <w:rFonts w:hint="eastAsia" w:eastAsia="黑体"/>
          <w:color w:val="000000"/>
        </w:rPr>
        <w:t>方法提要</w:t>
      </w:r>
    </w:p>
    <w:p>
      <w:pPr>
        <w:ind w:firstLine="420" w:firstLineChars="200"/>
        <w:rPr>
          <w:color w:val="000000"/>
        </w:rPr>
      </w:pPr>
      <w:r>
        <w:rPr>
          <w:rFonts w:hint="eastAsia"/>
          <w:color w:val="000000"/>
        </w:rPr>
        <w:t>本测定方法</w:t>
      </w:r>
      <w:r>
        <w:rPr>
          <w:color w:val="000000"/>
        </w:rPr>
        <w:t>用四氯化碳等有机溶剂清洗管材内外表面，将管材内</w:t>
      </w:r>
      <w:r>
        <w:rPr>
          <w:rFonts w:hint="eastAsia"/>
          <w:color w:val="000000"/>
        </w:rPr>
        <w:t>、外</w:t>
      </w:r>
      <w:r>
        <w:rPr>
          <w:color w:val="000000"/>
        </w:rPr>
        <w:t>部杂质提取到溶剂中，有机溶剂在烧杯中加热蒸发后，烧杯的质量增加就是管材的</w:t>
      </w:r>
      <w:r>
        <w:rPr>
          <w:rFonts w:hint="eastAsia"/>
          <w:color w:val="000000"/>
        </w:rPr>
        <w:t>总</w:t>
      </w:r>
      <w:r>
        <w:rPr>
          <w:color w:val="000000"/>
        </w:rPr>
        <w:t>残留物。</w:t>
      </w:r>
    </w:p>
    <w:p>
      <w:pPr>
        <w:rPr>
          <w:rFonts w:ascii="黑体" w:hAnsi="黑体" w:eastAsia="黑体"/>
          <w:color w:val="000000"/>
        </w:rPr>
      </w:pPr>
    </w:p>
    <w:p>
      <w:pPr>
        <w:rPr>
          <w:rFonts w:eastAsia="黑体"/>
          <w:color w:val="000000"/>
        </w:rPr>
      </w:pPr>
      <w:r>
        <w:rPr>
          <w:rFonts w:ascii="黑体" w:hAnsi="黑体" w:eastAsia="黑体"/>
          <w:color w:val="000000"/>
        </w:rPr>
        <w:t>C.</w:t>
      </w:r>
      <w:r>
        <w:rPr>
          <w:rFonts w:hint="eastAsia" w:ascii="黑体" w:hAnsi="黑体" w:eastAsia="黑体"/>
          <w:color w:val="000000"/>
        </w:rPr>
        <w:t>2</w:t>
      </w:r>
      <w:r>
        <w:rPr>
          <w:rFonts w:eastAsia="黑体"/>
          <w:color w:val="000000"/>
        </w:rPr>
        <w:t>仪器、试剂</w:t>
      </w:r>
    </w:p>
    <w:p>
      <w:pPr>
        <w:rPr>
          <w:color w:val="000000"/>
        </w:rPr>
      </w:pPr>
      <w:r>
        <w:rPr>
          <w:rFonts w:ascii="黑体" w:hAnsi="黑体" w:eastAsia="黑体"/>
          <w:color w:val="000000"/>
        </w:rPr>
        <w:t>C.</w:t>
      </w:r>
      <w:r>
        <w:rPr>
          <w:rFonts w:hint="eastAsia" w:ascii="黑体" w:hAnsi="黑体" w:eastAsia="黑体"/>
          <w:color w:val="000000"/>
        </w:rPr>
        <w:t>2</w:t>
      </w:r>
      <w:r>
        <w:rPr>
          <w:rFonts w:ascii="黑体" w:hAnsi="黑体" w:eastAsia="黑体"/>
          <w:color w:val="000000"/>
        </w:rPr>
        <w:t>.1</w:t>
      </w:r>
      <w:r>
        <w:rPr>
          <w:color w:val="000000"/>
        </w:rPr>
        <w:t>超声波振荡器：功率不小于2 kW。</w:t>
      </w:r>
    </w:p>
    <w:p>
      <w:pPr>
        <w:rPr>
          <w:color w:val="000000"/>
        </w:rPr>
      </w:pPr>
      <w:r>
        <w:rPr>
          <w:rFonts w:ascii="黑体" w:hAnsi="黑体" w:eastAsia="黑体"/>
          <w:color w:val="000000"/>
        </w:rPr>
        <w:t>C.</w:t>
      </w:r>
      <w:r>
        <w:rPr>
          <w:rFonts w:hint="eastAsia" w:ascii="黑体" w:hAnsi="黑体" w:eastAsia="黑体"/>
          <w:color w:val="000000"/>
        </w:rPr>
        <w:t>2</w:t>
      </w:r>
      <w:r>
        <w:rPr>
          <w:rFonts w:ascii="黑体" w:hAnsi="黑体" w:eastAsia="黑体"/>
          <w:color w:val="000000"/>
        </w:rPr>
        <w:t>.2</w:t>
      </w:r>
      <w:r>
        <w:rPr>
          <w:color w:val="000000"/>
        </w:rPr>
        <w:t>分析天平（分度值0.1 mg）。</w:t>
      </w:r>
    </w:p>
    <w:p>
      <w:pPr>
        <w:rPr>
          <w:color w:val="000000"/>
        </w:rPr>
      </w:pPr>
      <w:r>
        <w:rPr>
          <w:rFonts w:ascii="黑体" w:hAnsi="黑体" w:eastAsia="黑体"/>
          <w:color w:val="000000"/>
        </w:rPr>
        <w:t>C.</w:t>
      </w:r>
      <w:r>
        <w:rPr>
          <w:rFonts w:hint="eastAsia" w:ascii="黑体" w:hAnsi="黑体" w:eastAsia="黑体"/>
          <w:color w:val="000000"/>
        </w:rPr>
        <w:t>2</w:t>
      </w:r>
      <w:r>
        <w:rPr>
          <w:rFonts w:ascii="黑体" w:hAnsi="黑体" w:eastAsia="黑体"/>
          <w:color w:val="000000"/>
        </w:rPr>
        <w:t>.3</w:t>
      </w:r>
      <w:r>
        <w:rPr>
          <w:color w:val="000000"/>
        </w:rPr>
        <w:t>溶剂（分析纯四氯化碳或三氯乙烯）。</w:t>
      </w:r>
    </w:p>
    <w:p>
      <w:pPr>
        <w:rPr>
          <w:rFonts w:ascii="黑体" w:hAnsi="黑体" w:eastAsia="黑体"/>
          <w:color w:val="000000"/>
        </w:rPr>
      </w:pPr>
    </w:p>
    <w:p>
      <w:pPr>
        <w:rPr>
          <w:rFonts w:eastAsia="黑体"/>
          <w:color w:val="000000"/>
        </w:rPr>
      </w:pPr>
      <w:bookmarkStart w:id="76" w:name="_GoBack"/>
      <w:bookmarkEnd w:id="76"/>
      <w:r>
        <w:rPr>
          <w:rFonts w:ascii="黑体" w:hAnsi="黑体" w:eastAsia="黑体"/>
          <w:color w:val="000000"/>
        </w:rPr>
        <w:t>C.</w:t>
      </w:r>
      <w:r>
        <w:rPr>
          <w:rFonts w:hint="eastAsia" w:ascii="黑体" w:hAnsi="黑体" w:eastAsia="黑体"/>
          <w:color w:val="000000"/>
        </w:rPr>
        <w:t>3</w:t>
      </w:r>
      <w:r>
        <w:rPr>
          <w:rFonts w:eastAsia="黑体"/>
          <w:color w:val="000000"/>
        </w:rPr>
        <w:t>试验步骤</w:t>
      </w:r>
    </w:p>
    <w:p>
      <w:pPr>
        <w:rPr>
          <w:color w:val="000000"/>
        </w:rPr>
      </w:pPr>
      <w:r>
        <w:rPr>
          <w:rFonts w:ascii="黑体" w:hAnsi="黑体" w:eastAsia="黑体"/>
          <w:color w:val="000000"/>
        </w:rPr>
        <w:t>C.</w:t>
      </w:r>
      <w:r>
        <w:rPr>
          <w:rFonts w:hint="eastAsia" w:ascii="黑体" w:hAnsi="黑体" w:eastAsia="黑体"/>
          <w:color w:val="000000"/>
        </w:rPr>
        <w:t>3</w:t>
      </w:r>
      <w:r>
        <w:rPr>
          <w:rFonts w:ascii="黑体" w:hAnsi="黑体" w:eastAsia="黑体"/>
          <w:color w:val="000000"/>
        </w:rPr>
        <w:t>.1</w:t>
      </w:r>
      <w:r>
        <w:rPr>
          <w:color w:val="000000"/>
        </w:rPr>
        <w:t>将烧杯清洗干净，在105℃±5℃烘箱中烘干60 min，取出后放入干燥器中，60 min后称重使用。</w:t>
      </w:r>
    </w:p>
    <w:p>
      <w:pPr>
        <w:rPr>
          <w:color w:val="000000"/>
        </w:rPr>
      </w:pPr>
      <w:r>
        <w:rPr>
          <w:rFonts w:ascii="黑体" w:hAnsi="黑体" w:eastAsia="黑体"/>
          <w:color w:val="000000"/>
        </w:rPr>
        <w:t>C.</w:t>
      </w:r>
      <w:r>
        <w:rPr>
          <w:rFonts w:hint="eastAsia" w:ascii="黑体" w:hAnsi="黑体" w:eastAsia="黑体"/>
          <w:color w:val="000000"/>
        </w:rPr>
        <w:t>3</w:t>
      </w:r>
      <w:r>
        <w:rPr>
          <w:rFonts w:ascii="黑体" w:hAnsi="黑体" w:eastAsia="黑体"/>
          <w:color w:val="000000"/>
        </w:rPr>
        <w:t>.2</w:t>
      </w:r>
      <w:r>
        <w:rPr>
          <w:color w:val="000000"/>
        </w:rPr>
        <w:t>截取试样：长度为50mm，共取3段（分别在管</w:t>
      </w:r>
      <w:r>
        <w:rPr>
          <w:rFonts w:hint="eastAsia"/>
          <w:color w:val="000000"/>
        </w:rPr>
        <w:t>材</w:t>
      </w:r>
      <w:r>
        <w:rPr>
          <w:color w:val="000000"/>
        </w:rPr>
        <w:t>中心及两端距管端100mm以上翅片部分取样）</w:t>
      </w:r>
      <w:r>
        <w:rPr>
          <w:color w:val="000000"/>
          <w:sz w:val="18"/>
          <w:szCs w:val="18"/>
        </w:rPr>
        <w:t>。</w:t>
      </w:r>
      <w:r>
        <w:rPr>
          <w:color w:val="000000"/>
        </w:rPr>
        <w:t>截取时，避免产生铜屑及污染外表面。</w:t>
      </w:r>
    </w:p>
    <w:p>
      <w:pPr>
        <w:rPr>
          <w:color w:val="000000"/>
        </w:rPr>
      </w:pPr>
      <w:r>
        <w:rPr>
          <w:rFonts w:ascii="黑体" w:hAnsi="黑体" w:eastAsia="黑体"/>
          <w:color w:val="000000"/>
        </w:rPr>
        <w:t>C.</w:t>
      </w:r>
      <w:r>
        <w:rPr>
          <w:rFonts w:hint="eastAsia" w:ascii="黑体" w:hAnsi="黑体" w:eastAsia="黑体"/>
          <w:color w:val="000000"/>
        </w:rPr>
        <w:t>3</w:t>
      </w:r>
      <w:r>
        <w:rPr>
          <w:rFonts w:ascii="黑体" w:hAnsi="黑体" w:eastAsia="黑体"/>
          <w:color w:val="000000"/>
        </w:rPr>
        <w:t>.3</w:t>
      </w:r>
      <w:r>
        <w:rPr>
          <w:color w:val="000000"/>
        </w:rPr>
        <w:t>取一个</w:t>
      </w:r>
      <w:r>
        <w:rPr>
          <w:rFonts w:hint="eastAsia"/>
          <w:color w:val="000000"/>
        </w:rPr>
        <w:t>C</w:t>
      </w:r>
      <w:r>
        <w:rPr>
          <w:color w:val="000000"/>
        </w:rPr>
        <w:t>.3.1所处理重量为</w:t>
      </w:r>
      <w:r>
        <w:rPr>
          <w:i/>
          <w:iCs/>
          <w:color w:val="000000"/>
        </w:rPr>
        <w:t>m</w:t>
      </w:r>
      <w:r>
        <w:rPr>
          <w:color w:val="000000"/>
          <w:vertAlign w:val="subscript"/>
        </w:rPr>
        <w:t>1</w:t>
      </w:r>
      <w:r>
        <w:rPr>
          <w:color w:val="000000"/>
        </w:rPr>
        <w:t>的干净烧杯，将三段试样放入，并注入溶剂，使之淹没管</w:t>
      </w:r>
      <w:r>
        <w:rPr>
          <w:rFonts w:hint="eastAsia"/>
          <w:color w:val="000000"/>
        </w:rPr>
        <w:t>材</w:t>
      </w:r>
      <w:r>
        <w:rPr>
          <w:color w:val="000000"/>
        </w:rPr>
        <w:t>。</w:t>
      </w:r>
    </w:p>
    <w:p>
      <w:pPr>
        <w:rPr>
          <w:color w:val="000000"/>
        </w:rPr>
      </w:pPr>
      <w:r>
        <w:rPr>
          <w:rFonts w:ascii="黑体" w:hAnsi="黑体" w:eastAsia="黑体"/>
          <w:color w:val="000000"/>
        </w:rPr>
        <w:t>C.</w:t>
      </w:r>
      <w:r>
        <w:rPr>
          <w:rFonts w:hint="eastAsia" w:ascii="黑体" w:hAnsi="黑体" w:eastAsia="黑体"/>
          <w:color w:val="000000"/>
        </w:rPr>
        <w:t>3</w:t>
      </w:r>
      <w:r>
        <w:rPr>
          <w:rFonts w:ascii="黑体" w:hAnsi="黑体" w:eastAsia="黑体"/>
          <w:color w:val="000000"/>
        </w:rPr>
        <w:t>.4</w:t>
      </w:r>
      <w:r>
        <w:rPr>
          <w:color w:val="000000"/>
        </w:rPr>
        <w:t>将烧杯放入超声波振荡器（</w:t>
      </w:r>
      <w:r>
        <w:rPr>
          <w:rFonts w:hint="eastAsia"/>
          <w:color w:val="000000"/>
        </w:rPr>
        <w:t>C</w:t>
      </w:r>
      <w:r>
        <w:rPr>
          <w:color w:val="000000"/>
        </w:rPr>
        <w:t>.2.1）中，振荡10 min。</w:t>
      </w:r>
    </w:p>
    <w:p>
      <w:pPr>
        <w:rPr>
          <w:rFonts w:eastAsia="黑体"/>
          <w:color w:val="000000"/>
        </w:rPr>
      </w:pPr>
      <w:r>
        <w:rPr>
          <w:rFonts w:ascii="黑体" w:hAnsi="黑体" w:eastAsia="黑体"/>
          <w:color w:val="000000"/>
        </w:rPr>
        <w:t>C.</w:t>
      </w:r>
      <w:r>
        <w:rPr>
          <w:rFonts w:hint="eastAsia" w:ascii="黑体" w:hAnsi="黑体" w:eastAsia="黑体"/>
          <w:color w:val="000000"/>
        </w:rPr>
        <w:t>3</w:t>
      </w:r>
      <w:r>
        <w:rPr>
          <w:rFonts w:ascii="黑体" w:hAnsi="黑体" w:eastAsia="黑体"/>
          <w:color w:val="000000"/>
        </w:rPr>
        <w:t>.5</w:t>
      </w:r>
      <w:r>
        <w:rPr>
          <w:color w:val="000000"/>
        </w:rPr>
        <w:t>取出管</w:t>
      </w:r>
      <w:r>
        <w:rPr>
          <w:rFonts w:hint="eastAsia"/>
          <w:color w:val="000000"/>
        </w:rPr>
        <w:t>材</w:t>
      </w:r>
      <w:r>
        <w:rPr>
          <w:color w:val="000000"/>
        </w:rPr>
        <w:t>，烧杯在电热板上加热，温度为105℃±5℃，直至烧杯中溶剂完全蒸发。</w:t>
      </w:r>
    </w:p>
    <w:p>
      <w:pPr>
        <w:rPr>
          <w:color w:val="000000"/>
        </w:rPr>
      </w:pPr>
      <w:r>
        <w:rPr>
          <w:rFonts w:ascii="黑体" w:hAnsi="黑体" w:eastAsia="黑体"/>
          <w:color w:val="000000"/>
        </w:rPr>
        <w:t>C.</w:t>
      </w:r>
      <w:r>
        <w:rPr>
          <w:rFonts w:hint="eastAsia" w:ascii="黑体" w:hAnsi="黑体" w:eastAsia="黑体"/>
          <w:color w:val="000000"/>
        </w:rPr>
        <w:t>3</w:t>
      </w:r>
      <w:r>
        <w:rPr>
          <w:rFonts w:ascii="黑体" w:hAnsi="黑体" w:eastAsia="黑体"/>
          <w:color w:val="000000"/>
        </w:rPr>
        <w:t>.6</w:t>
      </w:r>
      <w:r>
        <w:rPr>
          <w:color w:val="000000"/>
        </w:rPr>
        <w:t>溶剂烘干后，将烧杯放入105℃±5℃烘箱中，30 min后取出放入干燥器中，60 min后称其质量m</w:t>
      </w:r>
      <w:r>
        <w:rPr>
          <w:color w:val="000000"/>
          <w:vertAlign w:val="subscript"/>
        </w:rPr>
        <w:t>2</w:t>
      </w:r>
      <w:r>
        <w:rPr>
          <w:color w:val="000000"/>
        </w:rPr>
        <w:t>。</w:t>
      </w:r>
    </w:p>
    <w:p>
      <w:pPr>
        <w:rPr>
          <w:color w:val="000000"/>
        </w:rPr>
      </w:pPr>
      <w:r>
        <w:rPr>
          <w:rFonts w:ascii="黑体" w:hAnsi="黑体" w:eastAsia="黑体"/>
          <w:color w:val="000000"/>
        </w:rPr>
        <w:t>C.</w:t>
      </w:r>
      <w:r>
        <w:rPr>
          <w:rFonts w:hint="eastAsia" w:ascii="黑体" w:hAnsi="黑体" w:eastAsia="黑体"/>
          <w:color w:val="000000"/>
        </w:rPr>
        <w:t>3</w:t>
      </w:r>
      <w:r>
        <w:rPr>
          <w:rFonts w:ascii="黑体" w:hAnsi="黑体" w:eastAsia="黑体"/>
          <w:color w:val="000000"/>
        </w:rPr>
        <w:t>.7</w:t>
      </w:r>
      <w:r>
        <w:rPr>
          <w:color w:val="000000"/>
        </w:rPr>
        <w:t>同时用相同量溶剂（</w:t>
      </w:r>
      <w:r>
        <w:rPr>
          <w:rFonts w:hint="eastAsia"/>
          <w:color w:val="000000"/>
        </w:rPr>
        <w:t>C</w:t>
      </w:r>
      <w:r>
        <w:rPr>
          <w:color w:val="000000"/>
        </w:rPr>
        <w:t>.2.3）进行空白试验，测定空白值</w:t>
      </w:r>
      <w:r>
        <w:rPr>
          <w:i/>
          <w:iCs/>
          <w:color w:val="000000"/>
        </w:rPr>
        <w:t>m</w:t>
      </w:r>
      <w:r>
        <w:rPr>
          <w:color w:val="000000"/>
          <w:vertAlign w:val="subscript"/>
        </w:rPr>
        <w:t xml:space="preserve">0 </w:t>
      </w:r>
      <w:r>
        <w:rPr>
          <w:color w:val="000000"/>
        </w:rPr>
        <w:t>。</w:t>
      </w:r>
    </w:p>
    <w:p>
      <w:pPr>
        <w:rPr>
          <w:rFonts w:eastAsia="黑体"/>
          <w:color w:val="000000"/>
        </w:rPr>
      </w:pPr>
    </w:p>
    <w:p>
      <w:pPr>
        <w:rPr>
          <w:rFonts w:eastAsia="黑体"/>
          <w:color w:val="000000"/>
        </w:rPr>
      </w:pPr>
      <w:r>
        <w:rPr>
          <w:rFonts w:ascii="黑体" w:hAnsi="黑体" w:eastAsia="黑体"/>
          <w:color w:val="000000"/>
        </w:rPr>
        <w:t>C.</w:t>
      </w:r>
      <w:r>
        <w:rPr>
          <w:rFonts w:hint="eastAsia" w:ascii="黑体" w:hAnsi="黑体" w:eastAsia="黑体"/>
          <w:color w:val="000000"/>
        </w:rPr>
        <w:t>4</w:t>
      </w:r>
      <w:r>
        <w:rPr>
          <w:rFonts w:eastAsia="黑体"/>
          <w:color w:val="000000"/>
        </w:rPr>
        <w:t>计算：</w:t>
      </w:r>
    </w:p>
    <w:p>
      <w:pPr>
        <w:jc w:val="right"/>
        <w:rPr>
          <w:color w:val="000000"/>
        </w:rPr>
      </w:pPr>
      <w:r>
        <w:rPr>
          <w:i/>
          <w:iCs/>
          <w:color w:val="000000"/>
        </w:rPr>
        <w:t>Q</w:t>
      </w:r>
      <w:r>
        <w:rPr>
          <w:color w:val="000000"/>
        </w:rPr>
        <w:t>=（</w:t>
      </w:r>
      <w:r>
        <w:rPr>
          <w:i/>
          <w:iCs/>
          <w:color w:val="000000"/>
        </w:rPr>
        <w:t>m</w:t>
      </w:r>
      <w:r>
        <w:rPr>
          <w:color w:val="000000"/>
          <w:vertAlign w:val="subscript"/>
        </w:rPr>
        <w:t>2</w:t>
      </w:r>
      <w:r>
        <w:rPr>
          <w:rFonts w:hint="eastAsia"/>
          <w:color w:val="000000"/>
        </w:rPr>
        <w:t>-</w:t>
      </w:r>
      <w:r>
        <w:rPr>
          <w:i/>
          <w:iCs/>
          <w:color w:val="000000"/>
        </w:rPr>
        <w:t>m</w:t>
      </w:r>
      <w:r>
        <w:rPr>
          <w:color w:val="000000"/>
          <w:vertAlign w:val="subscript"/>
        </w:rPr>
        <w:t>1</w:t>
      </w:r>
      <w:r>
        <w:rPr>
          <w:rFonts w:hint="eastAsia"/>
          <w:color w:val="000000"/>
        </w:rPr>
        <w:t>-</w:t>
      </w:r>
      <w:r>
        <w:rPr>
          <w:i/>
          <w:iCs/>
          <w:color w:val="000000"/>
        </w:rPr>
        <w:t>m</w:t>
      </w:r>
      <w:r>
        <w:rPr>
          <w:color w:val="000000"/>
          <w:vertAlign w:val="subscript"/>
        </w:rPr>
        <w:t>0</w:t>
      </w:r>
      <w:r>
        <w:rPr>
          <w:color w:val="000000"/>
        </w:rPr>
        <w:t>）×1 000/</w:t>
      </w:r>
      <w:r>
        <w:rPr>
          <w:i/>
          <w:iCs/>
          <w:color w:val="000000"/>
        </w:rPr>
        <w:t>S</w:t>
      </w:r>
      <w:r>
        <w:rPr>
          <w:color w:val="000000"/>
        </w:rPr>
        <w:t xml:space="preserve">  …………………………（</w:t>
      </w:r>
      <w:r>
        <w:rPr>
          <w:rFonts w:hint="eastAsia"/>
          <w:color w:val="000000"/>
        </w:rPr>
        <w:t>C</w:t>
      </w:r>
      <w:r>
        <w:rPr>
          <w:color w:val="000000"/>
        </w:rPr>
        <w:t>.1）</w:t>
      </w:r>
    </w:p>
    <w:p>
      <w:pPr>
        <w:ind w:firstLine="420" w:firstLineChars="200"/>
        <w:rPr>
          <w:color w:val="000000"/>
        </w:rPr>
      </w:pPr>
      <w:r>
        <w:rPr>
          <w:color w:val="000000"/>
        </w:rPr>
        <w:t>式中：</w:t>
      </w:r>
    </w:p>
    <w:p>
      <w:pPr>
        <w:ind w:firstLine="420" w:firstLineChars="200"/>
        <w:rPr>
          <w:color w:val="000000"/>
        </w:rPr>
      </w:pPr>
      <w:r>
        <w:rPr>
          <w:i/>
          <w:iCs/>
          <w:color w:val="000000"/>
        </w:rPr>
        <w:t>Q</w:t>
      </w:r>
      <w:r>
        <w:rPr>
          <w:color w:val="000000"/>
        </w:rPr>
        <w:t>——杂质含量，单位为毫克每平方米（mg/m2）。</w:t>
      </w:r>
    </w:p>
    <w:p>
      <w:pPr>
        <w:ind w:firstLine="420" w:firstLineChars="200"/>
        <w:rPr>
          <w:color w:val="000000"/>
        </w:rPr>
      </w:pPr>
      <w:r>
        <w:rPr>
          <w:i/>
          <w:iCs/>
          <w:color w:val="000000"/>
        </w:rPr>
        <w:t>m</w:t>
      </w:r>
      <w:r>
        <w:rPr>
          <w:color w:val="000000"/>
          <w:vertAlign w:val="subscript"/>
        </w:rPr>
        <w:t>2</w:t>
      </w:r>
      <w:r>
        <w:rPr>
          <w:color w:val="000000"/>
        </w:rPr>
        <w:t>——含杂质烧杯重量，单位为克（g）；</w:t>
      </w:r>
    </w:p>
    <w:p>
      <w:pPr>
        <w:ind w:firstLine="420" w:firstLineChars="200"/>
        <w:rPr>
          <w:color w:val="000000"/>
        </w:rPr>
      </w:pPr>
      <w:r>
        <w:rPr>
          <w:i/>
          <w:iCs/>
          <w:color w:val="000000"/>
        </w:rPr>
        <w:t>m</w:t>
      </w:r>
      <w:r>
        <w:rPr>
          <w:color w:val="000000"/>
          <w:vertAlign w:val="subscript"/>
        </w:rPr>
        <w:t>1</w:t>
      </w:r>
      <w:r>
        <w:rPr>
          <w:color w:val="000000"/>
        </w:rPr>
        <w:t>——干净烧杯重量，单位为克（g）；</w:t>
      </w:r>
    </w:p>
    <w:p>
      <w:pPr>
        <w:ind w:firstLine="420" w:firstLineChars="200"/>
        <w:rPr>
          <w:color w:val="000000"/>
        </w:rPr>
      </w:pPr>
      <w:r>
        <w:rPr>
          <w:i/>
          <w:iCs/>
          <w:color w:val="000000"/>
        </w:rPr>
        <w:t>m</w:t>
      </w:r>
      <w:r>
        <w:rPr>
          <w:color w:val="000000"/>
          <w:vertAlign w:val="subscript"/>
        </w:rPr>
        <w:t>0</w:t>
      </w:r>
      <w:r>
        <w:rPr>
          <w:color w:val="000000"/>
        </w:rPr>
        <w:t>——空白值，单位为克（g）；</w:t>
      </w:r>
    </w:p>
    <w:p>
      <w:pPr>
        <w:ind w:firstLine="420" w:firstLineChars="200"/>
        <w:rPr>
          <w:color w:val="000000"/>
        </w:rPr>
      </w:pPr>
      <w:r>
        <w:rPr>
          <w:i/>
          <w:iCs/>
          <w:color w:val="000000"/>
        </w:rPr>
        <w:t>S</w:t>
      </w:r>
      <w:r>
        <w:rPr>
          <w:color w:val="000000"/>
        </w:rPr>
        <w:t>——铜管内、外表面积之和，单位为平方米（m</w:t>
      </w:r>
      <w:r>
        <w:rPr>
          <w:color w:val="000000"/>
          <w:vertAlign w:val="superscript"/>
        </w:rPr>
        <w:t>2</w:t>
      </w:r>
      <w:r>
        <w:rPr>
          <w:color w:val="000000"/>
        </w:rPr>
        <w:t>）；</w:t>
      </w:r>
    </w:p>
    <w:p>
      <w:pPr>
        <w:autoSpaceDE w:val="0"/>
        <w:autoSpaceDN w:val="0"/>
        <w:adjustRightInd w:val="0"/>
        <w:ind w:firstLine="420" w:firstLineChars="200"/>
        <w:jc w:val="left"/>
        <w:rPr>
          <w:color w:val="000000"/>
        </w:rPr>
      </w:pPr>
      <w:r>
        <w:rPr>
          <w:color w:val="000000"/>
        </w:rPr>
        <w:t>推荐翅片管表面积见下表</w:t>
      </w:r>
      <w:r>
        <w:rPr>
          <w:rFonts w:hint="eastAsia"/>
          <w:color w:val="000000"/>
        </w:rPr>
        <w:t>C</w:t>
      </w:r>
      <w:r>
        <w:rPr>
          <w:color w:val="000000"/>
        </w:rPr>
        <w:t>.1</w:t>
      </w:r>
      <w:r>
        <w:rPr>
          <w:rFonts w:hint="eastAsia"/>
          <w:color w:val="000000"/>
        </w:rPr>
        <w:t>。</w:t>
      </w:r>
    </w:p>
    <w:p>
      <w:pPr>
        <w:autoSpaceDE w:val="0"/>
        <w:autoSpaceDN w:val="0"/>
        <w:adjustRightInd w:val="0"/>
        <w:ind w:firstLine="420" w:firstLineChars="200"/>
        <w:jc w:val="left"/>
        <w:rPr>
          <w:color w:val="000000"/>
        </w:rPr>
      </w:pPr>
    </w:p>
    <w:p>
      <w:pPr>
        <w:autoSpaceDE w:val="0"/>
        <w:autoSpaceDN w:val="0"/>
        <w:adjustRightInd w:val="0"/>
        <w:jc w:val="center"/>
        <w:rPr>
          <w:color w:val="000000"/>
        </w:rPr>
      </w:pPr>
      <w:r>
        <w:rPr>
          <w:rFonts w:eastAsia="黑体"/>
          <w:color w:val="000000"/>
        </w:rPr>
        <w:t>表</w:t>
      </w:r>
      <w:r>
        <w:rPr>
          <w:rFonts w:hint="eastAsia" w:eastAsia="黑体"/>
          <w:color w:val="000000"/>
        </w:rPr>
        <w:t>C</w:t>
      </w:r>
      <w:r>
        <w:rPr>
          <w:rFonts w:eastAsia="黑体"/>
          <w:color w:val="000000"/>
        </w:rPr>
        <w:t>.1   推荐规格翅片管表面积估算值</w:t>
      </w:r>
    </w:p>
    <w:tbl>
      <w:tblPr>
        <w:tblStyle w:val="16"/>
        <w:tblW w:w="878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27"/>
        <w:gridCol w:w="3312"/>
        <w:gridCol w:w="354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jc w:val="center"/>
        </w:trPr>
        <w:tc>
          <w:tcPr>
            <w:tcW w:w="1927" w:type="dxa"/>
            <w:tcBorders>
              <w:top w:val="single" w:color="auto" w:sz="8" w:space="0"/>
              <w:left w:val="single" w:color="auto" w:sz="8" w:space="0"/>
              <w:bottom w:val="single" w:color="auto" w:sz="8" w:space="0"/>
              <w:right w:val="single" w:color="auto" w:sz="4" w:space="0"/>
            </w:tcBorders>
            <w:vAlign w:val="center"/>
          </w:tcPr>
          <w:p>
            <w:pPr>
              <w:jc w:val="center"/>
              <w:rPr>
                <w:color w:val="000000"/>
                <w:sz w:val="18"/>
                <w:szCs w:val="18"/>
              </w:rPr>
            </w:pPr>
            <w:r>
              <w:rPr>
                <w:color w:val="000000"/>
                <w:sz w:val="18"/>
                <w:szCs w:val="18"/>
              </w:rPr>
              <w:t>序号</w:t>
            </w:r>
          </w:p>
        </w:tc>
        <w:tc>
          <w:tcPr>
            <w:tcW w:w="3312" w:type="dxa"/>
            <w:tcBorders>
              <w:top w:val="single" w:color="auto" w:sz="8" w:space="0"/>
              <w:left w:val="single" w:color="auto" w:sz="4" w:space="0"/>
              <w:bottom w:val="single" w:color="auto" w:sz="8" w:space="0"/>
              <w:right w:val="single" w:color="auto" w:sz="4" w:space="0"/>
            </w:tcBorders>
            <w:vAlign w:val="center"/>
          </w:tcPr>
          <w:p>
            <w:pPr>
              <w:jc w:val="center"/>
              <w:rPr>
                <w:color w:val="000000"/>
                <w:sz w:val="18"/>
                <w:szCs w:val="18"/>
              </w:rPr>
            </w:pPr>
            <w:r>
              <w:rPr>
                <w:color w:val="000000"/>
                <w:sz w:val="18"/>
                <w:szCs w:val="18"/>
              </w:rPr>
              <w:t>铜管类型</w:t>
            </w:r>
          </w:p>
        </w:tc>
        <w:tc>
          <w:tcPr>
            <w:tcW w:w="3545" w:type="dxa"/>
            <w:tcBorders>
              <w:top w:val="single" w:color="auto" w:sz="8" w:space="0"/>
              <w:left w:val="single" w:color="auto" w:sz="4" w:space="0"/>
              <w:bottom w:val="single" w:color="auto" w:sz="8" w:space="0"/>
              <w:right w:val="single" w:color="auto" w:sz="8" w:space="0"/>
            </w:tcBorders>
            <w:vAlign w:val="center"/>
          </w:tcPr>
          <w:p>
            <w:pPr>
              <w:jc w:val="center"/>
              <w:rPr>
                <w:color w:val="000000"/>
                <w:sz w:val="18"/>
                <w:szCs w:val="18"/>
              </w:rPr>
            </w:pPr>
            <w:r>
              <w:rPr>
                <w:color w:val="000000"/>
                <w:sz w:val="18"/>
                <w:szCs w:val="18"/>
              </w:rPr>
              <w:t>翅片管表面积</w:t>
            </w:r>
          </w:p>
          <w:p>
            <w:pPr>
              <w:jc w:val="center"/>
              <w:rPr>
                <w:color w:val="000000"/>
                <w:sz w:val="18"/>
                <w:szCs w:val="18"/>
              </w:rPr>
            </w:pPr>
            <w:r>
              <w:rPr>
                <w:color w:val="000000"/>
                <w:sz w:val="18"/>
                <w:szCs w:val="18"/>
              </w:rPr>
              <w:t>㎡/m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20" w:hRule="atLeast"/>
          <w:jc w:val="center"/>
        </w:trPr>
        <w:tc>
          <w:tcPr>
            <w:tcW w:w="1927" w:type="dxa"/>
            <w:tcBorders>
              <w:top w:val="single" w:color="auto" w:sz="8" w:space="0"/>
              <w:left w:val="single" w:color="auto" w:sz="8" w:space="0"/>
              <w:bottom w:val="single" w:color="auto" w:sz="4" w:space="0"/>
              <w:right w:val="single" w:color="auto" w:sz="4" w:space="0"/>
            </w:tcBorders>
            <w:vAlign w:val="center"/>
          </w:tcPr>
          <w:p>
            <w:pPr>
              <w:jc w:val="center"/>
              <w:rPr>
                <w:color w:val="000000"/>
                <w:sz w:val="18"/>
                <w:szCs w:val="18"/>
              </w:rPr>
            </w:pPr>
            <w:r>
              <w:rPr>
                <w:color w:val="000000"/>
                <w:sz w:val="18"/>
                <w:szCs w:val="18"/>
              </w:rPr>
              <w:t>01</w:t>
            </w:r>
          </w:p>
        </w:tc>
        <w:tc>
          <w:tcPr>
            <w:tcW w:w="3312" w:type="dxa"/>
            <w:tcBorders>
              <w:top w:val="single" w:color="auto" w:sz="8" w:space="0"/>
              <w:left w:val="single" w:color="auto" w:sz="4" w:space="0"/>
              <w:bottom w:val="single" w:color="auto" w:sz="4" w:space="0"/>
              <w:right w:val="single" w:color="auto" w:sz="4" w:space="0"/>
            </w:tcBorders>
            <w:vAlign w:val="center"/>
          </w:tcPr>
          <w:p>
            <w:pPr>
              <w:jc w:val="center"/>
              <w:rPr>
                <w:color w:val="000000"/>
                <w:sz w:val="18"/>
                <w:szCs w:val="18"/>
              </w:rPr>
            </w:pPr>
            <w:r>
              <w:rPr>
                <w:color w:val="000000"/>
                <w:sz w:val="18"/>
                <w:szCs w:val="18"/>
              </w:rPr>
              <w:t>φ19.05冷凝管</w:t>
            </w:r>
          </w:p>
        </w:tc>
        <w:tc>
          <w:tcPr>
            <w:tcW w:w="3545" w:type="dxa"/>
            <w:tcBorders>
              <w:top w:val="single" w:color="auto" w:sz="8" w:space="0"/>
              <w:left w:val="single" w:color="auto" w:sz="4" w:space="0"/>
              <w:bottom w:val="single" w:color="auto" w:sz="4" w:space="0"/>
              <w:right w:val="single" w:color="auto" w:sz="8" w:space="0"/>
            </w:tcBorders>
            <w:vAlign w:val="center"/>
          </w:tcPr>
          <w:p>
            <w:pPr>
              <w:jc w:val="center"/>
              <w:rPr>
                <w:color w:val="000000"/>
                <w:sz w:val="18"/>
                <w:szCs w:val="18"/>
              </w:rPr>
            </w:pPr>
            <w:r>
              <w:rPr>
                <w:color w:val="000000"/>
                <w:sz w:val="18"/>
                <w:szCs w:val="18"/>
              </w:rPr>
              <w:t>约0.397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20" w:hRule="atLeast"/>
          <w:jc w:val="center"/>
        </w:trPr>
        <w:tc>
          <w:tcPr>
            <w:tcW w:w="1927" w:type="dxa"/>
            <w:tcBorders>
              <w:top w:val="single" w:color="auto" w:sz="4" w:space="0"/>
              <w:left w:val="single" w:color="auto" w:sz="8" w:space="0"/>
              <w:bottom w:val="single" w:color="auto" w:sz="4" w:space="0"/>
              <w:right w:val="single" w:color="auto" w:sz="4" w:space="0"/>
            </w:tcBorders>
            <w:vAlign w:val="center"/>
          </w:tcPr>
          <w:p>
            <w:pPr>
              <w:jc w:val="center"/>
              <w:rPr>
                <w:color w:val="000000"/>
                <w:sz w:val="18"/>
                <w:szCs w:val="18"/>
              </w:rPr>
            </w:pPr>
            <w:r>
              <w:rPr>
                <w:color w:val="000000"/>
                <w:sz w:val="18"/>
                <w:szCs w:val="18"/>
              </w:rPr>
              <w:t>02</w:t>
            </w:r>
          </w:p>
        </w:tc>
        <w:tc>
          <w:tcPr>
            <w:tcW w:w="3312" w:type="dxa"/>
            <w:tcBorders>
              <w:top w:val="single" w:color="auto" w:sz="4" w:space="0"/>
              <w:left w:val="single" w:color="auto" w:sz="4" w:space="0"/>
              <w:bottom w:val="single" w:color="auto" w:sz="4" w:space="0"/>
              <w:right w:val="single" w:color="auto" w:sz="4" w:space="0"/>
            </w:tcBorders>
            <w:vAlign w:val="center"/>
          </w:tcPr>
          <w:p>
            <w:pPr>
              <w:jc w:val="center"/>
              <w:rPr>
                <w:color w:val="000000"/>
                <w:sz w:val="18"/>
                <w:szCs w:val="18"/>
              </w:rPr>
            </w:pPr>
            <w:r>
              <w:rPr>
                <w:color w:val="000000"/>
                <w:sz w:val="18"/>
                <w:szCs w:val="18"/>
              </w:rPr>
              <w:t>φ19.05蒸发管</w:t>
            </w:r>
          </w:p>
        </w:tc>
        <w:tc>
          <w:tcPr>
            <w:tcW w:w="3545" w:type="dxa"/>
            <w:tcBorders>
              <w:top w:val="single" w:color="auto" w:sz="4" w:space="0"/>
              <w:left w:val="single" w:color="auto" w:sz="4" w:space="0"/>
              <w:bottom w:val="single" w:color="auto" w:sz="4" w:space="0"/>
              <w:right w:val="single" w:color="auto" w:sz="8" w:space="0"/>
            </w:tcBorders>
            <w:vAlign w:val="center"/>
          </w:tcPr>
          <w:p>
            <w:pPr>
              <w:jc w:val="center"/>
              <w:rPr>
                <w:color w:val="000000"/>
                <w:sz w:val="18"/>
                <w:szCs w:val="18"/>
              </w:rPr>
            </w:pPr>
            <w:r>
              <w:rPr>
                <w:color w:val="000000"/>
                <w:sz w:val="18"/>
                <w:szCs w:val="18"/>
              </w:rPr>
              <w:t>约0.325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20" w:hRule="atLeast"/>
          <w:jc w:val="center"/>
        </w:trPr>
        <w:tc>
          <w:tcPr>
            <w:tcW w:w="1927" w:type="dxa"/>
            <w:tcBorders>
              <w:top w:val="single" w:color="auto" w:sz="4" w:space="0"/>
              <w:left w:val="single" w:color="auto" w:sz="8" w:space="0"/>
              <w:bottom w:val="single" w:color="auto" w:sz="4" w:space="0"/>
              <w:right w:val="single" w:color="auto" w:sz="4" w:space="0"/>
            </w:tcBorders>
            <w:vAlign w:val="center"/>
          </w:tcPr>
          <w:p>
            <w:pPr>
              <w:jc w:val="center"/>
              <w:rPr>
                <w:color w:val="000000"/>
                <w:sz w:val="18"/>
                <w:szCs w:val="18"/>
              </w:rPr>
            </w:pPr>
            <w:r>
              <w:rPr>
                <w:color w:val="000000"/>
                <w:sz w:val="18"/>
                <w:szCs w:val="18"/>
              </w:rPr>
              <w:t>03</w:t>
            </w:r>
          </w:p>
        </w:tc>
        <w:tc>
          <w:tcPr>
            <w:tcW w:w="3312" w:type="dxa"/>
            <w:tcBorders>
              <w:top w:val="single" w:color="auto" w:sz="4" w:space="0"/>
              <w:left w:val="single" w:color="auto" w:sz="4" w:space="0"/>
              <w:bottom w:val="single" w:color="auto" w:sz="4" w:space="0"/>
              <w:right w:val="single" w:color="auto" w:sz="4" w:space="0"/>
            </w:tcBorders>
            <w:vAlign w:val="center"/>
          </w:tcPr>
          <w:p>
            <w:pPr>
              <w:jc w:val="center"/>
              <w:rPr>
                <w:color w:val="000000"/>
                <w:sz w:val="18"/>
                <w:szCs w:val="18"/>
              </w:rPr>
            </w:pPr>
            <w:r>
              <w:rPr>
                <w:color w:val="000000"/>
                <w:sz w:val="18"/>
                <w:szCs w:val="18"/>
              </w:rPr>
              <w:t>φ25.4冷凝管</w:t>
            </w:r>
          </w:p>
        </w:tc>
        <w:tc>
          <w:tcPr>
            <w:tcW w:w="3545" w:type="dxa"/>
            <w:tcBorders>
              <w:top w:val="single" w:color="auto" w:sz="4" w:space="0"/>
              <w:left w:val="single" w:color="auto" w:sz="4" w:space="0"/>
              <w:bottom w:val="single" w:color="auto" w:sz="4" w:space="0"/>
              <w:right w:val="single" w:color="auto" w:sz="8" w:space="0"/>
            </w:tcBorders>
            <w:vAlign w:val="center"/>
          </w:tcPr>
          <w:p>
            <w:pPr>
              <w:jc w:val="center"/>
              <w:rPr>
                <w:color w:val="000000"/>
                <w:sz w:val="18"/>
                <w:szCs w:val="18"/>
              </w:rPr>
            </w:pPr>
            <w:r>
              <w:rPr>
                <w:color w:val="000000"/>
                <w:sz w:val="18"/>
                <w:szCs w:val="18"/>
              </w:rPr>
              <w:t>约0.528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20" w:hRule="atLeast"/>
          <w:jc w:val="center"/>
        </w:trPr>
        <w:tc>
          <w:tcPr>
            <w:tcW w:w="1927" w:type="dxa"/>
            <w:tcBorders>
              <w:top w:val="single" w:color="auto" w:sz="4" w:space="0"/>
              <w:left w:val="single" w:color="auto" w:sz="8" w:space="0"/>
              <w:bottom w:val="single" w:color="auto" w:sz="4" w:space="0"/>
              <w:right w:val="single" w:color="auto" w:sz="4" w:space="0"/>
            </w:tcBorders>
            <w:vAlign w:val="center"/>
          </w:tcPr>
          <w:p>
            <w:pPr>
              <w:jc w:val="center"/>
              <w:rPr>
                <w:color w:val="000000"/>
                <w:sz w:val="18"/>
                <w:szCs w:val="18"/>
              </w:rPr>
            </w:pPr>
            <w:r>
              <w:rPr>
                <w:color w:val="000000"/>
                <w:sz w:val="18"/>
                <w:szCs w:val="18"/>
              </w:rPr>
              <w:t>04</w:t>
            </w:r>
          </w:p>
        </w:tc>
        <w:tc>
          <w:tcPr>
            <w:tcW w:w="3312" w:type="dxa"/>
            <w:tcBorders>
              <w:top w:val="single" w:color="auto" w:sz="4" w:space="0"/>
              <w:left w:val="single" w:color="auto" w:sz="4" w:space="0"/>
              <w:bottom w:val="single" w:color="auto" w:sz="4" w:space="0"/>
              <w:right w:val="single" w:color="auto" w:sz="4" w:space="0"/>
            </w:tcBorders>
            <w:vAlign w:val="center"/>
          </w:tcPr>
          <w:p>
            <w:pPr>
              <w:jc w:val="center"/>
              <w:rPr>
                <w:color w:val="000000"/>
                <w:sz w:val="18"/>
                <w:szCs w:val="18"/>
              </w:rPr>
            </w:pPr>
            <w:r>
              <w:rPr>
                <w:color w:val="000000"/>
                <w:sz w:val="18"/>
                <w:szCs w:val="18"/>
              </w:rPr>
              <w:t>φ25.4蒸发管</w:t>
            </w:r>
          </w:p>
        </w:tc>
        <w:tc>
          <w:tcPr>
            <w:tcW w:w="3545" w:type="dxa"/>
            <w:tcBorders>
              <w:top w:val="single" w:color="auto" w:sz="4" w:space="0"/>
              <w:left w:val="single" w:color="auto" w:sz="4" w:space="0"/>
              <w:bottom w:val="single" w:color="auto" w:sz="4" w:space="0"/>
              <w:right w:val="single" w:color="auto" w:sz="8" w:space="0"/>
            </w:tcBorders>
            <w:vAlign w:val="center"/>
          </w:tcPr>
          <w:p>
            <w:pPr>
              <w:jc w:val="center"/>
              <w:rPr>
                <w:color w:val="000000"/>
                <w:sz w:val="18"/>
                <w:szCs w:val="18"/>
              </w:rPr>
            </w:pPr>
            <w:r>
              <w:rPr>
                <w:color w:val="000000"/>
                <w:sz w:val="18"/>
                <w:szCs w:val="18"/>
              </w:rPr>
              <w:t>约0.432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20" w:hRule="atLeast"/>
          <w:jc w:val="center"/>
        </w:trPr>
        <w:tc>
          <w:tcPr>
            <w:tcW w:w="1927" w:type="dxa"/>
            <w:tcBorders>
              <w:top w:val="single" w:color="auto" w:sz="4" w:space="0"/>
              <w:left w:val="single" w:color="auto" w:sz="8" w:space="0"/>
              <w:bottom w:val="single" w:color="auto" w:sz="4" w:space="0"/>
              <w:right w:val="single" w:color="auto" w:sz="4" w:space="0"/>
            </w:tcBorders>
            <w:vAlign w:val="center"/>
          </w:tcPr>
          <w:p>
            <w:pPr>
              <w:jc w:val="center"/>
              <w:rPr>
                <w:color w:val="000000"/>
                <w:sz w:val="18"/>
                <w:szCs w:val="18"/>
              </w:rPr>
            </w:pPr>
            <w:r>
              <w:rPr>
                <w:color w:val="000000"/>
                <w:sz w:val="18"/>
                <w:szCs w:val="18"/>
              </w:rPr>
              <w:t>05</w:t>
            </w:r>
          </w:p>
        </w:tc>
        <w:tc>
          <w:tcPr>
            <w:tcW w:w="3312" w:type="dxa"/>
            <w:tcBorders>
              <w:top w:val="single" w:color="auto" w:sz="4" w:space="0"/>
              <w:left w:val="single" w:color="auto" w:sz="4" w:space="0"/>
              <w:bottom w:val="single" w:color="auto" w:sz="4" w:space="0"/>
              <w:right w:val="single" w:color="auto" w:sz="4" w:space="0"/>
            </w:tcBorders>
            <w:vAlign w:val="center"/>
          </w:tcPr>
          <w:p>
            <w:pPr>
              <w:jc w:val="center"/>
              <w:rPr>
                <w:color w:val="000000"/>
                <w:sz w:val="18"/>
                <w:szCs w:val="18"/>
              </w:rPr>
            </w:pPr>
            <w:r>
              <w:rPr>
                <w:color w:val="000000"/>
                <w:sz w:val="18"/>
                <w:szCs w:val="18"/>
              </w:rPr>
              <w:t>φ15.88内螺纹管</w:t>
            </w:r>
          </w:p>
        </w:tc>
        <w:tc>
          <w:tcPr>
            <w:tcW w:w="3545" w:type="dxa"/>
            <w:tcBorders>
              <w:top w:val="single" w:color="auto" w:sz="4" w:space="0"/>
              <w:left w:val="single" w:color="auto" w:sz="4" w:space="0"/>
              <w:bottom w:val="single" w:color="auto" w:sz="4" w:space="0"/>
              <w:right w:val="single" w:color="auto" w:sz="8" w:space="0"/>
            </w:tcBorders>
            <w:vAlign w:val="center"/>
          </w:tcPr>
          <w:p>
            <w:pPr>
              <w:jc w:val="center"/>
              <w:rPr>
                <w:color w:val="000000"/>
                <w:sz w:val="18"/>
                <w:szCs w:val="18"/>
              </w:rPr>
            </w:pPr>
            <w:r>
              <w:rPr>
                <w:color w:val="000000"/>
                <w:sz w:val="18"/>
                <w:szCs w:val="18"/>
              </w:rPr>
              <w:t>约0.146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20" w:hRule="atLeast"/>
          <w:jc w:val="center"/>
        </w:trPr>
        <w:tc>
          <w:tcPr>
            <w:tcW w:w="1927" w:type="dxa"/>
            <w:tcBorders>
              <w:top w:val="single" w:color="auto" w:sz="4" w:space="0"/>
              <w:left w:val="single" w:color="auto" w:sz="8" w:space="0"/>
              <w:bottom w:val="single" w:color="auto" w:sz="4" w:space="0"/>
              <w:right w:val="single" w:color="auto" w:sz="4" w:space="0"/>
            </w:tcBorders>
            <w:vAlign w:val="center"/>
          </w:tcPr>
          <w:p>
            <w:pPr>
              <w:jc w:val="center"/>
              <w:rPr>
                <w:color w:val="000000"/>
                <w:sz w:val="18"/>
                <w:szCs w:val="18"/>
              </w:rPr>
            </w:pPr>
            <w:r>
              <w:rPr>
                <w:color w:val="000000"/>
                <w:sz w:val="18"/>
                <w:szCs w:val="18"/>
              </w:rPr>
              <w:t>06</w:t>
            </w:r>
          </w:p>
        </w:tc>
        <w:tc>
          <w:tcPr>
            <w:tcW w:w="3312" w:type="dxa"/>
            <w:tcBorders>
              <w:top w:val="single" w:color="auto" w:sz="4" w:space="0"/>
              <w:left w:val="single" w:color="auto" w:sz="4" w:space="0"/>
              <w:bottom w:val="single" w:color="auto" w:sz="4" w:space="0"/>
              <w:right w:val="single" w:color="auto" w:sz="4" w:space="0"/>
            </w:tcBorders>
            <w:vAlign w:val="center"/>
          </w:tcPr>
          <w:p>
            <w:pPr>
              <w:jc w:val="center"/>
              <w:rPr>
                <w:color w:val="000000"/>
                <w:sz w:val="18"/>
                <w:szCs w:val="18"/>
              </w:rPr>
            </w:pPr>
            <w:r>
              <w:rPr>
                <w:color w:val="000000"/>
                <w:sz w:val="18"/>
                <w:szCs w:val="18"/>
              </w:rPr>
              <w:t>φ12.7内螺纹管</w:t>
            </w:r>
          </w:p>
        </w:tc>
        <w:tc>
          <w:tcPr>
            <w:tcW w:w="3545" w:type="dxa"/>
            <w:tcBorders>
              <w:top w:val="single" w:color="auto" w:sz="4" w:space="0"/>
              <w:left w:val="single" w:color="auto" w:sz="4" w:space="0"/>
              <w:bottom w:val="single" w:color="auto" w:sz="4" w:space="0"/>
              <w:right w:val="single" w:color="auto" w:sz="8" w:space="0"/>
            </w:tcBorders>
            <w:vAlign w:val="center"/>
          </w:tcPr>
          <w:p>
            <w:pPr>
              <w:jc w:val="center"/>
              <w:rPr>
                <w:color w:val="000000"/>
                <w:sz w:val="18"/>
                <w:szCs w:val="18"/>
              </w:rPr>
            </w:pPr>
            <w:r>
              <w:rPr>
                <w:color w:val="000000"/>
                <w:sz w:val="18"/>
                <w:szCs w:val="18"/>
              </w:rPr>
              <w:t>约0.078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20" w:hRule="atLeast"/>
          <w:jc w:val="center"/>
        </w:trPr>
        <w:tc>
          <w:tcPr>
            <w:tcW w:w="1927" w:type="dxa"/>
            <w:tcBorders>
              <w:top w:val="single" w:color="auto" w:sz="4" w:space="0"/>
              <w:left w:val="single" w:color="auto" w:sz="8" w:space="0"/>
              <w:bottom w:val="single" w:color="auto" w:sz="4" w:space="0"/>
              <w:right w:val="single" w:color="auto" w:sz="4" w:space="0"/>
            </w:tcBorders>
            <w:vAlign w:val="center"/>
          </w:tcPr>
          <w:p>
            <w:pPr>
              <w:jc w:val="center"/>
              <w:rPr>
                <w:color w:val="000000"/>
                <w:sz w:val="18"/>
                <w:szCs w:val="18"/>
              </w:rPr>
            </w:pPr>
            <w:r>
              <w:rPr>
                <w:color w:val="000000"/>
                <w:sz w:val="18"/>
                <w:szCs w:val="18"/>
              </w:rPr>
              <w:t>07</w:t>
            </w:r>
          </w:p>
        </w:tc>
        <w:tc>
          <w:tcPr>
            <w:tcW w:w="3312" w:type="dxa"/>
            <w:tcBorders>
              <w:top w:val="single" w:color="auto" w:sz="4" w:space="0"/>
              <w:left w:val="single" w:color="auto" w:sz="4" w:space="0"/>
              <w:bottom w:val="single" w:color="auto" w:sz="4" w:space="0"/>
              <w:right w:val="single" w:color="auto" w:sz="4" w:space="0"/>
            </w:tcBorders>
            <w:vAlign w:val="center"/>
          </w:tcPr>
          <w:p>
            <w:pPr>
              <w:jc w:val="center"/>
              <w:rPr>
                <w:color w:val="000000"/>
                <w:sz w:val="18"/>
                <w:szCs w:val="18"/>
              </w:rPr>
            </w:pPr>
            <w:r>
              <w:rPr>
                <w:color w:val="000000"/>
                <w:sz w:val="18"/>
                <w:szCs w:val="18"/>
              </w:rPr>
              <w:t>φ9.52内螺纹管</w:t>
            </w:r>
          </w:p>
        </w:tc>
        <w:tc>
          <w:tcPr>
            <w:tcW w:w="3545" w:type="dxa"/>
            <w:tcBorders>
              <w:top w:val="single" w:color="auto" w:sz="4" w:space="0"/>
              <w:left w:val="single" w:color="auto" w:sz="4" w:space="0"/>
              <w:bottom w:val="single" w:color="auto" w:sz="4" w:space="0"/>
              <w:right w:val="single" w:color="auto" w:sz="8" w:space="0"/>
            </w:tcBorders>
            <w:vAlign w:val="center"/>
          </w:tcPr>
          <w:p>
            <w:pPr>
              <w:jc w:val="center"/>
              <w:rPr>
                <w:color w:val="000000"/>
                <w:sz w:val="18"/>
                <w:szCs w:val="18"/>
              </w:rPr>
            </w:pPr>
            <w:r>
              <w:rPr>
                <w:color w:val="000000"/>
                <w:sz w:val="18"/>
                <w:szCs w:val="18"/>
              </w:rPr>
              <w:t>约0.059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20" w:hRule="atLeast"/>
          <w:jc w:val="center"/>
        </w:trPr>
        <w:tc>
          <w:tcPr>
            <w:tcW w:w="1927" w:type="dxa"/>
            <w:tcBorders>
              <w:top w:val="single" w:color="auto" w:sz="4" w:space="0"/>
              <w:left w:val="single" w:color="auto" w:sz="8" w:space="0"/>
              <w:bottom w:val="single" w:color="auto" w:sz="8" w:space="0"/>
              <w:right w:val="single" w:color="auto" w:sz="4" w:space="0"/>
            </w:tcBorders>
            <w:vAlign w:val="center"/>
          </w:tcPr>
          <w:p>
            <w:pPr>
              <w:jc w:val="center"/>
              <w:rPr>
                <w:color w:val="000000"/>
                <w:sz w:val="18"/>
                <w:szCs w:val="18"/>
              </w:rPr>
            </w:pPr>
            <w:r>
              <w:rPr>
                <w:color w:val="000000"/>
                <w:sz w:val="18"/>
                <w:szCs w:val="18"/>
              </w:rPr>
              <w:t>08</w:t>
            </w:r>
          </w:p>
        </w:tc>
        <w:tc>
          <w:tcPr>
            <w:tcW w:w="3312" w:type="dxa"/>
            <w:tcBorders>
              <w:top w:val="single" w:color="auto" w:sz="4" w:space="0"/>
              <w:left w:val="single" w:color="auto" w:sz="4" w:space="0"/>
              <w:bottom w:val="single" w:color="auto" w:sz="8" w:space="0"/>
              <w:right w:val="single" w:color="auto" w:sz="4" w:space="0"/>
            </w:tcBorders>
            <w:vAlign w:val="center"/>
          </w:tcPr>
          <w:p>
            <w:pPr>
              <w:jc w:val="center"/>
              <w:rPr>
                <w:color w:val="000000"/>
                <w:sz w:val="18"/>
                <w:szCs w:val="18"/>
              </w:rPr>
            </w:pPr>
            <w:r>
              <w:rPr>
                <w:color w:val="000000"/>
                <w:sz w:val="18"/>
                <w:szCs w:val="18"/>
              </w:rPr>
              <w:t>φ7.94内螺纹管</w:t>
            </w:r>
          </w:p>
        </w:tc>
        <w:tc>
          <w:tcPr>
            <w:tcW w:w="3545" w:type="dxa"/>
            <w:tcBorders>
              <w:top w:val="single" w:color="auto" w:sz="4" w:space="0"/>
              <w:left w:val="single" w:color="auto" w:sz="4" w:space="0"/>
              <w:bottom w:val="single" w:color="auto" w:sz="8" w:space="0"/>
              <w:right w:val="single" w:color="auto" w:sz="8" w:space="0"/>
            </w:tcBorders>
            <w:vAlign w:val="center"/>
          </w:tcPr>
          <w:p>
            <w:pPr>
              <w:jc w:val="center"/>
              <w:rPr>
                <w:color w:val="000000"/>
                <w:sz w:val="18"/>
                <w:szCs w:val="18"/>
              </w:rPr>
            </w:pPr>
            <w:r>
              <w:rPr>
                <w:color w:val="000000"/>
                <w:sz w:val="18"/>
                <w:szCs w:val="18"/>
              </w:rPr>
              <w:t>约0.049</w:t>
            </w:r>
          </w:p>
        </w:tc>
      </w:tr>
    </w:tbl>
    <w:p>
      <w:pPr>
        <w:spacing w:line="360" w:lineRule="auto"/>
        <w:rPr>
          <w:color w:val="000000"/>
          <w:u w:val="single"/>
        </w:rPr>
      </w:pPr>
    </w:p>
    <w:sectPr>
      <w:pgSz w:w="11906" w:h="16838"/>
      <w:pgMar w:top="1134" w:right="1134" w:bottom="1247" w:left="1418" w:header="851" w:footer="992" w:gutter="0"/>
      <w:pgNumType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00"/>
    <w:family w:val="swiss"/>
    <w:pitch w:val="default"/>
    <w:sig w:usb0="E0002EFF" w:usb1="C000785B" w:usb2="00000009" w:usb3="00000000" w:csb0="400001FF" w:csb1="FFFF0000"/>
  </w:font>
  <w:font w:name="MingLiU">
    <w:altName w:val="PMingLiU-ExtB"/>
    <w:panose1 w:val="02010609000101010101"/>
    <w:charset w:val="88"/>
    <w:family w:val="modern"/>
    <w:pitch w:val="default"/>
    <w:sig w:usb0="00000000" w:usb1="00000000" w:usb2="00000016" w:usb3="00000000" w:csb0="00100001" w:csb1="00000000"/>
  </w:font>
  <w:font w:name="Verdana">
    <w:panose1 w:val="020B0604030504040204"/>
    <w:charset w:val="00"/>
    <w:family w:val="swiss"/>
    <w:pitch w:val="default"/>
    <w:sig w:usb0="A00006FF" w:usb1="4000205B" w:usb2="00000010" w:usb3="00000000" w:csb0="2000019F" w:csb1="00000000"/>
  </w:font>
  <w:font w:name="Cambria Math">
    <w:panose1 w:val="02040503050406030204"/>
    <w:charset w:val="00"/>
    <w:family w:val="roman"/>
    <w:pitch w:val="default"/>
    <w:sig w:usb0="E00006FF" w:usb1="420024FF" w:usb2="02000000" w:usb3="00000000" w:csb0="2000019F" w:csb1="00000000"/>
  </w:font>
  <w:font w:name="PMingLiU-ExtB">
    <w:panose1 w:val="02020500000000000000"/>
    <w:charset w:val="88"/>
    <w:family w:val="auto"/>
    <w:pitch w:val="default"/>
    <w:sig w:usb0="8000002F" w:usb1="02000008" w:usb2="00000000"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framePr w:wrap="around" w:vAnchor="text" w:hAnchor="margin" w:xAlign="right" w:y="1"/>
      <w:rPr>
        <w:rStyle w:val="19"/>
      </w:rPr>
    </w:pPr>
  </w:p>
  <w:p>
    <w:pPr>
      <w:pStyle w:val="11"/>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framePr w:wrap="around" w:vAnchor="text" w:hAnchor="margin" w:xAlign="right" w:y="1"/>
      <w:rPr>
        <w:rStyle w:val="19"/>
      </w:rPr>
    </w:pPr>
    <w:r>
      <w:rPr>
        <w:rStyle w:val="19"/>
      </w:rPr>
      <w:fldChar w:fldCharType="begin"/>
    </w:r>
    <w:r>
      <w:rPr>
        <w:rStyle w:val="19"/>
      </w:rPr>
      <w:instrText xml:space="preserve">PAGE  </w:instrText>
    </w:r>
    <w:r>
      <w:rPr>
        <w:rStyle w:val="19"/>
      </w:rPr>
      <w:fldChar w:fldCharType="separate"/>
    </w:r>
    <w:r>
      <w:rPr>
        <w:rStyle w:val="19"/>
      </w:rPr>
      <w:t>2</w:t>
    </w:r>
    <w:r>
      <w:rPr>
        <w:rStyle w:val="19"/>
      </w:rPr>
      <w:fldChar w:fldCharType="end"/>
    </w:r>
  </w:p>
  <w:p>
    <w:pPr>
      <w:pStyle w:val="11"/>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rPr>
        <w:rStyle w:val="19"/>
      </w:rPr>
    </w:pPr>
    <w:r>
      <mc:AlternateContent>
        <mc:Choice Requires="wps">
          <w:drawing>
            <wp:anchor distT="0" distB="0" distL="114300" distR="114300" simplePos="0" relativeHeight="251663360" behindDoc="0" locked="0" layoutInCell="1" allowOverlap="1">
              <wp:simplePos x="0" y="0"/>
              <wp:positionH relativeFrom="margin">
                <wp:align>outside</wp:align>
              </wp:positionH>
              <wp:positionV relativeFrom="paragraph">
                <wp:posOffset>0</wp:posOffset>
              </wp:positionV>
              <wp:extent cx="1828800" cy="1828800"/>
              <wp:effectExtent l="0" t="0" r="0" b="0"/>
              <wp:wrapNone/>
              <wp:docPr id="609278885"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1"/>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7" o:spid="_x0000_s1026" o:spt="202" type="#_x0000_t202" style="position:absolute;left:0pt;margin-top:0pt;height:144pt;width:144pt;mso-position-horizontal:outside;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xadgSDICAABdBAAADgAAAAAAAAABACAAAAAfAQAAZHJzL2Uyb0RvYy54bWxQSwUG&#10;AAAAAAYABgBZAQAAwwUAAAAA&#10;">
              <v:fill on="f" focussize="0,0"/>
              <v:stroke on="f" weight="0.5pt"/>
              <v:imagedata o:title=""/>
              <o:lock v:ext="edit" aspectratio="f"/>
              <v:textbox inset="0mm,0mm,0mm,0mm" style="mso-fit-shape-to-text:t;">
                <w:txbxContent>
                  <w:p>
                    <w:pPr>
                      <w:pStyle w:val="11"/>
                    </w:pPr>
                    <w:r>
                      <w:fldChar w:fldCharType="begin"/>
                    </w:r>
                    <w:r>
                      <w:instrText xml:space="preserve"> PAGE  \* MERGEFORMAT </w:instrText>
                    </w:r>
                    <w:r>
                      <w:fldChar w:fldCharType="separate"/>
                    </w:r>
                    <w:r>
                      <w:t>1</w:t>
                    </w:r>
                    <w:r>
                      <w:fldChar w:fldCharType="end"/>
                    </w:r>
                  </w:p>
                </w:txbxContent>
              </v:textbox>
            </v:shape>
          </w:pict>
        </mc:Fallback>
      </mc:AlternateContent>
    </w:r>
  </w:p>
  <w:p>
    <w:pPr>
      <w:pStyle w:val="11"/>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mc:AlternateContent>
        <mc:Choice Requires="wps">
          <w:drawing>
            <wp:anchor distT="0" distB="0" distL="114300" distR="114300" simplePos="0" relativeHeight="251664384" behindDoc="0" locked="0" layoutInCell="1" allowOverlap="1">
              <wp:simplePos x="0" y="0"/>
              <wp:positionH relativeFrom="margin">
                <wp:align>outside</wp:align>
              </wp:positionH>
              <wp:positionV relativeFrom="paragraph">
                <wp:posOffset>0</wp:posOffset>
              </wp:positionV>
              <wp:extent cx="38100" cy="152400"/>
              <wp:effectExtent l="0" t="0" r="0" b="0"/>
              <wp:wrapNone/>
              <wp:docPr id="581790121" name="文本框 5"/>
              <wp:cNvGraphicFramePr/>
              <a:graphic xmlns:a="http://schemas.openxmlformats.org/drawingml/2006/main">
                <a:graphicData uri="http://schemas.microsoft.com/office/word/2010/wordprocessingShape">
                  <wps:wsp>
                    <wps:cNvSpPr txBox="1"/>
                    <wps:spPr>
                      <a:xfrm>
                        <a:off x="0" y="0"/>
                        <a:ext cx="38100" cy="1524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1"/>
                          </w:pPr>
                          <w:r>
                            <w:fldChar w:fldCharType="begin"/>
                          </w:r>
                          <w:r>
                            <w:instrText xml:space="preserve"> PAGE  \* MERGEFORMAT </w:instrText>
                          </w:r>
                          <w:r>
                            <w:fldChar w:fldCharType="separate"/>
                          </w:r>
                          <w:r>
                            <w:t>I</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5" o:spid="_x0000_s1026" o:spt="202" type="#_x0000_t202" style="position:absolute;left:0pt;margin-top:0pt;height:12pt;width:3pt;mso-position-horizontal:outside;mso-position-horizontal-relative:margin;mso-wrap-style:none;z-index:251664384;mso-width-relative:page;mso-height-relative:page;" filled="f" stroked="f" coordsize="21600,21600" o:gfxdata="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AD3Pk70AAAAAIBAAAPAAAAAAAAAAEAIAAAACIAAABkcnMvZG93bnJldi54bWxQSwEC&#10;FAAUAAAACACHTuJA5MHGnjUCAABaBAAADgAAAAAAAAABACAAAAAfAQAAZHJzL2Uyb0RvYy54bWxQ&#10;SwUGAAAAAAYABgBZAQAAxgUAAAAA&#10;">
              <v:fill on="f" focussize="0,0"/>
              <v:stroke on="f" weight="0.5pt"/>
              <v:imagedata o:title=""/>
              <o:lock v:ext="edit" aspectratio="f"/>
              <v:textbox inset="0mm,0mm,0mm,0mm" style="mso-fit-shape-to-text:t;">
                <w:txbxContent>
                  <w:p>
                    <w:pPr>
                      <w:pStyle w:val="11"/>
                    </w:pPr>
                    <w:r>
                      <w:fldChar w:fldCharType="begin"/>
                    </w:r>
                    <w:r>
                      <w:instrText xml:space="preserve"> PAGE  \* MERGEFORMAT </w:instrText>
                    </w:r>
                    <w:r>
                      <w:fldChar w:fldCharType="separate"/>
                    </w:r>
                    <w:r>
                      <w:t>I</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rPr>
        <w:rStyle w:val="19"/>
      </w:rPr>
    </w:pPr>
    <w:r>
      <mc:AlternateContent>
        <mc:Choice Requires="wps">
          <w:drawing>
            <wp:anchor distT="0" distB="0" distL="114300" distR="114300" simplePos="0" relativeHeight="251665408" behindDoc="0" locked="0" layoutInCell="1" allowOverlap="1">
              <wp:simplePos x="0" y="0"/>
              <wp:positionH relativeFrom="margin">
                <wp:align>outside</wp:align>
              </wp:positionH>
              <wp:positionV relativeFrom="paragraph">
                <wp:posOffset>0</wp:posOffset>
              </wp:positionV>
              <wp:extent cx="57785" cy="152400"/>
              <wp:effectExtent l="0" t="0" r="0" b="0"/>
              <wp:wrapNone/>
              <wp:docPr id="1495000929" name="文本框 3"/>
              <wp:cNvGraphicFramePr/>
              <a:graphic xmlns:a="http://schemas.openxmlformats.org/drawingml/2006/main">
                <a:graphicData uri="http://schemas.microsoft.com/office/word/2010/wordprocessingShape">
                  <wps:wsp>
                    <wps:cNvSpPr txBox="1"/>
                    <wps:spPr>
                      <a:xfrm>
                        <a:off x="0" y="0"/>
                        <a:ext cx="57785" cy="1524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1"/>
                          </w:pPr>
                          <w:r>
                            <w:fldChar w:fldCharType="begin"/>
                          </w:r>
                          <w:r>
                            <w:instrText xml:space="preserve"> PAGE  \* MERGEFORMAT </w:instrText>
                          </w:r>
                          <w:r>
                            <w:fldChar w:fldCharType="separate"/>
                          </w:r>
                          <w:r>
                            <w:t>9</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3" o:spid="_x0000_s1026" o:spt="202" type="#_x0000_t202" style="position:absolute;left:0pt;margin-top:0pt;height:12pt;width:4.55pt;mso-position-horizontal:outside;mso-position-horizontal-relative:margin;mso-wrap-style:none;z-index:251665408;mso-width-relative:page;mso-height-relative:page;" filled="f" stroked="f" coordsize="21600,21600" o:gfxdata="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D53NNc0QAAAAIBAAAPAAAAAAAAAAEAIAAAACIAAABkcnMvZG93bnJldi54bWxQ&#10;SwECFAAUAAAACACHTuJAcDl4aDcCAABbBAAADgAAAAAAAAABACAAAAAgAQAAZHJzL2Uyb0RvYy54&#10;bWxQSwUGAAAAAAYABgBZAQAAyQUAAAAA&#10;">
              <v:fill on="f" focussize="0,0"/>
              <v:stroke on="f" weight="0.5pt"/>
              <v:imagedata o:title=""/>
              <o:lock v:ext="edit" aspectratio="f"/>
              <v:textbox inset="0mm,0mm,0mm,0mm" style="mso-fit-shape-to-text:t;">
                <w:txbxContent>
                  <w:p>
                    <w:pPr>
                      <w:pStyle w:val="11"/>
                    </w:pPr>
                    <w:r>
                      <w:fldChar w:fldCharType="begin"/>
                    </w:r>
                    <w:r>
                      <w:instrText xml:space="preserve"> PAGE  \* MERGEFORMAT </w:instrText>
                    </w:r>
                    <w:r>
                      <w:fldChar w:fldCharType="separate"/>
                    </w:r>
                    <w:r>
                      <w:t>9</w:t>
                    </w:r>
                    <w:r>
                      <w:fldChar w:fldCharType="end"/>
                    </w:r>
                  </w:p>
                </w:txbxContent>
              </v:textbox>
            </v:shape>
          </w:pict>
        </mc:Fallback>
      </mc:AlternateContent>
    </w:r>
  </w:p>
  <w:p>
    <w:pPr>
      <w:pStyle w:val="11"/>
      <w:ind w:right="36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mc:AlternateContent>
        <mc:Choice Requires="wps">
          <w:drawing>
            <wp:anchor distT="0" distB="0" distL="114300" distR="114300" simplePos="0" relativeHeight="251666432" behindDoc="0" locked="0" layoutInCell="1" allowOverlap="1">
              <wp:simplePos x="0" y="0"/>
              <wp:positionH relativeFrom="margin">
                <wp:align>outside</wp:align>
              </wp:positionH>
              <wp:positionV relativeFrom="paragraph">
                <wp:posOffset>0</wp:posOffset>
              </wp:positionV>
              <wp:extent cx="57785" cy="152400"/>
              <wp:effectExtent l="0" t="0" r="0" b="0"/>
              <wp:wrapNone/>
              <wp:docPr id="532049455" name="文本框 1"/>
              <wp:cNvGraphicFramePr/>
              <a:graphic xmlns:a="http://schemas.openxmlformats.org/drawingml/2006/main">
                <a:graphicData uri="http://schemas.microsoft.com/office/word/2010/wordprocessingShape">
                  <wps:wsp>
                    <wps:cNvSpPr txBox="1"/>
                    <wps:spPr>
                      <a:xfrm>
                        <a:off x="0" y="0"/>
                        <a:ext cx="57785" cy="1524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1"/>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1" o:spid="_x0000_s1026" o:spt="202" type="#_x0000_t202" style="position:absolute;left:0pt;margin-top:0pt;height:12pt;width:4.55pt;mso-position-horizontal:outside;mso-position-horizontal-relative:margin;mso-wrap-style:none;z-index:251666432;mso-width-relative:page;mso-height-relative:page;" filled="f" stroked="f" coordsize="21600,21600" o:gfxdata="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Pnc01zRAAAAAgEAAA8AAAAAAAAAAQAgAAAAIgAAAGRycy9kb3ducmV2LnhtbFBL&#10;AQIUABQAAAAIAIdO4kBRMW4PNgIAAFoEAAAOAAAAAAAAAAEAIAAAACABAABkcnMvZTJvRG9jLnht&#10;bFBLBQYAAAAABgAGAFkBAADIBQAAAAA=&#10;">
              <v:fill on="f" focussize="0,0"/>
              <v:stroke on="f" weight="0.5pt"/>
              <v:imagedata o:title=""/>
              <o:lock v:ext="edit" aspectratio="f"/>
              <v:textbox inset="0mm,0mm,0mm,0mm" style="mso-fit-shape-to-text:t;">
                <w:txbxContent>
                  <w:p>
                    <w:pPr>
                      <w:pStyle w:val="11"/>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jc w:val="right"/>
    </w:pPr>
    <w:r>
      <w:rPr>
        <w:rFonts w:hint="eastAsia"/>
      </w:rPr>
      <w:t>GB/T 19447-XXXX</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jc w:val="both"/>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jc w:val="both"/>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1A719C9"/>
    <w:multiLevelType w:val="multilevel"/>
    <w:tmpl w:val="01A719C9"/>
    <w:lvl w:ilvl="0" w:tentative="0">
      <w:start w:val="1"/>
      <w:numFmt w:val="decimal"/>
      <w:lvlText w:val="%1."/>
      <w:lvlJc w:val="left"/>
      <w:pPr>
        <w:ind w:left="425" w:hanging="425"/>
      </w:pPr>
      <w:rPr>
        <w:rFonts w:hint="eastAsia"/>
      </w:rPr>
    </w:lvl>
    <w:lvl w:ilvl="1" w:tentative="0">
      <w:start w:val="1"/>
      <w:numFmt w:val="decimal"/>
      <w:suff w:val="space"/>
      <w:lvlText w:val="7.%2"/>
      <w:lvlJc w:val="left"/>
      <w:pPr>
        <w:ind w:left="0" w:firstLine="0"/>
      </w:pPr>
      <w:rPr>
        <w:rFonts w:hint="eastAsia"/>
      </w:rPr>
    </w:lvl>
    <w:lvl w:ilvl="2" w:tentative="0">
      <w:start w:val="1"/>
      <w:numFmt w:val="decimal"/>
      <w:suff w:val="space"/>
      <w:lvlText w:val="7.3.%3"/>
      <w:lvlJc w:val="left"/>
      <w:pPr>
        <w:ind w:left="0" w:firstLine="0"/>
      </w:pPr>
      <w:rPr>
        <w:rFonts w:hint="eastAsia" w:ascii="黑体" w:hAnsi="黑体" w:eastAsia="黑体"/>
      </w:rPr>
    </w:lvl>
    <w:lvl w:ilvl="3" w:tentative="0">
      <w:start w:val="1"/>
      <w:numFmt w:val="decimal"/>
      <w:suff w:val="space"/>
      <w:lvlText w:val="5.5.3.%4"/>
      <w:lvlJc w:val="left"/>
      <w:pPr>
        <w:ind w:left="425" w:hanging="425"/>
      </w:pPr>
      <w:rPr>
        <w:rFonts w:hint="eastAsia"/>
      </w:rPr>
    </w:lvl>
    <w:lvl w:ilvl="4" w:tentative="0">
      <w:start w:val="1"/>
      <w:numFmt w:val="decimal"/>
      <w:lvlText w:val="%1.%2.%3.%4.%5."/>
      <w:lvlJc w:val="left"/>
      <w:pPr>
        <w:ind w:left="425" w:hanging="425"/>
      </w:pPr>
      <w:rPr>
        <w:rFonts w:hint="eastAsia"/>
      </w:rPr>
    </w:lvl>
    <w:lvl w:ilvl="5" w:tentative="0">
      <w:start w:val="1"/>
      <w:numFmt w:val="decimal"/>
      <w:lvlText w:val="%1.%2.%3.%4.%5.%6."/>
      <w:lvlJc w:val="left"/>
      <w:pPr>
        <w:ind w:left="425" w:hanging="425"/>
      </w:pPr>
      <w:rPr>
        <w:rFonts w:hint="eastAsia"/>
      </w:rPr>
    </w:lvl>
    <w:lvl w:ilvl="6" w:tentative="0">
      <w:start w:val="1"/>
      <w:numFmt w:val="decimal"/>
      <w:lvlText w:val="%1.%2.%3.%4.%5.%6.%7."/>
      <w:lvlJc w:val="left"/>
      <w:pPr>
        <w:ind w:left="425" w:hanging="425"/>
      </w:pPr>
      <w:rPr>
        <w:rFonts w:hint="eastAsia"/>
      </w:rPr>
    </w:lvl>
    <w:lvl w:ilvl="7" w:tentative="0">
      <w:start w:val="1"/>
      <w:numFmt w:val="decimal"/>
      <w:lvlText w:val="%1.%2.%3.%4.%5.%6.%7.%8."/>
      <w:lvlJc w:val="left"/>
      <w:pPr>
        <w:ind w:left="425" w:hanging="425"/>
      </w:pPr>
      <w:rPr>
        <w:rFonts w:hint="eastAsia"/>
      </w:rPr>
    </w:lvl>
    <w:lvl w:ilvl="8" w:tentative="0">
      <w:start w:val="1"/>
      <w:numFmt w:val="decimal"/>
      <w:lvlText w:val="%1.%2.%3.%4.%5.%6.%7.%8.%9."/>
      <w:lvlJc w:val="left"/>
      <w:pPr>
        <w:ind w:left="425" w:hanging="425"/>
      </w:pPr>
      <w:rPr>
        <w:rFonts w:hint="eastAsia"/>
      </w:rPr>
    </w:lvl>
  </w:abstractNum>
  <w:abstractNum w:abstractNumId="1">
    <w:nsid w:val="03B84BDF"/>
    <w:multiLevelType w:val="multilevel"/>
    <w:tmpl w:val="03B84BDF"/>
    <w:lvl w:ilvl="0" w:tentative="0">
      <w:start w:val="1"/>
      <w:numFmt w:val="lowerLetter"/>
      <w:lvlText w:val="%1)"/>
      <w:lvlJc w:val="left"/>
      <w:pPr>
        <w:ind w:left="860" w:hanging="440"/>
      </w:pPr>
    </w:lvl>
    <w:lvl w:ilvl="1" w:tentative="0">
      <w:start w:val="1"/>
      <w:numFmt w:val="lowerLetter"/>
      <w:suff w:val="space"/>
      <w:lvlText w:val="%2)"/>
      <w:lvlJc w:val="left"/>
      <w:pPr>
        <w:ind w:left="425" w:firstLine="0"/>
      </w:pPr>
      <w:rPr>
        <w:rFonts w:hint="eastAsia" w:ascii="黑体" w:hAnsi="黑体" w:eastAsia="黑体"/>
      </w:rPr>
    </w:lvl>
    <w:lvl w:ilvl="2" w:tentative="0">
      <w:start w:val="1"/>
      <w:numFmt w:val="lowerRoman"/>
      <w:lvlText w:val="%3."/>
      <w:lvlJc w:val="right"/>
      <w:pPr>
        <w:ind w:left="1740" w:hanging="440"/>
      </w:pPr>
    </w:lvl>
    <w:lvl w:ilvl="3" w:tentative="0">
      <w:start w:val="1"/>
      <w:numFmt w:val="decimal"/>
      <w:lvlText w:val="%4."/>
      <w:lvlJc w:val="left"/>
      <w:pPr>
        <w:ind w:left="2180" w:hanging="440"/>
      </w:pPr>
    </w:lvl>
    <w:lvl w:ilvl="4" w:tentative="0">
      <w:start w:val="1"/>
      <w:numFmt w:val="lowerLetter"/>
      <w:lvlText w:val="%5)"/>
      <w:lvlJc w:val="left"/>
      <w:pPr>
        <w:ind w:left="2620" w:hanging="440"/>
      </w:pPr>
    </w:lvl>
    <w:lvl w:ilvl="5" w:tentative="0">
      <w:start w:val="1"/>
      <w:numFmt w:val="lowerRoman"/>
      <w:lvlText w:val="%6."/>
      <w:lvlJc w:val="right"/>
      <w:pPr>
        <w:ind w:left="3060" w:hanging="440"/>
      </w:pPr>
    </w:lvl>
    <w:lvl w:ilvl="6" w:tentative="0">
      <w:start w:val="1"/>
      <w:numFmt w:val="decimal"/>
      <w:lvlText w:val="%7."/>
      <w:lvlJc w:val="left"/>
      <w:pPr>
        <w:ind w:left="3500" w:hanging="440"/>
      </w:pPr>
    </w:lvl>
    <w:lvl w:ilvl="7" w:tentative="0">
      <w:start w:val="1"/>
      <w:numFmt w:val="lowerLetter"/>
      <w:lvlText w:val="%8)"/>
      <w:lvlJc w:val="left"/>
      <w:pPr>
        <w:ind w:left="3940" w:hanging="440"/>
      </w:pPr>
    </w:lvl>
    <w:lvl w:ilvl="8" w:tentative="0">
      <w:start w:val="1"/>
      <w:numFmt w:val="lowerRoman"/>
      <w:lvlText w:val="%9."/>
      <w:lvlJc w:val="right"/>
      <w:pPr>
        <w:ind w:left="4380" w:hanging="440"/>
      </w:pPr>
    </w:lvl>
  </w:abstractNum>
  <w:abstractNum w:abstractNumId="2">
    <w:nsid w:val="09F11432"/>
    <w:multiLevelType w:val="multilevel"/>
    <w:tmpl w:val="09F11432"/>
    <w:lvl w:ilvl="0" w:tentative="0">
      <w:start w:val="1"/>
      <w:numFmt w:val="decimal"/>
      <w:lvlText w:val="%1."/>
      <w:lvlJc w:val="left"/>
      <w:pPr>
        <w:ind w:left="425" w:hanging="425"/>
      </w:pPr>
      <w:rPr>
        <w:rFonts w:hint="eastAsia"/>
      </w:rPr>
    </w:lvl>
    <w:lvl w:ilvl="1" w:tentative="0">
      <w:start w:val="1"/>
      <w:numFmt w:val="decimal"/>
      <w:suff w:val="space"/>
      <w:lvlText w:val="5.%2"/>
      <w:lvlJc w:val="left"/>
      <w:pPr>
        <w:ind w:left="862" w:hanging="862"/>
      </w:pPr>
      <w:rPr>
        <w:rFonts w:hint="eastAsia"/>
      </w:rPr>
    </w:lvl>
    <w:lvl w:ilvl="2" w:tentative="0">
      <w:start w:val="1"/>
      <w:numFmt w:val="decimal"/>
      <w:suff w:val="space"/>
      <w:lvlText w:val="5.11.%3"/>
      <w:lvlJc w:val="left"/>
      <w:pPr>
        <w:ind w:left="0" w:firstLine="0"/>
      </w:pPr>
      <w:rPr>
        <w:rFonts w:hint="eastAsia" w:ascii="黑体" w:hAnsi="黑体" w:eastAsia="黑体"/>
        <w:b w:val="0"/>
        <w:bCs/>
      </w:rPr>
    </w:lvl>
    <w:lvl w:ilvl="3" w:tentative="0">
      <w:start w:val="1"/>
      <w:numFmt w:val="decimal"/>
      <w:suff w:val="space"/>
      <w:lvlText w:val="5.5.3.%4"/>
      <w:lvlJc w:val="left"/>
      <w:pPr>
        <w:ind w:left="0" w:firstLine="0"/>
      </w:pPr>
      <w:rPr>
        <w:rFonts w:hint="eastAsia"/>
      </w:rPr>
    </w:lvl>
    <w:lvl w:ilvl="4" w:tentative="0">
      <w:start w:val="1"/>
      <w:numFmt w:val="decimal"/>
      <w:lvlText w:val="%1.%2.%3.%4.%5."/>
      <w:lvlJc w:val="left"/>
      <w:pPr>
        <w:ind w:left="992" w:hanging="992"/>
      </w:pPr>
      <w:rPr>
        <w:rFonts w:hint="eastAsia"/>
      </w:rPr>
    </w:lvl>
    <w:lvl w:ilvl="5" w:tentative="0">
      <w:start w:val="1"/>
      <w:numFmt w:val="decimal"/>
      <w:lvlText w:val="%1.%2.%3.%4.%5.%6."/>
      <w:lvlJc w:val="left"/>
      <w:pPr>
        <w:ind w:left="1134" w:hanging="1134"/>
      </w:pPr>
      <w:rPr>
        <w:rFonts w:hint="eastAsia"/>
      </w:rPr>
    </w:lvl>
    <w:lvl w:ilvl="6" w:tentative="0">
      <w:start w:val="1"/>
      <w:numFmt w:val="decimal"/>
      <w:lvlText w:val="%1.%2.%3.%4.%5.%6.%7."/>
      <w:lvlJc w:val="left"/>
      <w:pPr>
        <w:ind w:left="1276" w:hanging="1276"/>
      </w:pPr>
      <w:rPr>
        <w:rFonts w:hint="eastAsia"/>
      </w:rPr>
    </w:lvl>
    <w:lvl w:ilvl="7" w:tentative="0">
      <w:start w:val="1"/>
      <w:numFmt w:val="decimal"/>
      <w:lvlText w:val="%1.%2.%3.%4.%5.%6.%7.%8."/>
      <w:lvlJc w:val="left"/>
      <w:pPr>
        <w:ind w:left="1418" w:hanging="1418"/>
      </w:pPr>
      <w:rPr>
        <w:rFonts w:hint="eastAsia"/>
      </w:rPr>
    </w:lvl>
    <w:lvl w:ilvl="8" w:tentative="0">
      <w:start w:val="1"/>
      <w:numFmt w:val="decimal"/>
      <w:lvlText w:val="%1.%2.%3.%4.%5.%6.%7.%8.%9."/>
      <w:lvlJc w:val="left"/>
      <w:pPr>
        <w:ind w:left="1559" w:hanging="1559"/>
      </w:pPr>
      <w:rPr>
        <w:rFonts w:hint="eastAsia"/>
      </w:rPr>
    </w:lvl>
  </w:abstractNum>
  <w:abstractNum w:abstractNumId="3">
    <w:nsid w:val="0E9B0F56"/>
    <w:multiLevelType w:val="multilevel"/>
    <w:tmpl w:val="0E9B0F56"/>
    <w:lvl w:ilvl="0" w:tentative="0">
      <w:start w:val="1"/>
      <w:numFmt w:val="decimal"/>
      <w:lvlText w:val="%1."/>
      <w:lvlJc w:val="left"/>
      <w:pPr>
        <w:ind w:left="425" w:hanging="425"/>
      </w:pPr>
      <w:rPr>
        <w:rFonts w:hint="eastAsia"/>
      </w:rPr>
    </w:lvl>
    <w:lvl w:ilvl="1" w:tentative="0">
      <w:start w:val="1"/>
      <w:numFmt w:val="decimal"/>
      <w:suff w:val="space"/>
      <w:lvlText w:val="6.%2"/>
      <w:lvlJc w:val="left"/>
      <w:pPr>
        <w:ind w:left="425" w:hanging="425"/>
      </w:pPr>
      <w:rPr>
        <w:rFonts w:hint="eastAsia"/>
      </w:rPr>
    </w:lvl>
    <w:lvl w:ilvl="2" w:tentative="0">
      <w:start w:val="1"/>
      <w:numFmt w:val="decimal"/>
      <w:suff w:val="space"/>
      <w:lvlText w:val="6.4.%3"/>
      <w:lvlJc w:val="left"/>
      <w:pPr>
        <w:ind w:left="425" w:hanging="425"/>
      </w:pPr>
      <w:rPr>
        <w:rFonts w:hint="eastAsia" w:ascii="黑体" w:hAnsi="黑体" w:eastAsia="黑体"/>
      </w:rPr>
    </w:lvl>
    <w:lvl w:ilvl="3" w:tentative="0">
      <w:start w:val="1"/>
      <w:numFmt w:val="decimal"/>
      <w:suff w:val="space"/>
      <w:lvlText w:val="5.5.3.%4"/>
      <w:lvlJc w:val="left"/>
      <w:pPr>
        <w:ind w:left="425" w:hanging="425"/>
      </w:pPr>
      <w:rPr>
        <w:rFonts w:hint="eastAsia"/>
      </w:rPr>
    </w:lvl>
    <w:lvl w:ilvl="4" w:tentative="0">
      <w:start w:val="1"/>
      <w:numFmt w:val="decimal"/>
      <w:lvlText w:val="%1.%2.%3.%4.%5."/>
      <w:lvlJc w:val="left"/>
      <w:pPr>
        <w:ind w:left="425" w:hanging="425"/>
      </w:pPr>
      <w:rPr>
        <w:rFonts w:hint="eastAsia"/>
      </w:rPr>
    </w:lvl>
    <w:lvl w:ilvl="5" w:tentative="0">
      <w:start w:val="1"/>
      <w:numFmt w:val="decimal"/>
      <w:lvlText w:val="%1.%2.%3.%4.%5.%6."/>
      <w:lvlJc w:val="left"/>
      <w:pPr>
        <w:ind w:left="425" w:hanging="425"/>
      </w:pPr>
      <w:rPr>
        <w:rFonts w:hint="eastAsia"/>
      </w:rPr>
    </w:lvl>
    <w:lvl w:ilvl="6" w:tentative="0">
      <w:start w:val="1"/>
      <w:numFmt w:val="decimal"/>
      <w:lvlText w:val="%1.%2.%3.%4.%5.%6.%7."/>
      <w:lvlJc w:val="left"/>
      <w:pPr>
        <w:ind w:left="425" w:hanging="425"/>
      </w:pPr>
      <w:rPr>
        <w:rFonts w:hint="eastAsia"/>
      </w:rPr>
    </w:lvl>
    <w:lvl w:ilvl="7" w:tentative="0">
      <w:start w:val="1"/>
      <w:numFmt w:val="decimal"/>
      <w:lvlText w:val="%1.%2.%3.%4.%5.%6.%7.%8."/>
      <w:lvlJc w:val="left"/>
      <w:pPr>
        <w:ind w:left="425" w:hanging="425"/>
      </w:pPr>
      <w:rPr>
        <w:rFonts w:hint="eastAsia"/>
      </w:rPr>
    </w:lvl>
    <w:lvl w:ilvl="8" w:tentative="0">
      <w:start w:val="1"/>
      <w:numFmt w:val="decimal"/>
      <w:lvlText w:val="%1.%2.%3.%4.%5.%6.%7.%8.%9."/>
      <w:lvlJc w:val="left"/>
      <w:pPr>
        <w:ind w:left="425" w:hanging="425"/>
      </w:pPr>
      <w:rPr>
        <w:rFonts w:hint="eastAsia"/>
      </w:rPr>
    </w:lvl>
  </w:abstractNum>
  <w:abstractNum w:abstractNumId="4">
    <w:nsid w:val="182B59DA"/>
    <w:multiLevelType w:val="multilevel"/>
    <w:tmpl w:val="182B59DA"/>
    <w:lvl w:ilvl="0" w:tentative="0">
      <w:start w:val="1"/>
      <w:numFmt w:val="decimal"/>
      <w:suff w:val="space"/>
      <w:lvlText w:val="%1"/>
      <w:lvlJc w:val="left"/>
      <w:pPr>
        <w:ind w:left="420" w:hanging="420"/>
      </w:pPr>
      <w:rPr>
        <w:rFonts w:hint="eastAsia" w:ascii="黑体" w:hAnsi="黑体" w:eastAsia="黑体"/>
      </w:rPr>
    </w:lvl>
    <w:lvl w:ilvl="1" w:tentative="0">
      <w:start w:val="1"/>
      <w:numFmt w:val="lowerLetter"/>
      <w:lvlText w:val="%2)"/>
      <w:lvlJc w:val="left"/>
      <w:pPr>
        <w:ind w:left="880" w:hanging="440"/>
      </w:pPr>
      <w:rPr>
        <w:rFonts w:hint="eastAsia"/>
      </w:rPr>
    </w:lvl>
    <w:lvl w:ilvl="2" w:tentative="0">
      <w:start w:val="1"/>
      <w:numFmt w:val="lowerRoman"/>
      <w:lvlText w:val="%3."/>
      <w:lvlJc w:val="right"/>
      <w:pPr>
        <w:ind w:left="1320" w:hanging="440"/>
      </w:pPr>
      <w:rPr>
        <w:rFonts w:hint="eastAsia"/>
      </w:rPr>
    </w:lvl>
    <w:lvl w:ilvl="3" w:tentative="0">
      <w:start w:val="1"/>
      <w:numFmt w:val="decimal"/>
      <w:lvlText w:val="%4."/>
      <w:lvlJc w:val="left"/>
      <w:pPr>
        <w:ind w:left="1760" w:hanging="440"/>
      </w:pPr>
      <w:rPr>
        <w:rFonts w:hint="eastAsia"/>
      </w:rPr>
    </w:lvl>
    <w:lvl w:ilvl="4" w:tentative="0">
      <w:start w:val="1"/>
      <w:numFmt w:val="lowerLetter"/>
      <w:lvlText w:val="%5)"/>
      <w:lvlJc w:val="left"/>
      <w:pPr>
        <w:ind w:left="2200" w:hanging="440"/>
      </w:pPr>
      <w:rPr>
        <w:rFonts w:hint="eastAsia"/>
      </w:rPr>
    </w:lvl>
    <w:lvl w:ilvl="5" w:tentative="0">
      <w:start w:val="1"/>
      <w:numFmt w:val="lowerRoman"/>
      <w:lvlText w:val="%6."/>
      <w:lvlJc w:val="right"/>
      <w:pPr>
        <w:ind w:left="2640" w:hanging="440"/>
      </w:pPr>
      <w:rPr>
        <w:rFonts w:hint="eastAsia"/>
      </w:rPr>
    </w:lvl>
    <w:lvl w:ilvl="6" w:tentative="0">
      <w:start w:val="1"/>
      <w:numFmt w:val="decimal"/>
      <w:lvlText w:val="%7."/>
      <w:lvlJc w:val="left"/>
      <w:pPr>
        <w:ind w:left="3080" w:hanging="440"/>
      </w:pPr>
      <w:rPr>
        <w:rFonts w:hint="eastAsia"/>
      </w:rPr>
    </w:lvl>
    <w:lvl w:ilvl="7" w:tentative="0">
      <w:start w:val="1"/>
      <w:numFmt w:val="lowerLetter"/>
      <w:lvlText w:val="%8)"/>
      <w:lvlJc w:val="left"/>
      <w:pPr>
        <w:ind w:left="3520" w:hanging="440"/>
      </w:pPr>
      <w:rPr>
        <w:rFonts w:hint="eastAsia"/>
      </w:rPr>
    </w:lvl>
    <w:lvl w:ilvl="8" w:tentative="0">
      <w:start w:val="1"/>
      <w:numFmt w:val="lowerRoman"/>
      <w:lvlText w:val="%9."/>
      <w:lvlJc w:val="right"/>
      <w:pPr>
        <w:ind w:left="3960" w:hanging="440"/>
      </w:pPr>
      <w:rPr>
        <w:rFonts w:hint="eastAsia"/>
      </w:rPr>
    </w:lvl>
  </w:abstractNum>
  <w:abstractNum w:abstractNumId="5">
    <w:nsid w:val="18DC719B"/>
    <w:multiLevelType w:val="multilevel"/>
    <w:tmpl w:val="18DC719B"/>
    <w:lvl w:ilvl="0" w:tentative="0">
      <w:start w:val="1"/>
      <w:numFmt w:val="decimal"/>
      <w:lvlText w:val="%1."/>
      <w:lvlJc w:val="left"/>
      <w:pPr>
        <w:ind w:left="425" w:hanging="425"/>
      </w:pPr>
      <w:rPr>
        <w:rFonts w:hint="eastAsia"/>
      </w:rPr>
    </w:lvl>
    <w:lvl w:ilvl="1" w:tentative="0">
      <w:start w:val="1"/>
      <w:numFmt w:val="decimal"/>
      <w:suff w:val="space"/>
      <w:lvlText w:val="6.%2"/>
      <w:lvlJc w:val="left"/>
      <w:pPr>
        <w:ind w:left="425" w:hanging="425"/>
      </w:pPr>
      <w:rPr>
        <w:rFonts w:hint="eastAsia"/>
      </w:rPr>
    </w:lvl>
    <w:lvl w:ilvl="2" w:tentative="0">
      <w:start w:val="1"/>
      <w:numFmt w:val="decimal"/>
      <w:suff w:val="space"/>
      <w:lvlText w:val="6.5.%3"/>
      <w:lvlJc w:val="left"/>
      <w:pPr>
        <w:ind w:left="0" w:firstLine="0"/>
      </w:pPr>
      <w:rPr>
        <w:rFonts w:hint="eastAsia" w:ascii="黑体" w:hAnsi="黑体" w:eastAsia="黑体"/>
      </w:rPr>
    </w:lvl>
    <w:lvl w:ilvl="3" w:tentative="0">
      <w:start w:val="1"/>
      <w:numFmt w:val="decimal"/>
      <w:suff w:val="space"/>
      <w:lvlText w:val="5.5.3.%4"/>
      <w:lvlJc w:val="left"/>
      <w:pPr>
        <w:ind w:left="425" w:hanging="425"/>
      </w:pPr>
      <w:rPr>
        <w:rFonts w:hint="eastAsia"/>
      </w:rPr>
    </w:lvl>
    <w:lvl w:ilvl="4" w:tentative="0">
      <w:start w:val="1"/>
      <w:numFmt w:val="decimal"/>
      <w:lvlText w:val="%1.%2.%3.%4.%5."/>
      <w:lvlJc w:val="left"/>
      <w:pPr>
        <w:ind w:left="425" w:hanging="425"/>
      </w:pPr>
      <w:rPr>
        <w:rFonts w:hint="eastAsia"/>
      </w:rPr>
    </w:lvl>
    <w:lvl w:ilvl="5" w:tentative="0">
      <w:start w:val="1"/>
      <w:numFmt w:val="decimal"/>
      <w:lvlText w:val="%1.%2.%3.%4.%5.%6."/>
      <w:lvlJc w:val="left"/>
      <w:pPr>
        <w:ind w:left="425" w:hanging="425"/>
      </w:pPr>
      <w:rPr>
        <w:rFonts w:hint="eastAsia"/>
      </w:rPr>
    </w:lvl>
    <w:lvl w:ilvl="6" w:tentative="0">
      <w:start w:val="1"/>
      <w:numFmt w:val="decimal"/>
      <w:lvlText w:val="%1.%2.%3.%4.%5.%6.%7."/>
      <w:lvlJc w:val="left"/>
      <w:pPr>
        <w:ind w:left="425" w:hanging="425"/>
      </w:pPr>
      <w:rPr>
        <w:rFonts w:hint="eastAsia"/>
      </w:rPr>
    </w:lvl>
    <w:lvl w:ilvl="7" w:tentative="0">
      <w:start w:val="1"/>
      <w:numFmt w:val="decimal"/>
      <w:lvlText w:val="%1.%2.%3.%4.%5.%6.%7.%8."/>
      <w:lvlJc w:val="left"/>
      <w:pPr>
        <w:ind w:left="425" w:hanging="425"/>
      </w:pPr>
      <w:rPr>
        <w:rFonts w:hint="eastAsia"/>
      </w:rPr>
    </w:lvl>
    <w:lvl w:ilvl="8" w:tentative="0">
      <w:start w:val="1"/>
      <w:numFmt w:val="decimal"/>
      <w:lvlText w:val="%1.%2.%3.%4.%5.%6.%7.%8.%9."/>
      <w:lvlJc w:val="left"/>
      <w:pPr>
        <w:ind w:left="425" w:hanging="425"/>
      </w:pPr>
      <w:rPr>
        <w:rFonts w:hint="eastAsia"/>
      </w:rPr>
    </w:lvl>
  </w:abstractNum>
  <w:abstractNum w:abstractNumId="6">
    <w:nsid w:val="22682014"/>
    <w:multiLevelType w:val="multilevel"/>
    <w:tmpl w:val="22682014"/>
    <w:lvl w:ilvl="0" w:tentative="0">
      <w:start w:val="1"/>
      <w:numFmt w:val="decimal"/>
      <w:lvlText w:val="%1."/>
      <w:lvlJc w:val="left"/>
      <w:pPr>
        <w:ind w:left="425" w:hanging="425"/>
      </w:pPr>
      <w:rPr>
        <w:rFonts w:hint="eastAsia"/>
      </w:rPr>
    </w:lvl>
    <w:lvl w:ilvl="1" w:tentative="0">
      <w:start w:val="1"/>
      <w:numFmt w:val="decimal"/>
      <w:suff w:val="space"/>
      <w:lvlText w:val="7.%2"/>
      <w:lvlJc w:val="left"/>
      <w:pPr>
        <w:ind w:left="0" w:firstLine="0"/>
      </w:pPr>
      <w:rPr>
        <w:rFonts w:hint="eastAsia"/>
      </w:rPr>
    </w:lvl>
    <w:lvl w:ilvl="2" w:tentative="0">
      <w:start w:val="1"/>
      <w:numFmt w:val="decimal"/>
      <w:suff w:val="space"/>
      <w:lvlText w:val="7.1.%3"/>
      <w:lvlJc w:val="left"/>
      <w:pPr>
        <w:ind w:left="0" w:firstLine="0"/>
      </w:pPr>
      <w:rPr>
        <w:rFonts w:hint="eastAsia" w:ascii="黑体" w:hAnsi="黑体" w:eastAsia="黑体"/>
      </w:rPr>
    </w:lvl>
    <w:lvl w:ilvl="3" w:tentative="0">
      <w:start w:val="1"/>
      <w:numFmt w:val="decimal"/>
      <w:suff w:val="space"/>
      <w:lvlText w:val="5.5.3.%4"/>
      <w:lvlJc w:val="left"/>
      <w:pPr>
        <w:ind w:left="425" w:hanging="425"/>
      </w:pPr>
      <w:rPr>
        <w:rFonts w:hint="eastAsia"/>
      </w:rPr>
    </w:lvl>
    <w:lvl w:ilvl="4" w:tentative="0">
      <w:start w:val="1"/>
      <w:numFmt w:val="decimal"/>
      <w:lvlText w:val="%1.%2.%3.%4.%5."/>
      <w:lvlJc w:val="left"/>
      <w:pPr>
        <w:ind w:left="425" w:hanging="425"/>
      </w:pPr>
      <w:rPr>
        <w:rFonts w:hint="eastAsia"/>
      </w:rPr>
    </w:lvl>
    <w:lvl w:ilvl="5" w:tentative="0">
      <w:start w:val="1"/>
      <w:numFmt w:val="decimal"/>
      <w:lvlText w:val="%1.%2.%3.%4.%5.%6."/>
      <w:lvlJc w:val="left"/>
      <w:pPr>
        <w:ind w:left="425" w:hanging="425"/>
      </w:pPr>
      <w:rPr>
        <w:rFonts w:hint="eastAsia"/>
      </w:rPr>
    </w:lvl>
    <w:lvl w:ilvl="6" w:tentative="0">
      <w:start w:val="1"/>
      <w:numFmt w:val="decimal"/>
      <w:lvlText w:val="%1.%2.%3.%4.%5.%6.%7."/>
      <w:lvlJc w:val="left"/>
      <w:pPr>
        <w:ind w:left="425" w:hanging="425"/>
      </w:pPr>
      <w:rPr>
        <w:rFonts w:hint="eastAsia"/>
      </w:rPr>
    </w:lvl>
    <w:lvl w:ilvl="7" w:tentative="0">
      <w:start w:val="1"/>
      <w:numFmt w:val="decimal"/>
      <w:lvlText w:val="%1.%2.%3.%4.%5.%6.%7.%8."/>
      <w:lvlJc w:val="left"/>
      <w:pPr>
        <w:ind w:left="425" w:hanging="425"/>
      </w:pPr>
      <w:rPr>
        <w:rFonts w:hint="eastAsia"/>
      </w:rPr>
    </w:lvl>
    <w:lvl w:ilvl="8" w:tentative="0">
      <w:start w:val="1"/>
      <w:numFmt w:val="decimal"/>
      <w:lvlText w:val="%1.%2.%3.%4.%5.%6.%7.%8.%9."/>
      <w:lvlJc w:val="left"/>
      <w:pPr>
        <w:ind w:left="425" w:hanging="425"/>
      </w:pPr>
      <w:rPr>
        <w:rFonts w:hint="eastAsia"/>
      </w:rPr>
    </w:lvl>
  </w:abstractNum>
  <w:abstractNum w:abstractNumId="7">
    <w:nsid w:val="26CF1A6F"/>
    <w:multiLevelType w:val="singleLevel"/>
    <w:tmpl w:val="26CF1A6F"/>
    <w:lvl w:ilvl="0" w:tentative="0">
      <w:start w:val="1"/>
      <w:numFmt w:val="lowerLetter"/>
      <w:lvlText w:val="%1）"/>
      <w:lvlJc w:val="left"/>
      <w:pPr>
        <w:tabs>
          <w:tab w:val="left" w:pos="771"/>
        </w:tabs>
        <w:ind w:left="771" w:hanging="345"/>
      </w:pPr>
      <w:rPr>
        <w:rFonts w:hint="default" w:ascii="黑体" w:hAnsi="黑体" w:eastAsia="黑体"/>
      </w:rPr>
    </w:lvl>
  </w:abstractNum>
  <w:abstractNum w:abstractNumId="8">
    <w:nsid w:val="2F4D6714"/>
    <w:multiLevelType w:val="multilevel"/>
    <w:tmpl w:val="2F4D6714"/>
    <w:lvl w:ilvl="0" w:tentative="0">
      <w:start w:val="1"/>
      <w:numFmt w:val="decimal"/>
      <w:lvlText w:val="%1."/>
      <w:lvlJc w:val="left"/>
      <w:pPr>
        <w:ind w:left="425" w:hanging="425"/>
      </w:pPr>
      <w:rPr>
        <w:rFonts w:hint="eastAsia"/>
      </w:rPr>
    </w:lvl>
    <w:lvl w:ilvl="1" w:tentative="0">
      <w:start w:val="1"/>
      <w:numFmt w:val="decimal"/>
      <w:suff w:val="space"/>
      <w:lvlText w:val="5.%2"/>
      <w:lvlJc w:val="left"/>
      <w:pPr>
        <w:ind w:left="862" w:hanging="862"/>
      </w:pPr>
      <w:rPr>
        <w:rFonts w:hint="eastAsia"/>
      </w:rPr>
    </w:lvl>
    <w:lvl w:ilvl="2" w:tentative="0">
      <w:start w:val="1"/>
      <w:numFmt w:val="decimal"/>
      <w:suff w:val="space"/>
      <w:lvlText w:val="5.2.%3"/>
      <w:lvlJc w:val="left"/>
      <w:pPr>
        <w:ind w:left="862" w:hanging="862"/>
      </w:pPr>
      <w:rPr>
        <w:rFonts w:hint="eastAsia"/>
      </w:rPr>
    </w:lvl>
    <w:lvl w:ilvl="3" w:tentative="0">
      <w:start w:val="1"/>
      <w:numFmt w:val="decimal"/>
      <w:suff w:val="space"/>
      <w:lvlText w:val="5.2.2.%4"/>
      <w:lvlJc w:val="left"/>
      <w:pPr>
        <w:ind w:left="0" w:firstLine="0"/>
      </w:pPr>
      <w:rPr>
        <w:rFonts w:hint="eastAsia" w:ascii="黑体" w:hAnsi="黑体" w:eastAsia="黑体"/>
      </w:rPr>
    </w:lvl>
    <w:lvl w:ilvl="4" w:tentative="0">
      <w:start w:val="1"/>
      <w:numFmt w:val="decimal"/>
      <w:lvlText w:val="%1.%2.%3.%4.%5."/>
      <w:lvlJc w:val="left"/>
      <w:pPr>
        <w:ind w:left="992" w:hanging="992"/>
      </w:pPr>
      <w:rPr>
        <w:rFonts w:hint="eastAsia"/>
      </w:rPr>
    </w:lvl>
    <w:lvl w:ilvl="5" w:tentative="0">
      <w:start w:val="1"/>
      <w:numFmt w:val="decimal"/>
      <w:lvlText w:val="%1.%2.%3.%4.%5.%6."/>
      <w:lvlJc w:val="left"/>
      <w:pPr>
        <w:ind w:left="1134" w:hanging="1134"/>
      </w:pPr>
      <w:rPr>
        <w:rFonts w:hint="eastAsia"/>
      </w:rPr>
    </w:lvl>
    <w:lvl w:ilvl="6" w:tentative="0">
      <w:start w:val="1"/>
      <w:numFmt w:val="decimal"/>
      <w:lvlText w:val="%1.%2.%3.%4.%5.%6.%7."/>
      <w:lvlJc w:val="left"/>
      <w:pPr>
        <w:ind w:left="1276" w:hanging="1276"/>
      </w:pPr>
      <w:rPr>
        <w:rFonts w:hint="eastAsia"/>
      </w:rPr>
    </w:lvl>
    <w:lvl w:ilvl="7" w:tentative="0">
      <w:start w:val="1"/>
      <w:numFmt w:val="decimal"/>
      <w:lvlText w:val="%1.%2.%3.%4.%5.%6.%7.%8."/>
      <w:lvlJc w:val="left"/>
      <w:pPr>
        <w:ind w:left="1418" w:hanging="1418"/>
      </w:pPr>
      <w:rPr>
        <w:rFonts w:hint="eastAsia"/>
      </w:rPr>
    </w:lvl>
    <w:lvl w:ilvl="8" w:tentative="0">
      <w:start w:val="1"/>
      <w:numFmt w:val="decimal"/>
      <w:lvlText w:val="%1.%2.%3.%4.%5.%6.%7.%8.%9."/>
      <w:lvlJc w:val="left"/>
      <w:pPr>
        <w:ind w:left="1559" w:hanging="1559"/>
      </w:pPr>
      <w:rPr>
        <w:rFonts w:hint="eastAsia"/>
      </w:rPr>
    </w:lvl>
  </w:abstractNum>
  <w:abstractNum w:abstractNumId="9">
    <w:nsid w:val="2FD23D88"/>
    <w:multiLevelType w:val="multilevel"/>
    <w:tmpl w:val="2FD23D88"/>
    <w:lvl w:ilvl="0" w:tentative="0">
      <w:start w:val="1"/>
      <w:numFmt w:val="decimal"/>
      <w:lvlText w:val="%1."/>
      <w:lvlJc w:val="left"/>
      <w:pPr>
        <w:ind w:left="425" w:hanging="425"/>
      </w:pPr>
      <w:rPr>
        <w:rFonts w:hint="eastAsia"/>
      </w:rPr>
    </w:lvl>
    <w:lvl w:ilvl="1" w:tentative="0">
      <w:start w:val="1"/>
      <w:numFmt w:val="decimal"/>
      <w:suff w:val="space"/>
      <w:lvlText w:val="4.%2"/>
      <w:lvlJc w:val="left"/>
      <w:pPr>
        <w:ind w:left="567" w:hanging="567"/>
      </w:pPr>
      <w:rPr>
        <w:rFonts w:hint="eastAsia"/>
      </w:rPr>
    </w:lvl>
    <w:lvl w:ilvl="2" w:tentative="0">
      <w:start w:val="1"/>
      <w:numFmt w:val="decimal"/>
      <w:suff w:val="space"/>
      <w:lvlText w:val="4.%2.%3"/>
      <w:lvlJc w:val="left"/>
      <w:pPr>
        <w:ind w:left="862" w:hanging="862"/>
      </w:pPr>
      <w:rPr>
        <w:rFonts w:hint="eastAsia" w:ascii="黑体" w:hAnsi="黑体" w:eastAsia="黑体"/>
      </w:rPr>
    </w:lvl>
    <w:lvl w:ilvl="3" w:tentative="0">
      <w:start w:val="1"/>
      <w:numFmt w:val="decimal"/>
      <w:lvlText w:val="%1.%2.%3.%4."/>
      <w:lvlJc w:val="left"/>
      <w:pPr>
        <w:ind w:left="851" w:hanging="851"/>
      </w:pPr>
      <w:rPr>
        <w:rFonts w:hint="eastAsia"/>
      </w:rPr>
    </w:lvl>
    <w:lvl w:ilvl="4" w:tentative="0">
      <w:start w:val="1"/>
      <w:numFmt w:val="decimal"/>
      <w:lvlText w:val="%1.%2.%3.%4.%5."/>
      <w:lvlJc w:val="left"/>
      <w:pPr>
        <w:ind w:left="992" w:hanging="992"/>
      </w:pPr>
      <w:rPr>
        <w:rFonts w:hint="eastAsia"/>
      </w:rPr>
    </w:lvl>
    <w:lvl w:ilvl="5" w:tentative="0">
      <w:start w:val="1"/>
      <w:numFmt w:val="decimal"/>
      <w:lvlText w:val="%1.%2.%3.%4.%5.%6."/>
      <w:lvlJc w:val="left"/>
      <w:pPr>
        <w:ind w:left="1134" w:hanging="1134"/>
      </w:pPr>
      <w:rPr>
        <w:rFonts w:hint="eastAsia"/>
      </w:rPr>
    </w:lvl>
    <w:lvl w:ilvl="6" w:tentative="0">
      <w:start w:val="1"/>
      <w:numFmt w:val="decimal"/>
      <w:lvlText w:val="%1.%2.%3.%4.%5.%6.%7."/>
      <w:lvlJc w:val="left"/>
      <w:pPr>
        <w:ind w:left="1276" w:hanging="1276"/>
      </w:pPr>
      <w:rPr>
        <w:rFonts w:hint="eastAsia"/>
      </w:rPr>
    </w:lvl>
    <w:lvl w:ilvl="7" w:tentative="0">
      <w:start w:val="1"/>
      <w:numFmt w:val="decimal"/>
      <w:lvlText w:val="%1.%2.%3.%4.%5.%6.%7.%8."/>
      <w:lvlJc w:val="left"/>
      <w:pPr>
        <w:ind w:left="1418" w:hanging="1418"/>
      </w:pPr>
      <w:rPr>
        <w:rFonts w:hint="eastAsia"/>
      </w:rPr>
    </w:lvl>
    <w:lvl w:ilvl="8" w:tentative="0">
      <w:start w:val="1"/>
      <w:numFmt w:val="decimal"/>
      <w:lvlText w:val="%1.%2.%3.%4.%5.%6.%7.%8.%9."/>
      <w:lvlJc w:val="left"/>
      <w:pPr>
        <w:ind w:left="1559" w:hanging="1559"/>
      </w:pPr>
      <w:rPr>
        <w:rFonts w:hint="eastAsia"/>
      </w:rPr>
    </w:lvl>
  </w:abstractNum>
  <w:abstractNum w:abstractNumId="10">
    <w:nsid w:val="3F1B1D59"/>
    <w:multiLevelType w:val="multilevel"/>
    <w:tmpl w:val="3F1B1D59"/>
    <w:lvl w:ilvl="0" w:tentative="0">
      <w:start w:val="1"/>
      <w:numFmt w:val="decimal"/>
      <w:lvlText w:val="%1."/>
      <w:lvlJc w:val="left"/>
      <w:pPr>
        <w:ind w:left="425" w:hanging="425"/>
      </w:pPr>
      <w:rPr>
        <w:rFonts w:hint="eastAsia"/>
      </w:rPr>
    </w:lvl>
    <w:lvl w:ilvl="1" w:tentative="0">
      <w:start w:val="1"/>
      <w:numFmt w:val="decimal"/>
      <w:suff w:val="space"/>
      <w:lvlText w:val="4.%2"/>
      <w:lvlJc w:val="left"/>
      <w:pPr>
        <w:ind w:left="567" w:hanging="567"/>
      </w:pPr>
      <w:rPr>
        <w:rFonts w:hint="eastAsia" w:ascii="黑体" w:hAnsi="黑体" w:eastAsia="黑体"/>
      </w:rPr>
    </w:lvl>
    <w:lvl w:ilvl="2" w:tentative="0">
      <w:start w:val="1"/>
      <w:numFmt w:val="decimal"/>
      <w:lvlText w:val="%1.%2.%3."/>
      <w:lvlJc w:val="left"/>
      <w:pPr>
        <w:ind w:left="709" w:hanging="709"/>
      </w:pPr>
      <w:rPr>
        <w:rFonts w:hint="eastAsia"/>
      </w:rPr>
    </w:lvl>
    <w:lvl w:ilvl="3" w:tentative="0">
      <w:start w:val="1"/>
      <w:numFmt w:val="decimal"/>
      <w:lvlText w:val="%1.%2.%3.%4."/>
      <w:lvlJc w:val="left"/>
      <w:pPr>
        <w:ind w:left="851" w:hanging="851"/>
      </w:pPr>
      <w:rPr>
        <w:rFonts w:hint="eastAsia"/>
      </w:rPr>
    </w:lvl>
    <w:lvl w:ilvl="4" w:tentative="0">
      <w:start w:val="1"/>
      <w:numFmt w:val="decimal"/>
      <w:lvlText w:val="%1.%2.%3.%4.%5."/>
      <w:lvlJc w:val="left"/>
      <w:pPr>
        <w:ind w:left="992" w:hanging="992"/>
      </w:pPr>
      <w:rPr>
        <w:rFonts w:hint="eastAsia"/>
      </w:rPr>
    </w:lvl>
    <w:lvl w:ilvl="5" w:tentative="0">
      <w:start w:val="1"/>
      <w:numFmt w:val="decimal"/>
      <w:lvlText w:val="%1.%2.%3.%4.%5.%6."/>
      <w:lvlJc w:val="left"/>
      <w:pPr>
        <w:ind w:left="1134" w:hanging="1134"/>
      </w:pPr>
      <w:rPr>
        <w:rFonts w:hint="eastAsia"/>
      </w:rPr>
    </w:lvl>
    <w:lvl w:ilvl="6" w:tentative="0">
      <w:start w:val="1"/>
      <w:numFmt w:val="decimal"/>
      <w:lvlText w:val="%1.%2.%3.%4.%5.%6.%7."/>
      <w:lvlJc w:val="left"/>
      <w:pPr>
        <w:ind w:left="1276" w:hanging="1276"/>
      </w:pPr>
      <w:rPr>
        <w:rFonts w:hint="eastAsia"/>
      </w:rPr>
    </w:lvl>
    <w:lvl w:ilvl="7" w:tentative="0">
      <w:start w:val="1"/>
      <w:numFmt w:val="decimal"/>
      <w:lvlText w:val="%1.%2.%3.%4.%5.%6.%7.%8."/>
      <w:lvlJc w:val="left"/>
      <w:pPr>
        <w:ind w:left="1418" w:hanging="1418"/>
      </w:pPr>
      <w:rPr>
        <w:rFonts w:hint="eastAsia"/>
      </w:rPr>
    </w:lvl>
    <w:lvl w:ilvl="8" w:tentative="0">
      <w:start w:val="1"/>
      <w:numFmt w:val="decimal"/>
      <w:lvlText w:val="%1.%2.%3.%4.%5.%6.%7.%8.%9."/>
      <w:lvlJc w:val="left"/>
      <w:pPr>
        <w:ind w:left="1559" w:hanging="1559"/>
      </w:pPr>
      <w:rPr>
        <w:rFonts w:hint="eastAsia"/>
      </w:rPr>
    </w:lvl>
  </w:abstractNum>
  <w:abstractNum w:abstractNumId="11">
    <w:nsid w:val="3FF43A7A"/>
    <w:multiLevelType w:val="multilevel"/>
    <w:tmpl w:val="3FF43A7A"/>
    <w:lvl w:ilvl="0" w:tentative="0">
      <w:start w:val="1"/>
      <w:numFmt w:val="decimal"/>
      <w:lvlText w:val="%1."/>
      <w:lvlJc w:val="left"/>
      <w:pPr>
        <w:ind w:left="425" w:hanging="425"/>
      </w:pPr>
      <w:rPr>
        <w:rFonts w:hint="eastAsia"/>
      </w:rPr>
    </w:lvl>
    <w:lvl w:ilvl="1" w:tentative="0">
      <w:start w:val="1"/>
      <w:numFmt w:val="decimal"/>
      <w:suff w:val="space"/>
      <w:lvlText w:val="5.%2"/>
      <w:lvlJc w:val="left"/>
      <w:pPr>
        <w:ind w:left="862" w:hanging="862"/>
      </w:pPr>
      <w:rPr>
        <w:rFonts w:hint="eastAsia"/>
      </w:rPr>
    </w:lvl>
    <w:lvl w:ilvl="2" w:tentative="0">
      <w:start w:val="1"/>
      <w:numFmt w:val="decimal"/>
      <w:suff w:val="space"/>
      <w:lvlText w:val="5.5.%3"/>
      <w:lvlJc w:val="left"/>
      <w:pPr>
        <w:ind w:left="862" w:hanging="862"/>
      </w:pPr>
      <w:rPr>
        <w:rFonts w:hint="eastAsia"/>
      </w:rPr>
    </w:lvl>
    <w:lvl w:ilvl="3" w:tentative="0">
      <w:start w:val="1"/>
      <w:numFmt w:val="decimal"/>
      <w:suff w:val="space"/>
      <w:lvlText w:val="5.5.3.%4"/>
      <w:lvlJc w:val="left"/>
      <w:pPr>
        <w:ind w:left="0" w:firstLine="0"/>
      </w:pPr>
      <w:rPr>
        <w:rFonts w:hint="eastAsia" w:ascii="黑体" w:hAnsi="黑体" w:eastAsia="黑体"/>
      </w:rPr>
    </w:lvl>
    <w:lvl w:ilvl="4" w:tentative="0">
      <w:start w:val="1"/>
      <w:numFmt w:val="decimal"/>
      <w:lvlText w:val="%1.%2.%3.%4.%5."/>
      <w:lvlJc w:val="left"/>
      <w:pPr>
        <w:ind w:left="992" w:hanging="992"/>
      </w:pPr>
      <w:rPr>
        <w:rFonts w:hint="eastAsia"/>
      </w:rPr>
    </w:lvl>
    <w:lvl w:ilvl="5" w:tentative="0">
      <w:start w:val="1"/>
      <w:numFmt w:val="decimal"/>
      <w:lvlText w:val="%1.%2.%3.%4.%5.%6."/>
      <w:lvlJc w:val="left"/>
      <w:pPr>
        <w:ind w:left="1134" w:hanging="1134"/>
      </w:pPr>
      <w:rPr>
        <w:rFonts w:hint="eastAsia"/>
      </w:rPr>
    </w:lvl>
    <w:lvl w:ilvl="6" w:tentative="0">
      <w:start w:val="1"/>
      <w:numFmt w:val="decimal"/>
      <w:lvlText w:val="%1.%2.%3.%4.%5.%6.%7."/>
      <w:lvlJc w:val="left"/>
      <w:pPr>
        <w:ind w:left="1276" w:hanging="1276"/>
      </w:pPr>
      <w:rPr>
        <w:rFonts w:hint="eastAsia"/>
      </w:rPr>
    </w:lvl>
    <w:lvl w:ilvl="7" w:tentative="0">
      <w:start w:val="1"/>
      <w:numFmt w:val="decimal"/>
      <w:lvlText w:val="%1.%2.%3.%4.%5.%6.%7.%8."/>
      <w:lvlJc w:val="left"/>
      <w:pPr>
        <w:ind w:left="1418" w:hanging="1418"/>
      </w:pPr>
      <w:rPr>
        <w:rFonts w:hint="eastAsia"/>
      </w:rPr>
    </w:lvl>
    <w:lvl w:ilvl="8" w:tentative="0">
      <w:start w:val="1"/>
      <w:numFmt w:val="decimal"/>
      <w:lvlText w:val="%1.%2.%3.%4.%5.%6.%7.%8.%9."/>
      <w:lvlJc w:val="left"/>
      <w:pPr>
        <w:ind w:left="1559" w:hanging="1559"/>
      </w:pPr>
      <w:rPr>
        <w:rFonts w:hint="eastAsia"/>
      </w:rPr>
    </w:lvl>
  </w:abstractNum>
  <w:abstractNum w:abstractNumId="12">
    <w:nsid w:val="4854048E"/>
    <w:multiLevelType w:val="multilevel"/>
    <w:tmpl w:val="4854048E"/>
    <w:lvl w:ilvl="0" w:tentative="0">
      <w:start w:val="1"/>
      <w:numFmt w:val="decimal"/>
      <w:lvlText w:val="%1."/>
      <w:lvlJc w:val="left"/>
      <w:pPr>
        <w:ind w:left="425" w:hanging="425"/>
      </w:pPr>
      <w:rPr>
        <w:rFonts w:hint="eastAsia"/>
      </w:rPr>
    </w:lvl>
    <w:lvl w:ilvl="1" w:tentative="0">
      <w:start w:val="1"/>
      <w:numFmt w:val="decimal"/>
      <w:suff w:val="space"/>
      <w:lvlText w:val="5.%2"/>
      <w:lvlJc w:val="left"/>
      <w:pPr>
        <w:ind w:left="862" w:hanging="862"/>
      </w:pPr>
      <w:rPr>
        <w:rFonts w:hint="eastAsia"/>
      </w:rPr>
    </w:lvl>
    <w:lvl w:ilvl="2" w:tentative="0">
      <w:start w:val="1"/>
      <w:numFmt w:val="decimal"/>
      <w:suff w:val="space"/>
      <w:lvlText w:val="5.2.%3"/>
      <w:lvlJc w:val="left"/>
      <w:pPr>
        <w:ind w:left="862" w:hanging="862"/>
      </w:pPr>
      <w:rPr>
        <w:rFonts w:hint="eastAsia" w:ascii="黑体" w:hAnsi="黑体" w:eastAsia="黑体"/>
      </w:rPr>
    </w:lvl>
    <w:lvl w:ilvl="3" w:tentative="0">
      <w:start w:val="1"/>
      <w:numFmt w:val="decimal"/>
      <w:lvlText w:val="%1.%2.%3.%4."/>
      <w:lvlJc w:val="left"/>
      <w:pPr>
        <w:ind w:left="851" w:hanging="851"/>
      </w:pPr>
      <w:rPr>
        <w:rFonts w:hint="eastAsia"/>
      </w:rPr>
    </w:lvl>
    <w:lvl w:ilvl="4" w:tentative="0">
      <w:start w:val="1"/>
      <w:numFmt w:val="decimal"/>
      <w:lvlText w:val="%1.%2.%3.%4.%5."/>
      <w:lvlJc w:val="left"/>
      <w:pPr>
        <w:ind w:left="992" w:hanging="992"/>
      </w:pPr>
      <w:rPr>
        <w:rFonts w:hint="eastAsia"/>
      </w:rPr>
    </w:lvl>
    <w:lvl w:ilvl="5" w:tentative="0">
      <w:start w:val="1"/>
      <w:numFmt w:val="decimal"/>
      <w:lvlText w:val="%1.%2.%3.%4.%5.%6."/>
      <w:lvlJc w:val="left"/>
      <w:pPr>
        <w:ind w:left="1134" w:hanging="1134"/>
      </w:pPr>
      <w:rPr>
        <w:rFonts w:hint="eastAsia"/>
      </w:rPr>
    </w:lvl>
    <w:lvl w:ilvl="6" w:tentative="0">
      <w:start w:val="1"/>
      <w:numFmt w:val="decimal"/>
      <w:lvlText w:val="%1.%2.%3.%4.%5.%6.%7."/>
      <w:lvlJc w:val="left"/>
      <w:pPr>
        <w:ind w:left="1276" w:hanging="1276"/>
      </w:pPr>
      <w:rPr>
        <w:rFonts w:hint="eastAsia"/>
      </w:rPr>
    </w:lvl>
    <w:lvl w:ilvl="7" w:tentative="0">
      <w:start w:val="1"/>
      <w:numFmt w:val="decimal"/>
      <w:lvlText w:val="%1.%2.%3.%4.%5.%6.%7.%8."/>
      <w:lvlJc w:val="left"/>
      <w:pPr>
        <w:ind w:left="1418" w:hanging="1418"/>
      </w:pPr>
      <w:rPr>
        <w:rFonts w:hint="eastAsia"/>
      </w:rPr>
    </w:lvl>
    <w:lvl w:ilvl="8" w:tentative="0">
      <w:start w:val="1"/>
      <w:numFmt w:val="decimal"/>
      <w:lvlText w:val="%1.%2.%3.%4.%5.%6.%7.%8.%9."/>
      <w:lvlJc w:val="left"/>
      <w:pPr>
        <w:ind w:left="1559" w:hanging="1559"/>
      </w:pPr>
      <w:rPr>
        <w:rFonts w:hint="eastAsia"/>
      </w:rPr>
    </w:lvl>
  </w:abstractNum>
  <w:abstractNum w:abstractNumId="13">
    <w:nsid w:val="542E229B"/>
    <w:multiLevelType w:val="multilevel"/>
    <w:tmpl w:val="542E229B"/>
    <w:lvl w:ilvl="0" w:tentative="0">
      <w:start w:val="1"/>
      <w:numFmt w:val="decimal"/>
      <w:lvlText w:val="%1."/>
      <w:lvlJc w:val="left"/>
      <w:pPr>
        <w:ind w:left="425" w:hanging="425"/>
      </w:pPr>
      <w:rPr>
        <w:rFonts w:hint="eastAsia"/>
      </w:rPr>
    </w:lvl>
    <w:lvl w:ilvl="1" w:tentative="0">
      <w:start w:val="1"/>
      <w:numFmt w:val="decimal"/>
      <w:suff w:val="space"/>
      <w:lvlText w:val="5.%2"/>
      <w:lvlJc w:val="left"/>
      <w:pPr>
        <w:ind w:left="862" w:hanging="862"/>
      </w:pPr>
      <w:rPr>
        <w:rFonts w:hint="eastAsia"/>
      </w:rPr>
    </w:lvl>
    <w:lvl w:ilvl="2" w:tentative="0">
      <w:start w:val="1"/>
      <w:numFmt w:val="decimal"/>
      <w:suff w:val="space"/>
      <w:lvlText w:val="5.2.%3"/>
      <w:lvlJc w:val="left"/>
      <w:pPr>
        <w:ind w:left="862" w:hanging="862"/>
      </w:pPr>
      <w:rPr>
        <w:rFonts w:hint="eastAsia"/>
      </w:rPr>
    </w:lvl>
    <w:lvl w:ilvl="3" w:tentative="0">
      <w:start w:val="1"/>
      <w:numFmt w:val="decimal"/>
      <w:isLgl/>
      <w:suff w:val="space"/>
      <w:lvlText w:val="5.2.3.%4"/>
      <w:lvlJc w:val="left"/>
      <w:pPr>
        <w:ind w:left="0" w:firstLine="0"/>
      </w:pPr>
      <w:rPr>
        <w:rFonts w:hint="default" w:ascii="黑体" w:hAnsi="黑体" w:eastAsia="黑体" w:cs="黑体"/>
      </w:rPr>
    </w:lvl>
    <w:lvl w:ilvl="4" w:tentative="0">
      <w:start w:val="1"/>
      <w:numFmt w:val="decimal"/>
      <w:lvlText w:val="%1.%2.%3.%4.%5."/>
      <w:lvlJc w:val="left"/>
      <w:pPr>
        <w:ind w:left="992" w:hanging="992"/>
      </w:pPr>
      <w:rPr>
        <w:rFonts w:hint="eastAsia"/>
      </w:rPr>
    </w:lvl>
    <w:lvl w:ilvl="5" w:tentative="0">
      <w:start w:val="1"/>
      <w:numFmt w:val="decimal"/>
      <w:lvlText w:val="%1.%2.%3.%4.%5.%6."/>
      <w:lvlJc w:val="left"/>
      <w:pPr>
        <w:ind w:left="1134" w:hanging="1134"/>
      </w:pPr>
      <w:rPr>
        <w:rFonts w:hint="eastAsia"/>
      </w:rPr>
    </w:lvl>
    <w:lvl w:ilvl="6" w:tentative="0">
      <w:start w:val="1"/>
      <w:numFmt w:val="decimal"/>
      <w:lvlText w:val="%1.%2.%3.%4.%5.%6.%7."/>
      <w:lvlJc w:val="left"/>
      <w:pPr>
        <w:ind w:left="1276" w:hanging="1276"/>
      </w:pPr>
      <w:rPr>
        <w:rFonts w:hint="eastAsia"/>
      </w:rPr>
    </w:lvl>
    <w:lvl w:ilvl="7" w:tentative="0">
      <w:start w:val="1"/>
      <w:numFmt w:val="decimal"/>
      <w:lvlText w:val="%1.%2.%3.%4.%5.%6.%7.%8."/>
      <w:lvlJc w:val="left"/>
      <w:pPr>
        <w:ind w:left="1418" w:hanging="1418"/>
      </w:pPr>
      <w:rPr>
        <w:rFonts w:hint="eastAsia"/>
      </w:rPr>
    </w:lvl>
    <w:lvl w:ilvl="8" w:tentative="0">
      <w:start w:val="1"/>
      <w:numFmt w:val="decimal"/>
      <w:lvlText w:val="%1.%2.%3.%4.%5.%6.%7.%8.%9."/>
      <w:lvlJc w:val="left"/>
      <w:pPr>
        <w:ind w:left="1559" w:hanging="1559"/>
      </w:pPr>
      <w:rPr>
        <w:rFonts w:hint="eastAsia"/>
      </w:rPr>
    </w:lvl>
  </w:abstractNum>
  <w:abstractNum w:abstractNumId="14">
    <w:nsid w:val="56164D78"/>
    <w:multiLevelType w:val="multilevel"/>
    <w:tmpl w:val="56164D78"/>
    <w:lvl w:ilvl="0" w:tentative="0">
      <w:start w:val="1"/>
      <w:numFmt w:val="decimal"/>
      <w:lvlText w:val="%1."/>
      <w:lvlJc w:val="left"/>
      <w:pPr>
        <w:ind w:left="425" w:hanging="425"/>
      </w:pPr>
      <w:rPr>
        <w:rFonts w:hint="eastAsia"/>
      </w:rPr>
    </w:lvl>
    <w:lvl w:ilvl="1" w:tentative="0">
      <w:start w:val="1"/>
      <w:numFmt w:val="decimal"/>
      <w:suff w:val="space"/>
      <w:lvlText w:val="7.%2"/>
      <w:lvlJc w:val="left"/>
      <w:pPr>
        <w:ind w:left="0" w:firstLine="0"/>
      </w:pPr>
      <w:rPr>
        <w:rFonts w:hint="eastAsia" w:ascii="黑体" w:hAnsi="黑体" w:eastAsia="黑体"/>
      </w:rPr>
    </w:lvl>
    <w:lvl w:ilvl="2" w:tentative="0">
      <w:start w:val="1"/>
      <w:numFmt w:val="decimal"/>
      <w:suff w:val="space"/>
      <w:lvlText w:val="7.5.%3"/>
      <w:lvlJc w:val="left"/>
      <w:pPr>
        <w:ind w:left="0" w:firstLine="0"/>
      </w:pPr>
      <w:rPr>
        <w:rFonts w:hint="default" w:ascii="黑体" w:hAnsi="黑体" w:eastAsia="黑体" w:cs="黑体"/>
      </w:rPr>
    </w:lvl>
    <w:lvl w:ilvl="3" w:tentative="0">
      <w:start w:val="1"/>
      <w:numFmt w:val="decimal"/>
      <w:suff w:val="space"/>
      <w:lvlText w:val="5.5.3.%4"/>
      <w:lvlJc w:val="left"/>
      <w:pPr>
        <w:ind w:left="425" w:hanging="425"/>
      </w:pPr>
      <w:rPr>
        <w:rFonts w:hint="eastAsia"/>
      </w:rPr>
    </w:lvl>
    <w:lvl w:ilvl="4" w:tentative="0">
      <w:start w:val="1"/>
      <w:numFmt w:val="decimal"/>
      <w:lvlText w:val="%1.%2.%3.%4.%5."/>
      <w:lvlJc w:val="left"/>
      <w:pPr>
        <w:ind w:left="425" w:hanging="425"/>
      </w:pPr>
      <w:rPr>
        <w:rFonts w:hint="eastAsia"/>
      </w:rPr>
    </w:lvl>
    <w:lvl w:ilvl="5" w:tentative="0">
      <w:start w:val="1"/>
      <w:numFmt w:val="decimal"/>
      <w:lvlText w:val="%1.%2.%3.%4.%5.%6."/>
      <w:lvlJc w:val="left"/>
      <w:pPr>
        <w:ind w:left="425" w:hanging="425"/>
      </w:pPr>
      <w:rPr>
        <w:rFonts w:hint="eastAsia"/>
      </w:rPr>
    </w:lvl>
    <w:lvl w:ilvl="6" w:tentative="0">
      <w:start w:val="1"/>
      <w:numFmt w:val="decimal"/>
      <w:lvlText w:val="%1.%2.%3.%4.%5.%6.%7."/>
      <w:lvlJc w:val="left"/>
      <w:pPr>
        <w:ind w:left="425" w:hanging="425"/>
      </w:pPr>
      <w:rPr>
        <w:rFonts w:hint="eastAsia"/>
      </w:rPr>
    </w:lvl>
    <w:lvl w:ilvl="7" w:tentative="0">
      <w:start w:val="1"/>
      <w:numFmt w:val="decimal"/>
      <w:lvlText w:val="%1.%2.%3.%4.%5.%6.%7.%8."/>
      <w:lvlJc w:val="left"/>
      <w:pPr>
        <w:ind w:left="425" w:hanging="425"/>
      </w:pPr>
      <w:rPr>
        <w:rFonts w:hint="eastAsia"/>
      </w:rPr>
    </w:lvl>
    <w:lvl w:ilvl="8" w:tentative="0">
      <w:start w:val="1"/>
      <w:numFmt w:val="decimal"/>
      <w:lvlText w:val="%1.%2.%3.%4.%5.%6.%7.%8.%9."/>
      <w:lvlJc w:val="left"/>
      <w:pPr>
        <w:ind w:left="425" w:hanging="425"/>
      </w:pPr>
      <w:rPr>
        <w:rFonts w:hint="eastAsia"/>
      </w:rPr>
    </w:lvl>
  </w:abstractNum>
  <w:abstractNum w:abstractNumId="15">
    <w:nsid w:val="5F3B344D"/>
    <w:multiLevelType w:val="multilevel"/>
    <w:tmpl w:val="5F3B344D"/>
    <w:lvl w:ilvl="0" w:tentative="0">
      <w:start w:val="1"/>
      <w:numFmt w:val="decimal"/>
      <w:lvlText w:val="%1."/>
      <w:lvlJc w:val="left"/>
      <w:pPr>
        <w:ind w:left="425" w:hanging="425"/>
      </w:pPr>
      <w:rPr>
        <w:rFonts w:hint="eastAsia"/>
      </w:rPr>
    </w:lvl>
    <w:lvl w:ilvl="1" w:tentative="0">
      <w:start w:val="1"/>
      <w:numFmt w:val="decimal"/>
      <w:suff w:val="space"/>
      <w:lvlText w:val="5.%2"/>
      <w:lvlJc w:val="left"/>
      <w:pPr>
        <w:ind w:left="862" w:hanging="862"/>
      </w:pPr>
      <w:rPr>
        <w:rFonts w:hint="eastAsia"/>
      </w:rPr>
    </w:lvl>
    <w:lvl w:ilvl="2" w:tentative="0">
      <w:start w:val="1"/>
      <w:numFmt w:val="decimal"/>
      <w:suff w:val="space"/>
      <w:lvlText w:val="5.5.%3"/>
      <w:lvlJc w:val="left"/>
      <w:pPr>
        <w:ind w:left="862" w:hanging="862"/>
      </w:pPr>
      <w:rPr>
        <w:rFonts w:hint="eastAsia" w:ascii="黑体" w:hAnsi="黑体" w:eastAsia="黑体"/>
      </w:rPr>
    </w:lvl>
    <w:lvl w:ilvl="3" w:tentative="0">
      <w:start w:val="1"/>
      <w:numFmt w:val="decimal"/>
      <w:suff w:val="space"/>
      <w:lvlText w:val="5.2.2.%4"/>
      <w:lvlJc w:val="left"/>
      <w:pPr>
        <w:ind w:left="0" w:firstLine="0"/>
      </w:pPr>
      <w:rPr>
        <w:rFonts w:hint="eastAsia"/>
      </w:rPr>
    </w:lvl>
    <w:lvl w:ilvl="4" w:tentative="0">
      <w:start w:val="1"/>
      <w:numFmt w:val="decimal"/>
      <w:lvlText w:val="%1.%2.%3.%4.%5."/>
      <w:lvlJc w:val="left"/>
      <w:pPr>
        <w:ind w:left="992" w:hanging="992"/>
      </w:pPr>
      <w:rPr>
        <w:rFonts w:hint="eastAsia"/>
      </w:rPr>
    </w:lvl>
    <w:lvl w:ilvl="5" w:tentative="0">
      <w:start w:val="1"/>
      <w:numFmt w:val="decimal"/>
      <w:lvlText w:val="%1.%2.%3.%4.%5.%6."/>
      <w:lvlJc w:val="left"/>
      <w:pPr>
        <w:ind w:left="1134" w:hanging="1134"/>
      </w:pPr>
      <w:rPr>
        <w:rFonts w:hint="eastAsia"/>
      </w:rPr>
    </w:lvl>
    <w:lvl w:ilvl="6" w:tentative="0">
      <w:start w:val="1"/>
      <w:numFmt w:val="decimal"/>
      <w:lvlText w:val="%1.%2.%3.%4.%5.%6.%7."/>
      <w:lvlJc w:val="left"/>
      <w:pPr>
        <w:ind w:left="1276" w:hanging="1276"/>
      </w:pPr>
      <w:rPr>
        <w:rFonts w:hint="eastAsia"/>
      </w:rPr>
    </w:lvl>
    <w:lvl w:ilvl="7" w:tentative="0">
      <w:start w:val="1"/>
      <w:numFmt w:val="decimal"/>
      <w:lvlText w:val="%1.%2.%3.%4.%5.%6.%7.%8."/>
      <w:lvlJc w:val="left"/>
      <w:pPr>
        <w:ind w:left="1418" w:hanging="1418"/>
      </w:pPr>
      <w:rPr>
        <w:rFonts w:hint="eastAsia"/>
      </w:rPr>
    </w:lvl>
    <w:lvl w:ilvl="8" w:tentative="0">
      <w:start w:val="1"/>
      <w:numFmt w:val="decimal"/>
      <w:lvlText w:val="%1.%2.%3.%4.%5.%6.%7.%8.%9."/>
      <w:lvlJc w:val="left"/>
      <w:pPr>
        <w:ind w:left="1559" w:hanging="1559"/>
      </w:pPr>
      <w:rPr>
        <w:rFonts w:hint="eastAsia"/>
      </w:rPr>
    </w:lvl>
  </w:abstractNum>
  <w:abstractNum w:abstractNumId="16">
    <w:nsid w:val="65F53C76"/>
    <w:multiLevelType w:val="multilevel"/>
    <w:tmpl w:val="65F53C76"/>
    <w:lvl w:ilvl="0" w:tentative="0">
      <w:start w:val="1"/>
      <w:numFmt w:val="decimal"/>
      <w:lvlText w:val="%1."/>
      <w:lvlJc w:val="left"/>
      <w:pPr>
        <w:ind w:left="425" w:hanging="425"/>
      </w:pPr>
      <w:rPr>
        <w:rFonts w:hint="eastAsia"/>
      </w:rPr>
    </w:lvl>
    <w:lvl w:ilvl="1" w:tentative="0">
      <w:start w:val="1"/>
      <w:numFmt w:val="decimal"/>
      <w:suff w:val="space"/>
      <w:lvlText w:val="8.%2"/>
      <w:lvlJc w:val="left"/>
      <w:pPr>
        <w:ind w:left="0" w:firstLine="0"/>
      </w:pPr>
      <w:rPr>
        <w:rFonts w:hint="eastAsia" w:ascii="黑体" w:hAnsi="黑体" w:eastAsia="黑体"/>
      </w:rPr>
    </w:lvl>
    <w:lvl w:ilvl="2" w:tentative="0">
      <w:start w:val="1"/>
      <w:numFmt w:val="decimal"/>
      <w:suff w:val="space"/>
      <w:lvlText w:val="7.3.%3"/>
      <w:lvlJc w:val="left"/>
      <w:pPr>
        <w:ind w:left="0" w:firstLine="0"/>
      </w:pPr>
      <w:rPr>
        <w:rFonts w:hint="eastAsia"/>
      </w:rPr>
    </w:lvl>
    <w:lvl w:ilvl="3" w:tentative="0">
      <w:start w:val="1"/>
      <w:numFmt w:val="decimal"/>
      <w:suff w:val="space"/>
      <w:lvlText w:val="7.3.1.%4"/>
      <w:lvlJc w:val="left"/>
      <w:pPr>
        <w:ind w:left="0" w:firstLine="0"/>
      </w:pPr>
      <w:rPr>
        <w:rFonts w:hint="eastAsia"/>
      </w:rPr>
    </w:lvl>
    <w:lvl w:ilvl="4" w:tentative="0">
      <w:start w:val="1"/>
      <w:numFmt w:val="decimal"/>
      <w:lvlText w:val="%1.%2.%3.%4.%5."/>
      <w:lvlJc w:val="left"/>
      <w:pPr>
        <w:ind w:left="425" w:hanging="425"/>
      </w:pPr>
      <w:rPr>
        <w:rFonts w:hint="eastAsia"/>
      </w:rPr>
    </w:lvl>
    <w:lvl w:ilvl="5" w:tentative="0">
      <w:start w:val="1"/>
      <w:numFmt w:val="decimal"/>
      <w:lvlText w:val="%1.%2.%3.%4.%5.%6."/>
      <w:lvlJc w:val="left"/>
      <w:pPr>
        <w:ind w:left="425" w:hanging="425"/>
      </w:pPr>
      <w:rPr>
        <w:rFonts w:hint="eastAsia"/>
      </w:rPr>
    </w:lvl>
    <w:lvl w:ilvl="6" w:tentative="0">
      <w:start w:val="1"/>
      <w:numFmt w:val="decimal"/>
      <w:lvlText w:val="%1.%2.%3.%4.%5.%6.%7."/>
      <w:lvlJc w:val="left"/>
      <w:pPr>
        <w:ind w:left="425" w:hanging="425"/>
      </w:pPr>
      <w:rPr>
        <w:rFonts w:hint="eastAsia"/>
      </w:rPr>
    </w:lvl>
    <w:lvl w:ilvl="7" w:tentative="0">
      <w:start w:val="1"/>
      <w:numFmt w:val="decimal"/>
      <w:lvlText w:val="%1.%2.%3.%4.%5.%6.%7.%8."/>
      <w:lvlJc w:val="left"/>
      <w:pPr>
        <w:ind w:left="425" w:hanging="425"/>
      </w:pPr>
      <w:rPr>
        <w:rFonts w:hint="eastAsia"/>
      </w:rPr>
    </w:lvl>
    <w:lvl w:ilvl="8" w:tentative="0">
      <w:start w:val="1"/>
      <w:numFmt w:val="decimal"/>
      <w:lvlText w:val="%1.%2.%3.%4.%5.%6.%7.%8.%9."/>
      <w:lvlJc w:val="left"/>
      <w:pPr>
        <w:ind w:left="425" w:hanging="425"/>
      </w:pPr>
      <w:rPr>
        <w:rFonts w:hint="eastAsia"/>
      </w:rPr>
    </w:lvl>
  </w:abstractNum>
  <w:abstractNum w:abstractNumId="17">
    <w:nsid w:val="6CC21FDF"/>
    <w:multiLevelType w:val="multilevel"/>
    <w:tmpl w:val="6CC21FDF"/>
    <w:lvl w:ilvl="0" w:tentative="0">
      <w:start w:val="1"/>
      <w:numFmt w:val="decimal"/>
      <w:lvlText w:val="%1."/>
      <w:lvlJc w:val="left"/>
      <w:pPr>
        <w:ind w:left="425" w:hanging="425"/>
      </w:pPr>
      <w:rPr>
        <w:rFonts w:hint="eastAsia"/>
      </w:rPr>
    </w:lvl>
    <w:lvl w:ilvl="1" w:tentative="0">
      <w:start w:val="1"/>
      <w:numFmt w:val="decimal"/>
      <w:suff w:val="space"/>
      <w:lvlText w:val="5.%2"/>
      <w:lvlJc w:val="left"/>
      <w:pPr>
        <w:ind w:left="862" w:hanging="862"/>
      </w:pPr>
      <w:rPr>
        <w:rFonts w:hint="eastAsia" w:ascii="黑体" w:hAnsi="黑体" w:eastAsia="黑体"/>
      </w:rPr>
    </w:lvl>
    <w:lvl w:ilvl="2" w:tentative="0">
      <w:start w:val="1"/>
      <w:numFmt w:val="decimal"/>
      <w:suff w:val="space"/>
      <w:lvlText w:val="4.%2.%3"/>
      <w:lvlJc w:val="left"/>
      <w:pPr>
        <w:ind w:left="862" w:hanging="862"/>
      </w:pPr>
      <w:rPr>
        <w:rFonts w:hint="eastAsia"/>
      </w:rPr>
    </w:lvl>
    <w:lvl w:ilvl="3" w:tentative="0">
      <w:start w:val="1"/>
      <w:numFmt w:val="decimal"/>
      <w:lvlText w:val="%1.%2.%3.%4."/>
      <w:lvlJc w:val="left"/>
      <w:pPr>
        <w:ind w:left="851" w:hanging="851"/>
      </w:pPr>
      <w:rPr>
        <w:rFonts w:hint="eastAsia"/>
      </w:rPr>
    </w:lvl>
    <w:lvl w:ilvl="4" w:tentative="0">
      <w:start w:val="1"/>
      <w:numFmt w:val="decimal"/>
      <w:lvlText w:val="%1.%2.%3.%4.%5."/>
      <w:lvlJc w:val="left"/>
      <w:pPr>
        <w:ind w:left="992" w:hanging="992"/>
      </w:pPr>
      <w:rPr>
        <w:rFonts w:hint="eastAsia"/>
      </w:rPr>
    </w:lvl>
    <w:lvl w:ilvl="5" w:tentative="0">
      <w:start w:val="1"/>
      <w:numFmt w:val="decimal"/>
      <w:lvlText w:val="%1.%2.%3.%4.%5.%6."/>
      <w:lvlJc w:val="left"/>
      <w:pPr>
        <w:ind w:left="1134" w:hanging="1134"/>
      </w:pPr>
      <w:rPr>
        <w:rFonts w:hint="eastAsia"/>
      </w:rPr>
    </w:lvl>
    <w:lvl w:ilvl="6" w:tentative="0">
      <w:start w:val="1"/>
      <w:numFmt w:val="decimal"/>
      <w:lvlText w:val="%1.%2.%3.%4.%5.%6.%7."/>
      <w:lvlJc w:val="left"/>
      <w:pPr>
        <w:ind w:left="1276" w:hanging="1276"/>
      </w:pPr>
      <w:rPr>
        <w:rFonts w:hint="eastAsia"/>
      </w:rPr>
    </w:lvl>
    <w:lvl w:ilvl="7" w:tentative="0">
      <w:start w:val="1"/>
      <w:numFmt w:val="decimal"/>
      <w:lvlText w:val="%1.%2.%3.%4.%5.%6.%7.%8."/>
      <w:lvlJc w:val="left"/>
      <w:pPr>
        <w:ind w:left="1418" w:hanging="1418"/>
      </w:pPr>
      <w:rPr>
        <w:rFonts w:hint="eastAsia"/>
      </w:rPr>
    </w:lvl>
    <w:lvl w:ilvl="8" w:tentative="0">
      <w:start w:val="1"/>
      <w:numFmt w:val="decimal"/>
      <w:lvlText w:val="%1.%2.%3.%4.%5.%6.%7.%8.%9."/>
      <w:lvlJc w:val="left"/>
      <w:pPr>
        <w:ind w:left="1559" w:hanging="1559"/>
      </w:pPr>
      <w:rPr>
        <w:rFonts w:hint="eastAsia"/>
      </w:rPr>
    </w:lvl>
  </w:abstractNum>
  <w:abstractNum w:abstractNumId="18">
    <w:nsid w:val="6CEA2025"/>
    <w:multiLevelType w:val="multilevel"/>
    <w:tmpl w:val="6CEA2025"/>
    <w:lvl w:ilvl="0" w:tentative="0">
      <w:start w:val="1"/>
      <w:numFmt w:val="none"/>
      <w:pStyle w:val="24"/>
      <w:suff w:val="nothing"/>
      <w:lvlText w:val="%1"/>
      <w:lvlJc w:val="left"/>
      <w:pPr>
        <w:ind w:left="0" w:firstLine="0"/>
      </w:pPr>
      <w:rPr>
        <w:rFonts w:hint="default" w:ascii="Times New Roman" w:hAnsi="Times New Roman"/>
        <w:b/>
        <w:i w:val="0"/>
        <w:sz w:val="21"/>
      </w:rPr>
    </w:lvl>
    <w:lvl w:ilvl="1" w:tentative="0">
      <w:start w:val="1"/>
      <w:numFmt w:val="decimal"/>
      <w:pStyle w:val="26"/>
      <w:suff w:val="nothing"/>
      <w:lvlText w:val="%1%2　"/>
      <w:lvlJc w:val="left"/>
      <w:pPr>
        <w:ind w:left="0" w:firstLine="0"/>
      </w:pPr>
      <w:rPr>
        <w:rFonts w:hint="eastAsia" w:ascii="黑体" w:hAnsi="Times New Roman" w:eastAsia="黑体"/>
        <w:b w:val="0"/>
        <w:i w:val="0"/>
        <w:sz w:val="21"/>
      </w:rPr>
    </w:lvl>
    <w:lvl w:ilvl="2" w:tentative="0">
      <w:start w:val="1"/>
      <w:numFmt w:val="decimal"/>
      <w:pStyle w:val="27"/>
      <w:suff w:val="nothing"/>
      <w:lvlText w:val="%1%2.%3　"/>
      <w:lvlJc w:val="left"/>
      <w:pPr>
        <w:ind w:left="1155" w:firstLine="0"/>
      </w:pPr>
      <w:rPr>
        <w:rFonts w:hint="eastAsia" w:ascii="黑体" w:hAnsi="Times New Roman" w:eastAsia="黑体"/>
        <w:b w:val="0"/>
        <w:i w:val="0"/>
        <w:sz w:val="21"/>
      </w:rPr>
    </w:lvl>
    <w:lvl w:ilvl="3" w:tentative="0">
      <w:start w:val="1"/>
      <w:numFmt w:val="decimal"/>
      <w:pStyle w:val="28"/>
      <w:suff w:val="nothing"/>
      <w:lvlText w:val="%1%2.%3.%4　"/>
      <w:lvlJc w:val="left"/>
      <w:pPr>
        <w:ind w:left="0" w:firstLine="0"/>
      </w:pPr>
      <w:rPr>
        <w:rFonts w:hint="eastAsia" w:ascii="黑体" w:hAnsi="Times New Roman" w:eastAsia="黑体"/>
        <w:b w:val="0"/>
        <w:i w:val="0"/>
        <w:sz w:val="21"/>
      </w:rPr>
    </w:lvl>
    <w:lvl w:ilvl="4" w:tentative="0">
      <w:start w:val="1"/>
      <w:numFmt w:val="decimal"/>
      <w:pStyle w:val="29"/>
      <w:suff w:val="nothing"/>
      <w:lvlText w:val="%1%2.%3.%4.%5　"/>
      <w:lvlJc w:val="left"/>
      <w:pPr>
        <w:ind w:left="0" w:firstLine="0"/>
      </w:pPr>
      <w:rPr>
        <w:rFonts w:hint="eastAsia" w:ascii="黑体" w:hAnsi="Times New Roman" w:eastAsia="黑体"/>
        <w:b w:val="0"/>
        <w:i w:val="0"/>
        <w:sz w:val="21"/>
      </w:rPr>
    </w:lvl>
    <w:lvl w:ilvl="5" w:tentative="0">
      <w:start w:val="1"/>
      <w:numFmt w:val="decimal"/>
      <w:pStyle w:val="30"/>
      <w:suff w:val="nothing"/>
      <w:lvlText w:val="%1%2.%3.%4.%5.%6　"/>
      <w:lvlJc w:val="left"/>
      <w:pPr>
        <w:ind w:left="0" w:firstLine="0"/>
      </w:pPr>
      <w:rPr>
        <w:rFonts w:hint="eastAsia" w:ascii="黑体" w:hAnsi="Times New Roman" w:eastAsia="黑体"/>
        <w:b w:val="0"/>
        <w:i w:val="0"/>
        <w:sz w:val="21"/>
      </w:rPr>
    </w:lvl>
    <w:lvl w:ilvl="6" w:tentative="0">
      <w:start w:val="1"/>
      <w:numFmt w:val="decimal"/>
      <w:pStyle w:val="31"/>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19">
    <w:nsid w:val="71923F63"/>
    <w:multiLevelType w:val="multilevel"/>
    <w:tmpl w:val="71923F63"/>
    <w:lvl w:ilvl="0" w:tentative="0">
      <w:start w:val="1"/>
      <w:numFmt w:val="decimal"/>
      <w:lvlText w:val="%1."/>
      <w:lvlJc w:val="left"/>
      <w:pPr>
        <w:ind w:left="425" w:hanging="425"/>
      </w:pPr>
      <w:rPr>
        <w:rFonts w:hint="eastAsia"/>
      </w:rPr>
    </w:lvl>
    <w:lvl w:ilvl="1" w:tentative="0">
      <w:start w:val="1"/>
      <w:numFmt w:val="decimal"/>
      <w:suff w:val="space"/>
      <w:lvlText w:val="5.%2"/>
      <w:lvlJc w:val="left"/>
      <w:pPr>
        <w:ind w:left="862" w:hanging="862"/>
      </w:pPr>
      <w:rPr>
        <w:rFonts w:hint="eastAsia"/>
      </w:rPr>
    </w:lvl>
    <w:lvl w:ilvl="2" w:tentative="0">
      <w:start w:val="1"/>
      <w:numFmt w:val="decimal"/>
      <w:suff w:val="space"/>
      <w:lvlText w:val="5.4.%3"/>
      <w:lvlJc w:val="left"/>
      <w:pPr>
        <w:ind w:left="862" w:hanging="862"/>
      </w:pPr>
      <w:rPr>
        <w:rFonts w:hint="eastAsia" w:ascii="黑体" w:hAnsi="黑体" w:eastAsia="黑体"/>
      </w:rPr>
    </w:lvl>
    <w:lvl w:ilvl="3" w:tentative="0">
      <w:start w:val="1"/>
      <w:numFmt w:val="decimal"/>
      <w:suff w:val="space"/>
      <w:lvlText w:val="5.2.2.%4"/>
      <w:lvlJc w:val="left"/>
      <w:pPr>
        <w:ind w:left="0" w:firstLine="0"/>
      </w:pPr>
      <w:rPr>
        <w:rFonts w:hint="eastAsia"/>
      </w:rPr>
    </w:lvl>
    <w:lvl w:ilvl="4" w:tentative="0">
      <w:start w:val="1"/>
      <w:numFmt w:val="decimal"/>
      <w:lvlText w:val="%1.%2.%3.%4.%5."/>
      <w:lvlJc w:val="left"/>
      <w:pPr>
        <w:ind w:left="992" w:hanging="992"/>
      </w:pPr>
      <w:rPr>
        <w:rFonts w:hint="eastAsia"/>
      </w:rPr>
    </w:lvl>
    <w:lvl w:ilvl="5" w:tentative="0">
      <w:start w:val="1"/>
      <w:numFmt w:val="decimal"/>
      <w:lvlText w:val="%1.%2.%3.%4.%5.%6."/>
      <w:lvlJc w:val="left"/>
      <w:pPr>
        <w:ind w:left="1134" w:hanging="1134"/>
      </w:pPr>
      <w:rPr>
        <w:rFonts w:hint="eastAsia"/>
      </w:rPr>
    </w:lvl>
    <w:lvl w:ilvl="6" w:tentative="0">
      <w:start w:val="1"/>
      <w:numFmt w:val="decimal"/>
      <w:lvlText w:val="%1.%2.%3.%4.%5.%6.%7."/>
      <w:lvlJc w:val="left"/>
      <w:pPr>
        <w:ind w:left="1276" w:hanging="1276"/>
      </w:pPr>
      <w:rPr>
        <w:rFonts w:hint="eastAsia"/>
      </w:rPr>
    </w:lvl>
    <w:lvl w:ilvl="7" w:tentative="0">
      <w:start w:val="1"/>
      <w:numFmt w:val="decimal"/>
      <w:lvlText w:val="%1.%2.%3.%4.%5.%6.%7.%8."/>
      <w:lvlJc w:val="left"/>
      <w:pPr>
        <w:ind w:left="1418" w:hanging="1418"/>
      </w:pPr>
      <w:rPr>
        <w:rFonts w:hint="eastAsia"/>
      </w:rPr>
    </w:lvl>
    <w:lvl w:ilvl="8" w:tentative="0">
      <w:start w:val="1"/>
      <w:numFmt w:val="decimal"/>
      <w:lvlText w:val="%1.%2.%3.%4.%5.%6.%7.%8.%9."/>
      <w:lvlJc w:val="left"/>
      <w:pPr>
        <w:ind w:left="1559" w:hanging="1559"/>
      </w:pPr>
      <w:rPr>
        <w:rFonts w:hint="eastAsia"/>
      </w:rPr>
    </w:lvl>
  </w:abstractNum>
  <w:abstractNum w:abstractNumId="20">
    <w:nsid w:val="730D037D"/>
    <w:multiLevelType w:val="multilevel"/>
    <w:tmpl w:val="730D037D"/>
    <w:lvl w:ilvl="0" w:tentative="0">
      <w:start w:val="1"/>
      <w:numFmt w:val="decimal"/>
      <w:lvlText w:val="%1."/>
      <w:lvlJc w:val="left"/>
      <w:pPr>
        <w:ind w:left="425" w:hanging="425"/>
      </w:pPr>
      <w:rPr>
        <w:rFonts w:hint="eastAsia"/>
      </w:rPr>
    </w:lvl>
    <w:lvl w:ilvl="1" w:tentative="0">
      <w:start w:val="1"/>
      <w:numFmt w:val="decimal"/>
      <w:suff w:val="space"/>
      <w:lvlText w:val="6.%2"/>
      <w:lvlJc w:val="left"/>
      <w:pPr>
        <w:ind w:left="862" w:hanging="862"/>
      </w:pPr>
      <w:rPr>
        <w:rFonts w:hint="eastAsia" w:ascii="黑体" w:hAnsi="黑体" w:eastAsia="黑体"/>
      </w:rPr>
    </w:lvl>
    <w:lvl w:ilvl="2" w:tentative="0">
      <w:start w:val="1"/>
      <w:numFmt w:val="decimal"/>
      <w:suff w:val="space"/>
      <w:lvlText w:val="5.11.%3"/>
      <w:lvlJc w:val="left"/>
      <w:pPr>
        <w:ind w:left="0" w:firstLine="0"/>
      </w:pPr>
      <w:rPr>
        <w:rFonts w:hint="eastAsia"/>
      </w:rPr>
    </w:lvl>
    <w:lvl w:ilvl="3" w:tentative="0">
      <w:start w:val="1"/>
      <w:numFmt w:val="decimal"/>
      <w:suff w:val="space"/>
      <w:lvlText w:val="5.5.3.%4"/>
      <w:lvlJc w:val="left"/>
      <w:pPr>
        <w:ind w:left="0" w:firstLine="0"/>
      </w:pPr>
      <w:rPr>
        <w:rFonts w:hint="eastAsia"/>
      </w:rPr>
    </w:lvl>
    <w:lvl w:ilvl="4" w:tentative="0">
      <w:start w:val="1"/>
      <w:numFmt w:val="decimal"/>
      <w:lvlText w:val="%1.%2.%3.%4.%5."/>
      <w:lvlJc w:val="left"/>
      <w:pPr>
        <w:ind w:left="992" w:hanging="992"/>
      </w:pPr>
      <w:rPr>
        <w:rFonts w:hint="eastAsia"/>
      </w:rPr>
    </w:lvl>
    <w:lvl w:ilvl="5" w:tentative="0">
      <w:start w:val="1"/>
      <w:numFmt w:val="decimal"/>
      <w:lvlText w:val="%1.%2.%3.%4.%5.%6."/>
      <w:lvlJc w:val="left"/>
      <w:pPr>
        <w:ind w:left="1134" w:hanging="1134"/>
      </w:pPr>
      <w:rPr>
        <w:rFonts w:hint="eastAsia"/>
      </w:rPr>
    </w:lvl>
    <w:lvl w:ilvl="6" w:tentative="0">
      <w:start w:val="1"/>
      <w:numFmt w:val="decimal"/>
      <w:lvlText w:val="%1.%2.%3.%4.%5.%6.%7."/>
      <w:lvlJc w:val="left"/>
      <w:pPr>
        <w:ind w:left="1276" w:hanging="1276"/>
      </w:pPr>
      <w:rPr>
        <w:rFonts w:hint="eastAsia"/>
      </w:rPr>
    </w:lvl>
    <w:lvl w:ilvl="7" w:tentative="0">
      <w:start w:val="1"/>
      <w:numFmt w:val="decimal"/>
      <w:lvlText w:val="%1.%2.%3.%4.%5.%6.%7.%8."/>
      <w:lvlJc w:val="left"/>
      <w:pPr>
        <w:ind w:left="1418" w:hanging="1418"/>
      </w:pPr>
      <w:rPr>
        <w:rFonts w:hint="eastAsia"/>
      </w:rPr>
    </w:lvl>
    <w:lvl w:ilvl="8" w:tentative="0">
      <w:start w:val="1"/>
      <w:numFmt w:val="decimal"/>
      <w:lvlText w:val="%1.%2.%3.%4.%5.%6.%7.%8.%9."/>
      <w:lvlJc w:val="left"/>
      <w:pPr>
        <w:ind w:left="1559" w:hanging="1559"/>
      </w:pPr>
      <w:rPr>
        <w:rFonts w:hint="eastAsia"/>
      </w:rPr>
    </w:lvl>
  </w:abstractNum>
  <w:abstractNum w:abstractNumId="21">
    <w:nsid w:val="763942BA"/>
    <w:multiLevelType w:val="multilevel"/>
    <w:tmpl w:val="763942BA"/>
    <w:lvl w:ilvl="0" w:tentative="0">
      <w:start w:val="1"/>
      <w:numFmt w:val="lowerLetter"/>
      <w:suff w:val="space"/>
      <w:lvlText w:val="%1)"/>
      <w:lvlJc w:val="left"/>
      <w:pPr>
        <w:ind w:left="860" w:hanging="440"/>
      </w:pPr>
      <w:rPr>
        <w:rFonts w:hint="eastAsia" w:ascii="黑体" w:hAnsi="黑体" w:eastAsia="黑体"/>
      </w:rPr>
    </w:lvl>
    <w:lvl w:ilvl="1" w:tentative="0">
      <w:start w:val="1"/>
      <w:numFmt w:val="lowerLetter"/>
      <w:lvlText w:val="%2)"/>
      <w:lvlJc w:val="left"/>
      <w:pPr>
        <w:ind w:left="1300" w:hanging="440"/>
      </w:pPr>
    </w:lvl>
    <w:lvl w:ilvl="2" w:tentative="0">
      <w:start w:val="1"/>
      <w:numFmt w:val="lowerRoman"/>
      <w:lvlText w:val="%3."/>
      <w:lvlJc w:val="right"/>
      <w:pPr>
        <w:ind w:left="1740" w:hanging="440"/>
      </w:pPr>
    </w:lvl>
    <w:lvl w:ilvl="3" w:tentative="0">
      <w:start w:val="1"/>
      <w:numFmt w:val="decimal"/>
      <w:lvlText w:val="%4."/>
      <w:lvlJc w:val="left"/>
      <w:pPr>
        <w:ind w:left="2180" w:hanging="440"/>
      </w:pPr>
    </w:lvl>
    <w:lvl w:ilvl="4" w:tentative="0">
      <w:start w:val="1"/>
      <w:numFmt w:val="lowerLetter"/>
      <w:lvlText w:val="%5)"/>
      <w:lvlJc w:val="left"/>
      <w:pPr>
        <w:ind w:left="2620" w:hanging="440"/>
      </w:pPr>
    </w:lvl>
    <w:lvl w:ilvl="5" w:tentative="0">
      <w:start w:val="1"/>
      <w:numFmt w:val="lowerRoman"/>
      <w:lvlText w:val="%6."/>
      <w:lvlJc w:val="right"/>
      <w:pPr>
        <w:ind w:left="3060" w:hanging="440"/>
      </w:pPr>
    </w:lvl>
    <w:lvl w:ilvl="6" w:tentative="0">
      <w:start w:val="1"/>
      <w:numFmt w:val="decimal"/>
      <w:lvlText w:val="%7."/>
      <w:lvlJc w:val="left"/>
      <w:pPr>
        <w:ind w:left="3500" w:hanging="440"/>
      </w:pPr>
    </w:lvl>
    <w:lvl w:ilvl="7" w:tentative="0">
      <w:start w:val="1"/>
      <w:numFmt w:val="lowerLetter"/>
      <w:lvlText w:val="%8)"/>
      <w:lvlJc w:val="left"/>
      <w:pPr>
        <w:ind w:left="3940" w:hanging="440"/>
      </w:pPr>
    </w:lvl>
    <w:lvl w:ilvl="8" w:tentative="0">
      <w:start w:val="1"/>
      <w:numFmt w:val="lowerRoman"/>
      <w:lvlText w:val="%9."/>
      <w:lvlJc w:val="right"/>
      <w:pPr>
        <w:ind w:left="4380" w:hanging="440"/>
      </w:pPr>
    </w:lvl>
  </w:abstractNum>
  <w:abstractNum w:abstractNumId="22">
    <w:nsid w:val="7E322775"/>
    <w:multiLevelType w:val="multilevel"/>
    <w:tmpl w:val="7E322775"/>
    <w:lvl w:ilvl="0" w:tentative="0">
      <w:start w:val="1"/>
      <w:numFmt w:val="decimal"/>
      <w:lvlText w:val="%1."/>
      <w:lvlJc w:val="left"/>
      <w:pPr>
        <w:ind w:left="425" w:hanging="425"/>
      </w:pPr>
      <w:rPr>
        <w:rFonts w:hint="eastAsia"/>
      </w:rPr>
    </w:lvl>
    <w:lvl w:ilvl="1" w:tentative="0">
      <w:start w:val="1"/>
      <w:numFmt w:val="decimal"/>
      <w:suff w:val="space"/>
      <w:lvlText w:val="5.%2"/>
      <w:lvlJc w:val="left"/>
      <w:pPr>
        <w:ind w:left="862" w:hanging="862"/>
      </w:pPr>
      <w:rPr>
        <w:rFonts w:hint="eastAsia"/>
      </w:rPr>
    </w:lvl>
    <w:lvl w:ilvl="2" w:tentative="0">
      <w:start w:val="1"/>
      <w:numFmt w:val="decimal"/>
      <w:suff w:val="space"/>
      <w:lvlText w:val="5.4.%3"/>
      <w:lvlJc w:val="left"/>
      <w:pPr>
        <w:ind w:left="862" w:hanging="862"/>
      </w:pPr>
      <w:rPr>
        <w:rFonts w:hint="eastAsia"/>
      </w:rPr>
    </w:lvl>
    <w:lvl w:ilvl="3" w:tentative="0">
      <w:start w:val="1"/>
      <w:numFmt w:val="decimal"/>
      <w:suff w:val="space"/>
      <w:lvlText w:val="5.5.4.%4"/>
      <w:lvlJc w:val="left"/>
      <w:pPr>
        <w:ind w:left="0" w:firstLine="0"/>
      </w:pPr>
      <w:rPr>
        <w:rFonts w:hint="default" w:ascii="黑体" w:hAnsi="黑体" w:eastAsia="黑体" w:cs="黑体"/>
      </w:rPr>
    </w:lvl>
    <w:lvl w:ilvl="4" w:tentative="0">
      <w:start w:val="1"/>
      <w:numFmt w:val="decimal"/>
      <w:lvlText w:val="%1.%2.%3.%4.%5."/>
      <w:lvlJc w:val="left"/>
      <w:pPr>
        <w:ind w:left="992" w:hanging="992"/>
      </w:pPr>
      <w:rPr>
        <w:rFonts w:hint="eastAsia"/>
      </w:rPr>
    </w:lvl>
    <w:lvl w:ilvl="5" w:tentative="0">
      <w:start w:val="1"/>
      <w:numFmt w:val="decimal"/>
      <w:lvlText w:val="%1.%2.%3.%4.%5.%6."/>
      <w:lvlJc w:val="left"/>
      <w:pPr>
        <w:ind w:left="1134" w:hanging="1134"/>
      </w:pPr>
      <w:rPr>
        <w:rFonts w:hint="eastAsia"/>
      </w:rPr>
    </w:lvl>
    <w:lvl w:ilvl="6" w:tentative="0">
      <w:start w:val="1"/>
      <w:numFmt w:val="decimal"/>
      <w:lvlText w:val="%1.%2.%3.%4.%5.%6.%7."/>
      <w:lvlJc w:val="left"/>
      <w:pPr>
        <w:ind w:left="1276" w:hanging="1276"/>
      </w:pPr>
      <w:rPr>
        <w:rFonts w:hint="eastAsia"/>
      </w:rPr>
    </w:lvl>
    <w:lvl w:ilvl="7" w:tentative="0">
      <w:start w:val="1"/>
      <w:numFmt w:val="decimal"/>
      <w:lvlText w:val="%1.%2.%3.%4.%5.%6.%7.%8."/>
      <w:lvlJc w:val="left"/>
      <w:pPr>
        <w:ind w:left="1418" w:hanging="1418"/>
      </w:pPr>
      <w:rPr>
        <w:rFonts w:hint="eastAsia"/>
      </w:rPr>
    </w:lvl>
    <w:lvl w:ilvl="8" w:tentative="0">
      <w:start w:val="1"/>
      <w:numFmt w:val="decimal"/>
      <w:lvlText w:val="%1.%2.%3.%4.%5.%6.%7.%8.%9."/>
      <w:lvlJc w:val="left"/>
      <w:pPr>
        <w:ind w:left="1559" w:hanging="1559"/>
      </w:pPr>
      <w:rPr>
        <w:rFonts w:hint="eastAsia"/>
      </w:rPr>
    </w:lvl>
  </w:abstractNum>
  <w:num w:numId="1">
    <w:abstractNumId w:val="18"/>
  </w:num>
  <w:num w:numId="2">
    <w:abstractNumId w:val="4"/>
  </w:num>
  <w:num w:numId="3">
    <w:abstractNumId w:val="10"/>
  </w:num>
  <w:num w:numId="4">
    <w:abstractNumId w:val="9"/>
  </w:num>
  <w:num w:numId="5">
    <w:abstractNumId w:val="17"/>
  </w:num>
  <w:num w:numId="6">
    <w:abstractNumId w:val="12"/>
  </w:num>
  <w:num w:numId="7">
    <w:abstractNumId w:val="8"/>
  </w:num>
  <w:num w:numId="8">
    <w:abstractNumId w:val="13"/>
  </w:num>
  <w:num w:numId="9">
    <w:abstractNumId w:val="19"/>
  </w:num>
  <w:num w:numId="10">
    <w:abstractNumId w:val="15"/>
  </w:num>
  <w:num w:numId="11">
    <w:abstractNumId w:val="11"/>
  </w:num>
  <w:num w:numId="12">
    <w:abstractNumId w:val="22"/>
  </w:num>
  <w:num w:numId="13">
    <w:abstractNumId w:val="2"/>
  </w:num>
  <w:num w:numId="14">
    <w:abstractNumId w:val="20"/>
  </w:num>
  <w:num w:numId="15">
    <w:abstractNumId w:val="3"/>
  </w:num>
  <w:num w:numId="16">
    <w:abstractNumId w:val="5"/>
  </w:num>
  <w:num w:numId="17">
    <w:abstractNumId w:val="14"/>
  </w:num>
  <w:num w:numId="18">
    <w:abstractNumId w:val="6"/>
  </w:num>
  <w:num w:numId="19">
    <w:abstractNumId w:val="0"/>
  </w:num>
  <w:num w:numId="20">
    <w:abstractNumId w:val="7"/>
  </w:num>
  <w:num w:numId="21">
    <w:abstractNumId w:val="16"/>
  </w:num>
  <w:num w:numId="22">
    <w:abstractNumId w:val="21"/>
  </w:num>
  <w:num w:numId="2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val="bestFit" w:percent="151"/>
  <w:doNotDisplayPageBoundaries w:val="1"/>
  <w:embedSystem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jk0YzA1ZmFhNjBmMzJhYWI2MDM2NWY5MzNjZmVmZjUifQ=="/>
  </w:docVars>
  <w:rsids>
    <w:rsidRoot w:val="00B348A5"/>
    <w:rsid w:val="00000CEF"/>
    <w:rsid w:val="00001F99"/>
    <w:rsid w:val="00002025"/>
    <w:rsid w:val="00002097"/>
    <w:rsid w:val="000035A8"/>
    <w:rsid w:val="000068A6"/>
    <w:rsid w:val="000076F5"/>
    <w:rsid w:val="00012044"/>
    <w:rsid w:val="00013B53"/>
    <w:rsid w:val="00013C6A"/>
    <w:rsid w:val="00021D0C"/>
    <w:rsid w:val="00023448"/>
    <w:rsid w:val="00033C8B"/>
    <w:rsid w:val="0003435E"/>
    <w:rsid w:val="000352AB"/>
    <w:rsid w:val="00035E66"/>
    <w:rsid w:val="00040F24"/>
    <w:rsid w:val="000416B7"/>
    <w:rsid w:val="00042A26"/>
    <w:rsid w:val="0004352E"/>
    <w:rsid w:val="000451C5"/>
    <w:rsid w:val="00045C74"/>
    <w:rsid w:val="00050455"/>
    <w:rsid w:val="00052AF9"/>
    <w:rsid w:val="00053BEB"/>
    <w:rsid w:val="000556B6"/>
    <w:rsid w:val="00057ECD"/>
    <w:rsid w:val="00060646"/>
    <w:rsid w:val="00062FD4"/>
    <w:rsid w:val="000633CA"/>
    <w:rsid w:val="00063583"/>
    <w:rsid w:val="00064F89"/>
    <w:rsid w:val="00066951"/>
    <w:rsid w:val="0006727E"/>
    <w:rsid w:val="000706FA"/>
    <w:rsid w:val="000715C9"/>
    <w:rsid w:val="0007264C"/>
    <w:rsid w:val="00072A33"/>
    <w:rsid w:val="000737D6"/>
    <w:rsid w:val="00073B05"/>
    <w:rsid w:val="00074284"/>
    <w:rsid w:val="00080E63"/>
    <w:rsid w:val="0008213E"/>
    <w:rsid w:val="0008248F"/>
    <w:rsid w:val="00083A45"/>
    <w:rsid w:val="00084580"/>
    <w:rsid w:val="0008721F"/>
    <w:rsid w:val="00090F84"/>
    <w:rsid w:val="00091EDC"/>
    <w:rsid w:val="000928CC"/>
    <w:rsid w:val="00094B8B"/>
    <w:rsid w:val="0009783D"/>
    <w:rsid w:val="000A005B"/>
    <w:rsid w:val="000A3C61"/>
    <w:rsid w:val="000A4E12"/>
    <w:rsid w:val="000B1DC0"/>
    <w:rsid w:val="000B60F1"/>
    <w:rsid w:val="000B67DE"/>
    <w:rsid w:val="000B7E06"/>
    <w:rsid w:val="000C0F57"/>
    <w:rsid w:val="000C3901"/>
    <w:rsid w:val="000C55BF"/>
    <w:rsid w:val="000D0F1A"/>
    <w:rsid w:val="000D13D4"/>
    <w:rsid w:val="000D25FB"/>
    <w:rsid w:val="000D79C2"/>
    <w:rsid w:val="000E1D02"/>
    <w:rsid w:val="000E21DB"/>
    <w:rsid w:val="000E35D6"/>
    <w:rsid w:val="000E7CAC"/>
    <w:rsid w:val="000F3BB8"/>
    <w:rsid w:val="000F5001"/>
    <w:rsid w:val="00100884"/>
    <w:rsid w:val="00101E0F"/>
    <w:rsid w:val="00103E25"/>
    <w:rsid w:val="0010490D"/>
    <w:rsid w:val="00106AE4"/>
    <w:rsid w:val="00106BD2"/>
    <w:rsid w:val="00106E85"/>
    <w:rsid w:val="00106EC6"/>
    <w:rsid w:val="0010794D"/>
    <w:rsid w:val="001138AF"/>
    <w:rsid w:val="0011570D"/>
    <w:rsid w:val="00115C63"/>
    <w:rsid w:val="00116F3D"/>
    <w:rsid w:val="0012128D"/>
    <w:rsid w:val="0012188B"/>
    <w:rsid w:val="00133C69"/>
    <w:rsid w:val="00133F76"/>
    <w:rsid w:val="00136D35"/>
    <w:rsid w:val="001414E8"/>
    <w:rsid w:val="00142F4B"/>
    <w:rsid w:val="00146045"/>
    <w:rsid w:val="0014707A"/>
    <w:rsid w:val="00147D68"/>
    <w:rsid w:val="00147FF2"/>
    <w:rsid w:val="00151A25"/>
    <w:rsid w:val="00151D38"/>
    <w:rsid w:val="00153144"/>
    <w:rsid w:val="00154123"/>
    <w:rsid w:val="00160071"/>
    <w:rsid w:val="00160CC5"/>
    <w:rsid w:val="0017384E"/>
    <w:rsid w:val="00173FA2"/>
    <w:rsid w:val="0018069A"/>
    <w:rsid w:val="001838B9"/>
    <w:rsid w:val="00190245"/>
    <w:rsid w:val="0019112D"/>
    <w:rsid w:val="00191B24"/>
    <w:rsid w:val="00191E41"/>
    <w:rsid w:val="001966AF"/>
    <w:rsid w:val="00197F91"/>
    <w:rsid w:val="001A2347"/>
    <w:rsid w:val="001A7ECC"/>
    <w:rsid w:val="001B1D10"/>
    <w:rsid w:val="001B3CF4"/>
    <w:rsid w:val="001B4048"/>
    <w:rsid w:val="001B4A57"/>
    <w:rsid w:val="001C138E"/>
    <w:rsid w:val="001C70EE"/>
    <w:rsid w:val="001D002F"/>
    <w:rsid w:val="001D5A06"/>
    <w:rsid w:val="001D5D1E"/>
    <w:rsid w:val="001D6964"/>
    <w:rsid w:val="001D7670"/>
    <w:rsid w:val="001E2837"/>
    <w:rsid w:val="001E5BC8"/>
    <w:rsid w:val="001E69BB"/>
    <w:rsid w:val="001E740C"/>
    <w:rsid w:val="001E7B08"/>
    <w:rsid w:val="001F14EF"/>
    <w:rsid w:val="001F3662"/>
    <w:rsid w:val="001F3FE0"/>
    <w:rsid w:val="001F5F80"/>
    <w:rsid w:val="001F712C"/>
    <w:rsid w:val="002006EE"/>
    <w:rsid w:val="00200C47"/>
    <w:rsid w:val="0020280D"/>
    <w:rsid w:val="00204711"/>
    <w:rsid w:val="00210772"/>
    <w:rsid w:val="0021234B"/>
    <w:rsid w:val="00213CED"/>
    <w:rsid w:val="00214F5C"/>
    <w:rsid w:val="002169C6"/>
    <w:rsid w:val="00217A66"/>
    <w:rsid w:val="00220278"/>
    <w:rsid w:val="002244E9"/>
    <w:rsid w:val="00225717"/>
    <w:rsid w:val="00227521"/>
    <w:rsid w:val="00227B7D"/>
    <w:rsid w:val="00230AB9"/>
    <w:rsid w:val="0023253F"/>
    <w:rsid w:val="002325E6"/>
    <w:rsid w:val="00234CEA"/>
    <w:rsid w:val="00236F1D"/>
    <w:rsid w:val="002408D9"/>
    <w:rsid w:val="00240D32"/>
    <w:rsid w:val="00241D82"/>
    <w:rsid w:val="00242649"/>
    <w:rsid w:val="00247983"/>
    <w:rsid w:val="0025287E"/>
    <w:rsid w:val="0025430A"/>
    <w:rsid w:val="00254318"/>
    <w:rsid w:val="002548D1"/>
    <w:rsid w:val="00255C6C"/>
    <w:rsid w:val="002561E9"/>
    <w:rsid w:val="00256D10"/>
    <w:rsid w:val="00260B9F"/>
    <w:rsid w:val="00261318"/>
    <w:rsid w:val="0026131D"/>
    <w:rsid w:val="00261522"/>
    <w:rsid w:val="002615F7"/>
    <w:rsid w:val="00261BC9"/>
    <w:rsid w:val="00263070"/>
    <w:rsid w:val="00265CB8"/>
    <w:rsid w:val="00266678"/>
    <w:rsid w:val="00266D07"/>
    <w:rsid w:val="00267927"/>
    <w:rsid w:val="00273C46"/>
    <w:rsid w:val="00274D60"/>
    <w:rsid w:val="002755CB"/>
    <w:rsid w:val="00276500"/>
    <w:rsid w:val="0027706B"/>
    <w:rsid w:val="002775E6"/>
    <w:rsid w:val="00283F17"/>
    <w:rsid w:val="00284C76"/>
    <w:rsid w:val="002902B8"/>
    <w:rsid w:val="00292638"/>
    <w:rsid w:val="002945B4"/>
    <w:rsid w:val="00295F8D"/>
    <w:rsid w:val="0029753B"/>
    <w:rsid w:val="0029777A"/>
    <w:rsid w:val="002A1758"/>
    <w:rsid w:val="002A182C"/>
    <w:rsid w:val="002A2ACB"/>
    <w:rsid w:val="002A3D45"/>
    <w:rsid w:val="002A4BCA"/>
    <w:rsid w:val="002A63E0"/>
    <w:rsid w:val="002A6D8D"/>
    <w:rsid w:val="002B002A"/>
    <w:rsid w:val="002B02F4"/>
    <w:rsid w:val="002B11BA"/>
    <w:rsid w:val="002B17AF"/>
    <w:rsid w:val="002B2FC9"/>
    <w:rsid w:val="002B4249"/>
    <w:rsid w:val="002B6BC6"/>
    <w:rsid w:val="002C195C"/>
    <w:rsid w:val="002C2B82"/>
    <w:rsid w:val="002C41FF"/>
    <w:rsid w:val="002C4C84"/>
    <w:rsid w:val="002C4E70"/>
    <w:rsid w:val="002C63A8"/>
    <w:rsid w:val="002D06CF"/>
    <w:rsid w:val="002D2D9C"/>
    <w:rsid w:val="002D35A0"/>
    <w:rsid w:val="002D5369"/>
    <w:rsid w:val="002D5C52"/>
    <w:rsid w:val="002D7658"/>
    <w:rsid w:val="002D7DB6"/>
    <w:rsid w:val="002D7E4E"/>
    <w:rsid w:val="002E0C00"/>
    <w:rsid w:val="002E1831"/>
    <w:rsid w:val="002E4DD8"/>
    <w:rsid w:val="002E5784"/>
    <w:rsid w:val="002E70A5"/>
    <w:rsid w:val="002E78EB"/>
    <w:rsid w:val="002F0461"/>
    <w:rsid w:val="002F3298"/>
    <w:rsid w:val="002F35F9"/>
    <w:rsid w:val="002F5336"/>
    <w:rsid w:val="002F626B"/>
    <w:rsid w:val="002F715C"/>
    <w:rsid w:val="002F71F9"/>
    <w:rsid w:val="00303B23"/>
    <w:rsid w:val="00305BA1"/>
    <w:rsid w:val="00306532"/>
    <w:rsid w:val="0031155A"/>
    <w:rsid w:val="00312ABC"/>
    <w:rsid w:val="00317199"/>
    <w:rsid w:val="00320F80"/>
    <w:rsid w:val="00322AB9"/>
    <w:rsid w:val="00323665"/>
    <w:rsid w:val="00325618"/>
    <w:rsid w:val="00325AD3"/>
    <w:rsid w:val="00327015"/>
    <w:rsid w:val="00327C82"/>
    <w:rsid w:val="0033316F"/>
    <w:rsid w:val="003337B0"/>
    <w:rsid w:val="0033621E"/>
    <w:rsid w:val="00342882"/>
    <w:rsid w:val="0034326A"/>
    <w:rsid w:val="00350E1E"/>
    <w:rsid w:val="00351703"/>
    <w:rsid w:val="00353A62"/>
    <w:rsid w:val="00355150"/>
    <w:rsid w:val="0035582E"/>
    <w:rsid w:val="00357C1F"/>
    <w:rsid w:val="003615D7"/>
    <w:rsid w:val="00372D9C"/>
    <w:rsid w:val="00377EFE"/>
    <w:rsid w:val="00380014"/>
    <w:rsid w:val="003812B2"/>
    <w:rsid w:val="0038339F"/>
    <w:rsid w:val="00384CC9"/>
    <w:rsid w:val="00387045"/>
    <w:rsid w:val="00387E02"/>
    <w:rsid w:val="0039104A"/>
    <w:rsid w:val="003940B7"/>
    <w:rsid w:val="0039763A"/>
    <w:rsid w:val="003A1924"/>
    <w:rsid w:val="003A3EF2"/>
    <w:rsid w:val="003A43C6"/>
    <w:rsid w:val="003A6771"/>
    <w:rsid w:val="003A7679"/>
    <w:rsid w:val="003A79AA"/>
    <w:rsid w:val="003B192F"/>
    <w:rsid w:val="003B3023"/>
    <w:rsid w:val="003B34B4"/>
    <w:rsid w:val="003B3F66"/>
    <w:rsid w:val="003B5B9D"/>
    <w:rsid w:val="003C24D1"/>
    <w:rsid w:val="003C7B55"/>
    <w:rsid w:val="003D12D5"/>
    <w:rsid w:val="003D1828"/>
    <w:rsid w:val="003D1C23"/>
    <w:rsid w:val="003D1C80"/>
    <w:rsid w:val="003D34AD"/>
    <w:rsid w:val="003D75AD"/>
    <w:rsid w:val="003D79B2"/>
    <w:rsid w:val="003E0312"/>
    <w:rsid w:val="003E0653"/>
    <w:rsid w:val="003E0ACD"/>
    <w:rsid w:val="003E1553"/>
    <w:rsid w:val="003E323E"/>
    <w:rsid w:val="003E466B"/>
    <w:rsid w:val="003E5C0C"/>
    <w:rsid w:val="003E5F1A"/>
    <w:rsid w:val="003E5FE5"/>
    <w:rsid w:val="003E64E6"/>
    <w:rsid w:val="003F0156"/>
    <w:rsid w:val="003F0E16"/>
    <w:rsid w:val="003F0EFC"/>
    <w:rsid w:val="003F1AE9"/>
    <w:rsid w:val="003F2EE9"/>
    <w:rsid w:val="003F4111"/>
    <w:rsid w:val="003F5119"/>
    <w:rsid w:val="003F7D94"/>
    <w:rsid w:val="00400274"/>
    <w:rsid w:val="00401604"/>
    <w:rsid w:val="0040272D"/>
    <w:rsid w:val="00402C08"/>
    <w:rsid w:val="00407634"/>
    <w:rsid w:val="0041520C"/>
    <w:rsid w:val="00415C5C"/>
    <w:rsid w:val="00416731"/>
    <w:rsid w:val="00416DFB"/>
    <w:rsid w:val="0041798C"/>
    <w:rsid w:val="00420B11"/>
    <w:rsid w:val="0042663A"/>
    <w:rsid w:val="00426781"/>
    <w:rsid w:val="004269B3"/>
    <w:rsid w:val="00434DD8"/>
    <w:rsid w:val="00435E01"/>
    <w:rsid w:val="0043674F"/>
    <w:rsid w:val="00440906"/>
    <w:rsid w:val="00440CE7"/>
    <w:rsid w:val="00442F82"/>
    <w:rsid w:val="0044321A"/>
    <w:rsid w:val="00446ACD"/>
    <w:rsid w:val="00446B03"/>
    <w:rsid w:val="004541F2"/>
    <w:rsid w:val="004549F2"/>
    <w:rsid w:val="00455775"/>
    <w:rsid w:val="00457E87"/>
    <w:rsid w:val="00460F22"/>
    <w:rsid w:val="0046277F"/>
    <w:rsid w:val="00465634"/>
    <w:rsid w:val="004708E5"/>
    <w:rsid w:val="004715A0"/>
    <w:rsid w:val="00472AD2"/>
    <w:rsid w:val="00473004"/>
    <w:rsid w:val="0047426D"/>
    <w:rsid w:val="00474B17"/>
    <w:rsid w:val="00483583"/>
    <w:rsid w:val="00486ABB"/>
    <w:rsid w:val="00487DC5"/>
    <w:rsid w:val="004918CA"/>
    <w:rsid w:val="00491D31"/>
    <w:rsid w:val="004948C6"/>
    <w:rsid w:val="004A383F"/>
    <w:rsid w:val="004A3A31"/>
    <w:rsid w:val="004A5E6B"/>
    <w:rsid w:val="004B240E"/>
    <w:rsid w:val="004B2C6F"/>
    <w:rsid w:val="004B2CAB"/>
    <w:rsid w:val="004B36A0"/>
    <w:rsid w:val="004B3CC4"/>
    <w:rsid w:val="004B6674"/>
    <w:rsid w:val="004B74E3"/>
    <w:rsid w:val="004B7B33"/>
    <w:rsid w:val="004C12BE"/>
    <w:rsid w:val="004C6701"/>
    <w:rsid w:val="004C71C9"/>
    <w:rsid w:val="004C72FF"/>
    <w:rsid w:val="004C7E0C"/>
    <w:rsid w:val="004D0357"/>
    <w:rsid w:val="004D0536"/>
    <w:rsid w:val="004D114E"/>
    <w:rsid w:val="004D1AE4"/>
    <w:rsid w:val="004D1BC2"/>
    <w:rsid w:val="004D1F9B"/>
    <w:rsid w:val="004D23DF"/>
    <w:rsid w:val="004D2CF2"/>
    <w:rsid w:val="004D3B37"/>
    <w:rsid w:val="004D3F85"/>
    <w:rsid w:val="004D4043"/>
    <w:rsid w:val="004D4467"/>
    <w:rsid w:val="004D54EF"/>
    <w:rsid w:val="004D6ABA"/>
    <w:rsid w:val="004E3774"/>
    <w:rsid w:val="004E37CD"/>
    <w:rsid w:val="004E4161"/>
    <w:rsid w:val="004E48F3"/>
    <w:rsid w:val="004F0FB4"/>
    <w:rsid w:val="004F20D2"/>
    <w:rsid w:val="004F216A"/>
    <w:rsid w:val="004F2EC2"/>
    <w:rsid w:val="004F7EAD"/>
    <w:rsid w:val="005073B3"/>
    <w:rsid w:val="00507943"/>
    <w:rsid w:val="00512989"/>
    <w:rsid w:val="0051572E"/>
    <w:rsid w:val="00515F30"/>
    <w:rsid w:val="00523BC1"/>
    <w:rsid w:val="00525CEA"/>
    <w:rsid w:val="005317DA"/>
    <w:rsid w:val="00531901"/>
    <w:rsid w:val="00531B66"/>
    <w:rsid w:val="00534565"/>
    <w:rsid w:val="00534DF1"/>
    <w:rsid w:val="005362B8"/>
    <w:rsid w:val="00545D7F"/>
    <w:rsid w:val="0055643E"/>
    <w:rsid w:val="00557C59"/>
    <w:rsid w:val="0056048C"/>
    <w:rsid w:val="005608A0"/>
    <w:rsid w:val="00561AF6"/>
    <w:rsid w:val="00564E17"/>
    <w:rsid w:val="00565750"/>
    <w:rsid w:val="00566C82"/>
    <w:rsid w:val="00567A95"/>
    <w:rsid w:val="00570A7A"/>
    <w:rsid w:val="00571A77"/>
    <w:rsid w:val="00571E6B"/>
    <w:rsid w:val="00573CFE"/>
    <w:rsid w:val="00577BF2"/>
    <w:rsid w:val="0058463A"/>
    <w:rsid w:val="00587825"/>
    <w:rsid w:val="00592B48"/>
    <w:rsid w:val="00593783"/>
    <w:rsid w:val="00594B46"/>
    <w:rsid w:val="005970B5"/>
    <w:rsid w:val="005A1DE5"/>
    <w:rsid w:val="005A5154"/>
    <w:rsid w:val="005A5843"/>
    <w:rsid w:val="005A61B3"/>
    <w:rsid w:val="005B1C29"/>
    <w:rsid w:val="005B460D"/>
    <w:rsid w:val="005B61FC"/>
    <w:rsid w:val="005B6708"/>
    <w:rsid w:val="005B730B"/>
    <w:rsid w:val="005B7746"/>
    <w:rsid w:val="005C11B4"/>
    <w:rsid w:val="005C1B2C"/>
    <w:rsid w:val="005D0BB7"/>
    <w:rsid w:val="005D1B7C"/>
    <w:rsid w:val="005D4264"/>
    <w:rsid w:val="005E2461"/>
    <w:rsid w:val="005E3324"/>
    <w:rsid w:val="005E3976"/>
    <w:rsid w:val="005E42A6"/>
    <w:rsid w:val="005E564C"/>
    <w:rsid w:val="005E7D66"/>
    <w:rsid w:val="005F0C70"/>
    <w:rsid w:val="005F176D"/>
    <w:rsid w:val="005F205F"/>
    <w:rsid w:val="005F2345"/>
    <w:rsid w:val="005F2B32"/>
    <w:rsid w:val="005F393F"/>
    <w:rsid w:val="005F394A"/>
    <w:rsid w:val="005F451C"/>
    <w:rsid w:val="005F48B2"/>
    <w:rsid w:val="00600DCD"/>
    <w:rsid w:val="00602161"/>
    <w:rsid w:val="006021F7"/>
    <w:rsid w:val="00602352"/>
    <w:rsid w:val="00610AF4"/>
    <w:rsid w:val="0061264F"/>
    <w:rsid w:val="00613F2C"/>
    <w:rsid w:val="0061587F"/>
    <w:rsid w:val="00616B6A"/>
    <w:rsid w:val="00616C76"/>
    <w:rsid w:val="00616F60"/>
    <w:rsid w:val="0062094F"/>
    <w:rsid w:val="00622E8E"/>
    <w:rsid w:val="00626035"/>
    <w:rsid w:val="0063042D"/>
    <w:rsid w:val="00631C75"/>
    <w:rsid w:val="006322C8"/>
    <w:rsid w:val="00633FC3"/>
    <w:rsid w:val="00634C91"/>
    <w:rsid w:val="00634FFB"/>
    <w:rsid w:val="0063675D"/>
    <w:rsid w:val="00640FDB"/>
    <w:rsid w:val="006422DA"/>
    <w:rsid w:val="006430B7"/>
    <w:rsid w:val="0064422F"/>
    <w:rsid w:val="00646F3B"/>
    <w:rsid w:val="006506AD"/>
    <w:rsid w:val="00651565"/>
    <w:rsid w:val="006528A3"/>
    <w:rsid w:val="00653E22"/>
    <w:rsid w:val="00654015"/>
    <w:rsid w:val="00654E73"/>
    <w:rsid w:val="00655BB6"/>
    <w:rsid w:val="006640E0"/>
    <w:rsid w:val="00665A06"/>
    <w:rsid w:val="006676BC"/>
    <w:rsid w:val="00670381"/>
    <w:rsid w:val="00672A20"/>
    <w:rsid w:val="00673FD4"/>
    <w:rsid w:val="0067692C"/>
    <w:rsid w:val="00677375"/>
    <w:rsid w:val="00680EFA"/>
    <w:rsid w:val="00681FD4"/>
    <w:rsid w:val="00684D0A"/>
    <w:rsid w:val="0069109B"/>
    <w:rsid w:val="00695932"/>
    <w:rsid w:val="00696B36"/>
    <w:rsid w:val="00697FAF"/>
    <w:rsid w:val="006A1372"/>
    <w:rsid w:val="006A24FE"/>
    <w:rsid w:val="006A28E8"/>
    <w:rsid w:val="006A3C86"/>
    <w:rsid w:val="006A56A5"/>
    <w:rsid w:val="006A5CC5"/>
    <w:rsid w:val="006B057A"/>
    <w:rsid w:val="006B06BE"/>
    <w:rsid w:val="006B10B3"/>
    <w:rsid w:val="006B383C"/>
    <w:rsid w:val="006B4844"/>
    <w:rsid w:val="006B520B"/>
    <w:rsid w:val="006C112D"/>
    <w:rsid w:val="006C7038"/>
    <w:rsid w:val="006D02DE"/>
    <w:rsid w:val="006D775F"/>
    <w:rsid w:val="006E0144"/>
    <w:rsid w:val="006E0FCC"/>
    <w:rsid w:val="006E4BB3"/>
    <w:rsid w:val="006F238E"/>
    <w:rsid w:val="006F2D6F"/>
    <w:rsid w:val="006F64EA"/>
    <w:rsid w:val="006F78A8"/>
    <w:rsid w:val="006F7A8F"/>
    <w:rsid w:val="007006E1"/>
    <w:rsid w:val="00704C98"/>
    <w:rsid w:val="00711101"/>
    <w:rsid w:val="00711DA6"/>
    <w:rsid w:val="00723AA2"/>
    <w:rsid w:val="00724FBB"/>
    <w:rsid w:val="00727DAA"/>
    <w:rsid w:val="00730C66"/>
    <w:rsid w:val="00732E1F"/>
    <w:rsid w:val="00734F0E"/>
    <w:rsid w:val="00735906"/>
    <w:rsid w:val="00735D83"/>
    <w:rsid w:val="00736B97"/>
    <w:rsid w:val="00750CF6"/>
    <w:rsid w:val="0075157C"/>
    <w:rsid w:val="007541CE"/>
    <w:rsid w:val="007624F3"/>
    <w:rsid w:val="00762EB3"/>
    <w:rsid w:val="0076418E"/>
    <w:rsid w:val="0077306C"/>
    <w:rsid w:val="0077426B"/>
    <w:rsid w:val="007765D7"/>
    <w:rsid w:val="007768D0"/>
    <w:rsid w:val="00782C7D"/>
    <w:rsid w:val="007839B3"/>
    <w:rsid w:val="00785527"/>
    <w:rsid w:val="00787EA9"/>
    <w:rsid w:val="00791B44"/>
    <w:rsid w:val="00793EA9"/>
    <w:rsid w:val="007945B3"/>
    <w:rsid w:val="0079525A"/>
    <w:rsid w:val="007961B2"/>
    <w:rsid w:val="00796533"/>
    <w:rsid w:val="007A1226"/>
    <w:rsid w:val="007A6170"/>
    <w:rsid w:val="007B045C"/>
    <w:rsid w:val="007B1E15"/>
    <w:rsid w:val="007B1E5F"/>
    <w:rsid w:val="007C03C7"/>
    <w:rsid w:val="007C44D5"/>
    <w:rsid w:val="007C57CE"/>
    <w:rsid w:val="007C64CC"/>
    <w:rsid w:val="007C7E2D"/>
    <w:rsid w:val="007D32B2"/>
    <w:rsid w:val="007D32DB"/>
    <w:rsid w:val="007D6754"/>
    <w:rsid w:val="007D6AB1"/>
    <w:rsid w:val="007E09BC"/>
    <w:rsid w:val="007E0C60"/>
    <w:rsid w:val="007E1262"/>
    <w:rsid w:val="007E2A22"/>
    <w:rsid w:val="007E4206"/>
    <w:rsid w:val="007E47BD"/>
    <w:rsid w:val="007E68BA"/>
    <w:rsid w:val="007E707A"/>
    <w:rsid w:val="007F0E01"/>
    <w:rsid w:val="007F49F3"/>
    <w:rsid w:val="007F6570"/>
    <w:rsid w:val="007F7F8B"/>
    <w:rsid w:val="00802015"/>
    <w:rsid w:val="00811879"/>
    <w:rsid w:val="008124CD"/>
    <w:rsid w:val="00814A61"/>
    <w:rsid w:val="00816B88"/>
    <w:rsid w:val="00821C2F"/>
    <w:rsid w:val="0082281C"/>
    <w:rsid w:val="00823DC5"/>
    <w:rsid w:val="0082663D"/>
    <w:rsid w:val="00830B69"/>
    <w:rsid w:val="00832E04"/>
    <w:rsid w:val="008340C5"/>
    <w:rsid w:val="00835760"/>
    <w:rsid w:val="008402B9"/>
    <w:rsid w:val="00842E64"/>
    <w:rsid w:val="00843623"/>
    <w:rsid w:val="00843A3D"/>
    <w:rsid w:val="00845BD9"/>
    <w:rsid w:val="00846050"/>
    <w:rsid w:val="0085424F"/>
    <w:rsid w:val="00863835"/>
    <w:rsid w:val="008639D1"/>
    <w:rsid w:val="00864F62"/>
    <w:rsid w:val="0086757A"/>
    <w:rsid w:val="008764CB"/>
    <w:rsid w:val="008805FA"/>
    <w:rsid w:val="008830CA"/>
    <w:rsid w:val="0088773D"/>
    <w:rsid w:val="008944F0"/>
    <w:rsid w:val="0089458B"/>
    <w:rsid w:val="00895019"/>
    <w:rsid w:val="00895DF2"/>
    <w:rsid w:val="00897B18"/>
    <w:rsid w:val="008A069B"/>
    <w:rsid w:val="008A1313"/>
    <w:rsid w:val="008A7B33"/>
    <w:rsid w:val="008A7F97"/>
    <w:rsid w:val="008B1392"/>
    <w:rsid w:val="008B2F2E"/>
    <w:rsid w:val="008B2FD6"/>
    <w:rsid w:val="008B704D"/>
    <w:rsid w:val="008C4599"/>
    <w:rsid w:val="008C481A"/>
    <w:rsid w:val="008C5B8A"/>
    <w:rsid w:val="008C6EEC"/>
    <w:rsid w:val="008C77E5"/>
    <w:rsid w:val="008D0574"/>
    <w:rsid w:val="008D23A5"/>
    <w:rsid w:val="008D26D7"/>
    <w:rsid w:val="008D4EF9"/>
    <w:rsid w:val="008E1564"/>
    <w:rsid w:val="008E5D8F"/>
    <w:rsid w:val="008E654D"/>
    <w:rsid w:val="008F3D69"/>
    <w:rsid w:val="008F3DF0"/>
    <w:rsid w:val="008F4561"/>
    <w:rsid w:val="008F4CE6"/>
    <w:rsid w:val="008F62AF"/>
    <w:rsid w:val="00900F15"/>
    <w:rsid w:val="00901C6D"/>
    <w:rsid w:val="00902ACD"/>
    <w:rsid w:val="00902F41"/>
    <w:rsid w:val="00903BAA"/>
    <w:rsid w:val="00904E2D"/>
    <w:rsid w:val="009056A6"/>
    <w:rsid w:val="00907806"/>
    <w:rsid w:val="0091061E"/>
    <w:rsid w:val="00912154"/>
    <w:rsid w:val="009124D7"/>
    <w:rsid w:val="009129DC"/>
    <w:rsid w:val="009133CA"/>
    <w:rsid w:val="00917A7C"/>
    <w:rsid w:val="009208CB"/>
    <w:rsid w:val="0092455E"/>
    <w:rsid w:val="00924B79"/>
    <w:rsid w:val="00925710"/>
    <w:rsid w:val="0093023B"/>
    <w:rsid w:val="00936E0C"/>
    <w:rsid w:val="00941109"/>
    <w:rsid w:val="00943C2C"/>
    <w:rsid w:val="00944027"/>
    <w:rsid w:val="00947836"/>
    <w:rsid w:val="00951509"/>
    <w:rsid w:val="00953454"/>
    <w:rsid w:val="00954F5A"/>
    <w:rsid w:val="00960389"/>
    <w:rsid w:val="00960C4E"/>
    <w:rsid w:val="0096275B"/>
    <w:rsid w:val="00962ADA"/>
    <w:rsid w:val="00965EF3"/>
    <w:rsid w:val="0096793A"/>
    <w:rsid w:val="0097071D"/>
    <w:rsid w:val="009730D7"/>
    <w:rsid w:val="00974326"/>
    <w:rsid w:val="00974B73"/>
    <w:rsid w:val="00975242"/>
    <w:rsid w:val="009835D8"/>
    <w:rsid w:val="00983699"/>
    <w:rsid w:val="00986935"/>
    <w:rsid w:val="00990A18"/>
    <w:rsid w:val="00993AA3"/>
    <w:rsid w:val="00993C38"/>
    <w:rsid w:val="0099566F"/>
    <w:rsid w:val="009975C5"/>
    <w:rsid w:val="00997E92"/>
    <w:rsid w:val="009A1685"/>
    <w:rsid w:val="009A1AF1"/>
    <w:rsid w:val="009A21A6"/>
    <w:rsid w:val="009A32B0"/>
    <w:rsid w:val="009A3C87"/>
    <w:rsid w:val="009A7D69"/>
    <w:rsid w:val="009B0074"/>
    <w:rsid w:val="009B0722"/>
    <w:rsid w:val="009B0D36"/>
    <w:rsid w:val="009B11A0"/>
    <w:rsid w:val="009B5B86"/>
    <w:rsid w:val="009B6313"/>
    <w:rsid w:val="009B78B0"/>
    <w:rsid w:val="009C02C3"/>
    <w:rsid w:val="009C16CF"/>
    <w:rsid w:val="009C41D9"/>
    <w:rsid w:val="009C4BAD"/>
    <w:rsid w:val="009C4D00"/>
    <w:rsid w:val="009C7208"/>
    <w:rsid w:val="009E16E1"/>
    <w:rsid w:val="009E40FD"/>
    <w:rsid w:val="009E6AFB"/>
    <w:rsid w:val="009F03A6"/>
    <w:rsid w:val="009F3ED2"/>
    <w:rsid w:val="00A02F2C"/>
    <w:rsid w:val="00A0406F"/>
    <w:rsid w:val="00A06FD7"/>
    <w:rsid w:val="00A10FCC"/>
    <w:rsid w:val="00A203DA"/>
    <w:rsid w:val="00A204D6"/>
    <w:rsid w:val="00A20A7B"/>
    <w:rsid w:val="00A21063"/>
    <w:rsid w:val="00A22E7E"/>
    <w:rsid w:val="00A253C7"/>
    <w:rsid w:val="00A31F4C"/>
    <w:rsid w:val="00A320C3"/>
    <w:rsid w:val="00A326B8"/>
    <w:rsid w:val="00A32A14"/>
    <w:rsid w:val="00A40DB2"/>
    <w:rsid w:val="00A41411"/>
    <w:rsid w:val="00A42145"/>
    <w:rsid w:val="00A43923"/>
    <w:rsid w:val="00A4518C"/>
    <w:rsid w:val="00A456A1"/>
    <w:rsid w:val="00A475FF"/>
    <w:rsid w:val="00A47E22"/>
    <w:rsid w:val="00A54F90"/>
    <w:rsid w:val="00A576FF"/>
    <w:rsid w:val="00A60D63"/>
    <w:rsid w:val="00A61A8A"/>
    <w:rsid w:val="00A627CD"/>
    <w:rsid w:val="00A63EDD"/>
    <w:rsid w:val="00A64A2F"/>
    <w:rsid w:val="00A66D7A"/>
    <w:rsid w:val="00A72FE4"/>
    <w:rsid w:val="00A73027"/>
    <w:rsid w:val="00A81AC7"/>
    <w:rsid w:val="00A84C72"/>
    <w:rsid w:val="00A85295"/>
    <w:rsid w:val="00A859B6"/>
    <w:rsid w:val="00A859DD"/>
    <w:rsid w:val="00A93170"/>
    <w:rsid w:val="00A95235"/>
    <w:rsid w:val="00A9556E"/>
    <w:rsid w:val="00A9559D"/>
    <w:rsid w:val="00A95ECC"/>
    <w:rsid w:val="00A9696B"/>
    <w:rsid w:val="00A96B7A"/>
    <w:rsid w:val="00AA04C7"/>
    <w:rsid w:val="00AA4B96"/>
    <w:rsid w:val="00AA511F"/>
    <w:rsid w:val="00AA5E09"/>
    <w:rsid w:val="00AB20FF"/>
    <w:rsid w:val="00AB2F22"/>
    <w:rsid w:val="00AB51BC"/>
    <w:rsid w:val="00AB5F86"/>
    <w:rsid w:val="00AB60CE"/>
    <w:rsid w:val="00AB78F9"/>
    <w:rsid w:val="00AC08B1"/>
    <w:rsid w:val="00AC0F71"/>
    <w:rsid w:val="00AC0FAB"/>
    <w:rsid w:val="00AC6B12"/>
    <w:rsid w:val="00AD105C"/>
    <w:rsid w:val="00AD1762"/>
    <w:rsid w:val="00AD4D65"/>
    <w:rsid w:val="00AD76C3"/>
    <w:rsid w:val="00AE103D"/>
    <w:rsid w:val="00AE3974"/>
    <w:rsid w:val="00AE48FC"/>
    <w:rsid w:val="00AE4F23"/>
    <w:rsid w:val="00B00C69"/>
    <w:rsid w:val="00B0500B"/>
    <w:rsid w:val="00B05123"/>
    <w:rsid w:val="00B05A0C"/>
    <w:rsid w:val="00B107ED"/>
    <w:rsid w:val="00B13E2F"/>
    <w:rsid w:val="00B1685E"/>
    <w:rsid w:val="00B16A70"/>
    <w:rsid w:val="00B16E08"/>
    <w:rsid w:val="00B16FEF"/>
    <w:rsid w:val="00B17514"/>
    <w:rsid w:val="00B222CF"/>
    <w:rsid w:val="00B226D2"/>
    <w:rsid w:val="00B237C2"/>
    <w:rsid w:val="00B27428"/>
    <w:rsid w:val="00B278F0"/>
    <w:rsid w:val="00B3022F"/>
    <w:rsid w:val="00B31CEF"/>
    <w:rsid w:val="00B34068"/>
    <w:rsid w:val="00B348A5"/>
    <w:rsid w:val="00B35BDC"/>
    <w:rsid w:val="00B371BC"/>
    <w:rsid w:val="00B373ED"/>
    <w:rsid w:val="00B37E69"/>
    <w:rsid w:val="00B4018F"/>
    <w:rsid w:val="00B402A3"/>
    <w:rsid w:val="00B40EDC"/>
    <w:rsid w:val="00B444E2"/>
    <w:rsid w:val="00B44783"/>
    <w:rsid w:val="00B45135"/>
    <w:rsid w:val="00B4603E"/>
    <w:rsid w:val="00B46B11"/>
    <w:rsid w:val="00B477B7"/>
    <w:rsid w:val="00B53964"/>
    <w:rsid w:val="00B6674C"/>
    <w:rsid w:val="00B66A80"/>
    <w:rsid w:val="00B7589F"/>
    <w:rsid w:val="00B75F55"/>
    <w:rsid w:val="00B76114"/>
    <w:rsid w:val="00B77F04"/>
    <w:rsid w:val="00B84992"/>
    <w:rsid w:val="00B84AB0"/>
    <w:rsid w:val="00B866BF"/>
    <w:rsid w:val="00B86DE3"/>
    <w:rsid w:val="00B87577"/>
    <w:rsid w:val="00B9072A"/>
    <w:rsid w:val="00B90CF1"/>
    <w:rsid w:val="00B92167"/>
    <w:rsid w:val="00B93A3C"/>
    <w:rsid w:val="00B94AD1"/>
    <w:rsid w:val="00B953E0"/>
    <w:rsid w:val="00B95BA6"/>
    <w:rsid w:val="00B96EF9"/>
    <w:rsid w:val="00BA0032"/>
    <w:rsid w:val="00BA2B98"/>
    <w:rsid w:val="00BA32D0"/>
    <w:rsid w:val="00BA4E6B"/>
    <w:rsid w:val="00BB0A14"/>
    <w:rsid w:val="00BB10C0"/>
    <w:rsid w:val="00BB6324"/>
    <w:rsid w:val="00BB66A3"/>
    <w:rsid w:val="00BC1C7E"/>
    <w:rsid w:val="00BC208A"/>
    <w:rsid w:val="00BC2D12"/>
    <w:rsid w:val="00BC2F5E"/>
    <w:rsid w:val="00BC395D"/>
    <w:rsid w:val="00BC469E"/>
    <w:rsid w:val="00BC51AC"/>
    <w:rsid w:val="00BD08BB"/>
    <w:rsid w:val="00BD3BD3"/>
    <w:rsid w:val="00BD5469"/>
    <w:rsid w:val="00BD5783"/>
    <w:rsid w:val="00BD6F91"/>
    <w:rsid w:val="00BE0414"/>
    <w:rsid w:val="00BE212B"/>
    <w:rsid w:val="00BE264A"/>
    <w:rsid w:val="00BE5FB7"/>
    <w:rsid w:val="00BE7818"/>
    <w:rsid w:val="00BF0797"/>
    <w:rsid w:val="00BF0F29"/>
    <w:rsid w:val="00BF2196"/>
    <w:rsid w:val="00BF2EF6"/>
    <w:rsid w:val="00BF3C2F"/>
    <w:rsid w:val="00BF3FD3"/>
    <w:rsid w:val="00BF4BD5"/>
    <w:rsid w:val="00BF505B"/>
    <w:rsid w:val="00C0037B"/>
    <w:rsid w:val="00C04F2F"/>
    <w:rsid w:val="00C06D10"/>
    <w:rsid w:val="00C1167B"/>
    <w:rsid w:val="00C11ED7"/>
    <w:rsid w:val="00C1476B"/>
    <w:rsid w:val="00C14C3A"/>
    <w:rsid w:val="00C157BD"/>
    <w:rsid w:val="00C204E7"/>
    <w:rsid w:val="00C2076B"/>
    <w:rsid w:val="00C209FB"/>
    <w:rsid w:val="00C21AE0"/>
    <w:rsid w:val="00C25187"/>
    <w:rsid w:val="00C30A1D"/>
    <w:rsid w:val="00C30D83"/>
    <w:rsid w:val="00C31EE4"/>
    <w:rsid w:val="00C321EE"/>
    <w:rsid w:val="00C34540"/>
    <w:rsid w:val="00C34C4C"/>
    <w:rsid w:val="00C35DE4"/>
    <w:rsid w:val="00C35F10"/>
    <w:rsid w:val="00C36DA6"/>
    <w:rsid w:val="00C4080B"/>
    <w:rsid w:val="00C436CE"/>
    <w:rsid w:val="00C44C12"/>
    <w:rsid w:val="00C44EA0"/>
    <w:rsid w:val="00C52B60"/>
    <w:rsid w:val="00C53369"/>
    <w:rsid w:val="00C53C88"/>
    <w:rsid w:val="00C54AC7"/>
    <w:rsid w:val="00C5749D"/>
    <w:rsid w:val="00C609C2"/>
    <w:rsid w:val="00C610FF"/>
    <w:rsid w:val="00C70041"/>
    <w:rsid w:val="00C71645"/>
    <w:rsid w:val="00C7204A"/>
    <w:rsid w:val="00C7268C"/>
    <w:rsid w:val="00C72F39"/>
    <w:rsid w:val="00C7523F"/>
    <w:rsid w:val="00C76794"/>
    <w:rsid w:val="00C81193"/>
    <w:rsid w:val="00C81B88"/>
    <w:rsid w:val="00C84E68"/>
    <w:rsid w:val="00C92F96"/>
    <w:rsid w:val="00C93255"/>
    <w:rsid w:val="00C94A49"/>
    <w:rsid w:val="00C96CED"/>
    <w:rsid w:val="00CA41F5"/>
    <w:rsid w:val="00CA62E9"/>
    <w:rsid w:val="00CA669E"/>
    <w:rsid w:val="00CA6882"/>
    <w:rsid w:val="00CA7375"/>
    <w:rsid w:val="00CA75DA"/>
    <w:rsid w:val="00CA765A"/>
    <w:rsid w:val="00CB0EF4"/>
    <w:rsid w:val="00CB1D63"/>
    <w:rsid w:val="00CB241C"/>
    <w:rsid w:val="00CB3040"/>
    <w:rsid w:val="00CB3C1D"/>
    <w:rsid w:val="00CB5150"/>
    <w:rsid w:val="00CC05B8"/>
    <w:rsid w:val="00CC2F50"/>
    <w:rsid w:val="00CC5F59"/>
    <w:rsid w:val="00CC6714"/>
    <w:rsid w:val="00CD26D6"/>
    <w:rsid w:val="00CD5C96"/>
    <w:rsid w:val="00CD7E57"/>
    <w:rsid w:val="00CE06B1"/>
    <w:rsid w:val="00CE52C6"/>
    <w:rsid w:val="00CE53A8"/>
    <w:rsid w:val="00CE7DF7"/>
    <w:rsid w:val="00CF51CD"/>
    <w:rsid w:val="00D00724"/>
    <w:rsid w:val="00D00E3C"/>
    <w:rsid w:val="00D0119C"/>
    <w:rsid w:val="00D01AFE"/>
    <w:rsid w:val="00D01FC2"/>
    <w:rsid w:val="00D042C5"/>
    <w:rsid w:val="00D04EA1"/>
    <w:rsid w:val="00D06E47"/>
    <w:rsid w:val="00D06FF2"/>
    <w:rsid w:val="00D07692"/>
    <w:rsid w:val="00D10311"/>
    <w:rsid w:val="00D13B48"/>
    <w:rsid w:val="00D15D88"/>
    <w:rsid w:val="00D25928"/>
    <w:rsid w:val="00D316FC"/>
    <w:rsid w:val="00D32DEE"/>
    <w:rsid w:val="00D3441A"/>
    <w:rsid w:val="00D35761"/>
    <w:rsid w:val="00D35C05"/>
    <w:rsid w:val="00D37749"/>
    <w:rsid w:val="00D40EAA"/>
    <w:rsid w:val="00D40EF1"/>
    <w:rsid w:val="00D418F2"/>
    <w:rsid w:val="00D41BAA"/>
    <w:rsid w:val="00D43A35"/>
    <w:rsid w:val="00D4577C"/>
    <w:rsid w:val="00D4579E"/>
    <w:rsid w:val="00D45A50"/>
    <w:rsid w:val="00D479A2"/>
    <w:rsid w:val="00D50EF1"/>
    <w:rsid w:val="00D5258B"/>
    <w:rsid w:val="00D52C26"/>
    <w:rsid w:val="00D55CDD"/>
    <w:rsid w:val="00D56788"/>
    <w:rsid w:val="00D63495"/>
    <w:rsid w:val="00D6453B"/>
    <w:rsid w:val="00D64C1B"/>
    <w:rsid w:val="00D66580"/>
    <w:rsid w:val="00D67743"/>
    <w:rsid w:val="00D727AA"/>
    <w:rsid w:val="00D74971"/>
    <w:rsid w:val="00D81988"/>
    <w:rsid w:val="00D819C9"/>
    <w:rsid w:val="00D81A2D"/>
    <w:rsid w:val="00D85C02"/>
    <w:rsid w:val="00D86709"/>
    <w:rsid w:val="00D914D1"/>
    <w:rsid w:val="00D91BB7"/>
    <w:rsid w:val="00D92006"/>
    <w:rsid w:val="00D9226A"/>
    <w:rsid w:val="00D9391E"/>
    <w:rsid w:val="00D943A8"/>
    <w:rsid w:val="00D97BB9"/>
    <w:rsid w:val="00DA13DB"/>
    <w:rsid w:val="00DA456A"/>
    <w:rsid w:val="00DA4658"/>
    <w:rsid w:val="00DA7841"/>
    <w:rsid w:val="00DB0A8F"/>
    <w:rsid w:val="00DB1522"/>
    <w:rsid w:val="00DB25CD"/>
    <w:rsid w:val="00DB27C1"/>
    <w:rsid w:val="00DB2B2C"/>
    <w:rsid w:val="00DB4050"/>
    <w:rsid w:val="00DC666F"/>
    <w:rsid w:val="00DC6F47"/>
    <w:rsid w:val="00DD03A4"/>
    <w:rsid w:val="00DD3983"/>
    <w:rsid w:val="00DD6709"/>
    <w:rsid w:val="00DE048E"/>
    <w:rsid w:val="00DE151E"/>
    <w:rsid w:val="00DE3E9E"/>
    <w:rsid w:val="00DF1CA1"/>
    <w:rsid w:val="00DF1DE3"/>
    <w:rsid w:val="00DF360E"/>
    <w:rsid w:val="00DF39E1"/>
    <w:rsid w:val="00DF576E"/>
    <w:rsid w:val="00DF5EC4"/>
    <w:rsid w:val="00DF7C43"/>
    <w:rsid w:val="00E00421"/>
    <w:rsid w:val="00E024C7"/>
    <w:rsid w:val="00E028E8"/>
    <w:rsid w:val="00E02FBA"/>
    <w:rsid w:val="00E04AD2"/>
    <w:rsid w:val="00E1264E"/>
    <w:rsid w:val="00E164FB"/>
    <w:rsid w:val="00E17054"/>
    <w:rsid w:val="00E1705D"/>
    <w:rsid w:val="00E17401"/>
    <w:rsid w:val="00E17901"/>
    <w:rsid w:val="00E17CDB"/>
    <w:rsid w:val="00E21BE8"/>
    <w:rsid w:val="00E30F39"/>
    <w:rsid w:val="00E31C4E"/>
    <w:rsid w:val="00E336D2"/>
    <w:rsid w:val="00E33C2E"/>
    <w:rsid w:val="00E35D61"/>
    <w:rsid w:val="00E3730B"/>
    <w:rsid w:val="00E40F9D"/>
    <w:rsid w:val="00E42564"/>
    <w:rsid w:val="00E4319A"/>
    <w:rsid w:val="00E506CB"/>
    <w:rsid w:val="00E5643E"/>
    <w:rsid w:val="00E60701"/>
    <w:rsid w:val="00E61422"/>
    <w:rsid w:val="00E62193"/>
    <w:rsid w:val="00E6483C"/>
    <w:rsid w:val="00E65F8E"/>
    <w:rsid w:val="00E672D7"/>
    <w:rsid w:val="00E67D86"/>
    <w:rsid w:val="00E71186"/>
    <w:rsid w:val="00E737BC"/>
    <w:rsid w:val="00E74849"/>
    <w:rsid w:val="00E768BD"/>
    <w:rsid w:val="00E8293A"/>
    <w:rsid w:val="00E844BF"/>
    <w:rsid w:val="00E85D0C"/>
    <w:rsid w:val="00E871FA"/>
    <w:rsid w:val="00E876CC"/>
    <w:rsid w:val="00E919A6"/>
    <w:rsid w:val="00E91B2E"/>
    <w:rsid w:val="00E96A4B"/>
    <w:rsid w:val="00E97DA5"/>
    <w:rsid w:val="00EA3F24"/>
    <w:rsid w:val="00EA3F2A"/>
    <w:rsid w:val="00EA4EED"/>
    <w:rsid w:val="00EA7E44"/>
    <w:rsid w:val="00EB4AC3"/>
    <w:rsid w:val="00EB678B"/>
    <w:rsid w:val="00EC1DD9"/>
    <w:rsid w:val="00EC2BCD"/>
    <w:rsid w:val="00EC3561"/>
    <w:rsid w:val="00EC46AE"/>
    <w:rsid w:val="00EC4C4E"/>
    <w:rsid w:val="00EC78E4"/>
    <w:rsid w:val="00EC7BF0"/>
    <w:rsid w:val="00ED025F"/>
    <w:rsid w:val="00ED094C"/>
    <w:rsid w:val="00ED21AD"/>
    <w:rsid w:val="00ED5AD2"/>
    <w:rsid w:val="00ED726B"/>
    <w:rsid w:val="00ED7EA2"/>
    <w:rsid w:val="00EE0601"/>
    <w:rsid w:val="00EE2E5F"/>
    <w:rsid w:val="00EE4193"/>
    <w:rsid w:val="00EE46BB"/>
    <w:rsid w:val="00EE5819"/>
    <w:rsid w:val="00EE5C7C"/>
    <w:rsid w:val="00EE6ACC"/>
    <w:rsid w:val="00EE797A"/>
    <w:rsid w:val="00EF006C"/>
    <w:rsid w:val="00EF03D2"/>
    <w:rsid w:val="00EF03DA"/>
    <w:rsid w:val="00EF0F88"/>
    <w:rsid w:val="00EF71DD"/>
    <w:rsid w:val="00EF7B8D"/>
    <w:rsid w:val="00F00158"/>
    <w:rsid w:val="00F00B45"/>
    <w:rsid w:val="00F00E74"/>
    <w:rsid w:val="00F023CF"/>
    <w:rsid w:val="00F029A5"/>
    <w:rsid w:val="00F02C9B"/>
    <w:rsid w:val="00F03309"/>
    <w:rsid w:val="00F03B9A"/>
    <w:rsid w:val="00F06665"/>
    <w:rsid w:val="00F07268"/>
    <w:rsid w:val="00F12A22"/>
    <w:rsid w:val="00F1662A"/>
    <w:rsid w:val="00F16A2A"/>
    <w:rsid w:val="00F20436"/>
    <w:rsid w:val="00F2141C"/>
    <w:rsid w:val="00F23A68"/>
    <w:rsid w:val="00F23FCB"/>
    <w:rsid w:val="00F2471A"/>
    <w:rsid w:val="00F276B9"/>
    <w:rsid w:val="00F30DB6"/>
    <w:rsid w:val="00F312A4"/>
    <w:rsid w:val="00F32D54"/>
    <w:rsid w:val="00F33FA5"/>
    <w:rsid w:val="00F35A90"/>
    <w:rsid w:val="00F401E2"/>
    <w:rsid w:val="00F41E1A"/>
    <w:rsid w:val="00F50300"/>
    <w:rsid w:val="00F51CB5"/>
    <w:rsid w:val="00F54783"/>
    <w:rsid w:val="00F54B2F"/>
    <w:rsid w:val="00F54E0D"/>
    <w:rsid w:val="00F55569"/>
    <w:rsid w:val="00F557A4"/>
    <w:rsid w:val="00F61DB3"/>
    <w:rsid w:val="00F66015"/>
    <w:rsid w:val="00F66B49"/>
    <w:rsid w:val="00F674F6"/>
    <w:rsid w:val="00F7187D"/>
    <w:rsid w:val="00F75B7F"/>
    <w:rsid w:val="00F76A62"/>
    <w:rsid w:val="00F76B22"/>
    <w:rsid w:val="00F80DB7"/>
    <w:rsid w:val="00F84197"/>
    <w:rsid w:val="00F93803"/>
    <w:rsid w:val="00F9427C"/>
    <w:rsid w:val="00F95A21"/>
    <w:rsid w:val="00F962CB"/>
    <w:rsid w:val="00F97CFD"/>
    <w:rsid w:val="00FA0D2D"/>
    <w:rsid w:val="00FA4906"/>
    <w:rsid w:val="00FA5769"/>
    <w:rsid w:val="00FA7442"/>
    <w:rsid w:val="00FA7F1C"/>
    <w:rsid w:val="00FB1E9E"/>
    <w:rsid w:val="00FB3F29"/>
    <w:rsid w:val="00FB4852"/>
    <w:rsid w:val="00FB4E35"/>
    <w:rsid w:val="00FB643A"/>
    <w:rsid w:val="00FB6E70"/>
    <w:rsid w:val="00FC00C9"/>
    <w:rsid w:val="00FC062A"/>
    <w:rsid w:val="00FC0A6F"/>
    <w:rsid w:val="00FC5381"/>
    <w:rsid w:val="00FC6D33"/>
    <w:rsid w:val="00FC72E4"/>
    <w:rsid w:val="00FC785D"/>
    <w:rsid w:val="00FC7F04"/>
    <w:rsid w:val="00FD041B"/>
    <w:rsid w:val="00FD221D"/>
    <w:rsid w:val="00FD32FE"/>
    <w:rsid w:val="00FD4A0A"/>
    <w:rsid w:val="00FD59B1"/>
    <w:rsid w:val="00FD6617"/>
    <w:rsid w:val="00FD6E92"/>
    <w:rsid w:val="00FD7CA0"/>
    <w:rsid w:val="00FE008D"/>
    <w:rsid w:val="00FE0279"/>
    <w:rsid w:val="00FE2681"/>
    <w:rsid w:val="00FE626E"/>
    <w:rsid w:val="00FE78D5"/>
    <w:rsid w:val="00FF0B07"/>
    <w:rsid w:val="00FF0BC0"/>
    <w:rsid w:val="00FF282F"/>
    <w:rsid w:val="00FF2A23"/>
    <w:rsid w:val="00FF44AB"/>
    <w:rsid w:val="0D222A3D"/>
    <w:rsid w:val="1F597EFB"/>
    <w:rsid w:val="2D4353D6"/>
    <w:rsid w:val="2F721A8D"/>
    <w:rsid w:val="387C64F4"/>
    <w:rsid w:val="68970F9E"/>
    <w:rsid w:val="69C85A42"/>
    <w:rsid w:val="6B1B7206"/>
    <w:rsid w:val="6F5A6D14"/>
    <w:rsid w:val="78993352"/>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qFormat="1"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qFormat="1" w:unhideWhenUsed="0" w:uiPriority="0" w:semiHidden="0" w:name="Table Grid"/>
    <w:lsdException w:uiPriority="0" w:name="Table Theme"/>
    <w:lsdException w:qFormat="1"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57"/>
    <w:qFormat/>
    <w:uiPriority w:val="0"/>
    <w:pPr>
      <w:keepNext/>
      <w:keepLines/>
      <w:spacing w:before="340" w:after="330" w:line="578" w:lineRule="auto"/>
      <w:outlineLvl w:val="0"/>
    </w:pPr>
    <w:rPr>
      <w:b/>
      <w:bCs/>
      <w:kern w:val="44"/>
      <w:sz w:val="44"/>
      <w:szCs w:val="44"/>
    </w:rPr>
  </w:style>
  <w:style w:type="character" w:default="1" w:styleId="18">
    <w:name w:val="Default Paragraph Font"/>
    <w:semiHidden/>
    <w:unhideWhenUsed/>
    <w:qFormat/>
    <w:uiPriority w:val="1"/>
  </w:style>
  <w:style w:type="table" w:default="1" w:styleId="16">
    <w:name w:val="Normal Table"/>
    <w:semiHidden/>
    <w:unhideWhenUsed/>
    <w:qFormat/>
    <w:uiPriority w:val="99"/>
    <w:tblPr>
      <w:tblCellMar>
        <w:top w:w="0" w:type="dxa"/>
        <w:left w:w="108" w:type="dxa"/>
        <w:bottom w:w="0" w:type="dxa"/>
        <w:right w:w="108" w:type="dxa"/>
      </w:tblCellMar>
    </w:tblPr>
  </w:style>
  <w:style w:type="paragraph" w:styleId="3">
    <w:name w:val="Normal Indent"/>
    <w:basedOn w:val="1"/>
    <w:qFormat/>
    <w:uiPriority w:val="0"/>
    <w:pPr>
      <w:adjustRightInd w:val="0"/>
    </w:pPr>
    <w:rPr>
      <w:kern w:val="0"/>
      <w:szCs w:val="21"/>
    </w:rPr>
  </w:style>
  <w:style w:type="paragraph" w:styleId="4">
    <w:name w:val="caption"/>
    <w:basedOn w:val="1"/>
    <w:next w:val="1"/>
    <w:qFormat/>
    <w:uiPriority w:val="0"/>
    <w:pPr>
      <w:adjustRightInd w:val="0"/>
      <w:spacing w:before="152" w:after="160" w:line="360" w:lineRule="atLeast"/>
      <w:jc w:val="center"/>
      <w:textAlignment w:val="baseline"/>
    </w:pPr>
    <w:rPr>
      <w:rFonts w:ascii="Arial" w:hAnsi="Arial" w:eastAsia="黑体"/>
      <w:kern w:val="0"/>
      <w:szCs w:val="20"/>
    </w:rPr>
  </w:style>
  <w:style w:type="paragraph" w:styleId="5">
    <w:name w:val="annotation text"/>
    <w:basedOn w:val="1"/>
    <w:link w:val="51"/>
    <w:qFormat/>
    <w:uiPriority w:val="0"/>
    <w:pPr>
      <w:jc w:val="left"/>
    </w:pPr>
    <w:rPr>
      <w:lang w:val="zh-CN"/>
    </w:rPr>
  </w:style>
  <w:style w:type="paragraph" w:styleId="6">
    <w:name w:val="Body Text"/>
    <w:basedOn w:val="1"/>
    <w:link w:val="50"/>
    <w:qFormat/>
    <w:uiPriority w:val="0"/>
    <w:pPr>
      <w:spacing w:after="120"/>
    </w:pPr>
    <w:rPr>
      <w:lang w:val="zh-CN"/>
    </w:rPr>
  </w:style>
  <w:style w:type="paragraph" w:styleId="7">
    <w:name w:val="Body Text Indent"/>
    <w:basedOn w:val="1"/>
    <w:qFormat/>
    <w:uiPriority w:val="0"/>
    <w:pPr>
      <w:ind w:left="180" w:firstLine="540" w:firstLineChars="257"/>
    </w:pPr>
  </w:style>
  <w:style w:type="paragraph" w:styleId="8">
    <w:name w:val="Date"/>
    <w:basedOn w:val="1"/>
    <w:next w:val="1"/>
    <w:qFormat/>
    <w:uiPriority w:val="0"/>
    <w:pPr>
      <w:ind w:left="100" w:leftChars="2500"/>
    </w:pPr>
    <w:rPr>
      <w:rFonts w:ascii="宋体" w:hAnsi="宋体"/>
      <w:b/>
      <w:szCs w:val="21"/>
    </w:rPr>
  </w:style>
  <w:style w:type="paragraph" w:styleId="9">
    <w:name w:val="Body Text Indent 2"/>
    <w:basedOn w:val="1"/>
    <w:qFormat/>
    <w:uiPriority w:val="0"/>
    <w:pPr>
      <w:ind w:left="180" w:firstLine="359" w:firstLineChars="171"/>
    </w:pPr>
  </w:style>
  <w:style w:type="paragraph" w:styleId="10">
    <w:name w:val="Balloon Text"/>
    <w:basedOn w:val="1"/>
    <w:semiHidden/>
    <w:qFormat/>
    <w:uiPriority w:val="0"/>
    <w:rPr>
      <w:sz w:val="18"/>
      <w:szCs w:val="18"/>
    </w:rPr>
  </w:style>
  <w:style w:type="paragraph" w:styleId="11">
    <w:name w:val="footer"/>
    <w:basedOn w:val="1"/>
    <w:qFormat/>
    <w:uiPriority w:val="0"/>
    <w:pPr>
      <w:tabs>
        <w:tab w:val="center" w:pos="4153"/>
        <w:tab w:val="right" w:pos="8306"/>
      </w:tabs>
      <w:adjustRightInd w:val="0"/>
      <w:spacing w:line="240" w:lineRule="atLeast"/>
      <w:jc w:val="left"/>
      <w:textAlignment w:val="baseline"/>
    </w:pPr>
    <w:rPr>
      <w:kern w:val="0"/>
      <w:sz w:val="18"/>
      <w:szCs w:val="20"/>
    </w:rPr>
  </w:style>
  <w:style w:type="paragraph" w:styleId="12">
    <w:name w:val="header"/>
    <w:basedOn w:val="1"/>
    <w:qFormat/>
    <w:uiPriority w:val="0"/>
    <w:pPr>
      <w:tabs>
        <w:tab w:val="center" w:pos="4153"/>
        <w:tab w:val="right" w:pos="8306"/>
      </w:tabs>
      <w:adjustRightInd w:val="0"/>
      <w:spacing w:line="240" w:lineRule="atLeast"/>
      <w:jc w:val="center"/>
      <w:textAlignment w:val="baseline"/>
    </w:pPr>
    <w:rPr>
      <w:kern w:val="0"/>
      <w:sz w:val="18"/>
      <w:szCs w:val="20"/>
    </w:rPr>
  </w:style>
  <w:style w:type="paragraph" w:styleId="13">
    <w:name w:val="footnote text"/>
    <w:basedOn w:val="1"/>
    <w:link w:val="58"/>
    <w:qFormat/>
    <w:uiPriority w:val="0"/>
    <w:pPr>
      <w:snapToGrid w:val="0"/>
      <w:jc w:val="left"/>
    </w:pPr>
    <w:rPr>
      <w:sz w:val="18"/>
      <w:szCs w:val="18"/>
    </w:rPr>
  </w:style>
  <w:style w:type="paragraph" w:styleId="14">
    <w:name w:val="Body Text Indent 3"/>
    <w:basedOn w:val="1"/>
    <w:qFormat/>
    <w:uiPriority w:val="0"/>
    <w:pPr>
      <w:ind w:firstLine="420" w:firstLineChars="200"/>
    </w:pPr>
    <w:rPr>
      <w:rFonts w:ascii="宋体" w:hAnsi="宋体"/>
      <w:color w:val="FF0000"/>
    </w:rPr>
  </w:style>
  <w:style w:type="paragraph" w:styleId="15">
    <w:name w:val="annotation subject"/>
    <w:basedOn w:val="5"/>
    <w:next w:val="5"/>
    <w:semiHidden/>
    <w:qFormat/>
    <w:uiPriority w:val="0"/>
    <w:rPr>
      <w:b/>
      <w:bCs/>
    </w:rPr>
  </w:style>
  <w:style w:type="table" w:styleId="17">
    <w:name w:val="Table Grid"/>
    <w:basedOn w:val="1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9">
    <w:name w:val="page number"/>
    <w:basedOn w:val="18"/>
    <w:qFormat/>
    <w:uiPriority w:val="0"/>
  </w:style>
  <w:style w:type="character" w:styleId="20">
    <w:name w:val="annotation reference"/>
    <w:semiHidden/>
    <w:qFormat/>
    <w:uiPriority w:val="0"/>
    <w:rPr>
      <w:sz w:val="21"/>
      <w:szCs w:val="21"/>
    </w:rPr>
  </w:style>
  <w:style w:type="character" w:styleId="21">
    <w:name w:val="footnote reference"/>
    <w:basedOn w:val="18"/>
    <w:qFormat/>
    <w:uiPriority w:val="0"/>
    <w:rPr>
      <w:vertAlign w:val="superscript"/>
    </w:rPr>
  </w:style>
  <w:style w:type="paragraph" w:customStyle="1" w:styleId="22">
    <w:name w:val="目录 11"/>
    <w:basedOn w:val="1"/>
    <w:next w:val="1"/>
    <w:semiHidden/>
    <w:qFormat/>
    <w:uiPriority w:val="0"/>
    <w:pPr>
      <w:adjustRightInd w:val="0"/>
      <w:spacing w:before="120" w:after="120" w:line="360" w:lineRule="atLeast"/>
      <w:jc w:val="left"/>
      <w:textAlignment w:val="baseline"/>
    </w:pPr>
    <w:rPr>
      <w:rFonts w:ascii="黑体" w:eastAsia="黑体"/>
      <w:caps/>
      <w:kern w:val="0"/>
    </w:rPr>
  </w:style>
  <w:style w:type="paragraph" w:customStyle="1" w:styleId="23">
    <w:name w:val="篇"/>
    <w:basedOn w:val="1"/>
    <w:next w:val="1"/>
    <w:qFormat/>
    <w:uiPriority w:val="0"/>
    <w:pPr>
      <w:adjustRightInd w:val="0"/>
      <w:spacing w:line="360" w:lineRule="atLeast"/>
      <w:jc w:val="center"/>
      <w:textAlignment w:val="baseline"/>
    </w:pPr>
    <w:rPr>
      <w:rFonts w:eastAsia="黑体"/>
      <w:kern w:val="0"/>
      <w:sz w:val="24"/>
      <w:szCs w:val="20"/>
    </w:rPr>
  </w:style>
  <w:style w:type="paragraph" w:customStyle="1" w:styleId="24">
    <w:name w:val="前言、引言标题"/>
    <w:next w:val="1"/>
    <w:qFormat/>
    <w:uiPriority w:val="0"/>
    <w:pPr>
      <w:numPr>
        <w:ilvl w:val="0"/>
        <w:numId w:val="1"/>
      </w:numPr>
      <w:shd w:val="clear" w:color="FFFFFF" w:fill="FFFFFF"/>
      <w:spacing w:before="640" w:after="560"/>
      <w:jc w:val="center"/>
      <w:outlineLvl w:val="0"/>
    </w:pPr>
    <w:rPr>
      <w:rFonts w:ascii="黑体" w:hAnsi="Times New Roman" w:eastAsia="黑体" w:cs="Times New Roman"/>
      <w:sz w:val="32"/>
      <w:lang w:val="en-US" w:eastAsia="zh-CN" w:bidi="ar-SA"/>
    </w:rPr>
  </w:style>
  <w:style w:type="paragraph" w:customStyle="1" w:styleId="25">
    <w:name w:val="段"/>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26">
    <w:name w:val="章标题"/>
    <w:next w:val="25"/>
    <w:qFormat/>
    <w:uiPriority w:val="0"/>
    <w:pPr>
      <w:numPr>
        <w:ilvl w:val="1"/>
        <w:numId w:val="1"/>
      </w:numPr>
      <w:spacing w:beforeLines="50" w:afterLines="50"/>
      <w:jc w:val="both"/>
      <w:outlineLvl w:val="1"/>
    </w:pPr>
    <w:rPr>
      <w:rFonts w:ascii="黑体" w:hAnsi="Times New Roman" w:eastAsia="黑体" w:cs="Times New Roman"/>
      <w:sz w:val="21"/>
      <w:lang w:val="en-US" w:eastAsia="zh-CN" w:bidi="ar-SA"/>
    </w:rPr>
  </w:style>
  <w:style w:type="paragraph" w:customStyle="1" w:styleId="27">
    <w:name w:val="一级条标题"/>
    <w:basedOn w:val="26"/>
    <w:next w:val="25"/>
    <w:qFormat/>
    <w:uiPriority w:val="0"/>
    <w:pPr>
      <w:numPr>
        <w:ilvl w:val="2"/>
      </w:numPr>
      <w:tabs>
        <w:tab w:val="left" w:pos="860"/>
      </w:tabs>
      <w:spacing w:beforeLines="0" w:afterLines="0"/>
      <w:ind w:left="860" w:hanging="720"/>
      <w:outlineLvl w:val="2"/>
    </w:pPr>
  </w:style>
  <w:style w:type="paragraph" w:customStyle="1" w:styleId="28">
    <w:name w:val="二级条标题"/>
    <w:basedOn w:val="27"/>
    <w:next w:val="25"/>
    <w:qFormat/>
    <w:uiPriority w:val="0"/>
    <w:pPr>
      <w:numPr>
        <w:ilvl w:val="3"/>
      </w:numPr>
      <w:tabs>
        <w:tab w:val="left" w:pos="930"/>
      </w:tabs>
      <w:ind w:left="930" w:hanging="720"/>
      <w:outlineLvl w:val="3"/>
    </w:pPr>
  </w:style>
  <w:style w:type="paragraph" w:customStyle="1" w:styleId="29">
    <w:name w:val="三级条标题"/>
    <w:basedOn w:val="28"/>
    <w:next w:val="25"/>
    <w:qFormat/>
    <w:uiPriority w:val="0"/>
    <w:pPr>
      <w:numPr>
        <w:ilvl w:val="4"/>
      </w:numPr>
      <w:tabs>
        <w:tab w:val="left" w:pos="1360"/>
      </w:tabs>
      <w:ind w:left="1360" w:hanging="1080"/>
      <w:outlineLvl w:val="4"/>
    </w:pPr>
  </w:style>
  <w:style w:type="paragraph" w:customStyle="1" w:styleId="30">
    <w:name w:val="四级条标题"/>
    <w:basedOn w:val="29"/>
    <w:next w:val="25"/>
    <w:qFormat/>
    <w:uiPriority w:val="0"/>
    <w:pPr>
      <w:numPr>
        <w:ilvl w:val="5"/>
      </w:numPr>
      <w:tabs>
        <w:tab w:val="left" w:pos="1430"/>
      </w:tabs>
      <w:ind w:left="1430" w:hanging="1080"/>
      <w:outlineLvl w:val="5"/>
    </w:pPr>
  </w:style>
  <w:style w:type="paragraph" w:customStyle="1" w:styleId="31">
    <w:name w:val="五级条标题"/>
    <w:basedOn w:val="30"/>
    <w:next w:val="25"/>
    <w:qFormat/>
    <w:uiPriority w:val="0"/>
    <w:pPr>
      <w:numPr>
        <w:ilvl w:val="6"/>
      </w:numPr>
      <w:tabs>
        <w:tab w:val="left" w:pos="1500"/>
      </w:tabs>
      <w:ind w:left="1500" w:hanging="1080"/>
      <w:outlineLvl w:val="6"/>
    </w:pPr>
  </w:style>
  <w:style w:type="paragraph" w:customStyle="1" w:styleId="32">
    <w:name w:val="封面标准文稿编辑信息"/>
    <w:qFormat/>
    <w:uiPriority w:val="0"/>
    <w:pPr>
      <w:spacing w:before="180" w:line="180" w:lineRule="exact"/>
      <w:jc w:val="center"/>
    </w:pPr>
    <w:rPr>
      <w:rFonts w:ascii="宋体" w:hAnsi="Times New Roman" w:eastAsia="宋体" w:cs="Times New Roman"/>
      <w:sz w:val="21"/>
      <w:lang w:val="en-US" w:eastAsia="zh-CN" w:bidi="ar-SA"/>
    </w:rPr>
  </w:style>
  <w:style w:type="character" w:customStyle="1" w:styleId="33">
    <w:name w:val="发布"/>
    <w:qFormat/>
    <w:uiPriority w:val="0"/>
    <w:rPr>
      <w:rFonts w:ascii="黑体" w:eastAsia="黑体"/>
      <w:spacing w:val="22"/>
      <w:w w:val="100"/>
      <w:position w:val="3"/>
      <w:sz w:val="28"/>
    </w:rPr>
  </w:style>
  <w:style w:type="paragraph" w:customStyle="1" w:styleId="34">
    <w:name w:val="发布部门"/>
    <w:next w:val="1"/>
    <w:qFormat/>
    <w:uiPriority w:val="0"/>
    <w:pPr>
      <w:framePr w:w="7433" w:h="585" w:hRule="exact" w:hSpace="180" w:vSpace="180" w:wrap="around" w:vAnchor="margin" w:hAnchor="margin" w:xAlign="center" w:y="14401" w:anchorLock="1"/>
      <w:jc w:val="center"/>
    </w:pPr>
    <w:rPr>
      <w:rFonts w:ascii="宋体" w:hAnsi="Times New Roman" w:eastAsia="宋体" w:cs="Times New Roman"/>
      <w:b/>
      <w:spacing w:val="20"/>
      <w:w w:val="135"/>
      <w:sz w:val="36"/>
      <w:lang w:val="en-US" w:eastAsia="zh-CN" w:bidi="ar-SA"/>
    </w:rPr>
  </w:style>
  <w:style w:type="paragraph" w:customStyle="1" w:styleId="35">
    <w:name w:val="其他发布部门"/>
    <w:basedOn w:val="1"/>
    <w:qFormat/>
    <w:uiPriority w:val="0"/>
    <w:pPr>
      <w:framePr w:w="7433" w:h="585" w:hRule="exact" w:hSpace="180" w:vSpace="180" w:wrap="around" w:vAnchor="margin" w:hAnchor="margin" w:xAlign="center" w:y="14401" w:anchorLock="1"/>
      <w:widowControl/>
      <w:spacing w:line="0" w:lineRule="atLeast"/>
      <w:jc w:val="center"/>
    </w:pPr>
    <w:rPr>
      <w:rFonts w:ascii="黑体" w:eastAsia="黑体"/>
      <w:spacing w:val="20"/>
      <w:w w:val="135"/>
      <w:kern w:val="0"/>
      <w:sz w:val="36"/>
      <w:szCs w:val="20"/>
    </w:rPr>
  </w:style>
  <w:style w:type="character" w:customStyle="1" w:styleId="36">
    <w:name w:val="正文文本 (10)_"/>
    <w:link w:val="37"/>
    <w:qFormat/>
    <w:uiPriority w:val="0"/>
    <w:rPr>
      <w:rFonts w:ascii="MingLiU" w:hAnsi="MingLiU" w:eastAsia="MingLiU"/>
      <w:sz w:val="16"/>
      <w:szCs w:val="16"/>
      <w:lang w:bidi="ar-SA"/>
    </w:rPr>
  </w:style>
  <w:style w:type="paragraph" w:customStyle="1" w:styleId="37">
    <w:name w:val="正文文本 (10)1"/>
    <w:basedOn w:val="1"/>
    <w:link w:val="36"/>
    <w:qFormat/>
    <w:uiPriority w:val="0"/>
    <w:pPr>
      <w:widowControl/>
      <w:shd w:val="clear" w:color="auto" w:fill="FFFFFF"/>
      <w:spacing w:line="0" w:lineRule="atLeast"/>
      <w:jc w:val="left"/>
    </w:pPr>
    <w:rPr>
      <w:rFonts w:ascii="MingLiU" w:hAnsi="MingLiU" w:eastAsia="MingLiU"/>
      <w:kern w:val="0"/>
      <w:sz w:val="16"/>
      <w:szCs w:val="16"/>
      <w:lang w:val="zh-CN"/>
    </w:rPr>
  </w:style>
  <w:style w:type="character" w:customStyle="1" w:styleId="38">
    <w:name w:val="正文文本 (10)"/>
    <w:basedOn w:val="36"/>
    <w:qFormat/>
    <w:uiPriority w:val="0"/>
    <w:rPr>
      <w:rFonts w:ascii="MingLiU" w:hAnsi="MingLiU" w:eastAsia="MingLiU"/>
      <w:sz w:val="16"/>
      <w:szCs w:val="16"/>
      <w:lang w:bidi="ar-SA"/>
    </w:rPr>
  </w:style>
  <w:style w:type="character" w:customStyle="1" w:styleId="39">
    <w:name w:val="正文文本 (30)_"/>
    <w:link w:val="40"/>
    <w:qFormat/>
    <w:uiPriority w:val="0"/>
    <w:rPr>
      <w:sz w:val="17"/>
      <w:szCs w:val="17"/>
      <w:lang w:bidi="ar-SA"/>
    </w:rPr>
  </w:style>
  <w:style w:type="paragraph" w:customStyle="1" w:styleId="40">
    <w:name w:val="正文文本 (30)1"/>
    <w:basedOn w:val="1"/>
    <w:link w:val="39"/>
    <w:qFormat/>
    <w:uiPriority w:val="0"/>
    <w:pPr>
      <w:widowControl/>
      <w:shd w:val="clear" w:color="auto" w:fill="FFFFFF"/>
      <w:spacing w:line="0" w:lineRule="atLeast"/>
      <w:jc w:val="left"/>
    </w:pPr>
    <w:rPr>
      <w:kern w:val="0"/>
      <w:sz w:val="17"/>
      <w:szCs w:val="17"/>
      <w:lang w:val="zh-CN"/>
    </w:rPr>
  </w:style>
  <w:style w:type="character" w:customStyle="1" w:styleId="41">
    <w:name w:val="正文文本 (30) + MingLiU"/>
    <w:qFormat/>
    <w:uiPriority w:val="0"/>
    <w:rPr>
      <w:rFonts w:ascii="MingLiU" w:hAnsi="MingLiU" w:eastAsia="MingLiU" w:cs="MingLiU"/>
      <w:sz w:val="16"/>
      <w:szCs w:val="16"/>
      <w:lang w:bidi="ar-SA"/>
    </w:rPr>
  </w:style>
  <w:style w:type="character" w:customStyle="1" w:styleId="42">
    <w:name w:val="正文文本 (30)"/>
    <w:basedOn w:val="39"/>
    <w:qFormat/>
    <w:uiPriority w:val="0"/>
    <w:rPr>
      <w:sz w:val="17"/>
      <w:szCs w:val="17"/>
      <w:lang w:bidi="ar-SA"/>
    </w:rPr>
  </w:style>
  <w:style w:type="character" w:customStyle="1" w:styleId="43">
    <w:name w:val="正文文本 (10) + Times New Roman"/>
    <w:qFormat/>
    <w:uiPriority w:val="0"/>
    <w:rPr>
      <w:rFonts w:ascii="Times New Roman" w:hAnsi="Times New Roman" w:eastAsia="Times New Roman" w:cs="Times New Roman"/>
      <w:spacing w:val="0"/>
      <w:sz w:val="17"/>
      <w:szCs w:val="17"/>
      <w:lang w:val="en-US" w:bidi="ar-SA"/>
    </w:rPr>
  </w:style>
  <w:style w:type="paragraph" w:customStyle="1" w:styleId="44">
    <w:name w:val="修订1"/>
    <w:hidden/>
    <w:semiHidden/>
    <w:qFormat/>
    <w:uiPriority w:val="99"/>
    <w:rPr>
      <w:rFonts w:ascii="Times New Roman" w:hAnsi="Times New Roman" w:eastAsia="宋体" w:cs="Times New Roman"/>
      <w:kern w:val="2"/>
      <w:sz w:val="21"/>
      <w:szCs w:val="24"/>
      <w:lang w:val="en-US" w:eastAsia="zh-CN" w:bidi="ar-SA"/>
    </w:rPr>
  </w:style>
  <w:style w:type="paragraph" w:customStyle="1" w:styleId="45">
    <w:name w:val="Char"/>
    <w:basedOn w:val="1"/>
    <w:qFormat/>
    <w:uiPriority w:val="0"/>
    <w:pPr>
      <w:widowControl/>
      <w:spacing w:after="160" w:line="240" w:lineRule="exact"/>
      <w:jc w:val="left"/>
    </w:pPr>
    <w:rPr>
      <w:rFonts w:ascii="Verdana" w:hAnsi="Verdana"/>
      <w:kern w:val="0"/>
      <w:sz w:val="20"/>
      <w:szCs w:val="20"/>
      <w:lang w:eastAsia="en-US"/>
    </w:rPr>
  </w:style>
  <w:style w:type="character" w:customStyle="1" w:styleId="46">
    <w:name w:val="正文文本 (29)_"/>
    <w:link w:val="47"/>
    <w:qFormat/>
    <w:uiPriority w:val="0"/>
    <w:rPr>
      <w:rFonts w:ascii="MingLiU" w:hAnsi="MingLiU" w:eastAsia="MingLiU"/>
      <w:shd w:val="clear" w:color="auto" w:fill="FFFFFF"/>
    </w:rPr>
  </w:style>
  <w:style w:type="paragraph" w:customStyle="1" w:styleId="47">
    <w:name w:val="正文文本 (29)"/>
    <w:basedOn w:val="1"/>
    <w:link w:val="46"/>
    <w:qFormat/>
    <w:uiPriority w:val="0"/>
    <w:pPr>
      <w:widowControl/>
      <w:shd w:val="clear" w:color="auto" w:fill="FFFFFF"/>
      <w:spacing w:before="660" w:line="312" w:lineRule="exact"/>
      <w:ind w:hanging="620"/>
      <w:jc w:val="distribute"/>
    </w:pPr>
    <w:rPr>
      <w:rFonts w:ascii="MingLiU" w:hAnsi="MingLiU" w:eastAsia="MingLiU"/>
      <w:kern w:val="0"/>
      <w:sz w:val="20"/>
      <w:szCs w:val="20"/>
      <w:lang w:val="zh-CN"/>
    </w:rPr>
  </w:style>
  <w:style w:type="character" w:customStyle="1" w:styleId="48">
    <w:name w:val="正文文本 + MingLiU"/>
    <w:qFormat/>
    <w:uiPriority w:val="0"/>
    <w:rPr>
      <w:rFonts w:ascii="MingLiU" w:hAnsi="MingLiU" w:eastAsia="MingLiU" w:cs="MingLiU"/>
      <w:sz w:val="20"/>
      <w:szCs w:val="20"/>
    </w:rPr>
  </w:style>
  <w:style w:type="character" w:customStyle="1" w:styleId="49">
    <w:name w:val="正文文本 + Times New Roman2"/>
    <w:qFormat/>
    <w:uiPriority w:val="0"/>
    <w:rPr>
      <w:rFonts w:ascii="Times New Roman" w:hAnsi="Times New Roman" w:eastAsia="Times New Roman" w:cs="Times New Roman"/>
      <w:spacing w:val="10"/>
      <w:sz w:val="20"/>
      <w:szCs w:val="20"/>
      <w:lang w:val="en-US"/>
    </w:rPr>
  </w:style>
  <w:style w:type="character" w:customStyle="1" w:styleId="50">
    <w:name w:val="正文文本 字符"/>
    <w:link w:val="6"/>
    <w:qFormat/>
    <w:uiPriority w:val="0"/>
    <w:rPr>
      <w:kern w:val="2"/>
      <w:sz w:val="21"/>
      <w:szCs w:val="24"/>
    </w:rPr>
  </w:style>
  <w:style w:type="character" w:customStyle="1" w:styleId="51">
    <w:name w:val="批注文字 字符"/>
    <w:link w:val="5"/>
    <w:qFormat/>
    <w:uiPriority w:val="0"/>
    <w:rPr>
      <w:kern w:val="2"/>
      <w:sz w:val="21"/>
      <w:szCs w:val="24"/>
    </w:rPr>
  </w:style>
  <w:style w:type="paragraph" w:customStyle="1" w:styleId="52">
    <w:name w:val="封面标准文稿类别"/>
    <w:qFormat/>
    <w:uiPriority w:val="0"/>
    <w:pPr>
      <w:spacing w:before="440" w:line="400" w:lineRule="exact"/>
      <w:jc w:val="center"/>
    </w:pPr>
    <w:rPr>
      <w:rFonts w:ascii="宋体" w:hAnsi="Times New Roman" w:eastAsia="宋体" w:cs="Times New Roman"/>
      <w:sz w:val="24"/>
      <w:lang w:val="en-US" w:eastAsia="zh-CN" w:bidi="ar-SA"/>
    </w:rPr>
  </w:style>
  <w:style w:type="paragraph" w:customStyle="1" w:styleId="53">
    <w:name w:val="修订2"/>
    <w:hidden/>
    <w:semiHidden/>
    <w:qFormat/>
    <w:uiPriority w:val="99"/>
    <w:rPr>
      <w:rFonts w:ascii="Times New Roman" w:hAnsi="Times New Roman" w:eastAsia="宋体" w:cs="Times New Roman"/>
      <w:kern w:val="2"/>
      <w:sz w:val="21"/>
      <w:szCs w:val="24"/>
      <w:lang w:val="en-US" w:eastAsia="zh-CN" w:bidi="ar-SA"/>
    </w:rPr>
  </w:style>
  <w:style w:type="character" w:customStyle="1" w:styleId="54">
    <w:name w:val="fontstyle01"/>
    <w:basedOn w:val="18"/>
    <w:qFormat/>
    <w:uiPriority w:val="0"/>
    <w:rPr>
      <w:rFonts w:hint="eastAsia" w:ascii="宋体" w:hAnsi="宋体" w:eastAsia="宋体"/>
      <w:color w:val="000000"/>
      <w:sz w:val="22"/>
      <w:szCs w:val="22"/>
    </w:rPr>
  </w:style>
  <w:style w:type="character" w:styleId="55">
    <w:name w:val="Placeholder Text"/>
    <w:basedOn w:val="18"/>
    <w:semiHidden/>
    <w:qFormat/>
    <w:uiPriority w:val="99"/>
    <w:rPr>
      <w:color w:val="666666"/>
    </w:rPr>
  </w:style>
  <w:style w:type="paragraph" w:styleId="56">
    <w:name w:val="List Paragraph"/>
    <w:basedOn w:val="1"/>
    <w:qFormat/>
    <w:uiPriority w:val="99"/>
    <w:pPr>
      <w:ind w:firstLine="420" w:firstLineChars="200"/>
    </w:pPr>
  </w:style>
  <w:style w:type="character" w:customStyle="1" w:styleId="57">
    <w:name w:val="标题 1 字符"/>
    <w:basedOn w:val="18"/>
    <w:link w:val="2"/>
    <w:qFormat/>
    <w:uiPriority w:val="0"/>
    <w:rPr>
      <w:b/>
      <w:bCs/>
      <w:kern w:val="44"/>
      <w:sz w:val="44"/>
      <w:szCs w:val="44"/>
    </w:rPr>
  </w:style>
  <w:style w:type="character" w:customStyle="1" w:styleId="58">
    <w:name w:val="脚注文本 字符"/>
    <w:basedOn w:val="18"/>
    <w:link w:val="13"/>
    <w:qFormat/>
    <w:uiPriority w:val="0"/>
    <w:rPr>
      <w:kern w:val="2"/>
      <w:sz w:val="18"/>
      <w:szCs w:val="18"/>
    </w:rPr>
  </w:style>
  <w:style w:type="paragraph" w:customStyle="1" w:styleId="59">
    <w:name w:val="Revision"/>
    <w:hidden/>
    <w:unhideWhenUsed/>
    <w:qFormat/>
    <w:uiPriority w:val="99"/>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3" Type="http://schemas.openxmlformats.org/officeDocument/2006/relationships/fontTable" Target="fontTable.xml"/><Relationship Id="rId22" Type="http://schemas.openxmlformats.org/officeDocument/2006/relationships/customXml" Target="../customXml/item2.xml"/><Relationship Id="rId21" Type="http://schemas.openxmlformats.org/officeDocument/2006/relationships/numbering" Target="numbering.xml"/><Relationship Id="rId20" Type="http://schemas.openxmlformats.org/officeDocument/2006/relationships/customXml" Target="../customXml/item1.xml"/><Relationship Id="rId2" Type="http://schemas.openxmlformats.org/officeDocument/2006/relationships/settings" Target="settings.xml"/><Relationship Id="rId19" Type="http://schemas.openxmlformats.org/officeDocument/2006/relationships/image" Target="media/image3.png"/><Relationship Id="rId18" Type="http://schemas.openxmlformats.org/officeDocument/2006/relationships/oleObject" Target="embeddings/oleObject4.bin"/><Relationship Id="rId17" Type="http://schemas.openxmlformats.org/officeDocument/2006/relationships/image" Target="media/image2.wmf"/><Relationship Id="rId16" Type="http://schemas.openxmlformats.org/officeDocument/2006/relationships/oleObject" Target="embeddings/oleObject3.bin"/><Relationship Id="rId15" Type="http://schemas.openxmlformats.org/officeDocument/2006/relationships/oleObject" Target="embeddings/oleObject2.bin"/><Relationship Id="rId14" Type="http://schemas.openxmlformats.org/officeDocument/2006/relationships/image" Target="media/image1.wmf"/><Relationship Id="rId13" Type="http://schemas.openxmlformats.org/officeDocument/2006/relationships/oleObject" Target="embeddings/oleObject1.bin"/><Relationship Id="rId12" Type="http://schemas.openxmlformats.org/officeDocument/2006/relationships/theme" Target="theme/theme1.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7D85606-0904-4C95-AB07-74B0977CD2B3}">
  <ds:schemaRefs/>
</ds:datastoreItem>
</file>

<file path=docProps/app.xml><?xml version="1.0" encoding="utf-8"?>
<Properties xmlns="http://schemas.openxmlformats.org/officeDocument/2006/extended-properties" xmlns:vt="http://schemas.openxmlformats.org/officeDocument/2006/docPropsVTypes">
  <Template>Normal</Template>
  <Company>金龙</Company>
  <Pages>17</Pages>
  <Words>5472</Words>
  <Characters>7170</Characters>
  <Lines>717</Lines>
  <Paragraphs>902</Paragraphs>
  <TotalTime>202</TotalTime>
  <ScaleCrop>false</ScaleCrop>
  <LinksUpToDate>false</LinksUpToDate>
  <CharactersWithSpaces>11740</CharactersWithSpaces>
  <Application>WPS Office_11.8.2.10154_F1E327BC-269C-435d-A152-05C5408002CA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2026-06-16T02:38:00Z</dcterms:created>
  <dc:creator>金龙</dc:creator>
  <cp:lastModifiedBy>xxzx</cp:lastModifiedBy>
  <cp:lastPrinted>2026-03-14T07:31:00Z</cp:lastPrinted>
  <dcterms:modified xsi:type="dcterms:W3CDTF">2026-06-17T00:32:36Z</dcterms:modified>
  <dc:title>无缝翅片管</dc:title>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2052-11.8.2.10154</vt:lpwstr>
  </property>
  <property fmtid="{D5CDD505-2E9C-101B-9397-08002B2CF9AE}" pid="3" name="ICV">
    <vt:lpwstr>6E8892CEDE0F4C72A5FAF086870966A0_13</vt:lpwstr>
  </property>
  <property fmtid="{D5CDD505-2E9C-101B-9397-08002B2CF9AE}" pid="4" name="KSOTemplateDocerSaveRecord">
    <vt:lpwstr>eyJoZGlkIjoiZDc3NjdhMzRkNzc1ZjMzMjM5NTdkY2FjNzA1OWE0YWIiLCJ1c2VySWQiOiIyNTEyODEyMjEifQ==</vt:lpwstr>
  </property>
</Properties>
</file>