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2"/>
        <w:rPr>
          <w:color w:val="auto"/>
          <w:highlight w:val="none"/>
        </w:rPr>
        <w:sectPr>
          <w:headerReference r:id="rId5" w:type="first"/>
          <w:headerReference r:id="rId3" w:type="default"/>
          <w:footerReference r:id="rId6" w:type="default"/>
          <w:headerReference r:id="rId4" w:type="even"/>
          <w:footerReference r:id="rId7" w:type="even"/>
          <w:pgSz w:w="11907" w:h="16839"/>
          <w:pgMar w:top="567" w:right="851" w:bottom="1361" w:left="1418" w:header="0" w:footer="0" w:gutter="0"/>
          <w:pgBorders>
            <w:top w:val="none" w:sz="0" w:space="0"/>
            <w:left w:val="none" w:sz="0" w:space="0"/>
            <w:bottom w:val="none" w:sz="0" w:space="0"/>
            <w:right w:val="none" w:sz="0" w:space="0"/>
          </w:pgBorders>
          <w:pgNumType w:fmt="upperRoman" w:start="1"/>
          <w:cols w:space="720" w:num="1"/>
          <w:titlePg/>
          <w:docGrid w:type="lines" w:linePitch="312" w:charSpace="0"/>
        </w:sectPr>
      </w:pPr>
      <w:bookmarkStart w:id="0" w:name="SectionMark0"/>
      <w:r>
        <w:rPr>
          <w:color w:val="auto"/>
          <w:highlight w:val="none"/>
        </w:rPr>
        <mc:AlternateContent>
          <mc:Choice Requires="wps">
            <w:drawing>
              <wp:anchor distT="0" distB="0" distL="114300" distR="114300" simplePos="0" relativeHeight="251670528" behindDoc="0" locked="0" layoutInCell="0" allowOverlap="1">
                <wp:simplePos x="0" y="0"/>
                <wp:positionH relativeFrom="column">
                  <wp:posOffset>0</wp:posOffset>
                </wp:positionH>
                <wp:positionV relativeFrom="paragraph">
                  <wp:posOffset>2498090</wp:posOffset>
                </wp:positionV>
                <wp:extent cx="6121400" cy="0"/>
                <wp:effectExtent l="0" t="0" r="0" b="0"/>
                <wp:wrapNone/>
                <wp:docPr id="12" name="直线 46"/>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直线 46" o:spid="_x0000_s1026" o:spt="20" style="position:absolute;left:0pt;margin-left:0pt;margin-top:196.7pt;height:0pt;width:482pt;z-index:251670528;mso-width-relative:page;mso-height-relative:page;" filled="f" stroked="t" coordsize="21600,21600" o:allowincell="f" o:gfxdata="UEsDBAoAAAAAAIdO4kAAAAAAAAAAAAAAAAAEAAAAZHJzL1BLAwQUAAAACACHTuJAOIznPtQAAAAI&#10;AQAADwAAAGRycy9kb3ducmV2LnhtbE2PQUvDQBCF74L/YRnBi9jd2lhMzKagIHi1LYi3bXaaBLOz&#10;ITtN6r93BEGP897jzffKzTn0asIxdZEsLBcGFFIdfUeNhf3u5fYBVGJH3vWR0MIXJthUlxelK3yc&#10;6Q2nLTdKSigVzkLLPBRap7rF4NIiDkjiHeMYHMs5NtqPbpby0Os7Y9Y6uI7kQ+sGfG6x/tyegoX5&#10;/VXXH/mNCffTnvXRZE8mRGuvr5bmERTjmf/C8IMv6FAJ0yGeyCfVW5AhbGGVrzJQYufrTJTDr6Kr&#10;Uv8fUH0DUEsDBBQAAAAIAIdO4kAo5eP34QEAANIDAAAOAAAAZHJzL2Uyb0RvYy54bWytU0tu2zAQ&#10;3RfoHQjua8lG4BqC5SzippuiNdD2AGOSkgjwBw5j2WfpNbrqpsfJNTqkHCdNN15UC2o4nHkz73G4&#10;vj1aww4qovau5fNZzZlywkvt+pZ//3b/bsUZJnASjHeq5SeF/Hbz9s16DI1a+MEbqSIjEIfNGFo+&#10;pBSaqkIxKAs480E5Oux8tJBoG/tKRhgJ3ZpqUdfLavRRhuiFQiTvdjrkZ8R4DaDvOi3U1osHq1ya&#10;UKMykIgSDjog35Ruu06J9KXrUCVmWk5MU1mpCNn7vFabNTR9hDBocW4BrmnhFScL2lHRC9QWErCH&#10;qP+BslpEj75LM+FtNREpihCLef1Km68DBFW4kNQYLqLj/4MVnw+7yLSkSVhw5sDSjT/++Pn46ze7&#10;WWZ1xoANBd25XTzvMOxipnrsos1/IsGORdHTRVF1TEyQczlfzG9qEls8nVXPiSFi+qi8ZdloudEu&#10;k4UGDp8wUTEKfQrJbuPYmNt8X/CARq+jKydoG6h9dH1JRm+0vNfG5BSM/f7ORHYAuv5VTd8qcyLg&#10;v8JylS3gMMWVo2kwBgXyg5MsnQLp4ug98NyDVZIzo+j5ZIsAoUmgzTWRVNo46iDLOgmZrb2Xp6Jv&#10;8dNVlx7PY5ln6eW+ZD8/xc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znPtQAAAAIAQAADwAA&#10;AAAAAAABACAAAAAiAAAAZHJzL2Rvd25yZXYueG1sUEsBAhQAFAAAAAgAh07iQCjl4/fhAQAA0gMA&#10;AA4AAAAAAAAAAQAgAAAAIwEAAGRycy9lMm9Eb2MueG1sUEsFBgAAAAAGAAYAWQEAAHYFAAAAAA==&#10;">
                <v:fill on="f" focussize="0,0"/>
                <v:stroke weight="1pt" color="#800008"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71552" behindDoc="0" locked="0" layoutInCell="0" allowOverlap="1">
                <wp:simplePos x="0" y="0"/>
                <wp:positionH relativeFrom="column">
                  <wp:posOffset>-9525</wp:posOffset>
                </wp:positionH>
                <wp:positionV relativeFrom="paragraph">
                  <wp:posOffset>8863965</wp:posOffset>
                </wp:positionV>
                <wp:extent cx="6121400" cy="0"/>
                <wp:effectExtent l="0" t="0" r="0" b="0"/>
                <wp:wrapNone/>
                <wp:docPr id="13" name="直线 47"/>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直线 47" o:spid="_x0000_s1026" o:spt="20" style="position:absolute;left:0pt;margin-left:-0.75pt;margin-top:697.95pt;height:0pt;width:482pt;z-index:251671552;mso-width-relative:page;mso-height-relative:page;" filled="f" stroked="t" coordsize="21600,21600" o:allowincell="f" o:gfxdata="UEsDBAoAAAAAAIdO4kAAAAAAAAAAAAAAAAAEAAAAZHJzL1BLAwQUAAAACACHTuJA9irxFdYAAAAM&#10;AQAADwAAAGRycy9kb3ducmV2LnhtbE2PwWrDMAyG74O+g9Fgl9Ha6ZbSpHEKHRR2XVcYu7mxmoTF&#10;cojdpH37aYexHfXp59enYnt1nRhxCK0nDclCgUCqvG2p1nB838/XIEI0ZE3nCTXcMMC2nN0VJrd+&#10;ojccD7EWXEIhNxqaGPtcylA16ExY+B6Jd2c/OBN5HGppBzNxuevkUqmVdKYlvtCYHl8arL4OF6dh&#10;+niV1Wf2qFw6HqM8q+edcl7rh/tEbUBEvMa/MPzoszqU7HTyF7JBdBrmScpJ5k9ZmoHgRLZaMjr9&#10;IlkW8v8T5TdQSwMEFAAAAAgAh07iQPT+nVrjAQAA0gMAAA4AAABkcnMvZTJvRG9jLnhtbK1TS27b&#10;MBDdF+gdCO5ryW6QGILlLOKmm6I10OYAY5KSCPAHDmPZZ+k1uuqmx8k1OqQcp003XlQLajiceTPv&#10;cbi6PVjD9iqi9q7l81nNmXLCS+36lj98u3+35AwTOAnGO9Xyo0J+u377ZjWGRi384I1UkRGIw2YM&#10;LR9SCk1VoRiUBZz5oBwddj5aSLSNfSUjjIRuTbWo6+tq9FGG6IVCJO9mOuQnxHgJoO86LdTGi0er&#10;XJpQozKQiBIOOiBfl267Ton0petQJWZaTkxTWakI2bu8VusVNH2EMGhxagEuaeEVJwvaUdEz1AYS&#10;sMeo/4GyWkSPvksz4W01ESmKEIt5/UqbrwMEVbiQ1BjOouP/gxWf99vItKRJeM+ZA0s3/vT9x9PP&#10;X+zqJqszBmwo6M5t42mHYRsz1UMXbf4TCXYoih7PiqpDYoKc1/PF/KomscXzWfWSGCKmj8pblo2W&#10;G+0yWWhg/wkTFaPQ55DsNo6N1ObipuABjV5HV07QNlD76PqSjN5oea+NySkY+92diWwPdP3Lmr5l&#10;5kTAf4XlKhvAYYorR9NgDArkBydZOgbSxdF74LkHqyRnRtHzyRYBQpNAm0siqbRx1EGWdRIyWzsv&#10;j0Xf4qerLj2exjLP0p/7kv3yFNe/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Yq8RXWAAAADAEA&#10;AA8AAAAAAAAAAQAgAAAAIgAAAGRycy9kb3ducmV2LnhtbFBLAQIUABQAAAAIAIdO4kD0/p1a4wEA&#10;ANIDAAAOAAAAAAAAAAEAIAAAACUBAABkcnMvZTJvRG9jLnhtbFBLBQYAAAAABgAGAFkBAAB6BQAA&#10;AAA=&#10;">
                <v:fill on="f" focussize="0,0"/>
                <v:stroke weight="1pt" color="#800008"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69504" behindDoc="0" locked="0" layoutInCell="1" allowOverlap="1">
                <wp:simplePos x="0" y="0"/>
                <wp:positionH relativeFrom="column">
                  <wp:posOffset>4843145</wp:posOffset>
                </wp:positionH>
                <wp:positionV relativeFrom="paragraph">
                  <wp:posOffset>9121140</wp:posOffset>
                </wp:positionV>
                <wp:extent cx="457200" cy="323850"/>
                <wp:effectExtent l="4445" t="4445" r="14605" b="14605"/>
                <wp:wrapNone/>
                <wp:docPr id="11" name="文本框 43"/>
                <wp:cNvGraphicFramePr/>
                <a:graphic xmlns:a="http://schemas.openxmlformats.org/drawingml/2006/main">
                  <a:graphicData uri="http://schemas.microsoft.com/office/word/2010/wordprocessingShape">
                    <wps:wsp>
                      <wps:cNvSpPr txBox="1"/>
                      <wps:spPr>
                        <a:xfrm>
                          <a:off x="0" y="0"/>
                          <a:ext cx="457200" cy="3238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黑体" w:eastAsia="黑体"/>
                                <w:sz w:val="28"/>
                                <w:szCs w:val="28"/>
                              </w:rPr>
                            </w:pPr>
                            <w:r>
                              <w:rPr>
                                <w:rFonts w:hint="eastAsia" w:ascii="黑体" w:eastAsia="黑体"/>
                                <w:sz w:val="28"/>
                                <w:szCs w:val="28"/>
                              </w:rPr>
                              <w:t>发 布</w:t>
                            </w:r>
                          </w:p>
                        </w:txbxContent>
                      </wps:txbx>
                      <wps:bodyPr wrap="square" lIns="0" tIns="0" rIns="0" bIns="0" upright="1"/>
                    </wps:wsp>
                  </a:graphicData>
                </a:graphic>
              </wp:anchor>
            </w:drawing>
          </mc:Choice>
          <mc:Fallback>
            <w:pict>
              <v:shape id="文本框 43" o:spid="_x0000_s1026" o:spt="202" type="#_x0000_t202" style="position:absolute;left:0pt;margin-left:381.35pt;margin-top:718.2pt;height:25.5pt;width:36pt;z-index:251669504;mso-width-relative:page;mso-height-relative:page;" fillcolor="#FFFFFF" filled="t" stroked="t" coordsize="21600,21600" o:gfxdata="UEsDBAoAAAAAAIdO4kAAAAAAAAAAAAAAAAAEAAAAZHJzL1BLAwQUAAAACACHTuJA+WJ02NoAAAAN&#10;AQAADwAAAGRycy9kb3ducmV2LnhtbE2PzU7DMBCE70i8g7VI3Kjd1kqiNE6FkLhQCUShEsdN7CYR&#10;/olitylvz/YEx52Znf222l6cZWczxSF4BcuFAGZ8G/TgOwWfH88PBbCY0Gu0wRsFPybCtr69qbDU&#10;Yfbv5rxPHaMSH0tU0Kc0lpzHtjcO4yKMxpN3DJPDROPUcT3hTOXO8pUQGXc4eLrQ42ieetN+70+O&#10;MNzjjK9ts8veRiG+Xg47aQ+5Uvd3S7EBlswl/YXhik87UBNTE05eR2YV5NkqpygZcp1JYBQp1pKk&#10;5ioVuQReV/z/F/UvUEsDBBQAAAAIAIdO4kC4TqaRIQIAAGkEAAAOAAAAZHJzL2Uyb0RvYy54bWyt&#10;VMuO0zAU3SPxD5b3NJ12CkPVdCQoRUgIkAY+wHWcxJJf2G6T/gD8ASs27PmufgfHTtthhk0XdJHe&#10;2Nfn3nPucRa3vVZkJ3yQ1pT0ajSmRBhuK2makn75vH52Q0mIzFRMWSNKuheB3i6fPll0bi4mtrWq&#10;Ep4AxIR550raxujmRRF4KzQLI+uEwWZtvWYRr74pKs86oGtVTMbj50VnfeW85SIErK6GTXpE9JcA&#10;2rqWXKws32ph4oDqhWIRlEIrXaDL3G1dCx4/1nUQkaiSgmnMTxRBvEnPYrlg88Yz10p+bIFd0sIj&#10;TppJg6JnqBWLjGy9/AdKS+5tsHUccauLgUhWBCyuxo+0uWuZE5kLpA7uLHr4f7D8w+6TJ7KCE64o&#10;MUxj4ocf3w8/fx9+fSPX0yRQ58IceXcOmbF/ZXskn9YDFhPvvvY6/YMRwT7k3Z/lFX0kHIvXsxcw&#10;ACUcW9PJ9GaW5S/uDzsf4lthNUlBST2ml0Vlu/chohGknlJSrWCVrNZSqfzim81r5cmOYdLr/Es9&#10;4siDNGVIV9KXs8kMfTDYt4ZtEGoHCYJpcr0HJ8JlwKmxFQvt0EBGGMylZRQ+26wVrHpjKhL3Diob&#10;3C6amtGiokQJXMYU5czIpLokE+yUAck0oWESKYr9pgdMCje22mNqHQwOel+3zKOmemfgoHQbToE/&#10;BZtTsHVeNi2GkCedC8CBWc/jbUkW//s9t3H/hV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li&#10;dNjaAAAADQEAAA8AAAAAAAAAAQAgAAAAIgAAAGRycy9kb3ducmV2LnhtbFBLAQIUABQAAAAIAIdO&#10;4kC4TqaRIQIAAGkEAAAOAAAAAAAAAAEAIAAAACkBAABkcnMvZTJvRG9jLnhtbFBLBQYAAAAABgAG&#10;AFkBAAC8BQAAAAA=&#10;">
                <v:fill on="t" focussize="0,0"/>
                <v:stroke color="#FFFFFF" joinstyle="miter"/>
                <v:imagedata o:title=""/>
                <o:lock v:ext="edit" aspectratio="f"/>
                <v:textbox inset="0mm,0mm,0mm,0mm">
                  <w:txbxContent>
                    <w:p>
                      <w:pPr>
                        <w:rPr>
                          <w:rFonts w:ascii="黑体" w:eastAsia="黑体"/>
                          <w:sz w:val="28"/>
                          <w:szCs w:val="28"/>
                        </w:rPr>
                      </w:pPr>
                      <w:r>
                        <w:rPr>
                          <w:rFonts w:hint="eastAsia" w:ascii="黑体" w:eastAsia="黑体"/>
                          <w:sz w:val="28"/>
                          <w:szCs w:val="28"/>
                        </w:rPr>
                        <w:t>发 布</w:t>
                      </w:r>
                    </w:p>
                  </w:txbxContent>
                </v:textbox>
              </v:shape>
            </w:pict>
          </mc:Fallback>
        </mc:AlternateContent>
      </w:r>
      <w:r>
        <w:rPr>
          <w:color w:val="auto"/>
          <w:highlight w:val="none"/>
        </w:rPr>
        <mc:AlternateContent>
          <mc:Choice Requires="wps">
            <w:drawing>
              <wp:anchor distT="0" distB="0" distL="114300" distR="114300" simplePos="0" relativeHeight="251666432" behindDoc="0" locked="0" layoutInCell="1" allowOverlap="1">
                <wp:simplePos x="0" y="0"/>
                <wp:positionH relativeFrom="column">
                  <wp:posOffset>-9525</wp:posOffset>
                </wp:positionH>
                <wp:positionV relativeFrom="paragraph">
                  <wp:posOffset>8856345</wp:posOffset>
                </wp:positionV>
                <wp:extent cx="6121400" cy="0"/>
                <wp:effectExtent l="0" t="0" r="0" b="0"/>
                <wp:wrapNone/>
                <wp:docPr id="8" name="直线 36"/>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wps:wsp>
                  </a:graphicData>
                </a:graphic>
              </wp:anchor>
            </w:drawing>
          </mc:Choice>
          <mc:Fallback>
            <w:pict>
              <v:line id="直线 36" o:spid="_x0000_s1026" o:spt="20" style="position:absolute;left:0pt;margin-left:-0.75pt;margin-top:697.35pt;height:0pt;width:482pt;z-index:251666432;mso-width-relative:page;mso-height-relative:page;" filled="f" stroked="t" coordsize="21600,21600" o:gfxdata="UEsDBAoAAAAAAIdO4kAAAAAAAAAAAAAAAAAEAAAAZHJzL1BLAwQUAAAACACHTuJAElXg4tcAAAAM&#10;AQAADwAAAGRycy9kb3ducmV2LnhtbE2PwU7DMAyG70i8Q2QkblvaASsrTXdATMBxA2kcvSa01RKn&#10;SrKt4+kxBwRHf/71+3O1HJ0VRxNi70lBPs1AGGq87qlV8P62mtyDiAlJo/VkFJxNhGV9eVFhqf2J&#10;1ua4Sa3gEoolKuhSGkopY9MZh3HqB0O8+/TBYeIxtFIHPHG5s3KWZXPpsCe+0OFgHjvT7DcHp6B9&#10;Wq0L3IbX8/Z5X7jx66Ow8kWp66s8ewCRzJj+wvCjz+pQs9POH0hHYRVM8jtOMr9Z3BYgOLGYzxjt&#10;fpGsK/n/ifobUEsDBBQAAAAIAIdO4kA83z5m4AEAANEDAAAOAAAAZHJzL2Uyb0RvYy54bWytU82O&#10;0zAQviPxDpbvNGlBBUVN97DdckFQCXiAqe0klvwnj7dpn4XX4MSFx9nXYOx0u7BcetgcHHtm/M18&#10;34xXN0dr2EFF1N61fD6rOVNOeKld3/Lv37ZvPnCGCZwE451q+Ukhv1m/frUaQ6MWfvBGqsgIxGEz&#10;hpYPKYWmqlAMygLOfFCOnJ2PFhIdY1/JCCOhW1Mt6npZjT7KEL1QiGTdTE5+RozXAPqu00JtvLi3&#10;yqUJNSoDiSjhoAPydam265RIX7oOVWKm5cQ0lZWS0H6f12q9gqaPEAYtziXANSU842RBO0p6gdpA&#10;AnYf9X9QVovo0XdpJrytJiJFEWIxr59p83WAoAoXkhrDRXR8OVjx+bCLTMuWU9sdWGr4w4+fD79+&#10;s7fLLM4YsKGYW7eL5xOGXcxMj120+U8c2LEIeroIqo6JCTIu54v5u5q0Fo++6uliiJg+Km9Z3rTc&#10;aJe5QgOHT5goGYU+hmSzcWykeV28L3hAk9dRxwnaBqoeXV8uozdabrUx+QrGfn9rIjsAdX9bvsyJ&#10;gP8Jy1k2gMMUV1zTXAwK5J2TLJ0C6eLoOfBcg1WSM6Po9eQdAUKTQJtrIim1cVRBlnUSMu/2Xp6K&#10;vsVOnS41nqcyj9Lf53L76SWu/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SVeDi1wAAAAwBAAAP&#10;AAAAAAAAAAEAIAAAACIAAABkcnMvZG93bnJldi54bWxQSwECFAAUAAAACACHTuJAPN8+ZuABAADR&#10;AwAADgAAAAAAAAABACAAAAAmAQAAZHJzL2Uyb0RvYy54bWxQSwUGAAAAAAYABgBZAQAAeAUAAAAA&#10;">
                <v:fill on="f" focussize="0,0"/>
                <v:stroke weight="1pt" color="#FFFFFF"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68480" behindDoc="0" locked="1" layoutInCell="1" allowOverlap="1">
                <wp:simplePos x="0" y="0"/>
                <wp:positionH relativeFrom="margin">
                  <wp:posOffset>857250</wp:posOffset>
                </wp:positionH>
                <wp:positionV relativeFrom="margin">
                  <wp:posOffset>9038590</wp:posOffset>
                </wp:positionV>
                <wp:extent cx="3815715" cy="734695"/>
                <wp:effectExtent l="0" t="0" r="13335" b="8255"/>
                <wp:wrapNone/>
                <wp:docPr id="10" name="fmFrame7"/>
                <wp:cNvGraphicFramePr/>
                <a:graphic xmlns:a="http://schemas.openxmlformats.org/drawingml/2006/main">
                  <a:graphicData uri="http://schemas.microsoft.com/office/word/2010/wordprocessingShape">
                    <wps:wsp>
                      <wps:cNvSpPr txBox="1"/>
                      <wps:spPr>
                        <a:xfrm>
                          <a:off x="0" y="0"/>
                          <a:ext cx="3815715" cy="734695"/>
                        </a:xfrm>
                        <a:prstGeom prst="rect">
                          <a:avLst/>
                        </a:prstGeom>
                        <a:solidFill>
                          <a:srgbClr val="FFFFFF"/>
                        </a:solidFill>
                        <a:ln>
                          <a:noFill/>
                        </a:ln>
                      </wps:spPr>
                      <wps:txbx>
                        <w:txbxContent>
                          <w:p>
                            <w:pPr>
                              <w:pStyle w:val="45"/>
                              <w:spacing w:line="0" w:lineRule="atLeast"/>
                              <w:jc w:val="distribute"/>
                              <w:rPr>
                                <w:rFonts w:hint="eastAsia" w:hAnsi="宋体"/>
                                <w:spacing w:val="-40"/>
                                <w:w w:val="100"/>
                                <w:szCs w:val="36"/>
                              </w:rPr>
                            </w:pPr>
                            <w:r>
                              <w:rPr>
                                <w:rFonts w:hint="eastAsia" w:hAnsi="宋体"/>
                                <w:spacing w:val="-40"/>
                                <w:w w:val="100"/>
                                <w:szCs w:val="36"/>
                              </w:rPr>
                              <w:t>国家市场监督管理总局</w:t>
                            </w:r>
                          </w:p>
                          <w:p>
                            <w:pPr>
                              <w:pStyle w:val="45"/>
                              <w:spacing w:line="0" w:lineRule="atLeast"/>
                              <w:jc w:val="distribute"/>
                              <w:rPr>
                                <w:rFonts w:hint="eastAsia" w:hAnsi="宋体"/>
                                <w:spacing w:val="-40"/>
                                <w:w w:val="100"/>
                                <w:szCs w:val="36"/>
                              </w:rPr>
                            </w:pPr>
                            <w:r>
                              <w:rPr>
                                <w:rFonts w:hint="eastAsia" w:hAnsi="宋体"/>
                                <w:spacing w:val="-40"/>
                                <w:w w:val="100"/>
                                <w:szCs w:val="36"/>
                              </w:rPr>
                              <w:t>国家标准化管理委员会</w:t>
                            </w:r>
                          </w:p>
                        </w:txbxContent>
                      </wps:txbx>
                      <wps:bodyPr wrap="square" lIns="0" tIns="0" rIns="36000" bIns="0" upright="1"/>
                    </wps:wsp>
                  </a:graphicData>
                </a:graphic>
              </wp:anchor>
            </w:drawing>
          </mc:Choice>
          <mc:Fallback>
            <w:pict>
              <v:shape id="fmFrame7" o:spid="_x0000_s1026" o:spt="202" type="#_x0000_t202" style="position:absolute;left:0pt;margin-left:67.5pt;margin-top:711.7pt;height:57.85pt;width:300.45pt;mso-position-horizontal-relative:margin;mso-position-vertical-relative:margin;z-index:251668480;mso-width-relative:page;mso-height-relative:page;" fillcolor="#FFFFFF" filled="t" stroked="f" coordsize="21600,21600" o:gfxdata="UEsDBAoAAAAAAIdO4kAAAAAAAAAAAAAAAAAEAAAAZHJzL1BLAwQUAAAACACHTuJA9+M3jNkAAAAN&#10;AQAADwAAAGRycy9kb3ducmV2LnhtbE2PQU/DMAyF70j8h8hIXBBLu66DlaY7ICE4ITEQ5zQxbUXj&#10;VEm6jn+PObGbn/30/L16f3KjOGKIgycF+SoDgWS8HahT8PH+dHsPIiZNVo+eUMEPRtg3lxe1rqxf&#10;6A2Ph9QJDqFYaQV9SlMlZTQ9Oh1XfkLi25cPTieWoZM26IXD3SjXWbaVTg/EH3o94WOP5vswOwXb&#10;1rvX+DKZEPLnz8L6m2iWWanrqzx7AJHwlP7N8IfP6NAwU+tnslGMrIuSuyQeNutiA4Itd0W5A9Hy&#10;qix2Ocimluctml9QSwMEFAAAAAgAh07iQP/p3/LNAQAAqwMAAA4AAABkcnMvZTJvRG9jLnhtbK1T&#10;TY/TMBC9I/EfLN9p0i1tl6rpSlAVISFYaeEHuI6TWPIXM26T/nvGTtqF5bIHckjGM+M3895Mtg+D&#10;NeysALV3FZ/PSs6Uk77Wrq34zx+Hd/ecYRSuFsY7VfGLQv6we/tm24eNuvOdN7UCRiAON32oeBdj&#10;2BQFyk5ZgTMflKNg48GKSEdoixpET+jWFHdluSp6D3UALxUiefdjkE+I8BpA3zRaqr2XJ6tcHFFB&#10;GRGJEnY6IN/lbptGyfi9aVBFZipOTGN+UxGyj+ld7LZi04IInZZTC+I1LbzgZIV2VPQGtRdRsBPo&#10;f6CsluDRN3EmvS1GIlkRYjEvX2jz1ImgMheSGsNNdPx/sPLb+RGYrmkTSBInLE28sQcgY53E6QNu&#10;KOcpUFYcPvqBEq9+JGfiPDRg05fYMIoTzuUmrRoik+Rc3M+X6/mSM0mx9eL96sMywRTPtwNg/Ky8&#10;ZcmoONDosqLi/BXjmHpNScXQG10ftDH5AO3xkwF2FjTmQ34m9L/SjEvJzqdrI2LyFInjyCVZcTgO&#10;E/Gjry/Eu6f1qDj+OglQnJkvjvRPu3Q1IBuLVVmmrbp6TwF02xGTrFcuQjPMlKd9S0vy5zm38vyP&#10;7X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9+M3jNkAAAANAQAADwAAAAAAAAABACAAAAAiAAAA&#10;ZHJzL2Rvd25yZXYueG1sUEsBAhQAFAAAAAgAh07iQP/p3/LNAQAAqwMAAA4AAAAAAAAAAQAgAAAA&#10;KAEAAGRycy9lMm9Eb2MueG1sUEsFBgAAAAAGAAYAWQEAAGcFAAAAAA==&#10;">
                <v:fill on="t" focussize="0,0"/>
                <v:stroke on="f"/>
                <v:imagedata o:title=""/>
                <o:lock v:ext="edit" aspectratio="f"/>
                <v:textbox inset="0mm,0mm,1mm,0mm">
                  <w:txbxContent>
                    <w:p>
                      <w:pPr>
                        <w:pStyle w:val="45"/>
                        <w:spacing w:line="0" w:lineRule="atLeast"/>
                        <w:jc w:val="distribute"/>
                        <w:rPr>
                          <w:rFonts w:hint="eastAsia" w:hAnsi="宋体"/>
                          <w:spacing w:val="-40"/>
                          <w:w w:val="100"/>
                          <w:szCs w:val="36"/>
                        </w:rPr>
                      </w:pPr>
                      <w:r>
                        <w:rPr>
                          <w:rFonts w:hint="eastAsia" w:hAnsi="宋体"/>
                          <w:spacing w:val="-40"/>
                          <w:w w:val="100"/>
                          <w:szCs w:val="36"/>
                        </w:rPr>
                        <w:t>国家市场监督管理总局</w:t>
                      </w:r>
                    </w:p>
                    <w:p>
                      <w:pPr>
                        <w:pStyle w:val="45"/>
                        <w:spacing w:line="0" w:lineRule="atLeast"/>
                        <w:jc w:val="distribute"/>
                        <w:rPr>
                          <w:rFonts w:hint="eastAsia" w:hAnsi="宋体"/>
                          <w:spacing w:val="-40"/>
                          <w:w w:val="100"/>
                          <w:szCs w:val="36"/>
                        </w:rPr>
                      </w:pPr>
                      <w:r>
                        <w:rPr>
                          <w:rFonts w:hint="eastAsia" w:hAnsi="宋体"/>
                          <w:spacing w:val="-40"/>
                          <w:w w:val="100"/>
                          <w:szCs w:val="36"/>
                        </w:rPr>
                        <w:t>国家标准化管理委员会</w:t>
                      </w:r>
                    </w:p>
                  </w:txbxContent>
                </v:textbox>
                <w10:anchorlock/>
              </v:shape>
            </w:pict>
          </mc:Fallback>
        </mc:AlternateContent>
      </w:r>
      <w:r>
        <w:rPr>
          <w:color w:val="auto"/>
          <w:highlight w:val="none"/>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2406650</wp:posOffset>
                </wp:positionV>
                <wp:extent cx="6121400" cy="0"/>
                <wp:effectExtent l="0" t="0" r="0" b="0"/>
                <wp:wrapNone/>
                <wp:docPr id="7" name="直线 35"/>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wps:wsp>
                  </a:graphicData>
                </a:graphic>
              </wp:anchor>
            </w:drawing>
          </mc:Choice>
          <mc:Fallback>
            <w:pict>
              <v:line id="直线 35" o:spid="_x0000_s1026" o:spt="20" style="position:absolute;left:0pt;margin-left:0pt;margin-top:189.5pt;height:0pt;width:482pt;z-index:251665408;mso-width-relative:page;mso-height-relative:page;" filled="f" stroked="t" coordsize="21600,21600" o:allowincell="f" o:gfxdata="UEsDBAoAAAAAAIdO4kAAAAAAAAAAAAAAAAAEAAAAZHJzL1BLAwQUAAAACACHTuJAZ1uNlNUAAAAI&#10;AQAADwAAAGRycy9kb3ducmV2LnhtbE2PQU/DMAyF70j8h8hI3Fg6QCsrTXdATMBxA2kcvca01RKn&#10;arKt49djJKRxe/aznr9XLkbv1IGG2AU2MJ1koIjrYDtuDHy8L28eQMWEbNEFJgMnirCoLi9KLGw4&#10;8ooO69QoCeFYoIE2pb7QOtYteYyT0BOL9xUGj0nGodF2wKOEe6dvs2ymPXYsH1rs6amlerfeewPN&#10;83KV42Z4O21edrkfvz9zp1+Nub6aZo+gEo3pfAy/+IIOlTBtw55tVM6AFEkG7vK5CLHns3sR27+N&#10;rkr9v0D1A1BLAwQUAAAACACHTuJA3l00FOEBAADRAwAADgAAAGRycy9lMm9Eb2MueG1srVPNjtMw&#10;EL4j8Q6W7zRpF3ZR1HQPW8oFQSXgAaa2k1jynzzepn0WXoMTFx5nX4Ox0+3Cculhc3DG45lv5vs8&#10;Xt4erGF7FVF71/L5rOZMOeGldn3Lv3/bvHnPGSZwEox3quVHhfx29frVcgyNWvjBG6kiIxCHzRha&#10;PqQUmqpCMSgLOPNBOTrsfLSQaBv7SkYYCd2aalHX19XoowzRC4VI3vV0yE+I8RJA33VaqLUX91a5&#10;NKFGZSARJRx0QL4q3XadEulL16FKzLScmKayUhGyd3mtVkto+ghh0OLUAlzSwjNOFrSjomeoNSRg&#10;91H/B2W1iB59l2bC22oiUhQhFvP6mTZfBwiqcCGpMZxFx5eDFZ/328i0bPkNZw4sXfjDj58Pv36z&#10;q3dZnDFgQzF3bhtPOwzbmJkeumjznziwQxH0eBZUHRIT5LyeL+Zva9JaPJ5VT4khYvqovGXZaLnR&#10;LnOFBvafMFExCn0MyW7j2EjzurgpeECT19GNE7QN1D26viSjN1putDE5BWO/uzOR7YFuf1O+zImA&#10;/wnLVdaAwxRXjqa5GBTID06ydAyki6PnwHMPVknOjKLXky0ChCaBNpdEUmnjqIMs6yRktnZeHou+&#10;xU83XXo8TWUepb/3JfvpJa7+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dbjZTVAAAACAEAAA8A&#10;AAAAAAAAAQAgAAAAIgAAAGRycy9kb3ducmV2LnhtbFBLAQIUABQAAAAIAIdO4kDeXTQU4QEAANED&#10;AAAOAAAAAAAAAAEAIAAAACQBAABkcnMvZTJvRG9jLnhtbFBLBQYAAAAABgAGAFkBAAB3BQAAAAA=&#10;">
                <v:fill on="f" focussize="0,0"/>
                <v:stroke weight="1pt" color="#FFFFFF"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67456" behindDoc="0" locked="1" layoutInCell="0" allowOverlap="1">
                <wp:simplePos x="0" y="0"/>
                <wp:positionH relativeFrom="margin">
                  <wp:posOffset>0</wp:posOffset>
                </wp:positionH>
                <wp:positionV relativeFrom="margin">
                  <wp:posOffset>0</wp:posOffset>
                </wp:positionV>
                <wp:extent cx="2540000" cy="657860"/>
                <wp:effectExtent l="0" t="0" r="12700" b="8890"/>
                <wp:wrapNone/>
                <wp:docPr id="9"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wps:spPr>
                      <wps:txbx>
                        <w:txbxContent>
                          <w:p>
                            <w:pPr>
                              <w:pStyle w:val="46"/>
                              <w:rPr>
                                <w:rFonts w:ascii="黑体" w:hAnsi="黑体" w:cs="黑体"/>
                                <w:b w:val="0"/>
                                <w:bCs/>
                              </w:rPr>
                            </w:pPr>
                            <w:r>
                              <w:rPr>
                                <w:rFonts w:ascii="黑体" w:hAnsi="黑体" w:cs="黑体"/>
                                <w:b w:val="0"/>
                                <w:bCs/>
                              </w:rPr>
                              <w:t>ICS</w:t>
                            </w:r>
                            <w:r>
                              <w:rPr>
                                <w:rFonts w:hint="eastAsia" w:ascii="黑体" w:hAnsi="黑体" w:cs="黑体"/>
                                <w:b w:val="0"/>
                                <w:bCs/>
                              </w:rPr>
                              <w:t xml:space="preserve"> </w:t>
                            </w:r>
                            <w:r>
                              <w:rPr>
                                <w:rFonts w:hint="eastAsia" w:ascii="黑体" w:hAnsi="黑体" w:cs="黑体"/>
                                <w:bCs/>
                              </w:rPr>
                              <w:t>77.1</w:t>
                            </w:r>
                            <w:r>
                              <w:rPr>
                                <w:rFonts w:hint="eastAsia" w:ascii="黑体" w:hAnsi="黑体" w:cs="黑体"/>
                                <w:bCs/>
                                <w:lang w:val="en-US" w:eastAsia="zh-CN"/>
                              </w:rPr>
                              <w:t>5</w:t>
                            </w:r>
                            <w:r>
                              <w:rPr>
                                <w:rFonts w:hint="eastAsia" w:ascii="黑体" w:hAnsi="黑体" w:cs="黑体"/>
                                <w:bCs/>
                              </w:rPr>
                              <w:t>0.40</w:t>
                            </w:r>
                          </w:p>
                          <w:p>
                            <w:pPr>
                              <w:pStyle w:val="46"/>
                              <w:rPr>
                                <w:rFonts w:ascii="黑体" w:hAnsi="黑体" w:cs="黑体"/>
                                <w:b w:val="0"/>
                                <w:bCs/>
                              </w:rPr>
                            </w:pPr>
                            <w:r>
                              <w:rPr>
                                <w:rFonts w:ascii="黑体" w:hAnsi="黑体" w:cs="黑体"/>
                                <w:b w:val="0"/>
                                <w:bCs/>
                              </w:rPr>
                              <w:t>CCS H</w:t>
                            </w:r>
                            <w:r>
                              <w:rPr>
                                <w:rFonts w:hint="eastAsia" w:ascii="黑体" w:hAnsi="黑体" w:cs="黑体"/>
                                <w:b w:val="0"/>
                                <w:bCs/>
                              </w:rPr>
                              <w:t xml:space="preserve"> </w:t>
                            </w:r>
                            <w:r>
                              <w:rPr>
                                <w:rFonts w:hint="eastAsia" w:ascii="黑体" w:hAnsi="黑体" w:cs="黑体"/>
                                <w:bCs/>
                              </w:rPr>
                              <w:t>62</w:t>
                            </w:r>
                          </w:p>
                        </w:txbxContent>
                      </wps:txbx>
                      <wps:bodyPr wrap="square" lIns="0" tIns="0" rIns="0" bIns="0" upright="1"/>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67456;mso-width-relative:page;mso-height-relative:page;" fillcolor="#FFFFFF" filled="t" stroked="f" coordsize="21600,21600" o:allowincell="f"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HMfV+7IAQAApgMAAA4AAABkcnMvZTJvRG9jLnhtbK1TTY/TMBC9&#10;I/EfLN9p0ootS9R0JaiKkBAgLfwAx3ESS/5ixm3Sf8/YabqwXPaAD854Zvxm3vNk9zBZw84KUHtX&#10;8/Wq5Ew56Vvt+pr//HF8c88ZRuFaYbxTNb8o5A/71692Y6jUxg/etAoYgTisxlDzIcZQFQXKQVmB&#10;Kx+Uo2DnwYpIR+iLFsRI6NYUm7LcFqOHNoCXCpG8hznIr4jwEkDfdVqqg5cnq1ycUUEZEYkSDjog&#10;3+duu07J+K3rUEVmak5MY96pCNlN2ov9TlQ9iDBoeW1BvKSFZ5ys0I6K3qAOIgp2Av0PlNUSPPou&#10;rqS3xUwkK0Is1uUzbR4HEVTmQlJjuImO/w9Wfj1/B6bbmr/nzAlLD97ZI5CxTtqMAStKeQyUFKcP&#10;fqKJWfxIzkR56sCmL5FhFCdlLzdl1RSZJOfm7m1JizNJse3du/ttlr54uh0A4yflLUtGzYFeLgsq&#10;zl8wUieUuqSkYuiNbo/amHyAvvlogJ0FvfIxr9QkXfkrzbiU7Hy6NoeTp0gcZy7JilMzXYk3vr0Q&#10;75Gmo+b46yRAcWY+O5I/jdJiwGI0i3EKoPuBWGStcgF6vtzQddTSfPx5zm08/V77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Xsy+DTAAAABQEAAA8AAAAAAAAAAQAgAAAAIgAAAGRycy9kb3ducmV2&#10;LnhtbFBLAQIUABQAAAAIAIdO4kBzH1fuyAEAAKYDAAAOAAAAAAAAAAEAIAAAACIBAABkcnMvZTJv&#10;RG9jLnhtbFBLBQYAAAAABgAGAFkBAABcBQAAAAA=&#10;">
                <v:fill on="t" focussize="0,0"/>
                <v:stroke on="f"/>
                <v:imagedata o:title=""/>
                <o:lock v:ext="edit" aspectratio="f"/>
                <v:textbox inset="0mm,0mm,0mm,0mm">
                  <w:txbxContent>
                    <w:p>
                      <w:pPr>
                        <w:pStyle w:val="46"/>
                        <w:rPr>
                          <w:rFonts w:ascii="黑体" w:hAnsi="黑体" w:cs="黑体"/>
                          <w:b w:val="0"/>
                          <w:bCs/>
                        </w:rPr>
                      </w:pPr>
                      <w:r>
                        <w:rPr>
                          <w:rFonts w:ascii="黑体" w:hAnsi="黑体" w:cs="黑体"/>
                          <w:b w:val="0"/>
                          <w:bCs/>
                        </w:rPr>
                        <w:t>ICS</w:t>
                      </w:r>
                      <w:r>
                        <w:rPr>
                          <w:rFonts w:hint="eastAsia" w:ascii="黑体" w:hAnsi="黑体" w:cs="黑体"/>
                          <w:b w:val="0"/>
                          <w:bCs/>
                        </w:rPr>
                        <w:t xml:space="preserve"> </w:t>
                      </w:r>
                      <w:r>
                        <w:rPr>
                          <w:rFonts w:hint="eastAsia" w:ascii="黑体" w:hAnsi="黑体" w:cs="黑体"/>
                          <w:bCs/>
                        </w:rPr>
                        <w:t>77.1</w:t>
                      </w:r>
                      <w:r>
                        <w:rPr>
                          <w:rFonts w:hint="eastAsia" w:ascii="黑体" w:hAnsi="黑体" w:cs="黑体"/>
                          <w:bCs/>
                          <w:lang w:val="en-US" w:eastAsia="zh-CN"/>
                        </w:rPr>
                        <w:t>5</w:t>
                      </w:r>
                      <w:r>
                        <w:rPr>
                          <w:rFonts w:hint="eastAsia" w:ascii="黑体" w:hAnsi="黑体" w:cs="黑体"/>
                          <w:bCs/>
                        </w:rPr>
                        <w:t>0.40</w:t>
                      </w:r>
                    </w:p>
                    <w:p>
                      <w:pPr>
                        <w:pStyle w:val="46"/>
                        <w:rPr>
                          <w:rFonts w:ascii="黑体" w:hAnsi="黑体" w:cs="黑体"/>
                          <w:b w:val="0"/>
                          <w:bCs/>
                        </w:rPr>
                      </w:pPr>
                      <w:r>
                        <w:rPr>
                          <w:rFonts w:ascii="黑体" w:hAnsi="黑体" w:cs="黑体"/>
                          <w:b w:val="0"/>
                          <w:bCs/>
                        </w:rPr>
                        <w:t>CCS H</w:t>
                      </w:r>
                      <w:r>
                        <w:rPr>
                          <w:rFonts w:hint="eastAsia" w:ascii="黑体" w:hAnsi="黑体" w:cs="黑体"/>
                          <w:b w:val="0"/>
                          <w:bCs/>
                        </w:rPr>
                        <w:t xml:space="preserve"> </w:t>
                      </w:r>
                      <w:r>
                        <w:rPr>
                          <w:rFonts w:hint="eastAsia" w:ascii="黑体" w:hAnsi="黑体" w:cs="黑体"/>
                          <w:bCs/>
                        </w:rPr>
                        <w:t>62</w:t>
                      </w:r>
                    </w:p>
                  </w:txbxContent>
                </v:textbox>
                <w10:anchorlock/>
              </v:shape>
            </w:pict>
          </mc:Fallback>
        </mc:AlternateContent>
      </w:r>
      <w:r>
        <w:rPr>
          <w:color w:val="auto"/>
          <w:highlight w:val="none"/>
        </w:rPr>
        <mc:AlternateContent>
          <mc:Choice Requires="wps">
            <w:drawing>
              <wp:anchor distT="0" distB="0" distL="114300" distR="114300" simplePos="0" relativeHeight="251664384" behindDoc="0" locked="1" layoutInCell="1" allowOverlap="1">
                <wp:simplePos x="0" y="0"/>
                <wp:positionH relativeFrom="margin">
                  <wp:posOffset>4095750</wp:posOffset>
                </wp:positionH>
                <wp:positionV relativeFrom="margin">
                  <wp:posOffset>8536305</wp:posOffset>
                </wp:positionV>
                <wp:extent cx="2019300" cy="312420"/>
                <wp:effectExtent l="0" t="0" r="0" b="11430"/>
                <wp:wrapNone/>
                <wp:docPr id="6"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pPr>
                              <w:pStyle w:val="41"/>
                              <w:rPr>
                                <w:rFonts w:hint="eastAsia" w:ascii="黑体" w:hAnsi="黑体"/>
                              </w:rPr>
                            </w:pPr>
                            <w:r>
                              <w:rPr>
                                <w:rFonts w:hint="eastAsia" w:ascii="黑体" w:hAnsi="黑体"/>
                              </w:rPr>
                              <w:t>20</w:t>
                            </w:r>
                            <w:r>
                              <w:rPr>
                                <w:rFonts w:ascii="黑体" w:hAnsi="黑体"/>
                              </w:rPr>
                              <w:t>2</w:t>
                            </w:r>
                            <w:r>
                              <w:rPr>
                                <w:rFonts w:hint="eastAsia" w:ascii="黑体" w:hAnsi="黑体"/>
                              </w:rPr>
                              <w:t>X-XX-XX实施</w:t>
                            </w:r>
                          </w:p>
                        </w:txbxContent>
                      </wps:txbx>
                      <wps:bodyPr wrap="square" lIns="0" tIns="0" rIns="0" bIns="0" upright="1"/>
                    </wps:wsp>
                  </a:graphicData>
                </a:graphic>
              </wp:anchor>
            </w:drawing>
          </mc:Choice>
          <mc:Fallback>
            <w:pict>
              <v:shape id="fmFrame6" o:spid="_x0000_s1026" o:spt="202" type="#_x0000_t202" style="position:absolute;left:0pt;margin-left:322.5pt;margin-top:672.15pt;height:24.6pt;width:159pt;mso-position-horizontal-relative:margin;mso-position-vertical-relative:margin;z-index:251664384;mso-width-relative:page;mso-height-relative:page;" fillcolor="#FFFFFF" filled="t" stroked="f" coordsize="21600,21600" o:gfxdata="UEsDBAoAAAAAAIdO4kAAAAAAAAAAAAAAAAAEAAAAZHJzL1BLAwQUAAAACACHTuJA4Fz4GNoAAAAN&#10;AQAADwAAAGRycy9kb3ducmV2LnhtbE2PwW7CMBBE75X6D9ZW6qUqDiREJcRBKrS39gBFnE28JFHj&#10;dRQ7BP6+y6kcd2Y0+yZfXWwrztj7xpGC6SQCgVQ601ClYP/z+foGwgdNRreOUMEVPayKx4dcZ8aN&#10;tMXzLlSCS8hnWkEdQpdJ6csarfYT1yGxd3K91YHPvpKm1yOX21bOoiiVVjfEH2rd4brG8nc3WAXp&#10;ph/GLa1fNvuPL/3dVbPD+/Wg1PPTNFqCCHgJ/2G44TM6FMx0dAMZL1ruSOa8JbARJ0kMgiOLNGbp&#10;eJMW8Rxkkcv7FcUfUEsDBBQAAAAIAIdO4kAJhDx4yAEAAKYDAAAOAAAAZHJzL2Uyb0RvYy54bWyt&#10;U02P0zAQvSPxHyzft0m7qIKo6UpsVYSEAGnhBziOk1jyFzNuk/57xk7TheWyB3JIxjPjN/PeTHYP&#10;kzXsrAC1dzVfr0rOlJO+1a6v+c8fx7v3nGEUrhXGO1Xzi0L+sH/7ZjeGSm384E2rgBGIw2oMNR9i&#10;DFVRoByUFbjyQTkKdh6siHSEvmhBjIRuTbEpy20xemgDeKkQyXuYg/yKCK8B9F2npTp4ebLKxRkV&#10;lBGRKOGgA/J97rbrlIzfug5VZKbmxDTmNxUhu0nvYr8TVQ8iDFpeWxCvaeEFJyu0o6I3qIOIgp1A&#10;/wNltQSPvosr6W0xE8mKEIt1+UKbp0EElbmQ1BhuouP/g5Vfz9+B6bbmW86csDTwzh6BjG3SZgxY&#10;UcpToKQ4ffQTbcziR3ImylMHNn2JDKM4KXu5KaumyCQ5idyH+5JCkmL36827TZa+eL4dAOMn5S1L&#10;Rs2BJpcFFecvGKkTSl1SUjH0RrdHbUw+QN88GmBnQVM+5ic1SVf+SjMuJTufrs3h5CkSx5lLsuLU&#10;TFfijW8vxHuk7ag5/joJUJyZz47kT6u0GLAYzWKcAuh+IBZZq1yAxpcbuq5a2o8/z7mN599r/x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gXPgY2gAAAA0BAAAPAAAAAAAAAAEAIAAAACIAAABkcnMv&#10;ZG93bnJldi54bWxQSwECFAAUAAAACACHTuJACYQ8eMgBAACmAwAADgAAAAAAAAABACAAAAApAQAA&#10;ZHJzL2Uyb0RvYy54bWxQSwUGAAAAAAYABgBZAQAAYwUAAAAA&#10;">
                <v:fill on="t" focussize="0,0"/>
                <v:stroke on="f"/>
                <v:imagedata o:title=""/>
                <o:lock v:ext="edit" aspectratio="f"/>
                <v:textbox inset="0mm,0mm,0mm,0mm">
                  <w:txbxContent>
                    <w:p>
                      <w:pPr>
                        <w:pStyle w:val="41"/>
                        <w:rPr>
                          <w:rFonts w:hint="eastAsia" w:ascii="黑体" w:hAnsi="黑体"/>
                        </w:rPr>
                      </w:pPr>
                      <w:r>
                        <w:rPr>
                          <w:rFonts w:hint="eastAsia" w:ascii="黑体" w:hAnsi="黑体"/>
                        </w:rPr>
                        <w:t>20</w:t>
                      </w:r>
                      <w:r>
                        <w:rPr>
                          <w:rFonts w:ascii="黑体" w:hAnsi="黑体"/>
                        </w:rPr>
                        <w:t>2</w:t>
                      </w:r>
                      <w:r>
                        <w:rPr>
                          <w:rFonts w:hint="eastAsia" w:ascii="黑体" w:hAnsi="黑体"/>
                        </w:rPr>
                        <w:t>X-XX-XX实施</w:t>
                      </w:r>
                    </w:p>
                  </w:txbxContent>
                </v:textbox>
                <w10:anchorlock/>
              </v:shape>
            </w:pict>
          </mc:Fallback>
        </mc:AlternateContent>
      </w:r>
      <w:r>
        <w:rPr>
          <w:color w:val="auto"/>
          <w:highlight w:val="none"/>
        </w:rPr>
        <mc:AlternateContent>
          <mc:Choice Requires="wps">
            <w:drawing>
              <wp:anchor distT="0" distB="0" distL="114300" distR="114300" simplePos="0" relativeHeight="251663360" behindDoc="0" locked="1" layoutInCell="1" allowOverlap="1">
                <wp:simplePos x="0" y="0"/>
                <wp:positionH relativeFrom="margin">
                  <wp:posOffset>-9525</wp:posOffset>
                </wp:positionH>
                <wp:positionV relativeFrom="margin">
                  <wp:posOffset>8536305</wp:posOffset>
                </wp:positionV>
                <wp:extent cx="2019300" cy="312420"/>
                <wp:effectExtent l="0" t="0" r="0" b="11430"/>
                <wp:wrapNone/>
                <wp:docPr id="5"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pPr>
                              <w:pStyle w:val="40"/>
                              <w:rPr>
                                <w:rFonts w:hint="eastAsia" w:ascii="黑体" w:hAnsi="黑体"/>
                              </w:rPr>
                            </w:pPr>
                            <w:r>
                              <w:rPr>
                                <w:rFonts w:hint="eastAsia" w:ascii="黑体" w:hAnsi="黑体"/>
                              </w:rPr>
                              <w:t>20</w:t>
                            </w:r>
                            <w:r>
                              <w:rPr>
                                <w:rFonts w:ascii="黑体" w:hAnsi="黑体"/>
                              </w:rPr>
                              <w:t>2</w:t>
                            </w:r>
                            <w:r>
                              <w:rPr>
                                <w:rFonts w:hint="eastAsia" w:ascii="黑体" w:hAnsi="黑体"/>
                              </w:rPr>
                              <w:t>X-XX-XX发布</w:t>
                            </w:r>
                          </w:p>
                        </w:txbxContent>
                      </wps:txbx>
                      <wps:bodyPr wrap="square" lIns="0" tIns="0" rIns="0" bIns="0" upright="1"/>
                    </wps:wsp>
                  </a:graphicData>
                </a:graphic>
              </wp:anchor>
            </w:drawing>
          </mc:Choice>
          <mc:Fallback>
            <w:pict>
              <v:shape id="fmFrame5" o:spid="_x0000_s1026" o:spt="202" type="#_x0000_t202" style="position:absolute;left:0pt;margin-left:-0.75pt;margin-top:672.15pt;height:24.6pt;width:159pt;mso-position-horizontal-relative:margin;mso-position-vertical-relative:margin;z-index:251663360;mso-width-relative:page;mso-height-relative:page;" fillcolor="#FFFFFF" filled="t" stroked="f" coordsize="21600,21600" o:gfxdata="UEsDBAoAAAAAAIdO4kAAAAAAAAAAAAAAAAAEAAAAZHJzL1BLAwQUAAAACACHTuJAfdVNt9kAAAAM&#10;AQAADwAAAGRycy9kb3ducmV2LnhtbE2PwW7CMAyG75P2DpEn7TJBWgrVVpoiDbbbdoAhzqExbbXG&#10;qZqUwtvPnMbRn3/9/pyvLrYVZ+x940hBPI1AIJXONFQp2P98Tl5B+KDJ6NYRKriih1Xx+JDrzLiR&#10;tnjehUpwCflMK6hD6DIpfVmj1X7qOiTenVxvdeCxr6Tp9cjltpWzKEql1Q3xhVp3uK6x/N0NVkG6&#10;6YdxS+uXzf7jS3931ezwfj0o9fwUR0sQAS/hPww3fVaHgp2ObiDjRatgEi84yTyZzxMQnEjilNHx&#10;ht6SBcgil/dPFH9QSwMEFAAAAAgAh07iQE6vkibJAQAApgMAAA4AAABkcnMvZTJvRG9jLnhtbK1T&#10;TW/bMAy9D9h/EHRf7KTrsBlxCnRBhgHDNqDdD5Bl2Ragr5FK7Pz7UXKcbt2lh/pgUyT1yPdIb+8m&#10;a9hJAWrvar5elZwpJ32rXV/zX4+Hdx85wyhcK4x3quZnhfxu9/bNdgyV2vjBm1YBIxCH1RhqPsQY&#10;qqJAOSgrcOWDchTsPFgR6Qh90YIYCd2aYlOWH4rRQxvAS4VI3v0c5BdEeAmg7zot1d7Lo1Uuzqig&#10;jIhECQcdkO9yt12nZPzRdagiMzUnpjG/qQjZTXoXu62oehBh0PLSgnhJC884WaEdFb1C7UUU7Aj6&#10;PyirJXj0XVxJb4uZSFaEWKzLZ9o8DCKozIWkxnAVHV8PVn4//QSm25rfcuaEpYF39gBk3CZtxoAV&#10;pTwESorTvZ9oYxY/kjNRnjqw6UtkGMVJ2fNVWTVFJslJ5D7dlBSSFLtZb95vsvTF0+0AGL8ob1ky&#10;ag40uSyoOH3DSJ1Q6pKSiqE3uj1oY/IB+uazAXYSNOVDflKTdOWfNONSsvPp2hxOniJxnLkkK07N&#10;dCHe+PZMvEfajprj76MAxZn56kj+tEqLAYvRLMYxgO4HYpG1ygVofLmhy6ql/fj7nNt4+r1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91U232QAAAAwBAAAPAAAAAAAAAAEAIAAAACIAAABkcnMv&#10;ZG93bnJldi54bWxQSwECFAAUAAAACACHTuJATq+SJskBAACmAwAADgAAAAAAAAABACAAAAAoAQAA&#10;ZHJzL2Uyb0RvYy54bWxQSwUGAAAAAAYABgBZAQAAYwUAAAAA&#10;">
                <v:fill on="t" focussize="0,0"/>
                <v:stroke on="f"/>
                <v:imagedata o:title=""/>
                <o:lock v:ext="edit" aspectratio="f"/>
                <v:textbox inset="0mm,0mm,0mm,0mm">
                  <w:txbxContent>
                    <w:p>
                      <w:pPr>
                        <w:pStyle w:val="40"/>
                        <w:rPr>
                          <w:rFonts w:hint="eastAsia" w:ascii="黑体" w:hAnsi="黑体"/>
                        </w:rPr>
                      </w:pPr>
                      <w:r>
                        <w:rPr>
                          <w:rFonts w:hint="eastAsia" w:ascii="黑体" w:hAnsi="黑体"/>
                        </w:rPr>
                        <w:t>20</w:t>
                      </w:r>
                      <w:r>
                        <w:rPr>
                          <w:rFonts w:ascii="黑体" w:hAnsi="黑体"/>
                        </w:rPr>
                        <w:t>2</w:t>
                      </w:r>
                      <w:r>
                        <w:rPr>
                          <w:rFonts w:hint="eastAsia" w:ascii="黑体" w:hAnsi="黑体"/>
                        </w:rPr>
                        <w:t>X-XX-XX发布</w:t>
                      </w:r>
                    </w:p>
                  </w:txbxContent>
                </v:textbox>
                <w10:anchorlock/>
              </v:shape>
            </w:pict>
          </mc:Fallback>
        </mc:AlternateContent>
      </w:r>
      <w:r>
        <w:rPr>
          <w:color w:val="auto"/>
          <w:highlight w:val="none"/>
        </w:rPr>
        <mc:AlternateContent>
          <mc:Choice Requires="wps">
            <w:drawing>
              <wp:anchor distT="0" distB="0" distL="114300" distR="114300" simplePos="0" relativeHeight="251662336" behindDoc="0" locked="1" layoutInCell="0" allowOverlap="1">
                <wp:simplePos x="0" y="0"/>
                <wp:positionH relativeFrom="margin">
                  <wp:posOffset>0</wp:posOffset>
                </wp:positionH>
                <wp:positionV relativeFrom="margin">
                  <wp:posOffset>3778250</wp:posOffset>
                </wp:positionV>
                <wp:extent cx="5969000" cy="4290695"/>
                <wp:effectExtent l="0" t="0" r="12700" b="14605"/>
                <wp:wrapNone/>
                <wp:docPr id="4" name="fmFrame4"/>
                <wp:cNvGraphicFramePr/>
                <a:graphic xmlns:a="http://schemas.openxmlformats.org/drawingml/2006/main">
                  <a:graphicData uri="http://schemas.microsoft.com/office/word/2010/wordprocessingShape">
                    <wps:wsp>
                      <wps:cNvSpPr txBox="1"/>
                      <wps:spPr>
                        <a:xfrm>
                          <a:off x="0" y="0"/>
                          <a:ext cx="5969000" cy="4290695"/>
                        </a:xfrm>
                        <a:prstGeom prst="rect">
                          <a:avLst/>
                        </a:prstGeom>
                        <a:solidFill>
                          <a:srgbClr val="FFFFFF"/>
                        </a:solidFill>
                        <a:ln>
                          <a:noFill/>
                        </a:ln>
                      </wps:spPr>
                      <wps:txbx>
                        <w:txbxContent>
                          <w:p>
                            <w:pPr>
                              <w:pStyle w:val="53"/>
                            </w:pPr>
                            <w:r>
                              <w:rPr>
                                <w:rFonts w:hint="eastAsia"/>
                              </w:rPr>
                              <w:t>镍及镍合金锻件</w:t>
                            </w:r>
                          </w:p>
                          <w:p>
                            <w:pPr>
                              <w:pStyle w:val="28"/>
                              <w:spacing w:before="360"/>
                              <w:rPr>
                                <w:rFonts w:ascii="黑体" w:hAnsi="黑体" w:eastAsia="黑体" w:cs="黑体"/>
                              </w:rPr>
                            </w:pPr>
                            <w:r>
                              <w:rPr>
                                <w:rFonts w:ascii="黑体" w:hAnsi="黑体" w:eastAsia="黑体" w:cs="黑体"/>
                              </w:rPr>
                              <w:t>Nickel and nickel alloys forgings</w:t>
                            </w:r>
                          </w:p>
                          <w:p>
                            <w:pPr>
                              <w:pStyle w:val="28"/>
                              <w:spacing w:before="360"/>
                              <w:rPr>
                                <w:rFonts w:ascii="黑体" w:hAnsi="黑体" w:eastAsia="黑体" w:cs="黑体"/>
                              </w:rPr>
                            </w:pPr>
                            <w:r>
                              <w:rPr>
                                <w:rFonts w:hint="eastAsia" w:ascii="黑体" w:hAnsi="黑体" w:eastAsia="黑体" w:cs="黑体"/>
                              </w:rPr>
                              <w:t>（</w:t>
                            </w:r>
                            <w:r>
                              <w:rPr>
                                <w:rFonts w:ascii="黑体" w:hAnsi="黑体" w:eastAsia="黑体" w:cs="黑体"/>
                                <w:b w:val="0"/>
                              </w:rPr>
                              <w:t xml:space="preserve">ISO </w:t>
                            </w:r>
                            <w:r>
                              <w:rPr>
                                <w:rFonts w:hint="eastAsia" w:ascii="黑体" w:hAnsi="黑体" w:eastAsia="黑体" w:cs="黑体"/>
                                <w:b w:val="0"/>
                              </w:rPr>
                              <w:t>9725：2017（E），MOD</w:t>
                            </w:r>
                            <w:r>
                              <w:rPr>
                                <w:rFonts w:hint="eastAsia" w:ascii="黑体" w:hAnsi="黑体" w:eastAsia="黑体" w:cs="黑体"/>
                              </w:rPr>
                              <w:t>）</w:t>
                            </w:r>
                          </w:p>
                          <w:p>
                            <w:pPr>
                              <w:pStyle w:val="28"/>
                              <w:rPr>
                                <w:szCs w:val="28"/>
                              </w:rPr>
                            </w:pPr>
                            <w:r>
                              <w:rPr>
                                <w:rFonts w:hint="eastAsia"/>
                                <w:szCs w:val="28"/>
                              </w:rPr>
                              <w:t>（</w:t>
                            </w:r>
                            <w:r>
                              <w:rPr>
                                <w:rFonts w:hint="eastAsia"/>
                                <w:szCs w:val="28"/>
                                <w:lang w:val="en-US" w:eastAsia="zh-CN"/>
                              </w:rPr>
                              <w:t>送审稿</w:t>
                            </w:r>
                            <w:r>
                              <w:rPr>
                                <w:rFonts w:hint="eastAsia"/>
                                <w:szCs w:val="28"/>
                              </w:rPr>
                              <w:t>）</w:t>
                            </w:r>
                          </w:p>
                          <w:p>
                            <w:pPr>
                              <w:pStyle w:val="27"/>
                            </w:pPr>
                          </w:p>
                          <w:p>
                            <w:pPr>
                              <w:pStyle w:val="33"/>
                            </w:pPr>
                          </w:p>
                          <w:p/>
                        </w:txbxContent>
                      </wps:txbx>
                      <wps:bodyPr wrap="square" lIns="0" tIns="0" rIns="0" bIns="0" upright="1"/>
                    </wps:wsp>
                  </a:graphicData>
                </a:graphic>
              </wp:anchor>
            </w:drawing>
          </mc:Choice>
          <mc:Fallback>
            <w:pict>
              <v:shape id="fmFrame4" o:spid="_x0000_s1026" o:spt="202" type="#_x0000_t202" style="position:absolute;left:0pt;margin-left:0pt;margin-top:297.5pt;height:337.85pt;width:470pt;mso-position-horizontal-relative:margin;mso-position-vertical-relative:margin;z-index:251662336;mso-width-relative:page;mso-height-relative:page;" fillcolor="#FFFFFF" filled="t" stroked="f" coordsize="21600,21600" o:allowincell="f" o:gfxdata="UEsDBAoAAAAAAIdO4kAAAAAAAAAAAAAAAAAEAAAAZHJzL1BLAwQUAAAACACHTuJAYIwQPNgAAAAJ&#10;AQAADwAAAGRycy9kb3ducmV2LnhtbE2PwU7DMBBE70j8g7VIXBC1G9GWhjiVaOEGh5aq521skoh4&#10;HdlO0/49y4neZjWj2TfF6uw6cbIhtp40TCcKhKXKm5ZqDfuv98dnEDEhGew8WQ0XG2FV3t4UmBs/&#10;0taedqkWXEIxRw1NSn0uZawa6zBOfG+JvW8fHCY+Qy1NwJHLXSczpebSYUv8ocHerhtb/ewGp2G+&#10;CcO4pfXDZv/2gZ99nR1eLwet7++m6gVEsuf0H4Y/fEaHkpmOfiATRaeBhyQNs+WMBdvLJ8XiyLls&#10;oRYgy0JeLyh/AVBLAwQUAAAACACHTuJA7XYCWcgBAACnAwAADgAAAGRycy9lMm9Eb2MueG1srVNN&#10;b9swDL0P2H8QdG/sBmmwGHEKrEGGAcM2oNsPkGXJFqCvUUrs/PtRsp1u3aWH+WBTJPXI90jvH0ej&#10;yUVAUM7W9H5VUiIsd62yXU1//jjdfaAkRGZbpp0VNb2KQB8P79/tB1+JteudbgUQBLGhGnxN+xh9&#10;VRSB98KwsHJeWAxKB4ZFPEJXtMAGRDe6WJflthgctB4cFyGg9zgF6YwIbwF0Uioujo6fjbBxQgWh&#10;WURKoVc+0EPuVkrB4zcpg4hE1xSZxvzGImg36V0c9qzqgPle8bkF9pYWXnEyTFkseoM6ssjIGdQ/&#10;UEZxcMHJuOLOFBORrAiyuC9fafPcMy8yF5Q6+Jvo4f/B8q+X70BUW9MNJZYZHLg0J0Bjk7QZfKgw&#10;5dljUhw/uhE3ZvEHdCbKowSTvkiGYByVvd6UFWMkHJ0Pu+2uLDHEMbZZ78rt7iHhFC/XPYT4SThD&#10;klFTwNFlRdnlS4hT6pKSqgWnVXtSWucDdM2TBnJhOOZTfmb0v9K0TcnWpWsTYvIUieREJllxbMaZ&#10;eePaKxIfcD1qGn6dGQhK9GeL+qddWgxYjGYxzh5U1yOLLFYugPPLdOddSwvy5zm38fJ/HX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IwQPNgAAAAJAQAADwAAAAAAAAABACAAAAAiAAAAZHJzL2Rv&#10;d25yZXYueG1sUEsBAhQAFAAAAAgAh07iQO12AlnIAQAApwMAAA4AAAAAAAAAAQAgAAAAJwEAAGRy&#10;cy9lMm9Eb2MueG1sUEsFBgAAAAAGAAYAWQEAAGEFAAAAAA==&#10;">
                <v:fill on="t" focussize="0,0"/>
                <v:stroke on="f"/>
                <v:imagedata o:title=""/>
                <o:lock v:ext="edit" aspectratio="f"/>
                <v:textbox inset="0mm,0mm,0mm,0mm">
                  <w:txbxContent>
                    <w:p>
                      <w:pPr>
                        <w:pStyle w:val="53"/>
                      </w:pPr>
                      <w:r>
                        <w:rPr>
                          <w:rFonts w:hint="eastAsia"/>
                        </w:rPr>
                        <w:t>镍及镍合金锻件</w:t>
                      </w:r>
                    </w:p>
                    <w:p>
                      <w:pPr>
                        <w:pStyle w:val="28"/>
                        <w:spacing w:before="360"/>
                        <w:rPr>
                          <w:rFonts w:ascii="黑体" w:hAnsi="黑体" w:eastAsia="黑体" w:cs="黑体"/>
                        </w:rPr>
                      </w:pPr>
                      <w:r>
                        <w:rPr>
                          <w:rFonts w:ascii="黑体" w:hAnsi="黑体" w:eastAsia="黑体" w:cs="黑体"/>
                        </w:rPr>
                        <w:t>Nickel and nickel alloys forgings</w:t>
                      </w:r>
                    </w:p>
                    <w:p>
                      <w:pPr>
                        <w:pStyle w:val="28"/>
                        <w:spacing w:before="360"/>
                        <w:rPr>
                          <w:rFonts w:ascii="黑体" w:hAnsi="黑体" w:eastAsia="黑体" w:cs="黑体"/>
                        </w:rPr>
                      </w:pPr>
                      <w:r>
                        <w:rPr>
                          <w:rFonts w:hint="eastAsia" w:ascii="黑体" w:hAnsi="黑体" w:eastAsia="黑体" w:cs="黑体"/>
                        </w:rPr>
                        <w:t>（</w:t>
                      </w:r>
                      <w:r>
                        <w:rPr>
                          <w:rFonts w:ascii="黑体" w:hAnsi="黑体" w:eastAsia="黑体" w:cs="黑体"/>
                          <w:b w:val="0"/>
                        </w:rPr>
                        <w:t xml:space="preserve">ISO </w:t>
                      </w:r>
                      <w:r>
                        <w:rPr>
                          <w:rFonts w:hint="eastAsia" w:ascii="黑体" w:hAnsi="黑体" w:eastAsia="黑体" w:cs="黑体"/>
                          <w:b w:val="0"/>
                        </w:rPr>
                        <w:t>9725：2017（E），MOD</w:t>
                      </w:r>
                      <w:r>
                        <w:rPr>
                          <w:rFonts w:hint="eastAsia" w:ascii="黑体" w:hAnsi="黑体" w:eastAsia="黑体" w:cs="黑体"/>
                        </w:rPr>
                        <w:t>）</w:t>
                      </w:r>
                    </w:p>
                    <w:p>
                      <w:pPr>
                        <w:pStyle w:val="28"/>
                        <w:rPr>
                          <w:szCs w:val="28"/>
                        </w:rPr>
                      </w:pPr>
                      <w:r>
                        <w:rPr>
                          <w:rFonts w:hint="eastAsia"/>
                          <w:szCs w:val="28"/>
                        </w:rPr>
                        <w:t>（</w:t>
                      </w:r>
                      <w:r>
                        <w:rPr>
                          <w:rFonts w:hint="eastAsia"/>
                          <w:szCs w:val="28"/>
                          <w:lang w:val="en-US" w:eastAsia="zh-CN"/>
                        </w:rPr>
                        <w:t>送审稿</w:t>
                      </w:r>
                      <w:r>
                        <w:rPr>
                          <w:rFonts w:hint="eastAsia"/>
                          <w:szCs w:val="28"/>
                        </w:rPr>
                        <w:t>）</w:t>
                      </w:r>
                    </w:p>
                    <w:p>
                      <w:pPr>
                        <w:pStyle w:val="27"/>
                      </w:pPr>
                    </w:p>
                    <w:p>
                      <w:pPr>
                        <w:pStyle w:val="33"/>
                      </w:pPr>
                    </w:p>
                    <w:p/>
                  </w:txbxContent>
                </v:textbox>
                <w10:anchorlock/>
              </v:shape>
            </w:pict>
          </mc:Fallback>
        </mc:AlternateContent>
      </w:r>
      <w:r>
        <w:rPr>
          <w:color w:val="auto"/>
          <w:highlight w:val="none"/>
        </w:rPr>
        <mc:AlternateContent>
          <mc:Choice Requires="wps">
            <w:drawing>
              <wp:anchor distT="0" distB="0" distL="114300" distR="114300" simplePos="0" relativeHeight="251659264" behindDoc="0" locked="1" layoutInCell="1" allowOverlap="1">
                <wp:simplePos x="0" y="0"/>
                <wp:positionH relativeFrom="margin">
                  <wp:posOffset>-209550</wp:posOffset>
                </wp:positionH>
                <wp:positionV relativeFrom="margin">
                  <wp:posOffset>1789430</wp:posOffset>
                </wp:positionV>
                <wp:extent cx="6195695" cy="880745"/>
                <wp:effectExtent l="0" t="0" r="14605" b="14605"/>
                <wp:wrapNone/>
                <wp:docPr id="1" name="fmFrame3"/>
                <wp:cNvGraphicFramePr/>
                <a:graphic xmlns:a="http://schemas.openxmlformats.org/drawingml/2006/main">
                  <a:graphicData uri="http://schemas.microsoft.com/office/word/2010/wordprocessingShape">
                    <wps:wsp>
                      <wps:cNvSpPr txBox="1"/>
                      <wps:spPr>
                        <a:xfrm>
                          <a:off x="0" y="0"/>
                          <a:ext cx="6195695" cy="880745"/>
                        </a:xfrm>
                        <a:prstGeom prst="rect">
                          <a:avLst/>
                        </a:prstGeom>
                        <a:solidFill>
                          <a:srgbClr val="FFFFFF"/>
                        </a:solidFill>
                        <a:ln>
                          <a:noFill/>
                        </a:ln>
                      </wps:spPr>
                      <wps:txbx>
                        <w:txbxContent>
                          <w:p>
                            <w:pPr>
                              <w:pStyle w:val="48"/>
                              <w:spacing w:before="0" w:line="280" w:lineRule="exact"/>
                              <w:rPr>
                                <w:rFonts w:eastAsia="黑体"/>
                                <w:b/>
                              </w:rPr>
                            </w:pPr>
                          </w:p>
                          <w:p>
                            <w:pPr>
                              <w:pStyle w:val="48"/>
                              <w:spacing w:before="0" w:line="280" w:lineRule="exact"/>
                              <w:rPr>
                                <w:rFonts w:ascii="黑体" w:hAnsi="黑体" w:eastAsia="黑体" w:cs="黑体"/>
                                <w:b w:val="0"/>
                                <w:bCs/>
                              </w:rPr>
                            </w:pPr>
                            <w:r>
                              <w:rPr>
                                <w:rFonts w:ascii="黑体" w:hAnsi="黑体" w:eastAsia="黑体" w:cs="黑体"/>
                                <w:b w:val="0"/>
                                <w:bCs/>
                              </w:rPr>
                              <w:t>GB/T 26030—20xx</w:t>
                            </w:r>
                          </w:p>
                          <w:p>
                            <w:pPr>
                              <w:pStyle w:val="48"/>
                              <w:spacing w:before="0" w:line="280" w:lineRule="exact"/>
                              <w:rPr>
                                <w:rFonts w:ascii="黑体" w:hAnsi="黑体" w:eastAsia="黑体" w:cs="黑体"/>
                                <w:bCs/>
                                <w:sz w:val="21"/>
                                <w:szCs w:val="21"/>
                              </w:rPr>
                            </w:pPr>
                            <w:r>
                              <w:rPr>
                                <w:rFonts w:hint="eastAsia" w:ascii="黑体" w:hAnsi="黑体" w:eastAsia="黑体" w:cs="黑体"/>
                                <w:bCs/>
                                <w:sz w:val="21"/>
                                <w:szCs w:val="21"/>
                              </w:rPr>
                              <w:t xml:space="preserve">代替 </w:t>
                            </w:r>
                            <w:r>
                              <w:rPr>
                                <w:rFonts w:ascii="黑体" w:hAnsi="黑体" w:eastAsia="黑体" w:cs="黑体"/>
                                <w:bCs/>
                                <w:sz w:val="21"/>
                                <w:szCs w:val="21"/>
                              </w:rPr>
                              <w:t>GB/T 26030—2010</w:t>
                            </w:r>
                          </w:p>
                          <w:p>
                            <w:pPr>
                              <w:pStyle w:val="48"/>
                            </w:pPr>
                          </w:p>
                          <w:p>
                            <w:pPr>
                              <w:pStyle w:val="48"/>
                            </w:pPr>
                          </w:p>
                          <w:p>
                            <w:pPr>
                              <w:pStyle w:val="48"/>
                            </w:pPr>
                          </w:p>
                          <w:p>
                            <w:pPr>
                              <w:pStyle w:val="48"/>
                            </w:pPr>
                          </w:p>
                          <w:p>
                            <w:pPr>
                              <w:pStyle w:val="48"/>
                            </w:pPr>
                          </w:p>
                        </w:txbxContent>
                      </wps:txbx>
                      <wps:bodyPr wrap="square" lIns="0" tIns="0" rIns="0" bIns="0" upright="1"/>
                    </wps:wsp>
                  </a:graphicData>
                </a:graphic>
              </wp:anchor>
            </w:drawing>
          </mc:Choice>
          <mc:Fallback>
            <w:pict>
              <v:shape id="fmFrame3" o:spid="_x0000_s1026" o:spt="202" type="#_x0000_t202" style="position:absolute;left:0pt;margin-left:-16.5pt;margin-top:140.9pt;height:69.35pt;width:487.85pt;mso-position-horizontal-relative:margin;mso-position-vertical-relative:margin;z-index:251659264;mso-width-relative:page;mso-height-relative:page;" fillcolor="#FFFFFF" filled="t" stroked="f" coordsize="21600,21600" o:gfxdata="UEsDBAoAAAAAAIdO4kAAAAAAAAAAAAAAAAAEAAAAZHJzL1BLAwQUAAAACACHTuJAGcHj1NsAAAAL&#10;AQAADwAAAGRycy9kb3ducmV2LnhtbE2PwU7DMBBE70j8g7VIXFBrxy2lhDiVaOFWDi1Vz25skoh4&#10;HdlO0/49ywmOqx3NvFesLq5jZxti61FBNhXALFbetFgrOHy+T5bAYtJodOfRKrjaCKvy9qbQufEj&#10;7ux5n2pGJRhzraBJqc85j1VjnY5T31uk35cPTic6Q81N0COVu45LIRbc6RZpodG9XTe2+t4PTsFi&#10;E4Zxh+uHzeFtqz/6Wh5fr0el7u8y8QIs2Uv6C8MvPqFDSUwnP6CJrFMwmc3IJSmQy4wcKPE8l0/A&#10;TgrmUjwCLwv+36H8AVBLAwQUAAAACACHTuJAlpVFRMcBAACmAwAADgAAAGRycy9lMm9Eb2MueG1s&#10;rVNNj9MwEL0j8R8s32nahZZu1HQlqIqQECAt/ADHcRJL/mLGbdJ/z9hJu7Bc9kAOyXhm/Gbem8nu&#10;YbSGnRWg9q7iq8WSM+Wkb7TrKv7zx/HNljOMwjXCeKcqflHIH/avX+2GUKo733vTKGAE4rAcQsX7&#10;GENZFCh7ZQUufFCOgq0HKyIdoSsaEAOhW1PcLZebYvDQBPBSIZL3MAX5jAgvAfRtq6U6eHmyysUJ&#10;FZQRkShhrwPyfe62bZWM39oWVWSm4sQ05jcVIbtO72K/E2UHIvRazi2Il7TwjJMV2lHRG9RBRMFO&#10;oP+BslqCR9/GhfS2mIhkRYjFavlMm8deBJW5kNQYbqLj/4OVX8/fgemGNoEzJywNvLVHIONt0mYI&#10;WFLKY6CkOH7wY8qb/UjORHlswaYvkWEUJ2UvN2XVGJkk52Z1v97crzmTFNtul+/frRNM8XQ7AMZP&#10;yluWjIoDTS4LKs5fME6p15RUDL3RzVEbkw/Q1R8NsLOgKR/zM6P/lWZcSnY+XZsQk6dIHCcuyYpj&#10;Pc4Ea99ciPdA21Fx/HUSoDgznx3Jn1bpasDVqK/GKYDuemKRtcoFaHyZ7rxqaT/+POc2nn6v/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ZwePU2wAAAAsBAAAPAAAAAAAAAAEAIAAAACIAAABkcnMv&#10;ZG93bnJldi54bWxQSwECFAAUAAAACACHTuJAlpVFRMcBAACmAwAADgAAAAAAAAABACAAAAAqAQAA&#10;ZHJzL2Uyb0RvYy54bWxQSwUGAAAAAAYABgBZAQAAYwUAAAAA&#10;">
                <v:fill on="t" focussize="0,0"/>
                <v:stroke on="f"/>
                <v:imagedata o:title=""/>
                <o:lock v:ext="edit" aspectratio="f"/>
                <v:textbox inset="0mm,0mm,0mm,0mm">
                  <w:txbxContent>
                    <w:p>
                      <w:pPr>
                        <w:pStyle w:val="48"/>
                        <w:spacing w:before="0" w:line="280" w:lineRule="exact"/>
                        <w:rPr>
                          <w:rFonts w:eastAsia="黑体"/>
                          <w:b/>
                        </w:rPr>
                      </w:pPr>
                    </w:p>
                    <w:p>
                      <w:pPr>
                        <w:pStyle w:val="48"/>
                        <w:spacing w:before="0" w:line="280" w:lineRule="exact"/>
                        <w:rPr>
                          <w:rFonts w:ascii="黑体" w:hAnsi="黑体" w:eastAsia="黑体" w:cs="黑体"/>
                          <w:b w:val="0"/>
                          <w:bCs/>
                        </w:rPr>
                      </w:pPr>
                      <w:r>
                        <w:rPr>
                          <w:rFonts w:ascii="黑体" w:hAnsi="黑体" w:eastAsia="黑体" w:cs="黑体"/>
                          <w:b w:val="0"/>
                          <w:bCs/>
                        </w:rPr>
                        <w:t>GB/T 26030—20xx</w:t>
                      </w:r>
                    </w:p>
                    <w:p>
                      <w:pPr>
                        <w:pStyle w:val="48"/>
                        <w:spacing w:before="0" w:line="280" w:lineRule="exact"/>
                        <w:rPr>
                          <w:rFonts w:ascii="黑体" w:hAnsi="黑体" w:eastAsia="黑体" w:cs="黑体"/>
                          <w:bCs/>
                          <w:sz w:val="21"/>
                          <w:szCs w:val="21"/>
                        </w:rPr>
                      </w:pPr>
                      <w:r>
                        <w:rPr>
                          <w:rFonts w:hint="eastAsia" w:ascii="黑体" w:hAnsi="黑体" w:eastAsia="黑体" w:cs="黑体"/>
                          <w:bCs/>
                          <w:sz w:val="21"/>
                          <w:szCs w:val="21"/>
                        </w:rPr>
                        <w:t xml:space="preserve">代替 </w:t>
                      </w:r>
                      <w:r>
                        <w:rPr>
                          <w:rFonts w:ascii="黑体" w:hAnsi="黑体" w:eastAsia="黑体" w:cs="黑体"/>
                          <w:bCs/>
                          <w:sz w:val="21"/>
                          <w:szCs w:val="21"/>
                        </w:rPr>
                        <w:t>GB/T 26030—2010</w:t>
                      </w:r>
                    </w:p>
                    <w:p>
                      <w:pPr>
                        <w:pStyle w:val="48"/>
                      </w:pPr>
                    </w:p>
                    <w:p>
                      <w:pPr>
                        <w:pStyle w:val="48"/>
                      </w:pPr>
                    </w:p>
                    <w:p>
                      <w:pPr>
                        <w:pStyle w:val="48"/>
                      </w:pPr>
                    </w:p>
                    <w:p>
                      <w:pPr>
                        <w:pStyle w:val="48"/>
                      </w:pPr>
                    </w:p>
                    <w:p>
                      <w:pPr>
                        <w:pStyle w:val="48"/>
                      </w:pPr>
                    </w:p>
                  </w:txbxContent>
                </v:textbox>
                <w10:anchorlock/>
              </v:shape>
            </w:pict>
          </mc:Fallback>
        </mc:AlternateContent>
      </w:r>
      <w:r>
        <w:rPr>
          <w:color w:val="auto"/>
          <w:highlight w:val="none"/>
        </w:rPr>
        <w:drawing>
          <wp:anchor distT="0" distB="0" distL="114300" distR="114300" simplePos="0" relativeHeight="251661312" behindDoc="0" locked="1" layoutInCell="0" allowOverlap="1">
            <wp:simplePos x="0" y="0"/>
            <wp:positionH relativeFrom="margin">
              <wp:posOffset>4265295</wp:posOffset>
            </wp:positionH>
            <wp:positionV relativeFrom="margin">
              <wp:posOffset>193040</wp:posOffset>
            </wp:positionV>
            <wp:extent cx="1440180" cy="720090"/>
            <wp:effectExtent l="0" t="0" r="7620" b="3810"/>
            <wp:wrapNone/>
            <wp:docPr id="3" name="HBPicture" descr="说明: GB"/>
            <wp:cNvGraphicFramePr/>
            <a:graphic xmlns:a="http://schemas.openxmlformats.org/drawingml/2006/main">
              <a:graphicData uri="http://schemas.openxmlformats.org/drawingml/2006/picture">
                <pic:pic xmlns:pic="http://schemas.openxmlformats.org/drawingml/2006/picture">
                  <pic:nvPicPr>
                    <pic:cNvPr id="3" name="HBPicture" descr="说明: GB"/>
                    <pic:cNvPicPr/>
                  </pic:nvPicPr>
                  <pic:blipFill>
                    <a:blip r:embed="rId15"/>
                    <a:stretch>
                      <a:fillRect/>
                    </a:stretch>
                  </pic:blipFill>
                  <pic:spPr>
                    <a:xfrm>
                      <a:off x="0" y="0"/>
                      <a:ext cx="1440180" cy="720090"/>
                    </a:xfrm>
                    <a:prstGeom prst="rect">
                      <a:avLst/>
                    </a:prstGeom>
                    <a:noFill/>
                    <a:ln>
                      <a:noFill/>
                    </a:ln>
                  </pic:spPr>
                </pic:pic>
              </a:graphicData>
            </a:graphic>
          </wp:anchor>
        </w:drawing>
      </w:r>
      <w:r>
        <w:rPr>
          <w:color w:val="auto"/>
          <w:highlight w:val="none"/>
        </w:rPr>
        <mc:AlternateContent>
          <mc:Choice Requires="wps">
            <w:drawing>
              <wp:anchor distT="0" distB="0" distL="114300" distR="114300" simplePos="0" relativeHeight="251660288" behindDoc="0" locked="1" layoutInCell="0" allowOverlap="1">
                <wp:simplePos x="0" y="0"/>
                <wp:positionH relativeFrom="margin">
                  <wp:posOffset>-76200</wp:posOffset>
                </wp:positionH>
                <wp:positionV relativeFrom="margin">
                  <wp:posOffset>1134745</wp:posOffset>
                </wp:positionV>
                <wp:extent cx="6120130" cy="391160"/>
                <wp:effectExtent l="0" t="0" r="13970" b="8890"/>
                <wp:wrapNone/>
                <wp:docPr id="2" name="fmFrame2"/>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pPr>
                              <w:pStyle w:val="32"/>
                            </w:pPr>
                            <w:r>
                              <w:rPr>
                                <w:rFonts w:hint="eastAsia"/>
                              </w:rPr>
                              <w:t>中华人民共和国国家标准</w:t>
                            </w:r>
                          </w:p>
                        </w:txbxContent>
                      </wps:txbx>
                      <wps:bodyPr wrap="square" lIns="0" tIns="0" rIns="0" bIns="0" upright="1"/>
                    </wps:wsp>
                  </a:graphicData>
                </a:graphic>
              </wp:anchor>
            </w:drawing>
          </mc:Choice>
          <mc:Fallback>
            <w:pict>
              <v:shape id="fmFrame2" o:spid="_x0000_s1026" o:spt="202" type="#_x0000_t202" style="position:absolute;left:0pt;margin-left:-6pt;margin-top:89.35pt;height:30.8pt;width:481.9pt;mso-position-horizontal-relative:margin;mso-position-vertical-relative:margin;z-index:251660288;mso-width-relative:page;mso-height-relative:page;" fillcolor="#FFFFFF" filled="t" stroked="f" coordsize="21600,21600" o:allowincell="f" o:gfxdata="UEsDBAoAAAAAAIdO4kAAAAAAAAAAAAAAAAAEAAAAZHJzL1BLAwQUAAAACACHTuJAhsTznNoAAAAL&#10;AQAADwAAAGRycy9kb3ducmV2LnhtbE2PQU/CQBCF7yb+h82YeDGw26qAtVsSQW56AAnnpTu2jd3Z&#10;prul8O8dTnqcvJc335cvz64VJ+xD40lDMlUgkEpvG6o07L82kwWIEA1Z03pCDRcMsCxub3KTWT/S&#10;Fk+7WAkeoZAZDXWMXSZlKGt0Jkx9h8TZt++diXz2lbS9GXnctTJVaiadaYg/1KbDVY3lz25wGmbr&#10;fhi3tHpY798/zGdXpYe3y0Hr+7tEvYKIeI5/ZbjiMzoUzHT0A9kgWg2TJGWXyMF8MQfBjZfnhGWO&#10;GtIn9QiyyOV/h+IXUEsDBBQAAAAIAIdO4kDsOyg/yAEAAKYDAAAOAAAAZHJzL2Uyb0RvYy54bWyt&#10;U01v2zAMvQ/YfxB0XxynQLAZcQqsQYYBwzag6w+QZdkWoK+SSuz8+1FynG7dpYf5YFMk9cj3SO/u&#10;J2vYWQFq72pertacKSd9q11f86dfxw8fOcMoXCuMd6rmF4X8fv/+3W4Mldr4wZtWASMQh9UYaj7E&#10;GKqiQDkoK3Dlg3IU7DxYEekIfdGCGAndmmKzXm+L0UMbwEuFSN7DHORXRHgLoO86LdXBy5NVLs6o&#10;oIyIRAkHHZDvc7ddp2T80XWoIjM1J6Yxv6kI2U16F/udqHoQYdDy2oJ4SwuvOFmhHRW9QR1EFOwE&#10;+h8oqyV49F1cSW+LmUhWhFiU61faPA4iqMyFpMZwEx3/H6z8fv4JTLc133DmhKWBd/YIZGySNmPA&#10;ilIeAyXF6bOfaGMWP5IzUZ46sOlLZBjFSdnLTVk1RSbJuS2J3h2FJMXuPpXlNktfvNwOgPGL8pYl&#10;o+ZAk8uCivM3jNQJpS4pqRh6o9ujNiYfoG8eDLCzoCkf85OapCt/pRmXkp1P1+Zw8hSJ48wlWXFq&#10;pivxxrcX4j3SdtQcn08CFGfmqyP50yotBixGsxinALofiEXWKheg8eWGrquW9uPPc27j5ffa/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GxPOc2gAAAAsBAAAPAAAAAAAAAAEAIAAAACIAAABkcnMv&#10;ZG93bnJldi54bWxQSwECFAAUAAAACACHTuJA7DsoP8gBAACmAwAADgAAAAAAAAABACAAAAApAQAA&#10;ZHJzL2Uyb0RvYy54bWxQSwUGAAAAAAYABgBZAQAAYwUAAAAA&#10;">
                <v:fill on="t" focussize="0,0"/>
                <v:stroke on="f"/>
                <v:imagedata o:title=""/>
                <o:lock v:ext="edit" aspectratio="f"/>
                <v:textbox inset="0mm,0mm,0mm,0mm">
                  <w:txbxContent>
                    <w:p>
                      <w:pPr>
                        <w:pStyle w:val="32"/>
                      </w:pPr>
                      <w:r>
                        <w:rPr>
                          <w:rFonts w:hint="eastAsia"/>
                        </w:rPr>
                        <w:t>中华人民共和国国家标准</w:t>
                      </w:r>
                    </w:p>
                  </w:txbxContent>
                </v:textbox>
                <w10:anchorlock/>
              </v:shape>
            </w:pict>
          </mc:Fallback>
        </mc:AlternateContent>
      </w:r>
    </w:p>
    <w:bookmarkEnd w:id="0"/>
    <w:p>
      <w:pPr>
        <w:tabs>
          <w:tab w:val="left" w:pos="210"/>
          <w:tab w:val="left" w:pos="1500"/>
          <w:tab w:val="right" w:pos="9528"/>
        </w:tabs>
        <w:spacing w:before="160" w:after="480"/>
        <w:jc w:val="center"/>
        <w:outlineLvl w:val="0"/>
        <w:rPr>
          <w:rFonts w:hint="eastAsia" w:ascii="黑体" w:hAnsi="宋体" w:eastAsia="黑体"/>
          <w:color w:val="auto"/>
          <w:szCs w:val="21"/>
          <w:highlight w:val="none"/>
        </w:rPr>
      </w:pPr>
      <w:r>
        <w:rPr>
          <w:rFonts w:hint="eastAsia" w:ascii="黑体" w:hAnsi="宋体" w:eastAsia="黑体"/>
          <w:color w:val="auto"/>
          <w:sz w:val="32"/>
          <w:highlight w:val="none"/>
        </w:rPr>
        <w:t>前    言</w:t>
      </w:r>
    </w:p>
    <w:p>
      <w:pPr>
        <w:spacing w:line="400" w:lineRule="exact"/>
        <w:ind w:firstLine="420" w:firstLineChars="200"/>
        <w:rPr>
          <w:color w:val="auto"/>
          <w:szCs w:val="21"/>
          <w:highlight w:val="none"/>
        </w:rPr>
      </w:pPr>
      <w:r>
        <w:rPr>
          <w:rFonts w:hint="eastAsia"/>
          <w:color w:val="auto"/>
          <w:szCs w:val="21"/>
          <w:highlight w:val="none"/>
        </w:rPr>
        <w:t>本文件按照GB/T 1.1-2020《标准化工作导则 第1部分：标准化文件的结构和起草规则》给出的规则起草。</w:t>
      </w:r>
    </w:p>
    <w:p>
      <w:pPr>
        <w:spacing w:line="400" w:lineRule="exact"/>
        <w:ind w:firstLine="420" w:firstLineChars="200"/>
        <w:rPr>
          <w:color w:val="auto"/>
          <w:szCs w:val="21"/>
          <w:highlight w:val="none"/>
        </w:rPr>
      </w:pPr>
      <w:r>
        <w:rPr>
          <w:rFonts w:hint="eastAsia"/>
          <w:color w:val="auto"/>
          <w:szCs w:val="21"/>
          <w:highlight w:val="none"/>
        </w:rPr>
        <w:t>本文件修改采用ISO 9725:2017《镍及镍合金锻件》，本文件与ISO 9725:2017相比，在结构上有较多调整，两个文件之间的结构编号变化对照一览表见附录A。</w:t>
      </w:r>
    </w:p>
    <w:p>
      <w:pPr>
        <w:spacing w:line="400" w:lineRule="exact"/>
        <w:ind w:firstLine="420" w:firstLineChars="200"/>
        <w:rPr>
          <w:color w:val="auto"/>
          <w:szCs w:val="21"/>
          <w:highlight w:val="none"/>
        </w:rPr>
      </w:pPr>
      <w:r>
        <w:rPr>
          <w:rFonts w:hint="eastAsia"/>
          <w:color w:val="auto"/>
          <w:szCs w:val="21"/>
          <w:highlight w:val="none"/>
        </w:rPr>
        <w:t>本文件与ISO 9725:2017相比，存在较多技术差异，在所涉及的条款的外侧页边空白位置用单垂线（│）进行了标记。这些技术差异及其原因一览表见附录B。</w:t>
      </w:r>
    </w:p>
    <w:p>
      <w:pPr>
        <w:pStyle w:val="22"/>
        <w:ind w:firstLine="420"/>
        <w:rPr>
          <w:rFonts w:hint="eastAsia" w:hAnsi="宋体"/>
          <w:color w:val="auto"/>
          <w:kern w:val="2"/>
          <w:szCs w:val="21"/>
          <w:highlight w:val="none"/>
        </w:rPr>
      </w:pPr>
      <w:r>
        <w:rPr>
          <w:rFonts w:hint="eastAsia" w:hAnsi="宋体"/>
          <w:color w:val="auto"/>
          <w:kern w:val="2"/>
          <w:szCs w:val="21"/>
          <w:highlight w:val="none"/>
        </w:rPr>
        <w:t>本文件做了下列编辑性改动：</w:t>
      </w:r>
    </w:p>
    <w:p>
      <w:pPr>
        <w:ind w:left="840" w:leftChars="200" w:hanging="420" w:hangingChars="200"/>
        <w:rPr>
          <w:rFonts w:hint="eastAsia" w:ascii="宋体" w:hAnsi="宋体"/>
          <w:color w:val="auto"/>
          <w:szCs w:val="21"/>
          <w:highlight w:val="none"/>
        </w:rPr>
      </w:pPr>
      <w:r>
        <w:rPr>
          <w:rFonts w:hint="eastAsia" w:ascii="宋体" w:hAnsi="宋体"/>
          <w:color w:val="auto"/>
          <w:szCs w:val="21"/>
          <w:highlight w:val="none"/>
        </w:rPr>
        <w:t>——增加了附录</w:t>
      </w:r>
      <w:r>
        <w:rPr>
          <w:rFonts w:ascii="宋体" w:hAnsi="宋体"/>
          <w:color w:val="auto"/>
          <w:szCs w:val="21"/>
          <w:highlight w:val="none"/>
        </w:rPr>
        <w:t>A</w:t>
      </w:r>
      <w:r>
        <w:rPr>
          <w:rFonts w:hint="eastAsia" w:ascii="宋体" w:hAnsi="宋体"/>
          <w:color w:val="auto"/>
          <w:szCs w:val="21"/>
          <w:highlight w:val="none"/>
        </w:rPr>
        <w:t>（资料性）“本文件与</w:t>
      </w:r>
      <w:r>
        <w:rPr>
          <w:rFonts w:ascii="宋体" w:hAnsi="宋体"/>
          <w:color w:val="auto"/>
          <w:szCs w:val="21"/>
          <w:highlight w:val="none"/>
        </w:rPr>
        <w:t>ISO 9725:2017</w:t>
      </w:r>
      <w:r>
        <w:rPr>
          <w:rFonts w:hint="eastAsia" w:ascii="宋体" w:hAnsi="宋体"/>
          <w:color w:val="auto"/>
          <w:szCs w:val="21"/>
          <w:highlight w:val="none"/>
        </w:rPr>
        <w:t>结构编号对照一览表”；</w:t>
      </w:r>
    </w:p>
    <w:p>
      <w:pPr>
        <w:ind w:left="840" w:leftChars="200" w:hanging="420" w:hangingChars="200"/>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增加了附录</w:t>
      </w:r>
      <w:r>
        <w:rPr>
          <w:rFonts w:ascii="宋体" w:hAnsi="宋体"/>
          <w:color w:val="auto"/>
          <w:szCs w:val="21"/>
          <w:highlight w:val="none"/>
        </w:rPr>
        <w:t>B</w:t>
      </w:r>
      <w:r>
        <w:rPr>
          <w:rFonts w:hint="eastAsia" w:ascii="宋体" w:hAnsi="宋体"/>
          <w:color w:val="auto"/>
          <w:szCs w:val="21"/>
          <w:highlight w:val="none"/>
        </w:rPr>
        <w:t>（资料性）“本文件与</w:t>
      </w:r>
      <w:r>
        <w:rPr>
          <w:rFonts w:ascii="宋体" w:hAnsi="宋体"/>
          <w:color w:val="auto"/>
          <w:szCs w:val="21"/>
          <w:highlight w:val="none"/>
        </w:rPr>
        <w:t>ISO 9725:2017</w:t>
      </w:r>
      <w:r>
        <w:rPr>
          <w:rFonts w:hint="eastAsia" w:ascii="宋体" w:hAnsi="宋体"/>
          <w:color w:val="auto"/>
          <w:szCs w:val="21"/>
          <w:highlight w:val="none"/>
        </w:rPr>
        <w:t>的技术差异及其原因”；</w:t>
      </w:r>
    </w:p>
    <w:p>
      <w:pPr>
        <w:ind w:left="840" w:leftChars="200" w:hanging="420" w:hangingChars="200"/>
        <w:rPr>
          <w:rFonts w:hint="eastAsia" w:ascii="宋体" w:hAnsi="宋体"/>
          <w:color w:val="auto"/>
          <w:szCs w:val="21"/>
          <w:highlight w:val="none"/>
        </w:rPr>
      </w:pPr>
      <w:r>
        <w:rPr>
          <w:rFonts w:hint="eastAsia" w:ascii="宋体" w:hAnsi="宋体"/>
          <w:color w:val="auto"/>
          <w:szCs w:val="21"/>
          <w:highlight w:val="none"/>
        </w:rPr>
        <w:t>——增加了附录C（资料性）“国内外标准相应牌号的对照</w:t>
      </w:r>
      <w:r>
        <w:rPr>
          <w:rFonts w:ascii="宋体" w:hAnsi="宋体"/>
          <w:color w:val="auto"/>
          <w:szCs w:val="21"/>
          <w:highlight w:val="none"/>
        </w:rPr>
        <w:t>”</w:t>
      </w:r>
      <w:r>
        <w:rPr>
          <w:rFonts w:hint="eastAsia" w:ascii="宋体" w:hAnsi="宋体"/>
          <w:color w:val="auto"/>
          <w:szCs w:val="21"/>
          <w:highlight w:val="none"/>
        </w:rPr>
        <w:t>。</w:t>
      </w:r>
    </w:p>
    <w:p>
      <w:pPr>
        <w:spacing w:line="400" w:lineRule="exact"/>
        <w:ind w:firstLine="420" w:firstLineChars="200"/>
        <w:rPr>
          <w:color w:val="auto"/>
          <w:szCs w:val="21"/>
          <w:highlight w:val="none"/>
        </w:rPr>
      </w:pPr>
      <w:r>
        <w:rPr>
          <w:rFonts w:hint="eastAsia"/>
          <w:color w:val="auto"/>
          <w:szCs w:val="21"/>
          <w:highlight w:val="none"/>
        </w:rPr>
        <w:t>本文件代替GB/T 26030－2010《镍及镍合金锻件》，与GB/T 26030－2010相比，除结构调整和编辑性改动外，主要技术变化如下：</w:t>
      </w:r>
    </w:p>
    <w:p>
      <w:pPr>
        <w:spacing w:line="400" w:lineRule="exact"/>
        <w:ind w:left="630" w:leftChars="200" w:hanging="210" w:hangingChars="100"/>
        <w:rPr>
          <w:color w:val="auto"/>
          <w:szCs w:val="21"/>
          <w:highlight w:val="none"/>
        </w:rPr>
      </w:pPr>
      <w:r>
        <w:rPr>
          <w:color w:val="auto"/>
          <w:szCs w:val="21"/>
          <w:highlight w:val="none"/>
        </w:rPr>
        <w:t>a）更改了合金牌号的表示方式，</w:t>
      </w:r>
      <w:r>
        <w:rPr>
          <w:rFonts w:hint="eastAsia" w:ascii="宋体" w:hAnsi="宋体" w:eastAsiaTheme="minorEastAsia" w:cstheme="minorBidi"/>
          <w:color w:val="auto"/>
          <w:kern w:val="2"/>
          <w:sz w:val="21"/>
          <w:szCs w:val="21"/>
          <w:highlight w:val="none"/>
          <w:lang w:val="en-US" w:eastAsia="zh-CN" w:bidi="ar-SA"/>
        </w:rPr>
        <w:t>除</w:t>
      </w:r>
      <w:r>
        <w:rPr>
          <w:rFonts w:hint="default" w:ascii="宋体" w:hAnsi="宋体" w:eastAsiaTheme="minorEastAsia" w:cstheme="minorBidi"/>
          <w:color w:val="auto"/>
          <w:kern w:val="2"/>
          <w:sz w:val="21"/>
          <w:szCs w:val="21"/>
          <w:highlight w:val="none"/>
          <w:lang w:val="en-US" w:eastAsia="zh-CN" w:bidi="ar-SA"/>
        </w:rPr>
        <w:t>FeNi32Cr21Ti合金牌号</w:t>
      </w:r>
      <w:r>
        <w:rPr>
          <w:rFonts w:hint="eastAsia" w:ascii="宋体" w:hAnsi="宋体" w:eastAsiaTheme="minorEastAsia" w:cstheme="minorBidi"/>
          <w:color w:val="auto"/>
          <w:kern w:val="2"/>
          <w:sz w:val="21"/>
          <w:szCs w:val="21"/>
          <w:highlight w:val="none"/>
          <w:lang w:val="en-US" w:eastAsia="zh-CN" w:bidi="ar-SA"/>
        </w:rPr>
        <w:t>沿用原标准外其余牌号</w:t>
      </w:r>
      <w:r>
        <w:rPr>
          <w:color w:val="auto"/>
          <w:szCs w:val="21"/>
          <w:highlight w:val="none"/>
        </w:rPr>
        <w:t>采用GB/T 5235</w:t>
      </w:r>
      <w:r>
        <w:rPr>
          <w:rFonts w:hint="eastAsia"/>
          <w:color w:val="auto"/>
          <w:szCs w:val="21"/>
          <w:highlight w:val="none"/>
          <w:lang w:val="en-US" w:eastAsia="zh-CN"/>
        </w:rPr>
        <w:t>与</w:t>
      </w:r>
      <w:r>
        <w:rPr>
          <w:color w:val="auto"/>
          <w:szCs w:val="21"/>
          <w:highlight w:val="none"/>
        </w:rPr>
        <w:t xml:space="preserve">GB/T </w:t>
      </w:r>
      <w:r>
        <w:rPr>
          <w:rFonts w:hint="eastAsia"/>
          <w:color w:val="auto"/>
          <w:szCs w:val="21"/>
          <w:highlight w:val="none"/>
          <w:lang w:val="en-US" w:eastAsia="zh-CN"/>
        </w:rPr>
        <w:t>15007</w:t>
      </w:r>
      <w:r>
        <w:rPr>
          <w:color w:val="auto"/>
          <w:szCs w:val="21"/>
          <w:highlight w:val="none"/>
        </w:rPr>
        <w:t>标准中牌号的表示方式</w:t>
      </w:r>
      <w:r>
        <w:rPr>
          <w:rFonts w:hint="eastAsia"/>
          <w:color w:val="auto"/>
          <w:szCs w:val="21"/>
          <w:highlight w:val="none"/>
        </w:rPr>
        <w:t>；并增加了</w:t>
      </w:r>
      <w:r>
        <w:rPr>
          <w:rFonts w:hint="eastAsia"/>
          <w:color w:val="auto"/>
          <w:szCs w:val="21"/>
          <w:highlight w:val="none"/>
          <w:lang w:val="en-US" w:eastAsia="zh-CN"/>
        </w:rPr>
        <w:t>NS3313</w:t>
      </w:r>
      <w:r>
        <w:rPr>
          <w:rFonts w:hint="eastAsia"/>
          <w:color w:val="auto"/>
          <w:szCs w:val="21"/>
          <w:highlight w:val="none"/>
        </w:rPr>
        <w:t>、NS</w:t>
      </w:r>
      <w:r>
        <w:rPr>
          <w:rFonts w:hint="eastAsia"/>
          <w:color w:val="auto"/>
          <w:szCs w:val="21"/>
          <w:highlight w:val="none"/>
          <w:lang w:eastAsia="zh-CN"/>
        </w:rPr>
        <w:t>3405</w:t>
      </w:r>
      <w:r>
        <w:rPr>
          <w:rFonts w:hint="eastAsia"/>
          <w:color w:val="auto"/>
          <w:szCs w:val="21"/>
          <w:highlight w:val="none"/>
        </w:rPr>
        <w:t>、</w:t>
      </w:r>
      <w:r>
        <w:rPr>
          <w:rFonts w:hint="eastAsia"/>
          <w:color w:val="auto"/>
          <w:szCs w:val="21"/>
          <w:highlight w:val="none"/>
          <w:lang w:val="en-US" w:eastAsia="zh-CN"/>
        </w:rPr>
        <w:t>NS1502</w:t>
      </w:r>
      <w:r>
        <w:rPr>
          <w:rFonts w:hint="eastAsia"/>
          <w:color w:val="auto"/>
          <w:szCs w:val="21"/>
          <w:highlight w:val="none"/>
        </w:rPr>
        <w:t>牌号内容（见</w:t>
      </w:r>
      <w:r>
        <w:rPr>
          <w:rFonts w:hint="eastAsia"/>
          <w:color w:val="auto"/>
          <w:szCs w:val="21"/>
          <w:highlight w:val="none"/>
          <w:lang w:val="en-US" w:eastAsia="zh-CN"/>
        </w:rPr>
        <w:t>4</w:t>
      </w:r>
      <w:r>
        <w:rPr>
          <w:rFonts w:hint="eastAsia"/>
          <w:color w:val="auto"/>
          <w:szCs w:val="21"/>
          <w:highlight w:val="none"/>
        </w:rPr>
        <w:t>.1，2010年版的3.1.1）</w:t>
      </w:r>
      <w:r>
        <w:rPr>
          <w:color w:val="auto"/>
          <w:szCs w:val="21"/>
          <w:highlight w:val="none"/>
        </w:rPr>
        <w:t>；</w:t>
      </w:r>
    </w:p>
    <w:p>
      <w:pPr>
        <w:spacing w:line="400" w:lineRule="exact"/>
        <w:ind w:left="630" w:leftChars="200" w:hanging="210" w:hangingChars="100"/>
        <w:rPr>
          <w:color w:val="auto"/>
          <w:szCs w:val="21"/>
          <w:highlight w:val="none"/>
        </w:rPr>
      </w:pPr>
      <w:r>
        <w:rPr>
          <w:color w:val="auto"/>
          <w:szCs w:val="21"/>
          <w:highlight w:val="none"/>
        </w:rPr>
        <w:t>b）更改了</w:t>
      </w:r>
      <w:r>
        <w:rPr>
          <w:rFonts w:hint="eastAsia"/>
          <w:color w:val="auto"/>
          <w:szCs w:val="21"/>
          <w:highlight w:val="none"/>
        </w:rPr>
        <w:t>NFe</w:t>
      </w:r>
      <w:r>
        <w:rPr>
          <w:color w:val="auto"/>
          <w:szCs w:val="21"/>
          <w:highlight w:val="none"/>
        </w:rPr>
        <w:t>30-21-3</w:t>
      </w:r>
      <w:r>
        <w:rPr>
          <w:rFonts w:hint="eastAsia"/>
          <w:color w:val="auto"/>
          <w:szCs w:val="21"/>
          <w:highlight w:val="none"/>
          <w:lang w:eastAsia="zh-CN"/>
        </w:rPr>
        <w:t>（</w:t>
      </w:r>
      <w:r>
        <w:rPr>
          <w:color w:val="auto"/>
          <w:szCs w:val="21"/>
          <w:highlight w:val="none"/>
        </w:rPr>
        <w:t>NW8825</w:t>
      </w:r>
      <w:r>
        <w:rPr>
          <w:rFonts w:hint="eastAsia"/>
          <w:color w:val="auto"/>
          <w:szCs w:val="21"/>
          <w:highlight w:val="none"/>
          <w:lang w:eastAsia="zh-CN"/>
        </w:rPr>
        <w:t>）</w:t>
      </w:r>
      <w:r>
        <w:rPr>
          <w:color w:val="auto"/>
          <w:szCs w:val="21"/>
          <w:highlight w:val="none"/>
        </w:rPr>
        <w:t>退火状态外形尺寸分类及</w:t>
      </w:r>
      <w:r>
        <w:rPr>
          <w:rFonts w:hint="eastAsia"/>
          <w:color w:val="auto"/>
          <w:szCs w:val="21"/>
          <w:highlight w:val="none"/>
        </w:rPr>
        <w:t>NS1101</w:t>
      </w:r>
      <w:r>
        <w:rPr>
          <w:rFonts w:hint="eastAsia"/>
          <w:color w:val="auto"/>
          <w:szCs w:val="21"/>
          <w:highlight w:val="none"/>
          <w:lang w:eastAsia="zh-CN"/>
        </w:rPr>
        <w:t>（</w:t>
      </w:r>
      <w:r>
        <w:rPr>
          <w:color w:val="auto"/>
          <w:szCs w:val="21"/>
          <w:highlight w:val="none"/>
        </w:rPr>
        <w:t>NW8800</w:t>
      </w:r>
      <w:r>
        <w:rPr>
          <w:rFonts w:hint="eastAsia"/>
          <w:color w:val="auto"/>
          <w:szCs w:val="21"/>
          <w:highlight w:val="none"/>
          <w:lang w:eastAsia="zh-CN"/>
        </w:rPr>
        <w:t>）</w:t>
      </w:r>
      <w:r>
        <w:rPr>
          <w:color w:val="auto"/>
          <w:szCs w:val="21"/>
          <w:highlight w:val="none"/>
        </w:rPr>
        <w:t>热加工状态及退火状态外形尺寸分类：由</w:t>
      </w:r>
      <w:r>
        <w:rPr>
          <w:rFonts w:hint="eastAsia"/>
          <w:color w:val="auto"/>
          <w:szCs w:val="21"/>
          <w:highlight w:val="none"/>
        </w:rPr>
        <w:t>“</w:t>
      </w:r>
      <w:r>
        <w:rPr>
          <w:color w:val="auto"/>
          <w:szCs w:val="21"/>
          <w:highlight w:val="none"/>
        </w:rPr>
        <w:t>所有</w:t>
      </w:r>
      <w:r>
        <w:rPr>
          <w:rFonts w:hint="eastAsia"/>
          <w:color w:val="auto"/>
          <w:szCs w:val="21"/>
          <w:highlight w:val="none"/>
        </w:rPr>
        <w:t>”</w:t>
      </w:r>
      <w:r>
        <w:rPr>
          <w:color w:val="auto"/>
          <w:szCs w:val="21"/>
          <w:highlight w:val="none"/>
        </w:rPr>
        <w:t>，进一步细分为</w:t>
      </w:r>
      <w:r>
        <w:rPr>
          <w:rFonts w:hint="eastAsia"/>
          <w:color w:val="auto"/>
          <w:szCs w:val="21"/>
          <w:highlight w:val="none"/>
        </w:rPr>
        <w:t>“</w:t>
      </w:r>
      <w:r>
        <w:rPr>
          <w:rFonts w:hint="eastAsia"/>
          <w:lang w:val="en-US" w:eastAsia="zh-CN"/>
        </w:rPr>
        <w:t>≤</w:t>
      </w:r>
      <w:r>
        <w:rPr>
          <w:color w:val="auto"/>
          <w:szCs w:val="21"/>
          <w:highlight w:val="none"/>
        </w:rPr>
        <w:t>50</w:t>
      </w:r>
      <w:r>
        <w:rPr>
          <w:rFonts w:hint="eastAsia"/>
          <w:color w:val="auto"/>
          <w:szCs w:val="21"/>
          <w:highlight w:val="none"/>
        </w:rPr>
        <w:t>”</w:t>
      </w:r>
      <w:r>
        <w:rPr>
          <w:color w:val="auto"/>
          <w:szCs w:val="21"/>
          <w:highlight w:val="none"/>
        </w:rPr>
        <w:t>及</w:t>
      </w:r>
      <w:r>
        <w:rPr>
          <w:rFonts w:hint="eastAsia"/>
          <w:color w:val="auto"/>
          <w:szCs w:val="21"/>
          <w:highlight w:val="none"/>
        </w:rPr>
        <w:t>“</w:t>
      </w:r>
      <w:r>
        <w:rPr>
          <w:color w:val="auto"/>
          <w:szCs w:val="21"/>
          <w:highlight w:val="none"/>
        </w:rPr>
        <w:t>＞50</w:t>
      </w:r>
      <w:r>
        <w:rPr>
          <w:rFonts w:hint="eastAsia"/>
          <w:color w:val="auto"/>
          <w:szCs w:val="21"/>
          <w:highlight w:val="none"/>
        </w:rPr>
        <w:t>”</w:t>
      </w:r>
      <w:r>
        <w:rPr>
          <w:color w:val="auto"/>
          <w:szCs w:val="21"/>
          <w:highlight w:val="none"/>
        </w:rPr>
        <w:t>；更改了</w:t>
      </w:r>
      <w:r>
        <w:rPr>
          <w:rFonts w:hint="eastAsia"/>
          <w:color w:val="auto"/>
          <w:szCs w:val="21"/>
          <w:highlight w:val="none"/>
        </w:rPr>
        <w:t>NCr20-0.5</w:t>
      </w:r>
      <w:r>
        <w:rPr>
          <w:color w:val="auto"/>
          <w:szCs w:val="21"/>
          <w:highlight w:val="none"/>
        </w:rPr>
        <w:t>退火状态外形尺寸分类：由</w:t>
      </w:r>
      <w:r>
        <w:rPr>
          <w:rFonts w:hint="eastAsia"/>
          <w:color w:val="auto"/>
          <w:szCs w:val="21"/>
          <w:highlight w:val="none"/>
        </w:rPr>
        <w:t>“</w:t>
      </w:r>
      <w:r>
        <w:rPr>
          <w:color w:val="auto"/>
          <w:szCs w:val="21"/>
          <w:highlight w:val="none"/>
        </w:rPr>
        <w:t>所有</w:t>
      </w:r>
      <w:r>
        <w:rPr>
          <w:rFonts w:hint="eastAsia"/>
          <w:color w:val="auto"/>
          <w:szCs w:val="21"/>
          <w:highlight w:val="none"/>
        </w:rPr>
        <w:t>”</w:t>
      </w:r>
      <w:r>
        <w:rPr>
          <w:color w:val="auto"/>
          <w:szCs w:val="21"/>
          <w:highlight w:val="none"/>
        </w:rPr>
        <w:t>，进一步细分为</w:t>
      </w:r>
      <w:r>
        <w:rPr>
          <w:rFonts w:hint="eastAsia"/>
          <w:color w:val="auto"/>
          <w:szCs w:val="21"/>
          <w:highlight w:val="none"/>
        </w:rPr>
        <w:t>“</w:t>
      </w:r>
      <w:r>
        <w:rPr>
          <w:rFonts w:hint="eastAsia"/>
          <w:lang w:val="en-US" w:eastAsia="zh-CN"/>
        </w:rPr>
        <w:t>≤</w:t>
      </w:r>
      <w:r>
        <w:rPr>
          <w:color w:val="auto"/>
          <w:szCs w:val="21"/>
          <w:highlight w:val="none"/>
        </w:rPr>
        <w:t>5</w:t>
      </w:r>
      <w:r>
        <w:rPr>
          <w:rFonts w:hint="eastAsia"/>
          <w:color w:val="auto"/>
          <w:szCs w:val="21"/>
          <w:highlight w:val="none"/>
        </w:rPr>
        <w:t>”</w:t>
      </w:r>
      <w:r>
        <w:rPr>
          <w:color w:val="auto"/>
          <w:szCs w:val="21"/>
          <w:highlight w:val="none"/>
        </w:rPr>
        <w:t>及</w:t>
      </w:r>
      <w:r>
        <w:rPr>
          <w:rFonts w:hint="eastAsia"/>
          <w:color w:val="auto"/>
          <w:szCs w:val="21"/>
          <w:highlight w:val="none"/>
        </w:rPr>
        <w:t>“</w:t>
      </w:r>
      <w:r>
        <w:rPr>
          <w:color w:val="auto"/>
          <w:szCs w:val="21"/>
          <w:highlight w:val="none"/>
        </w:rPr>
        <w:t>＞</w:t>
      </w:r>
      <w:r>
        <w:rPr>
          <w:rFonts w:hint="eastAsia"/>
          <w:color w:val="auto"/>
          <w:szCs w:val="21"/>
          <w:highlight w:val="none"/>
          <w:lang w:val="en-US" w:eastAsia="zh-CN"/>
        </w:rPr>
        <w:t>7</w:t>
      </w:r>
      <w:r>
        <w:rPr>
          <w:color w:val="auto"/>
          <w:szCs w:val="21"/>
          <w:highlight w:val="none"/>
        </w:rPr>
        <w:t>5</w:t>
      </w:r>
      <w:r>
        <w:rPr>
          <w:rFonts w:hint="eastAsia"/>
          <w:color w:val="auto"/>
          <w:szCs w:val="21"/>
          <w:highlight w:val="none"/>
        </w:rPr>
        <w:t>”</w:t>
      </w:r>
      <w:r>
        <w:rPr>
          <w:color w:val="auto"/>
          <w:szCs w:val="21"/>
          <w:highlight w:val="none"/>
        </w:rPr>
        <w:t>（见表1，2010年版的表1）</w:t>
      </w:r>
    </w:p>
    <w:p>
      <w:pPr>
        <w:spacing w:line="400" w:lineRule="exact"/>
        <w:ind w:left="630" w:leftChars="200" w:hanging="210" w:hangingChars="100"/>
        <w:rPr>
          <w:color w:val="auto"/>
          <w:szCs w:val="21"/>
          <w:highlight w:val="none"/>
        </w:rPr>
      </w:pPr>
      <w:r>
        <w:rPr>
          <w:color w:val="auto"/>
          <w:szCs w:val="21"/>
          <w:highlight w:val="none"/>
        </w:rPr>
        <w:t>c）更改了化学成分，标准中详细列出</w:t>
      </w:r>
      <w:r>
        <w:rPr>
          <w:rFonts w:hint="eastAsia"/>
          <w:color w:val="auto"/>
          <w:szCs w:val="21"/>
          <w:highlight w:val="none"/>
        </w:rPr>
        <w:t>FeNi32Cr21Ti</w:t>
      </w:r>
      <w:r>
        <w:rPr>
          <w:color w:val="auto"/>
          <w:szCs w:val="21"/>
          <w:highlight w:val="none"/>
        </w:rPr>
        <w:t>牌号锻件化学成分</w:t>
      </w:r>
      <w:r>
        <w:rPr>
          <w:rFonts w:hint="eastAsia"/>
          <w:color w:val="auto"/>
          <w:szCs w:val="21"/>
          <w:highlight w:val="none"/>
          <w:lang w:val="en-US" w:eastAsia="zh-CN"/>
        </w:rPr>
        <w:t>要求；</w:t>
      </w:r>
      <w:r>
        <w:rPr>
          <w:rFonts w:hint="eastAsia"/>
          <w:color w:val="auto"/>
          <w:szCs w:val="21"/>
          <w:highlight w:val="none"/>
        </w:rPr>
        <w:t>NS1101</w:t>
      </w:r>
      <w:r>
        <w:rPr>
          <w:color w:val="auto"/>
          <w:szCs w:val="21"/>
          <w:highlight w:val="none"/>
        </w:rPr>
        <w:t>、</w:t>
      </w:r>
      <w:r>
        <w:rPr>
          <w:rFonts w:hint="eastAsia"/>
          <w:color w:val="auto"/>
          <w:szCs w:val="21"/>
          <w:highlight w:val="none"/>
        </w:rPr>
        <w:t>NS1102</w:t>
      </w:r>
      <w:r>
        <w:rPr>
          <w:color w:val="auto"/>
          <w:szCs w:val="21"/>
          <w:highlight w:val="none"/>
        </w:rPr>
        <w:t>、</w:t>
      </w:r>
      <w:r>
        <w:rPr>
          <w:rFonts w:hint="eastAsia"/>
          <w:color w:val="auto"/>
          <w:szCs w:val="21"/>
          <w:highlight w:val="none"/>
        </w:rPr>
        <w:t>NS1104</w:t>
      </w:r>
      <w:r>
        <w:rPr>
          <w:color w:val="auto"/>
          <w:szCs w:val="21"/>
          <w:highlight w:val="none"/>
        </w:rPr>
        <w:t>、</w:t>
      </w:r>
      <w:r>
        <w:rPr>
          <w:rFonts w:hint="eastAsia"/>
          <w:color w:val="auto"/>
          <w:szCs w:val="21"/>
          <w:highlight w:val="none"/>
        </w:rPr>
        <w:t>NS1403、</w:t>
      </w:r>
      <w:r>
        <w:rPr>
          <w:rFonts w:hint="eastAsia"/>
          <w:color w:val="auto"/>
          <w:szCs w:val="21"/>
          <w:highlight w:val="none"/>
          <w:lang w:val="en-US" w:eastAsia="zh-CN"/>
        </w:rPr>
        <w:t>NS3313</w:t>
      </w:r>
      <w:r>
        <w:rPr>
          <w:rFonts w:hint="eastAsia"/>
          <w:color w:val="auto"/>
          <w:szCs w:val="21"/>
          <w:highlight w:val="none"/>
        </w:rPr>
        <w:t>、NS</w:t>
      </w:r>
      <w:r>
        <w:rPr>
          <w:rFonts w:hint="eastAsia"/>
          <w:color w:val="auto"/>
          <w:szCs w:val="21"/>
          <w:highlight w:val="none"/>
          <w:lang w:eastAsia="zh-CN"/>
        </w:rPr>
        <w:t>3405</w:t>
      </w:r>
      <w:r>
        <w:rPr>
          <w:rFonts w:hint="eastAsia"/>
          <w:color w:val="auto"/>
          <w:szCs w:val="21"/>
          <w:highlight w:val="none"/>
        </w:rPr>
        <w:t>、</w:t>
      </w:r>
      <w:r>
        <w:rPr>
          <w:rFonts w:hint="eastAsia"/>
          <w:color w:val="auto"/>
          <w:szCs w:val="21"/>
          <w:highlight w:val="none"/>
          <w:lang w:val="en-US" w:eastAsia="zh-CN"/>
        </w:rPr>
        <w:t>NS1502</w:t>
      </w:r>
      <w:r>
        <w:rPr>
          <w:color w:val="auto"/>
          <w:szCs w:val="21"/>
          <w:highlight w:val="none"/>
        </w:rPr>
        <w:t>合金牌号锻件化学成分</w:t>
      </w:r>
      <w:r>
        <w:rPr>
          <w:rFonts w:hint="eastAsia"/>
          <w:color w:val="auto"/>
          <w:szCs w:val="21"/>
          <w:highlight w:val="none"/>
          <w:lang w:val="en-US" w:eastAsia="zh-CN"/>
        </w:rPr>
        <w:t>按照GB/T 15007执行</w:t>
      </w:r>
      <w:r>
        <w:rPr>
          <w:color w:val="auto"/>
          <w:szCs w:val="21"/>
          <w:highlight w:val="none"/>
        </w:rPr>
        <w:t>，其余合金牌号锻件化学成分均按照GB/T 5235执行（表</w:t>
      </w:r>
      <w:r>
        <w:rPr>
          <w:rFonts w:hint="eastAsia"/>
          <w:color w:val="auto"/>
          <w:szCs w:val="21"/>
          <w:highlight w:val="none"/>
          <w:lang w:val="en-US" w:eastAsia="zh-CN"/>
        </w:rPr>
        <w:t>2</w:t>
      </w:r>
      <w:r>
        <w:rPr>
          <w:color w:val="auto"/>
          <w:szCs w:val="21"/>
          <w:highlight w:val="none"/>
        </w:rPr>
        <w:t>，2010年版的表2）；</w:t>
      </w:r>
    </w:p>
    <w:p>
      <w:pPr>
        <w:spacing w:line="400" w:lineRule="exact"/>
        <w:ind w:left="630" w:leftChars="200" w:hanging="210" w:hangingChars="100"/>
        <w:rPr>
          <w:color w:val="auto"/>
          <w:szCs w:val="21"/>
          <w:highlight w:val="none"/>
        </w:rPr>
      </w:pPr>
      <w:r>
        <w:rPr>
          <w:color w:val="auto"/>
          <w:szCs w:val="21"/>
          <w:highlight w:val="none"/>
        </w:rPr>
        <w:t>d）更改了</w:t>
      </w:r>
      <w:r>
        <w:rPr>
          <w:rFonts w:hint="eastAsia"/>
          <w:color w:val="auto"/>
          <w:szCs w:val="21"/>
          <w:highlight w:val="none"/>
        </w:rPr>
        <w:t>NFe</w:t>
      </w:r>
      <w:r>
        <w:rPr>
          <w:color w:val="auto"/>
          <w:szCs w:val="21"/>
          <w:highlight w:val="none"/>
        </w:rPr>
        <w:t>30-21-3</w:t>
      </w:r>
      <w:r>
        <w:rPr>
          <w:rFonts w:hint="eastAsia"/>
          <w:color w:val="auto"/>
          <w:szCs w:val="21"/>
          <w:highlight w:val="none"/>
          <w:lang w:eastAsia="zh-CN"/>
        </w:rPr>
        <w:t>（</w:t>
      </w:r>
      <w:r>
        <w:rPr>
          <w:color w:val="auto"/>
          <w:szCs w:val="21"/>
          <w:highlight w:val="none"/>
        </w:rPr>
        <w:t>NW8825</w:t>
      </w:r>
      <w:r>
        <w:rPr>
          <w:rFonts w:hint="eastAsia"/>
          <w:color w:val="auto"/>
          <w:szCs w:val="21"/>
          <w:highlight w:val="none"/>
          <w:lang w:eastAsia="zh-CN"/>
        </w:rPr>
        <w:t>）</w:t>
      </w:r>
      <w:r>
        <w:rPr>
          <w:color w:val="auto"/>
          <w:szCs w:val="21"/>
          <w:highlight w:val="none"/>
        </w:rPr>
        <w:t>退火状态锻件力学性能要求及</w:t>
      </w:r>
      <w:r>
        <w:rPr>
          <w:rFonts w:hint="eastAsia"/>
          <w:color w:val="auto"/>
          <w:szCs w:val="21"/>
          <w:highlight w:val="none"/>
        </w:rPr>
        <w:t>NS1101</w:t>
      </w:r>
      <w:r>
        <w:rPr>
          <w:rFonts w:hint="eastAsia"/>
          <w:color w:val="auto"/>
          <w:szCs w:val="21"/>
          <w:highlight w:val="none"/>
          <w:lang w:eastAsia="zh-CN"/>
        </w:rPr>
        <w:t>（</w:t>
      </w:r>
      <w:r>
        <w:rPr>
          <w:color w:val="auto"/>
          <w:szCs w:val="21"/>
          <w:highlight w:val="none"/>
        </w:rPr>
        <w:t>NW8800</w:t>
      </w:r>
      <w:r>
        <w:rPr>
          <w:rFonts w:hint="eastAsia"/>
          <w:color w:val="auto"/>
          <w:szCs w:val="21"/>
          <w:highlight w:val="none"/>
          <w:lang w:eastAsia="zh-CN"/>
        </w:rPr>
        <w:t>）</w:t>
      </w:r>
      <w:r>
        <w:rPr>
          <w:color w:val="auto"/>
          <w:szCs w:val="21"/>
          <w:highlight w:val="none"/>
        </w:rPr>
        <w:t>热加工状态及退火状态锻件力学性能要求</w:t>
      </w:r>
      <w:r>
        <w:rPr>
          <w:rFonts w:hint="eastAsia"/>
          <w:color w:val="auto"/>
          <w:szCs w:val="21"/>
          <w:highlight w:val="none"/>
        </w:rPr>
        <w:t>：</w:t>
      </w:r>
      <w:r>
        <w:rPr>
          <w:color w:val="auto"/>
          <w:szCs w:val="21"/>
          <w:highlight w:val="none"/>
        </w:rPr>
        <w:t>按照外形尺寸</w:t>
      </w:r>
      <w:r>
        <w:rPr>
          <w:rFonts w:hint="eastAsia"/>
          <w:lang w:val="en-US" w:eastAsia="zh-CN"/>
        </w:rPr>
        <w:t>≤</w:t>
      </w:r>
      <w:r>
        <w:rPr>
          <w:color w:val="auto"/>
          <w:szCs w:val="21"/>
          <w:highlight w:val="none"/>
        </w:rPr>
        <w:t>50及＞50进行划分，分别给出</w:t>
      </w:r>
      <w:r>
        <w:rPr>
          <w:rFonts w:hint="eastAsia"/>
          <w:color w:val="auto"/>
          <w:szCs w:val="21"/>
          <w:highlight w:val="none"/>
        </w:rPr>
        <w:t>相应</w:t>
      </w:r>
      <w:r>
        <w:rPr>
          <w:color w:val="auto"/>
          <w:szCs w:val="21"/>
          <w:highlight w:val="none"/>
        </w:rPr>
        <w:t>规定</w:t>
      </w:r>
      <w:r>
        <w:rPr>
          <w:rFonts w:hint="eastAsia"/>
          <w:color w:val="auto"/>
          <w:szCs w:val="21"/>
          <w:highlight w:val="none"/>
          <w:lang w:eastAsia="zh-CN"/>
        </w:rPr>
        <w:t>；</w:t>
      </w:r>
      <w:r>
        <w:rPr>
          <w:color w:val="auto"/>
          <w:szCs w:val="21"/>
          <w:highlight w:val="none"/>
        </w:rPr>
        <w:t>更改了</w:t>
      </w:r>
      <w:r>
        <w:rPr>
          <w:rFonts w:hint="eastAsia"/>
          <w:color w:val="auto"/>
          <w:szCs w:val="21"/>
          <w:highlight w:val="none"/>
        </w:rPr>
        <w:t>NCr20-0.5</w:t>
      </w:r>
      <w:r>
        <w:rPr>
          <w:color w:val="auto"/>
          <w:szCs w:val="21"/>
          <w:highlight w:val="none"/>
        </w:rPr>
        <w:t>退火状态锻件力学性能要求</w:t>
      </w:r>
      <w:r>
        <w:rPr>
          <w:rFonts w:hint="eastAsia"/>
          <w:color w:val="auto"/>
          <w:szCs w:val="21"/>
          <w:highlight w:val="none"/>
        </w:rPr>
        <w:t>：</w:t>
      </w:r>
      <w:r>
        <w:rPr>
          <w:color w:val="auto"/>
          <w:szCs w:val="21"/>
          <w:highlight w:val="none"/>
        </w:rPr>
        <w:t>按照外形尺寸</w:t>
      </w:r>
      <w:r>
        <w:rPr>
          <w:rFonts w:hint="eastAsia"/>
          <w:lang w:val="en-US" w:eastAsia="zh-CN"/>
        </w:rPr>
        <w:t>≤</w:t>
      </w:r>
      <w:r>
        <w:rPr>
          <w:rFonts w:hint="eastAsia"/>
          <w:color w:val="auto"/>
          <w:szCs w:val="21"/>
          <w:highlight w:val="none"/>
          <w:lang w:val="en-US" w:eastAsia="zh-CN"/>
        </w:rPr>
        <w:t>7</w:t>
      </w:r>
      <w:r>
        <w:rPr>
          <w:color w:val="auto"/>
          <w:szCs w:val="21"/>
          <w:highlight w:val="none"/>
        </w:rPr>
        <w:t>5及＞</w:t>
      </w:r>
      <w:r>
        <w:rPr>
          <w:rFonts w:hint="eastAsia"/>
          <w:color w:val="auto"/>
          <w:szCs w:val="21"/>
          <w:highlight w:val="none"/>
          <w:lang w:val="en-US" w:eastAsia="zh-CN"/>
        </w:rPr>
        <w:t>7</w:t>
      </w:r>
      <w:r>
        <w:rPr>
          <w:color w:val="auto"/>
          <w:szCs w:val="21"/>
          <w:highlight w:val="none"/>
        </w:rPr>
        <w:t>5进行划分，分别给出</w:t>
      </w:r>
      <w:r>
        <w:rPr>
          <w:rFonts w:hint="eastAsia"/>
          <w:color w:val="auto"/>
          <w:szCs w:val="21"/>
          <w:highlight w:val="none"/>
        </w:rPr>
        <w:t>相应</w:t>
      </w:r>
      <w:r>
        <w:rPr>
          <w:color w:val="auto"/>
          <w:szCs w:val="21"/>
          <w:highlight w:val="none"/>
        </w:rPr>
        <w:t>规定</w:t>
      </w:r>
      <w:r>
        <w:rPr>
          <w:rFonts w:hint="eastAsia"/>
          <w:color w:val="auto"/>
          <w:szCs w:val="21"/>
          <w:highlight w:val="none"/>
          <w:lang w:eastAsia="zh-CN"/>
        </w:rPr>
        <w:t>；</w:t>
      </w:r>
      <w:r>
        <w:rPr>
          <w:color w:val="auto"/>
          <w:szCs w:val="21"/>
          <w:highlight w:val="none"/>
        </w:rPr>
        <w:t>（见表4，2010年版的表4）；</w:t>
      </w:r>
    </w:p>
    <w:p>
      <w:pPr>
        <w:spacing w:line="400" w:lineRule="exact"/>
        <w:ind w:left="630" w:leftChars="200" w:hanging="210" w:hangingChars="100"/>
        <w:rPr>
          <w:rFonts w:hint="eastAsia" w:eastAsia="宋体"/>
          <w:color w:val="auto"/>
          <w:szCs w:val="21"/>
          <w:highlight w:val="none"/>
          <w:lang w:val="en-US" w:eastAsia="zh-CN"/>
        </w:rPr>
      </w:pPr>
      <w:r>
        <w:rPr>
          <w:color w:val="auto"/>
          <w:szCs w:val="21"/>
          <w:highlight w:val="none"/>
        </w:rPr>
        <w:t>e）</w:t>
      </w:r>
      <w:r>
        <w:rPr>
          <w:rFonts w:hint="eastAsia"/>
          <w:color w:val="auto"/>
          <w:szCs w:val="21"/>
          <w:highlight w:val="none"/>
          <w:lang w:val="en-US" w:eastAsia="zh-CN"/>
        </w:rPr>
        <w:t>增加了N6热加工及退火状态</w:t>
      </w:r>
      <w:r>
        <w:rPr>
          <w:color w:val="auto"/>
          <w:szCs w:val="21"/>
          <w:highlight w:val="none"/>
        </w:rPr>
        <w:t>锻件</w:t>
      </w:r>
      <w:r>
        <w:rPr>
          <w:rFonts w:hint="eastAsia"/>
          <w:color w:val="auto"/>
          <w:szCs w:val="21"/>
          <w:highlight w:val="none"/>
          <w:lang w:val="en-US" w:eastAsia="zh-CN"/>
        </w:rPr>
        <w:t>力</w:t>
      </w:r>
      <w:r>
        <w:rPr>
          <w:color w:val="auto"/>
          <w:szCs w:val="21"/>
          <w:highlight w:val="none"/>
        </w:rPr>
        <w:t>学性能要求（见表4</w:t>
      </w:r>
      <w:r>
        <w:rPr>
          <w:rFonts w:hint="eastAsia"/>
          <w:color w:val="auto"/>
          <w:szCs w:val="21"/>
          <w:highlight w:val="none"/>
          <w:lang w:eastAsia="zh-CN"/>
        </w:rPr>
        <w:t>）；</w:t>
      </w:r>
    </w:p>
    <w:p>
      <w:pPr>
        <w:spacing w:line="400" w:lineRule="exact"/>
        <w:ind w:left="420" w:leftChars="200" w:firstLine="0" w:firstLineChars="0"/>
        <w:rPr>
          <w:color w:val="auto"/>
          <w:szCs w:val="21"/>
          <w:highlight w:val="none"/>
        </w:rPr>
      </w:pPr>
      <w:r>
        <w:rPr>
          <w:color w:val="auto"/>
          <w:szCs w:val="21"/>
          <w:highlight w:val="none"/>
        </w:rPr>
        <w:t>f）</w:t>
      </w:r>
      <w:r>
        <w:rPr>
          <w:rFonts w:hint="eastAsia"/>
          <w:color w:val="auto"/>
          <w:szCs w:val="21"/>
          <w:highlight w:val="none"/>
        </w:rPr>
        <w:t>更改了NCo20-15-5-4蠕变和应力断裂</w:t>
      </w:r>
      <w:r>
        <w:rPr>
          <w:rFonts w:hint="eastAsia" w:ascii="宋体" w:hAnsi="宋体"/>
          <w:color w:val="auto"/>
          <w:szCs w:val="21"/>
          <w:highlight w:val="none"/>
        </w:rPr>
        <w:t>试</w:t>
      </w:r>
      <w:r>
        <w:rPr>
          <w:rFonts w:hint="eastAsia"/>
          <w:color w:val="auto"/>
          <w:szCs w:val="21"/>
          <w:highlight w:val="none"/>
        </w:rPr>
        <w:t>验要求中最小应力要求（见表6，2010年版的表6）；</w:t>
      </w:r>
    </w:p>
    <w:p>
      <w:pPr>
        <w:spacing w:line="400" w:lineRule="exact"/>
        <w:ind w:left="420" w:leftChars="200" w:firstLine="0" w:firstLineChars="0"/>
        <w:rPr>
          <w:color w:val="auto"/>
          <w:szCs w:val="21"/>
          <w:highlight w:val="none"/>
        </w:rPr>
      </w:pPr>
      <w:r>
        <w:rPr>
          <w:rFonts w:hint="eastAsia"/>
          <w:color w:val="auto"/>
          <w:szCs w:val="21"/>
          <w:highlight w:val="none"/>
        </w:rPr>
        <w:t>g）更改了晶粒度要求（见5.6</w:t>
      </w:r>
      <w:r>
        <w:rPr>
          <w:color w:val="auto"/>
          <w:szCs w:val="21"/>
          <w:highlight w:val="none"/>
        </w:rPr>
        <w:t>，2010年版的</w:t>
      </w:r>
      <w:r>
        <w:rPr>
          <w:rFonts w:hint="eastAsia"/>
          <w:color w:val="auto"/>
          <w:szCs w:val="21"/>
          <w:highlight w:val="none"/>
        </w:rPr>
        <w:t>3.7）；</w:t>
      </w:r>
    </w:p>
    <w:p>
      <w:pPr>
        <w:spacing w:line="400" w:lineRule="exact"/>
        <w:ind w:left="630" w:leftChars="200" w:hanging="210" w:hangingChars="100"/>
        <w:rPr>
          <w:color w:val="auto"/>
          <w:szCs w:val="21"/>
          <w:highlight w:val="none"/>
        </w:rPr>
      </w:pPr>
      <w:r>
        <w:rPr>
          <w:rFonts w:hint="eastAsia"/>
          <w:color w:val="auto"/>
          <w:szCs w:val="21"/>
          <w:highlight w:val="none"/>
        </w:rPr>
        <w:t>h）更改了高温力学性能试验方法，由“</w:t>
      </w:r>
      <w:r>
        <w:rPr>
          <w:color w:val="auto"/>
          <w:szCs w:val="21"/>
          <w:highlight w:val="none"/>
        </w:rPr>
        <w:t>GB/T 4338</w:t>
      </w:r>
      <w:r>
        <w:rPr>
          <w:rFonts w:hint="eastAsia"/>
          <w:color w:val="auto"/>
          <w:szCs w:val="21"/>
          <w:highlight w:val="none"/>
        </w:rPr>
        <w:t>”</w:t>
      </w:r>
      <w:r>
        <w:rPr>
          <w:color w:val="auto"/>
          <w:szCs w:val="21"/>
          <w:highlight w:val="none"/>
        </w:rPr>
        <w:t>更改为</w:t>
      </w:r>
      <w:r>
        <w:rPr>
          <w:rFonts w:hint="eastAsia"/>
          <w:color w:val="auto"/>
          <w:szCs w:val="21"/>
          <w:highlight w:val="none"/>
        </w:rPr>
        <w:t>“</w:t>
      </w:r>
      <w:r>
        <w:rPr>
          <w:color w:val="auto"/>
          <w:szCs w:val="21"/>
          <w:highlight w:val="none"/>
        </w:rPr>
        <w:t>GB/T 228.2</w:t>
      </w:r>
      <w:r>
        <w:rPr>
          <w:rFonts w:hint="eastAsia"/>
          <w:color w:val="auto"/>
          <w:szCs w:val="21"/>
          <w:highlight w:val="none"/>
        </w:rPr>
        <w:t>”（</w:t>
      </w:r>
      <w:r>
        <w:rPr>
          <w:color w:val="auto"/>
          <w:szCs w:val="21"/>
          <w:highlight w:val="none"/>
        </w:rPr>
        <w:t>见</w:t>
      </w:r>
      <w:r>
        <w:rPr>
          <w:rFonts w:hint="eastAsia"/>
          <w:color w:val="auto"/>
          <w:szCs w:val="21"/>
          <w:highlight w:val="none"/>
          <w:lang w:val="en-US" w:eastAsia="zh-CN"/>
        </w:rPr>
        <w:t>6</w:t>
      </w:r>
      <w:r>
        <w:rPr>
          <w:rFonts w:hint="eastAsia"/>
          <w:color w:val="auto"/>
          <w:szCs w:val="21"/>
          <w:highlight w:val="none"/>
        </w:rPr>
        <w:t>.4</w:t>
      </w:r>
      <w:r>
        <w:rPr>
          <w:color w:val="auto"/>
          <w:szCs w:val="21"/>
          <w:highlight w:val="none"/>
        </w:rPr>
        <w:t>，2010年版的</w:t>
      </w:r>
      <w:r>
        <w:rPr>
          <w:rFonts w:hint="eastAsia"/>
          <w:color w:val="auto"/>
          <w:szCs w:val="21"/>
          <w:highlight w:val="none"/>
        </w:rPr>
        <w:t>4.4）；</w:t>
      </w:r>
    </w:p>
    <w:p>
      <w:pPr>
        <w:spacing w:line="400" w:lineRule="exact"/>
        <w:ind w:left="420" w:leftChars="200" w:firstLine="0" w:firstLineChars="0"/>
        <w:rPr>
          <w:color w:val="auto"/>
          <w:szCs w:val="21"/>
          <w:highlight w:val="none"/>
        </w:rPr>
      </w:pPr>
      <w:r>
        <w:rPr>
          <w:rFonts w:hint="eastAsia" w:ascii="Times New Roman" w:hAnsi="Times New Roman" w:eastAsia="宋体" w:cs="Times New Roman"/>
          <w:color w:val="auto"/>
          <w:szCs w:val="21"/>
          <w:highlight w:val="none"/>
          <w:lang w:val="en-US" w:eastAsia="zh-CN"/>
        </w:rPr>
        <w:t>i</w:t>
      </w:r>
      <w:r>
        <w:rPr>
          <w:rFonts w:hint="eastAsia" w:ascii="Times New Roman" w:hAnsi="Times New Roman" w:eastAsia="宋体" w:cs="Times New Roman"/>
          <w:color w:val="auto"/>
          <w:szCs w:val="21"/>
          <w:highlight w:val="none"/>
        </w:rPr>
        <w:t>）</w:t>
      </w:r>
      <w:r>
        <w:rPr>
          <w:rFonts w:hint="eastAsia"/>
          <w:color w:val="auto"/>
          <w:szCs w:val="21"/>
          <w:highlight w:val="none"/>
        </w:rPr>
        <w:t>更改了晶粒度试验方法（</w:t>
      </w:r>
      <w:r>
        <w:rPr>
          <w:color w:val="auto"/>
          <w:szCs w:val="21"/>
          <w:highlight w:val="none"/>
        </w:rPr>
        <w:t>见</w:t>
      </w:r>
      <w:r>
        <w:rPr>
          <w:rFonts w:hint="eastAsia"/>
          <w:color w:val="auto"/>
          <w:szCs w:val="21"/>
          <w:highlight w:val="none"/>
          <w:lang w:val="en-US" w:eastAsia="zh-CN"/>
        </w:rPr>
        <w:t>6</w:t>
      </w:r>
      <w:r>
        <w:rPr>
          <w:rFonts w:hint="eastAsia"/>
          <w:color w:val="auto"/>
          <w:szCs w:val="21"/>
          <w:highlight w:val="none"/>
        </w:rPr>
        <w:t>.6</w:t>
      </w:r>
      <w:r>
        <w:rPr>
          <w:color w:val="auto"/>
          <w:szCs w:val="21"/>
          <w:highlight w:val="none"/>
        </w:rPr>
        <w:t>，2010年版的</w:t>
      </w:r>
      <w:r>
        <w:rPr>
          <w:rFonts w:hint="eastAsia"/>
          <w:color w:val="auto"/>
          <w:szCs w:val="21"/>
          <w:highlight w:val="none"/>
        </w:rPr>
        <w:t>4.6）；</w:t>
      </w:r>
    </w:p>
    <w:p>
      <w:pPr>
        <w:spacing w:line="400" w:lineRule="exact"/>
        <w:ind w:left="420" w:leftChars="200" w:firstLine="0" w:firstLineChars="0"/>
        <w:jc w:val="left"/>
        <w:rPr>
          <w:rFonts w:hint="eastAsia" w:ascii="Times New Roman" w:hAnsi="Times New Roman" w:eastAsia="宋体" w:cs="Times New Roman"/>
          <w:color w:val="auto"/>
          <w:szCs w:val="21"/>
          <w:highlight w:val="none"/>
          <w:lang w:val="en-US" w:eastAsia="zh-CN"/>
        </w:rPr>
      </w:pPr>
      <w:r>
        <w:rPr>
          <w:rFonts w:hint="eastAsia"/>
          <w:color w:val="auto"/>
          <w:szCs w:val="21"/>
          <w:highlight w:val="none"/>
          <w:lang w:val="en-US" w:eastAsia="zh-CN"/>
        </w:rPr>
        <w:t>j</w:t>
      </w:r>
      <w:r>
        <w:rPr>
          <w:rFonts w:hint="eastAsia"/>
          <w:color w:val="auto"/>
          <w:szCs w:val="21"/>
          <w:highlight w:val="none"/>
        </w:rPr>
        <w:t>）</w:t>
      </w:r>
      <w:r>
        <w:rPr>
          <w:rFonts w:hint="eastAsia" w:ascii="Times New Roman" w:hAnsi="Times New Roman" w:eastAsia="宋体" w:cs="Times New Roman"/>
          <w:color w:val="auto"/>
          <w:szCs w:val="21"/>
          <w:highlight w:val="none"/>
          <w:lang w:val="en-US" w:eastAsia="zh-CN"/>
        </w:rPr>
        <w:t>更改了</w:t>
      </w:r>
      <w:r>
        <w:rPr>
          <w:rFonts w:hint="eastAsia" w:ascii="Times New Roman" w:hAnsi="Times New Roman" w:eastAsia="宋体" w:cs="Times New Roman"/>
          <w:color w:val="auto"/>
          <w:szCs w:val="21"/>
          <w:highlight w:val="none"/>
        </w:rPr>
        <w:t>取样规定（见</w:t>
      </w:r>
      <w:r>
        <w:rPr>
          <w:rFonts w:hint="eastAsia" w:ascii="Times New Roman" w:hAnsi="Times New Roman" w:eastAsia="宋体" w:cs="Times New Roman"/>
          <w:color w:val="auto"/>
          <w:szCs w:val="21"/>
          <w:highlight w:val="none"/>
          <w:lang w:val="en-US" w:eastAsia="zh-CN"/>
        </w:rPr>
        <w:t>表</w:t>
      </w:r>
      <w:r>
        <w:rPr>
          <w:rFonts w:hint="eastAsia" w:cs="Times New Roman"/>
          <w:color w:val="auto"/>
          <w:szCs w:val="21"/>
          <w:highlight w:val="none"/>
          <w:lang w:val="en-US" w:eastAsia="zh-CN"/>
        </w:rPr>
        <w:t>9</w:t>
      </w:r>
      <w:r>
        <w:rPr>
          <w:rFonts w:hint="eastAsia" w:ascii="Times New Roman" w:hAnsi="Times New Roman" w:eastAsia="宋体" w:cs="Times New Roman"/>
          <w:color w:val="auto"/>
          <w:szCs w:val="21"/>
          <w:highlight w:val="none"/>
        </w:rPr>
        <w:t>）；</w:t>
      </w:r>
    </w:p>
    <w:p>
      <w:pPr>
        <w:spacing w:line="400" w:lineRule="exact"/>
        <w:ind w:left="420" w:leftChars="200" w:firstLine="0" w:firstLineChars="0"/>
        <w:rPr>
          <w:color w:val="auto"/>
          <w:szCs w:val="21"/>
          <w:highlight w:val="none"/>
        </w:rPr>
      </w:pPr>
      <w:r>
        <w:rPr>
          <w:rFonts w:hint="eastAsia"/>
          <w:color w:val="auto"/>
          <w:szCs w:val="21"/>
          <w:highlight w:val="none"/>
          <w:lang w:val="en-US" w:eastAsia="zh-CN"/>
        </w:rPr>
        <w:t>k</w:t>
      </w:r>
      <w:r>
        <w:rPr>
          <w:rFonts w:hint="eastAsia"/>
          <w:color w:val="auto"/>
          <w:szCs w:val="21"/>
          <w:highlight w:val="none"/>
          <w:lang w:eastAsia="zh-CN"/>
        </w:rPr>
        <w:t>）</w:t>
      </w:r>
      <w:r>
        <w:rPr>
          <w:rFonts w:hint="eastAsia"/>
          <w:color w:val="auto"/>
          <w:szCs w:val="21"/>
          <w:highlight w:val="none"/>
        </w:rPr>
        <w:t>增加了随行文件的内容（见8.2）。</w:t>
      </w:r>
    </w:p>
    <w:p>
      <w:pPr>
        <w:spacing w:line="400" w:lineRule="exact"/>
        <w:ind w:firstLine="420" w:firstLineChars="200"/>
        <w:rPr>
          <w:color w:val="auto"/>
          <w:szCs w:val="21"/>
          <w:highlight w:val="none"/>
        </w:rPr>
      </w:pPr>
      <w:r>
        <w:rPr>
          <w:rFonts w:hint="eastAsia"/>
          <w:color w:val="auto"/>
          <w:szCs w:val="21"/>
          <w:highlight w:val="none"/>
        </w:rPr>
        <w:t>请注意本文件的某些内容可能涉及专利。本文件的发布机构不承担识别专利的责任。</w:t>
      </w:r>
    </w:p>
    <w:p>
      <w:pPr>
        <w:spacing w:line="400" w:lineRule="exact"/>
        <w:ind w:firstLine="420" w:firstLineChars="200"/>
        <w:rPr>
          <w:rFonts w:hint="eastAsia"/>
          <w:color w:val="auto"/>
          <w:szCs w:val="21"/>
          <w:highlight w:val="none"/>
          <w:lang w:val="en-US" w:eastAsia="zh-CN"/>
        </w:rPr>
      </w:pPr>
      <w:r>
        <w:rPr>
          <w:rFonts w:hint="eastAsia"/>
          <w:color w:val="auto"/>
          <w:szCs w:val="21"/>
          <w:highlight w:val="none"/>
        </w:rPr>
        <w:t>本文件由</w:t>
      </w:r>
      <w:r>
        <w:rPr>
          <w:rFonts w:hint="eastAsia"/>
          <w:color w:val="auto"/>
          <w:szCs w:val="21"/>
          <w:highlight w:val="none"/>
          <w:lang w:val="en-US" w:eastAsia="zh-CN"/>
        </w:rPr>
        <w:t>中国有色金属工业协会提出。</w:t>
      </w:r>
    </w:p>
    <w:p>
      <w:pPr>
        <w:spacing w:line="400" w:lineRule="exact"/>
        <w:ind w:firstLine="420" w:firstLineChars="200"/>
        <w:rPr>
          <w:color w:val="auto"/>
          <w:szCs w:val="21"/>
          <w:highlight w:val="none"/>
        </w:rPr>
      </w:pPr>
      <w:r>
        <w:rPr>
          <w:rFonts w:hint="eastAsia"/>
          <w:color w:val="auto"/>
          <w:szCs w:val="21"/>
          <w:highlight w:val="none"/>
          <w:lang w:val="en-US" w:eastAsia="zh-CN"/>
        </w:rPr>
        <w:t>本文件由</w:t>
      </w:r>
      <w:r>
        <w:rPr>
          <w:rFonts w:hint="eastAsia"/>
          <w:color w:val="auto"/>
          <w:szCs w:val="21"/>
          <w:highlight w:val="none"/>
        </w:rPr>
        <w:t>全国有色金属标准化技术委员会</w:t>
      </w:r>
      <w:r>
        <w:rPr>
          <w:rFonts w:hint="eastAsia"/>
          <w:color w:val="auto"/>
          <w:szCs w:val="21"/>
          <w:highlight w:val="none"/>
          <w:lang w:eastAsia="zh-CN"/>
        </w:rPr>
        <w:t>（</w:t>
      </w:r>
      <w:r>
        <w:rPr>
          <w:rFonts w:hint="eastAsia"/>
          <w:color w:val="auto"/>
          <w:szCs w:val="21"/>
          <w:highlight w:val="none"/>
          <w:lang w:val="en-US" w:eastAsia="zh-CN"/>
        </w:rPr>
        <w:t>SAC/TC243</w:t>
      </w:r>
      <w:r>
        <w:rPr>
          <w:rFonts w:hint="eastAsia"/>
          <w:color w:val="auto"/>
          <w:szCs w:val="21"/>
          <w:highlight w:val="none"/>
          <w:lang w:eastAsia="zh-CN"/>
        </w:rPr>
        <w:t>）</w:t>
      </w:r>
      <w:r>
        <w:rPr>
          <w:rFonts w:hint="eastAsia"/>
          <w:color w:val="auto"/>
          <w:szCs w:val="21"/>
          <w:highlight w:val="none"/>
        </w:rPr>
        <w:t>归口。</w:t>
      </w:r>
    </w:p>
    <w:p>
      <w:pPr>
        <w:spacing w:line="400" w:lineRule="exact"/>
        <w:ind w:firstLine="420" w:firstLineChars="200"/>
        <w:rPr>
          <w:color w:val="auto"/>
          <w:szCs w:val="21"/>
          <w:highlight w:val="none"/>
        </w:rPr>
      </w:pPr>
      <w:r>
        <w:rPr>
          <w:rFonts w:hint="eastAsia"/>
          <w:color w:val="auto"/>
          <w:szCs w:val="21"/>
          <w:highlight w:val="none"/>
        </w:rPr>
        <w:t>本文件起草单位：</w:t>
      </w:r>
      <w:r>
        <w:rPr>
          <w:rFonts w:hint="eastAsia" w:ascii="宋体" w:hAnsi="宋体"/>
          <w:color w:val="auto"/>
          <w:sz w:val="21"/>
          <w:szCs w:val="21"/>
          <w:highlight w:val="none"/>
          <w:lang w:val="en-US" w:eastAsia="zh-CN"/>
        </w:rPr>
        <w:t>攀钢集团沈阳钛金属新材料有限公司、鞍钢集团北京研究院有限公司、沈阳有色金属研究所有限公司、宝钛集团有限公司、贵州安大航空锻造有限责任公司、江阴南工超合金有限公司、宝鸡海吉钛镍有限公司、东北大学、兰州兰石超合金新材料有限公司、抚顺特殊钢股份有限公司</w:t>
      </w:r>
    </w:p>
    <w:p>
      <w:pPr>
        <w:spacing w:line="400" w:lineRule="exact"/>
        <w:ind w:firstLine="420" w:firstLineChars="200"/>
        <w:rPr>
          <w:color w:val="auto"/>
          <w:szCs w:val="21"/>
          <w:highlight w:val="none"/>
        </w:rPr>
      </w:pPr>
      <w:r>
        <w:rPr>
          <w:rFonts w:hint="eastAsia"/>
          <w:color w:val="auto"/>
          <w:szCs w:val="21"/>
          <w:highlight w:val="none"/>
        </w:rPr>
        <w:t>本文件主要起草人：</w:t>
      </w:r>
      <w:r>
        <w:rPr>
          <w:rFonts w:hint="eastAsia"/>
          <w:color w:val="auto"/>
          <w:szCs w:val="21"/>
          <w:highlight w:val="none"/>
          <w:lang w:val="en-US" w:eastAsia="zh-CN"/>
        </w:rPr>
        <w:t>张野、郭凯、白杨、滕艾均、朱峰、胡志杰、叶俊青、周志强、王旭明、祖国胤、刘轶群、于杰、张昭、张桂敏、程伟、李文岗、周全</w:t>
      </w:r>
      <w:r>
        <w:rPr>
          <w:rFonts w:hint="eastAsia"/>
          <w:color w:val="auto"/>
          <w:szCs w:val="21"/>
          <w:highlight w:val="none"/>
        </w:rPr>
        <w:t>。</w:t>
      </w:r>
    </w:p>
    <w:p>
      <w:pPr>
        <w:spacing w:line="400" w:lineRule="exact"/>
        <w:ind w:firstLine="420" w:firstLineChars="200"/>
        <w:rPr>
          <w:color w:val="auto"/>
          <w:szCs w:val="21"/>
          <w:highlight w:val="none"/>
        </w:rPr>
      </w:pPr>
      <w:r>
        <w:rPr>
          <w:rFonts w:hint="eastAsia"/>
          <w:color w:val="auto"/>
          <w:szCs w:val="21"/>
          <w:highlight w:val="none"/>
        </w:rPr>
        <w:t>本文件历次版本发布情况：</w:t>
      </w:r>
    </w:p>
    <w:p>
      <w:pPr>
        <w:spacing w:line="400" w:lineRule="exact"/>
        <w:ind w:firstLine="420" w:firstLineChars="200"/>
        <w:rPr>
          <w:color w:val="auto"/>
          <w:szCs w:val="21"/>
          <w:highlight w:val="none"/>
          <w:lang w:eastAsia="zh-Hans"/>
        </w:rPr>
      </w:pPr>
      <w:r>
        <w:rPr>
          <w:rFonts w:hint="eastAsia"/>
          <w:color w:val="auto"/>
          <w:szCs w:val="21"/>
          <w:highlight w:val="none"/>
        </w:rPr>
        <w:t>——2010</w:t>
      </w:r>
      <w:r>
        <w:rPr>
          <w:rFonts w:hint="eastAsia"/>
          <w:color w:val="auto"/>
          <w:szCs w:val="21"/>
          <w:highlight w:val="none"/>
          <w:lang w:eastAsia="zh-Hans"/>
        </w:rPr>
        <w:t>年首次发布为</w:t>
      </w:r>
      <w:r>
        <w:rPr>
          <w:rFonts w:hint="eastAsia"/>
          <w:color w:val="auto"/>
          <w:szCs w:val="21"/>
          <w:highlight w:val="none"/>
        </w:rPr>
        <w:t>GB/T26030－2010</w:t>
      </w:r>
      <w:r>
        <w:rPr>
          <w:color w:val="auto"/>
          <w:szCs w:val="21"/>
          <w:highlight w:val="none"/>
          <w:lang w:eastAsia="zh-Hans"/>
        </w:rPr>
        <w:t>；</w:t>
      </w:r>
    </w:p>
    <w:p>
      <w:pPr>
        <w:spacing w:line="400" w:lineRule="exact"/>
        <w:ind w:firstLine="420" w:firstLineChars="200"/>
        <w:rPr>
          <w:color w:val="auto"/>
          <w:szCs w:val="21"/>
          <w:highlight w:val="none"/>
        </w:rPr>
        <w:sectPr>
          <w:footerReference r:id="rId8" w:type="default"/>
          <w:footerReference r:id="rId9" w:type="even"/>
          <w:pgSz w:w="11907" w:h="16840"/>
          <w:pgMar w:top="1418" w:right="1134" w:bottom="1134" w:left="1418" w:header="851" w:footer="851" w:gutter="0"/>
          <w:pgBorders>
            <w:top w:val="none" w:sz="0" w:space="0"/>
            <w:left w:val="none" w:sz="0" w:space="0"/>
            <w:bottom w:val="none" w:sz="0" w:space="0"/>
            <w:right w:val="none" w:sz="0" w:space="0"/>
          </w:pgBorders>
          <w:pgNumType w:fmt="upperRoman" w:start="1"/>
          <w:cols w:space="720" w:num="1"/>
          <w:docGrid w:type="lines" w:linePitch="312" w:charSpace="0"/>
        </w:sectPr>
      </w:pPr>
      <w:r>
        <w:rPr>
          <w:rFonts w:hint="eastAsia"/>
          <w:color w:val="auto"/>
          <w:szCs w:val="21"/>
          <w:highlight w:val="none"/>
        </w:rPr>
        <w:t>——</w:t>
      </w:r>
      <w:r>
        <w:rPr>
          <w:rFonts w:hint="eastAsia"/>
          <w:color w:val="auto"/>
          <w:szCs w:val="21"/>
          <w:highlight w:val="none"/>
          <w:lang w:eastAsia="zh-Hans"/>
        </w:rPr>
        <w:t>本次为第</w:t>
      </w:r>
      <w:r>
        <w:rPr>
          <w:rFonts w:hint="eastAsia"/>
          <w:color w:val="auto"/>
          <w:szCs w:val="21"/>
          <w:highlight w:val="none"/>
        </w:rPr>
        <w:t>一</w:t>
      </w:r>
      <w:r>
        <w:rPr>
          <w:rFonts w:hint="eastAsia"/>
          <w:color w:val="auto"/>
          <w:szCs w:val="21"/>
          <w:highlight w:val="none"/>
          <w:lang w:eastAsia="zh-Hans"/>
        </w:rPr>
        <w:t>次修订</w:t>
      </w:r>
      <w:r>
        <w:rPr>
          <w:rFonts w:hint="eastAsia"/>
          <w:color w:val="auto"/>
          <w:szCs w:val="21"/>
          <w:highlight w:val="none"/>
        </w:rPr>
        <w:t>。</w:t>
      </w:r>
    </w:p>
    <w:p>
      <w:pPr>
        <w:spacing w:before="160" w:after="360"/>
        <w:jc w:val="center"/>
        <w:rPr>
          <w:rFonts w:eastAsia="黑体"/>
          <w:color w:val="auto"/>
          <w:sz w:val="32"/>
          <w:highlight w:val="none"/>
        </w:rPr>
      </w:pPr>
      <w:r>
        <w:rPr>
          <w:rFonts w:hint="eastAsia" w:eastAsia="黑体"/>
          <w:color w:val="auto"/>
          <w:sz w:val="32"/>
          <w:highlight w:val="none"/>
        </w:rPr>
        <w:t>镍及镍合金锻件</w:t>
      </w:r>
    </w:p>
    <w:p>
      <w:pPr>
        <w:pStyle w:val="58"/>
        <w:spacing w:before="143" w:after="143"/>
        <w:ind w:right="0" w:rightChars="0"/>
        <w:rPr>
          <w:color w:val="auto"/>
          <w:highlight w:val="none"/>
        </w:rPr>
      </w:pPr>
      <w:r>
        <w:rPr>
          <w:rFonts w:hint="eastAsia"/>
          <w:color w:val="auto"/>
          <w:highlight w:val="none"/>
        </w:rPr>
        <w:t>1  范围</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本文件规定了镍及镍合金锻件的分类和标记、技术要求、试验方法、检验规则、标志、包装、</w:t>
      </w:r>
      <w:r>
        <w:rPr>
          <w:rFonts w:hint="eastAsia" w:ascii="宋体" w:hAnsi="宋体"/>
          <w:color w:val="auto"/>
          <w:szCs w:val="21"/>
          <w:highlight w:val="none"/>
          <w:lang w:val="en-US" w:eastAsia="zh-CN"/>
        </w:rPr>
        <w:t>运输</w:t>
      </w:r>
      <w:r>
        <w:rPr>
          <w:rFonts w:hint="eastAsia" w:ascii="宋体" w:hAnsi="宋体"/>
          <w:color w:val="auto"/>
          <w:szCs w:val="21"/>
          <w:highlight w:val="none"/>
        </w:rPr>
        <w:t>、贮存</w:t>
      </w:r>
      <w:r>
        <w:rPr>
          <w:rFonts w:hint="eastAsia" w:ascii="宋体" w:hAnsi="宋体"/>
          <w:color w:val="auto"/>
          <w:szCs w:val="21"/>
          <w:highlight w:val="none"/>
          <w:lang w:val="en-US" w:eastAsia="zh-CN"/>
        </w:rPr>
        <w:t>及</w:t>
      </w:r>
      <w:r>
        <w:rPr>
          <w:rFonts w:hint="eastAsia" w:ascii="宋体" w:hAnsi="宋体"/>
          <w:color w:val="auto"/>
          <w:szCs w:val="21"/>
          <w:highlight w:val="none"/>
        </w:rPr>
        <w:t>随行文件</w:t>
      </w:r>
      <w:r>
        <w:rPr>
          <w:rFonts w:hint="eastAsia" w:ascii="宋体" w:hAnsi="宋体"/>
          <w:color w:val="auto"/>
          <w:szCs w:val="21"/>
          <w:highlight w:val="none"/>
          <w:lang w:val="en-US" w:eastAsia="zh-CN"/>
        </w:rPr>
        <w:t>和</w:t>
      </w:r>
      <w:r>
        <w:rPr>
          <w:rFonts w:hint="eastAsia" w:ascii="宋体" w:hAnsi="宋体"/>
          <w:color w:val="auto"/>
          <w:szCs w:val="21"/>
          <w:highlight w:val="none"/>
        </w:rPr>
        <w:t>订货单内容。</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本文件适用于航空、电子仪表及其他工业部门用的镍及镍合金锻件。</w:t>
      </w:r>
    </w:p>
    <w:p>
      <w:pPr>
        <w:pStyle w:val="58"/>
        <w:spacing w:before="143" w:after="143"/>
        <w:ind w:right="0" w:rightChars="0"/>
        <w:rPr>
          <w:color w:val="auto"/>
          <w:highlight w:val="none"/>
        </w:rPr>
      </w:pPr>
      <w:r>
        <w:rPr>
          <w:rFonts w:hint="eastAsia"/>
          <w:color w:val="auto"/>
          <w:highlight w:val="none"/>
        </w:rPr>
        <w:t xml:space="preserve">2  </w:t>
      </w:r>
      <w:r>
        <w:rPr>
          <w:color w:val="auto"/>
          <w:highlight w:val="none"/>
        </w:rPr>
        <w:t>规范性引用文件</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pPr>
        <w:keepNext w:val="0"/>
        <w:keepLines w:val="0"/>
        <w:pageBreakBefore w:val="0"/>
        <w:widowControl w:val="0"/>
        <w:pBdr>
          <w:top w:val="none" w:color="auto" w:sz="0" w:space="1"/>
          <w:left w:val="none" w:color="auto" w:sz="0" w:space="4"/>
          <w:bottom w:val="none" w:color="auto" w:sz="0" w:space="1"/>
          <w:right w:val="single" w:color="auto" w:sz="4" w:space="8"/>
          <w:between w:val="none" w:color="auto" w:sz="0" w:space="0"/>
        </w:pBdr>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GB/T 228.1</w:t>
      </w:r>
      <w:r>
        <w:rPr>
          <w:rFonts w:hint="eastAsia" w:ascii="宋体" w:hAnsi="宋体" w:cs="宋体"/>
          <w:color w:val="auto"/>
          <w:szCs w:val="21"/>
          <w:highlight w:val="none"/>
        </w:rPr>
        <w:t>金属材料</w:t>
      </w:r>
      <w:r>
        <w:rPr>
          <w:rFonts w:hAnsi="宋体"/>
          <w:color w:val="auto"/>
          <w:highlight w:val="none"/>
        </w:rPr>
        <w:t xml:space="preserve"> </w:t>
      </w:r>
      <w:r>
        <w:rPr>
          <w:rFonts w:hint="eastAsia" w:hAnsi="宋体"/>
          <w:color w:val="auto"/>
          <w:highlight w:val="none"/>
        </w:rPr>
        <w:t>拉伸试验</w:t>
      </w:r>
      <w:r>
        <w:rPr>
          <w:rFonts w:hAnsi="宋体"/>
          <w:color w:val="auto"/>
          <w:highlight w:val="none"/>
        </w:rPr>
        <w:t xml:space="preserve"> </w:t>
      </w:r>
      <w:r>
        <w:rPr>
          <w:rFonts w:hint="eastAsia" w:hAnsi="宋体"/>
          <w:color w:val="auto"/>
          <w:highlight w:val="none"/>
        </w:rPr>
        <w:t>第</w:t>
      </w:r>
      <w:r>
        <w:rPr>
          <w:rFonts w:hAnsi="宋体"/>
          <w:color w:val="auto"/>
          <w:highlight w:val="none"/>
        </w:rPr>
        <w:t>1</w:t>
      </w:r>
      <w:r>
        <w:rPr>
          <w:rFonts w:hint="eastAsia" w:hAnsi="宋体"/>
          <w:color w:val="auto"/>
          <w:highlight w:val="none"/>
        </w:rPr>
        <w:t>部分：室温试验方法</w:t>
      </w:r>
    </w:p>
    <w:p>
      <w:pPr>
        <w:keepNext w:val="0"/>
        <w:keepLines w:val="0"/>
        <w:pageBreakBefore w:val="0"/>
        <w:widowControl w:val="0"/>
        <w:pBdr>
          <w:top w:val="none" w:color="auto" w:sz="0" w:space="1"/>
          <w:left w:val="none" w:color="auto" w:sz="0" w:space="4"/>
          <w:bottom w:val="none" w:color="auto" w:sz="0" w:space="1"/>
          <w:right w:val="single" w:color="auto" w:sz="4" w:space="8"/>
          <w:between w:val="none" w:color="auto" w:sz="0" w:space="0"/>
        </w:pBdr>
        <w:kinsoku/>
        <w:wordWrap/>
        <w:overflowPunct/>
        <w:topLinePunct w:val="0"/>
        <w:autoSpaceDE/>
        <w:autoSpaceDN/>
        <w:bidi w:val="0"/>
        <w:adjustRightInd/>
        <w:snapToGrid/>
        <w:spacing w:line="240" w:lineRule="auto"/>
        <w:ind w:firstLine="420" w:firstLineChars="200"/>
        <w:jc w:val="both"/>
        <w:textAlignment w:val="auto"/>
        <w:rPr>
          <w:rFonts w:ascii="宋体" w:hAnsi="宋体" w:cs="宋体"/>
          <w:color w:val="auto"/>
          <w:szCs w:val="21"/>
          <w:highlight w:val="none"/>
        </w:rPr>
      </w:pPr>
      <w:r>
        <w:rPr>
          <w:rFonts w:hint="eastAsia" w:ascii="宋体" w:hAnsi="宋体" w:cs="宋体"/>
          <w:color w:val="auto"/>
          <w:szCs w:val="21"/>
          <w:highlight w:val="none"/>
          <w:u w:val="single"/>
        </w:rPr>
        <w:t xml:space="preserve">GB/T 228.2 </w:t>
      </w:r>
      <w:r>
        <w:rPr>
          <w:rFonts w:ascii="宋体" w:hAnsi="宋体" w:cs="宋体"/>
          <w:color w:val="auto"/>
          <w:szCs w:val="21"/>
          <w:highlight w:val="none"/>
        </w:rPr>
        <w:t>金属材料 拉伸试验 第2部分</w:t>
      </w:r>
      <w:r>
        <w:rPr>
          <w:rFonts w:hint="eastAsia" w:ascii="宋体" w:hAnsi="宋体" w:cs="宋体"/>
          <w:color w:val="auto"/>
          <w:szCs w:val="21"/>
          <w:highlight w:val="none"/>
          <w:lang w:val="en-US" w:eastAsia="zh-CN"/>
        </w:rPr>
        <w:t>：</w:t>
      </w:r>
      <w:r>
        <w:rPr>
          <w:rFonts w:ascii="宋体" w:hAnsi="宋体" w:cs="宋体"/>
          <w:color w:val="auto"/>
          <w:szCs w:val="21"/>
          <w:highlight w:val="none"/>
        </w:rPr>
        <w:t>高温试验方法</w:t>
      </w:r>
    </w:p>
    <w:p>
      <w:pPr>
        <w:keepNext w:val="0"/>
        <w:keepLines w:val="0"/>
        <w:pageBreakBefore w:val="0"/>
        <w:widowControl w:val="0"/>
        <w:pBdr>
          <w:top w:val="none" w:color="auto" w:sz="0" w:space="1"/>
          <w:left w:val="none" w:color="auto" w:sz="0" w:space="4"/>
          <w:bottom w:val="none" w:color="auto" w:sz="0" w:space="1"/>
          <w:right w:val="single" w:color="auto" w:sz="4" w:space="8"/>
          <w:between w:val="none" w:color="auto" w:sz="0" w:space="0"/>
        </w:pBdr>
        <w:kinsoku/>
        <w:wordWrap/>
        <w:overflowPunct/>
        <w:topLinePunct w:val="0"/>
        <w:autoSpaceDE/>
        <w:autoSpaceDN/>
        <w:bidi w:val="0"/>
        <w:adjustRightInd/>
        <w:snapToGrid/>
        <w:spacing w:line="240" w:lineRule="auto"/>
        <w:ind w:firstLine="420" w:firstLineChars="200"/>
        <w:jc w:val="both"/>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u w:val="single"/>
        </w:rPr>
        <w:t xml:space="preserve">GB/T </w:t>
      </w:r>
      <w:r>
        <w:rPr>
          <w:rFonts w:hint="eastAsia" w:ascii="宋体" w:hAnsi="宋体" w:cs="宋体"/>
          <w:color w:val="auto"/>
          <w:szCs w:val="21"/>
          <w:highlight w:val="none"/>
          <w:u w:val="single"/>
          <w:lang w:val="en-US" w:eastAsia="zh-CN"/>
        </w:rPr>
        <w:t xml:space="preserve">231.1 </w:t>
      </w:r>
      <w:r>
        <w:rPr>
          <w:rFonts w:hint="eastAsia" w:ascii="宋体" w:hAnsi="宋体" w:cs="宋体"/>
          <w:color w:val="auto"/>
          <w:szCs w:val="21"/>
          <w:highlight w:val="none"/>
          <w:lang w:val="en-US" w:eastAsia="zh-CN"/>
        </w:rPr>
        <w:t>金属材料 布氏硬度试验 第1部分：试验方法</w:t>
      </w:r>
    </w:p>
    <w:p>
      <w:pPr>
        <w:keepNext w:val="0"/>
        <w:keepLines w:val="0"/>
        <w:pageBreakBefore w:val="0"/>
        <w:widowControl w:val="0"/>
        <w:pBdr>
          <w:top w:val="none" w:color="auto" w:sz="0" w:space="1"/>
          <w:left w:val="none" w:color="auto" w:sz="0" w:space="4"/>
          <w:bottom w:val="none" w:color="auto" w:sz="0" w:space="1"/>
          <w:right w:val="single" w:color="auto" w:sz="4" w:space="8"/>
          <w:between w:val="none" w:color="auto" w:sz="0" w:space="0"/>
        </w:pBdr>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GB/T 2039 金属材料 单轴拉伸蠕变试验方法</w:t>
      </w:r>
    </w:p>
    <w:p>
      <w:pPr>
        <w:keepNext w:val="0"/>
        <w:keepLines w:val="0"/>
        <w:pageBreakBefore w:val="0"/>
        <w:widowControl w:val="0"/>
        <w:pBdr>
          <w:top w:val="none" w:color="auto" w:sz="0" w:space="1"/>
          <w:left w:val="none" w:color="auto" w:sz="0" w:space="4"/>
          <w:bottom w:val="none" w:color="auto" w:sz="0" w:space="1"/>
          <w:right w:val="single" w:color="auto" w:sz="4" w:space="8"/>
          <w:between w:val="none" w:color="auto" w:sz="0" w:space="0"/>
        </w:pBdr>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GB/T 5235 加工镍及镍合金牌号和化学成分</w:t>
      </w:r>
    </w:p>
    <w:p>
      <w:pPr>
        <w:keepNext w:val="0"/>
        <w:keepLines w:val="0"/>
        <w:pageBreakBefore w:val="0"/>
        <w:widowControl w:val="0"/>
        <w:pBdr>
          <w:top w:val="none" w:color="auto" w:sz="0" w:space="1"/>
          <w:left w:val="none" w:color="auto" w:sz="0" w:space="4"/>
          <w:bottom w:val="none" w:color="auto" w:sz="0" w:space="1"/>
          <w:right w:val="single" w:color="auto" w:sz="4" w:space="8"/>
          <w:between w:val="none" w:color="auto" w:sz="0" w:space="0"/>
        </w:pBdr>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color w:val="auto"/>
          <w:szCs w:val="21"/>
          <w:highlight w:val="none"/>
        </w:rPr>
      </w:pPr>
      <w:r>
        <w:rPr>
          <w:rFonts w:ascii="宋体" w:hAnsi="宋体" w:cs="宋体"/>
          <w:color w:val="auto"/>
          <w:szCs w:val="21"/>
          <w:highlight w:val="none"/>
          <w:u w:val="single"/>
        </w:rPr>
        <w:t>GB/T 6394</w:t>
      </w:r>
      <w:r>
        <w:rPr>
          <w:rFonts w:hint="eastAsia" w:ascii="宋体" w:hAnsi="宋体" w:cs="宋体"/>
          <w:color w:val="auto"/>
          <w:szCs w:val="21"/>
          <w:highlight w:val="none"/>
        </w:rPr>
        <w:t xml:space="preserve"> </w:t>
      </w:r>
      <w:r>
        <w:rPr>
          <w:rFonts w:ascii="宋体" w:hAnsi="宋体" w:cs="宋体"/>
          <w:color w:val="auto"/>
          <w:szCs w:val="21"/>
          <w:highlight w:val="none"/>
        </w:rPr>
        <w:t>金属平均晶粒度测定方法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GB/T 8647 (所有部分)镍化学分析方法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color w:val="auto"/>
          <w:szCs w:val="21"/>
          <w:highlight w:val="none"/>
        </w:rPr>
      </w:pPr>
      <w:r>
        <w:rPr>
          <w:sz w:val="21"/>
        </w:rPr>
        <mc:AlternateContent>
          <mc:Choice Requires="wps">
            <w:drawing>
              <wp:anchor distT="0" distB="0" distL="114300" distR="114300" simplePos="0" relativeHeight="251683840" behindDoc="0" locked="0" layoutInCell="1" allowOverlap="1">
                <wp:simplePos x="0" y="0"/>
                <wp:positionH relativeFrom="column">
                  <wp:posOffset>6038215</wp:posOffset>
                </wp:positionH>
                <wp:positionV relativeFrom="paragraph">
                  <wp:posOffset>197485</wp:posOffset>
                </wp:positionV>
                <wp:extent cx="0" cy="333375"/>
                <wp:effectExtent l="4445" t="0" r="14605" b="9525"/>
                <wp:wrapNone/>
                <wp:docPr id="29" name="直接连接符 29"/>
                <wp:cNvGraphicFramePr/>
                <a:graphic xmlns:a="http://schemas.openxmlformats.org/drawingml/2006/main">
                  <a:graphicData uri="http://schemas.microsoft.com/office/word/2010/wordprocessingShape">
                    <wps:wsp>
                      <wps:cNvCnPr/>
                      <wps:spPr>
                        <a:xfrm>
                          <a:off x="6938645" y="5488940"/>
                          <a:ext cx="0" cy="333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5.45pt;margin-top:15.55pt;height:26.25pt;width:0pt;z-index:251683840;mso-width-relative:page;mso-height-relative:page;" filled="f" stroked="t" coordsize="21600,21600" o:gfxdata="UEsDBAoAAAAAAIdO4kAAAAAAAAAAAAAAAAAEAAAAZHJzL1BLAwQUAAAACACHTuJAZMNk9tYAAAAJ&#10;AQAADwAAAGRycy9kb3ducmV2LnhtbE2PPU/DQAyGdyT+w8lILFV7l0ZUbYjTAcjGQgtidRM3icj5&#10;0tz1A349hxhgtP3o9fPm64vt1YlH3zlBSGYGFEvl6k4ahNdtOV2C8oGkpt4JI3yyh3VxfZVTVruz&#10;vPBpExoVQ8RnhNCGMGRa+6plS37mBpZ427vRUojj2Oh6pHMMt72eG7PQljqJH1oa+KHl6mNztAi+&#10;fOND+TWpJuY9bRzPD4/PT4R4e5OYe1CBL+EPhh/9qA5FdNq5o9Re9QirO7OKKEKaJKAi8LvYISzT&#10;Begi1/8bFN9QSwMEFAAAAAgAh07iQKxEU2vmAQAApwMAAA4AAABkcnMvZTJvRG9jLnhtbK1TzW4T&#10;MRC+I/EOlu9k0zQJySqbHhqVC4JKwANMvN5dS/6Tx80mL8ELIHGDE0fuvE3LYzD2Li2USw/44B3P&#10;jL+Z7/Ps5uJoNDvIgMrZip9NppxJK1ytbFvxD++vXqw4wwi2Bu2srPhJIr/YPn+26X0pZ65zupaB&#10;EYjFsvcV72L0ZVGg6KQBnDgvLQUbFwxEOoa2qAP0hG50MZtOl0XvQu2DExKRvLshyEfE8BRA1zRK&#10;yJ0TN0baOKAGqSESJeyUR77N3TaNFPFt06CMTFecmMa8UxGy92kvthso2wC+U2JsAZ7SwiNOBpSl&#10;ovdQO4jAboL6B8ooERy6Jk6EM8VAJCtCLM6mj7R514GXmQtJjf5edPx/sOLN4TowVVd8tubMgqEX&#10;v/v0/fbjl58/PtN+9+0rowjJ1HssKfvSXofxhP46JM7HJpj0JTbsWPHl+ny1nC84O1V8MV+t1vNR&#10;ZnmMTFACaS8odk7r5SJBFw8YPmB8JZ1hyai4VjYJACUcXmMcUn+nJLd1V0pr8kOpLesrvl7MqLIA&#10;GsyGBoJM44kc2pYz0C1NvIghI6LTqk6302UM7f5SB3aANCd5jY39lZZK7wC7IS+HxjRtiUaSaBAl&#10;WXtXn7JW2U/vl4mOs5YG5M9zvv3wf21/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TDZPbWAAAA&#10;CQEAAA8AAAAAAAAAAQAgAAAAIgAAAGRycy9kb3ducmV2LnhtbFBLAQIUABQAAAAIAIdO4kCsRFNr&#10;5gEAAKcDAAAOAAAAAAAAAAEAIAAAACUBAABkcnMvZTJvRG9jLnhtbFBLBQYAAAAABgAGAFkBAAB9&#10;BQAAAAA=&#10;">
                <v:fill on="f" focussize="0,0"/>
                <v:stroke color="#000000 [3213]" joinstyle="round"/>
                <v:imagedata o:title=""/>
                <o:lock v:ext="edit" aspectratio="f"/>
              </v:line>
            </w:pict>
          </mc:Fallback>
        </mc:AlternateContent>
      </w:r>
      <w:r>
        <w:rPr>
          <w:rFonts w:hint="eastAsia" w:ascii="宋体" w:hAnsi="宋体" w:cs="宋体"/>
          <w:color w:val="auto"/>
          <w:szCs w:val="21"/>
          <w:highlight w:val="none"/>
        </w:rPr>
        <w:t>GB/T 8888 重有色金属加工产品的包装、标志、运输、贮存和质量证明书</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GB/T 15007 耐蚀合金牌号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YS/T 325 (所有部分)镍铜合金化学分析方法</w:t>
      </w:r>
    </w:p>
    <w:p>
      <w:pPr>
        <w:pStyle w:val="58"/>
        <w:spacing w:before="143" w:after="143"/>
        <w:ind w:right="0" w:rightChars="0"/>
        <w:rPr>
          <w:color w:val="auto"/>
          <w:highlight w:val="none"/>
        </w:rPr>
      </w:pPr>
      <w:r>
        <w:rPr>
          <w:color w:val="auto"/>
          <w:highlight w:val="none"/>
        </w:rPr>
        <w:t>3</w:t>
      </w:r>
      <w:r>
        <w:rPr>
          <w:rFonts w:hint="eastAsia"/>
          <w:color w:val="auto"/>
          <w:highlight w:val="none"/>
        </w:rPr>
        <w:t xml:space="preserve">  术语和定义</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本文件没有需要界定的术语和定义。</w:t>
      </w:r>
    </w:p>
    <w:p>
      <w:pPr>
        <w:pStyle w:val="58"/>
        <w:spacing w:before="143" w:after="143"/>
        <w:ind w:right="0" w:rightChars="0"/>
        <w:rPr>
          <w:color w:val="auto"/>
          <w:highlight w:val="none"/>
        </w:rPr>
      </w:pPr>
      <w:r>
        <w:rPr>
          <w:color w:val="auto"/>
          <w:sz w:val="21"/>
          <w:highlight w:val="none"/>
        </w:rPr>
        <mc:AlternateContent>
          <mc:Choice Requires="wps">
            <w:drawing>
              <wp:anchor distT="0" distB="0" distL="114300" distR="114300" simplePos="0" relativeHeight="251673600" behindDoc="0" locked="0" layoutInCell="1" allowOverlap="1">
                <wp:simplePos x="0" y="0"/>
                <wp:positionH relativeFrom="column">
                  <wp:posOffset>6051550</wp:posOffset>
                </wp:positionH>
                <wp:positionV relativeFrom="paragraph">
                  <wp:posOffset>354965</wp:posOffset>
                </wp:positionV>
                <wp:extent cx="7620" cy="2737485"/>
                <wp:effectExtent l="4445" t="0" r="6985" b="5715"/>
                <wp:wrapNone/>
                <wp:docPr id="21" name="直接连接符 21"/>
                <wp:cNvGraphicFramePr/>
                <a:graphic xmlns:a="http://schemas.openxmlformats.org/drawingml/2006/main">
                  <a:graphicData uri="http://schemas.microsoft.com/office/word/2010/wordprocessingShape">
                    <wps:wsp>
                      <wps:cNvCnPr/>
                      <wps:spPr>
                        <a:xfrm>
                          <a:off x="6902450" y="5368925"/>
                          <a:ext cx="7620" cy="27374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6.5pt;margin-top:27.95pt;height:215.55pt;width:0.6pt;z-index:251673600;mso-width-relative:page;mso-height-relative:page;" filled="f" stroked="t" coordsize="21600,21600" o:gfxdata="UEsDBAoAAAAAAIdO4kAAAAAAAAAAAAAAAAAEAAAAZHJzL1BLAwQUAAAACACHTuJAEQF7ENoAAAAK&#10;AQAADwAAAGRycy9kb3ducmV2LnhtbE2PzU7DMBCE70i8g7VIXKrWbtqUJmTTA5AblxYQVzdekoh4&#10;ncbuDzw95gTH0Yxmvik2F9uLE42+c4wwnykQxLUzHTcIry/VdA3CB81G944J4Ys8bMrrq0Lnxp15&#10;S6ddaEQsYZ9rhDaEIZfS1y1Z7WduII7ehxutDlGOjTSjPsdy28tEqZW0uuO40OqBHlqqP3dHi+Cr&#10;NzpU35N6ot4XjaPk8Pj8pBFvb+bqHkSgS/gLwy9+RIcyMu3dkY0XPUKWLuKXgJCmGYgYyNJlAmKP&#10;sFzfKZBlIf9fKH8AUEsDBBQAAAAIAIdO4kA9jUFr6wEAAKsDAAAOAAAAZHJzL2Uyb0RvYy54bWyt&#10;U0uO1DAQ3SNxB8t7Ot2Z6V/U6VlMa9ggaAk4gNuxE0v+yeXpdF+CCyCxgxVL9tyG4RiUnTADw2YW&#10;ZOGUXS+v6j1XNlcno8lRBFDO1nQ2mVIiLHeNsm1N37+7ebGiBCKzDdPOipqeBdCr7fNnm95XonSd&#10;040IBEksVL2vaRejr4oCeCcMg4nzwmJSumBYxG1oiyawHtmNLsrpdFH0LjQ+OC4A8HQ3JOnIGJ5C&#10;6KRUXOwcvzXCxoE1CM0iSoJOeaDb3K2Ugsc3UoKIRNcUlca8YhGMD2ktthtWtYH5TvGxBfaUFh5p&#10;MkxZLHpPtWORkdug/qEyigcHTsYJd6YYhGRHUMVs+sibtx3zImtBq8Hfmw7/j5a/Pu4DUU1Nyxkl&#10;lhm88buP3358+Pzz+ydc775+IZhBm3oPFaKv7T6MO/D7kDSfZDDpjWrIqaaL9bS8nKPB55rOLxar&#10;dTkfbBanSDgClosSsxzT5fJiebnK6eKBxweIL4UzJAU11comE1jFjq8gYm2E/oakY+tulNb5IrUl&#10;fU3Xc6xIOMPhlDgUGBqPAsG2lDDd4tTzGDIjOK2a9HXigdAernUgR5ZmJT+pb6z2FyyV3jHoBlxO&#10;jTBtEZ1sGoxJ0cE15+xXPsc7zHzjvKUh+XOfv374x7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EBexDaAAAACgEAAA8AAAAAAAAAAQAgAAAAIgAAAGRycy9kb3ducmV2LnhtbFBLAQIUABQAAAAI&#10;AIdO4kA9jUFr6wEAAKsDAAAOAAAAAAAAAAEAIAAAACkBAABkcnMvZTJvRG9jLnhtbFBLBQYAAAAA&#10;BgAGAFkBAACGBQAAAAA=&#10;">
                <v:fill on="f" focussize="0,0"/>
                <v:stroke color="#000000 [3213]" joinstyle="round"/>
                <v:imagedata o:title=""/>
                <o:lock v:ext="edit" aspectratio="f"/>
              </v:line>
            </w:pict>
          </mc:Fallback>
        </mc:AlternateContent>
      </w:r>
      <w:r>
        <w:rPr>
          <w:rFonts w:hint="eastAsia"/>
          <w:color w:val="auto"/>
          <w:highlight w:val="none"/>
        </w:rPr>
        <w:t>4  分类和标记</w:t>
      </w:r>
    </w:p>
    <w:p>
      <w:pPr>
        <w:pStyle w:val="59"/>
        <w:rPr>
          <w:color w:val="auto"/>
          <w:highlight w:val="none"/>
        </w:rPr>
      </w:pPr>
      <w:r>
        <w:rPr>
          <w:rFonts w:hint="eastAsia"/>
          <w:color w:val="auto"/>
          <w:highlight w:val="none"/>
        </w:rPr>
        <w:t>4.1  产品分类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产品的</w:t>
      </w:r>
      <w:r>
        <w:rPr>
          <w:rFonts w:hint="eastAsia" w:ascii="宋体" w:hAnsi="宋体"/>
          <w:color w:val="auto"/>
          <w:szCs w:val="21"/>
          <w:highlight w:val="none"/>
          <w:lang w:val="en-US" w:eastAsia="zh-CN"/>
        </w:rPr>
        <w:t>类别、</w:t>
      </w:r>
      <w:r>
        <w:rPr>
          <w:rFonts w:hint="eastAsia" w:ascii="宋体" w:hAnsi="宋体"/>
          <w:color w:val="auto"/>
          <w:szCs w:val="21"/>
          <w:highlight w:val="none"/>
        </w:rPr>
        <w:t>牌号、状态和</w:t>
      </w:r>
      <w:r>
        <w:rPr>
          <w:rFonts w:hint="eastAsia" w:ascii="宋体" w:hAnsi="宋体"/>
          <w:color w:val="auto"/>
          <w:szCs w:val="21"/>
          <w:highlight w:val="none"/>
          <w:lang w:val="en-US" w:eastAsia="zh-CN"/>
        </w:rPr>
        <w:t>外形尺寸</w:t>
      </w:r>
      <w:r>
        <w:rPr>
          <w:rFonts w:hint="eastAsia" w:ascii="宋体" w:hAnsi="宋体"/>
          <w:color w:val="auto"/>
          <w:szCs w:val="21"/>
          <w:highlight w:val="none"/>
        </w:rPr>
        <w:t>应符合表1的规定。国内外标准相应牌号的对照见附录C。</w:t>
      </w:r>
      <w:r>
        <w:rPr>
          <w:rFonts w:hint="eastAsia" w:ascii="宋体" w:hAnsi="Times New Roman"/>
          <w:color w:val="auto"/>
          <w:sz w:val="21"/>
          <w:szCs w:val="21"/>
          <w:highlight w:val="none"/>
        </w:rPr>
        <w:t>经供需双方协商，可供应其他牌号、状态、规格的产品。</w:t>
      </w:r>
    </w:p>
    <w:p>
      <w:pPr>
        <w:spacing w:line="400" w:lineRule="exact"/>
        <w:jc w:val="center"/>
        <w:rPr>
          <w:rFonts w:hint="eastAsia" w:ascii="黑体" w:hAnsi="黑体" w:eastAsia="黑体" w:cs="MS PMincho"/>
          <w:color w:val="auto"/>
          <w:szCs w:val="21"/>
          <w:highlight w:val="none"/>
        </w:rPr>
      </w:pPr>
      <w:r>
        <w:rPr>
          <w:rFonts w:hint="eastAsia" w:ascii="黑体" w:hAnsi="黑体" w:eastAsia="黑体" w:cs="MS PMincho"/>
          <w:color w:val="auto"/>
          <w:szCs w:val="21"/>
          <w:highlight w:val="none"/>
        </w:rPr>
        <w:t xml:space="preserve">表1 </w:t>
      </w:r>
      <w:r>
        <w:rPr>
          <w:rFonts w:hint="eastAsia" w:ascii="黑体" w:hAnsi="黑体" w:eastAsia="黑体" w:cs="MS PMincho"/>
          <w:color w:val="auto"/>
          <w:szCs w:val="21"/>
          <w:highlight w:val="none"/>
          <w:lang w:val="en-US" w:eastAsia="zh-CN"/>
        </w:rPr>
        <w:t>类别、</w:t>
      </w:r>
      <w:r>
        <w:rPr>
          <w:rFonts w:hint="eastAsia" w:ascii="黑体" w:hAnsi="黑体" w:eastAsia="黑体" w:cs="MS PMincho"/>
          <w:color w:val="auto"/>
          <w:szCs w:val="21"/>
          <w:highlight w:val="none"/>
        </w:rPr>
        <w:t>牌号、状态和</w:t>
      </w:r>
      <w:r>
        <w:rPr>
          <w:rFonts w:hint="eastAsia" w:ascii="黑体" w:hAnsi="黑体" w:eastAsia="黑体" w:cs="MS PMincho"/>
          <w:color w:val="auto"/>
          <w:szCs w:val="21"/>
          <w:highlight w:val="none"/>
          <w:lang w:val="en-US" w:eastAsia="zh-CN"/>
        </w:rPr>
        <w:t>外形尺寸</w:t>
      </w:r>
      <w:r>
        <w:rPr>
          <w:rFonts w:hint="eastAsia" w:ascii="黑体" w:hAnsi="黑体" w:eastAsia="黑体" w:cs="MS PMincho"/>
          <w:color w:val="auto"/>
          <w:szCs w:val="21"/>
          <w:highlight w:val="none"/>
        </w:rPr>
        <w:t xml:space="preserve"> </w:t>
      </w:r>
    </w:p>
    <w:tbl>
      <w:tblPr>
        <w:tblStyle w:val="16"/>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9"/>
        <w:gridCol w:w="2268"/>
        <w:gridCol w:w="2335"/>
        <w:gridCol w:w="2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1270" w:type="pct"/>
            <w:tcBorders>
              <w:top w:val="single" w:color="auto" w:sz="12" w:space="0"/>
              <w:left w:val="single" w:color="auto" w:sz="12" w:space="0"/>
              <w:bottom w:val="single" w:color="auto" w:sz="8" w:space="0"/>
              <w:right w:val="single" w:color="auto" w:sz="6" w:space="0"/>
            </w:tcBorders>
            <w:vAlign w:val="center"/>
          </w:tcPr>
          <w:p>
            <w:pPr>
              <w:jc w:val="center"/>
              <w:rPr>
                <w:rFonts w:hint="eastAsia" w:ascii="宋体" w:hAnsi="宋体" w:eastAsia="宋体"/>
                <w:color w:val="auto"/>
                <w:sz w:val="18"/>
                <w:szCs w:val="18"/>
                <w:highlight w:val="none"/>
                <w:lang w:eastAsia="zh-CN"/>
              </w:rPr>
            </w:pPr>
            <w:r>
              <w:rPr>
                <w:rFonts w:hint="eastAsia" w:ascii="宋体" w:hAnsi="宋体"/>
                <w:color w:val="auto"/>
                <w:sz w:val="18"/>
                <w:szCs w:val="18"/>
                <w:highlight w:val="none"/>
                <w:lang w:val="en-US" w:eastAsia="zh-CN"/>
              </w:rPr>
              <w:t>类别</w:t>
            </w:r>
          </w:p>
        </w:tc>
        <w:tc>
          <w:tcPr>
            <w:tcW w:w="1186" w:type="pct"/>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牌号</w:t>
            </w:r>
          </w:p>
        </w:tc>
        <w:tc>
          <w:tcPr>
            <w:tcW w:w="1221" w:type="pct"/>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状态</w:t>
            </w:r>
          </w:p>
        </w:tc>
        <w:tc>
          <w:tcPr>
            <w:tcW w:w="1322" w:type="pct"/>
            <w:tcBorders>
              <w:top w:val="single" w:color="auto" w:sz="12"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外形尺寸</w:t>
            </w:r>
          </w:p>
          <w:p>
            <w:pPr>
              <w:jc w:val="center"/>
              <w:rPr>
                <w:rFonts w:hint="eastAsia" w:ascii="宋体" w:hAnsi="宋体"/>
                <w:color w:val="auto"/>
                <w:sz w:val="18"/>
                <w:szCs w:val="18"/>
                <w:highlight w:val="none"/>
              </w:rPr>
            </w:pPr>
            <w:r>
              <w:rPr>
                <w:rFonts w:hint="eastAsia" w:ascii="宋体" w:hAnsi="宋体"/>
                <w:color w:val="auto"/>
                <w:sz w:val="18"/>
                <w:szCs w:val="18"/>
                <w:highlight w:val="none"/>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restart"/>
            <w:tcBorders>
              <w:top w:val="single" w:color="auto" w:sz="8" w:space="0"/>
              <w:left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val="en-US" w:eastAsia="zh-CN"/>
              </w:rPr>
              <w:t>纯镍</w:t>
            </w:r>
          </w:p>
        </w:tc>
        <w:tc>
          <w:tcPr>
            <w:tcW w:w="1186" w:type="pc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N5</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w:t>
            </w:r>
            <w:r>
              <w:rPr>
                <w:rFonts w:hint="eastAsia" w:ascii="宋体" w:hAnsi="宋体"/>
                <w:color w:val="auto"/>
                <w:sz w:val="18"/>
                <w:szCs w:val="18"/>
                <w:highlight w:val="none"/>
                <w:lang w:eastAsia="zh-CN"/>
              </w:rPr>
              <w:t>、</w:t>
            </w: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rPr>
            </w:pPr>
          </w:p>
        </w:tc>
        <w:tc>
          <w:tcPr>
            <w:tcW w:w="1186" w:type="pct"/>
            <w:tcBorders>
              <w:left w:val="single" w:color="auto" w:sz="6" w:space="0"/>
              <w:right w:val="single" w:color="auto" w:sz="6" w:space="0"/>
            </w:tcBorders>
            <w:vAlign w:val="center"/>
          </w:tcPr>
          <w:p>
            <w:pPr>
              <w:jc w:val="center"/>
              <w:rPr>
                <w:rFonts w:hint="eastAsia" w:ascii="宋体" w:hAnsi="宋体" w:eastAsia="宋体" w:cs="Times New Roman"/>
                <w:color w:val="0000FF"/>
                <w:kern w:val="2"/>
                <w:sz w:val="18"/>
                <w:szCs w:val="18"/>
                <w:highlight w:val="none"/>
                <w:lang w:val="en-US" w:eastAsia="zh-CN" w:bidi="ar-SA"/>
              </w:rPr>
            </w:pPr>
            <w:r>
              <w:rPr>
                <w:rFonts w:hint="eastAsia" w:ascii="宋体" w:hAnsi="宋体"/>
                <w:color w:val="0000FF"/>
                <w:sz w:val="18"/>
                <w:szCs w:val="18"/>
                <w:highlight w:val="none"/>
              </w:rPr>
              <w:t>N</w:t>
            </w:r>
            <w:r>
              <w:rPr>
                <w:rFonts w:hint="eastAsia" w:ascii="宋体" w:hAnsi="宋体"/>
                <w:color w:val="0000FF"/>
                <w:sz w:val="18"/>
                <w:szCs w:val="18"/>
                <w:highlight w:val="none"/>
                <w:lang w:val="en-US" w:eastAsia="zh-CN"/>
              </w:rPr>
              <w:t>6</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0000FF"/>
                <w:kern w:val="2"/>
                <w:sz w:val="18"/>
                <w:szCs w:val="18"/>
                <w:highlight w:val="none"/>
                <w:lang w:val="en-US" w:eastAsia="zh-CN" w:bidi="ar-SA"/>
              </w:rPr>
            </w:pPr>
            <w:r>
              <w:rPr>
                <w:rFonts w:hint="eastAsia" w:ascii="宋体" w:hAnsi="宋体"/>
                <w:color w:val="0000FF"/>
                <w:sz w:val="18"/>
                <w:szCs w:val="18"/>
                <w:highlight w:val="none"/>
              </w:rPr>
              <w:t>热加工（R）</w:t>
            </w:r>
            <w:r>
              <w:rPr>
                <w:rFonts w:hint="eastAsia" w:ascii="宋体" w:hAnsi="宋体"/>
                <w:color w:val="0000FF"/>
                <w:sz w:val="18"/>
                <w:szCs w:val="18"/>
                <w:highlight w:val="none"/>
                <w:lang w:eastAsia="zh-CN"/>
              </w:rPr>
              <w:t>、</w:t>
            </w:r>
            <w:r>
              <w:rPr>
                <w:rFonts w:hint="eastAsia" w:ascii="宋体" w:hAnsi="宋体"/>
                <w:color w:val="0000FF"/>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0000FF"/>
                <w:kern w:val="2"/>
                <w:sz w:val="18"/>
                <w:szCs w:val="18"/>
                <w:highlight w:val="none"/>
                <w:lang w:val="en-US" w:eastAsia="zh-CN" w:bidi="ar-SA"/>
              </w:rPr>
            </w:pPr>
            <w:r>
              <w:rPr>
                <w:rFonts w:hint="eastAsia" w:ascii="宋体" w:hAnsi="宋体"/>
                <w:color w:val="0000FF"/>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tcBorders>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N7</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w:t>
            </w:r>
            <w:r>
              <w:rPr>
                <w:rFonts w:hint="eastAsia" w:ascii="宋体" w:hAnsi="宋体"/>
                <w:color w:val="auto"/>
                <w:sz w:val="18"/>
                <w:szCs w:val="18"/>
                <w:highlight w:val="none"/>
                <w:lang w:eastAsia="zh-CN"/>
              </w:rPr>
              <w:t>、</w:t>
            </w: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DN</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restart"/>
            <w:tcBorders>
              <w:top w:val="single" w:color="auto" w:sz="8" w:space="0"/>
              <w:left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val="en-US" w:eastAsia="zh-CN"/>
              </w:rPr>
              <w:t>阳极镍</w:t>
            </w: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NY1</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rPr>
            </w:pP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NY2</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NY3</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color w:val="auto"/>
                <w:sz w:val="21"/>
                <w:highlight w:val="none"/>
              </w:rPr>
              <mc:AlternateContent>
                <mc:Choice Requires="wps">
                  <w:drawing>
                    <wp:anchor distT="0" distB="0" distL="114300" distR="114300" simplePos="0" relativeHeight="251674624" behindDoc="0" locked="0" layoutInCell="1" allowOverlap="1">
                      <wp:simplePos x="0" y="0"/>
                      <wp:positionH relativeFrom="column">
                        <wp:posOffset>1579880</wp:posOffset>
                      </wp:positionH>
                      <wp:positionV relativeFrom="paragraph">
                        <wp:posOffset>-81915</wp:posOffset>
                      </wp:positionV>
                      <wp:extent cx="8890" cy="8766175"/>
                      <wp:effectExtent l="4445" t="0" r="5715" b="15875"/>
                      <wp:wrapNone/>
                      <wp:docPr id="22" name="直接连接符 22"/>
                      <wp:cNvGraphicFramePr/>
                      <a:graphic xmlns:a="http://schemas.openxmlformats.org/drawingml/2006/main">
                        <a:graphicData uri="http://schemas.microsoft.com/office/word/2010/wordprocessingShape">
                          <wps:wsp>
                            <wps:cNvCnPr/>
                            <wps:spPr>
                              <a:xfrm>
                                <a:off x="0" y="0"/>
                                <a:ext cx="8890" cy="8766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4.4pt;margin-top:-6.45pt;height:690.25pt;width:0.7pt;z-index:251674624;mso-width-relative:page;mso-height-relative:page;" filled="f" stroked="t" coordsize="21600,21600" o:gfxdata="UEsDBAoAAAAAAIdO4kAAAAAAAAAAAAAAAAAEAAAAZHJzL1BLAwQUAAAACACHTuJA1NDDQtoAAAAM&#10;AQAADwAAAGRycy9kb3ducmV2LnhtbE2Py07DMBBF90j8gzVIbKrWjguhhDhdANmxoYDYTuMhiYjH&#10;aew+4OsxK1iO7tG9Z8r1yQ3iQFPoPRvIFgoEceNtz62B15d6vgIRIrLFwTMZ+KIA6+r8rMTC+iM/&#10;02ETW5FKOBRooItxLKQMTUcOw8KPxCn78JPDmM6plXbCYyp3g9RK5dJhz2mhw5HuO2o+N3tnINRv&#10;tKu/Z81MvS9bT3r38PSIxlxeZOoORKRT/IPhVz+pQ5Wctn7PNojBgL5aJfVoYJ7pWxCJ0NdKg9gm&#10;dJnf5CCrUv5/ovoBUEsDBBQAAAAIAIdO4kCqWJER3AEAAJ8DAAAOAAAAZHJzL2Uyb0RvYy54bWyt&#10;U82O0zAQviPxDpbvNG2ldrtR0z1stVwQVAIeYOo4iSX/yeNt2pfgBZC4wYkjd96G5TEYO6HL7l72&#10;QA7OeH4+z/d5vL46Gs0OMqBytuKzyZQzaYWrlW0r/vHDzasVZxjB1qCdlRU/SeRXm5cv1r0v5dx1&#10;TtcyMAKxWPa+4l2MviwKFJ00gBPnpaVg44KBSNvQFnWAntCNLubT6bLoXah9cEIiknc7BPmIGJ4D&#10;6JpGCbl14tZIGwfUIDVEooSd8sg3udumkSK+axqUkemKE9OYVzqE7H1ai80ayjaA75QYW4DntPCI&#10;kwFl6dAz1BYisNugnkAZJYJD18SJcKYYiGRFiMVs+kib9x14mbmQ1OjPouP/gxVvD7vAVF3x+Zwz&#10;C4Zu/O7zj1+fvv7++YXWu+/fGEVIpt5jSdnXdhfGHfpdSJyPTTDpT2zYMUt7Oksrj5EJcq5WlyS5&#10;oMDqYrmcXSwSZHFf6wPG19IZloyKa2UTcSjh8AbjkPo3Jbmtu1Fakx9KbVlf8cvFfEH4QAPZ0CCQ&#10;aTyRQttyBrqlSRcxZER0WtWpOhVjaPfXOrADpPnI39jYg7R09BawG/JyaEzTlmgkaQYxkrV39Slr&#10;lP10b5noOGNpMP7d5+r7d7X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TQw0LaAAAADAEAAA8A&#10;AAAAAAAAAQAgAAAAIgAAAGRycy9kb3ducmV2LnhtbFBLAQIUABQAAAAIAIdO4kCqWJER3AEAAJ8D&#10;AAAOAAAAAAAAAAEAIAAAACkBAABkcnMvZTJvRG9jLnhtbFBLBQYAAAAABgAGAFkBAAB3BQAAAAA=&#10;">
                      <v:fill on="f" focussize="0,0"/>
                      <v:stroke color="#000000 [3213]" joinstyle="round"/>
                      <v:imagedata o:title=""/>
                      <o:lock v:ext="edit" aspectratio="f"/>
                    </v:line>
                  </w:pict>
                </mc:Fallback>
              </mc:AlternateContent>
            </w: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restart"/>
            <w:tcBorders>
              <w:top w:val="single" w:color="auto" w:sz="8" w:space="0"/>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镍铜系</w:t>
            </w: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NCu40-2-1</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NCu28-2.5-1.5</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vMerge w:val="restart"/>
            <w:tcBorders>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NCu30</w:t>
            </w:r>
          </w:p>
        </w:tc>
        <w:tc>
          <w:tcPr>
            <w:tcW w:w="1221" w:type="pct"/>
            <w:vMerge w:val="restar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热加工和消除应力（R）</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vMerge w:val="continue"/>
            <w:tcBorders>
              <w:left w:val="single" w:color="auto" w:sz="6" w:space="0"/>
              <w:right w:val="single" w:color="auto" w:sz="6" w:space="0"/>
            </w:tcBorders>
            <w:vAlign w:val="center"/>
          </w:tcPr>
          <w:p>
            <w:pPr>
              <w:jc w:val="center"/>
              <w:rPr>
                <w:rFonts w:hint="eastAsia" w:ascii="宋体" w:hAnsi="宋体"/>
                <w:color w:val="auto"/>
                <w:sz w:val="18"/>
                <w:szCs w:val="18"/>
                <w:highlight w:val="none"/>
              </w:rPr>
            </w:pPr>
          </w:p>
        </w:tc>
        <w:tc>
          <w:tcPr>
            <w:tcW w:w="1221"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NiCu30-LC</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vMerge w:val="restart"/>
            <w:tcBorders>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NCu30-3-0.5</w:t>
            </w:r>
          </w:p>
        </w:tc>
        <w:tc>
          <w:tcPr>
            <w:tcW w:w="1221" w:type="pct"/>
            <w:vMerge w:val="restar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热加工和时效（RS）</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vMerge w:val="continue"/>
            <w:tcBorders>
              <w:left w:val="single" w:color="auto" w:sz="6" w:space="0"/>
              <w:right w:val="single" w:color="auto" w:sz="6" w:space="0"/>
            </w:tcBorders>
            <w:vAlign w:val="center"/>
          </w:tcPr>
          <w:p>
            <w:pPr>
              <w:jc w:val="center"/>
              <w:rPr>
                <w:rFonts w:hint="eastAsia" w:ascii="宋体" w:hAnsi="宋体"/>
                <w:color w:val="auto"/>
                <w:sz w:val="18"/>
                <w:szCs w:val="18"/>
                <w:highlight w:val="none"/>
              </w:rPr>
            </w:pPr>
          </w:p>
        </w:tc>
        <w:tc>
          <w:tcPr>
            <w:tcW w:w="1221"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vMerge w:val="continue"/>
            <w:tcBorders>
              <w:left w:val="single" w:color="auto" w:sz="6" w:space="0"/>
              <w:right w:val="single" w:color="auto" w:sz="6" w:space="0"/>
            </w:tcBorders>
            <w:vAlign w:val="center"/>
          </w:tcPr>
          <w:p>
            <w:pPr>
              <w:jc w:val="center"/>
              <w:rPr>
                <w:rFonts w:hint="eastAsia" w:ascii="宋体" w:hAnsi="宋体"/>
                <w:color w:val="auto"/>
                <w:sz w:val="18"/>
                <w:szCs w:val="18"/>
                <w:highlight w:val="none"/>
              </w:rPr>
            </w:pPr>
          </w:p>
        </w:tc>
        <w:tc>
          <w:tcPr>
            <w:tcW w:w="1221" w:type="pct"/>
            <w:vMerge w:val="restar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固溶和时效（CS）</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vMerge w:val="continue"/>
            <w:tcBorders>
              <w:left w:val="single" w:color="auto" w:sz="6" w:space="0"/>
              <w:right w:val="single" w:color="auto" w:sz="6" w:space="0"/>
            </w:tcBorders>
            <w:vAlign w:val="center"/>
          </w:tcPr>
          <w:p>
            <w:pPr>
              <w:jc w:val="center"/>
              <w:rPr>
                <w:rFonts w:hint="eastAsia" w:ascii="宋体" w:hAnsi="宋体"/>
                <w:color w:val="auto"/>
                <w:sz w:val="18"/>
                <w:szCs w:val="18"/>
                <w:highlight w:val="none"/>
              </w:rPr>
            </w:pPr>
          </w:p>
        </w:tc>
        <w:tc>
          <w:tcPr>
            <w:tcW w:w="1221" w:type="pct"/>
            <w:vMerge w:val="continue"/>
            <w:tcBorders>
              <w:left w:val="single" w:color="auto" w:sz="6" w:space="0"/>
              <w:right w:val="single" w:color="auto" w:sz="6" w:space="0"/>
            </w:tcBorders>
            <w:vAlign w:val="center"/>
          </w:tcPr>
          <w:p>
            <w:pPr>
              <w:jc w:val="center"/>
              <w:rPr>
                <w:rFonts w:hint="eastAsia" w:ascii="宋体" w:hAnsi="宋体"/>
                <w:color w:val="auto"/>
                <w:sz w:val="18"/>
                <w:szCs w:val="18"/>
                <w:highlight w:val="none"/>
              </w:rPr>
            </w:pP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70" w:type="pct"/>
            <w:vMerge w:val="continue"/>
            <w:tcBorders>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221"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tcBorders>
              <w:top w:val="single" w:color="auto" w:sz="8" w:space="0"/>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镍镁系</w:t>
            </w: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NMg0.1</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tcBorders>
              <w:top w:val="single" w:color="auto" w:sz="8" w:space="0"/>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镍硅系</w:t>
            </w: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NSi0.19</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restart"/>
            <w:tcBorders>
              <w:top w:val="single" w:color="auto" w:sz="8" w:space="0"/>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镍钼系</w:t>
            </w: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NMo28</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固溶（C）</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＞7～90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vMerge w:val="restart"/>
            <w:tcBorders>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NMo30-5</w:t>
            </w:r>
          </w:p>
        </w:tc>
        <w:tc>
          <w:tcPr>
            <w:tcW w:w="1221" w:type="pct"/>
            <w:vMerge w:val="restar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固溶（C）</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221"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＞40～90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restart"/>
            <w:tcBorders>
              <w:top w:val="single" w:color="auto" w:sz="8" w:space="0"/>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镍钨系</w:t>
            </w: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NW4-0.15</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NW4-0.1</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NW4-0.07</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restart"/>
            <w:tcBorders>
              <w:top w:val="single" w:color="auto" w:sz="8" w:space="0"/>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镍铬系</w:t>
            </w: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NCr20-2-1.5</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固溶和时效（CS）</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vMerge w:val="restart"/>
            <w:tcBorders>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NCr20-0.5</w:t>
            </w:r>
          </w:p>
        </w:tc>
        <w:tc>
          <w:tcPr>
            <w:tcW w:w="1221" w:type="pct"/>
            <w:vMerge w:val="restar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s="宋体"/>
                <w:color w:val="auto"/>
                <w:kern w:val="0"/>
                <w:sz w:val="18"/>
                <w:szCs w:val="18"/>
                <w:highlight w:val="none"/>
                <w:lang w:bidi="ar"/>
              </w:rPr>
            </w:pPr>
          </w:p>
        </w:tc>
        <w:tc>
          <w:tcPr>
            <w:tcW w:w="1221"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restart"/>
            <w:tcBorders>
              <w:top w:val="single" w:color="auto" w:sz="8" w:space="0"/>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镍铬钼系</w:t>
            </w: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NCr16-16</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固溶（C）</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tcBorders>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NMo16-15-6-4</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vMerge w:val="restart"/>
            <w:tcBorders>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NCr22-9-3.5</w:t>
            </w:r>
          </w:p>
        </w:tc>
        <w:tc>
          <w:tcPr>
            <w:tcW w:w="1221" w:type="pct"/>
            <w:vMerge w:val="restar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vMerge w:val="continue"/>
            <w:tcBorders>
              <w:left w:val="single" w:color="auto" w:sz="6" w:space="0"/>
              <w:right w:val="single" w:color="auto" w:sz="6" w:space="0"/>
            </w:tcBorders>
            <w:vAlign w:val="center"/>
          </w:tcPr>
          <w:p>
            <w:pPr>
              <w:jc w:val="center"/>
              <w:rPr>
                <w:rFonts w:hint="eastAsia" w:ascii="宋体" w:hAnsi="宋体"/>
                <w:color w:val="auto"/>
                <w:sz w:val="18"/>
                <w:szCs w:val="18"/>
                <w:highlight w:val="none"/>
              </w:rPr>
            </w:pPr>
          </w:p>
        </w:tc>
        <w:tc>
          <w:tcPr>
            <w:tcW w:w="1221"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固溶（C）</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1270" w:type="pct"/>
            <w:vMerge w:val="restart"/>
            <w:tcBorders>
              <w:top w:val="single" w:color="auto" w:sz="8" w:space="0"/>
              <w:left w:val="single" w:color="auto" w:sz="12" w:space="0"/>
              <w:right w:val="single" w:color="auto" w:sz="6" w:space="0"/>
            </w:tcBorders>
            <w:vAlign w:val="center"/>
          </w:tcPr>
          <w:p>
            <w:pPr>
              <w:jc w:val="center"/>
              <w:rPr>
                <w:rFonts w:hint="eastAsia"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镍铬钴系</w:t>
            </w:r>
          </w:p>
        </w:tc>
        <w:tc>
          <w:tcPr>
            <w:tcW w:w="1186"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NCo20-15-5-4</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固溶、稳定化和时效（CS）</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rPr>
            </w:pPr>
          </w:p>
        </w:tc>
        <w:tc>
          <w:tcPr>
            <w:tcW w:w="1186"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NCr20</w:t>
            </w:r>
            <w:r>
              <w:rPr>
                <w:rFonts w:ascii="宋体" w:hAnsi="宋体"/>
                <w:color w:val="auto"/>
                <w:sz w:val="18"/>
                <w:szCs w:val="18"/>
                <w:highlight w:val="none"/>
              </w:rPr>
              <w:t>-20-</w:t>
            </w:r>
            <w:r>
              <w:rPr>
                <w:rFonts w:hint="eastAsia" w:ascii="宋体" w:hAnsi="宋体"/>
                <w:color w:val="auto"/>
                <w:sz w:val="18"/>
                <w:szCs w:val="18"/>
                <w:highlight w:val="none"/>
              </w:rPr>
              <w:t>5</w:t>
            </w:r>
            <w:r>
              <w:rPr>
                <w:rFonts w:ascii="宋体" w:hAnsi="宋体"/>
                <w:color w:val="auto"/>
                <w:sz w:val="18"/>
                <w:szCs w:val="18"/>
                <w:highlight w:val="none"/>
              </w:rPr>
              <w:t>-2</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固溶和时效（CS）</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rPr>
            </w:pPr>
          </w:p>
        </w:tc>
        <w:tc>
          <w:tcPr>
            <w:tcW w:w="1186"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NCr20</w:t>
            </w:r>
            <w:r>
              <w:rPr>
                <w:rFonts w:ascii="宋体" w:hAnsi="宋体"/>
                <w:color w:val="auto"/>
                <w:sz w:val="18"/>
                <w:szCs w:val="18"/>
                <w:highlight w:val="none"/>
              </w:rPr>
              <w:t>-</w:t>
            </w:r>
            <w:r>
              <w:rPr>
                <w:rFonts w:hint="eastAsia" w:ascii="宋体" w:hAnsi="宋体"/>
                <w:color w:val="auto"/>
                <w:sz w:val="18"/>
                <w:szCs w:val="18"/>
                <w:highlight w:val="none"/>
              </w:rPr>
              <w:t>13</w:t>
            </w:r>
            <w:r>
              <w:rPr>
                <w:rFonts w:ascii="宋体" w:hAnsi="宋体"/>
                <w:color w:val="auto"/>
                <w:sz w:val="18"/>
                <w:szCs w:val="18"/>
                <w:highlight w:val="none"/>
              </w:rPr>
              <w:t>-</w:t>
            </w:r>
            <w:r>
              <w:rPr>
                <w:rFonts w:hint="eastAsia" w:ascii="宋体" w:hAnsi="宋体"/>
                <w:color w:val="auto"/>
                <w:sz w:val="18"/>
                <w:szCs w:val="18"/>
                <w:highlight w:val="none"/>
              </w:rPr>
              <w:t>4</w:t>
            </w:r>
            <w:r>
              <w:rPr>
                <w:rFonts w:ascii="宋体" w:hAnsi="宋体"/>
                <w:color w:val="auto"/>
                <w:sz w:val="18"/>
                <w:szCs w:val="18"/>
                <w:highlight w:val="none"/>
              </w:rPr>
              <w:t>-</w:t>
            </w:r>
            <w:r>
              <w:rPr>
                <w:rFonts w:hint="eastAsia" w:ascii="宋体" w:hAnsi="宋体"/>
                <w:color w:val="auto"/>
                <w:sz w:val="18"/>
                <w:szCs w:val="18"/>
                <w:highlight w:val="none"/>
              </w:rPr>
              <w:t>3</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固溶和时效（CS）</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270" w:type="pct"/>
            <w:vMerge w:val="continue"/>
            <w:tcBorders>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186"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NCr20</w:t>
            </w:r>
            <w:r>
              <w:rPr>
                <w:rFonts w:ascii="宋体" w:hAnsi="宋体"/>
                <w:color w:val="auto"/>
                <w:sz w:val="18"/>
                <w:szCs w:val="18"/>
                <w:highlight w:val="none"/>
              </w:rPr>
              <w:t>-</w:t>
            </w:r>
            <w:r>
              <w:rPr>
                <w:rFonts w:hint="eastAsia" w:ascii="宋体" w:hAnsi="宋体"/>
                <w:color w:val="auto"/>
                <w:sz w:val="18"/>
                <w:szCs w:val="18"/>
                <w:highlight w:val="none"/>
              </w:rPr>
              <w:t>18</w:t>
            </w:r>
            <w:r>
              <w:rPr>
                <w:rFonts w:ascii="宋体" w:hAnsi="宋体"/>
                <w:color w:val="auto"/>
                <w:sz w:val="18"/>
                <w:szCs w:val="18"/>
                <w:highlight w:val="none"/>
              </w:rPr>
              <w:t>-2.5</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固溶和时效（CS）</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270" w:type="pct"/>
            <w:vMerge w:val="restart"/>
            <w:tcBorders>
              <w:top w:val="single" w:color="auto" w:sz="8" w:space="0"/>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val="en-US" w:eastAsia="zh-CN"/>
              </w:rPr>
              <w:t>镍铬铁系</w:t>
            </w:r>
          </w:p>
        </w:tc>
        <w:tc>
          <w:tcPr>
            <w:tcW w:w="1186" w:type="pc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NCr15-8</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w:t>
            </w:r>
            <w:r>
              <w:rPr>
                <w:rFonts w:hint="eastAsia" w:ascii="宋体" w:hAnsi="宋体"/>
                <w:color w:val="auto"/>
                <w:sz w:val="18"/>
                <w:szCs w:val="18"/>
                <w:highlight w:val="none"/>
                <w:lang w:eastAsia="zh-CN"/>
              </w:rPr>
              <w:t>、</w:t>
            </w: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NCr15</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8-LC</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vMerge w:val="restar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NCr15</w:t>
            </w:r>
            <w:r>
              <w:rPr>
                <w:rFonts w:ascii="宋体" w:hAnsi="宋体"/>
                <w:color w:val="auto"/>
                <w:sz w:val="18"/>
                <w:szCs w:val="18"/>
                <w:highlight w:val="none"/>
              </w:rPr>
              <w:t>-</w:t>
            </w:r>
            <w:r>
              <w:rPr>
                <w:rFonts w:hint="eastAsia" w:ascii="宋体" w:hAnsi="宋体"/>
                <w:color w:val="auto"/>
                <w:sz w:val="18"/>
                <w:szCs w:val="18"/>
                <w:highlight w:val="none"/>
              </w:rPr>
              <w:t>7</w:t>
            </w:r>
            <w:r>
              <w:rPr>
                <w:rFonts w:ascii="宋体" w:hAnsi="宋体"/>
                <w:color w:val="auto"/>
                <w:sz w:val="18"/>
                <w:szCs w:val="18"/>
                <w:highlight w:val="none"/>
              </w:rPr>
              <w:t>-2.5</w:t>
            </w:r>
          </w:p>
        </w:tc>
        <w:tc>
          <w:tcPr>
            <w:tcW w:w="1221" w:type="pct"/>
            <w:vMerge w:val="restar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固溶和时效（CS）</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221"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NCr21</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18</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9</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NCr23</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15</w:t>
            </w:r>
            <w:r>
              <w:rPr>
                <w:rFonts w:ascii="宋体" w:hAnsi="宋体" w:cs="宋体"/>
                <w:color w:val="auto"/>
                <w:kern w:val="0"/>
                <w:sz w:val="18"/>
                <w:szCs w:val="18"/>
                <w:highlight w:val="none"/>
                <w:lang w:bidi="ar"/>
              </w:rPr>
              <w:t>-1.5</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NFe36</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12</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6</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3</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固溶、稳定化和时效（CS）</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NCr19</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19</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5</w:t>
            </w:r>
          </w:p>
        </w:tc>
        <w:tc>
          <w:tcPr>
            <w:tcW w:w="12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固溶和时效（CS）</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270" w:type="pct"/>
            <w:vMerge w:val="continue"/>
            <w:tcBorders>
              <w:left w:val="single" w:color="auto" w:sz="12"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86" w:type="pct"/>
            <w:vMerge w:val="restar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NFe</w:t>
            </w:r>
            <w:r>
              <w:rPr>
                <w:rFonts w:ascii="宋体" w:hAnsi="宋体" w:cs="宋体"/>
                <w:color w:val="auto"/>
                <w:kern w:val="0"/>
                <w:sz w:val="18"/>
                <w:szCs w:val="18"/>
                <w:highlight w:val="none"/>
                <w:lang w:bidi="ar"/>
              </w:rPr>
              <w:t>30-21-3</w:t>
            </w:r>
          </w:p>
        </w:tc>
        <w:tc>
          <w:tcPr>
            <w:tcW w:w="1221" w:type="pct"/>
            <w:vMerge w:val="restart"/>
            <w:tcBorders>
              <w:top w:val="single" w:color="auto" w:sz="8" w:space="0"/>
              <w:left w:val="single" w:color="auto" w:sz="6" w:space="0"/>
              <w:right w:val="single" w:color="auto" w:sz="6"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270" w:type="pct"/>
            <w:vMerge w:val="continue"/>
            <w:tcBorders>
              <w:left w:val="single" w:color="auto" w:sz="12" w:space="0"/>
              <w:right w:val="single" w:color="auto" w:sz="6" w:space="0"/>
            </w:tcBorders>
            <w:vAlign w:val="center"/>
          </w:tcPr>
          <w:p>
            <w:pPr>
              <w:jc w:val="center"/>
              <w:rPr>
                <w:rFonts w:hint="eastAsia" w:ascii="宋体" w:hAnsi="宋体"/>
                <w:color w:val="auto"/>
                <w:sz w:val="18"/>
                <w:szCs w:val="18"/>
                <w:highlight w:val="none"/>
                <w:lang w:val="en-US" w:eastAsia="zh-CN"/>
              </w:rPr>
            </w:pPr>
          </w:p>
        </w:tc>
        <w:tc>
          <w:tcPr>
            <w:tcW w:w="1186"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221" w:type="pct"/>
            <w:vMerge w:val="continue"/>
            <w:tcBorders>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p>
        </w:tc>
        <w:tc>
          <w:tcPr>
            <w:tcW w:w="1322"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1270" w:type="pct"/>
            <w:vMerge w:val="restart"/>
            <w:tcBorders>
              <w:tl2br w:val="nil"/>
              <w:tr2bl w:val="nil"/>
            </w:tcBorders>
            <w:vAlign w:val="center"/>
          </w:tcPr>
          <w:p>
            <w:pPr>
              <w:jc w:val="center"/>
              <w:rPr>
                <w:rFonts w:hint="eastAsia" w:ascii="宋体" w:hAnsi="宋体" w:eastAsia="宋体"/>
                <w:color w:val="auto"/>
                <w:sz w:val="18"/>
                <w:szCs w:val="18"/>
                <w:highlight w:val="none"/>
                <w:u w:val="single"/>
                <w:lang w:val="en-US" w:eastAsia="zh-CN"/>
              </w:rPr>
            </w:pPr>
            <w:r>
              <w:rPr>
                <w:rFonts w:hint="eastAsia" w:ascii="宋体" w:hAnsi="宋体"/>
                <w:color w:val="auto"/>
                <w:sz w:val="18"/>
                <w:szCs w:val="18"/>
                <w:highlight w:val="none"/>
                <w:u w:val="single"/>
                <w:lang w:val="en-US" w:eastAsia="zh-CN"/>
              </w:rPr>
              <w:t>其他</w:t>
            </w:r>
          </w:p>
        </w:tc>
        <w:tc>
          <w:tcPr>
            <w:tcW w:w="1186" w:type="pct"/>
            <w:vMerge w:val="restart"/>
            <w:tcBorders>
              <w:tl2br w:val="nil"/>
              <w:tr2bl w:val="nil"/>
            </w:tcBorders>
            <w:vAlign w:val="center"/>
          </w:tcPr>
          <w:p>
            <w:pPr>
              <w:jc w:val="center"/>
              <w:rPr>
                <w:rFonts w:hint="eastAsia" w:ascii="宋体" w:hAnsi="宋体" w:eastAsia="宋体" w:cs="Times New Roman"/>
                <w:color w:val="auto"/>
                <w:kern w:val="2"/>
                <w:sz w:val="18"/>
                <w:szCs w:val="18"/>
                <w:highlight w:val="none"/>
                <w:u w:val="single"/>
                <w:lang w:val="en-US" w:eastAsia="zh-CN" w:bidi="ar-SA"/>
              </w:rPr>
            </w:pPr>
            <w:r>
              <w:rPr>
                <w:rFonts w:hint="eastAsia" w:ascii="宋体" w:hAnsi="宋体"/>
                <w:color w:val="auto"/>
                <w:sz w:val="18"/>
                <w:szCs w:val="18"/>
                <w:highlight w:val="none"/>
                <w:u w:val="single"/>
              </w:rPr>
              <w:t>NS1101</w:t>
            </w:r>
          </w:p>
        </w:tc>
        <w:tc>
          <w:tcPr>
            <w:tcW w:w="1221" w:type="pct"/>
            <w:vMerge w:val="restart"/>
            <w:tcBorders>
              <w:tl2br w:val="nil"/>
              <w:tr2bl w:val="nil"/>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热加工（R）</w:t>
            </w:r>
          </w:p>
        </w:tc>
        <w:tc>
          <w:tcPr>
            <w:tcW w:w="1322" w:type="pct"/>
            <w:tcBorders>
              <w:tl2br w:val="nil"/>
              <w:tr2bl w:val="nil"/>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≤50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1270" w:type="pct"/>
            <w:vMerge w:val="continue"/>
            <w:tcBorders>
              <w:tl2br w:val="nil"/>
              <w:tr2bl w:val="nil"/>
            </w:tcBorders>
            <w:vAlign w:val="center"/>
          </w:tcPr>
          <w:p>
            <w:pPr>
              <w:jc w:val="center"/>
              <w:rPr>
                <w:rFonts w:hint="eastAsia" w:ascii="宋体" w:hAnsi="宋体"/>
                <w:color w:val="auto"/>
                <w:sz w:val="18"/>
                <w:szCs w:val="18"/>
                <w:highlight w:val="none"/>
                <w:u w:val="single"/>
              </w:rPr>
            </w:pPr>
          </w:p>
        </w:tc>
        <w:tc>
          <w:tcPr>
            <w:tcW w:w="1186" w:type="pct"/>
            <w:vMerge w:val="continue"/>
            <w:tcBorders>
              <w:tl2br w:val="nil"/>
              <w:tr2bl w:val="nil"/>
            </w:tcBorders>
            <w:vAlign w:val="center"/>
          </w:tcPr>
          <w:p>
            <w:pPr>
              <w:jc w:val="center"/>
              <w:rPr>
                <w:rFonts w:hint="eastAsia" w:ascii="宋体" w:hAnsi="宋体"/>
                <w:color w:val="auto"/>
                <w:sz w:val="18"/>
                <w:szCs w:val="18"/>
                <w:highlight w:val="none"/>
                <w:u w:val="single"/>
              </w:rPr>
            </w:pPr>
          </w:p>
        </w:tc>
        <w:tc>
          <w:tcPr>
            <w:tcW w:w="1221" w:type="pct"/>
            <w:vMerge w:val="continue"/>
            <w:tcBorders>
              <w:tl2br w:val="nil"/>
              <w:tr2bl w:val="nil"/>
            </w:tcBorders>
            <w:vAlign w:val="center"/>
          </w:tcPr>
          <w:p>
            <w:pPr>
              <w:jc w:val="center"/>
              <w:rPr>
                <w:rFonts w:hint="eastAsia" w:ascii="宋体" w:hAnsi="宋体"/>
                <w:color w:val="auto"/>
                <w:sz w:val="18"/>
                <w:szCs w:val="18"/>
                <w:highlight w:val="none"/>
                <w:u w:val="single"/>
              </w:rPr>
            </w:pPr>
          </w:p>
        </w:tc>
        <w:tc>
          <w:tcPr>
            <w:tcW w:w="1322" w:type="pct"/>
            <w:tcBorders>
              <w:tl2br w:val="nil"/>
              <w:tr2bl w:val="nil"/>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＞50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90" w:hRule="atLeast"/>
        </w:trPr>
        <w:tc>
          <w:tcPr>
            <w:tcW w:w="1270" w:type="pct"/>
            <w:vMerge w:val="continue"/>
            <w:tcBorders>
              <w:tl2br w:val="nil"/>
              <w:tr2bl w:val="nil"/>
            </w:tcBorders>
            <w:vAlign w:val="center"/>
          </w:tcPr>
          <w:p>
            <w:pPr>
              <w:jc w:val="center"/>
              <w:rPr>
                <w:rFonts w:hint="eastAsia" w:ascii="宋体" w:hAnsi="宋体"/>
                <w:color w:val="auto"/>
                <w:sz w:val="18"/>
                <w:szCs w:val="18"/>
                <w:highlight w:val="none"/>
                <w:u w:val="single"/>
              </w:rPr>
            </w:pPr>
          </w:p>
        </w:tc>
        <w:tc>
          <w:tcPr>
            <w:tcW w:w="1186" w:type="pct"/>
            <w:vMerge w:val="continue"/>
            <w:tcBorders>
              <w:tl2br w:val="nil"/>
              <w:tr2bl w:val="nil"/>
            </w:tcBorders>
            <w:vAlign w:val="center"/>
          </w:tcPr>
          <w:p>
            <w:pPr>
              <w:jc w:val="center"/>
              <w:rPr>
                <w:rFonts w:hint="eastAsia" w:ascii="宋体" w:hAnsi="宋体"/>
                <w:color w:val="auto"/>
                <w:sz w:val="18"/>
                <w:szCs w:val="18"/>
                <w:highlight w:val="none"/>
                <w:u w:val="single"/>
              </w:rPr>
            </w:pPr>
          </w:p>
        </w:tc>
        <w:tc>
          <w:tcPr>
            <w:tcW w:w="1221" w:type="pct"/>
            <w:vMerge w:val="restart"/>
            <w:tcBorders>
              <w:tl2br w:val="nil"/>
              <w:tr2bl w:val="nil"/>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退火（M）</w:t>
            </w:r>
          </w:p>
        </w:tc>
        <w:tc>
          <w:tcPr>
            <w:tcW w:w="1322" w:type="pct"/>
            <w:tcBorders>
              <w:tl2br w:val="nil"/>
              <w:tr2bl w:val="nil"/>
            </w:tcBorders>
            <w:vAlign w:val="center"/>
          </w:tcPr>
          <w:p>
            <w:pPr>
              <w:jc w:val="center"/>
              <w:rPr>
                <w:rFonts w:hint="eastAsia" w:ascii="宋体" w:hAnsi="宋体"/>
                <w:color w:val="auto"/>
                <w:sz w:val="18"/>
                <w:szCs w:val="18"/>
                <w:highlight w:val="none"/>
                <w:u w:val="single"/>
              </w:rPr>
            </w:pPr>
            <w:r>
              <w:rPr>
                <w:color w:val="auto"/>
                <w:sz w:val="21"/>
                <w:highlight w:val="none"/>
              </w:rPr>
              <mc:AlternateContent>
                <mc:Choice Requires="wps">
                  <w:drawing>
                    <wp:anchor distT="0" distB="0" distL="114300" distR="114300" simplePos="0" relativeHeight="251675648" behindDoc="0" locked="0" layoutInCell="1" allowOverlap="1">
                      <wp:simplePos x="0" y="0"/>
                      <wp:positionH relativeFrom="column">
                        <wp:posOffset>1586230</wp:posOffset>
                      </wp:positionH>
                      <wp:positionV relativeFrom="paragraph">
                        <wp:posOffset>-24765</wp:posOffset>
                      </wp:positionV>
                      <wp:extent cx="8255" cy="1781175"/>
                      <wp:effectExtent l="4445" t="0" r="6350" b="9525"/>
                      <wp:wrapNone/>
                      <wp:docPr id="23" name="直接连接符 23"/>
                      <wp:cNvGraphicFramePr/>
                      <a:graphic xmlns:a="http://schemas.openxmlformats.org/drawingml/2006/main">
                        <a:graphicData uri="http://schemas.microsoft.com/office/word/2010/wordprocessingShape">
                          <wps:wsp>
                            <wps:cNvCnPr/>
                            <wps:spPr>
                              <a:xfrm>
                                <a:off x="0" y="0"/>
                                <a:ext cx="8255" cy="1781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4.9pt;margin-top:-1.95pt;height:140.25pt;width:0.65pt;z-index:251675648;mso-width-relative:page;mso-height-relative:page;" filled="f" stroked="t" coordsize="21600,21600" o:gfxdata="UEsDBAoAAAAAAIdO4kAAAAAAAAAAAAAAAAAEAAAAZHJzL1BLAwQUAAAACACHTuJAqze3h9kAAAAK&#10;AQAADwAAAGRycy9kb3ducmV2LnhtbE2PvU7DQBCEeyTe4bRINFFytgOGGJ9TAO5oCCDajW+xLXx7&#10;ju/yA0/PUkG3ox3NfFOuT25QB5pC79lAukhAETfe9twaeH2p57egQkS2OHgmA18UYF2dn5VYWH/k&#10;ZzpsYqskhEOBBroYx0Lr0HTkMCz8SCy/Dz85jCKnVtsJjxLuBp0lSa4d9iwNHY5031Hzudk7A6F+&#10;o139PWtmyfuy9ZTtHp4e0ZjLizS5AxXpFP/M8Isv6FAJ09bv2QY1GMiuVoIeDcyXK1BiyK7TFNRW&#10;jps8B12V+v+E6gdQSwMEFAAAAAgAh07iQNZ9Qk7bAQAAnwMAAA4AAABkcnMvZTJvRG9jLnhtbK1T&#10;zY7TMBC+I/EOlu80bVDZEjXdw1bLBUEl4AGmjpNY8p883qZ9CV4AiRucOHLnbdh9DMZO6MJy2QM5&#10;OOP5+Tzf5/H68mg0O8iAytmaL2ZzzqQVrlG2q/mH99fPVpxhBNuAdlbW/CSRX26ePlkPvpKl651u&#10;ZGAEYrEafM37GH1VFCh6aQBnzktLwdYFA5G2oSuaAAOhG12U8/mLYnCh8cEJiUje7RjkE2J4DKBr&#10;WyXk1okbI20cUYPUEIkS9soj3+Ru21aK+LZtUUama05MY17pELL3aS02a6i6AL5XYmoBHtPCA04G&#10;lKVDz1BbiMBugvoHyigRHLo2zoQzxUgkK0IsFvMH2rzrwcvMhaRGfxYd/x+seHPYBaaampfPObNg&#10;6MZvP33/+fHL3Y/PtN5++8ooQjINHivKvrK7MO3Q70LifGyDSX9iw45Z2tNZWnmMTJBzVS6XnAkK&#10;LC5Wi8XFMkEW97U+YHwlnWHJqLlWNhGHCg6vMY6pv1OS27prpTX5odKWDTV/uSwTPtBAtjQIZBpP&#10;pNB2nIHuaNJFDBkRnVZNqk7FGLr9lQ7sAGk+8jc19ldaOnoL2I95OTSlaUs0kjSjGMnau+aUNcp+&#10;urdMdJqxNBh/7nP1/bva/A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rN7eH2QAAAAoBAAAPAAAA&#10;AAAAAAEAIAAAACIAAABkcnMvZG93bnJldi54bWxQSwECFAAUAAAACACHTuJA1n1CTtsBAACfAwAA&#10;DgAAAAAAAAABACAAAAAoAQAAZHJzL2Uyb0RvYy54bWxQSwUGAAAAAAYABgBZAQAAdQUAAAAA&#10;">
                      <v:fill on="f" focussize="0,0"/>
                      <v:stroke color="#000000 [3213]" joinstyle="round"/>
                      <v:imagedata o:title=""/>
                      <o:lock v:ext="edit" aspectratio="f"/>
                    </v:line>
                  </w:pict>
                </mc:Fallback>
              </mc:AlternateContent>
            </w:r>
            <w:r>
              <w:rPr>
                <w:rFonts w:hint="eastAsia" w:ascii="宋体" w:hAnsi="宋体"/>
                <w:color w:val="auto"/>
                <w:sz w:val="18"/>
                <w:szCs w:val="18"/>
                <w:highlight w:val="none"/>
                <w:u w:val="single"/>
              </w:rPr>
              <w:t>≤50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90" w:hRule="atLeast"/>
        </w:trPr>
        <w:tc>
          <w:tcPr>
            <w:tcW w:w="1270" w:type="pct"/>
            <w:vMerge w:val="continue"/>
            <w:tcBorders>
              <w:tl2br w:val="nil"/>
              <w:tr2bl w:val="nil"/>
            </w:tcBorders>
            <w:vAlign w:val="center"/>
          </w:tcPr>
          <w:p>
            <w:pPr>
              <w:jc w:val="center"/>
              <w:rPr>
                <w:rFonts w:hint="eastAsia" w:ascii="宋体" w:hAnsi="宋体"/>
                <w:color w:val="auto"/>
                <w:sz w:val="18"/>
                <w:szCs w:val="18"/>
                <w:highlight w:val="none"/>
                <w:u w:val="single"/>
              </w:rPr>
            </w:pPr>
          </w:p>
        </w:tc>
        <w:tc>
          <w:tcPr>
            <w:tcW w:w="1186" w:type="pct"/>
            <w:vMerge w:val="continue"/>
            <w:tcBorders>
              <w:tl2br w:val="nil"/>
              <w:tr2bl w:val="nil"/>
            </w:tcBorders>
            <w:vAlign w:val="center"/>
          </w:tcPr>
          <w:p>
            <w:pPr>
              <w:jc w:val="center"/>
              <w:rPr>
                <w:rFonts w:hint="eastAsia" w:ascii="宋体" w:hAnsi="宋体"/>
                <w:color w:val="auto"/>
                <w:sz w:val="18"/>
                <w:szCs w:val="18"/>
                <w:highlight w:val="none"/>
                <w:u w:val="single"/>
              </w:rPr>
            </w:pPr>
          </w:p>
        </w:tc>
        <w:tc>
          <w:tcPr>
            <w:tcW w:w="1221" w:type="pct"/>
            <w:vMerge w:val="continue"/>
            <w:tcBorders>
              <w:tl2br w:val="nil"/>
              <w:tr2bl w:val="nil"/>
            </w:tcBorders>
            <w:vAlign w:val="center"/>
          </w:tcPr>
          <w:p>
            <w:pPr>
              <w:jc w:val="center"/>
              <w:rPr>
                <w:rFonts w:hint="eastAsia" w:ascii="宋体" w:hAnsi="宋体"/>
                <w:color w:val="auto"/>
                <w:sz w:val="18"/>
                <w:szCs w:val="18"/>
                <w:highlight w:val="none"/>
                <w:u w:val="single"/>
              </w:rPr>
            </w:pPr>
          </w:p>
        </w:tc>
        <w:tc>
          <w:tcPr>
            <w:tcW w:w="1322" w:type="pct"/>
            <w:tcBorders>
              <w:tl2br w:val="nil"/>
              <w:tr2bl w:val="nil"/>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＞50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1270" w:type="pct"/>
            <w:vMerge w:val="continue"/>
            <w:tcBorders>
              <w:tl2br w:val="nil"/>
              <w:tr2bl w:val="nil"/>
            </w:tcBorders>
            <w:vAlign w:val="center"/>
          </w:tcPr>
          <w:p>
            <w:pPr>
              <w:jc w:val="center"/>
              <w:rPr>
                <w:rFonts w:hint="eastAsia" w:ascii="宋体" w:hAnsi="宋体"/>
                <w:color w:val="auto"/>
                <w:sz w:val="18"/>
                <w:szCs w:val="18"/>
                <w:highlight w:val="none"/>
              </w:rPr>
            </w:pPr>
          </w:p>
        </w:tc>
        <w:tc>
          <w:tcPr>
            <w:tcW w:w="1186" w:type="pct"/>
            <w:tcBorders>
              <w:tl2br w:val="nil"/>
              <w:tr2bl w:val="nil"/>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NS1102</w:t>
            </w:r>
          </w:p>
        </w:tc>
        <w:tc>
          <w:tcPr>
            <w:tcW w:w="1221" w:type="pct"/>
            <w:tcBorders>
              <w:tl2br w:val="nil"/>
              <w:tr2bl w:val="nil"/>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退火（M）</w:t>
            </w:r>
          </w:p>
        </w:tc>
        <w:tc>
          <w:tcPr>
            <w:tcW w:w="1322" w:type="pct"/>
            <w:tcBorders>
              <w:tl2br w:val="nil"/>
              <w:tr2bl w:val="nil"/>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1270" w:type="pct"/>
            <w:vMerge w:val="continue"/>
            <w:tcBorders>
              <w:tl2br w:val="nil"/>
              <w:tr2bl w:val="nil"/>
            </w:tcBorders>
            <w:vAlign w:val="center"/>
          </w:tcPr>
          <w:p>
            <w:pPr>
              <w:jc w:val="center"/>
              <w:rPr>
                <w:rFonts w:hint="eastAsia" w:ascii="宋体" w:hAnsi="宋体"/>
                <w:color w:val="auto"/>
                <w:sz w:val="18"/>
                <w:szCs w:val="18"/>
                <w:highlight w:val="none"/>
              </w:rPr>
            </w:pPr>
          </w:p>
        </w:tc>
        <w:tc>
          <w:tcPr>
            <w:tcW w:w="1186" w:type="pct"/>
            <w:tcBorders>
              <w:tl2br w:val="nil"/>
              <w:tr2bl w:val="nil"/>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NS1104</w:t>
            </w:r>
          </w:p>
        </w:tc>
        <w:tc>
          <w:tcPr>
            <w:tcW w:w="1221" w:type="pct"/>
            <w:tcBorders>
              <w:tl2br w:val="nil"/>
              <w:tr2bl w:val="nil"/>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退火（M）</w:t>
            </w:r>
          </w:p>
        </w:tc>
        <w:tc>
          <w:tcPr>
            <w:tcW w:w="1322" w:type="pct"/>
            <w:tcBorders>
              <w:tl2br w:val="nil"/>
              <w:tr2bl w:val="nil"/>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1270" w:type="pct"/>
            <w:vMerge w:val="continue"/>
            <w:tcBorders>
              <w:tl2br w:val="nil"/>
              <w:tr2bl w:val="nil"/>
            </w:tcBorders>
            <w:vAlign w:val="center"/>
          </w:tcPr>
          <w:p>
            <w:pPr>
              <w:jc w:val="center"/>
              <w:rPr>
                <w:rFonts w:hint="eastAsia" w:ascii="宋体" w:hAnsi="宋体"/>
                <w:color w:val="auto"/>
                <w:sz w:val="18"/>
                <w:szCs w:val="18"/>
                <w:highlight w:val="none"/>
              </w:rPr>
            </w:pPr>
          </w:p>
        </w:tc>
        <w:tc>
          <w:tcPr>
            <w:tcW w:w="1186" w:type="pct"/>
            <w:tcBorders>
              <w:tl2br w:val="nil"/>
              <w:tr2bl w:val="nil"/>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NS1403</w:t>
            </w:r>
          </w:p>
        </w:tc>
        <w:tc>
          <w:tcPr>
            <w:tcW w:w="1221" w:type="pct"/>
            <w:tcBorders>
              <w:tl2br w:val="nil"/>
              <w:tr2bl w:val="nil"/>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退火（M）</w:t>
            </w:r>
          </w:p>
        </w:tc>
        <w:tc>
          <w:tcPr>
            <w:tcW w:w="1322" w:type="pct"/>
            <w:tcBorders>
              <w:tl2br w:val="nil"/>
              <w:tr2bl w:val="nil"/>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1270" w:type="pct"/>
            <w:vMerge w:val="continue"/>
            <w:tcBorders>
              <w:tl2br w:val="nil"/>
              <w:tr2bl w:val="nil"/>
            </w:tcBorders>
            <w:vAlign w:val="center"/>
          </w:tcPr>
          <w:p>
            <w:pPr>
              <w:jc w:val="center"/>
              <w:rPr>
                <w:rFonts w:hint="eastAsia" w:ascii="宋体" w:hAnsi="宋体"/>
                <w:color w:val="auto"/>
                <w:sz w:val="18"/>
                <w:szCs w:val="18"/>
                <w:highlight w:val="none"/>
              </w:rPr>
            </w:pPr>
          </w:p>
        </w:tc>
        <w:tc>
          <w:tcPr>
            <w:tcW w:w="1186" w:type="pct"/>
            <w:tcBorders>
              <w:tl2br w:val="nil"/>
              <w:tr2bl w:val="nil"/>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FeNi32Cr21Ti</w:t>
            </w:r>
          </w:p>
        </w:tc>
        <w:tc>
          <w:tcPr>
            <w:tcW w:w="1221" w:type="pct"/>
            <w:tcBorders>
              <w:tl2br w:val="nil"/>
              <w:tr2bl w:val="nil"/>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1322" w:type="pct"/>
            <w:tcBorders>
              <w:tl2br w:val="nil"/>
              <w:tr2bl w:val="nil"/>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1270" w:type="pct"/>
            <w:vMerge w:val="continue"/>
            <w:tcBorders>
              <w:tl2br w:val="nil"/>
              <w:tr2bl w:val="nil"/>
            </w:tcBorders>
            <w:vAlign w:val="center"/>
          </w:tcPr>
          <w:p>
            <w:pPr>
              <w:jc w:val="center"/>
              <w:rPr>
                <w:rFonts w:hint="eastAsia" w:ascii="宋体" w:hAnsi="宋体"/>
                <w:color w:val="auto"/>
                <w:sz w:val="18"/>
                <w:szCs w:val="18"/>
                <w:highlight w:val="none"/>
                <w:u w:val="single"/>
              </w:rPr>
            </w:pPr>
          </w:p>
        </w:tc>
        <w:tc>
          <w:tcPr>
            <w:tcW w:w="1186" w:type="pct"/>
            <w:tcBorders>
              <w:tl2br w:val="nil"/>
              <w:tr2bl w:val="nil"/>
            </w:tcBorders>
            <w:vAlign w:val="center"/>
          </w:tcPr>
          <w:p>
            <w:pPr>
              <w:jc w:val="center"/>
              <w:rPr>
                <w:rFonts w:hint="default" w:ascii="宋体" w:hAnsi="宋体" w:eastAsia="宋体" w:cs="Times New Roman"/>
                <w:color w:val="0000FF"/>
                <w:kern w:val="2"/>
                <w:sz w:val="18"/>
                <w:szCs w:val="18"/>
                <w:highlight w:val="none"/>
                <w:u w:val="single"/>
                <w:lang w:val="en-US" w:eastAsia="zh-CN" w:bidi="ar-SA"/>
              </w:rPr>
            </w:pPr>
            <w:r>
              <w:rPr>
                <w:rFonts w:hint="eastAsia" w:ascii="宋体" w:hAnsi="宋体" w:cs="Times New Roman"/>
                <w:color w:val="0000FF"/>
                <w:kern w:val="2"/>
                <w:sz w:val="18"/>
                <w:szCs w:val="18"/>
                <w:highlight w:val="none"/>
                <w:u w:val="single"/>
                <w:lang w:val="en-US" w:eastAsia="zh-CN" w:bidi="ar-SA"/>
              </w:rPr>
              <w:t>NS3313</w:t>
            </w:r>
          </w:p>
        </w:tc>
        <w:tc>
          <w:tcPr>
            <w:tcW w:w="1221" w:type="pct"/>
            <w:tcBorders>
              <w:tl2br w:val="nil"/>
              <w:tr2bl w:val="nil"/>
            </w:tcBorders>
            <w:vAlign w:val="center"/>
          </w:tcPr>
          <w:p>
            <w:pPr>
              <w:jc w:val="center"/>
              <w:rPr>
                <w:rFonts w:hint="eastAsia" w:ascii="宋体" w:hAnsi="宋体"/>
                <w:color w:val="0000FF"/>
                <w:sz w:val="18"/>
                <w:szCs w:val="18"/>
                <w:highlight w:val="none"/>
                <w:u w:val="single"/>
              </w:rPr>
            </w:pPr>
            <w:r>
              <w:rPr>
                <w:rFonts w:hint="eastAsia" w:ascii="宋体" w:hAnsi="宋体"/>
                <w:color w:val="0000FF"/>
                <w:sz w:val="18"/>
                <w:szCs w:val="18"/>
                <w:highlight w:val="none"/>
                <w:u w:val="single"/>
              </w:rPr>
              <w:t>固溶（C）</w:t>
            </w:r>
          </w:p>
        </w:tc>
        <w:tc>
          <w:tcPr>
            <w:tcW w:w="1322" w:type="pct"/>
            <w:tcBorders>
              <w:tl2br w:val="nil"/>
              <w:tr2bl w:val="nil"/>
            </w:tcBorders>
            <w:vAlign w:val="center"/>
          </w:tcPr>
          <w:p>
            <w:pPr>
              <w:jc w:val="center"/>
              <w:rPr>
                <w:rFonts w:hint="eastAsia" w:ascii="宋体" w:hAnsi="宋体"/>
                <w:color w:val="0000FF"/>
                <w:sz w:val="18"/>
                <w:szCs w:val="18"/>
                <w:highlight w:val="none"/>
                <w:u w:val="single"/>
              </w:rPr>
            </w:pPr>
            <w:r>
              <w:rPr>
                <w:rFonts w:hint="eastAsia" w:ascii="宋体" w:hAnsi="宋体"/>
                <w:color w:val="0000FF"/>
                <w:sz w:val="18"/>
                <w:szCs w:val="18"/>
                <w:highlight w:val="none"/>
                <w:u w:val="single"/>
              </w:rPr>
              <w:t>所有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1270" w:type="pct"/>
            <w:vMerge w:val="continue"/>
            <w:tcBorders>
              <w:tl2br w:val="nil"/>
              <w:tr2bl w:val="nil"/>
            </w:tcBorders>
            <w:vAlign w:val="center"/>
          </w:tcPr>
          <w:p>
            <w:pPr>
              <w:jc w:val="center"/>
              <w:rPr>
                <w:rFonts w:hint="eastAsia" w:ascii="宋体" w:hAnsi="宋体"/>
                <w:color w:val="auto"/>
                <w:sz w:val="18"/>
                <w:szCs w:val="18"/>
                <w:highlight w:val="none"/>
                <w:u w:val="single"/>
              </w:rPr>
            </w:pPr>
          </w:p>
        </w:tc>
        <w:tc>
          <w:tcPr>
            <w:tcW w:w="1186" w:type="pct"/>
            <w:tcBorders>
              <w:tl2br w:val="nil"/>
              <w:tr2bl w:val="nil"/>
            </w:tcBorders>
            <w:vAlign w:val="center"/>
          </w:tcPr>
          <w:p>
            <w:pPr>
              <w:jc w:val="center"/>
              <w:rPr>
                <w:rFonts w:hint="eastAsia" w:ascii="宋体" w:hAnsi="宋体" w:eastAsia="宋体" w:cs="Times New Roman"/>
                <w:color w:val="0000FF"/>
                <w:kern w:val="2"/>
                <w:sz w:val="18"/>
                <w:szCs w:val="18"/>
                <w:highlight w:val="none"/>
                <w:u w:val="single"/>
                <w:lang w:val="en-US" w:eastAsia="zh-CN" w:bidi="ar-SA"/>
              </w:rPr>
            </w:pPr>
            <w:r>
              <w:rPr>
                <w:rFonts w:hint="eastAsia" w:ascii="宋体" w:hAnsi="宋体"/>
                <w:color w:val="0000FF"/>
                <w:sz w:val="18"/>
                <w:szCs w:val="18"/>
                <w:highlight w:val="none"/>
                <w:u w:val="single"/>
              </w:rPr>
              <w:t>NS</w:t>
            </w:r>
            <w:r>
              <w:rPr>
                <w:rFonts w:hint="eastAsia" w:ascii="宋体" w:hAnsi="宋体"/>
                <w:color w:val="0000FF"/>
                <w:sz w:val="18"/>
                <w:szCs w:val="18"/>
                <w:highlight w:val="none"/>
                <w:u w:val="single"/>
                <w:lang w:eastAsia="zh-CN"/>
              </w:rPr>
              <w:t>3405</w:t>
            </w:r>
          </w:p>
        </w:tc>
        <w:tc>
          <w:tcPr>
            <w:tcW w:w="1221" w:type="pct"/>
            <w:tcBorders>
              <w:tl2br w:val="nil"/>
              <w:tr2bl w:val="nil"/>
            </w:tcBorders>
            <w:vAlign w:val="center"/>
          </w:tcPr>
          <w:p>
            <w:pPr>
              <w:jc w:val="center"/>
              <w:rPr>
                <w:rFonts w:hint="eastAsia" w:ascii="宋体" w:hAnsi="宋体"/>
                <w:color w:val="0000FF"/>
                <w:sz w:val="18"/>
                <w:szCs w:val="18"/>
                <w:highlight w:val="none"/>
                <w:u w:val="single"/>
              </w:rPr>
            </w:pPr>
            <w:r>
              <w:rPr>
                <w:rFonts w:hint="eastAsia" w:ascii="宋体" w:hAnsi="宋体"/>
                <w:color w:val="0000FF"/>
                <w:sz w:val="18"/>
                <w:szCs w:val="18"/>
                <w:highlight w:val="none"/>
                <w:u w:val="single"/>
              </w:rPr>
              <w:t>固溶（C）</w:t>
            </w:r>
          </w:p>
        </w:tc>
        <w:tc>
          <w:tcPr>
            <w:tcW w:w="1322" w:type="pct"/>
            <w:tcBorders>
              <w:tl2br w:val="nil"/>
              <w:tr2bl w:val="nil"/>
            </w:tcBorders>
            <w:vAlign w:val="center"/>
          </w:tcPr>
          <w:p>
            <w:pPr>
              <w:jc w:val="center"/>
              <w:rPr>
                <w:rFonts w:hint="eastAsia" w:ascii="宋体" w:hAnsi="宋体"/>
                <w:color w:val="0000FF"/>
                <w:sz w:val="18"/>
                <w:szCs w:val="18"/>
                <w:highlight w:val="none"/>
                <w:u w:val="single"/>
              </w:rPr>
            </w:pPr>
            <w:r>
              <w:rPr>
                <w:rFonts w:hint="eastAsia" w:ascii="宋体" w:hAnsi="宋体"/>
                <w:color w:val="0000FF"/>
                <w:sz w:val="18"/>
                <w:szCs w:val="18"/>
                <w:highlight w:val="none"/>
                <w:u w:val="single"/>
              </w:rPr>
              <w:t>所有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1270" w:type="pct"/>
            <w:vMerge w:val="continue"/>
            <w:tcBorders>
              <w:tl2br w:val="nil"/>
              <w:tr2bl w:val="nil"/>
            </w:tcBorders>
            <w:vAlign w:val="center"/>
          </w:tcPr>
          <w:p>
            <w:pPr>
              <w:jc w:val="center"/>
              <w:rPr>
                <w:rFonts w:hint="eastAsia" w:ascii="宋体" w:hAnsi="宋体"/>
                <w:color w:val="auto"/>
                <w:sz w:val="18"/>
                <w:szCs w:val="18"/>
                <w:highlight w:val="none"/>
              </w:rPr>
            </w:pPr>
          </w:p>
        </w:tc>
        <w:tc>
          <w:tcPr>
            <w:tcW w:w="1186" w:type="pct"/>
            <w:tcBorders>
              <w:tl2br w:val="nil"/>
              <w:tr2bl w:val="nil"/>
            </w:tcBorders>
            <w:vAlign w:val="center"/>
          </w:tcPr>
          <w:p>
            <w:pPr>
              <w:jc w:val="center"/>
              <w:rPr>
                <w:rFonts w:hint="default" w:ascii="宋体" w:hAnsi="宋体" w:eastAsia="宋体" w:cs="Times New Roman"/>
                <w:color w:val="0000FF"/>
                <w:kern w:val="2"/>
                <w:sz w:val="18"/>
                <w:szCs w:val="18"/>
                <w:highlight w:val="none"/>
                <w:lang w:val="en-US" w:eastAsia="zh-CN" w:bidi="ar-SA"/>
              </w:rPr>
            </w:pPr>
            <w:r>
              <w:rPr>
                <w:rFonts w:hint="eastAsia" w:ascii="宋体" w:hAnsi="宋体"/>
                <w:color w:val="0000FF"/>
                <w:sz w:val="18"/>
                <w:szCs w:val="18"/>
                <w:highlight w:val="none"/>
                <w:lang w:val="en-US" w:eastAsia="zh-CN"/>
              </w:rPr>
              <w:t>NS1502</w:t>
            </w:r>
          </w:p>
        </w:tc>
        <w:tc>
          <w:tcPr>
            <w:tcW w:w="1221" w:type="pct"/>
            <w:tcBorders>
              <w:tl2br w:val="nil"/>
              <w:tr2bl w:val="nil"/>
            </w:tcBorders>
            <w:vAlign w:val="center"/>
          </w:tcPr>
          <w:p>
            <w:pPr>
              <w:jc w:val="center"/>
              <w:rPr>
                <w:rFonts w:hint="eastAsia" w:ascii="宋体" w:hAnsi="宋体"/>
                <w:color w:val="0000FF"/>
                <w:sz w:val="18"/>
                <w:szCs w:val="18"/>
                <w:highlight w:val="none"/>
              </w:rPr>
            </w:pPr>
            <w:r>
              <w:rPr>
                <w:rFonts w:hint="eastAsia" w:ascii="宋体" w:hAnsi="宋体"/>
                <w:color w:val="0000FF"/>
                <w:sz w:val="18"/>
                <w:szCs w:val="18"/>
                <w:highlight w:val="none"/>
              </w:rPr>
              <w:t>热加工（R）、退火（M）</w:t>
            </w:r>
          </w:p>
        </w:tc>
        <w:tc>
          <w:tcPr>
            <w:tcW w:w="1322" w:type="pct"/>
            <w:tcBorders>
              <w:tl2br w:val="nil"/>
              <w:tr2bl w:val="nil"/>
            </w:tcBorders>
            <w:vAlign w:val="center"/>
          </w:tcPr>
          <w:p>
            <w:pPr>
              <w:jc w:val="center"/>
              <w:rPr>
                <w:rFonts w:hint="eastAsia" w:ascii="宋体" w:hAnsi="宋体"/>
                <w:color w:val="0000FF"/>
                <w:sz w:val="18"/>
                <w:szCs w:val="18"/>
                <w:highlight w:val="none"/>
              </w:rPr>
            </w:pPr>
            <w:r>
              <w:rPr>
                <w:rFonts w:hint="eastAsia" w:ascii="宋体" w:hAnsi="宋体"/>
                <w:color w:val="0000FF"/>
                <w:sz w:val="18"/>
                <w:szCs w:val="18"/>
                <w:highlight w:val="none"/>
              </w:rPr>
              <w:t>所有</w:t>
            </w:r>
          </w:p>
        </w:tc>
      </w:tr>
    </w:tbl>
    <w:p>
      <w:pPr>
        <w:pStyle w:val="59"/>
        <w:rPr>
          <w:color w:val="auto"/>
          <w:highlight w:val="none"/>
        </w:rPr>
      </w:pPr>
      <w:r>
        <w:rPr>
          <w:rFonts w:hint="eastAsia"/>
          <w:color w:val="auto"/>
          <w:highlight w:val="none"/>
        </w:rPr>
        <w:t>4.2  产品标记</w:t>
      </w:r>
    </w:p>
    <w:p>
      <w:pPr>
        <w:pStyle w:val="22"/>
        <w:ind w:firstLine="420"/>
        <w:rPr>
          <w:rFonts w:hint="default" w:eastAsia="宋体"/>
          <w:color w:val="auto"/>
          <w:highlight w:val="none"/>
          <w:lang w:val="en-US" w:eastAsia="zh-CN"/>
        </w:rPr>
      </w:pPr>
      <w:r>
        <w:rPr>
          <w:rFonts w:hint="eastAsia"/>
          <w:color w:val="auto"/>
          <w:highlight w:val="none"/>
        </w:rPr>
        <w:t>产品标记按产品名称、文件编号、牌号、状态、</w:t>
      </w:r>
      <w:r>
        <w:rPr>
          <w:rFonts w:hint="eastAsia"/>
          <w:color w:val="auto"/>
          <w:highlight w:val="none"/>
          <w:lang w:val="en-US" w:eastAsia="zh-CN"/>
        </w:rPr>
        <w:t>外形尺寸</w:t>
      </w:r>
      <w:r>
        <w:rPr>
          <w:rFonts w:hint="eastAsia"/>
          <w:color w:val="auto"/>
          <w:highlight w:val="none"/>
        </w:rPr>
        <w:t>的顺序表示。</w:t>
      </w:r>
      <w:r>
        <w:rPr>
          <w:rFonts w:hint="eastAsia"/>
          <w:color w:val="auto"/>
          <w:highlight w:val="none"/>
          <w:lang w:val="en-US" w:eastAsia="zh-CN"/>
        </w:rPr>
        <w:t>标记示例如下：</w:t>
      </w:r>
    </w:p>
    <w:p>
      <w:pPr>
        <w:pStyle w:val="57"/>
        <w:ind w:left="420"/>
        <w:jc w:val="left"/>
        <w:rPr>
          <w:color w:val="auto"/>
          <w:sz w:val="18"/>
          <w:szCs w:val="18"/>
          <w:highlight w:val="none"/>
        </w:rPr>
      </w:pPr>
      <w:r>
        <w:rPr>
          <w:rFonts w:hint="eastAsia"/>
          <w:color w:val="auto"/>
          <w:sz w:val="18"/>
          <w:szCs w:val="18"/>
          <w:highlight w:val="none"/>
        </w:rPr>
        <w:t>示例：</w:t>
      </w:r>
    </w:p>
    <w:tbl>
      <w:tblPr>
        <w:tblStyle w:val="16"/>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5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5000" w:type="pct"/>
          </w:tcPr>
          <w:p>
            <w:pPr>
              <w:pStyle w:val="22"/>
              <w:ind w:left="420" w:leftChars="200" w:firstLine="0" w:firstLineChars="0"/>
              <w:rPr>
                <w:color w:val="auto"/>
                <w:sz w:val="18"/>
                <w:szCs w:val="18"/>
                <w:highlight w:val="none"/>
              </w:rPr>
            </w:pPr>
            <w:r>
              <w:rPr>
                <w:rFonts w:hint="eastAsia"/>
                <w:color w:val="auto"/>
                <w:sz w:val="18"/>
                <w:szCs w:val="18"/>
                <w:highlight w:val="none"/>
              </w:rPr>
              <w:t>用NW4-0.1合金制造的、供应状态为热加工、厚度为70mm、宽度为500mm、长度为800mm</w:t>
            </w:r>
            <w:r>
              <w:rPr>
                <w:rFonts w:hint="eastAsia"/>
                <w:color w:val="auto"/>
                <w:sz w:val="18"/>
                <w:szCs w:val="18"/>
                <w:highlight w:val="none"/>
                <w:lang w:eastAsia="zh-CN"/>
              </w:rPr>
              <w:t>的</w:t>
            </w:r>
            <w:r>
              <w:rPr>
                <w:rFonts w:hint="eastAsia"/>
                <w:color w:val="auto"/>
                <w:sz w:val="18"/>
                <w:szCs w:val="18"/>
                <w:highlight w:val="none"/>
              </w:rPr>
              <w:t>锻件</w:t>
            </w:r>
            <w:r>
              <w:rPr>
                <w:rFonts w:hint="eastAsia"/>
                <w:color w:val="auto"/>
                <w:sz w:val="18"/>
                <w:szCs w:val="18"/>
                <w:highlight w:val="none"/>
                <w:lang w:eastAsia="zh-CN"/>
              </w:rPr>
              <w:t>，</w:t>
            </w:r>
            <w:r>
              <w:rPr>
                <w:rFonts w:hint="eastAsia"/>
                <w:color w:val="auto"/>
                <w:sz w:val="18"/>
                <w:szCs w:val="18"/>
                <w:highlight w:val="none"/>
              </w:rPr>
              <w:t>标记</w:t>
            </w:r>
            <w:r>
              <w:rPr>
                <w:rFonts w:hint="eastAsia"/>
                <w:color w:val="auto"/>
                <w:sz w:val="18"/>
                <w:szCs w:val="18"/>
                <w:highlight w:val="none"/>
                <w:lang w:val="en-US" w:eastAsia="zh-CN"/>
              </w:rPr>
              <w:t>为</w:t>
            </w:r>
            <w:r>
              <w:rPr>
                <w:rFonts w:hint="eastAsia"/>
                <w:color w:val="auto"/>
                <w:sz w:val="18"/>
                <w:szCs w:val="18"/>
                <w:highlight w:val="none"/>
              </w:rPr>
              <w:t>：</w:t>
            </w:r>
          </w:p>
          <w:p>
            <w:pPr>
              <w:pStyle w:val="22"/>
              <w:ind w:left="420" w:leftChars="200" w:firstLine="0" w:firstLineChars="0"/>
              <w:jc w:val="center"/>
              <w:rPr>
                <w:color w:val="auto"/>
                <w:highlight w:val="none"/>
              </w:rPr>
            </w:pPr>
            <w:r>
              <w:rPr>
                <w:rFonts w:hint="eastAsia"/>
                <w:color w:val="auto"/>
                <w:sz w:val="18"/>
                <w:szCs w:val="18"/>
                <w:highlight w:val="none"/>
              </w:rPr>
              <w:t>锻件 GB/T 26030</w:t>
            </w:r>
            <w:r>
              <w:rPr>
                <w:rFonts w:hint="eastAsia"/>
                <w:color w:val="auto"/>
                <w:sz w:val="18"/>
                <w:szCs w:val="18"/>
                <w:highlight w:val="none"/>
                <w:lang w:val="en-US" w:eastAsia="zh-CN"/>
              </w:rPr>
              <w:t>-</w:t>
            </w:r>
            <w:r>
              <w:rPr>
                <w:rFonts w:hint="eastAsia"/>
                <w:color w:val="auto"/>
                <w:sz w:val="18"/>
                <w:szCs w:val="18"/>
                <w:highlight w:val="none"/>
              </w:rPr>
              <w:t>NW4-0.1R</w:t>
            </w:r>
            <w:r>
              <w:rPr>
                <w:rFonts w:hint="eastAsia"/>
                <w:color w:val="auto"/>
                <w:sz w:val="18"/>
                <w:szCs w:val="18"/>
                <w:highlight w:val="none"/>
                <w:lang w:val="en-US" w:eastAsia="zh-CN"/>
              </w:rPr>
              <w:t>-</w:t>
            </w:r>
            <w:r>
              <w:rPr>
                <w:rFonts w:hint="eastAsia"/>
                <w:color w:val="auto"/>
                <w:sz w:val="18"/>
                <w:szCs w:val="18"/>
                <w:highlight w:val="none"/>
              </w:rPr>
              <w:t xml:space="preserve">70×500×800 </w:t>
            </w:r>
          </w:p>
        </w:tc>
      </w:tr>
    </w:tbl>
    <w:p>
      <w:pPr>
        <w:pStyle w:val="58"/>
        <w:spacing w:before="143" w:after="143"/>
        <w:ind w:right="0" w:rightChars="0"/>
        <w:rPr>
          <w:color w:val="auto"/>
          <w:highlight w:val="none"/>
        </w:rPr>
      </w:pPr>
      <w:r>
        <w:rPr>
          <w:rFonts w:hint="eastAsia"/>
          <w:color w:val="auto"/>
          <w:highlight w:val="none"/>
        </w:rPr>
        <w:t>5  技术要求</w:t>
      </w:r>
    </w:p>
    <w:p>
      <w:pPr>
        <w:pStyle w:val="59"/>
        <w:rPr>
          <w:color w:val="auto"/>
          <w:highlight w:val="none"/>
        </w:rPr>
      </w:pPr>
      <w:r>
        <w:rPr>
          <w:rFonts w:hint="eastAsia"/>
          <w:color w:val="auto"/>
          <w:highlight w:val="none"/>
        </w:rPr>
        <w:t>5.1  化学成分</w:t>
      </w:r>
    </w:p>
    <w:p>
      <w:pPr>
        <w:keepNext w:val="0"/>
        <w:keepLines w:val="0"/>
        <w:pageBreakBefore w:val="0"/>
        <w:widowControl w:val="0"/>
        <w:pBdr>
          <w:top w:val="none" w:color="auto" w:sz="0" w:space="1"/>
          <w:left w:val="none" w:color="auto" w:sz="0" w:space="4"/>
          <w:bottom w:val="none" w:color="auto" w:sz="0" w:space="1"/>
          <w:right w:val="single" w:color="auto" w:sz="4" w:space="8"/>
          <w:between w:val="none" w:color="auto" w:sz="0" w:space="0"/>
        </w:pBdr>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olor w:val="auto"/>
          <w:szCs w:val="21"/>
          <w:highlight w:val="none"/>
          <w:u w:val="single"/>
        </w:rPr>
      </w:pPr>
      <w:r>
        <w:rPr>
          <w:rFonts w:hint="eastAsia"/>
          <w:color w:val="auto"/>
          <w:szCs w:val="21"/>
          <w:highlight w:val="none"/>
        </w:rPr>
        <w:t>FeNi32Cr21Ti</w:t>
      </w:r>
      <w:r>
        <w:rPr>
          <w:rFonts w:hint="eastAsia"/>
          <w:color w:val="auto"/>
          <w:szCs w:val="21"/>
          <w:highlight w:val="none"/>
          <w:lang w:eastAsia="zh-CN"/>
        </w:rPr>
        <w:t>的</w:t>
      </w:r>
      <w:r>
        <w:rPr>
          <w:rFonts w:hint="eastAsia"/>
          <w:color w:val="auto"/>
          <w:szCs w:val="21"/>
          <w:highlight w:val="none"/>
          <w:lang w:val="en-US" w:eastAsia="zh-CN"/>
        </w:rPr>
        <w:t>化学成分符合表2规定，</w:t>
      </w:r>
      <w:r>
        <w:rPr>
          <w:rFonts w:hint="eastAsia"/>
          <w:color w:val="auto"/>
          <w:szCs w:val="21"/>
          <w:highlight w:val="none"/>
        </w:rPr>
        <w:t>NS1101</w:t>
      </w:r>
      <w:r>
        <w:rPr>
          <w:color w:val="auto"/>
          <w:szCs w:val="21"/>
          <w:highlight w:val="none"/>
        </w:rPr>
        <w:t>、</w:t>
      </w:r>
      <w:r>
        <w:rPr>
          <w:rFonts w:hint="eastAsia"/>
          <w:color w:val="auto"/>
          <w:szCs w:val="21"/>
          <w:highlight w:val="none"/>
        </w:rPr>
        <w:t>NS1102</w:t>
      </w:r>
      <w:r>
        <w:rPr>
          <w:color w:val="auto"/>
          <w:szCs w:val="21"/>
          <w:highlight w:val="none"/>
        </w:rPr>
        <w:t>、</w:t>
      </w:r>
      <w:r>
        <w:rPr>
          <w:rFonts w:hint="eastAsia"/>
          <w:color w:val="auto"/>
          <w:szCs w:val="21"/>
          <w:highlight w:val="none"/>
        </w:rPr>
        <w:t>NS1104</w:t>
      </w:r>
      <w:r>
        <w:rPr>
          <w:color w:val="auto"/>
          <w:szCs w:val="21"/>
          <w:highlight w:val="none"/>
        </w:rPr>
        <w:t>、</w:t>
      </w:r>
      <w:r>
        <w:rPr>
          <w:rFonts w:hint="eastAsia"/>
          <w:color w:val="auto"/>
          <w:szCs w:val="21"/>
          <w:highlight w:val="none"/>
        </w:rPr>
        <w:t>NS1403、</w:t>
      </w:r>
      <w:r>
        <w:rPr>
          <w:rFonts w:hint="eastAsia"/>
          <w:color w:val="auto"/>
          <w:szCs w:val="21"/>
          <w:highlight w:val="none"/>
          <w:lang w:val="en-US" w:eastAsia="zh-CN"/>
        </w:rPr>
        <w:t>NS3313</w:t>
      </w:r>
      <w:r>
        <w:rPr>
          <w:rFonts w:hint="eastAsia"/>
          <w:color w:val="auto"/>
          <w:szCs w:val="21"/>
          <w:highlight w:val="none"/>
        </w:rPr>
        <w:t>、NS</w:t>
      </w:r>
      <w:r>
        <w:rPr>
          <w:rFonts w:hint="eastAsia"/>
          <w:color w:val="auto"/>
          <w:szCs w:val="21"/>
          <w:highlight w:val="none"/>
          <w:lang w:eastAsia="zh-CN"/>
        </w:rPr>
        <w:t>3405</w:t>
      </w:r>
      <w:r>
        <w:rPr>
          <w:rFonts w:hint="eastAsia"/>
          <w:color w:val="auto"/>
          <w:szCs w:val="21"/>
          <w:highlight w:val="none"/>
        </w:rPr>
        <w:t>、</w:t>
      </w:r>
      <w:r>
        <w:rPr>
          <w:rFonts w:hint="eastAsia"/>
          <w:color w:val="auto"/>
          <w:szCs w:val="21"/>
          <w:highlight w:val="none"/>
          <w:lang w:val="en-US" w:eastAsia="zh-CN"/>
        </w:rPr>
        <w:t>NS1502</w:t>
      </w:r>
      <w:r>
        <w:rPr>
          <w:rFonts w:hint="eastAsia" w:ascii="宋体" w:hAnsi="宋体"/>
          <w:color w:val="auto"/>
          <w:szCs w:val="21"/>
          <w:highlight w:val="none"/>
          <w:u w:val="single"/>
        </w:rPr>
        <w:t>化学成分应符合</w:t>
      </w:r>
      <w:r>
        <w:rPr>
          <w:rFonts w:hint="eastAsia" w:ascii="宋体" w:hAnsi="宋体"/>
          <w:color w:val="auto"/>
          <w:szCs w:val="21"/>
          <w:highlight w:val="none"/>
          <w:u w:val="single"/>
          <w:lang w:val="en-US" w:eastAsia="zh-CN"/>
        </w:rPr>
        <w:t>GB/T 15007</w:t>
      </w:r>
      <w:r>
        <w:rPr>
          <w:rFonts w:hint="eastAsia" w:ascii="宋体" w:hAnsi="宋体"/>
          <w:color w:val="auto"/>
          <w:szCs w:val="21"/>
          <w:highlight w:val="none"/>
          <w:u w:val="single"/>
        </w:rPr>
        <w:t>的规定，其他牌号应符合GB/T 5235的规定。</w:t>
      </w:r>
    </w:p>
    <w:p>
      <w:pPr>
        <w:ind w:firstLine="420"/>
        <w:rPr>
          <w:rFonts w:hint="eastAsia" w:ascii="宋体" w:hAnsi="宋体"/>
          <w:color w:val="auto"/>
          <w:szCs w:val="21"/>
          <w:highlight w:val="none"/>
          <w:u w:val="single"/>
        </w:rPr>
      </w:pPr>
      <w:r>
        <w:rPr>
          <w:color w:val="auto"/>
          <w:sz w:val="21"/>
          <w:highlight w:val="none"/>
        </w:rPr>
        <mc:AlternateContent>
          <mc:Choice Requires="wps">
            <w:drawing>
              <wp:anchor distT="0" distB="0" distL="114300" distR="114300" simplePos="0" relativeHeight="251684864" behindDoc="0" locked="0" layoutInCell="1" allowOverlap="1">
                <wp:simplePos x="0" y="0"/>
                <wp:positionH relativeFrom="column">
                  <wp:posOffset>9022715</wp:posOffset>
                </wp:positionH>
                <wp:positionV relativeFrom="paragraph">
                  <wp:posOffset>99060</wp:posOffset>
                </wp:positionV>
                <wp:extent cx="8890" cy="4333875"/>
                <wp:effectExtent l="4445" t="0" r="5715" b="9525"/>
                <wp:wrapNone/>
                <wp:docPr id="30" name="直接连接符 30"/>
                <wp:cNvGraphicFramePr/>
                <a:graphic xmlns:a="http://schemas.openxmlformats.org/drawingml/2006/main">
                  <a:graphicData uri="http://schemas.microsoft.com/office/word/2010/wordprocessingShape">
                    <wps:wsp>
                      <wps:cNvCnPr/>
                      <wps:spPr>
                        <a:xfrm>
                          <a:off x="0" y="0"/>
                          <a:ext cx="8890" cy="4333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10.45pt;margin-top:7.8pt;height:341.25pt;width:0.7pt;z-index:251684864;mso-width-relative:page;mso-height-relative:page;" filled="f" stroked="t" coordsize="21600,21600" o:gfxdata="UEsDBAoAAAAAAIdO4kAAAAAAAAAAAAAAAAAEAAAAZHJzL1BLAwQUAAAACACHTuJAwHEsqNoAAAAM&#10;AQAADwAAAGRycy9kb3ducmV2LnhtbE2PTU/DMAyG70j8h8hIXKYtaTeqrTTdAeiNCwO0q9eYtqJJ&#10;uib7gF+Pdxo3v/Kj14+L9dn24khj6LzTkMwUCHK1N51rNHy8V9MliBDRGey9Iw0/FGBd3t4UmBt/&#10;cm903MRGcIkLOWpoYxxyKUPdksUw8wM53n350WLkODbSjHjictvLVKlMWuwcX2hxoKeW6u/NwWoI&#10;1Sftq99JPVHbeeMp3T+/vqDW93eJegQR6RyvMFz0WR1Kdtr5gzNB9JwXqVoxy9NDBuJCLNJ0DmKn&#10;IVstE5BlIf8/Uf4BUEsDBBQAAAAIAIdO4kA6dZ/n3AEAAJ8DAAAOAAAAZHJzL2Uyb0RvYy54bWyt&#10;U81uEzEQviPxDpbvZNOEQLrKpodG5YIgEvAAE69315L/5HGzyUvwAkjc4MSRO2/T8hiMvdu0lEsP&#10;7ME7np/P830ery4ORrO9DKicrfjZZMqZtMLVyrYV//Tx6sWSM4xga9DOyoofJfKL9fNnq96XcuY6&#10;p2sZGIFYLHtf8S5GXxYFik4awInz0lKwccFApG1oizpAT+hGF7Pp9FXRu1D74IREJO9mCPIRMTwF&#10;0DWNEnLjxLWRNg6oQWqIRAk75ZGvc7dNI0V83zQoI9MVJ6Yxr3QI2bu0FusVlG0A3ykxtgBPaeER&#10;JwPK0qEnqA1EYNdB/QNllAgOXRMnwpliIJIVIRZn00fafOjAy8yFpEZ/Eh3/H6x4t98GpuqKz0kS&#10;C4Zu/PbLz5vP337/+krr7Y/vjCIkU++xpOxLuw3jDv02JM6HJpj0JzbskKU9nqSVh8gEOZfLc8IX&#10;FHg5n8+XrxcJsriv9QHjG+kMS0bFtbKJOJSwf4txSL1LSW7rrpTW5IdSW9ZX/HwxWxA+0EA2NAhk&#10;Gk+k0LacgW5p0kUMGRGdVnWqTsUY2t2lDmwPaT7yNzb2V1o6egPYDXk5NKZpSzSSNIMYydq5+pg1&#10;yn66t0x0nLE0GA/3ufr+Xa3/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BxLKjaAAAADAEAAA8A&#10;AAAAAAAAAQAgAAAAIgAAAGRycy9kb3ducmV2LnhtbFBLAQIUABQAAAAIAIdO4kA6dZ/n3AEAAJ8D&#10;AAAOAAAAAAAAAAEAIAAAACkBAABkcnMvZTJvRG9jLnhtbFBLBQYAAAAABgAGAFkBAAB3BQAAAAA=&#10;">
                <v:fill on="f" focussize="0,0"/>
                <v:stroke color="#000000 [3213]" joinstyle="round"/>
                <v:imagedata o:title=""/>
                <o:lock v:ext="edit" aspectratio="f"/>
              </v:line>
            </w:pict>
          </mc:Fallback>
        </mc:AlternateContent>
      </w:r>
    </w:p>
    <w:p>
      <w:pPr>
        <w:jc w:val="center"/>
        <w:rPr>
          <w:rFonts w:hint="eastAsia" w:ascii="黑体" w:hAnsi="黑体" w:eastAsia="黑体" w:cs="MS PMincho"/>
          <w:color w:val="auto"/>
          <w:szCs w:val="21"/>
          <w:highlight w:val="none"/>
        </w:rPr>
      </w:pPr>
      <w:r>
        <w:rPr>
          <w:rFonts w:hint="eastAsia" w:ascii="黑体" w:hAnsi="黑体" w:eastAsia="黑体" w:cs="MS PMincho"/>
          <w:color w:val="auto"/>
          <w:szCs w:val="21"/>
          <w:highlight w:val="none"/>
        </w:rPr>
        <w:t>表</w:t>
      </w:r>
      <w:r>
        <w:rPr>
          <w:rFonts w:hint="eastAsia" w:ascii="黑体" w:hAnsi="黑体" w:eastAsia="黑体" w:cs="MS PMincho"/>
          <w:color w:val="auto"/>
          <w:szCs w:val="21"/>
          <w:highlight w:val="none"/>
          <w:lang w:val="en-US" w:eastAsia="zh-CN"/>
        </w:rPr>
        <w:t>2</w:t>
      </w:r>
      <w:r>
        <w:rPr>
          <w:rFonts w:hint="eastAsia" w:ascii="黑体" w:hAnsi="黑体" w:eastAsia="黑体" w:cs="MS PMincho"/>
          <w:color w:val="auto"/>
          <w:szCs w:val="21"/>
          <w:highlight w:val="none"/>
        </w:rPr>
        <w:t xml:space="preserve"> 镍及镍合金锻件化学成分</w:t>
      </w:r>
    </w:p>
    <w:tbl>
      <w:tblPr>
        <w:tblStyle w:val="16"/>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154"/>
        <w:gridCol w:w="577"/>
        <w:gridCol w:w="588"/>
        <w:gridCol w:w="1246"/>
        <w:gridCol w:w="750"/>
        <w:gridCol w:w="912"/>
        <w:gridCol w:w="888"/>
        <w:gridCol w:w="646"/>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pct"/>
            <w:vMerge w:val="restart"/>
            <w:tcBorders>
              <w:top w:val="single" w:color="auto" w:sz="12" w:space="0"/>
              <w:left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合金牌号</w:t>
            </w:r>
          </w:p>
        </w:tc>
        <w:tc>
          <w:tcPr>
            <w:tcW w:w="4306" w:type="pct"/>
            <w:gridSpan w:val="9"/>
            <w:tcBorders>
              <w:top w:val="single" w:color="auto" w:sz="12" w:space="0"/>
              <w:left w:val="single" w:color="auto" w:sz="6" w:space="0"/>
              <w:bottom w:val="single" w:color="auto" w:sz="6"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val="en-US" w:eastAsia="zh-CN"/>
              </w:rPr>
              <w:t>化学成分</w:t>
            </w:r>
            <w:r>
              <w:rPr>
                <w:rFonts w:hint="eastAsia" w:ascii="宋体" w:hAnsi="宋体"/>
                <w:color w:val="auto"/>
                <w:sz w:val="18"/>
                <w:szCs w:val="18"/>
                <w:highlight w:val="none"/>
                <w:vertAlign w:val="superscript"/>
                <w:lang w:val="en-US" w:eastAsia="zh-CN"/>
              </w:rPr>
              <w:t>a</w:t>
            </w:r>
            <w:r>
              <w:rPr>
                <w:rFonts w:hint="eastAsia" w:ascii="宋体" w:hAnsi="宋体"/>
                <w:color w:val="auto"/>
                <w:sz w:val="18"/>
                <w:szCs w:val="18"/>
                <w:highlight w:val="none"/>
                <w:lang w:eastAsia="zh-CN"/>
              </w:rPr>
              <w:t>（</w:t>
            </w:r>
            <w:r>
              <w:rPr>
                <w:rFonts w:hint="eastAsia" w:ascii="宋体" w:hAnsi="宋体"/>
                <w:color w:val="auto"/>
                <w:sz w:val="18"/>
                <w:szCs w:val="18"/>
                <w:highlight w:val="none"/>
              </w:rPr>
              <w:t>质量分数</w:t>
            </w:r>
            <w:r>
              <w:rPr>
                <w:rFonts w:hint="eastAsia" w:ascii="宋体" w:hAnsi="宋体"/>
                <w:color w:val="auto"/>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pct"/>
            <w:vMerge w:val="continue"/>
            <w:tcBorders>
              <w:left w:val="single" w:color="auto" w:sz="12" w:space="0"/>
              <w:bottom w:val="single" w:color="auto" w:sz="12" w:space="0"/>
              <w:right w:val="single" w:color="auto" w:sz="6" w:space="0"/>
            </w:tcBorders>
            <w:vAlign w:val="center"/>
          </w:tcPr>
          <w:p>
            <w:pPr>
              <w:jc w:val="center"/>
              <w:rPr>
                <w:rFonts w:hint="eastAsia" w:ascii="宋体" w:hAnsi="宋体"/>
                <w:color w:val="auto"/>
                <w:sz w:val="18"/>
                <w:szCs w:val="18"/>
                <w:highlight w:val="none"/>
              </w:rPr>
            </w:pPr>
          </w:p>
        </w:tc>
        <w:tc>
          <w:tcPr>
            <w:tcW w:w="603" w:type="pct"/>
            <w:tcBorders>
              <w:top w:val="single" w:color="auto" w:sz="6" w:space="0"/>
              <w:left w:val="single" w:color="auto" w:sz="6" w:space="0"/>
              <w:bottom w:val="single" w:color="auto" w:sz="12" w:space="0"/>
              <w:right w:val="single" w:color="auto" w:sz="6" w:space="0"/>
            </w:tcBorders>
            <w:vAlign w:val="center"/>
          </w:tcPr>
          <w:p>
            <w:pPr>
              <w:jc w:val="center"/>
              <w:rPr>
                <w:rFonts w:hint="eastAsia" w:ascii="宋体" w:hAnsi="宋体" w:eastAsia="宋体"/>
                <w:color w:val="auto"/>
                <w:sz w:val="18"/>
                <w:szCs w:val="18"/>
                <w:highlight w:val="none"/>
                <w:lang w:val="en-US" w:eastAsia="zh-CN"/>
              </w:rPr>
            </w:pPr>
            <w:r>
              <w:rPr>
                <w:rFonts w:hint="eastAsia" w:ascii="宋体" w:hAnsi="宋体"/>
                <w:color w:val="auto"/>
                <w:sz w:val="18"/>
                <w:szCs w:val="18"/>
                <w:highlight w:val="none"/>
              </w:rPr>
              <w:t>Ni</w:t>
            </w:r>
            <w:r>
              <w:rPr>
                <w:rFonts w:hint="eastAsia" w:ascii="宋体" w:hAnsi="宋体"/>
                <w:color w:val="auto"/>
                <w:sz w:val="18"/>
                <w:szCs w:val="18"/>
                <w:highlight w:val="none"/>
                <w:vertAlign w:val="superscript"/>
                <w:lang w:val="en-US" w:eastAsia="zh-CN"/>
              </w:rPr>
              <w:t>b</w:t>
            </w:r>
          </w:p>
        </w:tc>
        <w:tc>
          <w:tcPr>
            <w:tcW w:w="301" w:type="pct"/>
            <w:tcBorders>
              <w:top w:val="single" w:color="auto" w:sz="6"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Fe</w:t>
            </w:r>
          </w:p>
        </w:tc>
        <w:tc>
          <w:tcPr>
            <w:tcW w:w="307" w:type="pct"/>
            <w:tcBorders>
              <w:top w:val="single" w:color="auto" w:sz="6"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C</w:t>
            </w:r>
          </w:p>
        </w:tc>
        <w:tc>
          <w:tcPr>
            <w:tcW w:w="651" w:type="pct"/>
            <w:tcBorders>
              <w:top w:val="single" w:color="auto" w:sz="6"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Cr</w:t>
            </w:r>
          </w:p>
        </w:tc>
        <w:tc>
          <w:tcPr>
            <w:tcW w:w="392" w:type="pct"/>
            <w:tcBorders>
              <w:top w:val="single" w:color="auto" w:sz="6"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Cu</w:t>
            </w:r>
          </w:p>
        </w:tc>
        <w:tc>
          <w:tcPr>
            <w:tcW w:w="476" w:type="pct"/>
            <w:tcBorders>
              <w:top w:val="single" w:color="auto" w:sz="6"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Mn</w:t>
            </w:r>
          </w:p>
        </w:tc>
        <w:tc>
          <w:tcPr>
            <w:tcW w:w="464" w:type="pct"/>
            <w:tcBorders>
              <w:top w:val="single" w:color="auto" w:sz="6"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S</w:t>
            </w:r>
          </w:p>
        </w:tc>
        <w:tc>
          <w:tcPr>
            <w:tcW w:w="337" w:type="pct"/>
            <w:tcBorders>
              <w:top w:val="single" w:color="auto" w:sz="6"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Si</w:t>
            </w:r>
          </w:p>
        </w:tc>
        <w:tc>
          <w:tcPr>
            <w:tcW w:w="770" w:type="pct"/>
            <w:tcBorders>
              <w:top w:val="single" w:color="auto" w:sz="6" w:space="0"/>
              <w:left w:val="single" w:color="auto" w:sz="6" w:space="0"/>
              <w:bottom w:val="single" w:color="auto" w:sz="12"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pct"/>
            <w:tcBorders>
              <w:top w:val="single" w:color="auto" w:sz="6" w:space="0"/>
              <w:left w:val="single" w:color="auto" w:sz="12" w:space="0"/>
              <w:bottom w:val="single" w:color="auto" w:sz="6" w:space="0"/>
              <w:right w:val="single" w:color="auto" w:sz="6"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FeNi32Cr21Ti</w:t>
            </w:r>
          </w:p>
        </w:tc>
        <w:tc>
          <w:tcPr>
            <w:tcW w:w="603" w:type="pct"/>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30.0～34.0</w:t>
            </w:r>
          </w:p>
        </w:tc>
        <w:tc>
          <w:tcPr>
            <w:tcW w:w="301" w:type="pct"/>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余量</w:t>
            </w:r>
          </w:p>
        </w:tc>
        <w:tc>
          <w:tcPr>
            <w:tcW w:w="307" w:type="pct"/>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0.10</w:t>
            </w:r>
          </w:p>
        </w:tc>
        <w:tc>
          <w:tcPr>
            <w:tcW w:w="651" w:type="pct"/>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19.0～22.0</w:t>
            </w:r>
          </w:p>
        </w:tc>
        <w:tc>
          <w:tcPr>
            <w:tcW w:w="392" w:type="pct"/>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0.5</w:t>
            </w:r>
          </w:p>
        </w:tc>
        <w:tc>
          <w:tcPr>
            <w:tcW w:w="476" w:type="pct"/>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1.5</w:t>
            </w:r>
          </w:p>
        </w:tc>
        <w:tc>
          <w:tcPr>
            <w:tcW w:w="464" w:type="pct"/>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0.015</w:t>
            </w:r>
          </w:p>
        </w:tc>
        <w:tc>
          <w:tcPr>
            <w:tcW w:w="337" w:type="pct"/>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1.0</w:t>
            </w:r>
          </w:p>
        </w:tc>
        <w:tc>
          <w:tcPr>
            <w:tcW w:w="770" w:type="pct"/>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0.7～1.5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tcBorders>
              <w:top w:val="single" w:color="auto" w:sz="6" w:space="0"/>
              <w:left w:val="single" w:color="auto" w:sz="12" w:space="0"/>
              <w:bottom w:val="single" w:color="auto" w:sz="12" w:space="0"/>
              <w:right w:val="single" w:color="auto" w:sz="12" w:space="0"/>
            </w:tcBorders>
          </w:tcPr>
          <w:p>
            <w:pPr>
              <w:spacing w:line="240" w:lineRule="auto"/>
              <w:ind w:firstLine="360" w:firstLineChars="200"/>
              <w:rPr>
                <w:rFonts w:hint="eastAsia" w:ascii="宋体" w:hAnsi="宋体" w:eastAsia="宋体"/>
                <w:color w:val="auto"/>
                <w:sz w:val="18"/>
                <w:szCs w:val="18"/>
                <w:highlight w:val="none"/>
                <w:lang w:val="en-US" w:eastAsia="zh-CN"/>
              </w:rPr>
            </w:pPr>
            <w:r>
              <w:rPr>
                <w:rFonts w:hint="eastAsia" w:ascii="宋体" w:hAnsi="宋体"/>
                <w:color w:val="auto"/>
                <w:sz w:val="18"/>
                <w:szCs w:val="18"/>
                <w:highlight w:val="none"/>
                <w:vertAlign w:val="superscript"/>
                <w:lang w:val="en-US" w:eastAsia="zh-CN"/>
              </w:rPr>
              <w:t>a</w:t>
            </w:r>
            <w:r>
              <w:rPr>
                <w:rFonts w:hint="eastAsia" w:ascii="宋体" w:hAnsi="宋体"/>
                <w:color w:val="auto"/>
                <w:sz w:val="18"/>
                <w:szCs w:val="18"/>
                <w:highlight w:val="none"/>
              </w:rPr>
              <w:t>表中所列元素非范围值含量值均为杂质元素，其值为最大含量</w:t>
            </w:r>
            <w:r>
              <w:rPr>
                <w:rFonts w:hint="eastAsia" w:ascii="宋体" w:hAnsi="宋体"/>
                <w:color w:val="auto"/>
                <w:sz w:val="18"/>
                <w:szCs w:val="18"/>
                <w:highlight w:val="none"/>
                <w:lang w:eastAsia="zh-CN"/>
              </w:rPr>
              <w:t>；</w:t>
            </w:r>
          </w:p>
          <w:p>
            <w:pPr>
              <w:spacing w:line="240" w:lineRule="auto"/>
              <w:ind w:firstLine="360" w:firstLineChars="200"/>
              <w:rPr>
                <w:rFonts w:hint="eastAsia" w:ascii="宋体" w:hAnsi="宋体"/>
                <w:color w:val="auto"/>
                <w:sz w:val="18"/>
                <w:szCs w:val="18"/>
                <w:highlight w:val="none"/>
              </w:rPr>
            </w:pPr>
            <w:r>
              <w:rPr>
                <w:rFonts w:hint="eastAsia" w:ascii="宋体" w:hAnsi="宋体"/>
                <w:color w:val="auto"/>
                <w:sz w:val="18"/>
                <w:szCs w:val="18"/>
                <w:highlight w:val="none"/>
                <w:vertAlign w:val="superscript"/>
                <w:lang w:val="en-US" w:eastAsia="zh-CN"/>
              </w:rPr>
              <w:t>b</w:t>
            </w:r>
            <w:r>
              <w:rPr>
                <w:rFonts w:hint="eastAsia" w:ascii="宋体" w:hAnsi="宋体" w:eastAsia="宋体" w:cs="宋体"/>
                <w:color w:val="auto"/>
                <w:sz w:val="18"/>
                <w:szCs w:val="18"/>
                <w:highlight w:val="none"/>
                <w:vertAlign w:val="baseline"/>
                <w:lang w:val="en-US" w:eastAsia="zh-CN"/>
              </w:rPr>
              <w:t>此值为</w:t>
            </w:r>
            <w:r>
              <w:rPr>
                <w:rFonts w:hint="eastAsia" w:ascii="宋体" w:hAnsi="宋体" w:eastAsia="黑体"/>
                <w:color w:val="auto"/>
                <w:sz w:val="18"/>
                <w:szCs w:val="18"/>
                <w:highlight w:val="none"/>
                <w:vertAlign w:val="baseline"/>
                <w:lang w:val="en-US" w:eastAsia="zh-CN"/>
              </w:rPr>
              <w:t>Ni+</w:t>
            </w:r>
            <w:r>
              <w:rPr>
                <w:rFonts w:hint="eastAsia" w:ascii="宋体" w:hAnsi="宋体"/>
                <w:color w:val="auto"/>
                <w:sz w:val="18"/>
                <w:szCs w:val="18"/>
                <w:highlight w:val="none"/>
                <w:vertAlign w:val="baseline"/>
              </w:rPr>
              <w:t>C</w:t>
            </w:r>
            <w:r>
              <w:rPr>
                <w:rFonts w:hint="eastAsia" w:ascii="宋体" w:hAnsi="宋体"/>
                <w:color w:val="auto"/>
                <w:sz w:val="18"/>
                <w:szCs w:val="18"/>
                <w:highlight w:val="none"/>
              </w:rPr>
              <w:t>o</w:t>
            </w:r>
            <w:r>
              <w:rPr>
                <w:rFonts w:hint="eastAsia" w:ascii="宋体" w:hAnsi="宋体"/>
                <w:color w:val="auto"/>
                <w:sz w:val="18"/>
                <w:szCs w:val="18"/>
                <w:highlight w:val="none"/>
                <w:lang w:val="en-US" w:eastAsia="zh-CN"/>
              </w:rPr>
              <w:t>,且</w:t>
            </w:r>
            <w:r>
              <w:rPr>
                <w:rFonts w:hint="eastAsia" w:ascii="宋体" w:hAnsi="宋体"/>
                <w:color w:val="auto"/>
                <w:sz w:val="18"/>
                <w:szCs w:val="18"/>
                <w:highlight w:val="none"/>
                <w:vertAlign w:val="baseline"/>
              </w:rPr>
              <w:t>C</w:t>
            </w:r>
            <w:r>
              <w:rPr>
                <w:rFonts w:hint="eastAsia" w:ascii="宋体" w:hAnsi="宋体"/>
                <w:color w:val="auto"/>
                <w:sz w:val="18"/>
                <w:szCs w:val="18"/>
                <w:highlight w:val="none"/>
              </w:rPr>
              <w:t>o含量</w:t>
            </w:r>
            <w:r>
              <w:rPr>
                <w:rFonts w:hint="eastAsia" w:ascii="宋体" w:hAnsi="宋体"/>
                <w:color w:val="auto"/>
                <w:sz w:val="18"/>
                <w:szCs w:val="18"/>
                <w:highlight w:val="none"/>
                <w:lang w:val="en-US" w:eastAsia="zh-CN"/>
              </w:rPr>
              <w:t>不大于</w:t>
            </w:r>
            <w:r>
              <w:rPr>
                <w:rFonts w:hint="eastAsia" w:ascii="宋体" w:hAnsi="宋体"/>
                <w:color w:val="auto"/>
                <w:sz w:val="18"/>
                <w:szCs w:val="18"/>
                <w:highlight w:val="none"/>
              </w:rPr>
              <w:t>1.5%。</w:t>
            </w:r>
          </w:p>
        </w:tc>
      </w:tr>
    </w:tbl>
    <w:p>
      <w:pPr>
        <w:pStyle w:val="59"/>
        <w:rPr>
          <w:color w:val="auto"/>
          <w:highlight w:val="none"/>
        </w:rPr>
      </w:pPr>
      <w:r>
        <w:rPr>
          <w:rFonts w:hint="eastAsia"/>
          <w:color w:val="auto"/>
          <w:highlight w:val="none"/>
        </w:rPr>
        <w:t>5</w:t>
      </w:r>
      <w:r>
        <w:rPr>
          <w:color w:val="auto"/>
          <w:highlight w:val="none"/>
        </w:rPr>
        <w:t>.</w:t>
      </w:r>
      <w:r>
        <w:rPr>
          <w:rFonts w:hint="eastAsia"/>
          <w:color w:val="auto"/>
          <w:highlight w:val="none"/>
        </w:rPr>
        <w:t>2  外形尺寸及其允许偏差</w:t>
      </w:r>
    </w:p>
    <w:p>
      <w:pPr>
        <w:pStyle w:val="22"/>
        <w:ind w:firstLine="420" w:firstLineChars="200"/>
        <w:rPr>
          <w:rFonts w:hint="eastAsia" w:hAnsi="宋体"/>
          <w:color w:val="auto"/>
          <w:szCs w:val="21"/>
          <w:highlight w:val="none"/>
        </w:rPr>
      </w:pPr>
      <w:r>
        <w:rPr>
          <w:rFonts w:hint="eastAsia" w:hAnsi="宋体"/>
          <w:color w:val="auto"/>
          <w:szCs w:val="21"/>
          <w:highlight w:val="none"/>
        </w:rPr>
        <w:t>锻件的外形尺寸及其允许偏差应符合表</w:t>
      </w:r>
      <w:r>
        <w:rPr>
          <w:rFonts w:hint="eastAsia" w:hAnsi="宋体"/>
          <w:color w:val="auto"/>
          <w:szCs w:val="21"/>
          <w:highlight w:val="none"/>
          <w:lang w:val="en-US" w:eastAsia="zh-CN"/>
        </w:rPr>
        <w:t>3</w:t>
      </w:r>
      <w:r>
        <w:rPr>
          <w:rFonts w:hint="eastAsia" w:hAnsi="宋体"/>
          <w:color w:val="auto"/>
          <w:szCs w:val="21"/>
          <w:highlight w:val="none"/>
        </w:rPr>
        <w:t>的规定。</w:t>
      </w:r>
    </w:p>
    <w:p>
      <w:pPr>
        <w:spacing w:line="400" w:lineRule="exact"/>
        <w:jc w:val="center"/>
        <w:rPr>
          <w:rFonts w:hint="eastAsia" w:ascii="黑体" w:hAnsi="黑体" w:eastAsia="黑体" w:cs="MS PMincho"/>
          <w:color w:val="auto"/>
          <w:szCs w:val="21"/>
          <w:highlight w:val="none"/>
        </w:rPr>
      </w:pPr>
      <w:r>
        <w:rPr>
          <w:rFonts w:hint="eastAsia" w:ascii="黑体" w:hAnsi="黑体" w:eastAsia="黑体" w:cs="MS PMincho"/>
          <w:color w:val="auto"/>
          <w:szCs w:val="21"/>
          <w:highlight w:val="none"/>
        </w:rPr>
        <w:t>表</w:t>
      </w:r>
      <w:r>
        <w:rPr>
          <w:rFonts w:hint="eastAsia" w:ascii="黑体" w:hAnsi="黑体" w:eastAsia="黑体" w:cs="MS PMincho"/>
          <w:color w:val="auto"/>
          <w:szCs w:val="21"/>
          <w:highlight w:val="none"/>
          <w:lang w:val="en-US" w:eastAsia="zh-CN"/>
        </w:rPr>
        <w:t>3</w:t>
      </w:r>
      <w:r>
        <w:rPr>
          <w:rFonts w:hint="eastAsia" w:ascii="黑体" w:hAnsi="黑体" w:eastAsia="黑体" w:cs="MS PMincho"/>
          <w:color w:val="auto"/>
          <w:szCs w:val="21"/>
          <w:highlight w:val="none"/>
        </w:rPr>
        <w:t xml:space="preserve"> 锻件的外形尺寸及其允许偏差</w:t>
      </w:r>
    </w:p>
    <w:p>
      <w:pPr>
        <w:spacing w:line="400" w:lineRule="exact"/>
        <w:jc w:val="right"/>
        <w:rPr>
          <w:rFonts w:hint="eastAsia" w:ascii="宋体" w:hAnsi="宋体" w:cs="MS PMincho"/>
          <w:color w:val="auto"/>
          <w:szCs w:val="21"/>
          <w:highlight w:val="none"/>
        </w:rPr>
      </w:pPr>
      <w:r>
        <w:rPr>
          <w:rFonts w:hint="eastAsia" w:ascii="宋体" w:hAnsi="宋体" w:cs="MS PMincho"/>
          <w:color w:val="auto"/>
          <w:sz w:val="18"/>
          <w:szCs w:val="21"/>
          <w:highlight w:val="none"/>
        </w:rPr>
        <w:t>单位为毫米</w:t>
      </w:r>
    </w:p>
    <w:tbl>
      <w:tblPr>
        <w:tblStyle w:val="1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3"/>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99" w:type="pct"/>
            <w:tcBorders>
              <w:top w:val="single" w:color="auto" w:sz="12" w:space="0"/>
              <w:left w:val="single" w:color="auto" w:sz="12" w:space="0"/>
              <w:bottom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外形尺寸</w:t>
            </w:r>
          </w:p>
        </w:tc>
        <w:tc>
          <w:tcPr>
            <w:tcW w:w="2500" w:type="pct"/>
            <w:tcBorders>
              <w:top w:val="single" w:color="auto" w:sz="12" w:space="0"/>
              <w:bottom w:val="single" w:color="auto" w:sz="12"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允许偏差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Borders>
              <w:top w:val="single" w:color="auto" w:sz="12" w:space="0"/>
              <w:lef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≤30</w:t>
            </w:r>
          </w:p>
        </w:tc>
        <w:tc>
          <w:tcPr>
            <w:tcW w:w="2500" w:type="pct"/>
            <w:tcBorders>
              <w:top w:val="single" w:color="auto" w:sz="12"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+2</w:t>
            </w:r>
          </w:p>
          <w:p>
            <w:pPr>
              <w:jc w:val="center"/>
              <w:rPr>
                <w:rFonts w:hint="eastAsia" w:ascii="宋体" w:hAnsi="宋体"/>
                <w:color w:val="auto"/>
                <w:sz w:val="18"/>
                <w:szCs w:val="18"/>
                <w:highlight w:val="none"/>
              </w:rPr>
            </w:pPr>
            <w:r>
              <w:rPr>
                <w:rFonts w:hint="eastAsia" w:ascii="宋体" w:hAnsi="宋体"/>
                <w:color w:val="auto"/>
                <w:sz w:val="18"/>
                <w:szCs w:val="18"/>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499" w:type="pct"/>
            <w:tcBorders>
              <w:lef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＞30～50</w:t>
            </w:r>
          </w:p>
        </w:tc>
        <w:tc>
          <w:tcPr>
            <w:tcW w:w="2500" w:type="pct"/>
            <w:tcBorders>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w:t>
            </w:r>
          </w:p>
          <w:p>
            <w:pPr>
              <w:jc w:val="center"/>
              <w:rPr>
                <w:rFonts w:hint="eastAsia" w:ascii="宋体" w:hAnsi="宋体"/>
                <w:color w:val="auto"/>
                <w:sz w:val="18"/>
                <w:szCs w:val="18"/>
                <w:highlight w:val="none"/>
              </w:rPr>
            </w:pPr>
            <w:r>
              <w:rPr>
                <w:rFonts w:hint="eastAsia" w:ascii="宋体" w:hAnsi="宋体"/>
                <w:color w:val="auto"/>
                <w:sz w:val="18"/>
                <w:szCs w:val="18"/>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Borders>
              <w:lef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＞50～100</w:t>
            </w:r>
          </w:p>
        </w:tc>
        <w:tc>
          <w:tcPr>
            <w:tcW w:w="2500" w:type="pct"/>
            <w:tcBorders>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+8</w:t>
            </w:r>
          </w:p>
          <w:p>
            <w:pPr>
              <w:jc w:val="center"/>
              <w:rPr>
                <w:rFonts w:hint="eastAsia" w:ascii="宋体" w:hAnsi="宋体"/>
                <w:color w:val="auto"/>
                <w:sz w:val="18"/>
                <w:szCs w:val="18"/>
                <w:highlight w:val="none"/>
              </w:rPr>
            </w:pPr>
            <w:r>
              <w:rPr>
                <w:rFonts w:hint="eastAsia" w:ascii="宋体" w:hAnsi="宋体"/>
                <w:color w:val="auto"/>
                <w:sz w:val="18"/>
                <w:szCs w:val="18"/>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Borders>
              <w:lef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＞100～300</w:t>
            </w:r>
          </w:p>
        </w:tc>
        <w:tc>
          <w:tcPr>
            <w:tcW w:w="2500" w:type="pct"/>
            <w:tcBorders>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+15</w:t>
            </w:r>
          </w:p>
          <w:p>
            <w:pPr>
              <w:jc w:val="center"/>
              <w:rPr>
                <w:rFonts w:hint="eastAsia" w:ascii="宋体" w:hAnsi="宋体"/>
                <w:color w:val="auto"/>
                <w:sz w:val="18"/>
                <w:szCs w:val="18"/>
                <w:highlight w:val="none"/>
              </w:rPr>
            </w:pPr>
            <w:r>
              <w:rPr>
                <w:rFonts w:hint="eastAsia" w:ascii="宋体" w:hAnsi="宋体"/>
                <w:color w:val="auto"/>
                <w:sz w:val="18"/>
                <w:szCs w:val="18"/>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tcBorders>
              <w:left w:val="single" w:color="auto" w:sz="12" w:space="0"/>
              <w:bottom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＞300</w:t>
            </w:r>
          </w:p>
        </w:tc>
        <w:tc>
          <w:tcPr>
            <w:tcW w:w="2500" w:type="pct"/>
            <w:tcBorders>
              <w:bottom w:val="single" w:color="auto" w:sz="12"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+20</w:t>
            </w:r>
          </w:p>
          <w:p>
            <w:pPr>
              <w:jc w:val="center"/>
              <w:rPr>
                <w:rFonts w:hint="eastAsia" w:ascii="宋体" w:hAnsi="宋体"/>
                <w:color w:val="auto"/>
                <w:sz w:val="18"/>
                <w:szCs w:val="18"/>
                <w:highlight w:val="none"/>
              </w:rPr>
            </w:pPr>
            <w:r>
              <w:rPr>
                <w:rFonts w:hint="eastAsia" w:ascii="宋体" w:hAnsi="宋体"/>
                <w:color w:val="auto"/>
                <w:sz w:val="18"/>
                <w:szCs w:val="18"/>
                <w:highlight w:val="none"/>
              </w:rPr>
              <w:t>0</w:t>
            </w:r>
          </w:p>
        </w:tc>
      </w:tr>
    </w:tbl>
    <w:p>
      <w:pPr>
        <w:pStyle w:val="59"/>
        <w:rPr>
          <w:color w:val="auto"/>
          <w:highlight w:val="none"/>
        </w:rPr>
      </w:pPr>
      <w:r>
        <w:rPr>
          <w:rFonts w:hint="eastAsia"/>
          <w:color w:val="auto"/>
          <w:highlight w:val="none"/>
        </w:rPr>
        <w:t>5.</w:t>
      </w:r>
      <w:r>
        <w:rPr>
          <w:color w:val="auto"/>
          <w:highlight w:val="none"/>
        </w:rPr>
        <w:t>3</w:t>
      </w:r>
      <w:r>
        <w:rPr>
          <w:rFonts w:hint="eastAsia"/>
          <w:color w:val="auto"/>
          <w:highlight w:val="none"/>
        </w:rPr>
        <w:t xml:space="preserve">  室温力学性能</w:t>
      </w:r>
    </w:p>
    <w:p>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ascii="宋体" w:hAnsi="宋体"/>
          <w:color w:val="auto"/>
          <w:szCs w:val="21"/>
          <w:highlight w:val="none"/>
        </w:rPr>
      </w:pPr>
      <w:r>
        <w:rPr>
          <w:rFonts w:hint="eastAsia" w:ascii="宋体" w:hAnsi="宋体"/>
          <w:color w:val="auto"/>
          <w:szCs w:val="21"/>
          <w:highlight w:val="none"/>
        </w:rPr>
        <w:t>锻件的室温力学性能应符合表</w:t>
      </w:r>
      <w:r>
        <w:rPr>
          <w:rFonts w:hint="eastAsia" w:ascii="宋体" w:hAnsi="宋体"/>
          <w:color w:val="auto"/>
          <w:szCs w:val="21"/>
          <w:highlight w:val="none"/>
          <w:lang w:val="en-US" w:eastAsia="zh-CN"/>
        </w:rPr>
        <w:t>4</w:t>
      </w:r>
      <w:r>
        <w:rPr>
          <w:rFonts w:hint="eastAsia" w:ascii="宋体" w:hAnsi="宋体"/>
          <w:color w:val="auto"/>
          <w:szCs w:val="21"/>
          <w:highlight w:val="none"/>
        </w:rPr>
        <w:t>的规定。可热处理强化合金的推荐热处理制度如表</w:t>
      </w:r>
      <w:r>
        <w:rPr>
          <w:rFonts w:hint="eastAsia" w:ascii="宋体" w:hAnsi="宋体"/>
          <w:color w:val="auto"/>
          <w:szCs w:val="21"/>
          <w:highlight w:val="none"/>
          <w:lang w:val="en-US" w:eastAsia="zh-CN"/>
        </w:rPr>
        <w:t>7</w:t>
      </w:r>
      <w:r>
        <w:rPr>
          <w:rFonts w:hint="eastAsia" w:ascii="宋体" w:hAnsi="宋体"/>
          <w:color w:val="auto"/>
          <w:szCs w:val="21"/>
          <w:highlight w:val="none"/>
        </w:rPr>
        <w:t>所示。</w:t>
      </w:r>
    </w:p>
    <w:p>
      <w:pPr>
        <w:jc w:val="center"/>
        <w:rPr>
          <w:rFonts w:hint="eastAsia" w:ascii="黑体" w:hAnsi="黑体" w:eastAsia="黑体" w:cs="MS PMincho"/>
          <w:color w:val="auto"/>
          <w:szCs w:val="21"/>
          <w:highlight w:val="none"/>
        </w:rPr>
      </w:pPr>
      <w:r>
        <w:rPr>
          <w:rFonts w:hint="eastAsia" w:ascii="黑体" w:hAnsi="黑体" w:eastAsia="黑体" w:cs="MS PMincho"/>
          <w:color w:val="auto"/>
          <w:szCs w:val="21"/>
          <w:highlight w:val="none"/>
        </w:rPr>
        <w:t>表</w:t>
      </w:r>
      <w:r>
        <w:rPr>
          <w:rFonts w:hint="eastAsia" w:ascii="黑体" w:hAnsi="黑体" w:eastAsia="黑体" w:cs="MS PMincho"/>
          <w:color w:val="auto"/>
          <w:szCs w:val="21"/>
          <w:highlight w:val="none"/>
          <w:lang w:val="en-US" w:eastAsia="zh-CN"/>
        </w:rPr>
        <w:t>4</w:t>
      </w:r>
      <w:r>
        <w:rPr>
          <w:rFonts w:hint="eastAsia" w:ascii="黑体" w:hAnsi="黑体" w:eastAsia="黑体" w:cs="MS PMincho"/>
          <w:color w:val="auto"/>
          <w:szCs w:val="21"/>
          <w:highlight w:val="none"/>
        </w:rPr>
        <w:t xml:space="preserve">  锻件的室温力学性能</w:t>
      </w:r>
      <w:r>
        <w:rPr>
          <w:color w:val="auto"/>
          <w:sz w:val="21"/>
          <w:highlight w:val="none"/>
        </w:rPr>
        <mc:AlternateContent>
          <mc:Choice Requires="wps">
            <w:drawing>
              <wp:anchor distT="0" distB="0" distL="114300" distR="114300" simplePos="0" relativeHeight="251689984" behindDoc="0" locked="0" layoutInCell="1" allowOverlap="1">
                <wp:simplePos x="0" y="0"/>
                <wp:positionH relativeFrom="column">
                  <wp:posOffset>9632315</wp:posOffset>
                </wp:positionH>
                <wp:positionV relativeFrom="paragraph">
                  <wp:posOffset>708660</wp:posOffset>
                </wp:positionV>
                <wp:extent cx="8890" cy="4333875"/>
                <wp:effectExtent l="4445" t="0" r="5715" b="9525"/>
                <wp:wrapNone/>
                <wp:docPr id="33" name="直接连接符 33"/>
                <wp:cNvGraphicFramePr/>
                <a:graphic xmlns:a="http://schemas.openxmlformats.org/drawingml/2006/main">
                  <a:graphicData uri="http://schemas.microsoft.com/office/word/2010/wordprocessingShape">
                    <wps:wsp>
                      <wps:cNvCnPr/>
                      <wps:spPr>
                        <a:xfrm>
                          <a:off x="0" y="0"/>
                          <a:ext cx="8890" cy="4333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58.45pt;margin-top:55.8pt;height:341.25pt;width:0.7pt;z-index:251689984;mso-width-relative:page;mso-height-relative:page;" filled="f" stroked="t" coordsize="21600,21600" o:gfxdata="UEsDBAoAAAAAAIdO4kAAAAAAAAAAAAAAAAAEAAAAZHJzL1BLAwQUAAAACACHTuJAb16metoAAAAN&#10;AQAADwAAAGRycy9kb3ducmV2LnhtbE2PTU/DMAyG70j8h8hIXCaWZGNlK013AHrjwgBx9RrTVjRJ&#10;12Qf8OvxTnDzKz96/bhYn1wvDjTGLngDeqpAkK+D7Xxj4O21ulmCiAm9xT54MvBNEdbl5UWBuQ1H&#10;/0KHTWoEl/iYo4E2pSGXMtYtOYzTMJDn3WcYHSaOYyPtiEcud72cKZVJh53nCy0O9NBS/bXZOwOx&#10;eqdd9TOpJ+pj3gSa7R6fn9CY6yut7kEkOqU/GM76rA4lO23D3tsoes4Lna2Y5UnrDMQZWejlHMTW&#10;wN3qVoMsC/n/i/IXUEsDBBQAAAAIAIdO4kCfaF1V3AEAAJ8DAAAOAAAAZHJzL2Uyb0RvYy54bWyt&#10;U81uEzEQviPxDpbvZNOEQLrKpodG5YIgEvAAE69315L/5HGzyUvwAkjc4MSRO2/T8hiMvdu0lEsP&#10;7ME7np/P830ery4ORrO9DKicrfjZZMqZtMLVyrYV//Tx6sWSM4xga9DOyoofJfKL9fNnq96XcuY6&#10;p2sZGIFYLHtf8S5GXxYFik4awInz0lKwccFApG1oizpAT+hGF7Pp9FXRu1D74IREJO9mCPIRMTwF&#10;0DWNEnLjxLWRNg6oQWqIRAk75ZGvc7dNI0V83zQoI9MVJ6Yxr3QI2bu0FusVlG0A3ykxtgBPaeER&#10;JwPK0qEnqA1EYNdB/QNllAgOXRMnwpliIJIVIRZn00fafOjAy8yFpEZ/Eh3/H6x4t98GpuqKz+ec&#10;WTB047dfft58/vb711dab398ZxQhmXqPJWVf2m0Yd+i3IXE+NMGkP7Fhhyzt8SStPEQmyLlcnpPk&#10;ggIv5/P58vUiQRb3tT5gfCOdYcmouFY2EYcS9m8xDql3Kclt3ZXSmvxQasv6ip8vZgvCBxrIhgaB&#10;TOOJFNqWM9AtTbqIISOi06pO1akYQ7u71IHtIc1H/sbG/kpLR28AuyEvh8Y0bYlGkmYQI1k7Vx+z&#10;RtlP95aJjjOWBuPhPlffv6v1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9epnraAAAADQEAAA8A&#10;AAAAAAAAAQAgAAAAIgAAAGRycy9kb3ducmV2LnhtbFBLAQIUABQAAAAIAIdO4kCfaF1V3AEAAJ8D&#10;AAAOAAAAAAAAAAEAIAAAACkBAABkcnMvZTJvRG9jLnhtbFBLBQYAAAAABgAGAFkBAAB3BQAAAAA=&#10;">
                <v:fill on="f" focussize="0,0"/>
                <v:stroke color="#000000 [3213]" joinstyle="round"/>
                <v:imagedata o:title=""/>
                <o:lock v:ext="edit" aspectratio="f"/>
              </v:line>
            </w:pict>
          </mc:Fallback>
        </mc:AlternateContent>
      </w:r>
    </w:p>
    <w:tbl>
      <w:tblPr>
        <w:tblStyle w:val="16"/>
        <w:tblW w:w="4994"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Layout w:type="autofit"/>
        <w:tblCellMar>
          <w:top w:w="0" w:type="dxa"/>
          <w:left w:w="108" w:type="dxa"/>
          <w:bottom w:w="0" w:type="dxa"/>
          <w:right w:w="108" w:type="dxa"/>
        </w:tblCellMar>
      </w:tblPr>
      <w:tblGrid>
        <w:gridCol w:w="905"/>
        <w:gridCol w:w="1639"/>
        <w:gridCol w:w="2206"/>
        <w:gridCol w:w="1505"/>
        <w:gridCol w:w="1226"/>
        <w:gridCol w:w="1205"/>
        <w:gridCol w:w="874"/>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28" w:hRule="atLeast"/>
        </w:trPr>
        <w:tc>
          <w:tcPr>
            <w:tcW w:w="474" w:type="pct"/>
            <w:tcBorders>
              <w:bottom w:val="single" w:color="auto" w:sz="4" w:space="0"/>
              <w:right w:val="single" w:color="auto" w:sz="4" w:space="0"/>
            </w:tcBorders>
            <w:vAlign w:val="center"/>
          </w:tcPr>
          <w:p>
            <w:pPr>
              <w:jc w:val="center"/>
              <w:rPr>
                <w:rFonts w:hint="eastAsia"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类别</w:t>
            </w:r>
          </w:p>
        </w:tc>
        <w:tc>
          <w:tcPr>
            <w:tcW w:w="857" w:type="pct"/>
            <w:tcBorders>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牌号</w:t>
            </w:r>
          </w:p>
        </w:tc>
        <w:tc>
          <w:tcPr>
            <w:tcW w:w="1154" w:type="pct"/>
            <w:tcBorders>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状态</w:t>
            </w:r>
          </w:p>
        </w:tc>
        <w:tc>
          <w:tcPr>
            <w:tcW w:w="787" w:type="pct"/>
            <w:tcBorders>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外形尺寸</w:t>
            </w:r>
          </w:p>
          <w:p>
            <w:pPr>
              <w:jc w:val="center"/>
              <w:rPr>
                <w:rFonts w:hint="eastAsia" w:ascii="宋体" w:hAnsi="宋体"/>
                <w:color w:val="auto"/>
                <w:sz w:val="18"/>
                <w:szCs w:val="18"/>
                <w:highlight w:val="none"/>
              </w:rPr>
            </w:pPr>
            <w:r>
              <w:rPr>
                <w:rFonts w:hint="eastAsia" w:ascii="宋体" w:hAnsi="宋体"/>
                <w:color w:val="auto"/>
                <w:sz w:val="18"/>
                <w:szCs w:val="18"/>
                <w:highlight w:val="none"/>
              </w:rPr>
              <w:t>mm</w:t>
            </w:r>
          </w:p>
        </w:tc>
        <w:tc>
          <w:tcPr>
            <w:tcW w:w="641" w:type="pct"/>
            <w:tcBorders>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抗拉强度</w:t>
            </w:r>
            <w:r>
              <w:rPr>
                <w:rFonts w:hint="eastAsia" w:ascii="宋体" w:hAnsi="宋体"/>
                <w:i/>
                <w:iCs/>
                <w:color w:val="auto"/>
                <w:sz w:val="18"/>
                <w:szCs w:val="18"/>
                <w:highlight w:val="none"/>
              </w:rPr>
              <w:t>R</w:t>
            </w:r>
            <w:r>
              <w:rPr>
                <w:rFonts w:hint="eastAsia" w:ascii="宋体" w:hAnsi="宋体"/>
                <w:color w:val="auto"/>
                <w:sz w:val="18"/>
                <w:szCs w:val="18"/>
                <w:highlight w:val="none"/>
              </w:rPr>
              <w:t>m</w:t>
            </w:r>
          </w:p>
          <w:p>
            <w:pPr>
              <w:jc w:val="center"/>
              <w:rPr>
                <w:rFonts w:hint="eastAsia" w:ascii="宋体" w:hAnsi="宋体"/>
                <w:color w:val="auto"/>
                <w:sz w:val="18"/>
                <w:szCs w:val="18"/>
                <w:highlight w:val="none"/>
              </w:rPr>
            </w:pPr>
            <w:r>
              <w:rPr>
                <w:rFonts w:hint="eastAsia" w:ascii="宋体" w:hAnsi="宋体"/>
                <w:color w:val="auto"/>
                <w:sz w:val="18"/>
                <w:szCs w:val="18"/>
                <w:highlight w:val="none"/>
              </w:rPr>
              <w:t>N/mm</w:t>
            </w:r>
            <w:r>
              <w:rPr>
                <w:rFonts w:hint="eastAsia" w:ascii="宋体" w:hAnsi="宋体"/>
                <w:color w:val="auto"/>
                <w:sz w:val="18"/>
                <w:szCs w:val="18"/>
                <w:highlight w:val="none"/>
                <w:vertAlign w:val="superscript"/>
              </w:rPr>
              <w:t>2</w:t>
            </w:r>
            <w:r>
              <w:rPr>
                <w:rFonts w:hint="eastAsia" w:ascii="宋体" w:hAnsi="宋体"/>
                <w:color w:val="auto"/>
                <w:sz w:val="18"/>
                <w:szCs w:val="18"/>
                <w:highlight w:val="none"/>
              </w:rPr>
              <w:t>，不小于</w:t>
            </w:r>
          </w:p>
        </w:tc>
        <w:tc>
          <w:tcPr>
            <w:tcW w:w="630" w:type="pct"/>
            <w:tcBorders>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规定</w:t>
            </w:r>
            <w:r>
              <w:rPr>
                <w:rFonts w:hint="eastAsia" w:ascii="宋体" w:hAnsi="宋体"/>
                <w:color w:val="auto"/>
                <w:sz w:val="18"/>
                <w:szCs w:val="18"/>
                <w:highlight w:val="none"/>
                <w:lang w:val="en-US" w:eastAsia="zh-CN"/>
              </w:rPr>
              <w:t>塑性</w:t>
            </w:r>
            <w:r>
              <w:rPr>
                <w:rFonts w:hint="eastAsia" w:ascii="宋体" w:hAnsi="宋体"/>
                <w:color w:val="auto"/>
                <w:sz w:val="18"/>
                <w:szCs w:val="18"/>
                <w:highlight w:val="none"/>
              </w:rPr>
              <w:t>延伸强度</w:t>
            </w:r>
            <w:r>
              <w:rPr>
                <w:rFonts w:hint="eastAsia" w:ascii="宋体" w:hAnsi="宋体"/>
                <w:i/>
                <w:iCs/>
                <w:color w:val="auto"/>
                <w:sz w:val="18"/>
                <w:szCs w:val="18"/>
                <w:highlight w:val="none"/>
              </w:rPr>
              <w:t>R</w:t>
            </w:r>
            <w:r>
              <w:rPr>
                <w:rFonts w:hint="eastAsia" w:ascii="宋体" w:hAnsi="宋体"/>
                <w:i w:val="0"/>
                <w:iCs w:val="0"/>
                <w:color w:val="auto"/>
                <w:sz w:val="18"/>
                <w:szCs w:val="18"/>
                <w:highlight w:val="none"/>
                <w:vertAlign w:val="subscript"/>
              </w:rPr>
              <w:t>p</w:t>
            </w:r>
            <w:r>
              <w:rPr>
                <w:rFonts w:hint="eastAsia" w:ascii="宋体" w:hAnsi="宋体"/>
                <w:color w:val="auto"/>
                <w:sz w:val="18"/>
                <w:szCs w:val="18"/>
                <w:highlight w:val="none"/>
              </w:rPr>
              <w:t>0.2</w:t>
            </w:r>
          </w:p>
          <w:p>
            <w:pPr>
              <w:jc w:val="center"/>
              <w:rPr>
                <w:rFonts w:hint="eastAsia" w:ascii="宋体" w:hAnsi="宋体"/>
                <w:color w:val="auto"/>
                <w:sz w:val="18"/>
                <w:szCs w:val="18"/>
                <w:highlight w:val="none"/>
              </w:rPr>
            </w:pPr>
            <w:r>
              <w:rPr>
                <w:rFonts w:hint="eastAsia" w:ascii="宋体" w:hAnsi="宋体"/>
                <w:color w:val="auto"/>
                <w:sz w:val="18"/>
                <w:szCs w:val="18"/>
                <w:highlight w:val="none"/>
              </w:rPr>
              <w:t>N/mm</w:t>
            </w:r>
            <w:r>
              <w:rPr>
                <w:rFonts w:hint="eastAsia" w:ascii="宋体" w:hAnsi="宋体"/>
                <w:color w:val="auto"/>
                <w:sz w:val="18"/>
                <w:szCs w:val="18"/>
                <w:highlight w:val="none"/>
                <w:vertAlign w:val="superscript"/>
              </w:rPr>
              <w:t>2</w:t>
            </w:r>
            <w:r>
              <w:rPr>
                <w:rFonts w:hint="eastAsia" w:ascii="宋体" w:hAnsi="宋体"/>
                <w:color w:val="auto"/>
                <w:sz w:val="18"/>
                <w:szCs w:val="18"/>
                <w:highlight w:val="none"/>
              </w:rPr>
              <w:t>，不小于</w:t>
            </w:r>
          </w:p>
        </w:tc>
        <w:tc>
          <w:tcPr>
            <w:tcW w:w="453" w:type="pct"/>
            <w:tcBorders>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vertAlign w:val="subscript"/>
                <w:lang w:val="en-GB"/>
              </w:rPr>
            </w:pPr>
            <w:r>
              <w:rPr>
                <w:rFonts w:hint="eastAsia" w:ascii="宋体" w:hAnsi="宋体"/>
                <w:color w:val="auto"/>
                <w:sz w:val="18"/>
                <w:szCs w:val="18"/>
                <w:highlight w:val="none"/>
              </w:rPr>
              <w:t>伸长率</w:t>
            </w:r>
            <w:r>
              <w:rPr>
                <w:rFonts w:hint="eastAsia" w:ascii="宋体" w:hAnsi="宋体"/>
                <w:i/>
                <w:iCs/>
                <w:color w:val="auto"/>
                <w:sz w:val="18"/>
                <w:szCs w:val="18"/>
                <w:highlight w:val="none"/>
              </w:rPr>
              <w:t>A</w:t>
            </w:r>
            <w:r>
              <w:rPr>
                <w:rFonts w:ascii="宋体" w:hAnsi="宋体"/>
                <w:color w:val="auto"/>
                <w:sz w:val="18"/>
                <w:szCs w:val="18"/>
                <w:highlight w:val="none"/>
                <w:vertAlign w:val="subscript"/>
                <w:lang w:val="en-GB"/>
              </w:rPr>
              <w:t>50</w:t>
            </w:r>
          </w:p>
          <w:p>
            <w:pPr>
              <w:jc w:val="center"/>
              <w:rPr>
                <w:rFonts w:hint="eastAsia" w:ascii="宋体" w:hAnsi="宋体"/>
                <w:color w:val="auto"/>
                <w:sz w:val="18"/>
                <w:szCs w:val="18"/>
                <w:highlight w:val="none"/>
              </w:rPr>
            </w:pPr>
            <w:r>
              <w:rPr>
                <w:rFonts w:hint="eastAsia" w:ascii="宋体" w:hAnsi="宋体"/>
                <w:color w:val="auto"/>
                <w:sz w:val="18"/>
                <w:szCs w:val="18"/>
                <w:highlight w:val="none"/>
              </w:rPr>
              <w:t>%，不小于</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28" w:hRule="atLeast"/>
        </w:trPr>
        <w:tc>
          <w:tcPr>
            <w:tcW w:w="474" w:type="pct"/>
            <w:vMerge w:val="restart"/>
            <w:tcBorders>
              <w:top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纯镍</w:t>
            </w: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sz w:val="18"/>
                <w:szCs w:val="18"/>
                <w:highlight w:val="none"/>
              </w:rPr>
              <w:t>N5</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w:t>
            </w:r>
            <w:r>
              <w:rPr>
                <w:rFonts w:hint="eastAsia" w:ascii="宋体" w:hAnsi="宋体"/>
                <w:color w:val="auto"/>
                <w:sz w:val="18"/>
                <w:szCs w:val="18"/>
                <w:highlight w:val="none"/>
                <w:lang w:eastAsia="zh-CN"/>
              </w:rPr>
              <w:t>、</w:t>
            </w: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000000" w:sz="2"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340</w:t>
            </w:r>
          </w:p>
        </w:tc>
        <w:tc>
          <w:tcPr>
            <w:tcW w:w="630" w:type="pct"/>
            <w:tcBorders>
              <w:top w:val="single" w:color="auto" w:sz="4" w:space="0"/>
              <w:left w:val="single" w:color="auto" w:sz="4" w:space="0"/>
              <w:bottom w:val="single" w:color="000000" w:sz="2"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28" w:hRule="atLeast"/>
        </w:trPr>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857" w:type="pct"/>
            <w:vMerge w:val="restart"/>
            <w:tcBorders>
              <w:top w:val="single" w:color="auto" w:sz="4" w:space="0"/>
              <w:left w:val="single" w:color="auto" w:sz="4" w:space="0"/>
              <w:right w:val="single" w:color="auto" w:sz="4" w:space="0"/>
            </w:tcBorders>
            <w:vAlign w:val="center"/>
          </w:tcPr>
          <w:p>
            <w:pPr>
              <w:jc w:val="center"/>
              <w:rPr>
                <w:rFonts w:hint="eastAsia" w:ascii="宋体" w:hAnsi="宋体"/>
                <w:color w:val="0000FF"/>
                <w:sz w:val="18"/>
                <w:szCs w:val="18"/>
                <w:highlight w:val="none"/>
              </w:rPr>
            </w:pPr>
            <w:r>
              <w:rPr>
                <w:rFonts w:hint="eastAsia" w:ascii="宋体" w:hAnsi="宋体"/>
                <w:color w:val="0000FF"/>
                <w:sz w:val="18"/>
                <w:szCs w:val="18"/>
                <w:highlight w:val="none"/>
              </w:rPr>
              <w:t>N6</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0000FF"/>
                <w:kern w:val="2"/>
                <w:sz w:val="18"/>
                <w:szCs w:val="18"/>
                <w:highlight w:val="none"/>
                <w:lang w:val="en-US" w:eastAsia="zh-CN" w:bidi="ar-SA"/>
              </w:rPr>
            </w:pPr>
            <w:r>
              <w:rPr>
                <w:rFonts w:hint="eastAsia" w:ascii="宋体" w:hAnsi="宋体"/>
                <w:color w:val="0000FF"/>
                <w:sz w:val="18"/>
                <w:szCs w:val="18"/>
                <w:highlight w:val="none"/>
              </w:rPr>
              <w:t>热加工（R）</w:t>
            </w:r>
          </w:p>
        </w:tc>
        <w:tc>
          <w:tcPr>
            <w:tcW w:w="787" w:type="pct"/>
            <w:tcBorders>
              <w:top w:val="single" w:color="auto" w:sz="4" w:space="0"/>
              <w:left w:val="single" w:color="auto" w:sz="4" w:space="0"/>
              <w:bottom w:val="single" w:color="auto" w:sz="4" w:space="0"/>
              <w:right w:val="single" w:color="000000" w:sz="2" w:space="0"/>
            </w:tcBorders>
            <w:vAlign w:val="center"/>
          </w:tcPr>
          <w:p>
            <w:pPr>
              <w:jc w:val="center"/>
              <w:rPr>
                <w:rFonts w:hint="eastAsia" w:ascii="宋体" w:hAnsi="宋体" w:eastAsia="宋体" w:cs="Times New Roman"/>
                <w:color w:val="0000FF"/>
                <w:kern w:val="2"/>
                <w:sz w:val="18"/>
                <w:szCs w:val="18"/>
                <w:highlight w:val="none"/>
                <w:lang w:val="en-US" w:eastAsia="zh-CN" w:bidi="ar-SA"/>
              </w:rPr>
            </w:pPr>
            <w:r>
              <w:rPr>
                <w:rFonts w:hint="eastAsia" w:ascii="宋体" w:hAnsi="宋体"/>
                <w:color w:val="0000FF"/>
                <w:sz w:val="18"/>
                <w:szCs w:val="18"/>
                <w:highlight w:val="none"/>
              </w:rPr>
              <w:t>所有</w:t>
            </w:r>
          </w:p>
        </w:tc>
        <w:tc>
          <w:tcPr>
            <w:tcW w:w="641" w:type="pct"/>
            <w:tcBorders>
              <w:top w:val="single" w:color="000000" w:sz="2" w:space="0"/>
              <w:left w:val="single" w:color="000000" w:sz="2" w:space="0"/>
              <w:bottom w:val="single" w:color="000000" w:sz="2" w:space="0"/>
              <w:right w:val="single" w:color="000000" w:sz="2" w:space="0"/>
            </w:tcBorders>
            <w:vAlign w:val="center"/>
          </w:tcPr>
          <w:p>
            <w:pPr>
              <w:jc w:val="center"/>
              <w:rPr>
                <w:rFonts w:hint="default" w:ascii="宋体" w:hAnsi="宋体" w:eastAsia="宋体" w:cs="Times New Roman"/>
                <w:color w:val="0000FF"/>
                <w:kern w:val="2"/>
                <w:sz w:val="18"/>
                <w:szCs w:val="18"/>
                <w:highlight w:val="yellow"/>
                <w:lang w:val="en-US" w:eastAsia="zh-CN" w:bidi="ar-SA"/>
              </w:rPr>
            </w:pPr>
            <w:r>
              <w:rPr>
                <w:rFonts w:hint="eastAsia" w:ascii="宋体" w:hAnsi="宋体" w:eastAsia="宋体" w:cs="Times New Roman"/>
                <w:color w:val="0000FF"/>
                <w:kern w:val="2"/>
                <w:sz w:val="18"/>
                <w:szCs w:val="18"/>
                <w:highlight w:val="yellow"/>
                <w:lang w:val="en-US" w:eastAsia="zh-CN" w:bidi="ar-SA"/>
              </w:rPr>
              <w:t>3</w:t>
            </w:r>
            <w:r>
              <w:rPr>
                <w:rFonts w:hint="eastAsia" w:ascii="宋体" w:hAnsi="宋体" w:cs="Times New Roman"/>
                <w:color w:val="0000FF"/>
                <w:kern w:val="2"/>
                <w:sz w:val="18"/>
                <w:szCs w:val="18"/>
                <w:highlight w:val="yellow"/>
                <w:lang w:val="en-US" w:eastAsia="zh-CN" w:bidi="ar-SA"/>
              </w:rPr>
              <w:t>45</w:t>
            </w:r>
          </w:p>
        </w:tc>
        <w:tc>
          <w:tcPr>
            <w:tcW w:w="630" w:type="pct"/>
            <w:tcBorders>
              <w:top w:val="single" w:color="000000" w:sz="2" w:space="0"/>
              <w:left w:val="single" w:color="000000" w:sz="2" w:space="0"/>
              <w:bottom w:val="single" w:color="000000" w:sz="2" w:space="0"/>
              <w:right w:val="single" w:color="000000" w:sz="2" w:space="0"/>
            </w:tcBorders>
            <w:vAlign w:val="center"/>
          </w:tcPr>
          <w:p>
            <w:pPr>
              <w:jc w:val="center"/>
              <w:rPr>
                <w:rFonts w:hint="eastAsia" w:ascii="宋体" w:hAnsi="宋体" w:eastAsia="宋体" w:cs="Times New Roman"/>
                <w:color w:val="0000FF"/>
                <w:kern w:val="2"/>
                <w:sz w:val="18"/>
                <w:szCs w:val="18"/>
                <w:highlight w:val="yellow"/>
                <w:lang w:val="en-US" w:eastAsia="zh-CN" w:bidi="ar-SA"/>
              </w:rPr>
            </w:pPr>
            <w:r>
              <w:rPr>
                <w:rFonts w:hint="eastAsia" w:ascii="宋体" w:hAnsi="宋体" w:eastAsia="宋体" w:cs="Times New Roman"/>
                <w:color w:val="0000FF"/>
                <w:kern w:val="2"/>
                <w:sz w:val="18"/>
                <w:szCs w:val="18"/>
                <w:highlight w:val="yellow"/>
                <w:lang w:val="en-US" w:eastAsia="zh-CN" w:bidi="ar-SA"/>
              </w:rPr>
              <w:t>100</w:t>
            </w:r>
          </w:p>
        </w:tc>
        <w:tc>
          <w:tcPr>
            <w:tcW w:w="453" w:type="pct"/>
            <w:tcBorders>
              <w:top w:val="single" w:color="auto" w:sz="4" w:space="0"/>
              <w:left w:val="single" w:color="000000" w:sz="2" w:space="0"/>
              <w:bottom w:val="single" w:color="auto" w:sz="4" w:space="0"/>
              <w:right w:val="single" w:color="auto" w:sz="12" w:space="0"/>
            </w:tcBorders>
            <w:vAlign w:val="center"/>
          </w:tcPr>
          <w:p>
            <w:pPr>
              <w:jc w:val="center"/>
              <w:rPr>
                <w:rFonts w:hint="eastAsia" w:ascii="宋体" w:hAnsi="宋体" w:eastAsia="宋体" w:cs="Times New Roman"/>
                <w:color w:val="0000FF"/>
                <w:kern w:val="2"/>
                <w:sz w:val="18"/>
                <w:szCs w:val="18"/>
                <w:highlight w:val="yellow"/>
                <w:lang w:val="en-US" w:eastAsia="zh-CN" w:bidi="ar-SA"/>
              </w:rPr>
            </w:pPr>
            <w:r>
              <w:rPr>
                <w:rFonts w:hint="eastAsia" w:ascii="宋体" w:hAnsi="宋体" w:eastAsia="宋体" w:cs="Times New Roman"/>
                <w:color w:val="0000FF"/>
                <w:kern w:val="2"/>
                <w:sz w:val="18"/>
                <w:szCs w:val="18"/>
                <w:highlight w:val="yellow"/>
                <w:lang w:val="en-US" w:eastAsia="zh-CN" w:bidi="ar-SA"/>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28" w:hRule="atLeast"/>
        </w:trPr>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857" w:type="pct"/>
            <w:vMerge w:val="continue"/>
            <w:tcBorders>
              <w:left w:val="single" w:color="auto" w:sz="4" w:space="0"/>
              <w:bottom w:val="single" w:color="auto" w:sz="4" w:space="0"/>
              <w:right w:val="single" w:color="auto" w:sz="4" w:space="0"/>
            </w:tcBorders>
            <w:vAlign w:val="center"/>
          </w:tcPr>
          <w:p>
            <w:pPr>
              <w:jc w:val="center"/>
              <w:rPr>
                <w:rFonts w:hint="eastAsia" w:ascii="宋体" w:hAnsi="宋体"/>
                <w:color w:val="0000FF"/>
                <w:sz w:val="18"/>
                <w:szCs w:val="18"/>
                <w:highlight w:val="none"/>
              </w:rPr>
            </w:pP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FF"/>
                <w:sz w:val="18"/>
                <w:szCs w:val="18"/>
                <w:highlight w:val="none"/>
              </w:rPr>
            </w:pPr>
            <w:r>
              <w:rPr>
                <w:rFonts w:hint="eastAsia" w:ascii="宋体" w:hAnsi="宋体"/>
                <w:color w:val="0000FF"/>
                <w:sz w:val="18"/>
                <w:szCs w:val="18"/>
                <w:highlight w:val="none"/>
              </w:rPr>
              <w:t>退火（M）</w:t>
            </w:r>
          </w:p>
        </w:tc>
        <w:tc>
          <w:tcPr>
            <w:tcW w:w="787" w:type="pct"/>
            <w:tcBorders>
              <w:top w:val="single" w:color="auto" w:sz="4" w:space="0"/>
              <w:left w:val="single" w:color="auto" w:sz="4" w:space="0"/>
              <w:bottom w:val="single" w:color="auto" w:sz="4" w:space="0"/>
              <w:right w:val="single" w:color="000000" w:sz="2" w:space="0"/>
            </w:tcBorders>
            <w:vAlign w:val="center"/>
          </w:tcPr>
          <w:p>
            <w:pPr>
              <w:jc w:val="center"/>
              <w:rPr>
                <w:rFonts w:hint="eastAsia" w:ascii="宋体" w:hAnsi="宋体"/>
                <w:color w:val="0000FF"/>
                <w:sz w:val="18"/>
                <w:szCs w:val="18"/>
                <w:highlight w:val="none"/>
              </w:rPr>
            </w:pPr>
            <w:r>
              <w:rPr>
                <w:rFonts w:hint="eastAsia" w:ascii="宋体" w:hAnsi="宋体"/>
                <w:color w:val="0000FF"/>
                <w:sz w:val="18"/>
                <w:szCs w:val="18"/>
                <w:highlight w:val="none"/>
              </w:rPr>
              <w:t>所有</w:t>
            </w:r>
          </w:p>
        </w:tc>
        <w:tc>
          <w:tcPr>
            <w:tcW w:w="641" w:type="pct"/>
            <w:tcBorders>
              <w:top w:val="single" w:color="000000" w:sz="2" w:space="0"/>
              <w:left w:val="single" w:color="000000" w:sz="2" w:space="0"/>
              <w:bottom w:val="single" w:color="000000" w:sz="2" w:space="0"/>
              <w:right w:val="single" w:color="000000" w:sz="2" w:space="0"/>
            </w:tcBorders>
            <w:vAlign w:val="center"/>
          </w:tcPr>
          <w:p>
            <w:pPr>
              <w:jc w:val="center"/>
              <w:rPr>
                <w:rFonts w:hint="eastAsia" w:ascii="宋体" w:hAnsi="宋体" w:eastAsia="宋体" w:cs="Times New Roman"/>
                <w:color w:val="0000FF"/>
                <w:kern w:val="2"/>
                <w:sz w:val="18"/>
                <w:szCs w:val="18"/>
                <w:highlight w:val="none"/>
                <w:lang w:val="en-US" w:eastAsia="zh-CN" w:bidi="ar-SA"/>
              </w:rPr>
            </w:pPr>
            <w:r>
              <w:rPr>
                <w:rFonts w:hint="default" w:ascii="宋体" w:hAnsi="宋体" w:eastAsia="宋体" w:cs="Times New Roman"/>
                <w:color w:val="0000FF"/>
                <w:kern w:val="2"/>
                <w:sz w:val="18"/>
                <w:szCs w:val="18"/>
                <w:highlight w:val="none"/>
                <w:lang w:val="en-US" w:eastAsia="zh-CN" w:bidi="ar-SA"/>
              </w:rPr>
              <w:t>345</w:t>
            </w:r>
          </w:p>
        </w:tc>
        <w:tc>
          <w:tcPr>
            <w:tcW w:w="630" w:type="pct"/>
            <w:tcBorders>
              <w:top w:val="single" w:color="000000" w:sz="2" w:space="0"/>
              <w:left w:val="single" w:color="000000" w:sz="2" w:space="0"/>
              <w:bottom w:val="single" w:color="000000" w:sz="2" w:space="0"/>
              <w:right w:val="single" w:color="000000" w:sz="2" w:space="0"/>
            </w:tcBorders>
            <w:vAlign w:val="center"/>
          </w:tcPr>
          <w:p>
            <w:pPr>
              <w:jc w:val="center"/>
              <w:rPr>
                <w:rFonts w:hint="eastAsia" w:ascii="宋体" w:hAnsi="宋体" w:eastAsia="宋体" w:cs="Times New Roman"/>
                <w:color w:val="0000FF"/>
                <w:kern w:val="2"/>
                <w:sz w:val="18"/>
                <w:szCs w:val="18"/>
                <w:highlight w:val="none"/>
                <w:lang w:val="en-US" w:eastAsia="zh-CN" w:bidi="ar-SA"/>
              </w:rPr>
            </w:pPr>
            <w:r>
              <w:rPr>
                <w:rFonts w:hint="default" w:ascii="宋体" w:hAnsi="宋体" w:eastAsia="宋体" w:cs="Times New Roman"/>
                <w:color w:val="0000FF"/>
                <w:kern w:val="2"/>
                <w:sz w:val="18"/>
                <w:szCs w:val="18"/>
                <w:highlight w:val="none"/>
                <w:lang w:val="en-US" w:eastAsia="zh-CN" w:bidi="ar-SA"/>
              </w:rPr>
              <w:t>100</w:t>
            </w:r>
          </w:p>
        </w:tc>
        <w:tc>
          <w:tcPr>
            <w:tcW w:w="453" w:type="pct"/>
            <w:tcBorders>
              <w:top w:val="single" w:color="auto" w:sz="4" w:space="0"/>
              <w:left w:val="single" w:color="000000" w:sz="2" w:space="0"/>
              <w:bottom w:val="single" w:color="auto" w:sz="4" w:space="0"/>
              <w:right w:val="single" w:color="auto" w:sz="12" w:space="0"/>
            </w:tcBorders>
            <w:vAlign w:val="center"/>
          </w:tcPr>
          <w:p>
            <w:pPr>
              <w:jc w:val="center"/>
              <w:rPr>
                <w:rFonts w:hint="eastAsia" w:ascii="宋体" w:hAnsi="宋体" w:eastAsia="宋体" w:cs="Times New Roman"/>
                <w:color w:val="0000FF"/>
                <w:kern w:val="2"/>
                <w:sz w:val="18"/>
                <w:szCs w:val="18"/>
                <w:highlight w:val="none"/>
                <w:lang w:val="en-US" w:eastAsia="zh-CN" w:bidi="ar-SA"/>
              </w:rPr>
            </w:pPr>
            <w:r>
              <w:rPr>
                <w:rFonts w:hint="default" w:ascii="宋体" w:hAnsi="宋体" w:eastAsia="宋体" w:cs="Times New Roman"/>
                <w:color w:val="0000FF"/>
                <w:kern w:val="2"/>
                <w:sz w:val="18"/>
                <w:szCs w:val="18"/>
                <w:highlight w:val="none"/>
                <w:lang w:val="en-US" w:eastAsia="zh-CN" w:bidi="ar-SA"/>
              </w:rPr>
              <w:t>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28" w:hRule="atLeast"/>
        </w:trPr>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N7</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000000" w:sz="2"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410</w:t>
            </w:r>
          </w:p>
        </w:tc>
        <w:tc>
          <w:tcPr>
            <w:tcW w:w="630" w:type="pct"/>
            <w:tcBorders>
              <w:top w:val="single" w:color="000000" w:sz="2"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28" w:hRule="atLeast"/>
        </w:trPr>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380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28" w:hRule="atLeast"/>
        </w:trPr>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DN</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28" w:hRule="atLeast"/>
        </w:trPr>
        <w:tc>
          <w:tcPr>
            <w:tcW w:w="474" w:type="pct"/>
            <w:vMerge w:val="restart"/>
            <w:tcBorders>
              <w:top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阳极镍</w:t>
            </w: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NY1</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28" w:hRule="atLeast"/>
        </w:trPr>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NY2</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28" w:hRule="atLeast"/>
        </w:trPr>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bookmarkStart w:id="1" w:name="OLE_LINK1" w:colFirst="2" w:colLast="4"/>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NY3</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bookmarkEnd w:id="1"/>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90" w:hRule="atLeast"/>
        </w:trPr>
        <w:tc>
          <w:tcPr>
            <w:tcW w:w="474" w:type="pct"/>
            <w:vMerge w:val="restart"/>
            <w:tcBorders>
              <w:top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镍铜系</w:t>
            </w: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NCu40-2-1</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28" w:hRule="atLeast"/>
        </w:trPr>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lang w:val="en-US" w:eastAsia="zh-CN"/>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NCu28-2.5-1.5</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NCu30</w:t>
            </w:r>
          </w:p>
        </w:tc>
        <w:tc>
          <w:tcPr>
            <w:tcW w:w="1154"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热加工和消除应力（R）</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＞100～300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550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275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90" w:hRule="atLeast"/>
        </w:trPr>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520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275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480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170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NiCu30-LC</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430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160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NCu30-3-0.5</w:t>
            </w:r>
            <w:r>
              <w:rPr>
                <w:rFonts w:hint="eastAsia" w:ascii="宋体" w:hAnsi="宋体"/>
                <w:color w:val="auto"/>
                <w:sz w:val="18"/>
                <w:szCs w:val="18"/>
                <w:highlight w:val="none"/>
                <w:vertAlign w:val="superscript"/>
              </w:rPr>
              <w:t>a</w:t>
            </w:r>
          </w:p>
        </w:tc>
        <w:tc>
          <w:tcPr>
            <w:tcW w:w="1154"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热加工和时效（RS）</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970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690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830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550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固溶和时效（CS）</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≤25</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900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620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＞25～100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900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585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＞100～300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830</w:t>
            </w:r>
            <w:r>
              <w:rPr>
                <w:color w:val="auto"/>
                <w:sz w:val="18"/>
                <w:szCs w:val="18"/>
                <w:highlight w:val="none"/>
              </w:rPr>
              <mc:AlternateContent>
                <mc:Choice Requires="wps">
                  <w:drawing>
                    <wp:anchor distT="0" distB="0" distL="114300" distR="114300" simplePos="0" relativeHeight="251686912" behindDoc="0" locked="0" layoutInCell="1" allowOverlap="1">
                      <wp:simplePos x="0" y="0"/>
                      <wp:positionH relativeFrom="column">
                        <wp:posOffset>5208905</wp:posOffset>
                      </wp:positionH>
                      <wp:positionV relativeFrom="paragraph">
                        <wp:posOffset>-4319270</wp:posOffset>
                      </wp:positionV>
                      <wp:extent cx="8890" cy="4333875"/>
                      <wp:effectExtent l="4445" t="0" r="5715" b="9525"/>
                      <wp:wrapNone/>
                      <wp:docPr id="26" name="直接连接符 26"/>
                      <wp:cNvGraphicFramePr/>
                      <a:graphic xmlns:a="http://schemas.openxmlformats.org/drawingml/2006/main">
                        <a:graphicData uri="http://schemas.microsoft.com/office/word/2010/wordprocessingShape">
                          <wps:wsp>
                            <wps:cNvCnPr/>
                            <wps:spPr>
                              <a:xfrm>
                                <a:off x="0" y="0"/>
                                <a:ext cx="8890" cy="4333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10.15pt;margin-top:-340.1pt;height:341.25pt;width:0.7pt;z-index:251686912;mso-width-relative:page;mso-height-relative:page;" filled="f" stroked="t" coordsize="21600,21600" o:gfxdata="UEsDBAoAAAAAAIdO4kAAAAAAAAAAAAAAAAAEAAAAZHJzL1BLAwQUAAAACACHTuJAj75H59gAAAAK&#10;AQAADwAAAGRycy9kb3ducmV2LnhtbE2Py07DMBBF90j8gzVIbKrWjiOVKMTpAsiODaWI7TQekoh4&#10;nMbuA74es4Ll6B7de6baXNwoTjSHwbOBbKVAELfeDtwZ2L02ywJEiMgWR89k4IsCbOrrqwpL68/8&#10;Qqdt7EQq4VCigT7GqZQytD05DCs/Eafsw88OYzrnTtoZz6ncjVIrtZYOB04LPU700FP7uT06A6F5&#10;o0PzvWgX6j3vPOnD4/MTGnN7k6l7EJEu8Q+GX/2kDnVy2vsj2yBGA4VWeUINLNeF0iASUujsDsTe&#10;gM5B1pX8/0L9A1BLAwQUAAAACACHTuJA58RvO9wBAACfAwAADgAAAGRycy9lMm9Eb2MueG1srVPN&#10;bhMxEL4j8Q6W72TThJR0lU0PjcoFQSToA0y83l1L/pPHzSYvwQsgcYMTR+68DeUxGHu3KZRLD+zB&#10;O56fz/N9Hq8uD0azvQyonK342WTKmbTC1cq2Fb/5cP1iyRlGsDVoZ2XFjxL55fr5s1XvSzlzndO1&#10;DIxALJa9r3gXoy+LAkUnDeDEeWkp2LhgINI2tEUdoCd0o4vZdHpe9C7UPjghEcm7GYJ8RAxPAXRN&#10;o4TcOHFrpI0DapAaIlHCTnnk69xt00gR3zUNysh0xYlpzCsdQvYurcV6BWUbwHdKjC3AU1p4xMmA&#10;snToCWoDEdhtUP9AGSWCQ9fEiXCmGIhkRYjF2fSRNu878DJzIanRn0TH/wcr3u63gam64rNzziwY&#10;uvG7T99/fvzy68dnWu++fWUUIZl6jyVlX9ltGHfotyFxPjTBpD+xYYcs7fEkrTxEJsi5XF6Q5IIC&#10;L+fz+fLVIkEWD7U+YHwtnWHJqLhWNhGHEvZvMA6p9ynJbd210pr8UGrL+opfLGYLwgcayIYGgUzj&#10;iRTaljPQLU26iCEjotOqTtWpGEO7u9KB7SHNR/7Gxv5KS0dvALshL4fGNG2JRpJmECNZO1cfs0bZ&#10;T/eWiY4zlgbjz32ufnhX6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Pvkfn2AAAAAoBAAAPAAAA&#10;AAAAAAEAIAAAACIAAABkcnMvZG93bnJldi54bWxQSwECFAAUAAAACACHTuJA58RvO9wBAACfAwAA&#10;DgAAAAAAAAABACAAAAAnAQAAZHJzL2Uyb0RvYy54bWxQSwUGAAAAAAYABgBZAQAAdQUAAAAA&#10;">
                      <v:fill on="f" focussize="0,0"/>
                      <v:stroke color="#000000 [3213]"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85888" behindDoc="0" locked="0" layoutInCell="1" allowOverlap="1">
                      <wp:simplePos x="0" y="0"/>
                      <wp:positionH relativeFrom="column">
                        <wp:posOffset>5056505</wp:posOffset>
                      </wp:positionH>
                      <wp:positionV relativeFrom="paragraph">
                        <wp:posOffset>-4471670</wp:posOffset>
                      </wp:positionV>
                      <wp:extent cx="8890" cy="4333875"/>
                      <wp:effectExtent l="4445" t="0" r="5715" b="9525"/>
                      <wp:wrapNone/>
                      <wp:docPr id="25" name="直接连接符 25"/>
                      <wp:cNvGraphicFramePr/>
                      <a:graphic xmlns:a="http://schemas.openxmlformats.org/drawingml/2006/main">
                        <a:graphicData uri="http://schemas.microsoft.com/office/word/2010/wordprocessingShape">
                          <wps:wsp>
                            <wps:cNvCnPr/>
                            <wps:spPr>
                              <a:xfrm>
                                <a:off x="0" y="0"/>
                                <a:ext cx="8890" cy="4333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98.15pt;margin-top:-352.1pt;height:341.25pt;width:0.7pt;z-index:251685888;mso-width-relative:page;mso-height-relative:page;" filled="f" stroked="t" coordsize="21600,21600" o:gfxdata="UEsDBAoAAAAAAIdO4kAAAAAAAAAAAAAAAAAEAAAAZHJzL1BLAwQUAAAACACHTuJA5zfNp9oAAAAM&#10;AQAADwAAAGRycy9kb3ducmV2LnhtbE2PTU/DMAyG70j8h8hIXKYtaYcWVpruAPTGhQHi6jWmrWic&#10;rsk+4NcTTnC0/ej185absxvEkabQezaQLRQI4sbbnlsDry/1/BZEiMgWB89k4IsCbKrLixIL60/8&#10;TMdtbEUK4VCggS7GsZAyNB05DAs/Eqfbh58cxjROrbQTnlK4G2Su1Eo67Dl96HCk+46az+3BGQj1&#10;G+3r71kzU+/L1lO+f3h6RGOurzJ1ByLSOf7B8Kuf1KFKTjt/YBvEYECvV8uEGphrdZODSIheaw1i&#10;l1Z5pkFWpfxfovoBUEsDBBQAAAAIAIdO4kBC2a2J3QEAAJ8DAAAOAAAAZHJzL2Uyb0RvYy54bWyt&#10;U81uEzEQviPxDpbvZNOEQrrKpodG5YIgEvAAE6+9a8l/8rjZ5CV4ASRucOLInbdpeQzGzpJCufTA&#10;HrzjmfE3830eLy/31rCdjKi9a/jZZMqZdMK32nUN//D++tmCM0zgWjDeyYYfJPLL1dMnyyHUcuZ7&#10;b1oZGYE4rIfQ8D6lUFcVil5awIkP0lFQ+Wgh0TZ2VRthIHRrqtl0+qIafGxD9EIiknd9DPIRMT4G&#10;0CulhVx7cWOlS0fUKA0kooS9DshXpVulpEhvlUKZmGk4MU1lpSJkb/NarZZQdxFCr8XYAjymhQec&#10;LGhHRU9Qa0jAbqL+B8pqET16lSbC2+pIpChCLM6mD7R510OQhQtJjeEkOv4/WPFmt4lMtw2fnXPm&#10;wNKN3336fvvxy88fn2m9+/aVUYRkGgLWlH3lNnHcYdjEzHmvos1/YsP2RdrDSVq5T0yQc7G4IMkF&#10;BZ7P5/PFywJZ3Z8NEdMr6S3LRsONdpk41LB7jYnqUervlOx2/lobUy7PODY0/OI89y+ABlLRIJBp&#10;A5FC13EGpqNJFykWRPRGt/l0xsHYba9MZDvI81G+zJWq/ZWWS68B+2NeCY1pxlF2luYoRra2vj0U&#10;jYqf7q3gjTOWB+PPfTl9/65W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nN82n2gAAAAwBAAAP&#10;AAAAAAAAAAEAIAAAACIAAABkcnMvZG93bnJldi54bWxQSwECFAAUAAAACACHTuJAQtmtid0BAACf&#10;AwAADgAAAAAAAAABACAAAAApAQAAZHJzL2Uyb0RvYy54bWxQSwUGAAAAAAYABgBZAQAAeAUAAAAA&#10;">
                      <v:fill on="f" focussize="0,0"/>
                      <v:stroke color="#000000 [3213]" joinstyle="round"/>
                      <v:imagedata o:title=""/>
                      <o:lock v:ext="edit" aspectratio="f"/>
                    </v:line>
                  </w:pict>
                </mc:Fallback>
              </mc:AlternateConten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500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tcBorders>
              <w:top w:val="single" w:color="auto" w:sz="4" w:space="0"/>
              <w:bottom w:val="single" w:color="auto" w:sz="4" w:space="0"/>
              <w:right w:val="single" w:color="auto" w:sz="4" w:space="0"/>
            </w:tcBorders>
            <w:vAlign w:val="center"/>
          </w:tcPr>
          <w:p>
            <w:pPr>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镍镁系</w:t>
            </w: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NMg0.1</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tcBorders>
              <w:top w:val="single" w:color="auto" w:sz="4" w:space="0"/>
              <w:bottom w:val="single" w:color="auto" w:sz="4" w:space="0"/>
              <w:right w:val="single" w:color="auto" w:sz="4" w:space="0"/>
            </w:tcBorders>
            <w:vAlign w:val="center"/>
          </w:tcPr>
          <w:p>
            <w:pPr>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镍硅系</w:t>
            </w: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NSi0.19</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restart"/>
            <w:tcBorders>
              <w:top w:val="single" w:color="auto" w:sz="4" w:space="0"/>
              <w:bottom w:val="single" w:color="auto" w:sz="4" w:space="0"/>
              <w:right w:val="single" w:color="auto" w:sz="4" w:space="0"/>
            </w:tcBorders>
            <w:vAlign w:val="center"/>
          </w:tcPr>
          <w:p>
            <w:pPr>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镍钼系</w:t>
            </w: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NMo28</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固溶（C）</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＞7～90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760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350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NMo30-5</w:t>
            </w:r>
          </w:p>
        </w:tc>
        <w:tc>
          <w:tcPr>
            <w:tcW w:w="1154"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固溶（C）</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＞7～40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790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315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＞40～90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690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315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color w:val="auto"/>
                <w:sz w:val="18"/>
                <w:szCs w:val="18"/>
                <w:highlight w:val="none"/>
              </w:rPr>
              <mc:AlternateContent>
                <mc:Choice Requires="wps">
                  <w:drawing>
                    <wp:anchor distT="0" distB="0" distL="114300" distR="114300" simplePos="0" relativeHeight="251692032" behindDoc="0" locked="0" layoutInCell="1" allowOverlap="1">
                      <wp:simplePos x="0" y="0"/>
                      <wp:positionH relativeFrom="column">
                        <wp:posOffset>540385</wp:posOffset>
                      </wp:positionH>
                      <wp:positionV relativeFrom="paragraph">
                        <wp:posOffset>-70485</wp:posOffset>
                      </wp:positionV>
                      <wp:extent cx="15875" cy="8921750"/>
                      <wp:effectExtent l="4445" t="0" r="17780" b="12700"/>
                      <wp:wrapNone/>
                      <wp:docPr id="36" name="直接连接符 36"/>
                      <wp:cNvGraphicFramePr/>
                      <a:graphic xmlns:a="http://schemas.openxmlformats.org/drawingml/2006/main">
                        <a:graphicData uri="http://schemas.microsoft.com/office/word/2010/wordprocessingShape">
                          <wps:wsp>
                            <wps:cNvCnPr/>
                            <wps:spPr>
                              <a:xfrm>
                                <a:off x="0" y="0"/>
                                <a:ext cx="15875" cy="8921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2.55pt;margin-top:-5.55pt;height:702.5pt;width:1.25pt;z-index:251692032;mso-width-relative:page;mso-height-relative:page;" filled="f" stroked="t" coordsize="21600,21600" o:gfxdata="UEsDBAoAAAAAAIdO4kAAAAAAAAAAAAAAAAAEAAAAZHJzL1BLAwQUAAAACACHTuJA0dyYLNgAAAAK&#10;AQAADwAAAGRycy9kb3ducmV2LnhtbE2PTU/DMAyG70j8h8hIXKYtySpGV5ruAPTGhQHimjWmrWic&#10;rsk+4NdjTnCz5Uevn7fcnP0gjjjFPpABvVAgkJrgemoNvL7U8xxETJacHQKhgS+MsKkuL0pbuHCi&#10;ZzxuUys4hGJhDXQpjYWUsenQ27gIIxLfPsLkbeJ1aqWb7InD/SCXSq2ktz3xh86OeN9h87k9eAOx&#10;fsN9/T1rZuo9awMu9w9Pj9aY6yut7kAkPKc/GH71WR0qdtqFA7koBgP5jWbSwFxrHhjIb1cgdgxm&#10;62wNsirl/wrVD1BLAwQUAAAACACHTuJA3NkjT98BAACgAwAADgAAAGRycy9lMm9Eb2MueG1srVPN&#10;bhMxEL4j8Q6W72SToLTpKpseGpULgkjAA0y83l1L/pPHzSYvwQsgcYMTR+68De1jMPZu01IuPZCD&#10;M575/I2/z7Ory4PRbC8DKmcrPptMOZNWuFrZtuKfPl6/WnKGEWwN2llZ8aNEfrl++WLV+1LOXed0&#10;LQMjEotl7yvexejLokDRSQM4cV5aKjYuGIi0DW1RB+iJ3ehiPp2eFb0LtQ9OSETKboYiHxnDcwhd&#10;0yghN07cGGnjwBqkhkiSsFMe+TrftmmkiO+bBmVkuuKkNOaVmlC8S2uxXkHZBvCdEuMV4DlXeKLJ&#10;gLLU9ES1gQjsJqh/qIwSwaFr4kQ4UwxCsiOkYjZ94s2HDrzMWshq9CfT8f/Rinf7bWCqrvjrM84s&#10;GHrx2y8/f3/+dvfrK623P74zqpBNvceS0Fd2G8Yd+m1Img9NMOmf1LBDtvZ4slYeIhOUnC2W5wvO&#10;BFWWF/PZ+SJbXzwc9gHjG+kMS0HFtbJJOZSwf4uRGhL0HpLS1l0rrfPracv6il8s5okfaCIbmgQK&#10;jSdVaFvOQLc06iKGzIhOqzqdTjwY2t2VDmwPaUDyL4mlbn/BUusNYDfgcmmEaUvo5M3gRop2rj5m&#10;k3KeHi7zjUOWJuPxPp9++LD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R3Jgs2AAAAAoBAAAP&#10;AAAAAAAAAAEAIAAAACIAAABkcnMvZG93bnJldi54bWxQSwECFAAUAAAACACHTuJA3NkjT98BAACg&#10;AwAADgAAAAAAAAABACAAAAAnAQAAZHJzL2Uyb0RvYy54bWxQSwUGAAAAAAYABgBZAQAAeAUAAAAA&#10;">
                      <v:fill on="f" focussize="0,0"/>
                      <v:stroke color="#000000 [3213]" joinstyle="round"/>
                      <v:imagedata o:title=""/>
                      <o:lock v:ext="edit" aspectratio="f"/>
                    </v:line>
                  </w:pict>
                </mc:Fallback>
              </mc:AlternateContent>
            </w:r>
            <w:r>
              <w:rPr>
                <w:rFonts w:hint="eastAsia" w:ascii="宋体" w:hAnsi="宋体"/>
                <w:color w:val="auto"/>
                <w:sz w:val="18"/>
                <w:szCs w:val="18"/>
                <w:highlight w:val="none"/>
              </w:rPr>
              <w:t>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restart"/>
            <w:tcBorders>
              <w:top w:val="single" w:color="auto" w:sz="4" w:space="0"/>
              <w:bottom w:val="single" w:color="auto" w:sz="4" w:space="0"/>
              <w:right w:val="single" w:color="auto" w:sz="4" w:space="0"/>
            </w:tcBorders>
            <w:vAlign w:val="center"/>
          </w:tcPr>
          <w:p>
            <w:pPr>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镍钨系</w:t>
            </w: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NW4-0.15</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NW4-0.1</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top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NW4-0.07</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restart"/>
            <w:tcBorders>
              <w:top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val="en-US" w:eastAsia="zh-CN"/>
              </w:rPr>
              <w:t>镍铬系</w:t>
            </w: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NCr20-2-1.5</w:t>
            </w:r>
            <w:r>
              <w:rPr>
                <w:rFonts w:hint="eastAsia" w:ascii="宋体" w:hAnsi="宋体"/>
                <w:color w:val="auto"/>
                <w:sz w:val="18"/>
                <w:szCs w:val="18"/>
                <w:highlight w:val="none"/>
                <w:vertAlign w:val="superscript"/>
              </w:rPr>
              <w:t>a</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固溶和时效（CS）</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r>
              <w:rPr>
                <w:color w:val="auto"/>
                <w:sz w:val="18"/>
                <w:szCs w:val="18"/>
                <w:highlight w:val="none"/>
              </w:rPr>
              <mc:AlternateContent>
                <mc:Choice Requires="wps">
                  <w:drawing>
                    <wp:anchor distT="0" distB="0" distL="114300" distR="114300" simplePos="0" relativeHeight="251688960" behindDoc="0" locked="0" layoutInCell="1" allowOverlap="1">
                      <wp:simplePos x="0" y="0"/>
                      <wp:positionH relativeFrom="column">
                        <wp:posOffset>5513705</wp:posOffset>
                      </wp:positionH>
                      <wp:positionV relativeFrom="paragraph">
                        <wp:posOffset>-5706110</wp:posOffset>
                      </wp:positionV>
                      <wp:extent cx="8890" cy="4333875"/>
                      <wp:effectExtent l="4445" t="0" r="5715" b="9525"/>
                      <wp:wrapNone/>
                      <wp:docPr id="28" name="直接连接符 28"/>
                      <wp:cNvGraphicFramePr/>
                      <a:graphic xmlns:a="http://schemas.openxmlformats.org/drawingml/2006/main">
                        <a:graphicData uri="http://schemas.microsoft.com/office/word/2010/wordprocessingShape">
                          <wps:wsp>
                            <wps:cNvCnPr/>
                            <wps:spPr>
                              <a:xfrm>
                                <a:off x="0" y="0"/>
                                <a:ext cx="8890" cy="4333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4.15pt;margin-top:-449.3pt;height:341.25pt;width:0.7pt;z-index:251688960;mso-width-relative:page;mso-height-relative:page;" filled="f" stroked="t" coordsize="21600,21600" o:gfxdata="UEsDBAoAAAAAAIdO4kAAAAAAAAAAAAAAAAAEAAAAZHJzL1BLAwQUAAAACACHTuJAQOLNl9sAAAAN&#10;AQAADwAAAGRycy9kb3ducmV2LnhtbE2PPU/DMBCGdyT+g3VILFVrJ5WMm8bpAGRjoQWxXuNrEhHb&#10;aex+wK/HTDDe3aP3nrfcXO3AzjSF3jsN2UIAI9d407tWw9uunitgIaIzOHhHGr4owKa6vSmxMP7i&#10;Xum8jS1LIS4UqKGLcSw4D01HFsPCj+TS7eAnizGNU8vNhJcUbgeeCyG5xd6lDx2O9NhR87k9WQ2h&#10;fqdj/T1rZuJj2XrKj08vz6j1/V0m1sAiXeMfDL/6SR2q5LT3J2cCGzQoqZYJ1TBXKyWBJUTJ1QOw&#10;fVrlmcyAVyX/36L6AVBLAwQUAAAACACHTuJASayn99wBAACfAwAADgAAAGRycy9lMm9Eb2MueG1s&#10;rVPNbhMxEL4j8Q6W72TThEC6yqaHRuWCIBLwABOvd9eS/+Rxs8lL8AJI3ODEkTtv0/IYjL3btJRL&#10;D+zBO56fz/N9Hq8uDkazvQyonK342WTKmbTC1cq2Ff/08erFkjOMYGvQzsqKHyXyi/XzZ6vel3Lm&#10;OqdrGRiBWCx7X/EuRl8WBYpOGsCJ89JSsHHBQKRtaIs6QE/oRhez6fRV0btQ++CERCTvZgjyETE8&#10;BdA1jRJy48S1kTYOqEFqiEQJO+WRr3O3TSNFfN80KCPTFSemMa90CNm7tBbrFZRtAN8pMbYAT2nh&#10;EScDytKhJ6gNRGDXQf0DZZQIDl0TJ8KZYiCSFSEWZ9NH2nzowMvMhaRGfxId/x+seLffBqbqis/o&#10;3i0YuvHbLz9vPn/7/esrrbc/vjOKkEy9x5KyL+02jDv025A4H5pg0p/YsEOW9niSVh4iE+RcLs9J&#10;ckGBl/P5fPl6kSCL+1ofML6RzrBkVFwrm4hDCfu3GIfUu5Tktu5KaU1+KLVlfcXPF7MF4QMNZEOD&#10;QKbxRAptyxnoliZdxJAR0WlVp+pUjKHdXerA9pDmI39jY3+lpaM3gN2Ql0NjmrZEI0kziJGsnauP&#10;WaPsp3vLRMcZS4PxcJ+r79/V+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A4s2X2wAAAA0BAAAP&#10;AAAAAAAAAAEAIAAAACIAAABkcnMvZG93bnJldi54bWxQSwECFAAUAAAACACHTuJASayn99wBAACf&#10;AwAADgAAAAAAAAABACAAAAAqAQAAZHJzL2Uyb0RvYy54bWxQSwUGAAAAAAYABgBZAQAAeAUAAAAA&#10;">
                      <v:fill on="f" focussize="0,0"/>
                      <v:stroke color="#000000 [3213]" joinstyle="round"/>
                      <v:imagedata o:title=""/>
                      <o:lock v:ext="edit" aspectratio="f"/>
                    </v:line>
                  </w:pict>
                </mc:Fallback>
              </mc:AlternateConten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NCr20-0.5</w:t>
            </w:r>
          </w:p>
        </w:tc>
        <w:tc>
          <w:tcPr>
            <w:tcW w:w="1154" w:type="pct"/>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cs="Times New Roman"/>
                <w:color w:val="auto"/>
                <w:kern w:val="2"/>
                <w:sz w:val="18"/>
                <w:szCs w:val="18"/>
                <w:highlight w:val="none"/>
                <w:lang w:val="en-US" w:eastAsia="zh-CN" w:bidi="ar-SA"/>
              </w:rPr>
              <w:t>≤75</w:t>
            </w:r>
            <w:r>
              <w:rPr>
                <w:color w:val="auto"/>
                <w:sz w:val="18"/>
                <w:szCs w:val="18"/>
                <w:highlight w:val="none"/>
              </w:rPr>
              <mc:AlternateContent>
                <mc:Choice Requires="wps">
                  <w:drawing>
                    <wp:anchor distT="0" distB="0" distL="114300" distR="114300" simplePos="0" relativeHeight="251691008" behindDoc="0" locked="0" layoutInCell="1" allowOverlap="1">
                      <wp:simplePos x="0" y="0"/>
                      <wp:positionH relativeFrom="column">
                        <wp:posOffset>6769735</wp:posOffset>
                      </wp:positionH>
                      <wp:positionV relativeFrom="paragraph">
                        <wp:posOffset>-5595620</wp:posOffset>
                      </wp:positionV>
                      <wp:extent cx="8890" cy="4333875"/>
                      <wp:effectExtent l="4445" t="0" r="5715" b="9525"/>
                      <wp:wrapNone/>
                      <wp:docPr id="34" name="直接连接符 34"/>
                      <wp:cNvGraphicFramePr/>
                      <a:graphic xmlns:a="http://schemas.openxmlformats.org/drawingml/2006/main">
                        <a:graphicData uri="http://schemas.microsoft.com/office/word/2010/wordprocessingShape">
                          <wps:wsp>
                            <wps:cNvCnPr/>
                            <wps:spPr>
                              <a:xfrm>
                                <a:off x="0" y="0"/>
                                <a:ext cx="8890" cy="4333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33.05pt;margin-top:-440.6pt;height:341.25pt;width:0.7pt;z-index:251691008;mso-width-relative:page;mso-height-relative:page;" filled="f" stroked="t" coordsize="21600,21600" o:gfxdata="UEsDBAoAAAAAAIdO4kAAAAAAAAAAAAAAAAAEAAAAZHJzL1BLAwQUAAAACACHTuJAO8RASNsAAAAP&#10;AQAADwAAAGRycy9kb3ducmV2LnhtbE2PTU/DMAyG70j8h8hIXKYtSRFdKU13AHrjwmDaNWtNW9E4&#10;XZN9wK/HO8HxtR+9flyszm4QR5xC78mAXigQSLVvemoNfLxX8wxEiJYaO3hCA98YYFVeXxU2b/yJ&#10;3vC4jq3gEgq5NdDFOOZShrpDZ8PCj0i8+/STs5Hj1Mpmsicud4NMlEqlsz3xhc6O+NRh/bU+OAOh&#10;2uC++pnVM7W9az0m++fXF2vM7Y1WjyAinuMfDBd9VoeSnXb+QE0QA2eVpppZA/Ms0wmIC6PS5T2I&#10;Hc/0Q7YEWRby/x/lL1BLAwQUAAAACACHTuJAyFw5M9wBAACfAwAADgAAAGRycy9lMm9Eb2MueG1s&#10;rVPNbhMxEL4j8Q6W72TTpIF0lU0PjcoFQSToA0y83l1L/pPHzSYvwQsgcYMTR+68DeUxGHu3KZRL&#10;D+zBO56fz/N9Hq8uD0azvQyonK342WTKmbTC1cq2Fb/5cP1iyRlGsDVoZ2XFjxL55fr5s1XvSzlz&#10;ndO1DIxALJa9r3gXoy+LAkUnDeDEeWkp2LhgINI2tEUdoCd0o4vZdPqy6F2ofXBCIpJ3MwT5iBie&#10;AuiaRgm5ceLWSBsH1CA1RKKEnfLI17nbppEivmsalJHpihPTmFc6hOxdWov1Cso2gO+UGFuAp7Tw&#10;iJMBZenQE9QGIrDboP6BMkoEh66JE+FMMRDJihCLs+kjbd534GXmQlKjP4mO/w9WvN1vA1N1xefn&#10;nFkwdON3n77//Pjl14/PtN59+8ooQjL1HkvKvrLbMO7Qb0PifGiCSX9iww5Z2uNJWnmITJBzubwg&#10;yQUFzufz+fLVIkEWD7U+YHwtnWHJqLhWNhGHEvZvMA6p9ynJbd210pr8UGrL+opfLGYLwgcayIYG&#10;gUzjiRTaljPQLU26iCEjotOqTtWpGEO7u9KB7SHNR/7Gxv5KS0dvALshL4fGNG2JRpJmECNZO1cf&#10;s0bZT/eWiY4zlgbjz32ufnhX6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7xEBI2wAAAA8BAAAP&#10;AAAAAAAAAAEAIAAAACIAAABkcnMvZG93bnJldi54bWxQSwECFAAUAAAACACHTuJAyFw5M9wBAACf&#10;AwAADgAAAAAAAAABACAAAAAqAQAAZHJzL2Uyb0RvYy54bWxQSwUGAAAAAAYABgBZAQAAeAUAAAAA&#10;">
                      <v:fill on="f" focussize="0,0"/>
                      <v:stroke color="#000000 [3213]" joinstyle="round"/>
                      <v:imagedata o:title=""/>
                      <o:lock v:ext="edit" aspectratio="f"/>
                    </v:line>
                  </w:pict>
                </mc:Fallback>
              </mc:AlternateConten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640</w:t>
            </w:r>
            <w:r>
              <w:rPr>
                <w:color w:val="auto"/>
                <w:sz w:val="18"/>
                <w:szCs w:val="18"/>
                <w:highlight w:val="none"/>
              </w:rPr>
              <mc:AlternateContent>
                <mc:Choice Requires="wps">
                  <w:drawing>
                    <wp:anchor distT="0" distB="0" distL="114300" distR="114300" simplePos="0" relativeHeight="251687936" behindDoc="0" locked="0" layoutInCell="1" allowOverlap="1">
                      <wp:simplePos x="0" y="0"/>
                      <wp:positionH relativeFrom="column">
                        <wp:posOffset>5361305</wp:posOffset>
                      </wp:positionH>
                      <wp:positionV relativeFrom="paragraph">
                        <wp:posOffset>-6052820</wp:posOffset>
                      </wp:positionV>
                      <wp:extent cx="8890" cy="4333875"/>
                      <wp:effectExtent l="4445" t="0" r="5715" b="9525"/>
                      <wp:wrapNone/>
                      <wp:docPr id="27" name="直接连接符 27"/>
                      <wp:cNvGraphicFramePr/>
                      <a:graphic xmlns:a="http://schemas.openxmlformats.org/drawingml/2006/main">
                        <a:graphicData uri="http://schemas.microsoft.com/office/word/2010/wordprocessingShape">
                          <wps:wsp>
                            <wps:cNvCnPr/>
                            <wps:spPr>
                              <a:xfrm>
                                <a:off x="0" y="0"/>
                                <a:ext cx="8890" cy="4333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22.15pt;margin-top:-476.6pt;height:341.25pt;width:0.7pt;z-index:251687936;mso-width-relative:page;mso-height-relative:page;" filled="f" stroked="t" coordsize="21600,21600" o:gfxdata="UEsDBAoAAAAAAIdO4kAAAAAAAAAAAAAAAAAEAAAAZHJzL1BLAwQUAAAACACHTuJASzgnXdwAAAAN&#10;AQAADwAAAGRycy9kb3ducmV2LnhtbE2PTU/DMAyG70j8h8hIXKYtWdvRUpruAPTGhQHimrWmrWic&#10;rsk+2K+fOcHR9qPXz1usT3YQB5x870jDcqFAINWu6anV8P5WzTMQPhhqzOAINfygh3V5fVWYvHFH&#10;esXDJrSCQ8jnRkMXwphL6esOrfELNyLx7ctN1gQep1Y2kzlyuB1kpNSdtKYn/tCZER87rL83e6vB&#10;Vx+4q86zeqY+49ZhtHt6eTZa394s1QOIgKfwB8OvPqtDyU5bt6fGi0FDliQxoxrm96s4AsFIlqxS&#10;EFteRalKQZaF/N+ivABQSwMEFAAAAAgAh07iQLvN/uPcAQAAnwMAAA4AAABkcnMvZTJvRG9jLnht&#10;bK1TzW4TMRC+I/EOlu9k04TQdJVND43KBUEk6ANMvN5dS/6Tx80mL8ELIHGDE0fuvA3lMRh7tymU&#10;Sw/swTuen8/zfR6vLg9Gs70MqJyt+Nlkypm0wtXKthW/+XD9YskZRrA1aGdlxY8S+eX6+bNV70s5&#10;c53TtQyMQCyWva94F6MviwJFJw3gxHlpKdi4YCDSNrRFHaAndKOL2XT6quhdqH1wQiKSdzME+YgY&#10;ngLomkYJuXHi1kgbB9QgNUSihJ3yyNe526aRIr5rGpSR6YoT05hXOoTsXVqL9QrKNoDvlBhbgKe0&#10;8IiTAWXp0BPUBiKw26D+gTJKBIeuiRPhTDEQyYoQi7PpI23ed+Bl5kJSoz+Jjv8PVrzdbwNTdcVn&#10;55xZMHTjd5++//z45dePz7TeffvKKEIy9R5Lyr6y2zDu0G9D4nxogkl/YsMOWdrjSVp5iEyQc7m8&#10;IMkFBV7O5/Pl+SJBFg+1PmB8LZ1hyai4VjYRhxL2bzAOqfcpyW3dtdKa/FBqy/qKXyxmC8IHGsiG&#10;BoFM44kU2pYz0C1NuoghI6LTqk7VqRhDu7vSge0hzUf+xsb+SktHbwC7IS+HxjRtiUaSZhAjWTtX&#10;H7NG2U/3lomOM5YG4899rn54V+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zgnXdwAAAANAQAA&#10;DwAAAAAAAAABACAAAAAiAAAAZHJzL2Rvd25yZXYueG1sUEsBAhQAFAAAAAgAh07iQLvN/uPcAQAA&#10;nwMAAA4AAAAAAAAAAQAgAAAAKwEAAGRycy9lMm9Eb2MueG1sUEsFBgAAAAAGAAYAWQEAAHkFAAAA&#10;AA==&#10;">
                      <v:fill on="f" focussize="0,0"/>
                      <v:stroke color="#000000 [3213]" joinstyle="round"/>
                      <v:imagedata o:title=""/>
                      <o:lock v:ext="edit" aspectratio="f"/>
                    </v:line>
                  </w:pict>
                </mc:Fallback>
              </mc:AlternateConten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230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left w:val="single" w:color="auto" w:sz="4" w:space="0"/>
              <w:bottom w:val="single" w:color="auto" w:sz="4" w:space="0"/>
              <w:right w:val="single" w:color="auto" w:sz="4" w:space="0"/>
            </w:tcBorders>
            <w:vAlign w:val="center"/>
          </w:tcPr>
          <w:p>
            <w:pPr>
              <w:jc w:val="center"/>
              <w:rPr>
                <w:rFonts w:hint="eastAsia" w:ascii="宋体" w:hAnsi="宋体" w:cs="宋体"/>
                <w:color w:val="auto"/>
                <w:kern w:val="0"/>
                <w:sz w:val="18"/>
                <w:szCs w:val="18"/>
                <w:highlight w:val="none"/>
                <w:lang w:bidi="ar"/>
              </w:rPr>
            </w:pPr>
          </w:p>
        </w:tc>
        <w:tc>
          <w:tcPr>
            <w:tcW w:w="1154" w:type="pct"/>
            <w:vMerge w:val="continue"/>
            <w:tcBorders>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olor w:val="auto"/>
                <w:sz w:val="18"/>
                <w:szCs w:val="18"/>
                <w:highlight w:val="none"/>
                <w:u w:val="single"/>
                <w:lang w:val="en-US" w:eastAsia="zh-CN"/>
              </w:rPr>
            </w:pPr>
            <w:r>
              <w:rPr>
                <w:rFonts w:hint="eastAsia" w:ascii="宋体" w:hAnsi="宋体"/>
                <w:color w:val="auto"/>
                <w:sz w:val="18"/>
                <w:szCs w:val="18"/>
                <w:highlight w:val="none"/>
                <w:u w:val="single"/>
              </w:rPr>
              <w:t>＞7</w:t>
            </w:r>
            <w:r>
              <w:rPr>
                <w:rFonts w:hint="eastAsia" w:ascii="宋体" w:hAnsi="宋体"/>
                <w:color w:val="auto"/>
                <w:sz w:val="18"/>
                <w:szCs w:val="18"/>
                <w:highlight w:val="none"/>
                <w:u w:val="single"/>
                <w:lang w:val="en-US" w:eastAsia="zh-CN"/>
              </w:rPr>
              <w:t>5</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auto"/>
                <w:sz w:val="18"/>
                <w:szCs w:val="18"/>
                <w:highlight w:val="none"/>
                <w:u w:val="single"/>
                <w:lang w:val="en-US" w:eastAsia="zh-CN"/>
              </w:rPr>
            </w:pPr>
            <w:r>
              <w:rPr>
                <w:rFonts w:hint="eastAsia" w:ascii="宋体" w:hAnsi="宋体"/>
                <w:color w:val="auto"/>
                <w:sz w:val="18"/>
                <w:szCs w:val="18"/>
                <w:highlight w:val="none"/>
                <w:u w:val="single"/>
                <w:lang w:val="en-US" w:eastAsia="zh-CN"/>
              </w:rPr>
              <w:t>580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olor w:val="auto"/>
                <w:sz w:val="18"/>
                <w:szCs w:val="18"/>
                <w:highlight w:val="none"/>
                <w:u w:val="single"/>
                <w:lang w:val="en-US" w:eastAsia="zh-CN"/>
              </w:rPr>
            </w:pPr>
            <w:r>
              <w:rPr>
                <w:rFonts w:hint="eastAsia" w:ascii="宋体" w:hAnsi="宋体"/>
                <w:color w:val="auto"/>
                <w:sz w:val="18"/>
                <w:szCs w:val="18"/>
                <w:highlight w:val="none"/>
                <w:u w:val="single"/>
                <w:lang w:val="en-US" w:eastAsia="zh-CN"/>
              </w:rPr>
              <w:t>210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default" w:ascii="宋体" w:hAnsi="宋体" w:eastAsia="宋体"/>
                <w:color w:val="auto"/>
                <w:sz w:val="18"/>
                <w:szCs w:val="18"/>
                <w:highlight w:val="none"/>
                <w:u w:val="single"/>
                <w:lang w:val="en-US" w:eastAsia="zh-CN"/>
              </w:rPr>
            </w:pPr>
            <w:r>
              <w:rPr>
                <w:rFonts w:hint="eastAsia" w:ascii="宋体" w:hAnsi="宋体"/>
                <w:color w:val="auto"/>
                <w:sz w:val="18"/>
                <w:szCs w:val="18"/>
                <w:highlight w:val="none"/>
                <w:u w:val="single"/>
                <w:lang w:val="en-US" w:eastAsia="zh-CN"/>
              </w:rPr>
              <w:t>23</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restart"/>
            <w:tcBorders>
              <w:top w:val="single" w:color="auto" w:sz="4" w:space="0"/>
              <w:right w:val="single" w:color="auto" w:sz="4" w:space="0"/>
            </w:tcBorders>
            <w:vAlign w:val="center"/>
          </w:tcPr>
          <w:p>
            <w:pPr>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镍铬钼系</w:t>
            </w: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NCr16-16</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固溶（C）</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690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275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NMo16-15-6-4</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690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280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NCr22-9-3.5</w:t>
            </w:r>
          </w:p>
        </w:tc>
        <w:tc>
          <w:tcPr>
            <w:tcW w:w="1154" w:type="pct"/>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830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415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left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vMerge w:val="continue"/>
            <w:tcBorders>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＞100～250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760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345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固溶（C）</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690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275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restart"/>
            <w:tcBorders>
              <w:top w:val="single" w:color="auto" w:sz="4" w:space="0"/>
              <w:right w:val="single" w:color="auto" w:sz="4" w:space="0"/>
            </w:tcBorders>
            <w:vAlign w:val="center"/>
          </w:tcPr>
          <w:p>
            <w:pPr>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镍铬钴系</w:t>
            </w: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NCo20-15-5-4</w:t>
            </w:r>
            <w:r>
              <w:rPr>
                <w:rFonts w:hint="eastAsia" w:ascii="宋体" w:hAnsi="宋体"/>
                <w:color w:val="auto"/>
                <w:sz w:val="18"/>
                <w:szCs w:val="18"/>
                <w:highlight w:val="none"/>
                <w:vertAlign w:val="superscript"/>
              </w:rPr>
              <w:t>a</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固溶、稳定化和时效（CS）</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NCr20</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13</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4</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3</w:t>
            </w:r>
            <w:r>
              <w:rPr>
                <w:rFonts w:hint="eastAsia" w:ascii="宋体" w:hAnsi="宋体"/>
                <w:color w:val="auto"/>
                <w:sz w:val="18"/>
                <w:szCs w:val="18"/>
                <w:highlight w:val="none"/>
                <w:vertAlign w:val="superscript"/>
              </w:rPr>
              <w:t>a</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固溶和时效（CS）</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1100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755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NCr20</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18</w:t>
            </w:r>
            <w:r>
              <w:rPr>
                <w:rFonts w:ascii="宋体" w:hAnsi="宋体" w:cs="宋体"/>
                <w:color w:val="auto"/>
                <w:kern w:val="0"/>
                <w:sz w:val="18"/>
                <w:szCs w:val="18"/>
                <w:highlight w:val="none"/>
                <w:lang w:bidi="ar"/>
              </w:rPr>
              <w:t>-2.5</w:t>
            </w:r>
            <w:r>
              <w:rPr>
                <w:rFonts w:hint="eastAsia" w:ascii="宋体" w:hAnsi="宋体"/>
                <w:color w:val="auto"/>
                <w:sz w:val="18"/>
                <w:szCs w:val="18"/>
                <w:highlight w:val="none"/>
                <w:vertAlign w:val="superscript"/>
              </w:rPr>
              <w:t>a</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固溶和时效（CS）</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restart"/>
            <w:tcBorders>
              <w:top w:val="single" w:color="auto" w:sz="4" w:space="0"/>
              <w:right w:val="single" w:color="auto" w:sz="4" w:space="0"/>
            </w:tcBorders>
            <w:vAlign w:val="center"/>
          </w:tcPr>
          <w:p>
            <w:pPr>
              <w:jc w:val="center"/>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镍铬铁系</w:t>
            </w:r>
          </w:p>
        </w:tc>
        <w:tc>
          <w:tcPr>
            <w:tcW w:w="857" w:type="pct"/>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NCr15-8</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热加工（R）</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590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240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90" w:hRule="atLeast"/>
        </w:trPr>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550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240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NCr15</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8-LC</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550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180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NCr15</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7</w:t>
            </w:r>
            <w:r>
              <w:rPr>
                <w:rFonts w:ascii="宋体" w:hAnsi="宋体" w:cs="宋体"/>
                <w:color w:val="auto"/>
                <w:kern w:val="0"/>
                <w:sz w:val="18"/>
                <w:szCs w:val="18"/>
                <w:highlight w:val="none"/>
                <w:lang w:bidi="ar"/>
              </w:rPr>
              <w:t>-2.5</w:t>
            </w:r>
            <w:r>
              <w:rPr>
                <w:rFonts w:hint="eastAsia" w:ascii="宋体" w:hAnsi="宋体"/>
                <w:color w:val="auto"/>
                <w:sz w:val="18"/>
                <w:szCs w:val="18"/>
                <w:highlight w:val="none"/>
                <w:vertAlign w:val="superscript"/>
              </w:rPr>
              <w:t>a</w:t>
            </w:r>
          </w:p>
        </w:tc>
        <w:tc>
          <w:tcPr>
            <w:tcW w:w="1154" w:type="pct"/>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固溶和时效（CS）</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≤65</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1170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790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vMerge w:val="continue"/>
            <w:tcBorders>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＞65～100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1170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790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NCr21</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18</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9</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660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240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NCr23</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15</w:t>
            </w:r>
            <w:r>
              <w:rPr>
                <w:rFonts w:ascii="宋体" w:hAnsi="宋体" w:cs="宋体"/>
                <w:color w:val="auto"/>
                <w:kern w:val="0"/>
                <w:sz w:val="18"/>
                <w:szCs w:val="18"/>
                <w:highlight w:val="none"/>
                <w:lang w:bidi="ar"/>
              </w:rPr>
              <w:t>-1.5</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550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205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NCr19</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19</w:t>
            </w:r>
            <w:r>
              <w:rPr>
                <w:rFonts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bidi="ar"/>
              </w:rPr>
              <w:t>5</w:t>
            </w:r>
            <w:r>
              <w:rPr>
                <w:rFonts w:hint="eastAsia" w:ascii="宋体" w:hAnsi="宋体"/>
                <w:color w:val="auto"/>
                <w:sz w:val="18"/>
                <w:szCs w:val="18"/>
                <w:highlight w:val="none"/>
                <w:vertAlign w:val="superscript"/>
              </w:rPr>
              <w:t>a</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固溶和时效（CS）</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1280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1030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NFe</w:t>
            </w:r>
            <w:r>
              <w:rPr>
                <w:rFonts w:ascii="宋体" w:hAnsi="宋体" w:cs="宋体"/>
                <w:color w:val="auto"/>
                <w:kern w:val="0"/>
                <w:sz w:val="18"/>
                <w:szCs w:val="18"/>
                <w:highlight w:val="none"/>
                <w:lang w:bidi="ar"/>
              </w:rPr>
              <w:t>30-21-3</w:t>
            </w:r>
          </w:p>
        </w:tc>
        <w:tc>
          <w:tcPr>
            <w:tcW w:w="1154"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590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240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color w:val="auto"/>
                <w:sz w:val="18"/>
                <w:szCs w:val="18"/>
                <w:highlight w:val="none"/>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1154"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590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200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restart"/>
            <w:tcBorders>
              <w:top w:val="single" w:color="auto" w:sz="4" w:space="0"/>
              <w:right w:val="single" w:color="auto" w:sz="4" w:space="0"/>
            </w:tcBorders>
            <w:vAlign w:val="center"/>
          </w:tcPr>
          <w:p>
            <w:pPr>
              <w:jc w:val="center"/>
              <w:rPr>
                <w:rFonts w:hint="eastAsia" w:ascii="宋体" w:hAnsi="宋体" w:eastAsia="宋体"/>
                <w:b/>
                <w:bCs/>
                <w:color w:val="auto"/>
                <w:sz w:val="18"/>
                <w:szCs w:val="18"/>
                <w:highlight w:val="none"/>
                <w:u w:val="single"/>
                <w:lang w:val="en-US" w:eastAsia="zh-CN"/>
              </w:rPr>
            </w:pPr>
            <w:r>
              <w:rPr>
                <w:rFonts w:hint="eastAsia" w:ascii="宋体" w:hAnsi="宋体"/>
                <w:color w:val="auto"/>
                <w:sz w:val="18"/>
                <w:szCs w:val="18"/>
                <w:highlight w:val="none"/>
                <w:lang w:val="en-US" w:eastAsia="zh-CN"/>
              </w:rPr>
              <w:t>其他</w:t>
            </w:r>
          </w:p>
        </w:tc>
        <w:tc>
          <w:tcPr>
            <w:tcW w:w="857"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bCs/>
                <w:color w:val="auto"/>
                <w:kern w:val="2"/>
                <w:sz w:val="18"/>
                <w:szCs w:val="18"/>
                <w:highlight w:val="none"/>
                <w:u w:val="single"/>
                <w:lang w:val="en-US" w:eastAsia="zh-CN" w:bidi="ar-SA"/>
              </w:rPr>
            </w:pPr>
            <w:r>
              <w:rPr>
                <w:rFonts w:hint="eastAsia" w:ascii="宋体" w:hAnsi="宋体"/>
                <w:color w:val="auto"/>
                <w:sz w:val="18"/>
                <w:szCs w:val="18"/>
                <w:highlight w:val="none"/>
                <w:u w:val="single"/>
              </w:rPr>
              <w:t>NS1101</w:t>
            </w:r>
          </w:p>
        </w:tc>
        <w:tc>
          <w:tcPr>
            <w:tcW w:w="1154"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热加工（R）</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≤50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550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240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b/>
                <w:bCs/>
                <w:color w:val="auto"/>
                <w:sz w:val="18"/>
                <w:szCs w:val="18"/>
                <w:highlight w:val="none"/>
                <w:u w:val="single"/>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bCs/>
                <w:color w:val="auto"/>
                <w:sz w:val="18"/>
                <w:szCs w:val="18"/>
                <w:highlight w:val="none"/>
                <w:u w:val="single"/>
              </w:rPr>
            </w:pPr>
          </w:p>
        </w:tc>
        <w:tc>
          <w:tcPr>
            <w:tcW w:w="1154"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＞50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500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170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25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b/>
                <w:bCs/>
                <w:color w:val="auto"/>
                <w:sz w:val="18"/>
                <w:szCs w:val="18"/>
                <w:highlight w:val="none"/>
                <w:u w:val="single"/>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bCs/>
                <w:color w:val="auto"/>
                <w:sz w:val="18"/>
                <w:szCs w:val="18"/>
                <w:highlight w:val="none"/>
                <w:u w:val="single"/>
              </w:rPr>
            </w:pPr>
          </w:p>
        </w:tc>
        <w:tc>
          <w:tcPr>
            <w:tcW w:w="1154"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≤50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520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205</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b/>
                <w:bCs/>
                <w:color w:val="auto"/>
                <w:sz w:val="18"/>
                <w:szCs w:val="18"/>
                <w:highlight w:val="none"/>
                <w:u w:val="single"/>
              </w:rPr>
            </w:pPr>
          </w:p>
        </w:tc>
        <w:tc>
          <w:tcPr>
            <w:tcW w:w="857"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bCs/>
                <w:color w:val="auto"/>
                <w:sz w:val="18"/>
                <w:szCs w:val="18"/>
                <w:highlight w:val="none"/>
                <w:u w:val="single"/>
              </w:rPr>
            </w:pPr>
          </w:p>
        </w:tc>
        <w:tc>
          <w:tcPr>
            <w:tcW w:w="1154"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＞50</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480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160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b/>
                <w:bCs/>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bCs/>
                <w:color w:val="auto"/>
                <w:kern w:val="2"/>
                <w:sz w:val="18"/>
                <w:szCs w:val="18"/>
                <w:highlight w:val="none"/>
                <w:lang w:val="en-US" w:eastAsia="zh-CN" w:bidi="ar-SA"/>
              </w:rPr>
            </w:pPr>
            <w:r>
              <w:rPr>
                <w:rFonts w:hint="eastAsia" w:ascii="宋体" w:hAnsi="宋体"/>
                <w:color w:val="auto"/>
                <w:sz w:val="18"/>
                <w:szCs w:val="18"/>
                <w:highlight w:val="none"/>
              </w:rPr>
              <w:t>NS1102</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450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170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b/>
                <w:bCs/>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bCs/>
                <w:color w:val="auto"/>
                <w:kern w:val="2"/>
                <w:sz w:val="18"/>
                <w:szCs w:val="18"/>
                <w:highlight w:val="none"/>
                <w:lang w:val="en-US" w:eastAsia="zh-CN" w:bidi="ar-SA"/>
              </w:rPr>
            </w:pPr>
            <w:r>
              <w:rPr>
                <w:rFonts w:hint="eastAsia" w:ascii="宋体" w:hAnsi="宋体"/>
                <w:color w:val="auto"/>
                <w:sz w:val="18"/>
                <w:szCs w:val="18"/>
                <w:highlight w:val="none"/>
              </w:rPr>
              <w:t>NS1104</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450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170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474" w:type="pct"/>
            <w:vMerge w:val="continue"/>
            <w:tcBorders>
              <w:right w:val="single" w:color="auto" w:sz="4" w:space="0"/>
            </w:tcBorders>
            <w:vAlign w:val="center"/>
          </w:tcPr>
          <w:p>
            <w:pPr>
              <w:jc w:val="center"/>
              <w:rPr>
                <w:rFonts w:hint="eastAsia" w:ascii="宋体" w:hAnsi="宋体"/>
                <w:b/>
                <w:bCs/>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bCs/>
                <w:color w:val="auto"/>
                <w:kern w:val="2"/>
                <w:sz w:val="18"/>
                <w:szCs w:val="18"/>
                <w:highlight w:val="none"/>
                <w:lang w:val="en-US" w:eastAsia="zh-CN" w:bidi="ar-SA"/>
              </w:rPr>
            </w:pPr>
            <w:r>
              <w:rPr>
                <w:rFonts w:hint="eastAsia" w:ascii="宋体" w:hAnsi="宋体"/>
                <w:color w:val="auto"/>
                <w:sz w:val="18"/>
                <w:szCs w:val="18"/>
                <w:highlight w:val="none"/>
              </w:rPr>
              <w:t>NS1403</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550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240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27</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131" w:hRule="atLeast"/>
        </w:trPr>
        <w:tc>
          <w:tcPr>
            <w:tcW w:w="474" w:type="pct"/>
            <w:vMerge w:val="continue"/>
            <w:tcBorders>
              <w:right w:val="single" w:color="auto" w:sz="4" w:space="0"/>
            </w:tcBorders>
            <w:vAlign w:val="center"/>
          </w:tcPr>
          <w:p>
            <w:pPr>
              <w:jc w:val="center"/>
              <w:rPr>
                <w:rFonts w:hint="eastAsia" w:ascii="宋体" w:hAnsi="宋体"/>
                <w:b/>
                <w:bCs/>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b/>
                <w:bCs/>
                <w:color w:val="auto"/>
                <w:kern w:val="2"/>
                <w:sz w:val="18"/>
                <w:szCs w:val="18"/>
                <w:highlight w:val="none"/>
                <w:lang w:val="en-US" w:eastAsia="zh-CN" w:bidi="ar-SA"/>
              </w:rPr>
            </w:pPr>
            <w:r>
              <w:rPr>
                <w:rFonts w:hint="eastAsia" w:ascii="宋体" w:hAnsi="宋体"/>
                <w:color w:val="auto"/>
                <w:sz w:val="18"/>
                <w:szCs w:val="18"/>
                <w:highlight w:val="none"/>
              </w:rPr>
              <w:t>FeNi32Cr21Ti</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450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170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30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90" w:hRule="atLeast"/>
        </w:trPr>
        <w:tc>
          <w:tcPr>
            <w:tcW w:w="474" w:type="pct"/>
            <w:vMerge w:val="continue"/>
            <w:tcBorders>
              <w:right w:val="single" w:color="auto" w:sz="4" w:space="0"/>
            </w:tcBorders>
            <w:vAlign w:val="center"/>
          </w:tcPr>
          <w:p>
            <w:pPr>
              <w:jc w:val="center"/>
              <w:rPr>
                <w:rFonts w:hint="eastAsia" w:ascii="宋体" w:hAnsi="宋体" w:eastAsia="宋体"/>
                <w:color w:val="auto"/>
                <w:sz w:val="18"/>
                <w:szCs w:val="18"/>
                <w:highlight w:val="none"/>
                <w:u w:val="single"/>
                <w:lang w:val="en-US" w:eastAsia="zh-CN"/>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olor w:val="auto"/>
                <w:sz w:val="18"/>
                <w:szCs w:val="18"/>
                <w:highlight w:val="none"/>
                <w:u w:val="single"/>
                <w:lang w:val="en-US" w:eastAsia="zh-CN"/>
              </w:rPr>
            </w:pPr>
            <w:r>
              <w:rPr>
                <w:rFonts w:hint="eastAsia" w:ascii="宋体" w:hAnsi="宋体"/>
                <w:color w:val="auto"/>
                <w:sz w:val="18"/>
                <w:szCs w:val="18"/>
                <w:highlight w:val="none"/>
                <w:u w:val="single"/>
                <w:lang w:val="en-US" w:eastAsia="zh-CN"/>
              </w:rPr>
              <w:t>NS3313</w:t>
            </w:r>
            <w:r>
              <w:rPr>
                <w:rFonts w:hint="eastAsia" w:ascii="宋体" w:hAnsi="宋体"/>
                <w:color w:val="auto"/>
                <w:sz w:val="18"/>
                <w:szCs w:val="18"/>
                <w:highlight w:val="none"/>
                <w:u w:val="single"/>
                <w:vertAlign w:val="superscript"/>
                <w:lang w:val="en-US" w:eastAsia="zh-CN"/>
              </w:rPr>
              <w:t>b</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bCs/>
                <w:color w:val="auto"/>
                <w:sz w:val="18"/>
                <w:szCs w:val="18"/>
                <w:highlight w:val="none"/>
                <w:u w:val="single"/>
              </w:rPr>
            </w:pPr>
            <w:r>
              <w:rPr>
                <w:rFonts w:hint="eastAsia" w:ascii="宋体" w:hAnsi="宋体"/>
                <w:color w:val="auto"/>
                <w:sz w:val="18"/>
                <w:szCs w:val="18"/>
                <w:highlight w:val="none"/>
                <w:u w:val="single"/>
              </w:rPr>
              <w:t>固溶（C）</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bCs/>
                <w:color w:val="auto"/>
                <w:sz w:val="18"/>
                <w:szCs w:val="18"/>
                <w:highlight w:val="none"/>
                <w:u w:val="single"/>
              </w:rPr>
            </w:pPr>
            <w:r>
              <w:rPr>
                <w:rFonts w:hint="eastAsia" w:ascii="宋体" w:hAnsi="宋体"/>
                <w:color w:val="auto"/>
                <w:sz w:val="18"/>
                <w:szCs w:val="18"/>
                <w:highlight w:val="none"/>
                <w:u w:val="singl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758</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310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90" w:hRule="atLeast"/>
        </w:trPr>
        <w:tc>
          <w:tcPr>
            <w:tcW w:w="474" w:type="pct"/>
            <w:vMerge w:val="continue"/>
            <w:tcBorders>
              <w:right w:val="single" w:color="auto" w:sz="4" w:space="0"/>
            </w:tcBorders>
            <w:vAlign w:val="center"/>
          </w:tcPr>
          <w:p>
            <w:pPr>
              <w:jc w:val="center"/>
              <w:rPr>
                <w:rFonts w:hint="eastAsia" w:ascii="宋体" w:hAnsi="宋体"/>
                <w:color w:val="auto"/>
                <w:sz w:val="18"/>
                <w:szCs w:val="18"/>
                <w:highlight w:val="none"/>
                <w:u w:val="singl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u w:val="single"/>
                <w:lang w:val="en-US" w:eastAsia="zh-CN" w:bidi="ar-SA"/>
              </w:rPr>
            </w:pPr>
            <w:r>
              <w:rPr>
                <w:rFonts w:hint="eastAsia" w:ascii="宋体" w:hAnsi="宋体"/>
                <w:color w:val="auto"/>
                <w:sz w:val="18"/>
                <w:szCs w:val="18"/>
                <w:highlight w:val="none"/>
                <w:u w:val="single"/>
              </w:rPr>
              <w:t>NS</w:t>
            </w:r>
            <w:r>
              <w:rPr>
                <w:rFonts w:hint="eastAsia" w:ascii="宋体" w:hAnsi="宋体"/>
                <w:color w:val="auto"/>
                <w:sz w:val="18"/>
                <w:szCs w:val="18"/>
                <w:highlight w:val="none"/>
                <w:u w:val="single"/>
                <w:lang w:eastAsia="zh-CN"/>
              </w:rPr>
              <w:t>3405</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bCs/>
                <w:color w:val="auto"/>
                <w:sz w:val="18"/>
                <w:szCs w:val="18"/>
                <w:highlight w:val="none"/>
                <w:u w:val="single"/>
              </w:rPr>
            </w:pPr>
            <w:r>
              <w:rPr>
                <w:rFonts w:hint="eastAsia" w:ascii="宋体" w:hAnsi="宋体"/>
                <w:color w:val="auto"/>
                <w:sz w:val="18"/>
                <w:szCs w:val="18"/>
                <w:highlight w:val="none"/>
                <w:u w:val="single"/>
              </w:rPr>
              <w:t>固溶（C）</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b/>
                <w:bCs/>
                <w:color w:val="auto"/>
                <w:sz w:val="18"/>
                <w:szCs w:val="18"/>
                <w:highlight w:val="none"/>
                <w:u w:val="single"/>
              </w:rPr>
            </w:pPr>
            <w:r>
              <w:rPr>
                <w:rFonts w:hint="eastAsia" w:ascii="宋体" w:hAnsi="宋体"/>
                <w:color w:val="auto"/>
                <w:sz w:val="18"/>
                <w:szCs w:val="18"/>
                <w:highlight w:val="none"/>
                <w:u w:val="single"/>
              </w:rPr>
              <w:t>所有</w:t>
            </w:r>
          </w:p>
        </w:tc>
        <w:tc>
          <w:tcPr>
            <w:tcW w:w="64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690</w:t>
            </w:r>
          </w:p>
        </w:tc>
        <w:tc>
          <w:tcPr>
            <w:tcW w:w="6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310</w:t>
            </w:r>
          </w:p>
        </w:tc>
        <w:tc>
          <w:tcPr>
            <w:tcW w:w="453"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45</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rPr>
          <w:trHeight w:val="90" w:hRule="atLeast"/>
        </w:trPr>
        <w:tc>
          <w:tcPr>
            <w:tcW w:w="474" w:type="pct"/>
            <w:vMerge w:val="continue"/>
            <w:tcBorders>
              <w:bottom w:val="single" w:color="auto" w:sz="4" w:space="0"/>
              <w:right w:val="single" w:color="auto" w:sz="4" w:space="0"/>
            </w:tcBorders>
            <w:vAlign w:val="center"/>
          </w:tcPr>
          <w:p>
            <w:pPr>
              <w:jc w:val="center"/>
              <w:rPr>
                <w:rFonts w:hint="eastAsia" w:ascii="宋体" w:hAnsi="宋体"/>
                <w:color w:val="auto"/>
                <w:sz w:val="18"/>
                <w:szCs w:val="18"/>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u w:val="single"/>
                <w:lang w:val="en-US" w:eastAsia="zh-CN"/>
              </w:rPr>
              <w:t>NS1502</w:t>
            </w:r>
          </w:p>
        </w:tc>
        <w:tc>
          <w:tcPr>
            <w:tcW w:w="11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热加工（R）、退火（M）</w:t>
            </w:r>
          </w:p>
        </w:tc>
        <w:tc>
          <w:tcPr>
            <w:tcW w:w="78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1725" w:type="pct"/>
            <w:gridSpan w:val="3"/>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lang w:eastAsia="zh-CN"/>
              </w:rPr>
              <w:t>需方有要求时</w:t>
            </w:r>
            <w:r>
              <w:rPr>
                <w:rFonts w:hint="eastAsia" w:ascii="宋体" w:hAnsi="宋体"/>
                <w:color w:val="auto"/>
                <w:sz w:val="18"/>
                <w:szCs w:val="18"/>
                <w:highlight w:val="none"/>
              </w:rPr>
              <w:t>，报实测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6" w:space="0"/>
          </w:tblBorders>
          <w:tblCellMar>
            <w:top w:w="0" w:type="dxa"/>
            <w:left w:w="108" w:type="dxa"/>
            <w:bottom w:w="0" w:type="dxa"/>
            <w:right w:w="108" w:type="dxa"/>
          </w:tblCellMar>
        </w:tblPrEx>
        <w:tc>
          <w:tcPr>
            <w:tcW w:w="5000" w:type="pct"/>
            <w:gridSpan w:val="7"/>
            <w:tcBorders>
              <w:top w:val="single" w:color="auto" w:sz="4" w:space="0"/>
              <w:right w:val="single" w:color="auto" w:sz="12" w:space="0"/>
            </w:tcBorders>
            <w:vAlign w:val="center"/>
          </w:tcPr>
          <w:p>
            <w:pPr>
              <w:ind w:firstLine="360" w:firstLineChars="200"/>
              <w:jc w:val="left"/>
              <w:rPr>
                <w:rFonts w:hint="eastAsia" w:ascii="宋体" w:hAnsi="宋体"/>
                <w:color w:val="auto"/>
                <w:sz w:val="18"/>
                <w:szCs w:val="18"/>
                <w:highlight w:val="none"/>
              </w:rPr>
            </w:pPr>
            <w:r>
              <w:rPr>
                <w:rFonts w:hint="eastAsia" w:ascii="宋体" w:hAnsi="宋体"/>
                <w:color w:val="auto"/>
                <w:sz w:val="18"/>
                <w:szCs w:val="18"/>
                <w:highlight w:val="none"/>
                <w:vertAlign w:val="superscript"/>
                <w:lang w:val="en-US" w:eastAsia="zh-CN"/>
              </w:rPr>
              <w:t xml:space="preserve">a </w:t>
            </w:r>
            <w:r>
              <w:rPr>
                <w:rFonts w:hint="eastAsia" w:ascii="宋体" w:hAnsi="宋体"/>
                <w:color w:val="auto"/>
                <w:sz w:val="18"/>
                <w:szCs w:val="18"/>
                <w:highlight w:val="none"/>
              </w:rPr>
              <w:t>如果可热处理强化合金锻件以固溶状态交货时，供方应以试验证实，试样按表7推荐的热处理制度时效处理后，能够满足完全热处理的性能要求。</w:t>
            </w:r>
          </w:p>
          <w:p>
            <w:pPr>
              <w:ind w:firstLine="360" w:firstLineChars="200"/>
              <w:jc w:val="left"/>
              <w:rPr>
                <w:rFonts w:hint="eastAsia" w:ascii="宋体" w:hAnsi="宋体"/>
                <w:color w:val="auto"/>
                <w:sz w:val="18"/>
                <w:szCs w:val="18"/>
                <w:highlight w:val="none"/>
                <w:lang w:val="en-US" w:eastAsia="zh-CN"/>
              </w:rPr>
            </w:pPr>
            <w:r>
              <w:rPr>
                <w:rFonts w:hint="eastAsia" w:ascii="宋体" w:hAnsi="宋体"/>
                <w:color w:val="auto"/>
                <w:sz w:val="18"/>
                <w:szCs w:val="18"/>
                <w:highlight w:val="none"/>
                <w:vertAlign w:val="superscript"/>
                <w:lang w:val="en-US" w:eastAsia="zh-CN"/>
              </w:rPr>
              <w:t xml:space="preserve">b </w:t>
            </w:r>
            <w:r>
              <w:rPr>
                <w:rFonts w:hint="eastAsia" w:ascii="宋体" w:hAnsi="宋体"/>
                <w:color w:val="auto"/>
                <w:sz w:val="18"/>
                <w:szCs w:val="18"/>
                <w:highlight w:val="none"/>
                <w:lang w:val="en-US" w:eastAsia="zh-CN"/>
              </w:rPr>
              <w:t>硬度（HBW）在192至241之间。</w:t>
            </w:r>
          </w:p>
        </w:tc>
      </w:tr>
    </w:tbl>
    <w:p>
      <w:pPr>
        <w:pStyle w:val="59"/>
        <w:rPr>
          <w:color w:val="auto"/>
          <w:highlight w:val="none"/>
        </w:rPr>
      </w:pPr>
      <w:r>
        <w:rPr>
          <w:rFonts w:hint="eastAsia"/>
          <w:color w:val="auto"/>
          <w:highlight w:val="none"/>
        </w:rPr>
        <w:t>5</w:t>
      </w:r>
      <w:r>
        <w:rPr>
          <w:color w:val="auto"/>
          <w:highlight w:val="none"/>
        </w:rPr>
        <w:t>.</w:t>
      </w:r>
      <w:r>
        <w:rPr>
          <w:rFonts w:hint="eastAsia"/>
          <w:color w:val="auto"/>
          <w:highlight w:val="none"/>
        </w:rPr>
        <w:t>4  高温力学性能</w:t>
      </w:r>
    </w:p>
    <w:p>
      <w:pPr>
        <w:keepNext w:val="0"/>
        <w:keepLines w:val="0"/>
        <w:pageBreakBefore w:val="0"/>
        <w:widowControl w:val="0"/>
        <w:kinsoku/>
        <w:wordWrap/>
        <w:overflowPunct/>
        <w:topLinePunct w:val="0"/>
        <w:autoSpaceDE/>
        <w:autoSpaceDN/>
        <w:bidi w:val="0"/>
        <w:adjustRightInd/>
        <w:snapToGrid/>
        <w:spacing w:line="240" w:lineRule="auto"/>
        <w:ind w:firstLine="420"/>
        <w:textAlignment w:val="auto"/>
        <w:rPr>
          <w:rFonts w:hint="eastAsia" w:ascii="宋体" w:hAnsi="宋体"/>
          <w:color w:val="auto"/>
          <w:szCs w:val="21"/>
          <w:highlight w:val="none"/>
        </w:rPr>
      </w:pPr>
      <w:r>
        <w:rPr>
          <w:rFonts w:hint="eastAsia" w:ascii="宋体" w:hAnsi="宋体"/>
          <w:color w:val="auto"/>
          <w:szCs w:val="21"/>
          <w:highlight w:val="none"/>
        </w:rPr>
        <w:t>锻件的高温力学性能应符合表</w:t>
      </w:r>
      <w:r>
        <w:rPr>
          <w:rFonts w:hint="eastAsia" w:ascii="宋体" w:hAnsi="宋体"/>
          <w:color w:val="auto"/>
          <w:szCs w:val="21"/>
          <w:highlight w:val="none"/>
          <w:lang w:val="en-US" w:eastAsia="zh-CN"/>
        </w:rPr>
        <w:t>5</w:t>
      </w:r>
      <w:r>
        <w:rPr>
          <w:rFonts w:hint="eastAsia" w:ascii="宋体" w:hAnsi="宋体"/>
          <w:color w:val="auto"/>
          <w:szCs w:val="21"/>
          <w:highlight w:val="none"/>
        </w:rPr>
        <w:t>的规定。可热处理强化合金的推荐热处理制度如表</w:t>
      </w:r>
      <w:r>
        <w:rPr>
          <w:rFonts w:hint="eastAsia" w:ascii="宋体" w:hAnsi="宋体"/>
          <w:color w:val="auto"/>
          <w:szCs w:val="21"/>
          <w:highlight w:val="none"/>
          <w:lang w:val="en-US" w:eastAsia="zh-CN"/>
        </w:rPr>
        <w:t>7</w:t>
      </w:r>
      <w:r>
        <w:rPr>
          <w:rFonts w:hint="eastAsia" w:ascii="宋体" w:hAnsi="宋体"/>
          <w:color w:val="auto"/>
          <w:szCs w:val="21"/>
          <w:highlight w:val="none"/>
        </w:rPr>
        <w:t>所示。如上述两产品以固溶状态交货时，供方应以试验证实，试样按表7推荐的热处理制度时效处理后，能够满足完全热处理的性能要求。</w:t>
      </w:r>
    </w:p>
    <w:p>
      <w:pPr>
        <w:spacing w:line="400" w:lineRule="exact"/>
        <w:jc w:val="center"/>
        <w:rPr>
          <w:rFonts w:hint="eastAsia" w:ascii="黑体" w:hAnsi="黑体" w:eastAsia="黑体" w:cs="MS PMincho"/>
          <w:color w:val="auto"/>
          <w:szCs w:val="21"/>
          <w:highlight w:val="none"/>
        </w:rPr>
      </w:pPr>
      <w:r>
        <w:rPr>
          <w:rFonts w:hint="eastAsia" w:ascii="黑体" w:hAnsi="黑体" w:eastAsia="黑体" w:cs="MS PMincho"/>
          <w:color w:val="auto"/>
          <w:szCs w:val="21"/>
          <w:highlight w:val="none"/>
        </w:rPr>
        <w:t>表</w:t>
      </w:r>
      <w:r>
        <w:rPr>
          <w:rFonts w:hint="eastAsia" w:ascii="黑体" w:hAnsi="黑体" w:eastAsia="黑体" w:cs="MS PMincho"/>
          <w:color w:val="auto"/>
          <w:szCs w:val="21"/>
          <w:highlight w:val="none"/>
          <w:lang w:val="en-US" w:eastAsia="zh-CN"/>
        </w:rPr>
        <w:t>5</w:t>
      </w:r>
      <w:r>
        <w:rPr>
          <w:rFonts w:hint="eastAsia" w:ascii="黑体" w:hAnsi="黑体" w:eastAsia="黑体" w:cs="MS PMincho"/>
          <w:color w:val="auto"/>
          <w:szCs w:val="21"/>
          <w:highlight w:val="none"/>
        </w:rPr>
        <w:t xml:space="preserve">  锻件的高温力学性能</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1658"/>
        <w:gridCol w:w="1082"/>
        <w:gridCol w:w="1299"/>
        <w:gridCol w:w="2071"/>
        <w:gridCol w:w="933"/>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12" w:space="0"/>
              <w:left w:val="single" w:color="auto" w:sz="12"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合金牌号</w:t>
            </w:r>
          </w:p>
        </w:tc>
        <w:tc>
          <w:tcPr>
            <w:tcW w:w="1658" w:type="dxa"/>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状态</w:t>
            </w:r>
          </w:p>
        </w:tc>
        <w:tc>
          <w:tcPr>
            <w:tcW w:w="1082" w:type="dxa"/>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外形尺寸</w:t>
            </w:r>
          </w:p>
          <w:p>
            <w:pPr>
              <w:jc w:val="center"/>
              <w:rPr>
                <w:rFonts w:hint="eastAsia" w:ascii="宋体" w:hAnsi="宋体"/>
                <w:color w:val="auto"/>
                <w:sz w:val="18"/>
                <w:szCs w:val="18"/>
                <w:highlight w:val="none"/>
              </w:rPr>
            </w:pPr>
            <w:r>
              <w:rPr>
                <w:rFonts w:hint="eastAsia" w:ascii="宋体" w:hAnsi="宋体"/>
                <w:color w:val="auto"/>
                <w:sz w:val="18"/>
                <w:szCs w:val="18"/>
                <w:highlight w:val="none"/>
              </w:rPr>
              <w:t>mm</w:t>
            </w:r>
          </w:p>
        </w:tc>
        <w:tc>
          <w:tcPr>
            <w:tcW w:w="1299" w:type="dxa"/>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抗拉强度</w:t>
            </w:r>
            <w:r>
              <w:rPr>
                <w:rFonts w:hint="eastAsia" w:ascii="宋体" w:hAnsi="宋体"/>
                <w:i/>
                <w:iCs/>
                <w:color w:val="auto"/>
                <w:sz w:val="18"/>
                <w:szCs w:val="18"/>
                <w:highlight w:val="none"/>
              </w:rPr>
              <w:t>Rm</w:t>
            </w:r>
          </w:p>
          <w:p>
            <w:pPr>
              <w:jc w:val="center"/>
              <w:rPr>
                <w:rFonts w:hint="eastAsia" w:ascii="宋体" w:hAnsi="宋体"/>
                <w:color w:val="auto"/>
                <w:sz w:val="18"/>
                <w:szCs w:val="18"/>
                <w:highlight w:val="none"/>
              </w:rPr>
            </w:pPr>
            <w:r>
              <w:rPr>
                <w:rFonts w:hint="eastAsia" w:ascii="宋体" w:hAnsi="宋体"/>
                <w:color w:val="auto"/>
                <w:sz w:val="18"/>
                <w:szCs w:val="18"/>
                <w:highlight w:val="none"/>
              </w:rPr>
              <w:t>N/mm</w:t>
            </w:r>
            <w:r>
              <w:rPr>
                <w:rFonts w:hint="eastAsia" w:ascii="宋体" w:hAnsi="宋体"/>
                <w:color w:val="auto"/>
                <w:sz w:val="18"/>
                <w:szCs w:val="18"/>
                <w:highlight w:val="none"/>
                <w:vertAlign w:val="superscript"/>
              </w:rPr>
              <w:t>2</w:t>
            </w:r>
            <w:r>
              <w:rPr>
                <w:rFonts w:hint="eastAsia" w:ascii="宋体" w:hAnsi="宋体"/>
                <w:color w:val="auto"/>
                <w:sz w:val="18"/>
                <w:szCs w:val="18"/>
                <w:highlight w:val="none"/>
              </w:rPr>
              <w:t>，不小于</w:t>
            </w:r>
          </w:p>
        </w:tc>
        <w:tc>
          <w:tcPr>
            <w:tcW w:w="2071" w:type="dxa"/>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规定非比例延伸强度</w:t>
            </w:r>
            <w:r>
              <w:rPr>
                <w:rFonts w:hint="eastAsia" w:ascii="宋体" w:hAnsi="宋体"/>
                <w:i/>
                <w:iCs/>
                <w:color w:val="auto"/>
                <w:sz w:val="18"/>
                <w:szCs w:val="18"/>
                <w:highlight w:val="none"/>
              </w:rPr>
              <w:t>Rp</w:t>
            </w:r>
            <w:r>
              <w:rPr>
                <w:rFonts w:hint="eastAsia" w:ascii="宋体" w:hAnsi="宋体"/>
                <w:color w:val="auto"/>
                <w:sz w:val="18"/>
                <w:szCs w:val="18"/>
                <w:highlight w:val="none"/>
              </w:rPr>
              <w:t>0.2</w:t>
            </w:r>
          </w:p>
          <w:p>
            <w:pPr>
              <w:jc w:val="center"/>
              <w:rPr>
                <w:rFonts w:hint="eastAsia" w:ascii="宋体" w:hAnsi="宋体"/>
                <w:color w:val="auto"/>
                <w:sz w:val="18"/>
                <w:szCs w:val="18"/>
                <w:highlight w:val="none"/>
              </w:rPr>
            </w:pPr>
            <w:r>
              <w:rPr>
                <w:rFonts w:hint="eastAsia" w:ascii="宋体" w:hAnsi="宋体"/>
                <w:color w:val="auto"/>
                <w:sz w:val="18"/>
                <w:szCs w:val="18"/>
                <w:highlight w:val="none"/>
              </w:rPr>
              <w:t>N/mm</w:t>
            </w:r>
            <w:r>
              <w:rPr>
                <w:rFonts w:hint="eastAsia" w:ascii="宋体" w:hAnsi="宋体"/>
                <w:color w:val="auto"/>
                <w:sz w:val="18"/>
                <w:szCs w:val="18"/>
                <w:highlight w:val="none"/>
                <w:vertAlign w:val="superscript"/>
              </w:rPr>
              <w:t>2</w:t>
            </w:r>
            <w:r>
              <w:rPr>
                <w:rFonts w:hint="eastAsia" w:ascii="宋体" w:hAnsi="宋体"/>
                <w:color w:val="auto"/>
                <w:sz w:val="18"/>
                <w:szCs w:val="18"/>
                <w:highlight w:val="none"/>
              </w:rPr>
              <w:t>，不小于</w:t>
            </w:r>
          </w:p>
        </w:tc>
        <w:tc>
          <w:tcPr>
            <w:tcW w:w="933" w:type="dxa"/>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伸长率A</w:t>
            </w:r>
          </w:p>
          <w:p>
            <w:pPr>
              <w:jc w:val="center"/>
              <w:rPr>
                <w:rFonts w:hint="eastAsia" w:ascii="宋体" w:hAnsi="宋体"/>
                <w:color w:val="auto"/>
                <w:sz w:val="18"/>
                <w:szCs w:val="18"/>
                <w:highlight w:val="none"/>
              </w:rPr>
            </w:pPr>
            <w:r>
              <w:rPr>
                <w:rFonts w:hint="eastAsia" w:ascii="宋体" w:hAnsi="宋体"/>
                <w:color w:val="auto"/>
                <w:sz w:val="18"/>
                <w:szCs w:val="18"/>
                <w:highlight w:val="none"/>
              </w:rPr>
              <w:t>%，不小于</w:t>
            </w:r>
          </w:p>
        </w:tc>
        <w:tc>
          <w:tcPr>
            <w:tcW w:w="1352" w:type="dxa"/>
            <w:tcBorders>
              <w:top w:val="single" w:color="auto" w:sz="12" w:space="0"/>
              <w:left w:val="single" w:color="auto" w:sz="6" w:space="0"/>
              <w:bottom w:val="single" w:color="auto" w:sz="12"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拉伸试验温度</w:t>
            </w:r>
          </w:p>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single" w:color="auto" w:sz="12" w:space="0"/>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-20-</w:t>
            </w:r>
            <w:r>
              <w:rPr>
                <w:rFonts w:hint="eastAsia" w:ascii="宋体" w:hAnsi="宋体" w:cs="宋体"/>
                <w:color w:val="auto"/>
                <w:kern w:val="0"/>
                <w:sz w:val="16"/>
                <w:szCs w:val="16"/>
                <w:highlight w:val="none"/>
                <w:lang w:bidi="ar"/>
              </w:rPr>
              <w:t>5</w:t>
            </w:r>
            <w:r>
              <w:rPr>
                <w:rFonts w:ascii="宋体" w:hAnsi="宋体" w:cs="宋体"/>
                <w:color w:val="auto"/>
                <w:kern w:val="0"/>
                <w:sz w:val="16"/>
                <w:szCs w:val="16"/>
                <w:highlight w:val="none"/>
                <w:lang w:bidi="ar"/>
              </w:rPr>
              <w:t>-2</w:t>
            </w:r>
          </w:p>
        </w:tc>
        <w:tc>
          <w:tcPr>
            <w:tcW w:w="1658" w:type="dxa"/>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green"/>
              </w:rPr>
            </w:pPr>
            <w:r>
              <w:rPr>
                <w:rFonts w:hint="eastAsia" w:ascii="宋体" w:hAnsi="宋体"/>
                <w:color w:val="auto"/>
                <w:sz w:val="18"/>
                <w:szCs w:val="18"/>
                <w:highlight w:val="green"/>
              </w:rPr>
              <w:t>固溶和时效（CS）</w:t>
            </w:r>
          </w:p>
        </w:tc>
        <w:tc>
          <w:tcPr>
            <w:tcW w:w="1082" w:type="dxa"/>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1299" w:type="dxa"/>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540</w:t>
            </w:r>
          </w:p>
        </w:tc>
        <w:tc>
          <w:tcPr>
            <w:tcW w:w="2071" w:type="dxa"/>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400</w:t>
            </w:r>
          </w:p>
        </w:tc>
        <w:tc>
          <w:tcPr>
            <w:tcW w:w="933" w:type="dxa"/>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12</w:t>
            </w:r>
          </w:p>
        </w:tc>
        <w:tc>
          <w:tcPr>
            <w:tcW w:w="1352" w:type="dxa"/>
            <w:tcBorders>
              <w:top w:val="single" w:color="auto" w:sz="12"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0" w:type="auto"/>
            <w:tcBorders>
              <w:top w:val="single" w:color="auto" w:sz="8" w:space="0"/>
              <w:left w:val="single" w:color="auto" w:sz="12"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NFe36</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12</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6</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3</w:t>
            </w:r>
          </w:p>
        </w:tc>
        <w:tc>
          <w:tcPr>
            <w:tcW w:w="1658" w:type="dxa"/>
            <w:tcBorders>
              <w:top w:val="single" w:color="auto" w:sz="8"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green"/>
              </w:rPr>
            </w:pPr>
            <w:r>
              <w:rPr>
                <w:rFonts w:hint="eastAsia" w:ascii="宋体" w:hAnsi="宋体"/>
                <w:color w:val="auto"/>
                <w:sz w:val="18"/>
                <w:szCs w:val="18"/>
                <w:highlight w:val="green"/>
              </w:rPr>
              <w:t>固溶、稳定化和时效（CS）</w:t>
            </w:r>
          </w:p>
        </w:tc>
        <w:tc>
          <w:tcPr>
            <w:tcW w:w="1082" w:type="dxa"/>
            <w:tcBorders>
              <w:top w:val="single" w:color="auto" w:sz="8"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1299" w:type="dxa"/>
            <w:tcBorders>
              <w:top w:val="single" w:color="auto" w:sz="8"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960</w:t>
            </w:r>
          </w:p>
        </w:tc>
        <w:tc>
          <w:tcPr>
            <w:tcW w:w="2071" w:type="dxa"/>
            <w:tcBorders>
              <w:top w:val="single" w:color="auto" w:sz="8"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690</w:t>
            </w:r>
          </w:p>
        </w:tc>
        <w:tc>
          <w:tcPr>
            <w:tcW w:w="933" w:type="dxa"/>
            <w:tcBorders>
              <w:top w:val="single" w:color="auto" w:sz="8"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8</w:t>
            </w:r>
          </w:p>
        </w:tc>
        <w:tc>
          <w:tcPr>
            <w:tcW w:w="1352" w:type="dxa"/>
            <w:tcBorders>
              <w:top w:val="single" w:color="auto" w:sz="8" w:space="0"/>
              <w:left w:val="single" w:color="auto" w:sz="6" w:space="0"/>
              <w:bottom w:val="single" w:color="auto" w:sz="12"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575</w:t>
            </w:r>
          </w:p>
        </w:tc>
      </w:tr>
    </w:tbl>
    <w:p>
      <w:pPr>
        <w:pStyle w:val="59"/>
        <w:rPr>
          <w:color w:val="auto"/>
          <w:highlight w:val="none"/>
        </w:rPr>
      </w:pPr>
      <w:r>
        <w:rPr>
          <w:rFonts w:hint="eastAsia"/>
          <w:color w:val="auto"/>
          <w:highlight w:val="none"/>
        </w:rPr>
        <w:t>5</w:t>
      </w:r>
      <w:r>
        <w:rPr>
          <w:color w:val="auto"/>
          <w:highlight w:val="none"/>
        </w:rPr>
        <w:t>.</w:t>
      </w:r>
      <w:r>
        <w:rPr>
          <w:rFonts w:hint="eastAsia"/>
          <w:color w:val="auto"/>
          <w:highlight w:val="none"/>
        </w:rPr>
        <w:t>5 蠕变和应力断裂性能</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需方有要求时</w:t>
      </w:r>
      <w:r>
        <w:rPr>
          <w:rFonts w:hint="eastAsia" w:ascii="宋体" w:hAnsi="宋体"/>
          <w:color w:val="auto"/>
          <w:szCs w:val="21"/>
          <w:highlight w:val="none"/>
        </w:rPr>
        <w:t>，可热处理强化合金锻件的蠕变和应力断裂性能应符合表</w:t>
      </w:r>
      <w:r>
        <w:rPr>
          <w:rFonts w:hint="eastAsia" w:ascii="宋体" w:hAnsi="宋体"/>
          <w:color w:val="auto"/>
          <w:szCs w:val="21"/>
          <w:highlight w:val="none"/>
          <w:lang w:val="en-US" w:eastAsia="zh-CN"/>
        </w:rPr>
        <w:t>6</w:t>
      </w:r>
      <w:r>
        <w:rPr>
          <w:rFonts w:hint="eastAsia" w:ascii="宋体" w:hAnsi="宋体"/>
          <w:color w:val="auto"/>
          <w:szCs w:val="21"/>
          <w:highlight w:val="none"/>
        </w:rPr>
        <w:t>的要求。</w:t>
      </w:r>
    </w:p>
    <w:p>
      <w:pPr>
        <w:pStyle w:val="59"/>
        <w:rPr>
          <w:color w:val="auto"/>
          <w:highlight w:val="none"/>
        </w:rPr>
      </w:pPr>
      <w:r>
        <w:rPr>
          <w:rFonts w:hint="eastAsia"/>
          <w:color w:val="auto"/>
          <w:highlight w:val="none"/>
        </w:rPr>
        <w:t>5</w:t>
      </w:r>
      <w:r>
        <w:rPr>
          <w:color w:val="auto"/>
          <w:highlight w:val="none"/>
        </w:rPr>
        <w:t>.</w:t>
      </w:r>
      <w:r>
        <w:rPr>
          <w:rFonts w:hint="eastAsia"/>
          <w:color w:val="auto"/>
          <w:highlight w:val="none"/>
        </w:rPr>
        <w:t>6 晶粒度</w:t>
      </w:r>
    </w:p>
    <w:p>
      <w:pPr>
        <w:widowControl w:val="0"/>
        <w:pBdr>
          <w:top w:val="none" w:color="auto" w:sz="0" w:space="1"/>
          <w:left w:val="none" w:color="auto" w:sz="0" w:space="4"/>
          <w:bottom w:val="none" w:color="auto" w:sz="0" w:space="1"/>
          <w:right w:val="single" w:color="auto" w:sz="4" w:space="8"/>
          <w:between w:val="none" w:color="auto" w:sz="0" w:space="0"/>
        </w:pBdr>
        <w:ind w:firstLine="420" w:firstLineChars="0"/>
        <w:jc w:val="both"/>
        <w:rPr>
          <w:rFonts w:hint="default" w:ascii="宋体" w:hAnsi="宋体"/>
          <w:color w:val="0000FF"/>
          <w:szCs w:val="21"/>
          <w:highlight w:val="none"/>
          <w:u w:val="single"/>
          <w:lang w:val="en-US"/>
        </w:rPr>
      </w:pPr>
      <w:r>
        <w:rPr>
          <w:rFonts w:hint="eastAsia" w:ascii="宋体" w:hAnsi="宋体"/>
          <w:color w:val="0000FF"/>
          <w:szCs w:val="21"/>
          <w:highlight w:val="none"/>
          <w:lang w:eastAsia="zh-CN"/>
        </w:rPr>
        <w:t>需方有要求时</w:t>
      </w:r>
      <w:r>
        <w:rPr>
          <w:rFonts w:hint="eastAsia" w:ascii="宋体" w:hAnsi="宋体"/>
          <w:color w:val="0000FF"/>
          <w:szCs w:val="21"/>
          <w:highlight w:val="none"/>
        </w:rPr>
        <w:t>，NS1102</w:t>
      </w:r>
      <w:r>
        <w:rPr>
          <w:rFonts w:hint="eastAsia" w:ascii="宋体" w:hAnsi="宋体"/>
          <w:color w:val="0000FF"/>
          <w:szCs w:val="21"/>
          <w:highlight w:val="none"/>
          <w:lang w:eastAsia="zh-CN"/>
        </w:rPr>
        <w:t>、</w:t>
      </w:r>
      <w:r>
        <w:rPr>
          <w:rFonts w:hint="eastAsia" w:ascii="宋体" w:hAnsi="宋体"/>
          <w:color w:val="0000FF"/>
          <w:szCs w:val="21"/>
          <w:highlight w:val="none"/>
        </w:rPr>
        <w:t>NS1104牌号的平均晶粒度</w:t>
      </w:r>
      <w:r>
        <w:rPr>
          <w:rFonts w:hint="eastAsia" w:ascii="宋体" w:hAnsi="宋体"/>
          <w:color w:val="0000FF"/>
          <w:szCs w:val="21"/>
          <w:highlight w:val="none"/>
          <w:lang w:val="en-US" w:eastAsia="zh-CN"/>
        </w:rPr>
        <w:t>等级</w:t>
      </w:r>
      <w:r>
        <w:rPr>
          <w:rFonts w:hint="eastAsia" w:ascii="宋体" w:hAnsi="宋体"/>
          <w:color w:val="0000FF"/>
          <w:szCs w:val="21"/>
          <w:highlight w:val="none"/>
        </w:rPr>
        <w:t>应不</w:t>
      </w:r>
      <w:r>
        <w:rPr>
          <w:rFonts w:hint="eastAsia" w:ascii="宋体" w:hAnsi="宋体"/>
          <w:color w:val="0000FF"/>
          <w:szCs w:val="21"/>
          <w:highlight w:val="none"/>
          <w:lang w:val="en-US" w:eastAsia="zh-CN"/>
        </w:rPr>
        <w:t>大</w:t>
      </w:r>
      <w:r>
        <w:rPr>
          <w:rFonts w:hint="eastAsia" w:ascii="宋体" w:hAnsi="宋体"/>
          <w:color w:val="0000FF"/>
          <w:szCs w:val="21"/>
          <w:highlight w:val="none"/>
        </w:rPr>
        <w:t>于</w:t>
      </w:r>
      <w:r>
        <w:rPr>
          <w:rFonts w:hint="eastAsia" w:ascii="宋体" w:hAnsi="宋体"/>
          <w:color w:val="0000FF"/>
          <w:szCs w:val="21"/>
          <w:highlight w:val="none"/>
          <w:lang w:val="en-US" w:eastAsia="zh-CN"/>
        </w:rPr>
        <w:t>GB/T 6394中规定的5级</w:t>
      </w:r>
      <w:r>
        <w:rPr>
          <w:rFonts w:hint="eastAsia" w:ascii="宋体" w:hAnsi="宋体"/>
          <w:color w:val="0000FF"/>
          <w:szCs w:val="21"/>
          <w:highlight w:val="none"/>
        </w:rPr>
        <w:t>，</w:t>
      </w:r>
      <w:r>
        <w:rPr>
          <w:rFonts w:hint="eastAsia" w:ascii="宋体" w:hAnsi="宋体"/>
          <w:color w:val="0000FF"/>
          <w:szCs w:val="21"/>
          <w:highlight w:val="none"/>
          <w:u w:val="single"/>
          <w:lang w:eastAsia="zh-CN"/>
        </w:rPr>
        <w:t>N</w:t>
      </w:r>
      <w:r>
        <w:rPr>
          <w:rFonts w:hint="eastAsia" w:ascii="宋体" w:hAnsi="宋体"/>
          <w:color w:val="0000FF"/>
          <w:szCs w:val="21"/>
          <w:highlight w:val="none"/>
          <w:u w:val="single"/>
          <w:lang w:val="en-US" w:eastAsia="zh-CN"/>
        </w:rPr>
        <w:t>S15</w:t>
      </w:r>
      <w:r>
        <w:rPr>
          <w:rFonts w:hint="eastAsia" w:ascii="宋体" w:hAnsi="宋体"/>
          <w:color w:val="0000FF"/>
          <w:szCs w:val="21"/>
          <w:highlight w:val="none"/>
          <w:u w:val="single"/>
          <w:lang w:eastAsia="zh-CN"/>
        </w:rPr>
        <w:t>0</w:t>
      </w:r>
      <w:r>
        <w:rPr>
          <w:rFonts w:hint="eastAsia" w:ascii="宋体" w:hAnsi="宋体"/>
          <w:color w:val="0000FF"/>
          <w:szCs w:val="21"/>
          <w:highlight w:val="none"/>
          <w:u w:val="single"/>
          <w:lang w:val="en-US" w:eastAsia="zh-CN"/>
        </w:rPr>
        <w:t>2</w:t>
      </w:r>
      <w:r>
        <w:rPr>
          <w:rFonts w:hint="eastAsia" w:ascii="宋体" w:hAnsi="宋体"/>
          <w:color w:val="0000FF"/>
          <w:szCs w:val="21"/>
          <w:highlight w:val="none"/>
          <w:u w:val="single"/>
        </w:rPr>
        <w:t>牌号的平均晶粒度</w:t>
      </w:r>
      <w:r>
        <w:rPr>
          <w:rFonts w:hint="eastAsia" w:ascii="宋体" w:hAnsi="宋体"/>
          <w:color w:val="0000FF"/>
          <w:szCs w:val="21"/>
          <w:highlight w:val="none"/>
          <w:u w:val="single"/>
          <w:lang w:val="en-US" w:eastAsia="zh-CN"/>
        </w:rPr>
        <w:t>等级</w:t>
      </w:r>
      <w:r>
        <w:rPr>
          <w:rFonts w:hint="eastAsia" w:ascii="宋体" w:hAnsi="宋体"/>
          <w:color w:val="0000FF"/>
          <w:szCs w:val="21"/>
          <w:highlight w:val="none"/>
          <w:u w:val="single"/>
        </w:rPr>
        <w:t>应不小于</w:t>
      </w:r>
      <w:r>
        <w:rPr>
          <w:rFonts w:hint="eastAsia" w:ascii="宋体" w:hAnsi="宋体"/>
          <w:color w:val="0000FF"/>
          <w:szCs w:val="21"/>
          <w:highlight w:val="none"/>
          <w:lang w:val="en-US" w:eastAsia="zh-CN"/>
        </w:rPr>
        <w:t>GB/T 6394中规定的</w:t>
      </w:r>
      <w:r>
        <w:rPr>
          <w:rFonts w:hint="eastAsia" w:ascii="宋体" w:hAnsi="宋体"/>
          <w:color w:val="0000FF"/>
          <w:szCs w:val="21"/>
          <w:highlight w:val="none"/>
          <w:u w:val="single"/>
          <w:lang w:val="en-US" w:eastAsia="zh-CN"/>
        </w:rPr>
        <w:t>3级</w:t>
      </w:r>
      <w:r>
        <w:rPr>
          <w:rFonts w:hint="eastAsia" w:ascii="宋体" w:hAnsi="宋体"/>
          <w:color w:val="0000FF"/>
          <w:szCs w:val="21"/>
          <w:highlight w:val="none"/>
          <w:u w:val="single"/>
        </w:rPr>
        <w:t>。</w:t>
      </w:r>
      <w:r>
        <w:rPr>
          <w:color w:val="0000FF"/>
          <w:sz w:val="21"/>
          <w:highlight w:val="none"/>
        </w:rPr>
        <mc:AlternateContent>
          <mc:Choice Requires="wps">
            <w:drawing>
              <wp:anchor distT="0" distB="0" distL="114300" distR="114300" simplePos="0" relativeHeight="251676672" behindDoc="0" locked="0" layoutInCell="1" allowOverlap="1">
                <wp:simplePos x="0" y="0"/>
                <wp:positionH relativeFrom="column">
                  <wp:posOffset>9022715</wp:posOffset>
                </wp:positionH>
                <wp:positionV relativeFrom="paragraph">
                  <wp:posOffset>99060</wp:posOffset>
                </wp:positionV>
                <wp:extent cx="8890" cy="4333875"/>
                <wp:effectExtent l="4445" t="0" r="5715" b="9525"/>
                <wp:wrapNone/>
                <wp:docPr id="24" name="直接连接符 24"/>
                <wp:cNvGraphicFramePr/>
                <a:graphic xmlns:a="http://schemas.openxmlformats.org/drawingml/2006/main">
                  <a:graphicData uri="http://schemas.microsoft.com/office/word/2010/wordprocessingShape">
                    <wps:wsp>
                      <wps:cNvCnPr/>
                      <wps:spPr>
                        <a:xfrm>
                          <a:off x="0" y="0"/>
                          <a:ext cx="8890" cy="4333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10.45pt;margin-top:7.8pt;height:341.25pt;width:0.7pt;z-index:251676672;mso-width-relative:page;mso-height-relative:page;" filled="f" stroked="t" coordsize="21600,21600" o:gfxdata="UEsDBAoAAAAAAIdO4kAAAAAAAAAAAAAAAAAEAAAAZHJzL1BLAwQUAAAACACHTuJAwHEsqNoAAAAM&#10;AQAADwAAAGRycy9kb3ducmV2LnhtbE2PTU/DMAyG70j8h8hIXKYtaTeqrTTdAeiNCwO0q9eYtqJJ&#10;uib7gF+Pdxo3v/Kj14+L9dn24khj6LzTkMwUCHK1N51rNHy8V9MliBDRGey9Iw0/FGBd3t4UmBt/&#10;cm903MRGcIkLOWpoYxxyKUPdksUw8wM53n350WLkODbSjHjictvLVKlMWuwcX2hxoKeW6u/NwWoI&#10;1Sftq99JPVHbeeMp3T+/vqDW93eJegQR6RyvMFz0WR1Kdtr5gzNB9JwXqVoxy9NDBuJCLNJ0DmKn&#10;IVstE5BlIf8/Uf4BUEsDBBQAAAAIAIdO4kAe0DxR3AEAAJ8DAAAOAAAAZHJzL2Uyb0RvYy54bWyt&#10;U81uEzEQviPxDpbvZNOkgXSVTQ+NygVBJOgDTLzeXUv+k8fNJi/BCyBxgxNH7rwN5TEYe7cplEsP&#10;7ME7np/P830ery4PRrO9DKicrfjZZMqZtMLVyrYVv/lw/WLJGUawNWhnZcWPEvnl+vmzVe9LOXOd&#10;07UMjEAslr2veBejL4sCRScN4MR5aSnYuGAg0ja0RR2gJ3Sji9l0+rLoXah9cEIiknczBPmIGJ4C&#10;6JpGCblx4tZIGwfUIDVEooSd8sjXudumkSK+axqUkemKE9OYVzqE7F1ai/UKyjaA75QYW4CntPCI&#10;kwFl6dAT1AYisNug/oEySgSHrokT4UwxEMmKEIuz6SNt3nfgZeZCUqM/iY7/D1a83W8DU3XFZ+ec&#10;WTB043efvv/8+OXXj8+03n37yihCMvUeS8q+stsw7tBvQ+J8aIJJf2LDDlna40laeYhMkHO5vCDJ&#10;BQXO5/P58tUiQRYPtT5gfC2dYcmouFY2EYcS9m8wDqn3Kclt3bXSmvxQasv6il8sZgvCBxrIhgaB&#10;TOOJFNqWM9AtTbqIISOi06pO1akYQ7u70oHtIc1H/sbG/kpLR28AuyEvh8Y0bYlGkmYQI1k7Vx+z&#10;RtlP95aJjjOWBuPPfa5+eFfr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BxLKjaAAAADAEAAA8A&#10;AAAAAAAAAQAgAAAAIgAAAGRycy9kb3ducmV2LnhtbFBLAQIUABQAAAAIAIdO4kAe0DxR3AEAAJ8D&#10;AAAOAAAAAAAAAAEAIAAAACkBAABkcnMvZTJvRG9jLnhtbFBLBQYAAAAABgAGAFkBAAB3BQAAAAA=&#10;">
                <v:fill on="f" focussize="0,0"/>
                <v:stroke color="#000000 [3213]" joinstyle="round"/>
                <v:imagedata o:title=""/>
                <o:lock v:ext="edit" aspectratio="f"/>
              </v:line>
            </w:pict>
          </mc:Fallback>
        </mc:AlternateContent>
      </w:r>
    </w:p>
    <w:p>
      <w:pPr>
        <w:pStyle w:val="59"/>
        <w:rPr>
          <w:color w:val="auto"/>
          <w:highlight w:val="none"/>
        </w:rPr>
      </w:pPr>
      <w:r>
        <w:rPr>
          <w:rFonts w:hint="eastAsia"/>
          <w:color w:val="auto"/>
          <w:highlight w:val="none"/>
        </w:rPr>
        <w:t>5.7 表面质量</w:t>
      </w:r>
    </w:p>
    <w:p>
      <w:pPr>
        <w:keepNext w:val="0"/>
        <w:keepLines w:val="0"/>
        <w:pageBreakBefore w:val="0"/>
        <w:kinsoku/>
        <w:wordWrap/>
        <w:overflowPunct/>
        <w:topLinePunct w:val="0"/>
        <w:bidi w:val="0"/>
        <w:adjustRightInd/>
        <w:snapToGrid/>
        <w:spacing w:line="240" w:lineRule="auto"/>
        <w:textAlignment w:val="auto"/>
        <w:rPr>
          <w:rFonts w:hint="eastAsia" w:ascii="宋体" w:hAnsi="宋体"/>
          <w:color w:val="auto"/>
          <w:szCs w:val="21"/>
          <w:highlight w:val="none"/>
        </w:rPr>
      </w:pPr>
      <w:r>
        <w:rPr>
          <w:rFonts w:hint="eastAsia" w:ascii="黑体" w:hAnsi="黑体" w:eastAsia="黑体"/>
          <w:color w:val="auto"/>
          <w:szCs w:val="21"/>
          <w:highlight w:val="none"/>
        </w:rPr>
        <w:t>5.7.1</w:t>
      </w:r>
      <w:r>
        <w:rPr>
          <w:rFonts w:hint="eastAsia" w:ascii="宋体" w:hAnsi="宋体"/>
          <w:color w:val="auto"/>
          <w:szCs w:val="21"/>
          <w:highlight w:val="none"/>
        </w:rPr>
        <w:t xml:space="preserve"> 锻件表面应清洁，不允许有影响使用的缺陷。</w:t>
      </w:r>
    </w:p>
    <w:p>
      <w:pPr>
        <w:keepNext w:val="0"/>
        <w:keepLines w:val="0"/>
        <w:pageBreakBefore w:val="0"/>
        <w:kinsoku/>
        <w:wordWrap/>
        <w:overflowPunct/>
        <w:topLinePunct w:val="0"/>
        <w:bidi w:val="0"/>
        <w:adjustRightInd/>
        <w:snapToGrid/>
        <w:spacing w:line="240" w:lineRule="auto"/>
        <w:textAlignment w:val="auto"/>
        <w:rPr>
          <w:rFonts w:hint="eastAsia" w:ascii="宋体" w:hAnsi="宋体"/>
          <w:color w:val="auto"/>
          <w:szCs w:val="21"/>
          <w:highlight w:val="none"/>
        </w:rPr>
      </w:pPr>
      <w:r>
        <w:rPr>
          <w:color w:val="0000FF"/>
          <w:sz w:val="21"/>
          <w:highlight w:val="none"/>
        </w:rPr>
        <mc:AlternateContent>
          <mc:Choice Requires="wps">
            <w:drawing>
              <wp:anchor distT="0" distB="0" distL="114300" distR="114300" simplePos="0" relativeHeight="251678720" behindDoc="0" locked="0" layoutInCell="1" allowOverlap="1">
                <wp:simplePos x="0" y="0"/>
                <wp:positionH relativeFrom="column">
                  <wp:posOffset>6083300</wp:posOffset>
                </wp:positionH>
                <wp:positionV relativeFrom="paragraph">
                  <wp:posOffset>179705</wp:posOffset>
                </wp:positionV>
                <wp:extent cx="1270" cy="2332355"/>
                <wp:effectExtent l="4445" t="0" r="13335" b="10795"/>
                <wp:wrapNone/>
                <wp:docPr id="37" name="直接连接符 37"/>
                <wp:cNvGraphicFramePr/>
                <a:graphic xmlns:a="http://schemas.openxmlformats.org/drawingml/2006/main">
                  <a:graphicData uri="http://schemas.microsoft.com/office/word/2010/wordprocessingShape">
                    <wps:wsp>
                      <wps:cNvCnPr/>
                      <wps:spPr>
                        <a:xfrm>
                          <a:off x="0" y="0"/>
                          <a:ext cx="1270" cy="23323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9pt;margin-top:14.15pt;height:183.65pt;width:0.1pt;z-index:251678720;mso-width-relative:page;mso-height-relative:page;" filled="f" stroked="t" coordsize="21600,21600" o:gfxdata="UEsDBAoAAAAAAIdO4kAAAAAAAAAAAAAAAAAEAAAAZHJzL1BLAwQUAAAACACHTuJArFGM2dgAAAAK&#10;AQAADwAAAGRycy9kb3ducmV2LnhtbE2PvU7DQBCEeyTe4bRINBE5x1Yix3idAnBHQwKi3fgW28K3&#10;5/guP/D0HBWUszOa/abcXOygTjz53gnCYp6AYmmc6aVFeN3VdzkoH0gMDU4Y4Ys9bKrrq5IK487y&#10;wqdtaFUsEV8QQhfCWGjtm44t+bkbWaL34SZLIcqp1Waicyy3g06TZKUt9RI/dDTyQ8fN5/ZoEXz9&#10;xof6e9bMkvesdZweHp+fCPH2ZpHcgwp8CX9h+MWP6FBFpr07ivFqQFgv87glIKR5BioG4iEFtUfI&#10;1ssV6KrU/ydUP1BLAwQUAAAACACHTuJANAhSP9sBAACfAwAADgAAAGRycy9lMm9Eb2MueG1srVPN&#10;jtMwEL4j8Q6W7zRtqrIQNd3DVssFQSXgAaaOk1jynzzepn0JXgCJG5w4cudt2H0Mxk7ownLZAzk4&#10;4/n5PN/n8fryaDQ7yIDK2ZovZnPOpBWuUbar+Yf3189ecIYRbAPaWVnzk0R+uXn6ZD34Spaud7qR&#10;gRGIxWrwNe9j9FVRoOilAZw5Ly0FWxcMRNqGrmgCDIRudFHO58+LwYXGByckInm3Y5BPiOExgK5t&#10;lZBbJ26MtHFEDVJDJErYK498k7ttWyni27ZFGZmuOTGNeaVDyN6ntdisoeoC+F6JqQV4TAsPOBlQ&#10;lg49Q20hArsJ6h8oo0Rw6No4E84UI5GsCLFYzB9o864HLzMXkhr9WXT8f7DizWEXmGpqvrzgzIKh&#10;G7/99P3nxy93Pz7TevvtK6MIyTR4rCj7yu7CtEO/C4nzsQ0m/YkNO2ZpT2dp5TEyQc5FeUGSCwqU&#10;y2W5XK0SZHFf6wPGV9IZloyaa2UTcajg8BrjmPo7Jbmtu1Zakx8qbdlQ85erckX4QAPZ0iCQaTyR&#10;QttxBrqjSRcxZER0WjWpOhVj6PZXOrADpPnI39TYX2np6C1gP+bl0JSmLdFI0oxiJGvvmlPWKPvp&#10;3jLRacbSYPy5z9X372rz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xRjNnYAAAACgEAAA8AAAAA&#10;AAAAAQAgAAAAIgAAAGRycy9kb3ducmV2LnhtbFBLAQIUABQAAAAIAIdO4kA0CFI/2wEAAJ8DAAAO&#10;AAAAAAAAAAEAIAAAACcBAABkcnMvZTJvRG9jLnhtbFBLBQYAAAAABgAGAFkBAAB0BQAAAAA=&#10;">
                <v:fill on="f" focussize="0,0"/>
                <v:stroke color="#000000 [3213]" joinstyle="round"/>
                <v:imagedata o:title=""/>
                <o:lock v:ext="edit" aspectratio="f"/>
              </v:line>
            </w:pict>
          </mc:Fallback>
        </mc:AlternateContent>
      </w:r>
      <w:r>
        <w:rPr>
          <w:rFonts w:hint="eastAsia" w:ascii="黑体" w:hAnsi="黑体" w:eastAsia="黑体"/>
          <w:color w:val="auto"/>
          <w:szCs w:val="21"/>
          <w:highlight w:val="none"/>
        </w:rPr>
        <w:t xml:space="preserve">5.7.2 </w:t>
      </w:r>
      <w:r>
        <w:rPr>
          <w:rFonts w:hint="eastAsia" w:ascii="宋体" w:hAnsi="宋体"/>
          <w:color w:val="auto"/>
          <w:szCs w:val="21"/>
          <w:highlight w:val="none"/>
        </w:rPr>
        <w:t>供轧制板、带材用的锻块，表面</w:t>
      </w:r>
      <w:r>
        <w:rPr>
          <w:rFonts w:hint="eastAsia" w:ascii="宋体" w:hAnsi="宋体"/>
          <w:color w:val="auto"/>
          <w:szCs w:val="21"/>
          <w:highlight w:val="none"/>
          <w:lang w:val="en-US" w:eastAsia="zh-CN"/>
        </w:rPr>
        <w:t>及</w:t>
      </w:r>
      <w:r>
        <w:rPr>
          <w:rFonts w:hint="eastAsia" w:ascii="宋体" w:hAnsi="宋体"/>
          <w:color w:val="auto"/>
          <w:szCs w:val="21"/>
          <w:highlight w:val="none"/>
        </w:rPr>
        <w:t>侧面应平直，直墩平整。</w:t>
      </w:r>
    </w:p>
    <w:p>
      <w:pPr>
        <w:pStyle w:val="22"/>
        <w:keepNext w:val="0"/>
        <w:keepLines w:val="0"/>
        <w:pageBreakBefore w:val="0"/>
        <w:kinsoku/>
        <w:wordWrap/>
        <w:overflowPunct/>
        <w:topLinePunct w:val="0"/>
        <w:bidi w:val="0"/>
        <w:adjustRightInd/>
        <w:snapToGrid/>
        <w:spacing w:line="240" w:lineRule="auto"/>
        <w:ind w:left="0" w:leftChars="0" w:firstLine="0" w:firstLineChars="0"/>
        <w:textAlignment w:val="auto"/>
        <w:rPr>
          <w:rFonts w:hint="eastAsia" w:ascii="宋体" w:hAnsi="宋体"/>
          <w:color w:val="auto"/>
          <w:szCs w:val="21"/>
          <w:highlight w:val="none"/>
        </w:rPr>
      </w:pPr>
      <w:r>
        <w:rPr>
          <w:rFonts w:hint="eastAsia" w:ascii="黑体" w:hAnsi="黑体" w:eastAsia="黑体"/>
          <w:color w:val="auto"/>
          <w:szCs w:val="21"/>
          <w:highlight w:val="none"/>
        </w:rPr>
        <w:t xml:space="preserve">5.7.3 </w:t>
      </w:r>
      <w:r>
        <w:rPr>
          <w:rFonts w:hint="eastAsia" w:ascii="宋体" w:hAnsi="宋体"/>
          <w:color w:val="auto"/>
          <w:szCs w:val="21"/>
          <w:highlight w:val="none"/>
        </w:rPr>
        <w:t>经表面车光的锻件，车光后应符合下列要求：锻件车光后表面应清洁、光滑、无裂纹、分层、夹杂及影响加工质量的粗车纹存在。局部缺陷应修成缓坡，修理后深宽比不大于1：10。</w:t>
      </w:r>
    </w:p>
    <w:p>
      <w:pPr>
        <w:spacing w:line="400" w:lineRule="exact"/>
        <w:jc w:val="center"/>
        <w:rPr>
          <w:rFonts w:hint="eastAsia" w:ascii="黑体" w:hAnsi="黑体" w:eastAsia="黑体" w:cs="MS PMincho"/>
          <w:color w:val="auto"/>
          <w:szCs w:val="21"/>
          <w:highlight w:val="none"/>
        </w:rPr>
      </w:pPr>
      <w:r>
        <w:rPr>
          <w:rFonts w:hint="eastAsia" w:ascii="黑体" w:hAnsi="黑体" w:eastAsia="黑体" w:cs="MS PMincho"/>
          <w:color w:val="auto"/>
          <w:szCs w:val="21"/>
          <w:highlight w:val="none"/>
        </w:rPr>
        <w:t>表</w:t>
      </w:r>
      <w:r>
        <w:rPr>
          <w:rFonts w:hint="eastAsia" w:ascii="黑体" w:hAnsi="黑体" w:eastAsia="黑体" w:cs="MS PMincho"/>
          <w:color w:val="auto"/>
          <w:szCs w:val="21"/>
          <w:highlight w:val="none"/>
          <w:lang w:val="en-US" w:eastAsia="zh-CN"/>
        </w:rPr>
        <w:t>6</w:t>
      </w:r>
      <w:r>
        <w:rPr>
          <w:rFonts w:hint="eastAsia" w:ascii="黑体" w:hAnsi="黑体" w:eastAsia="黑体" w:cs="MS PMincho"/>
          <w:color w:val="auto"/>
          <w:szCs w:val="21"/>
          <w:highlight w:val="none"/>
        </w:rPr>
        <w:t xml:space="preserve">  蠕变和应力断裂试验要求</w:t>
      </w:r>
    </w:p>
    <w:tbl>
      <w:tblPr>
        <w:tblStyle w:val="16"/>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1096"/>
        <w:gridCol w:w="805"/>
        <w:gridCol w:w="1153"/>
        <w:gridCol w:w="1513"/>
        <w:gridCol w:w="1763"/>
        <w:gridCol w:w="763"/>
        <w:gridCol w:w="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8" w:type="pct"/>
            <w:tcBorders>
              <w:top w:val="single" w:color="auto" w:sz="12" w:space="0"/>
              <w:left w:val="single" w:color="auto" w:sz="12"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合金牌号</w:t>
            </w:r>
          </w:p>
        </w:tc>
        <w:tc>
          <w:tcPr>
            <w:tcW w:w="573" w:type="pct"/>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外形尺寸</w:t>
            </w:r>
          </w:p>
          <w:p>
            <w:pPr>
              <w:jc w:val="center"/>
              <w:rPr>
                <w:rFonts w:hint="eastAsia" w:ascii="宋体" w:hAnsi="宋体"/>
                <w:color w:val="auto"/>
                <w:sz w:val="18"/>
                <w:szCs w:val="18"/>
                <w:highlight w:val="none"/>
              </w:rPr>
            </w:pPr>
            <w:r>
              <w:rPr>
                <w:rFonts w:hint="eastAsia" w:ascii="宋体" w:hAnsi="宋体"/>
                <w:color w:val="auto"/>
                <w:sz w:val="18"/>
                <w:szCs w:val="18"/>
                <w:highlight w:val="none"/>
              </w:rPr>
              <w:t>mm</w:t>
            </w:r>
          </w:p>
        </w:tc>
        <w:tc>
          <w:tcPr>
            <w:tcW w:w="421" w:type="pct"/>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温度</w:t>
            </w:r>
          </w:p>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603" w:type="pct"/>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最小应力</w:t>
            </w:r>
          </w:p>
          <w:p>
            <w:pPr>
              <w:jc w:val="center"/>
              <w:rPr>
                <w:rFonts w:hint="eastAsia" w:ascii="宋体" w:hAnsi="宋体"/>
                <w:color w:val="auto"/>
                <w:sz w:val="18"/>
                <w:szCs w:val="18"/>
                <w:highlight w:val="none"/>
              </w:rPr>
            </w:pPr>
            <w:r>
              <w:rPr>
                <w:rFonts w:hint="eastAsia" w:ascii="宋体" w:hAnsi="宋体"/>
                <w:color w:val="auto"/>
                <w:sz w:val="18"/>
                <w:szCs w:val="18"/>
                <w:highlight w:val="none"/>
              </w:rPr>
              <w:t>N/mm</w:t>
            </w:r>
            <w:r>
              <w:rPr>
                <w:rFonts w:hint="eastAsia" w:ascii="宋体" w:hAnsi="宋体"/>
                <w:color w:val="auto"/>
                <w:sz w:val="18"/>
                <w:szCs w:val="18"/>
                <w:highlight w:val="none"/>
                <w:vertAlign w:val="superscript"/>
              </w:rPr>
              <w:t>2</w:t>
            </w:r>
          </w:p>
        </w:tc>
        <w:tc>
          <w:tcPr>
            <w:tcW w:w="791" w:type="pct"/>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最少断裂时间</w:t>
            </w:r>
          </w:p>
          <w:p>
            <w:pPr>
              <w:jc w:val="center"/>
              <w:rPr>
                <w:rFonts w:hint="eastAsia" w:ascii="宋体" w:hAnsi="宋体"/>
                <w:color w:val="auto"/>
                <w:sz w:val="18"/>
                <w:szCs w:val="18"/>
                <w:highlight w:val="none"/>
              </w:rPr>
            </w:pPr>
            <w:r>
              <w:rPr>
                <w:rFonts w:hint="eastAsia" w:ascii="宋体" w:hAnsi="宋体"/>
                <w:color w:val="auto"/>
                <w:sz w:val="18"/>
                <w:szCs w:val="18"/>
                <w:highlight w:val="none"/>
              </w:rPr>
              <w:t>h</w:t>
            </w:r>
          </w:p>
        </w:tc>
        <w:tc>
          <w:tcPr>
            <w:tcW w:w="922" w:type="pct"/>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vertAlign w:val="subscript"/>
              </w:rPr>
            </w:pPr>
            <w:r>
              <w:rPr>
                <w:rFonts w:hint="eastAsia" w:ascii="宋体" w:hAnsi="宋体"/>
                <w:color w:val="auto"/>
                <w:sz w:val="18"/>
                <w:szCs w:val="18"/>
                <w:highlight w:val="none"/>
              </w:rPr>
              <w:t>断裂时延伸率A</w:t>
            </w:r>
            <w:r>
              <w:rPr>
                <w:rFonts w:hint="eastAsia" w:ascii="宋体" w:hAnsi="宋体"/>
                <w:color w:val="auto"/>
                <w:sz w:val="18"/>
                <w:szCs w:val="18"/>
                <w:highlight w:val="none"/>
                <w:vertAlign w:val="subscript"/>
              </w:rPr>
              <w:t>50</w:t>
            </w:r>
          </w:p>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399" w:type="pct"/>
            <w:tcBorders>
              <w:top w:val="single" w:color="auto" w:sz="12"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持久时间</w:t>
            </w:r>
          </w:p>
          <w:p>
            <w:pPr>
              <w:jc w:val="center"/>
              <w:rPr>
                <w:rFonts w:hint="eastAsia" w:ascii="宋体" w:hAnsi="宋体"/>
                <w:color w:val="auto"/>
                <w:sz w:val="18"/>
                <w:szCs w:val="18"/>
                <w:highlight w:val="none"/>
              </w:rPr>
            </w:pPr>
            <w:r>
              <w:rPr>
                <w:rFonts w:hint="eastAsia" w:ascii="宋体" w:hAnsi="宋体"/>
                <w:color w:val="auto"/>
                <w:sz w:val="18"/>
                <w:szCs w:val="18"/>
                <w:highlight w:val="none"/>
              </w:rPr>
              <w:t>h</w:t>
            </w:r>
          </w:p>
        </w:tc>
        <w:tc>
          <w:tcPr>
            <w:tcW w:w="489" w:type="pct"/>
            <w:tcBorders>
              <w:top w:val="single" w:color="auto" w:sz="12" w:space="0"/>
              <w:left w:val="single" w:color="auto" w:sz="6" w:space="0"/>
              <w:bottom w:val="single" w:color="auto" w:sz="12"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塑性变形总量</w:t>
            </w:r>
          </w:p>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8" w:type="pct"/>
            <w:tcBorders>
              <w:top w:val="single" w:color="auto" w:sz="12" w:space="0"/>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NCo20-15-5-4</w:t>
            </w:r>
          </w:p>
        </w:tc>
        <w:tc>
          <w:tcPr>
            <w:tcW w:w="573" w:type="pct"/>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421" w:type="pct"/>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815</w:t>
            </w:r>
          </w:p>
        </w:tc>
        <w:tc>
          <w:tcPr>
            <w:tcW w:w="603" w:type="pct"/>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u w:val="single"/>
              </w:rPr>
              <w:t>360</w:t>
            </w:r>
            <w:r>
              <w:rPr>
                <w:rFonts w:hint="eastAsia" w:ascii="宋体" w:hAnsi="宋体"/>
                <w:color w:val="auto"/>
                <w:sz w:val="18"/>
                <w:szCs w:val="18"/>
                <w:highlight w:val="none"/>
                <w:u w:val="single"/>
                <w:vertAlign w:val="superscript"/>
              </w:rPr>
              <w:t>a</w:t>
            </w:r>
          </w:p>
        </w:tc>
        <w:tc>
          <w:tcPr>
            <w:tcW w:w="791" w:type="pct"/>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30</w:t>
            </w:r>
          </w:p>
        </w:tc>
        <w:tc>
          <w:tcPr>
            <w:tcW w:w="922" w:type="pct"/>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399" w:type="pct"/>
            <w:tcBorders>
              <w:top w:val="single" w:color="auto" w:sz="12"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489" w:type="pct"/>
            <w:tcBorders>
              <w:top w:val="single" w:color="auto" w:sz="12"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8" w:type="pct"/>
            <w:tcBorders>
              <w:top w:val="single" w:color="auto" w:sz="8" w:space="0"/>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-20-</w:t>
            </w:r>
            <w:r>
              <w:rPr>
                <w:rFonts w:hint="eastAsia" w:ascii="宋体" w:hAnsi="宋体" w:cs="宋体"/>
                <w:color w:val="auto"/>
                <w:kern w:val="0"/>
                <w:sz w:val="16"/>
                <w:szCs w:val="16"/>
                <w:highlight w:val="none"/>
                <w:lang w:bidi="ar"/>
              </w:rPr>
              <w:t>5</w:t>
            </w:r>
            <w:r>
              <w:rPr>
                <w:rFonts w:ascii="宋体" w:hAnsi="宋体" w:cs="宋体"/>
                <w:color w:val="auto"/>
                <w:kern w:val="0"/>
                <w:sz w:val="16"/>
                <w:szCs w:val="16"/>
                <w:highlight w:val="none"/>
                <w:lang w:bidi="ar"/>
              </w:rPr>
              <w:t>-2</w:t>
            </w:r>
          </w:p>
        </w:tc>
        <w:tc>
          <w:tcPr>
            <w:tcW w:w="57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4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780</w:t>
            </w:r>
          </w:p>
        </w:tc>
        <w:tc>
          <w:tcPr>
            <w:tcW w:w="60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120</w:t>
            </w:r>
          </w:p>
        </w:tc>
        <w:tc>
          <w:tcPr>
            <w:tcW w:w="79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922"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399" w:type="pct"/>
            <w:tcBorders>
              <w:top w:val="single" w:color="auto" w:sz="8" w:space="0"/>
              <w:left w:val="single" w:color="auto" w:sz="6" w:space="0"/>
              <w:bottom w:val="single" w:color="auto" w:sz="8" w:space="0"/>
              <w:right w:val="single" w:color="auto" w:sz="6" w:space="0"/>
            </w:tcBorders>
            <w:vAlign w:val="center"/>
          </w:tcPr>
          <w:p>
            <w:pPr>
              <w:jc w:val="center"/>
              <w:rPr>
                <w:rFonts w:hint="default"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50</w:t>
            </w:r>
          </w:p>
        </w:tc>
        <w:tc>
          <w:tcPr>
            <w:tcW w:w="489"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eastAsia="宋体" w:cs="Times New Roman"/>
                <w:color w:val="auto"/>
                <w:kern w:val="2"/>
                <w:sz w:val="18"/>
                <w:szCs w:val="18"/>
                <w:highlight w:val="none"/>
                <w:lang w:val="en-US" w:eastAsia="zh-CN" w:bidi="ar-SA"/>
              </w:rPr>
            </w:pPr>
            <w:r>
              <w:rPr>
                <w:rFonts w:hint="eastAsia" w:ascii="宋体" w:hAnsi="宋体"/>
                <w:color w:val="auto"/>
                <w:sz w:val="18"/>
                <w:szCs w:val="18"/>
                <w:highlight w:val="none"/>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8" w:type="pct"/>
            <w:tcBorders>
              <w:top w:val="single" w:color="auto" w:sz="8" w:space="0"/>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13</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4</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3</w:t>
            </w:r>
          </w:p>
        </w:tc>
        <w:tc>
          <w:tcPr>
            <w:tcW w:w="57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4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730</w:t>
            </w:r>
          </w:p>
        </w:tc>
        <w:tc>
          <w:tcPr>
            <w:tcW w:w="60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550</w:t>
            </w:r>
            <w:r>
              <w:rPr>
                <w:rFonts w:hint="eastAsia" w:ascii="宋体" w:hAnsi="宋体"/>
                <w:color w:val="auto"/>
                <w:sz w:val="18"/>
                <w:szCs w:val="18"/>
                <w:highlight w:val="none"/>
                <w:vertAlign w:val="superscript"/>
              </w:rPr>
              <w:t>a</w:t>
            </w:r>
          </w:p>
        </w:tc>
        <w:tc>
          <w:tcPr>
            <w:tcW w:w="79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23</w:t>
            </w:r>
          </w:p>
        </w:tc>
        <w:tc>
          <w:tcPr>
            <w:tcW w:w="922"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u w:val="single"/>
              </w:rPr>
              <w:t>≥</w:t>
            </w:r>
            <w:r>
              <w:rPr>
                <w:rFonts w:hint="eastAsia" w:ascii="宋体" w:hAnsi="宋体"/>
                <w:color w:val="auto"/>
                <w:sz w:val="18"/>
                <w:szCs w:val="18"/>
                <w:highlight w:val="none"/>
              </w:rPr>
              <w:t>5</w:t>
            </w:r>
          </w:p>
        </w:tc>
        <w:tc>
          <w:tcPr>
            <w:tcW w:w="399"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489"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8" w:type="pct"/>
            <w:tcBorders>
              <w:top w:val="single" w:color="auto" w:sz="8" w:space="0"/>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18</w:t>
            </w:r>
            <w:r>
              <w:rPr>
                <w:rFonts w:ascii="宋体" w:hAnsi="宋体" w:cs="宋体"/>
                <w:color w:val="auto"/>
                <w:kern w:val="0"/>
                <w:sz w:val="16"/>
                <w:szCs w:val="16"/>
                <w:highlight w:val="none"/>
                <w:lang w:bidi="ar"/>
              </w:rPr>
              <w:t>-2.5</w:t>
            </w:r>
          </w:p>
        </w:tc>
        <w:tc>
          <w:tcPr>
            <w:tcW w:w="57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4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870</w:t>
            </w:r>
          </w:p>
        </w:tc>
        <w:tc>
          <w:tcPr>
            <w:tcW w:w="60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140</w:t>
            </w:r>
            <w:r>
              <w:rPr>
                <w:rFonts w:hint="eastAsia" w:ascii="宋体" w:hAnsi="宋体"/>
                <w:color w:val="auto"/>
                <w:sz w:val="18"/>
                <w:szCs w:val="18"/>
                <w:highlight w:val="none"/>
                <w:vertAlign w:val="superscript"/>
              </w:rPr>
              <w:t>a</w:t>
            </w:r>
          </w:p>
        </w:tc>
        <w:tc>
          <w:tcPr>
            <w:tcW w:w="79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30</w:t>
            </w:r>
          </w:p>
        </w:tc>
        <w:tc>
          <w:tcPr>
            <w:tcW w:w="922"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399"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489"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8" w:type="pct"/>
            <w:tcBorders>
              <w:top w:val="single" w:color="auto" w:sz="8" w:space="0"/>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NCr19</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19</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5</w:t>
            </w:r>
          </w:p>
        </w:tc>
        <w:tc>
          <w:tcPr>
            <w:tcW w:w="57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≤100</w:t>
            </w:r>
          </w:p>
        </w:tc>
        <w:tc>
          <w:tcPr>
            <w:tcW w:w="4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650</w:t>
            </w:r>
          </w:p>
        </w:tc>
        <w:tc>
          <w:tcPr>
            <w:tcW w:w="60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690</w:t>
            </w:r>
            <w:r>
              <w:rPr>
                <w:rFonts w:hint="eastAsia" w:ascii="宋体" w:hAnsi="宋体"/>
                <w:color w:val="auto"/>
                <w:sz w:val="18"/>
                <w:szCs w:val="18"/>
                <w:highlight w:val="none"/>
                <w:vertAlign w:val="superscript"/>
              </w:rPr>
              <w:t>a</w:t>
            </w:r>
          </w:p>
        </w:tc>
        <w:tc>
          <w:tcPr>
            <w:tcW w:w="79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23</w:t>
            </w:r>
          </w:p>
        </w:tc>
        <w:tc>
          <w:tcPr>
            <w:tcW w:w="922"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u w:val="single"/>
              </w:rPr>
              <w:t>≥</w:t>
            </w:r>
            <w:r>
              <w:rPr>
                <w:rFonts w:hint="eastAsia" w:ascii="宋体" w:hAnsi="宋体"/>
                <w:color w:val="auto"/>
                <w:sz w:val="18"/>
                <w:szCs w:val="18"/>
                <w:highlight w:val="none"/>
              </w:rPr>
              <w:t>5</w:t>
            </w:r>
          </w:p>
        </w:tc>
        <w:tc>
          <w:tcPr>
            <w:tcW w:w="399"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489"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8" w:type="pct"/>
            <w:tcBorders>
              <w:top w:val="single" w:color="auto" w:sz="8" w:space="0"/>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NCr20-2-1.5</w:t>
            </w:r>
          </w:p>
        </w:tc>
        <w:tc>
          <w:tcPr>
            <w:tcW w:w="57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4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750</w:t>
            </w:r>
          </w:p>
        </w:tc>
        <w:tc>
          <w:tcPr>
            <w:tcW w:w="60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340</w:t>
            </w:r>
            <w:r>
              <w:rPr>
                <w:rFonts w:hint="eastAsia" w:ascii="宋体" w:hAnsi="宋体"/>
                <w:color w:val="auto"/>
                <w:sz w:val="18"/>
                <w:szCs w:val="18"/>
                <w:highlight w:val="none"/>
                <w:vertAlign w:val="superscript"/>
              </w:rPr>
              <w:t>a</w:t>
            </w:r>
          </w:p>
        </w:tc>
        <w:tc>
          <w:tcPr>
            <w:tcW w:w="79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30</w:t>
            </w:r>
          </w:p>
        </w:tc>
        <w:tc>
          <w:tcPr>
            <w:tcW w:w="922"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399"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489"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8" w:type="pct"/>
            <w:tcBorders>
              <w:top w:val="single" w:color="auto" w:sz="8" w:space="0"/>
              <w:left w:val="single" w:color="auto" w:sz="12"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NFe36</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12</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6</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3</w:t>
            </w:r>
          </w:p>
        </w:tc>
        <w:tc>
          <w:tcPr>
            <w:tcW w:w="57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所有</w:t>
            </w:r>
          </w:p>
        </w:tc>
        <w:tc>
          <w:tcPr>
            <w:tcW w:w="42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575</w:t>
            </w:r>
          </w:p>
        </w:tc>
        <w:tc>
          <w:tcPr>
            <w:tcW w:w="603"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590</w:t>
            </w:r>
          </w:p>
        </w:tc>
        <w:tc>
          <w:tcPr>
            <w:tcW w:w="791"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922"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w:t>
            </w:r>
          </w:p>
        </w:tc>
        <w:tc>
          <w:tcPr>
            <w:tcW w:w="399" w:type="pct"/>
            <w:tcBorders>
              <w:top w:val="single" w:color="auto" w:sz="8" w:space="0"/>
              <w:left w:val="single" w:color="auto" w:sz="6" w:space="0"/>
              <w:bottom w:val="single" w:color="auto" w:sz="8"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≥100</w:t>
            </w:r>
          </w:p>
        </w:tc>
        <w:tc>
          <w:tcPr>
            <w:tcW w:w="489" w:type="pct"/>
            <w:tcBorders>
              <w:top w:val="single" w:color="auto" w:sz="8" w:space="0"/>
              <w:left w:val="single" w:color="auto" w:sz="6" w:space="0"/>
              <w:bottom w:val="single" w:color="auto" w:sz="8"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8" w:type="pct"/>
            <w:tcBorders>
              <w:top w:val="single" w:color="auto" w:sz="8" w:space="0"/>
              <w:left w:val="single" w:color="auto" w:sz="12" w:space="0"/>
              <w:bottom w:val="single" w:color="auto" w:sz="12" w:space="0"/>
              <w:right w:val="single" w:color="auto" w:sz="6" w:space="0"/>
            </w:tcBorders>
            <w:vAlign w:val="center"/>
          </w:tcPr>
          <w:p>
            <w:pPr>
              <w:jc w:val="center"/>
              <w:rPr>
                <w:rFonts w:hint="default" w:ascii="宋体" w:hAnsi="宋体" w:eastAsia="宋体"/>
                <w:color w:val="auto"/>
                <w:sz w:val="18"/>
                <w:szCs w:val="18"/>
                <w:highlight w:val="none"/>
                <w:u w:val="single"/>
                <w:lang w:val="en-US" w:eastAsia="zh-CN"/>
              </w:rPr>
            </w:pPr>
            <w:r>
              <w:rPr>
                <w:rFonts w:hint="eastAsia" w:ascii="宋体" w:hAnsi="宋体"/>
                <w:color w:val="auto"/>
                <w:sz w:val="18"/>
                <w:szCs w:val="18"/>
                <w:highlight w:val="none"/>
                <w:u w:val="single"/>
                <w:lang w:val="en-US" w:eastAsia="zh-CN"/>
              </w:rPr>
              <w:t>NS3313</w:t>
            </w:r>
          </w:p>
        </w:tc>
        <w:tc>
          <w:tcPr>
            <w:tcW w:w="573" w:type="pct"/>
            <w:tcBorders>
              <w:top w:val="single" w:color="auto" w:sz="8"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所有</w:t>
            </w:r>
          </w:p>
        </w:tc>
        <w:tc>
          <w:tcPr>
            <w:tcW w:w="421" w:type="pct"/>
            <w:tcBorders>
              <w:top w:val="single" w:color="auto" w:sz="8"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927</w:t>
            </w:r>
          </w:p>
        </w:tc>
        <w:tc>
          <w:tcPr>
            <w:tcW w:w="603" w:type="pct"/>
            <w:tcBorders>
              <w:top w:val="single" w:color="auto" w:sz="8"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62</w:t>
            </w:r>
          </w:p>
        </w:tc>
        <w:tc>
          <w:tcPr>
            <w:tcW w:w="791" w:type="pct"/>
            <w:tcBorders>
              <w:top w:val="single" w:color="auto" w:sz="8"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24</w:t>
            </w:r>
          </w:p>
        </w:tc>
        <w:tc>
          <w:tcPr>
            <w:tcW w:w="922" w:type="pct"/>
            <w:tcBorders>
              <w:top w:val="single" w:color="auto" w:sz="8"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u w:val="single"/>
              </w:rPr>
            </w:pPr>
            <w:bookmarkStart w:id="2" w:name="OLE_LINK2"/>
            <w:r>
              <w:rPr>
                <w:rFonts w:hint="eastAsia" w:ascii="宋体" w:hAnsi="宋体"/>
                <w:color w:val="auto"/>
                <w:sz w:val="18"/>
                <w:szCs w:val="18"/>
                <w:highlight w:val="none"/>
                <w:u w:val="single"/>
              </w:rPr>
              <w:t>≥</w:t>
            </w:r>
            <w:bookmarkEnd w:id="2"/>
            <w:r>
              <w:rPr>
                <w:rFonts w:hint="eastAsia" w:ascii="宋体" w:hAnsi="宋体"/>
                <w:color w:val="auto"/>
                <w:sz w:val="18"/>
                <w:szCs w:val="18"/>
                <w:highlight w:val="none"/>
                <w:u w:val="single"/>
              </w:rPr>
              <w:t>10</w:t>
            </w:r>
          </w:p>
        </w:tc>
        <w:tc>
          <w:tcPr>
            <w:tcW w:w="399" w:type="pct"/>
            <w:tcBorders>
              <w:top w:val="single" w:color="auto" w:sz="8"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w:t>
            </w:r>
          </w:p>
        </w:tc>
        <w:tc>
          <w:tcPr>
            <w:tcW w:w="489" w:type="pct"/>
            <w:tcBorders>
              <w:top w:val="single" w:color="auto" w:sz="8" w:space="0"/>
              <w:left w:val="single" w:color="auto" w:sz="6" w:space="0"/>
              <w:bottom w:val="single" w:color="auto" w:sz="12" w:space="0"/>
              <w:right w:val="single" w:color="auto" w:sz="12" w:space="0"/>
            </w:tcBorders>
            <w:vAlign w:val="center"/>
          </w:tcPr>
          <w:p>
            <w:pPr>
              <w:jc w:val="center"/>
              <w:rPr>
                <w:rFonts w:hint="eastAsia" w:ascii="宋体" w:hAnsi="宋体"/>
                <w:color w:val="auto"/>
                <w:sz w:val="18"/>
                <w:szCs w:val="18"/>
                <w:highlight w:val="none"/>
                <w:u w:val="single"/>
              </w:rPr>
            </w:pPr>
            <w:r>
              <w:rPr>
                <w:rFonts w:hint="eastAsia" w:ascii="宋体" w:hAnsi="宋体"/>
                <w:color w:val="auto"/>
                <w:sz w:val="18"/>
                <w:szCs w:val="18"/>
                <w:highlight w:val="none"/>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000" w:type="pct"/>
            <w:gridSpan w:val="8"/>
            <w:tcBorders>
              <w:top w:val="single" w:color="auto" w:sz="12" w:space="0"/>
              <w:left w:val="single" w:color="auto" w:sz="12" w:space="0"/>
              <w:bottom w:val="single" w:color="auto" w:sz="12" w:space="0"/>
              <w:right w:val="single" w:color="auto" w:sz="12" w:space="0"/>
            </w:tcBorders>
            <w:vAlign w:val="center"/>
          </w:tcPr>
          <w:p>
            <w:pPr>
              <w:jc w:val="left"/>
              <w:rPr>
                <w:rFonts w:hint="eastAsia" w:ascii="宋体" w:hAnsi="宋体"/>
                <w:color w:val="auto"/>
                <w:sz w:val="18"/>
                <w:szCs w:val="18"/>
                <w:highlight w:val="none"/>
                <w:u w:val="single"/>
              </w:rPr>
            </w:pPr>
            <w:r>
              <w:rPr>
                <w:rFonts w:hint="eastAsia" w:ascii="宋体" w:hAnsi="宋体"/>
                <w:color w:val="auto"/>
                <w:sz w:val="18"/>
                <w:szCs w:val="18"/>
                <w:highlight w:val="none"/>
                <w:lang w:val="en-US" w:eastAsia="zh-CN"/>
              </w:rPr>
              <w:t xml:space="preserve">    </w:t>
            </w:r>
            <w:r>
              <w:rPr>
                <w:rFonts w:hint="eastAsia" w:ascii="宋体" w:hAnsi="宋体"/>
                <w:color w:val="auto"/>
                <w:sz w:val="18"/>
                <w:szCs w:val="18"/>
                <w:highlight w:val="none"/>
                <w:vertAlign w:val="superscript"/>
                <w:lang w:val="en-US" w:eastAsia="zh-CN"/>
              </w:rPr>
              <w:t>a</w:t>
            </w:r>
            <w:r>
              <w:rPr>
                <w:rFonts w:hint="eastAsia" w:ascii="宋体" w:hAnsi="宋体"/>
                <w:color w:val="auto"/>
                <w:sz w:val="18"/>
                <w:szCs w:val="18"/>
                <w:highlight w:val="none"/>
              </w:rPr>
              <w:t>初始应力可采用较高的应力，试验过程中不能改变，必须满足规定断裂时间和延伸率的要求。另一种方法是，在规定应力达到最少断裂时间后，可增加应力。</w:t>
            </w:r>
          </w:p>
        </w:tc>
      </w:tr>
    </w:tbl>
    <w:p>
      <w:pPr>
        <w:spacing w:line="360" w:lineRule="exact"/>
        <w:jc w:val="center"/>
        <w:rPr>
          <w:rFonts w:hint="eastAsia" w:ascii="黑体" w:hAnsi="黑体" w:eastAsia="黑体" w:cs="MS PMincho"/>
          <w:color w:val="auto"/>
          <w:szCs w:val="21"/>
          <w:highlight w:val="none"/>
        </w:rPr>
      </w:pPr>
      <w:r>
        <w:rPr>
          <w:rFonts w:hint="eastAsia" w:ascii="黑体" w:hAnsi="黑体" w:eastAsia="黑体" w:cs="MS PMincho"/>
          <w:color w:val="auto"/>
          <w:szCs w:val="21"/>
          <w:highlight w:val="none"/>
        </w:rPr>
        <w:t>表</w:t>
      </w:r>
      <w:r>
        <w:rPr>
          <w:rFonts w:hint="eastAsia" w:ascii="黑体" w:hAnsi="黑体" w:eastAsia="黑体" w:cs="MS PMincho"/>
          <w:color w:val="auto"/>
          <w:szCs w:val="21"/>
          <w:highlight w:val="none"/>
          <w:lang w:val="en-US" w:eastAsia="zh-CN"/>
        </w:rPr>
        <w:t>7</w:t>
      </w:r>
      <w:r>
        <w:rPr>
          <w:rFonts w:hint="eastAsia" w:ascii="黑体" w:hAnsi="黑体" w:eastAsia="黑体" w:cs="MS PMincho"/>
          <w:color w:val="auto"/>
          <w:szCs w:val="21"/>
          <w:highlight w:val="none"/>
        </w:rPr>
        <w:t xml:space="preserve">  可热处理强化合金的热处理制度</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2955"/>
        <w:gridCol w:w="5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41" w:type="dxa"/>
            <w:tcBorders>
              <w:top w:val="single" w:color="auto" w:sz="12" w:space="0"/>
              <w:left w:val="single" w:color="auto" w:sz="12" w:space="0"/>
              <w:bottom w:val="single" w:color="auto" w:sz="12" w:space="0"/>
              <w:right w:val="single" w:color="auto" w:sz="6" w:space="0"/>
            </w:tcBorders>
          </w:tcPr>
          <w:p>
            <w:pPr>
              <w:jc w:val="center"/>
              <w:rPr>
                <w:rFonts w:hint="eastAsia" w:ascii="宋体" w:hAnsi="宋体"/>
                <w:color w:val="auto"/>
                <w:sz w:val="18"/>
                <w:szCs w:val="18"/>
                <w:highlight w:val="none"/>
              </w:rPr>
            </w:pPr>
            <w:r>
              <w:rPr>
                <w:rFonts w:hint="eastAsia" w:ascii="宋体" w:hAnsi="宋体"/>
                <w:color w:val="auto"/>
                <w:sz w:val="18"/>
                <w:szCs w:val="18"/>
                <w:highlight w:val="none"/>
              </w:rPr>
              <w:t>合金牌号</w:t>
            </w:r>
          </w:p>
        </w:tc>
        <w:tc>
          <w:tcPr>
            <w:tcW w:w="2955" w:type="dxa"/>
            <w:tcBorders>
              <w:top w:val="single" w:color="auto" w:sz="12" w:space="0"/>
              <w:left w:val="single" w:color="auto" w:sz="6" w:space="0"/>
              <w:bottom w:val="single" w:color="auto" w:sz="12" w:space="0"/>
              <w:right w:val="single" w:color="auto" w:sz="6" w:space="0"/>
            </w:tcBorders>
          </w:tcPr>
          <w:p>
            <w:pPr>
              <w:jc w:val="center"/>
              <w:rPr>
                <w:rFonts w:hint="eastAsia" w:ascii="宋体" w:hAnsi="宋体"/>
                <w:color w:val="auto"/>
                <w:sz w:val="18"/>
                <w:szCs w:val="18"/>
                <w:highlight w:val="none"/>
              </w:rPr>
            </w:pPr>
            <w:r>
              <w:rPr>
                <w:rFonts w:hint="eastAsia" w:ascii="宋体" w:hAnsi="宋体"/>
                <w:color w:val="auto"/>
                <w:sz w:val="18"/>
                <w:szCs w:val="18"/>
                <w:highlight w:val="none"/>
              </w:rPr>
              <w:t>固溶</w:t>
            </w:r>
            <w:r>
              <w:rPr>
                <w:rFonts w:hint="eastAsia" w:ascii="宋体" w:hAnsi="宋体"/>
                <w:color w:val="auto"/>
                <w:sz w:val="18"/>
                <w:szCs w:val="18"/>
                <w:highlight w:val="none"/>
                <w:vertAlign w:val="superscript"/>
              </w:rPr>
              <w:t>a</w:t>
            </w:r>
          </w:p>
        </w:tc>
        <w:tc>
          <w:tcPr>
            <w:tcW w:w="5175" w:type="dxa"/>
            <w:tcBorders>
              <w:top w:val="single" w:color="auto" w:sz="12" w:space="0"/>
              <w:left w:val="single" w:color="auto" w:sz="6" w:space="0"/>
              <w:bottom w:val="single" w:color="auto" w:sz="12" w:space="0"/>
              <w:right w:val="single" w:color="auto" w:sz="12" w:space="0"/>
            </w:tcBorders>
          </w:tcPr>
          <w:p>
            <w:pPr>
              <w:jc w:val="center"/>
              <w:rPr>
                <w:rFonts w:hint="eastAsia" w:ascii="宋体" w:hAnsi="宋体"/>
                <w:color w:val="auto"/>
                <w:sz w:val="18"/>
                <w:szCs w:val="18"/>
                <w:highlight w:val="none"/>
              </w:rPr>
            </w:pPr>
            <w:r>
              <w:rPr>
                <w:rFonts w:hint="eastAsia" w:ascii="宋体" w:hAnsi="宋体"/>
                <w:color w:val="auto"/>
                <w:sz w:val="18"/>
                <w:szCs w:val="18"/>
                <w:highlight w:val="none"/>
              </w:rPr>
              <w:t>时效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Borders>
              <w:top w:val="single" w:color="auto" w:sz="12" w:space="0"/>
              <w:left w:val="single" w:color="auto" w:sz="12"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NCo20-15-5-4</w:t>
            </w:r>
          </w:p>
        </w:tc>
        <w:tc>
          <w:tcPr>
            <w:tcW w:w="2955" w:type="dxa"/>
            <w:tcBorders>
              <w:top w:val="single" w:color="auto" w:sz="12"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（1150±10）℃，4h，空冷</w:t>
            </w:r>
          </w:p>
        </w:tc>
        <w:tc>
          <w:tcPr>
            <w:tcW w:w="5175" w:type="dxa"/>
            <w:tcBorders>
              <w:top w:val="single" w:color="auto" w:sz="12" w:space="0"/>
              <w:left w:val="single" w:color="auto" w:sz="6" w:space="0"/>
              <w:bottom w:val="single" w:color="auto" w:sz="6"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1050℃，16h，空冷+850℃，16h，空冷。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-20-</w:t>
            </w:r>
            <w:r>
              <w:rPr>
                <w:rFonts w:hint="eastAsia" w:ascii="宋体" w:hAnsi="宋体" w:cs="宋体"/>
                <w:color w:val="auto"/>
                <w:kern w:val="0"/>
                <w:sz w:val="16"/>
                <w:szCs w:val="16"/>
                <w:highlight w:val="none"/>
                <w:lang w:bidi="ar"/>
              </w:rPr>
              <w:t>5</w:t>
            </w:r>
            <w:r>
              <w:rPr>
                <w:rFonts w:ascii="宋体" w:hAnsi="宋体" w:cs="宋体"/>
                <w:color w:val="auto"/>
                <w:kern w:val="0"/>
                <w:sz w:val="16"/>
                <w:szCs w:val="16"/>
                <w:highlight w:val="none"/>
                <w:lang w:bidi="ar"/>
              </w:rPr>
              <w:t>-2</w:t>
            </w:r>
          </w:p>
        </w:tc>
        <w:tc>
          <w:tcPr>
            <w:tcW w:w="2955"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eastAsia="宋体"/>
                <w:color w:val="auto"/>
                <w:sz w:val="18"/>
                <w:szCs w:val="18"/>
                <w:highlight w:val="none"/>
                <w:lang w:eastAsia="zh-CN"/>
              </w:rPr>
            </w:pPr>
            <w:r>
              <w:rPr>
                <w:rFonts w:hint="eastAsia" w:ascii="宋体" w:hAnsi="宋体"/>
                <w:color w:val="auto"/>
                <w:sz w:val="18"/>
                <w:szCs w:val="18"/>
                <w:highlight w:val="none"/>
              </w:rPr>
              <w:t>1150℃，空冷或</w:t>
            </w:r>
            <w:r>
              <w:rPr>
                <w:rFonts w:hint="eastAsia" w:ascii="宋体" w:hAnsi="宋体"/>
                <w:color w:val="auto"/>
                <w:sz w:val="18"/>
                <w:szCs w:val="18"/>
                <w:highlight w:val="none"/>
                <w:lang w:val="en-US" w:eastAsia="zh-CN"/>
              </w:rPr>
              <w:t>更快</w:t>
            </w:r>
          </w:p>
        </w:tc>
        <w:tc>
          <w:tcPr>
            <w:tcW w:w="517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800℃，8h，空冷。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13</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4</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3</w:t>
            </w:r>
          </w:p>
        </w:tc>
        <w:tc>
          <w:tcPr>
            <w:tcW w:w="2955"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995℃～1040℃，4h，</w:t>
            </w:r>
            <w:r>
              <w:rPr>
                <w:rFonts w:hint="eastAsia" w:ascii="宋体" w:hAnsi="宋体"/>
                <w:color w:val="auto"/>
                <w:sz w:val="18"/>
                <w:szCs w:val="18"/>
                <w:highlight w:val="none"/>
                <w:lang w:val="en-US" w:eastAsia="zh-CN"/>
              </w:rPr>
              <w:t>空冷</w:t>
            </w:r>
          </w:p>
        </w:tc>
        <w:tc>
          <w:tcPr>
            <w:tcW w:w="517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845℃，4h，空冷+760℃，16h，空冷或炉冷。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18</w:t>
            </w:r>
            <w:r>
              <w:rPr>
                <w:rFonts w:ascii="宋体" w:hAnsi="宋体" w:cs="宋体"/>
                <w:color w:val="auto"/>
                <w:kern w:val="0"/>
                <w:sz w:val="16"/>
                <w:szCs w:val="16"/>
                <w:highlight w:val="none"/>
                <w:lang w:bidi="ar"/>
              </w:rPr>
              <w:t>-2.5</w:t>
            </w:r>
          </w:p>
        </w:tc>
        <w:tc>
          <w:tcPr>
            <w:tcW w:w="2955"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eastAsia="宋体"/>
                <w:color w:val="auto"/>
                <w:sz w:val="18"/>
                <w:szCs w:val="18"/>
                <w:highlight w:val="none"/>
                <w:lang w:eastAsia="zh-CN"/>
              </w:rPr>
            </w:pPr>
            <w:r>
              <w:rPr>
                <w:rFonts w:hint="eastAsia" w:ascii="宋体" w:hAnsi="宋体"/>
                <w:color w:val="auto"/>
                <w:sz w:val="18"/>
                <w:szCs w:val="18"/>
                <w:highlight w:val="none"/>
              </w:rPr>
              <w:t>1050℃～1100℃，8h，空冷或</w:t>
            </w:r>
            <w:r>
              <w:rPr>
                <w:rFonts w:hint="eastAsia" w:ascii="宋体" w:hAnsi="宋体"/>
                <w:color w:val="auto"/>
                <w:sz w:val="18"/>
                <w:szCs w:val="18"/>
                <w:highlight w:val="none"/>
                <w:lang w:val="en-US" w:eastAsia="zh-CN"/>
              </w:rPr>
              <w:t>更快</w:t>
            </w:r>
          </w:p>
        </w:tc>
        <w:tc>
          <w:tcPr>
            <w:tcW w:w="517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700℃，16h，空冷。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NCr15</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7</w:t>
            </w:r>
            <w:r>
              <w:rPr>
                <w:rFonts w:ascii="宋体" w:hAnsi="宋体" w:cs="宋体"/>
                <w:color w:val="auto"/>
                <w:kern w:val="0"/>
                <w:sz w:val="16"/>
                <w:szCs w:val="16"/>
                <w:highlight w:val="none"/>
                <w:lang w:bidi="ar"/>
              </w:rPr>
              <w:t>-2.5</w:t>
            </w:r>
          </w:p>
        </w:tc>
        <w:tc>
          <w:tcPr>
            <w:tcW w:w="2955"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980℃～1100℃，空冷或</w:t>
            </w:r>
            <w:r>
              <w:rPr>
                <w:rFonts w:hint="eastAsia" w:ascii="宋体" w:hAnsi="宋体"/>
                <w:color w:val="auto"/>
                <w:sz w:val="18"/>
                <w:szCs w:val="18"/>
                <w:highlight w:val="none"/>
                <w:lang w:val="en-US" w:eastAsia="zh-CN"/>
              </w:rPr>
              <w:t>更快</w:t>
            </w:r>
          </w:p>
        </w:tc>
        <w:tc>
          <w:tcPr>
            <w:tcW w:w="517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730℃，8h，以55℃/h冷却速率冷却至620℃，在620℃保温8h，空冷。另一种方法是，以任意冷却速率冷却至620℃，在620℃保温，保温时间整个沉淀处理时间18h。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NCr19</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19</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5</w:t>
            </w:r>
          </w:p>
        </w:tc>
        <w:tc>
          <w:tcPr>
            <w:tcW w:w="2955"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940℃～1060℃，空冷或</w:t>
            </w:r>
            <w:r>
              <w:rPr>
                <w:rFonts w:hint="eastAsia" w:ascii="宋体" w:hAnsi="宋体"/>
                <w:color w:val="auto"/>
                <w:sz w:val="18"/>
                <w:szCs w:val="18"/>
                <w:highlight w:val="none"/>
                <w:lang w:val="en-US" w:eastAsia="zh-CN"/>
              </w:rPr>
              <w:t>更快</w:t>
            </w:r>
          </w:p>
        </w:tc>
        <w:tc>
          <w:tcPr>
            <w:tcW w:w="517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720℃，8h，以55℃/h冷却速率冷却至620℃，在620℃保温8h，空冷。另一种方法是，以任意冷却速率冷却至620℃，在620℃保温，保温时间整个沉淀处理时间18h。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NCr20-2-1.5</w:t>
            </w:r>
          </w:p>
        </w:tc>
        <w:tc>
          <w:tcPr>
            <w:tcW w:w="2955"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1050℃～1100℃，8h，空冷或</w:t>
            </w:r>
            <w:r>
              <w:rPr>
                <w:rFonts w:hint="eastAsia" w:ascii="宋体" w:hAnsi="宋体"/>
                <w:color w:val="auto"/>
                <w:sz w:val="18"/>
                <w:szCs w:val="18"/>
                <w:highlight w:val="none"/>
                <w:lang w:val="en-US" w:eastAsia="zh-CN"/>
              </w:rPr>
              <w:t>更快</w:t>
            </w:r>
          </w:p>
        </w:tc>
        <w:tc>
          <w:tcPr>
            <w:tcW w:w="517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700℃，16h，空冷。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Borders>
              <w:top w:val="single" w:color="auto" w:sz="6" w:space="0"/>
              <w:left w:val="single" w:color="auto" w:sz="12"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NCu30-3-0.5</w:t>
            </w:r>
          </w:p>
        </w:tc>
        <w:tc>
          <w:tcPr>
            <w:tcW w:w="2955"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最低980℃，水</w:t>
            </w:r>
            <w:r>
              <w:rPr>
                <w:rFonts w:hint="eastAsia" w:ascii="宋体" w:hAnsi="宋体"/>
                <w:color w:val="auto"/>
                <w:sz w:val="18"/>
                <w:szCs w:val="18"/>
                <w:highlight w:val="none"/>
                <w:lang w:val="en-US" w:eastAsia="zh-CN"/>
              </w:rPr>
              <w:t>淬</w:t>
            </w:r>
          </w:p>
        </w:tc>
        <w:tc>
          <w:tcPr>
            <w:tcW w:w="5175"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590℃～610℃，8h～16h，在8℃/h和15℃/h冷却速率之间，炉冷至480℃，空冷。另一种方法是，炉冷之535℃，在535℃保温6h，炉冷至480℃，保温8h，空冷。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Borders>
              <w:top w:val="single" w:color="auto" w:sz="6" w:space="0"/>
              <w:left w:val="single" w:color="auto" w:sz="12"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s="宋体"/>
                <w:color w:val="auto"/>
                <w:kern w:val="0"/>
                <w:sz w:val="16"/>
                <w:szCs w:val="16"/>
                <w:highlight w:val="none"/>
                <w:lang w:bidi="ar"/>
              </w:rPr>
              <w:t>NFe36</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12</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6</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3</w:t>
            </w:r>
          </w:p>
        </w:tc>
        <w:tc>
          <w:tcPr>
            <w:tcW w:w="2955" w:type="dxa"/>
            <w:tcBorders>
              <w:top w:val="single" w:color="auto" w:sz="6" w:space="0"/>
              <w:left w:val="single" w:color="auto" w:sz="6" w:space="0"/>
              <w:bottom w:val="single" w:color="auto" w:sz="12" w:space="0"/>
              <w:right w:val="single" w:color="auto" w:sz="6"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1090℃，空冷</w:t>
            </w:r>
          </w:p>
        </w:tc>
        <w:tc>
          <w:tcPr>
            <w:tcW w:w="5175" w:type="dxa"/>
            <w:tcBorders>
              <w:top w:val="single" w:color="auto" w:sz="6" w:space="0"/>
              <w:left w:val="single" w:color="auto" w:sz="6" w:space="0"/>
              <w:bottom w:val="single" w:color="auto" w:sz="12"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770℃，2h～4h，</w:t>
            </w:r>
            <w:r>
              <w:rPr>
                <w:rFonts w:hint="eastAsia" w:ascii="宋体" w:hAnsi="宋体"/>
                <w:color w:val="auto"/>
                <w:sz w:val="18"/>
                <w:szCs w:val="18"/>
                <w:highlight w:val="none"/>
                <w:lang w:val="en-US" w:eastAsia="zh-CN"/>
              </w:rPr>
              <w:t>空冷，</w:t>
            </w:r>
            <w:r>
              <w:rPr>
                <w:rFonts w:hint="eastAsia" w:ascii="宋体" w:hAnsi="宋体"/>
                <w:color w:val="auto"/>
                <w:sz w:val="18"/>
                <w:szCs w:val="18"/>
                <w:highlight w:val="none"/>
              </w:rPr>
              <w:t>700℃～720℃，24h，空冷。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3"/>
            <w:tcBorders>
              <w:top w:val="single" w:color="auto" w:sz="12" w:space="0"/>
              <w:left w:val="single" w:color="auto" w:sz="12" w:space="0"/>
              <w:bottom w:val="single" w:color="auto" w:sz="12" w:space="0"/>
              <w:right w:val="single" w:color="auto" w:sz="12" w:space="0"/>
            </w:tcBorders>
          </w:tcPr>
          <w:p>
            <w:pPr>
              <w:ind w:firstLine="360" w:firstLineChars="200"/>
              <w:rPr>
                <w:rFonts w:hint="eastAsia" w:ascii="宋体" w:hAnsi="宋体"/>
                <w:color w:val="auto"/>
                <w:sz w:val="18"/>
                <w:szCs w:val="18"/>
                <w:highlight w:val="none"/>
              </w:rPr>
            </w:pPr>
            <w:r>
              <w:rPr>
                <w:rFonts w:hint="eastAsia" w:ascii="宋体" w:hAnsi="宋体"/>
                <w:color w:val="auto"/>
                <w:sz w:val="18"/>
                <w:szCs w:val="18"/>
                <w:highlight w:val="none"/>
                <w:vertAlign w:val="superscript"/>
              </w:rPr>
              <w:t>a</w:t>
            </w:r>
            <w:r>
              <w:rPr>
                <w:rFonts w:hint="eastAsia" w:ascii="宋体" w:hAnsi="宋体"/>
                <w:color w:val="auto"/>
                <w:sz w:val="18"/>
                <w:szCs w:val="18"/>
                <w:highlight w:val="none"/>
              </w:rPr>
              <w:t xml:space="preserve"> 温度偏差应为±15℃。</w:t>
            </w:r>
          </w:p>
        </w:tc>
      </w:tr>
    </w:tbl>
    <w:p>
      <w:pPr>
        <w:pStyle w:val="58"/>
        <w:spacing w:before="143" w:after="143"/>
        <w:ind w:right="0" w:rightChars="0"/>
        <w:rPr>
          <w:color w:val="auto"/>
          <w:highlight w:val="none"/>
        </w:rPr>
      </w:pPr>
      <w:r>
        <w:rPr>
          <w:color w:val="auto"/>
          <w:sz w:val="21"/>
          <w:highlight w:val="none"/>
        </w:rPr>
        <mc:AlternateContent>
          <mc:Choice Requires="wps">
            <w:drawing>
              <wp:anchor distT="0" distB="0" distL="114300" distR="114300" simplePos="0" relativeHeight="251679744" behindDoc="0" locked="0" layoutInCell="1" allowOverlap="1">
                <wp:simplePos x="0" y="0"/>
                <wp:positionH relativeFrom="column">
                  <wp:posOffset>6061710</wp:posOffset>
                </wp:positionH>
                <wp:positionV relativeFrom="paragraph">
                  <wp:posOffset>207010</wp:posOffset>
                </wp:positionV>
                <wp:extent cx="635" cy="1078865"/>
                <wp:effectExtent l="4445" t="0" r="13970" b="6985"/>
                <wp:wrapNone/>
                <wp:docPr id="38" name="直接连接符 38"/>
                <wp:cNvGraphicFramePr/>
                <a:graphic xmlns:a="http://schemas.openxmlformats.org/drawingml/2006/main">
                  <a:graphicData uri="http://schemas.microsoft.com/office/word/2010/wordprocessingShape">
                    <wps:wsp>
                      <wps:cNvCnPr/>
                      <wps:spPr>
                        <a:xfrm>
                          <a:off x="0" y="0"/>
                          <a:ext cx="635" cy="10788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77.3pt;margin-top:16.3pt;height:84.95pt;width:0.05pt;z-index:251679744;mso-width-relative:page;mso-height-relative:page;" filled="f" stroked="t" coordsize="21600,21600" o:gfxdata="UEsDBAoAAAAAAIdO4kAAAAAAAAAAAAAAAAAEAAAAZHJzL1BLAwQUAAAACACHTuJAgzkKDNgAAAAK&#10;AQAADwAAAGRycy9kb3ducmV2LnhtbE2PTU/DMAyG70j8h8hIXCaWrGMDSt0dgN64bIC4eo1pK5qk&#10;a7IP+PWYE5ws249ePy5WJ9erA4+xCx5hNjWg2NfBdr5BeH2prm5BxUTeUh88I3xxhFV5flZQbsPR&#10;r/mwSY2SEB9zQmhTGnKtY92yozgNA3vZfYTRUZJ2bLQd6SjhrteZMUvtqPNyoaWBH1quPzd7hxCr&#10;N95V35N6Yt7nTeBs9/j8RIiXFzNzDyrxKf3B8Ksv6lCK0zbsvY2qR7hbXC8FRZhnUgWQwQ2oLUJm&#10;sgXostD/Xyh/AFBLAwQUAAAACACHTuJAwDgc0vMBAADXAwAADgAAAGRycy9lMm9Eb2MueG1srVNL&#10;btswEN0X6B0I7mvJDuwmguUsYqSbfgy0PcCYoiwC/IHDWPYleoEC3bWrLrvvbZIeo0NKcdp0k0W1&#10;oIaPM0/zHkfLy4PRbC8DKmdrPp2UnEkrXKPsruYfP1y/OOcMI9gGtLOy5keJ/HL1/Nmy95Wcuc7p&#10;RgZGJBar3te8i9FXRYGikwZw4ry0dNi6YCDSNuyKJkBP7EYXs7JcFL0LjQ9OSERC18MhHxnDUwhd&#10;2yoh107cGGnjwBqkhkiSsFMe+Sp327ZSxHdtizIyXXNSGvNKH6F4m9ZitYRqF8B3SowtwFNaeKTJ&#10;gLL00RPVGiKwm6D+oTJKBIeujRPhTDEIyY6Qimn5yJv3HXiZtZDV6E+m4/+jFW/3m8BUU/MzuncL&#10;hm787vOP209ff/38Quvd92+MTsim3mNF2Vd2E8Yd+k1Img9tMOlNatghW3s8WSsPkQkCF2dzzgTh&#10;0/Ll+flinhiLh1IfML6SzrAU1Fwrm3RDBfvXGIfU+5QEW3ettCYcKm1ZX/OL+SzxA81jS3NAofGk&#10;Ce2OM9A7GnQRQ2ZEp1WTqlMxht32Sge2hzQe+RmSOmjkgF7MCR7GBCG+cc0AT8t7nFSMNFnRX/yp&#10;5zVgN9Tko1G4tpSdLB1MTNHWNcfsbcbpvjPfOJtpoP7c5+qH/3H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M5CgzYAAAACgEAAA8AAAAAAAAAAQAgAAAAIgAAAGRycy9kb3ducmV2LnhtbFBLAQIU&#10;ABQAAAAIAIdO4kDAOBzS8wEAANcDAAAOAAAAAAAAAAEAIAAAACcBAABkcnMvZTJvRG9jLnhtbFBL&#10;BQYAAAAABgAGAFkBAACMBQAAAAA=&#10;">
                <v:fill on="f" focussize="0,0"/>
                <v:stroke color="#000000 [3200]" joinstyle="round"/>
                <v:imagedata o:title=""/>
                <o:lock v:ext="edit" aspectratio="f"/>
              </v:line>
            </w:pict>
          </mc:Fallback>
        </mc:AlternateContent>
      </w:r>
      <w:r>
        <w:rPr>
          <w:rFonts w:hint="eastAsia"/>
          <w:color w:val="auto"/>
          <w:highlight w:val="none"/>
        </w:rPr>
        <w:t>6  试验方法</w:t>
      </w:r>
    </w:p>
    <w:p>
      <w:pPr>
        <w:pStyle w:val="59"/>
        <w:rPr>
          <w:color w:val="auto"/>
          <w:highlight w:val="none"/>
        </w:rPr>
      </w:pPr>
      <w:r>
        <w:rPr>
          <w:rFonts w:hint="eastAsia"/>
          <w:color w:val="auto"/>
          <w:highlight w:val="none"/>
        </w:rPr>
        <w:t>6</w:t>
      </w:r>
      <w:r>
        <w:rPr>
          <w:color w:val="auto"/>
          <w:highlight w:val="none"/>
        </w:rPr>
        <w:t>.</w:t>
      </w:r>
      <w:r>
        <w:rPr>
          <w:rFonts w:hint="eastAsia"/>
          <w:color w:val="auto"/>
          <w:highlight w:val="none"/>
        </w:rPr>
        <w:t xml:space="preserve">1 </w:t>
      </w:r>
      <w:r>
        <w:rPr>
          <w:color w:val="auto"/>
          <w:highlight w:val="none"/>
        </w:rPr>
        <w:t xml:space="preserve"> </w:t>
      </w:r>
      <w:r>
        <w:rPr>
          <w:rFonts w:hint="eastAsia"/>
          <w:color w:val="auto"/>
          <w:highlight w:val="none"/>
        </w:rPr>
        <w:t>化学成分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纯镍锻件的化学成分仲裁分析方法按GB/T 8647，镍铜合金锻件的化学成分仲裁分析方法按YS/T 325规定的方法进行，GB/T 8647</w:t>
      </w:r>
      <w:r>
        <w:rPr>
          <w:rFonts w:hint="eastAsia" w:ascii="宋体" w:hAnsi="宋体"/>
          <w:color w:val="auto"/>
          <w:szCs w:val="21"/>
          <w:highlight w:val="none"/>
          <w:lang w:eastAsia="zh-CN"/>
        </w:rPr>
        <w:t>、</w:t>
      </w:r>
      <w:r>
        <w:rPr>
          <w:rFonts w:hint="eastAsia" w:ascii="宋体" w:hAnsi="宋体"/>
          <w:color w:val="auto"/>
          <w:szCs w:val="21"/>
          <w:highlight w:val="none"/>
        </w:rPr>
        <w:t>YS/T 325分析方法测定范围之外的元素，其分析方法由供需双方协商确定。</w:t>
      </w:r>
    </w:p>
    <w:p>
      <w:pPr>
        <w:pStyle w:val="59"/>
        <w:rPr>
          <w:color w:val="auto"/>
          <w:highlight w:val="none"/>
        </w:rPr>
      </w:pPr>
      <w:r>
        <w:rPr>
          <w:rFonts w:hint="eastAsia"/>
          <w:color w:val="auto"/>
          <w:highlight w:val="none"/>
        </w:rPr>
        <w:t>6</w:t>
      </w:r>
      <w:r>
        <w:rPr>
          <w:color w:val="auto"/>
          <w:highlight w:val="none"/>
        </w:rPr>
        <w:t>.</w:t>
      </w:r>
      <w:r>
        <w:rPr>
          <w:rFonts w:hint="eastAsia"/>
          <w:color w:val="auto"/>
          <w:highlight w:val="none"/>
        </w:rPr>
        <w:t>2</w:t>
      </w:r>
      <w:r>
        <w:rPr>
          <w:color w:val="auto"/>
          <w:highlight w:val="none"/>
        </w:rPr>
        <w:t xml:space="preserve"> </w:t>
      </w:r>
      <w:r>
        <w:rPr>
          <w:rFonts w:hint="eastAsia"/>
          <w:color w:val="auto"/>
          <w:highlight w:val="none"/>
        </w:rPr>
        <w:t xml:space="preserve"> 外形尺寸及其允许偏差</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锻件的外形尺寸及其允许偏差应用相应精度的测量工具测量。</w:t>
      </w:r>
    </w:p>
    <w:p>
      <w:pPr>
        <w:pStyle w:val="59"/>
        <w:rPr>
          <w:color w:val="auto"/>
          <w:highlight w:val="none"/>
        </w:rPr>
      </w:pPr>
      <w:r>
        <w:rPr>
          <w:color w:val="auto"/>
          <w:sz w:val="21"/>
          <w:highlight w:val="none"/>
        </w:rPr>
        <mc:AlternateContent>
          <mc:Choice Requires="wps">
            <w:drawing>
              <wp:anchor distT="0" distB="0" distL="114300" distR="114300" simplePos="0" relativeHeight="251680768" behindDoc="0" locked="0" layoutInCell="1" allowOverlap="1">
                <wp:simplePos x="0" y="0"/>
                <wp:positionH relativeFrom="column">
                  <wp:posOffset>6061710</wp:posOffset>
                </wp:positionH>
                <wp:positionV relativeFrom="paragraph">
                  <wp:posOffset>84455</wp:posOffset>
                </wp:positionV>
                <wp:extent cx="8890" cy="1536065"/>
                <wp:effectExtent l="4445" t="0" r="5715" b="6985"/>
                <wp:wrapNone/>
                <wp:docPr id="39" name="直接连接符 39"/>
                <wp:cNvGraphicFramePr/>
                <a:graphic xmlns:a="http://schemas.openxmlformats.org/drawingml/2006/main">
                  <a:graphicData uri="http://schemas.microsoft.com/office/word/2010/wordprocessingShape">
                    <wps:wsp>
                      <wps:cNvCnPr/>
                      <wps:spPr>
                        <a:xfrm>
                          <a:off x="0" y="0"/>
                          <a:ext cx="8890" cy="15360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7.3pt;margin-top:6.65pt;height:120.95pt;width:0.7pt;z-index:251680768;mso-width-relative:page;mso-height-relative:page;" filled="f" stroked="t" coordsize="21600,21600" o:gfxdata="UEsDBAoAAAAAAIdO4kAAAAAAAAAAAAAAAAAEAAAAZHJzL1BLAwQUAAAACACHTuJAdXlsFtgAAAAK&#10;AQAADwAAAGRycy9kb3ducmV2LnhtbE2Py07DMBBF90j8gzVIbKrWbkIiGuJ0AWTHhgLq1o2HJCIe&#10;p7H7gK9nWJXl6B7dObdcn90gjjiF3pOG5UKBQGq87anV8P5Wz+9BhGjImsETavjGAOvq+qo0hfUn&#10;esXjJraCSygURkMX41hIGZoOnQkLPyJx9uknZyKfUyvtZE5c7gaZKJVLZ3riD50Z8bHD5mtzcBpC&#10;/YH7+mfWzNQ2bT0m+6eXZ6P17c1SPYCIeI4XGP70WR0qdtr5A9kgBg2r7C5nlIM0BcHAKst53E5D&#10;kmUJyKqU/ydUv1BLAwQUAAAACACHTuJAid9W1NsBAACfAwAADgAAAGRycy9lMm9Eb2MueG1srVPN&#10;jtMwEL4j8Q6W7zRtV63aqOketlouCCoBDzB1nMSS/+TxNu1L8AJI3ODEkTtvw/IYjJ3QheWyB3Jw&#10;xvPzeb7P4831yWh2lAGVsxWfTaacSStcrWxb8ffvbl+sOMMItgbtrKz4WSK/3j5/tul9Keeuc7qW&#10;gRGIxbL3Fe9i9GVRoOikAZw4Ly0FGxcMRNqGtqgD9IRudDGfTpdF70LtgxMSkby7IchHxPAUQNc0&#10;SsidE3dG2jigBqkhEiXslEe+zd02jRTxTdOgjExXnJjGvNIhZB/SWmw3ULYBfKfE2AI8pYVHnAwo&#10;S4deoHYQgd0F9Q+UUSI4dE2cCGeKgUhWhFjMpo+0eduBl5kLSY3+Ijr+P1jx+rgPTNUVv1pzZsHQ&#10;jd9//Pbjw+ef3z/Rev/1C6MIydR7LCn7xu7DuEO/D4nzqQkm/YkNO2Vpzxdp5SkyQc7Vak2SCwrM&#10;FlfL6XKRIIuHWh8wvpTOsGRUXCubiEMJx1cYh9TfKclt3a3SmvxQasv6iq8X8wXhAw1kQ4NApvFE&#10;Cm3LGeiWJl3EkBHRaVWn6lSMoT3c6MCOkOYjf2Njf6Wlo3eA3ZCXQ2OatkQjSTOIkayDq89Zo+yn&#10;e8tExxlLg/HnPlc/vKvt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V5bBbYAAAACgEAAA8AAAAA&#10;AAAAAQAgAAAAIgAAAGRycy9kb3ducmV2LnhtbFBLAQIUABQAAAAIAIdO4kCJ31bU2wEAAJ8DAAAO&#10;AAAAAAAAAAEAIAAAACcBAABkcnMvZTJvRG9jLnhtbFBLBQYAAAAABgAGAFkBAAB0BQAAAAA=&#10;">
                <v:fill on="f" focussize="0,0"/>
                <v:stroke color="#000000 [3213]" joinstyle="round"/>
                <v:imagedata o:title=""/>
                <o:lock v:ext="edit" aspectratio="f"/>
              </v:line>
            </w:pict>
          </mc:Fallback>
        </mc:AlternateContent>
      </w:r>
      <w:r>
        <w:rPr>
          <w:rFonts w:hint="eastAsia"/>
          <w:color w:val="auto"/>
          <w:highlight w:val="none"/>
        </w:rPr>
        <w:t>6.3  室温力学性能</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u w:val="single"/>
        </w:rPr>
      </w:pPr>
      <w:r>
        <w:rPr>
          <w:rFonts w:hint="eastAsia" w:ascii="宋体" w:hAnsi="宋体"/>
          <w:color w:val="auto"/>
          <w:szCs w:val="21"/>
          <w:highlight w:val="none"/>
          <w:u w:val="single"/>
        </w:rPr>
        <w:t>锻件的室温</w:t>
      </w:r>
      <w:r>
        <w:rPr>
          <w:rFonts w:hint="eastAsia" w:ascii="宋体" w:hAnsi="宋体"/>
          <w:color w:val="auto"/>
          <w:szCs w:val="21"/>
          <w:highlight w:val="none"/>
          <w:u w:val="single"/>
          <w:lang w:val="en-US" w:eastAsia="zh-CN"/>
        </w:rPr>
        <w:t>拉伸</w:t>
      </w:r>
      <w:r>
        <w:rPr>
          <w:rFonts w:hint="eastAsia" w:ascii="宋体" w:hAnsi="宋体"/>
          <w:color w:val="auto"/>
          <w:szCs w:val="21"/>
          <w:highlight w:val="none"/>
          <w:u w:val="single"/>
        </w:rPr>
        <w:t>试验按GB/T 228.1进行</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布氏硬度试验按GB/T 231.1进行</w:t>
      </w:r>
      <w:r>
        <w:rPr>
          <w:rFonts w:hint="eastAsia" w:ascii="宋体" w:hAnsi="宋体"/>
          <w:color w:val="auto"/>
          <w:szCs w:val="21"/>
          <w:highlight w:val="none"/>
          <w:u w:val="single"/>
        </w:rPr>
        <w:t>。</w:t>
      </w:r>
    </w:p>
    <w:p>
      <w:pPr>
        <w:pStyle w:val="59"/>
        <w:rPr>
          <w:color w:val="auto"/>
          <w:highlight w:val="none"/>
        </w:rPr>
      </w:pPr>
      <w:r>
        <w:rPr>
          <w:rFonts w:hint="eastAsia"/>
          <w:color w:val="auto"/>
          <w:highlight w:val="none"/>
        </w:rPr>
        <w:t>6</w:t>
      </w:r>
      <w:r>
        <w:rPr>
          <w:color w:val="auto"/>
          <w:highlight w:val="none"/>
        </w:rPr>
        <w:t>.</w:t>
      </w:r>
      <w:r>
        <w:rPr>
          <w:rFonts w:hint="eastAsia"/>
          <w:color w:val="auto"/>
          <w:highlight w:val="none"/>
        </w:rPr>
        <w:t>4</w:t>
      </w:r>
      <w:r>
        <w:rPr>
          <w:color w:val="auto"/>
          <w:highlight w:val="none"/>
        </w:rPr>
        <w:t xml:space="preserve"> </w:t>
      </w:r>
      <w:r>
        <w:rPr>
          <w:rFonts w:hint="eastAsia"/>
          <w:color w:val="auto"/>
          <w:highlight w:val="none"/>
        </w:rPr>
        <w:t xml:space="preserve"> 高温力学性能</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u w:val="single"/>
        </w:rPr>
      </w:pPr>
      <w:r>
        <w:rPr>
          <w:rFonts w:hint="eastAsia" w:ascii="宋体" w:hAnsi="宋体"/>
          <w:color w:val="auto"/>
          <w:szCs w:val="21"/>
          <w:highlight w:val="none"/>
          <w:u w:val="single"/>
        </w:rPr>
        <w:t>锻件的高温力学性能试验按GB/T 228.2进行。</w:t>
      </w:r>
    </w:p>
    <w:p>
      <w:pPr>
        <w:pStyle w:val="59"/>
        <w:rPr>
          <w:color w:val="auto"/>
          <w:highlight w:val="none"/>
        </w:rPr>
      </w:pPr>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 xml:space="preserve"> 蠕变和应力断裂性能</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锻件的蠕变试验和应力断裂试验按GB/T 2039进行。</w:t>
      </w:r>
    </w:p>
    <w:p>
      <w:pPr>
        <w:pStyle w:val="59"/>
        <w:rPr>
          <w:color w:val="auto"/>
          <w:highlight w:val="none"/>
        </w:rPr>
      </w:pPr>
      <w:r>
        <w:rPr>
          <w:rFonts w:hint="eastAsia"/>
          <w:color w:val="auto"/>
          <w:highlight w:val="none"/>
        </w:rPr>
        <w:t>6</w:t>
      </w:r>
      <w:r>
        <w:rPr>
          <w:color w:val="auto"/>
          <w:highlight w:val="none"/>
        </w:rPr>
        <w:t>.</w:t>
      </w:r>
      <w:r>
        <w:rPr>
          <w:rFonts w:hint="eastAsia"/>
          <w:color w:val="auto"/>
          <w:highlight w:val="none"/>
        </w:rPr>
        <w:t xml:space="preserve">6 </w:t>
      </w:r>
      <w:r>
        <w:rPr>
          <w:color w:val="auto"/>
          <w:highlight w:val="none"/>
        </w:rPr>
        <w:t xml:space="preserve"> </w:t>
      </w:r>
      <w:r>
        <w:rPr>
          <w:rFonts w:hint="eastAsia"/>
          <w:color w:val="auto"/>
          <w:highlight w:val="none"/>
        </w:rPr>
        <w:t>晶粒度</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u w:val="single"/>
        </w:rPr>
      </w:pPr>
      <w:r>
        <w:rPr>
          <w:rFonts w:hint="eastAsia" w:ascii="宋体" w:hAnsi="宋体"/>
          <w:color w:val="auto"/>
          <w:szCs w:val="21"/>
          <w:highlight w:val="none"/>
          <w:u w:val="single"/>
        </w:rPr>
        <w:t>锻件的晶粒度测定按GB/T 6394进行。</w:t>
      </w:r>
    </w:p>
    <w:p>
      <w:pPr>
        <w:pStyle w:val="59"/>
        <w:rPr>
          <w:color w:val="auto"/>
          <w:highlight w:val="none"/>
        </w:rPr>
      </w:pPr>
      <w:r>
        <w:rPr>
          <w:rFonts w:hint="eastAsia"/>
          <w:color w:val="auto"/>
          <w:highlight w:val="none"/>
        </w:rPr>
        <w:t>6</w:t>
      </w:r>
      <w:r>
        <w:rPr>
          <w:color w:val="auto"/>
          <w:highlight w:val="none"/>
        </w:rPr>
        <w:t>.</w:t>
      </w:r>
      <w:r>
        <w:rPr>
          <w:rFonts w:hint="eastAsia"/>
          <w:color w:val="auto"/>
          <w:highlight w:val="none"/>
        </w:rPr>
        <w:t xml:space="preserve">7 </w:t>
      </w:r>
      <w:r>
        <w:rPr>
          <w:color w:val="auto"/>
          <w:highlight w:val="none"/>
        </w:rPr>
        <w:t xml:space="preserve"> </w:t>
      </w:r>
      <w:r>
        <w:rPr>
          <w:rFonts w:hint="eastAsia"/>
          <w:color w:val="auto"/>
          <w:highlight w:val="none"/>
        </w:rPr>
        <w:t>表面质量</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锻件的表面质量用目视进行检验。</w:t>
      </w:r>
    </w:p>
    <w:p>
      <w:pPr>
        <w:pStyle w:val="58"/>
        <w:spacing w:before="143" w:after="143"/>
        <w:ind w:right="0" w:rightChars="0"/>
        <w:rPr>
          <w:color w:val="auto"/>
          <w:highlight w:val="none"/>
        </w:rPr>
      </w:pPr>
      <w:r>
        <w:rPr>
          <w:rFonts w:hint="eastAsia"/>
          <w:color w:val="auto"/>
          <w:highlight w:val="none"/>
        </w:rPr>
        <w:t>7  检验规则</w:t>
      </w:r>
    </w:p>
    <w:p>
      <w:pPr>
        <w:pStyle w:val="59"/>
        <w:rPr>
          <w:color w:val="auto"/>
          <w:highlight w:val="none"/>
        </w:rPr>
      </w:pPr>
      <w:r>
        <w:rPr>
          <w:rFonts w:hint="eastAsia"/>
          <w:color w:val="auto"/>
          <w:highlight w:val="none"/>
        </w:rPr>
        <w:t>7</w:t>
      </w:r>
      <w:r>
        <w:rPr>
          <w:color w:val="auto"/>
          <w:highlight w:val="none"/>
        </w:rPr>
        <w:t>.</w:t>
      </w:r>
      <w:r>
        <w:rPr>
          <w:rFonts w:hint="eastAsia"/>
          <w:color w:val="auto"/>
          <w:highlight w:val="none"/>
        </w:rPr>
        <w:t>1</w:t>
      </w:r>
      <w:r>
        <w:rPr>
          <w:color w:val="auto"/>
          <w:highlight w:val="none"/>
        </w:rPr>
        <w:t xml:space="preserve"> </w:t>
      </w:r>
      <w:r>
        <w:rPr>
          <w:rFonts w:hint="eastAsia"/>
          <w:color w:val="auto"/>
          <w:highlight w:val="none"/>
        </w:rPr>
        <w:t>检查和验收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Cs w:val="21"/>
          <w:highlight w:val="none"/>
        </w:rPr>
      </w:pPr>
      <w:r>
        <w:rPr>
          <w:rFonts w:hint="eastAsia" w:ascii="黑体" w:hAnsi="黑体" w:eastAsia="黑体"/>
          <w:color w:val="auto"/>
          <w:szCs w:val="21"/>
          <w:highlight w:val="none"/>
        </w:rPr>
        <w:t>7.1.1</w:t>
      </w:r>
      <w:r>
        <w:rPr>
          <w:rFonts w:hint="eastAsia" w:ascii="宋体" w:hAnsi="宋体"/>
          <w:color w:val="auto"/>
          <w:szCs w:val="21"/>
          <w:highlight w:val="none"/>
        </w:rPr>
        <w:t xml:space="preserve">  锻件应由供方或第三方进行检验，保证产品质量符合本文件及订货单的规定。</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Cs w:val="21"/>
          <w:highlight w:val="none"/>
        </w:rPr>
      </w:pPr>
      <w:r>
        <w:rPr>
          <w:rFonts w:hint="eastAsia" w:ascii="黑体" w:hAnsi="黑体" w:eastAsia="黑体"/>
          <w:color w:val="auto"/>
          <w:szCs w:val="21"/>
          <w:highlight w:val="none"/>
        </w:rPr>
        <w:t>7.1.2</w:t>
      </w:r>
      <w:r>
        <w:rPr>
          <w:rFonts w:hint="eastAsia" w:ascii="宋体" w:hAnsi="宋体"/>
          <w:color w:val="auto"/>
          <w:szCs w:val="21"/>
          <w:highlight w:val="none"/>
        </w:rPr>
        <w:t xml:space="preserve">  需方对收到的产品应按本文件及订货单的规定进行检验。检验结果与本文件及订货单的规定不符时，应以书面形式向供方提出，由供需双方协商解决。属于表面质量和外形尺寸及其允许偏差的异议，应在收到产品之日起一个月内提出，属于其他性能的异议，应在收到产品之日起三个月内提出。如需仲裁，仲裁取样应由供需双方共同进行。</w:t>
      </w:r>
    </w:p>
    <w:p>
      <w:pPr>
        <w:pStyle w:val="59"/>
        <w:rPr>
          <w:color w:val="auto"/>
          <w:highlight w:val="none"/>
        </w:rPr>
      </w:pPr>
      <w:r>
        <w:rPr>
          <w:rFonts w:hint="eastAsia"/>
          <w:color w:val="auto"/>
          <w:highlight w:val="none"/>
        </w:rPr>
        <w:t>7</w:t>
      </w:r>
      <w:r>
        <w:rPr>
          <w:color w:val="auto"/>
          <w:highlight w:val="none"/>
        </w:rPr>
        <w:t>.</w:t>
      </w:r>
      <w:r>
        <w:rPr>
          <w:rFonts w:hint="eastAsia"/>
          <w:color w:val="auto"/>
          <w:highlight w:val="none"/>
        </w:rPr>
        <w:t>2</w:t>
      </w:r>
      <w:r>
        <w:rPr>
          <w:color w:val="auto"/>
          <w:highlight w:val="none"/>
        </w:rPr>
        <w:t xml:space="preserve"> </w:t>
      </w:r>
      <w:r>
        <w:rPr>
          <w:rFonts w:hint="eastAsia"/>
          <w:color w:val="auto"/>
          <w:highlight w:val="none"/>
        </w:rPr>
        <w:t xml:space="preserve"> 组批</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锻件应成批提交验收，每批应由同一牌号、</w:t>
      </w:r>
      <w:r>
        <w:rPr>
          <w:rFonts w:hint="eastAsia" w:ascii="宋体" w:hAnsi="宋体"/>
          <w:color w:val="auto"/>
          <w:szCs w:val="21"/>
          <w:highlight w:val="none"/>
          <w:lang w:val="en-US" w:eastAsia="zh-CN"/>
        </w:rPr>
        <w:t>同一熔炼炉号、</w:t>
      </w:r>
      <w:r>
        <w:rPr>
          <w:rFonts w:hint="eastAsia" w:ascii="宋体" w:hAnsi="宋体"/>
          <w:color w:val="auto"/>
          <w:szCs w:val="21"/>
          <w:highlight w:val="none"/>
        </w:rPr>
        <w:t>同一</w:t>
      </w:r>
      <w:r>
        <w:rPr>
          <w:rFonts w:hint="eastAsia" w:ascii="宋体" w:hAnsi="宋体"/>
          <w:color w:val="auto"/>
          <w:szCs w:val="21"/>
          <w:highlight w:val="none"/>
          <w:lang w:val="en-US" w:eastAsia="zh-CN"/>
        </w:rPr>
        <w:t>供应状态</w:t>
      </w:r>
      <w:r>
        <w:rPr>
          <w:rFonts w:hint="eastAsia" w:ascii="宋体" w:hAnsi="宋体"/>
          <w:color w:val="auto"/>
          <w:szCs w:val="21"/>
          <w:highlight w:val="none"/>
        </w:rPr>
        <w:t>、</w:t>
      </w:r>
      <w:r>
        <w:rPr>
          <w:rFonts w:hint="eastAsia" w:ascii="宋体" w:hAnsi="宋体"/>
          <w:color w:val="auto"/>
          <w:szCs w:val="21"/>
          <w:highlight w:val="none"/>
          <w:lang w:val="en-US" w:eastAsia="zh-CN"/>
        </w:rPr>
        <w:t>同一制造方法、</w:t>
      </w:r>
      <w:r>
        <w:rPr>
          <w:rFonts w:hint="eastAsia" w:ascii="宋体" w:hAnsi="宋体"/>
          <w:color w:val="auto"/>
          <w:szCs w:val="21"/>
          <w:highlight w:val="none"/>
        </w:rPr>
        <w:t>同一规格、同一生产周期的锻件组成，纯镍（N7、N6、N5）锻件批重不大于8</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000kg，其他牌号批重不大于5</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000kg。</w:t>
      </w:r>
    </w:p>
    <w:p>
      <w:pPr>
        <w:pStyle w:val="59"/>
        <w:rPr>
          <w:color w:val="auto"/>
          <w:highlight w:val="none"/>
        </w:rPr>
      </w:pPr>
      <w:r>
        <w:rPr>
          <w:rFonts w:hint="eastAsia"/>
          <w:color w:val="auto"/>
          <w:highlight w:val="none"/>
        </w:rPr>
        <w:t>7</w:t>
      </w:r>
      <w:r>
        <w:rPr>
          <w:color w:val="auto"/>
          <w:highlight w:val="none"/>
        </w:rPr>
        <w:t>.</w:t>
      </w:r>
      <w:r>
        <w:rPr>
          <w:rFonts w:hint="eastAsia"/>
          <w:color w:val="auto"/>
          <w:highlight w:val="none"/>
        </w:rPr>
        <w:t>3</w:t>
      </w:r>
      <w:r>
        <w:rPr>
          <w:color w:val="auto"/>
          <w:highlight w:val="none"/>
        </w:rPr>
        <w:t xml:space="preserve"> </w:t>
      </w:r>
      <w:r>
        <w:rPr>
          <w:rFonts w:hint="eastAsia"/>
          <w:color w:val="auto"/>
          <w:highlight w:val="none"/>
        </w:rPr>
        <w:t xml:space="preserve"> 检验项目</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产品的检验项目分为出厂检验项目和型式检验项目，见表8。出现下列任一情况，应进行型式检验：</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firstLine="0" w:firstLineChars="0"/>
        <w:textAlignment w:val="auto"/>
        <w:rPr>
          <w:rFonts w:hint="default" w:ascii="宋体" w:hAnsi="宋体"/>
          <w:color w:val="auto"/>
          <w:szCs w:val="21"/>
          <w:highlight w:val="none"/>
          <w:lang w:val="en-US"/>
        </w:rPr>
      </w:pPr>
      <w:r>
        <w:rPr>
          <w:color w:val="auto"/>
          <w:sz w:val="21"/>
          <w:highlight w:val="none"/>
        </w:rPr>
        <mc:AlternateContent>
          <mc:Choice Requires="wps">
            <w:drawing>
              <wp:anchor distT="0" distB="0" distL="114300" distR="114300" simplePos="0" relativeHeight="251677696" behindDoc="0" locked="0" layoutInCell="1" allowOverlap="1">
                <wp:simplePos x="0" y="0"/>
                <wp:positionH relativeFrom="column">
                  <wp:posOffset>9022715</wp:posOffset>
                </wp:positionH>
                <wp:positionV relativeFrom="paragraph">
                  <wp:posOffset>-4325620</wp:posOffset>
                </wp:positionV>
                <wp:extent cx="8890" cy="4333875"/>
                <wp:effectExtent l="4445" t="0" r="5715" b="9525"/>
                <wp:wrapNone/>
                <wp:docPr id="32" name="直接连接符 32"/>
                <wp:cNvGraphicFramePr/>
                <a:graphic xmlns:a="http://schemas.openxmlformats.org/drawingml/2006/main">
                  <a:graphicData uri="http://schemas.microsoft.com/office/word/2010/wordprocessingShape">
                    <wps:wsp>
                      <wps:cNvCnPr/>
                      <wps:spPr>
                        <a:xfrm>
                          <a:off x="0" y="0"/>
                          <a:ext cx="8890" cy="4333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10.45pt;margin-top:-340.6pt;height:341.25pt;width:0.7pt;z-index:251677696;mso-width-relative:page;mso-height-relative:page;" filled="f" stroked="t" coordsize="21600,21600" o:gfxdata="UEsDBAoAAAAAAIdO4kAAAAAAAAAAAAAAAAAEAAAAZHJzL1BLAwQUAAAACACHTuJA+i6LhNkAAAAM&#10;AQAADwAAAGRycy9kb3ducmV2LnhtbE2PTU/DMAyG70j8h8hIXKYtaTpNozTdAeiNCwPENWtMW9E4&#10;XZN9wK/HO8HNr/zo9eNyc/aDOOIU+0AGsoUCgdQE11Nr4O21nq9BxGTJ2SEQGvjGCJvq+qq0hQsn&#10;esHjNrWCSygW1kCX0lhIGZsOvY2LMCLx7jNM3iaOUyvdZE9c7geplVpJb3viC50d8aHD5mt78AZi&#10;/Y77+mfWzNRH3gbU+8fnJ2vM7U2m7kEkPKc/GC76rA4VO+3CgVwUA+elVnfMGpiv1pkGcWGWWucg&#10;djzlIKtS/n+i+gVQSwMEFAAAAAgAh07iQMNhzI3cAQAAnwMAAA4AAABkcnMvZTJvRG9jLnhtbK1T&#10;zW4TMRC+I/EOlu9k04RAusqmh0blgiAS8AATr3fXkv/kcbPJS/ACSNzgxJE7b9PyGIy927SUSw/s&#10;wTuen8/zfR6vLg5Gs70MqJyt+Nlkypm0wtXKthX/9PHqxZIzjGBr0M7Kih8l8ov182er3pdy5jqn&#10;axkYgVgse1/xLkZfFgWKThrAifPSUrBxwUCkbWiLOkBP6EYXs+n0VdG7UPvghEQk72YI8hExPAXQ&#10;NY0ScuPEtZE2DqhBaohECTvlka9zt00jRXzfNCgj0xUnpjGvdAjZu7QW6xWUbQDfKTG2AE9p4REn&#10;A8rSoSeoDURg10H9A2WUCA5dEyfCmWIgkhUhFmfTR9p86MDLzIWkRn8SHf8frHi33wam6orPZ5xZ&#10;MHTjt19+3nz+9vvXV1pvf3xnFCGZeo8lZV/abRh36LchcT40waQ/sWGHLO3xJK08RCbIuVyek+SC&#10;Ai/n8/ny9SJBFve1PmB8I51hyai4VjYRhxL2bzEOqXcpyW3dldKa/FBqy/qKny9mC8IHGsiGBoFM&#10;44kU2pYz0C1NuoghI6LTqk7VqRhDu7vUge0hzUf+xsb+SktHbwC7IS+HxjRtiUaSZhAjWTtXH7NG&#10;2U/3lomOM5YG4+E+V9+/q/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6LhNkAAAAMAQAADwAA&#10;AAAAAAABACAAAAAiAAAAZHJzL2Rvd25yZXYueG1sUEsBAhQAFAAAAAgAh07iQMNhzI3cAQAAnwMA&#10;AA4AAAAAAAAAAQAgAAAAKAEAAGRycy9lMm9Eb2MueG1sUEsFBgAAAAAGAAYAWQEAAHYFAAAAAA==&#10;">
                <v:fill on="f" focussize="0,0"/>
                <v:stroke color="#000000 [3213]" joinstyle="round"/>
                <v:imagedata o:title=""/>
                <o:lock v:ext="edit" aspectratio="f"/>
              </v:line>
            </w:pict>
          </mc:Fallback>
        </mc:AlternateContent>
      </w:r>
      <w:r>
        <w:rPr>
          <w:rFonts w:hint="eastAsia"/>
          <w:color w:val="auto"/>
          <w:sz w:val="21"/>
          <w:highlight w:val="none"/>
          <w:lang w:val="en-US" w:eastAsia="zh-CN"/>
        </w:rPr>
        <w:t>新产品或老产品转厂的试制定型鉴定时；</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firstLine="0" w:firstLineChars="0"/>
        <w:textAlignment w:val="auto"/>
        <w:rPr>
          <w:rFonts w:hint="default" w:ascii="宋体" w:hAnsi="宋体"/>
          <w:color w:val="auto"/>
          <w:szCs w:val="21"/>
          <w:highlight w:val="none"/>
          <w:lang w:val="en-US"/>
        </w:rPr>
      </w:pPr>
      <w:r>
        <w:rPr>
          <w:rFonts w:hint="eastAsia"/>
          <w:color w:val="auto"/>
          <w:sz w:val="21"/>
          <w:highlight w:val="none"/>
          <w:lang w:val="en-US" w:eastAsia="zh-CN"/>
        </w:rPr>
        <w:t>产品的原料、工艺有较大改变，可能影响产品性能时；</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firstLine="0" w:firstLineChars="0"/>
        <w:textAlignment w:val="auto"/>
        <w:rPr>
          <w:rFonts w:hint="default" w:ascii="宋体" w:hAnsi="宋体"/>
          <w:color w:val="auto"/>
          <w:szCs w:val="21"/>
          <w:highlight w:val="none"/>
          <w:lang w:val="en-US"/>
        </w:rPr>
      </w:pPr>
      <w:r>
        <w:rPr>
          <w:rFonts w:hint="eastAsia"/>
          <w:color w:val="auto"/>
          <w:sz w:val="21"/>
          <w:highlight w:val="none"/>
          <w:lang w:val="en-US" w:eastAsia="zh-CN"/>
        </w:rPr>
        <w:t>产品停产后，回复生产时；</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firstLine="0" w:firstLineChars="0"/>
        <w:textAlignment w:val="auto"/>
        <w:rPr>
          <w:rFonts w:hint="default" w:ascii="宋体" w:hAnsi="宋体"/>
          <w:color w:val="auto"/>
          <w:szCs w:val="21"/>
          <w:highlight w:val="none"/>
          <w:lang w:val="en-US"/>
        </w:rPr>
      </w:pPr>
      <w:r>
        <w:rPr>
          <w:rFonts w:hint="eastAsia"/>
          <w:color w:val="auto"/>
          <w:sz w:val="21"/>
          <w:highlight w:val="none"/>
          <w:lang w:val="en-US" w:eastAsia="zh-CN"/>
        </w:rPr>
        <w:t>出厂检验结果与上次型式检验有较大差异时；</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firstLine="0" w:firstLineChars="0"/>
        <w:textAlignment w:val="auto"/>
        <w:rPr>
          <w:rFonts w:hint="default" w:ascii="宋体" w:hAnsi="宋体"/>
          <w:color w:val="auto"/>
          <w:szCs w:val="21"/>
          <w:highlight w:val="none"/>
          <w:lang w:val="en-US"/>
        </w:rPr>
      </w:pPr>
      <w:r>
        <w:rPr>
          <w:rFonts w:hint="eastAsia"/>
          <w:color w:val="auto"/>
          <w:sz w:val="21"/>
          <w:highlight w:val="none"/>
          <w:lang w:val="en-US" w:eastAsia="zh-CN"/>
        </w:rPr>
        <w:t>连续两年未进行型式检验时；</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firstLine="0" w:firstLineChars="0"/>
        <w:textAlignment w:val="auto"/>
        <w:rPr>
          <w:rFonts w:hint="default" w:ascii="宋体" w:hAnsi="宋体"/>
          <w:color w:val="auto"/>
          <w:szCs w:val="21"/>
          <w:highlight w:val="none"/>
          <w:lang w:val="en-US"/>
        </w:rPr>
      </w:pPr>
      <w:r>
        <w:rPr>
          <w:rFonts w:hint="eastAsia"/>
          <w:color w:val="auto"/>
          <w:sz w:val="21"/>
          <w:highlight w:val="none"/>
          <w:lang w:val="en-US" w:eastAsia="zh-CN"/>
        </w:rPr>
        <w:t>需方有要求时（在订货单中注明）；</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0" w:leftChars="0" w:firstLine="0" w:firstLineChars="0"/>
        <w:textAlignment w:val="auto"/>
        <w:rPr>
          <w:rFonts w:hint="default" w:ascii="宋体" w:hAnsi="宋体"/>
          <w:color w:val="auto"/>
          <w:szCs w:val="21"/>
          <w:highlight w:val="none"/>
          <w:lang w:val="en-US"/>
        </w:rPr>
      </w:pPr>
      <w:r>
        <w:rPr>
          <w:rFonts w:hint="eastAsia"/>
          <w:color w:val="auto"/>
          <w:sz w:val="21"/>
          <w:highlight w:val="none"/>
          <w:lang w:val="en-US" w:eastAsia="zh-CN"/>
        </w:rPr>
        <w:t>国家有关监督机构提出进行型式检验的要求时。</w:t>
      </w:r>
    </w:p>
    <w:p>
      <w:pPr>
        <w:spacing w:line="360" w:lineRule="exact"/>
        <w:jc w:val="center"/>
        <w:rPr>
          <w:rFonts w:hint="default" w:ascii="黑体" w:hAnsi="黑体" w:eastAsia="黑体" w:cs="MS PMincho"/>
          <w:color w:val="auto"/>
          <w:szCs w:val="21"/>
          <w:highlight w:val="none"/>
          <w:lang w:val="en-US" w:eastAsia="zh-CN"/>
        </w:rPr>
      </w:pPr>
      <w:r>
        <w:rPr>
          <w:rFonts w:hint="eastAsia" w:ascii="黑体" w:hAnsi="黑体" w:eastAsia="黑体" w:cs="MS PMincho"/>
          <w:color w:val="auto"/>
          <w:szCs w:val="21"/>
          <w:highlight w:val="none"/>
        </w:rPr>
        <w:t>表</w:t>
      </w:r>
      <w:r>
        <w:rPr>
          <w:rFonts w:hint="eastAsia" w:ascii="黑体" w:hAnsi="黑体" w:eastAsia="黑体" w:cs="MS PMincho"/>
          <w:color w:val="auto"/>
          <w:szCs w:val="21"/>
          <w:highlight w:val="none"/>
          <w:lang w:val="en-US" w:eastAsia="zh-CN"/>
        </w:rPr>
        <w:t>8</w:t>
      </w:r>
      <w:r>
        <w:rPr>
          <w:rFonts w:hint="eastAsia" w:ascii="黑体" w:hAnsi="黑体" w:eastAsia="黑体" w:cs="MS PMincho"/>
          <w:color w:val="auto"/>
          <w:szCs w:val="21"/>
          <w:highlight w:val="none"/>
        </w:rPr>
        <w:t xml:space="preserve"> </w:t>
      </w:r>
      <w:r>
        <w:rPr>
          <w:rFonts w:hint="eastAsia" w:ascii="黑体" w:hAnsi="黑体" w:eastAsia="黑体" w:cs="MS PMincho"/>
          <w:color w:val="auto"/>
          <w:szCs w:val="21"/>
          <w:highlight w:val="none"/>
          <w:lang w:val="en-US" w:eastAsia="zh-CN"/>
        </w:rPr>
        <w:t>检验项目</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0"/>
        <w:gridCol w:w="3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top w:val="single" w:color="auto" w:sz="12" w:space="0"/>
              <w:left w:val="single" w:color="auto" w:sz="12" w:space="0"/>
              <w:bottom w:val="single" w:color="auto" w:sz="12" w:space="0"/>
            </w:tcBorders>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检验项目</w:t>
            </w:r>
          </w:p>
        </w:tc>
        <w:tc>
          <w:tcPr>
            <w:tcW w:w="3190" w:type="dxa"/>
            <w:tcBorders>
              <w:top w:val="single" w:color="auto" w:sz="12" w:space="0"/>
              <w:bottom w:val="single" w:color="auto" w:sz="12" w:space="0"/>
            </w:tcBorders>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出厂检验项目</w:t>
            </w:r>
          </w:p>
        </w:tc>
        <w:tc>
          <w:tcPr>
            <w:tcW w:w="3191" w:type="dxa"/>
            <w:tcBorders>
              <w:top w:val="single" w:color="auto" w:sz="12" w:space="0"/>
              <w:bottom w:val="single" w:color="auto" w:sz="12" w:space="0"/>
              <w:right w:val="single" w:color="auto" w:sz="12" w:space="0"/>
            </w:tcBorders>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型式检验项目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top w:val="single" w:color="auto" w:sz="12" w:space="0"/>
              <w:left w:val="single" w:color="auto" w:sz="12" w:space="0"/>
            </w:tcBorders>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化学成分</w:t>
            </w:r>
          </w:p>
        </w:tc>
        <w:tc>
          <w:tcPr>
            <w:tcW w:w="3190" w:type="dxa"/>
            <w:tcBorders>
              <w:top w:val="single" w:color="auto" w:sz="12" w:space="0"/>
            </w:tcBorders>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c>
          <w:tcPr>
            <w:tcW w:w="3191" w:type="dxa"/>
            <w:tcBorders>
              <w:top w:val="single" w:color="auto" w:sz="12" w:space="0"/>
              <w:right w:val="single" w:color="auto" w:sz="12" w:space="0"/>
            </w:tcBorders>
          </w:tcPr>
          <w:p>
            <w:pPr>
              <w:jc w:val="center"/>
              <w:rPr>
                <w:rFonts w:hint="default" w:ascii="宋体" w:hAnsi="宋体"/>
                <w:color w:val="auto"/>
                <w:sz w:val="18"/>
                <w:szCs w:val="18"/>
                <w:highlight w:val="none"/>
                <w:lang w:val="en-US"/>
              </w:rPr>
            </w:pPr>
            <w:bookmarkStart w:id="3" w:name="_GoBack"/>
            <w:r>
              <w:rPr>
                <w:color w:val="auto"/>
                <w:sz w:val="21"/>
                <w:highlight w:val="none"/>
              </w:rPr>
              <mc:AlternateContent>
                <mc:Choice Requires="wps">
                  <w:drawing>
                    <wp:anchor distT="0" distB="0" distL="114300" distR="114300" simplePos="0" relativeHeight="251693056" behindDoc="0" locked="0" layoutInCell="1" allowOverlap="1">
                      <wp:simplePos x="0" y="0"/>
                      <wp:positionH relativeFrom="column">
                        <wp:posOffset>2007870</wp:posOffset>
                      </wp:positionH>
                      <wp:positionV relativeFrom="paragraph">
                        <wp:posOffset>-2026920</wp:posOffset>
                      </wp:positionV>
                      <wp:extent cx="20955" cy="3597910"/>
                      <wp:effectExtent l="4445" t="0" r="12700" b="2540"/>
                      <wp:wrapNone/>
                      <wp:docPr id="31" name="直接连接符 31"/>
                      <wp:cNvGraphicFramePr/>
                      <a:graphic xmlns:a="http://schemas.openxmlformats.org/drawingml/2006/main">
                        <a:graphicData uri="http://schemas.microsoft.com/office/word/2010/wordprocessingShape">
                          <wps:wsp>
                            <wps:cNvCnPr/>
                            <wps:spPr>
                              <a:xfrm>
                                <a:off x="0" y="0"/>
                                <a:ext cx="20955" cy="35979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8.1pt;margin-top:-159.6pt;height:283.3pt;width:1.65pt;z-index:251693056;mso-width-relative:page;mso-height-relative:page;" filled="f" stroked="t" coordsize="21600,21600" o:gfxdata="UEsDBAoAAAAAAIdO4kAAAAAAAAAAAAAAAAAEAAAAZHJzL1BLAwQUAAAACACHTuJALZBPdtkAAAAM&#10;AQAADwAAAGRycy9kb3ducmV2LnhtbE2Py07DQAxF90j8w8hIbKp28igFQpwugOzYUEBspxmTRGQ8&#10;aWb6gK/HrGB3LR9dH5frkxvUgabQe0ZIFwko4sbbnluE15d6fgMqRMPWDJ4J4YsCrKvzs9IU1h/5&#10;mQ6b2Cop4VAYhC7GsdA6NB05ExZ+JJbdh5+ciTJOrbaTOUq5G3SWJCvtTM9yoTMj3XfUfG72DiHU&#10;b7Srv2fNLHnPW0/Z7uHp0SBeXqTJHahIp/gHw6++qEMlTlu/ZxvUgJCnq0xQhHme3koSRMIVqC1C&#10;trxegq5K/f+J6gdQSwMEFAAAAAgAh07iQIPhnYveAQAAoAMAAA4AAABkcnMvZTJvRG9jLnhtbK1T&#10;zY7TMBC+I/EOlu80aVcFGjXdw1bLBUEl4AFcx0ks+U8z3qZ9CV4AiRucOHLnbdh9DMZO6MJy2QM9&#10;uOOZz9/4+zxZXx6tYQcFqL2r+XxWcqac9I12Xc0/vL9+9pIzjMI1wninan5SyC83T5+sh1Cphe+9&#10;aRQwInFYDaHmfYyhKgqUvbICZz4oR8XWgxWRttAVDYiB2K0pFmX5vBg8NAG8VIiU3Y5FPjHCYwh9&#10;22qptl7eWOXiyArKiEiSsNcB+Sbftm2VjG/bFlVkpuakNOaVmlC8T2uxWYuqAxF6LacriMdc4YEm&#10;K7SjpmeqrYiC3YD+h8pqCR59G2fS22IUkh0hFfPygTfvehFU1kJWYzibjv+PVr457IDppuYXc86c&#10;sPTit5++//z45e7HZ1pvv31lVCGbhoAVoa/cDqYdhh0kzccWbPonNeyYrT2drVXHyCQlF+VqueRM&#10;UuViuXqxmmfri/vDATC+Ut6yFNTcaJeUi0ocXmOkhgT9DUlp56+1Mfn1jGNDzVfLReIXNJEtTQKF&#10;NpAqdB1nwnQ06jJCZkRvdJNOJx6Ebn9lgB1EGpD8S2Kp21+w1HorsB9xuTTBjCN08mZ0I0V735yy&#10;STlPD5f5piFLk/HnPp++/7A2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tkE922QAAAAwBAAAP&#10;AAAAAAAAAAEAIAAAACIAAABkcnMvZG93bnJldi54bWxQSwECFAAUAAAACACHTuJAg+Gdi94BAACg&#10;AwAADgAAAAAAAAABACAAAAAoAQAAZHJzL2Uyb0RvYy54bWxQSwUGAAAAAAYABgBZAQAAeAUAAAAA&#10;">
                      <v:fill on="f" focussize="0,0"/>
                      <v:stroke color="#000000 [3213]" joinstyle="round"/>
                      <v:imagedata o:title=""/>
                      <o:lock v:ext="edit" aspectratio="f"/>
                    </v:line>
                  </w:pict>
                </mc:Fallback>
              </mc:AlternateContent>
            </w:r>
            <w:bookmarkEnd w:id="3"/>
            <w:r>
              <w:rPr>
                <w:rFonts w:hint="eastAsia" w:ascii="宋体" w:hAnsi="宋体"/>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left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rPr>
              <w:t>外形尺寸及其允许偏差</w:t>
            </w:r>
          </w:p>
        </w:tc>
        <w:tc>
          <w:tcPr>
            <w:tcW w:w="3190" w:type="dxa"/>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c>
          <w:tcPr>
            <w:tcW w:w="3191" w:type="dxa"/>
            <w:tcBorders>
              <w:right w:val="single" w:color="auto" w:sz="12" w:space="0"/>
            </w:tcBorders>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left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rPr>
              <w:t>室温力学性能</w:t>
            </w:r>
          </w:p>
        </w:tc>
        <w:tc>
          <w:tcPr>
            <w:tcW w:w="3190" w:type="dxa"/>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c>
          <w:tcPr>
            <w:tcW w:w="3191" w:type="dxa"/>
            <w:tcBorders>
              <w:right w:val="single" w:color="auto" w:sz="12" w:space="0"/>
            </w:tcBorders>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left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rPr>
              <w:t>高温力学性能</w:t>
            </w:r>
          </w:p>
        </w:tc>
        <w:tc>
          <w:tcPr>
            <w:tcW w:w="3190" w:type="dxa"/>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c>
          <w:tcPr>
            <w:tcW w:w="3191" w:type="dxa"/>
            <w:tcBorders>
              <w:right w:val="single" w:color="auto" w:sz="12" w:space="0"/>
            </w:tcBorders>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left w:val="single" w:color="auto" w:sz="12" w:space="0"/>
            </w:tcBorders>
            <w:vAlign w:val="center"/>
          </w:tcPr>
          <w:p>
            <w:pPr>
              <w:jc w:val="center"/>
              <w:rPr>
                <w:rFonts w:hint="default" w:ascii="宋体" w:hAnsi="宋体"/>
                <w:color w:val="auto"/>
                <w:sz w:val="18"/>
                <w:szCs w:val="18"/>
                <w:highlight w:val="none"/>
                <w:lang w:val="en-US" w:eastAsia="zh-CN"/>
              </w:rPr>
            </w:pPr>
            <w:r>
              <w:rPr>
                <w:rFonts w:hint="eastAsia" w:ascii="宋体" w:hAnsi="宋体"/>
                <w:color w:val="auto"/>
                <w:sz w:val="18"/>
                <w:szCs w:val="18"/>
                <w:highlight w:val="none"/>
              </w:rPr>
              <w:t>蠕变和应力断裂性能</w:t>
            </w:r>
          </w:p>
        </w:tc>
        <w:tc>
          <w:tcPr>
            <w:tcW w:w="3190" w:type="dxa"/>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c>
          <w:tcPr>
            <w:tcW w:w="3191" w:type="dxa"/>
            <w:tcBorders>
              <w:right w:val="single" w:color="auto" w:sz="12" w:space="0"/>
            </w:tcBorders>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lef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晶粒度</w:t>
            </w:r>
          </w:p>
        </w:tc>
        <w:tc>
          <w:tcPr>
            <w:tcW w:w="3190" w:type="dxa"/>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c>
          <w:tcPr>
            <w:tcW w:w="3191" w:type="dxa"/>
            <w:tcBorders>
              <w:right w:val="single" w:color="auto" w:sz="12" w:space="0"/>
            </w:tcBorders>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Borders>
              <w:lef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表面质量</w:t>
            </w:r>
          </w:p>
        </w:tc>
        <w:tc>
          <w:tcPr>
            <w:tcW w:w="3190" w:type="dxa"/>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c>
          <w:tcPr>
            <w:tcW w:w="3191" w:type="dxa"/>
            <w:tcBorders>
              <w:right w:val="single" w:color="auto" w:sz="12" w:space="0"/>
            </w:tcBorders>
          </w:tcPr>
          <w:p>
            <w:pPr>
              <w:jc w:val="center"/>
              <w:rPr>
                <w:rFonts w:hint="default" w:ascii="宋体" w:hAnsi="宋体"/>
                <w:color w:val="auto"/>
                <w:sz w:val="18"/>
                <w:szCs w:val="18"/>
                <w:highlight w:val="none"/>
                <w:lang w:val="en-US"/>
              </w:rPr>
            </w:pPr>
            <w:r>
              <w:rPr>
                <w:rFonts w:hint="eastAsia" w:ascii="宋体" w:hAnsi="宋体"/>
                <w:color w:val="auto"/>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3"/>
            <w:tcBorders>
              <w:left w:val="single" w:color="auto" w:sz="12" w:space="0"/>
              <w:bottom w:val="single" w:color="auto" w:sz="12" w:space="0"/>
              <w:right w:val="single" w:color="auto" w:sz="12" w:space="0"/>
            </w:tcBorders>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eastAsia="宋体"/>
                <w:color w:val="auto"/>
                <w:szCs w:val="21"/>
                <w:highlight w:val="green"/>
                <w:vertAlign w:val="baseline"/>
                <w:lang w:val="en-US" w:eastAsia="zh-CN"/>
              </w:rPr>
            </w:pPr>
            <w:r>
              <w:rPr>
                <w:rFonts w:hint="eastAsia" w:ascii="宋体" w:hAnsi="宋体"/>
                <w:color w:val="auto"/>
                <w:szCs w:val="21"/>
                <w:highlight w:val="none"/>
                <w:vertAlign w:val="baseline"/>
                <w:lang w:val="en-US" w:eastAsia="zh-CN"/>
              </w:rPr>
              <w:t xml:space="preserve">    注：“√”表示必检项目；“△”表示“需方要求时，进行的检验项目”。</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宋体" w:hAnsi="宋体"/>
          <w:color w:val="auto"/>
          <w:szCs w:val="21"/>
          <w:highlight w:val="green"/>
          <w:lang w:val="en-US"/>
        </w:rPr>
      </w:pPr>
    </w:p>
    <w:p>
      <w:pPr>
        <w:pStyle w:val="59"/>
        <w:rPr>
          <w:color w:val="auto"/>
          <w:highlight w:val="none"/>
        </w:rPr>
      </w:pPr>
      <w:r>
        <w:rPr>
          <w:rFonts w:hint="eastAsia"/>
          <w:color w:val="auto"/>
          <w:highlight w:val="none"/>
        </w:rPr>
        <w:t>7</w:t>
      </w:r>
      <w:r>
        <w:rPr>
          <w:color w:val="auto"/>
          <w:highlight w:val="none"/>
        </w:rPr>
        <w:t>.</w:t>
      </w:r>
      <w:r>
        <w:rPr>
          <w:rFonts w:hint="eastAsia"/>
          <w:color w:val="auto"/>
          <w:highlight w:val="none"/>
        </w:rPr>
        <w:t xml:space="preserve">4 </w:t>
      </w:r>
      <w:r>
        <w:rPr>
          <w:color w:val="auto"/>
          <w:highlight w:val="none"/>
        </w:rPr>
        <w:t xml:space="preserve"> </w:t>
      </w:r>
      <w:r>
        <w:rPr>
          <w:rFonts w:hint="eastAsia"/>
          <w:color w:val="auto"/>
          <w:highlight w:val="none"/>
        </w:rPr>
        <w:t>取样</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Cs w:val="21"/>
          <w:highlight w:val="none"/>
        </w:rPr>
      </w:pPr>
      <w:r>
        <w:rPr>
          <w:color w:val="auto"/>
          <w:sz w:val="21"/>
          <w:highlight w:val="none"/>
        </w:rPr>
        <mc:AlternateContent>
          <mc:Choice Requires="wps">
            <w:drawing>
              <wp:anchor distT="0" distB="0" distL="114300" distR="114300" simplePos="0" relativeHeight="251681792" behindDoc="0" locked="0" layoutInCell="1" allowOverlap="1">
                <wp:simplePos x="0" y="0"/>
                <wp:positionH relativeFrom="column">
                  <wp:posOffset>6087110</wp:posOffset>
                </wp:positionH>
                <wp:positionV relativeFrom="paragraph">
                  <wp:posOffset>48895</wp:posOffset>
                </wp:positionV>
                <wp:extent cx="0" cy="2694305"/>
                <wp:effectExtent l="4445" t="0" r="14605" b="10795"/>
                <wp:wrapNone/>
                <wp:docPr id="40" name="直接连接符 40"/>
                <wp:cNvGraphicFramePr/>
                <a:graphic xmlns:a="http://schemas.openxmlformats.org/drawingml/2006/main">
                  <a:graphicData uri="http://schemas.microsoft.com/office/word/2010/wordprocessingShape">
                    <wps:wsp>
                      <wps:cNvCnPr/>
                      <wps:spPr>
                        <a:xfrm>
                          <a:off x="0" y="0"/>
                          <a:ext cx="0" cy="26943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9.3pt;margin-top:3.85pt;height:212.15pt;width:0pt;z-index:251681792;mso-width-relative:page;mso-height-relative:page;" filled="f" stroked="t" coordsize="21600,21600" o:gfxdata="UEsDBAoAAAAAAIdO4kAAAAAAAAAAAAAAAAAEAAAAZHJzL1BLAwQUAAAACACHTuJA5WfHZNcAAAAJ&#10;AQAADwAAAGRycy9kb3ducmV2LnhtbE2PvU7DQBCEeyTe4bRINFFyFweSYLxOAbijSSCi3diLbeHb&#10;c3yXH3h6DlFAOZrRzDfZ6mw7deTBt04QphMDiqV0VSs1wutLMV6C8oGkos4JI3yyh1V+eZFRWrmT&#10;rPm4CbWKJeJTQmhC6FOtfdmwJT9xPUv03t1gKUQ51Loa6BTLbacTY+baUitxoaGeHxouPzYHi+CL&#10;Le+Lr1E5Mm+z2nGyf3x+IsTrq6m5BxX4HP7C8IMf0SGPTDt3kMqrDuHudjmPUYTFAlT0f/UO4WaW&#10;GNB5pv8/yL8BUEsDBBQAAAAIAIdO4kCb3hke1wEAAJwDAAAOAAAAZHJzL2Uyb0RvYy54bWytU81u&#10;EzEQviPxDpbvZNPQVHSVTQ+NygVBJOABJl5715L/5HGzyUvwAkjc4MSRO29DeQzG3iWFcumBPXjH&#10;8/N5vs/j1dXBGraXEbV3DT+bzTmTTvhWu67h79/dPHvBGSZwLRjvZMOPEvnV+umT1RBqufC9N62M&#10;jEAc1kNoeJ9SqKsKRS8t4MwH6SiofLSQaBu7qo0wELo11WI+v6gGH9sQvZCI5N2MQT4hxscAeqW0&#10;kBsvbq10aUSN0kAiStjrgHxdulVKivRGKZSJmYYT01RWOoTsXV6r9QrqLkLotZhagMe08ICTBe3o&#10;0BPUBhKw26j/gbJaRI9epZnwthqJFEWIxdn8gTZvewiycCGpMZxEx/8HK17vt5HptuHnJIkDSzd+&#10;9/Hbjw+ff37/ROvd1y+MIiTTELCm7Gu3jdMOwzZmzgcVbf4TG3Yo0h5P0spDYmJ0CvIuLi7Pn8+X&#10;Ga+6LwwR00vpLctGw412mTXUsH+FaUz9nZLdzt9oY8gPtXFsaPjlcrHkTABNo6IpINMGYoSu4wxM&#10;R2MuUiyI6I1uc3Uuxtjtrk1ke8jDUb6psb/S8tEbwH7MK6EpzTiikXUZlcjWzrfHIlDx06UVotOA&#10;5an4c1+q7x/V+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lZ8dk1wAAAAkBAAAPAAAAAAAAAAEA&#10;IAAAACIAAABkcnMvZG93bnJldi54bWxQSwECFAAUAAAACACHTuJAm94ZHtcBAACcAwAADgAAAAAA&#10;AAABACAAAAAmAQAAZHJzL2Uyb0RvYy54bWxQSwUGAAAAAAYABgBZAQAAbwUAAAAA&#10;">
                <v:fill on="f" focussize="0,0"/>
                <v:stroke color="#000000 [3213]" joinstyle="round"/>
                <v:imagedata o:title=""/>
                <o:lock v:ext="edit" aspectratio="f"/>
              </v:line>
            </w:pict>
          </mc:Fallback>
        </mc:AlternateContent>
      </w:r>
      <w:r>
        <w:rPr>
          <w:rFonts w:hint="eastAsia" w:ascii="黑体" w:hAnsi="黑体" w:eastAsia="黑体"/>
          <w:color w:val="auto"/>
          <w:szCs w:val="21"/>
          <w:highlight w:val="none"/>
        </w:rPr>
        <w:t xml:space="preserve">7.4.1 </w:t>
      </w:r>
      <w:r>
        <w:rPr>
          <w:rFonts w:hint="eastAsia" w:ascii="宋体" w:hAnsi="宋体"/>
          <w:color w:val="auto"/>
          <w:szCs w:val="21"/>
          <w:highlight w:val="none"/>
        </w:rPr>
        <w:t xml:space="preserve"> 锻件取样应符合表</w:t>
      </w:r>
      <w:r>
        <w:rPr>
          <w:rFonts w:hint="eastAsia" w:ascii="宋体" w:hAnsi="宋体"/>
          <w:color w:val="auto"/>
          <w:szCs w:val="21"/>
          <w:highlight w:val="none"/>
          <w:lang w:val="en-US" w:eastAsia="zh-CN"/>
        </w:rPr>
        <w:t>9</w:t>
      </w:r>
      <w:r>
        <w:rPr>
          <w:rFonts w:hint="eastAsia" w:ascii="宋体" w:hAnsi="宋体"/>
          <w:color w:val="auto"/>
          <w:szCs w:val="21"/>
          <w:highlight w:val="none"/>
        </w:rPr>
        <w:t>的规定。</w:t>
      </w:r>
    </w:p>
    <w:p>
      <w:pPr>
        <w:spacing w:line="360" w:lineRule="exact"/>
        <w:jc w:val="center"/>
        <w:rPr>
          <w:rFonts w:hint="eastAsia" w:ascii="黑体" w:hAnsi="黑体" w:eastAsia="黑体" w:cs="MS PMincho"/>
          <w:color w:val="auto"/>
          <w:szCs w:val="21"/>
          <w:highlight w:val="none"/>
        </w:rPr>
      </w:pPr>
      <w:r>
        <w:rPr>
          <w:rFonts w:hint="eastAsia" w:ascii="黑体" w:hAnsi="黑体" w:eastAsia="黑体" w:cs="MS PMincho"/>
          <w:color w:val="auto"/>
          <w:szCs w:val="21"/>
          <w:highlight w:val="none"/>
        </w:rPr>
        <w:t>表</w:t>
      </w:r>
      <w:r>
        <w:rPr>
          <w:rFonts w:hint="eastAsia" w:ascii="黑体" w:hAnsi="黑体" w:eastAsia="黑体" w:cs="MS PMincho"/>
          <w:color w:val="auto"/>
          <w:szCs w:val="21"/>
          <w:highlight w:val="none"/>
          <w:lang w:val="en-US" w:eastAsia="zh-CN"/>
        </w:rPr>
        <w:t>9</w:t>
      </w:r>
      <w:r>
        <w:rPr>
          <w:rFonts w:hint="eastAsia" w:ascii="黑体" w:hAnsi="黑体" w:eastAsia="黑体" w:cs="MS PMincho"/>
          <w:color w:val="auto"/>
          <w:szCs w:val="21"/>
          <w:highlight w:val="none"/>
        </w:rPr>
        <w:t xml:space="preserve"> 取样</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2"/>
        <w:gridCol w:w="3864"/>
        <w:gridCol w:w="1595"/>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pct"/>
            <w:tcBorders>
              <w:top w:val="single" w:color="auto" w:sz="12" w:space="0"/>
              <w:left w:val="single" w:color="auto" w:sz="12" w:space="0"/>
              <w:bottom w:val="single" w:color="auto" w:sz="12" w:space="0"/>
              <w:right w:val="single" w:color="auto" w:sz="6" w:space="0"/>
            </w:tcBorders>
          </w:tcPr>
          <w:p>
            <w:pPr>
              <w:jc w:val="center"/>
              <w:rPr>
                <w:rFonts w:hint="eastAsia" w:ascii="宋体" w:hAnsi="宋体"/>
                <w:color w:val="auto"/>
                <w:sz w:val="18"/>
                <w:szCs w:val="18"/>
                <w:highlight w:val="none"/>
              </w:rPr>
            </w:pPr>
            <w:r>
              <w:rPr>
                <w:rFonts w:hint="eastAsia" w:ascii="宋体" w:hAnsi="宋体"/>
                <w:color w:val="auto"/>
                <w:sz w:val="18"/>
                <w:szCs w:val="18"/>
                <w:highlight w:val="none"/>
              </w:rPr>
              <w:t>检验项目</w:t>
            </w:r>
          </w:p>
        </w:tc>
        <w:tc>
          <w:tcPr>
            <w:tcW w:w="2018" w:type="pct"/>
            <w:tcBorders>
              <w:top w:val="single" w:color="auto" w:sz="12" w:space="0"/>
              <w:left w:val="single" w:color="auto" w:sz="6" w:space="0"/>
              <w:bottom w:val="single" w:color="auto" w:sz="12" w:space="0"/>
              <w:right w:val="single" w:color="auto" w:sz="6" w:space="0"/>
            </w:tcBorders>
          </w:tcPr>
          <w:p>
            <w:pPr>
              <w:jc w:val="center"/>
              <w:rPr>
                <w:rFonts w:hint="eastAsia" w:ascii="宋体" w:hAnsi="宋体"/>
                <w:color w:val="auto"/>
                <w:sz w:val="18"/>
                <w:szCs w:val="18"/>
                <w:highlight w:val="none"/>
              </w:rPr>
            </w:pPr>
            <w:r>
              <w:rPr>
                <w:rFonts w:hint="eastAsia" w:ascii="宋体" w:hAnsi="宋体"/>
                <w:color w:val="auto"/>
                <w:sz w:val="18"/>
                <w:szCs w:val="18"/>
                <w:highlight w:val="none"/>
              </w:rPr>
              <w:t>取样规定</w:t>
            </w:r>
          </w:p>
        </w:tc>
        <w:tc>
          <w:tcPr>
            <w:tcW w:w="833" w:type="pct"/>
            <w:tcBorders>
              <w:top w:val="single" w:color="auto" w:sz="12" w:space="0"/>
              <w:left w:val="single" w:color="auto" w:sz="6" w:space="0"/>
              <w:bottom w:val="single" w:color="auto" w:sz="12" w:space="0"/>
              <w:right w:val="single" w:color="auto" w:sz="6" w:space="0"/>
            </w:tcBorders>
          </w:tcPr>
          <w:p>
            <w:pPr>
              <w:jc w:val="center"/>
              <w:rPr>
                <w:rFonts w:hint="eastAsia" w:ascii="宋体" w:hAnsi="宋体"/>
                <w:color w:val="auto"/>
                <w:sz w:val="18"/>
                <w:szCs w:val="18"/>
                <w:highlight w:val="none"/>
              </w:rPr>
            </w:pPr>
            <w:r>
              <w:rPr>
                <w:rFonts w:hint="eastAsia" w:ascii="宋体" w:hAnsi="宋体"/>
                <w:color w:val="auto"/>
                <w:sz w:val="18"/>
                <w:szCs w:val="18"/>
                <w:highlight w:val="none"/>
              </w:rPr>
              <w:t>要求的章条号</w:t>
            </w:r>
          </w:p>
        </w:tc>
        <w:tc>
          <w:tcPr>
            <w:tcW w:w="1070" w:type="pct"/>
            <w:tcBorders>
              <w:top w:val="single" w:color="auto" w:sz="12" w:space="0"/>
              <w:left w:val="single" w:color="auto" w:sz="6" w:space="0"/>
              <w:bottom w:val="single" w:color="auto" w:sz="12" w:space="0"/>
              <w:right w:val="single" w:color="auto" w:sz="12" w:space="0"/>
            </w:tcBorders>
          </w:tcPr>
          <w:p>
            <w:pPr>
              <w:jc w:val="center"/>
              <w:rPr>
                <w:rFonts w:hint="eastAsia" w:ascii="宋体" w:hAnsi="宋体"/>
                <w:color w:val="auto"/>
                <w:sz w:val="18"/>
                <w:szCs w:val="18"/>
                <w:highlight w:val="none"/>
              </w:rPr>
            </w:pPr>
            <w:r>
              <w:rPr>
                <w:rFonts w:hint="eastAsia" w:ascii="宋体" w:hAnsi="宋体"/>
                <w:color w:val="auto"/>
                <w:sz w:val="18"/>
                <w:szCs w:val="18"/>
                <w:highlight w:val="none"/>
              </w:rPr>
              <w:t>试验方法的章条号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pct"/>
            <w:tcBorders>
              <w:top w:val="single" w:color="auto" w:sz="12"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化学成分</w:t>
            </w:r>
          </w:p>
        </w:tc>
        <w:tc>
          <w:tcPr>
            <w:tcW w:w="2018" w:type="pct"/>
            <w:tcBorders>
              <w:top w:val="single" w:color="auto" w:sz="12"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供方每炉（需方每批）取一个试样</w:t>
            </w:r>
          </w:p>
        </w:tc>
        <w:tc>
          <w:tcPr>
            <w:tcW w:w="833" w:type="pct"/>
            <w:tcBorders>
              <w:top w:val="single" w:color="auto" w:sz="12"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5.1</w:t>
            </w:r>
          </w:p>
        </w:tc>
        <w:tc>
          <w:tcPr>
            <w:tcW w:w="1070" w:type="pct"/>
            <w:tcBorders>
              <w:top w:val="single" w:color="auto" w:sz="12"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外形尺寸及其允许偏差</w:t>
            </w:r>
          </w:p>
        </w:tc>
        <w:tc>
          <w:tcPr>
            <w:tcW w:w="201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逐件</w:t>
            </w:r>
          </w:p>
        </w:tc>
        <w:tc>
          <w:tcPr>
            <w:tcW w:w="83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5.2</w:t>
            </w:r>
          </w:p>
        </w:tc>
        <w:tc>
          <w:tcPr>
            <w:tcW w:w="1070"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室温力学性能</w:t>
            </w:r>
          </w:p>
        </w:tc>
        <w:tc>
          <w:tcPr>
            <w:tcW w:w="2018" w:type="pct"/>
            <w:vMerge w:val="restart"/>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color w:val="0000FF"/>
                <w:sz w:val="18"/>
                <w:szCs w:val="18"/>
                <w:highlight w:val="none"/>
                <w:u w:val="single"/>
                <w:lang w:val="en-US" w:eastAsia="zh-CN"/>
              </w:rPr>
            </w:pPr>
            <w:r>
              <w:rPr>
                <w:rFonts w:hint="eastAsia" w:ascii="宋体" w:hAnsi="宋体"/>
                <w:color w:val="0000FF"/>
                <w:sz w:val="18"/>
                <w:szCs w:val="18"/>
                <w:highlight w:val="none"/>
                <w:u w:val="single"/>
              </w:rPr>
              <w:t>每批取</w:t>
            </w:r>
            <w:r>
              <w:rPr>
                <w:rFonts w:hint="eastAsia" w:ascii="宋体" w:hAnsi="宋体"/>
                <w:color w:val="0000FF"/>
                <w:sz w:val="18"/>
                <w:szCs w:val="18"/>
                <w:highlight w:val="none"/>
                <w:u w:val="single"/>
                <w:lang w:val="en-US" w:eastAsia="zh-CN"/>
              </w:rPr>
              <w:t>2</w:t>
            </w:r>
            <w:r>
              <w:rPr>
                <w:rFonts w:hint="eastAsia" w:ascii="宋体" w:hAnsi="宋体"/>
                <w:color w:val="0000FF"/>
                <w:sz w:val="18"/>
                <w:szCs w:val="18"/>
                <w:highlight w:val="none"/>
                <w:u w:val="single"/>
              </w:rPr>
              <w:t>件</w:t>
            </w:r>
            <w:r>
              <w:rPr>
                <w:rFonts w:hint="eastAsia" w:ascii="宋体" w:hAnsi="宋体"/>
                <w:color w:val="0000FF"/>
                <w:sz w:val="18"/>
                <w:szCs w:val="18"/>
                <w:highlight w:val="none"/>
                <w:u w:val="single"/>
                <w:lang w:eastAsia="zh-CN"/>
              </w:rPr>
              <w:t>，</w:t>
            </w:r>
            <w:r>
              <w:rPr>
                <w:rFonts w:hint="eastAsia" w:ascii="宋体" w:hAnsi="宋体"/>
                <w:color w:val="0000FF"/>
                <w:sz w:val="18"/>
                <w:szCs w:val="18"/>
                <w:highlight w:val="none"/>
                <w:u w:val="single"/>
                <w:lang w:val="en-US" w:eastAsia="zh-CN"/>
              </w:rPr>
              <w:t>按以下方式取样：</w:t>
            </w:r>
          </w:p>
          <w:p>
            <w:pPr>
              <w:jc w:val="left"/>
              <w:rPr>
                <w:rFonts w:hint="eastAsia" w:ascii="宋体" w:hAnsi="宋体"/>
                <w:color w:val="0000FF"/>
                <w:sz w:val="18"/>
                <w:szCs w:val="18"/>
                <w:highlight w:val="none"/>
                <w:u w:val="single"/>
                <w:lang w:eastAsia="zh-CN"/>
              </w:rPr>
            </w:pPr>
            <w:r>
              <w:rPr>
                <w:rFonts w:hint="eastAsia" w:ascii="宋体" w:hAnsi="宋体"/>
                <w:color w:val="0000FF"/>
                <w:sz w:val="18"/>
                <w:szCs w:val="18"/>
                <w:highlight w:val="none"/>
                <w:u w:val="single"/>
                <w:lang w:val="en-US" w:eastAsia="zh-CN"/>
              </w:rPr>
              <w:t>1、</w:t>
            </w:r>
            <w:r>
              <w:rPr>
                <w:rFonts w:hint="eastAsia" w:ascii="宋体" w:hAnsi="宋体"/>
                <w:color w:val="0000FF"/>
                <w:sz w:val="18"/>
                <w:szCs w:val="18"/>
                <w:highlight w:val="none"/>
                <w:u w:val="single"/>
              </w:rPr>
              <w:t>棒/轴类：头尾1/2 半径处，小规格</w:t>
            </w:r>
            <w:r>
              <w:rPr>
                <w:rFonts w:hint="eastAsia" w:ascii="宋体" w:hAnsi="宋体"/>
                <w:color w:val="0000FF"/>
                <w:sz w:val="18"/>
                <w:szCs w:val="18"/>
                <w:highlight w:val="none"/>
                <w:u w:val="single"/>
                <w:lang w:eastAsia="zh-CN"/>
              </w:rPr>
              <w:t>（</w:t>
            </w:r>
            <w:r>
              <w:rPr>
                <w:rFonts w:hint="eastAsia" w:ascii="宋体" w:hAnsi="宋体"/>
                <w:color w:val="0000FF"/>
                <w:sz w:val="18"/>
                <w:szCs w:val="18"/>
                <w:highlight w:val="none"/>
                <w:u w:val="single"/>
                <w:lang w:val="en-US" w:eastAsia="zh-CN"/>
              </w:rPr>
              <w:t>有效截面厚度30mm及以下</w:t>
            </w:r>
            <w:r>
              <w:rPr>
                <w:rFonts w:hint="eastAsia" w:ascii="宋体" w:hAnsi="宋体"/>
                <w:color w:val="0000FF"/>
                <w:sz w:val="18"/>
                <w:szCs w:val="18"/>
                <w:highlight w:val="none"/>
                <w:u w:val="single"/>
                <w:lang w:eastAsia="zh-CN"/>
              </w:rPr>
              <w:t>）</w:t>
            </w:r>
            <w:r>
              <w:rPr>
                <w:rFonts w:hint="eastAsia" w:ascii="宋体" w:hAnsi="宋体"/>
                <w:color w:val="0000FF"/>
                <w:sz w:val="18"/>
                <w:szCs w:val="18"/>
                <w:highlight w:val="none"/>
                <w:u w:val="single"/>
              </w:rPr>
              <w:t>可取芯部</w:t>
            </w:r>
            <w:r>
              <w:rPr>
                <w:rFonts w:hint="eastAsia" w:ascii="宋体" w:hAnsi="宋体"/>
                <w:color w:val="0000FF"/>
                <w:sz w:val="18"/>
                <w:szCs w:val="18"/>
                <w:highlight w:val="none"/>
                <w:u w:val="single"/>
                <w:lang w:eastAsia="zh-CN"/>
              </w:rPr>
              <w:t>；</w:t>
            </w:r>
          </w:p>
          <w:p>
            <w:pPr>
              <w:jc w:val="left"/>
              <w:rPr>
                <w:rFonts w:hint="eastAsia" w:ascii="宋体" w:hAnsi="宋体"/>
                <w:color w:val="0000FF"/>
                <w:sz w:val="18"/>
                <w:szCs w:val="18"/>
                <w:highlight w:val="none"/>
                <w:u w:val="single"/>
                <w:lang w:eastAsia="zh-CN"/>
              </w:rPr>
            </w:pPr>
            <w:r>
              <w:rPr>
                <w:rFonts w:hint="eastAsia" w:ascii="宋体" w:hAnsi="宋体"/>
                <w:color w:val="0000FF"/>
                <w:sz w:val="18"/>
                <w:szCs w:val="18"/>
                <w:highlight w:val="none"/>
                <w:u w:val="single"/>
                <w:lang w:val="en-US" w:eastAsia="zh-CN"/>
              </w:rPr>
              <w:t>2、</w:t>
            </w:r>
            <w:r>
              <w:rPr>
                <w:rFonts w:hint="eastAsia" w:ascii="宋体" w:hAnsi="宋体"/>
                <w:color w:val="0000FF"/>
                <w:sz w:val="18"/>
                <w:szCs w:val="18"/>
                <w:highlight w:val="none"/>
                <w:u w:val="single"/>
              </w:rPr>
              <w:t>盘/环/饼类：径向1/2半径</w:t>
            </w:r>
            <w:r>
              <w:rPr>
                <w:rFonts w:hint="eastAsia" w:ascii="宋体" w:hAnsi="宋体"/>
                <w:color w:val="0000FF"/>
                <w:sz w:val="18"/>
                <w:szCs w:val="18"/>
                <w:highlight w:val="none"/>
                <w:u w:val="single"/>
                <w:lang w:val="en-US" w:eastAsia="zh-CN"/>
              </w:rPr>
              <w:t>处取样</w:t>
            </w:r>
            <w:r>
              <w:rPr>
                <w:rFonts w:hint="eastAsia" w:ascii="宋体" w:hAnsi="宋体"/>
                <w:color w:val="0000FF"/>
                <w:sz w:val="18"/>
                <w:szCs w:val="18"/>
                <w:highlight w:val="none"/>
                <w:u w:val="single"/>
                <w:lang w:eastAsia="zh-CN"/>
              </w:rPr>
              <w:t>；</w:t>
            </w:r>
          </w:p>
          <w:p>
            <w:pPr>
              <w:jc w:val="left"/>
              <w:rPr>
                <w:rFonts w:hint="eastAsia" w:ascii="宋体" w:hAnsi="宋体"/>
                <w:color w:val="0000FF"/>
                <w:sz w:val="18"/>
                <w:szCs w:val="18"/>
                <w:highlight w:val="none"/>
                <w:u w:val="single"/>
                <w:lang w:val="en-US" w:eastAsia="zh-CN"/>
              </w:rPr>
            </w:pPr>
            <w:r>
              <w:rPr>
                <w:rFonts w:hint="eastAsia" w:ascii="宋体" w:hAnsi="宋体"/>
                <w:color w:val="0000FF"/>
                <w:sz w:val="18"/>
                <w:szCs w:val="18"/>
                <w:highlight w:val="none"/>
                <w:u w:val="single"/>
                <w:lang w:val="en-US" w:eastAsia="zh-CN"/>
              </w:rPr>
              <w:t>3、</w:t>
            </w:r>
            <w:r>
              <w:rPr>
                <w:rFonts w:hint="eastAsia" w:ascii="宋体" w:hAnsi="宋体"/>
                <w:color w:val="0000FF"/>
                <w:sz w:val="18"/>
                <w:szCs w:val="18"/>
                <w:highlight w:val="none"/>
                <w:u w:val="single"/>
              </w:rPr>
              <w:t>异形件：主变形方向、受力关键部位或厚大截面处</w:t>
            </w:r>
            <w:r>
              <w:rPr>
                <w:rFonts w:hint="eastAsia" w:ascii="宋体" w:hAnsi="宋体"/>
                <w:color w:val="0000FF"/>
                <w:sz w:val="18"/>
                <w:szCs w:val="18"/>
                <w:highlight w:val="none"/>
                <w:u w:val="single"/>
                <w:lang w:val="en-US" w:eastAsia="zh-CN"/>
              </w:rPr>
              <w:t>取样；</w:t>
            </w:r>
          </w:p>
          <w:p>
            <w:pPr>
              <w:jc w:val="center"/>
              <w:rPr>
                <w:rFonts w:hint="eastAsia" w:ascii="宋体" w:hAnsi="宋体" w:eastAsia="宋体"/>
                <w:color w:val="0000FF"/>
                <w:sz w:val="18"/>
                <w:szCs w:val="18"/>
                <w:highlight w:val="none"/>
                <w:u w:val="single"/>
                <w:lang w:eastAsia="zh-CN"/>
              </w:rPr>
            </w:pPr>
            <w:r>
              <w:rPr>
                <w:rFonts w:hint="eastAsia" w:ascii="宋体" w:hAnsi="宋体"/>
                <w:color w:val="0000FF"/>
                <w:sz w:val="18"/>
                <w:szCs w:val="18"/>
                <w:highlight w:val="none"/>
                <w:u w:val="single"/>
                <w:lang w:val="en-US" w:eastAsia="zh-CN"/>
              </w:rPr>
              <w:t>4、</w:t>
            </w:r>
            <w:r>
              <w:rPr>
                <w:rFonts w:hint="eastAsia" w:ascii="宋体" w:hAnsi="宋体"/>
                <w:color w:val="0000FF"/>
                <w:sz w:val="18"/>
                <w:szCs w:val="18"/>
                <w:highlight w:val="none"/>
                <w:u w:val="single"/>
              </w:rPr>
              <w:t>无法直接取样可用同炉同工艺随炉试块代替</w:t>
            </w:r>
          </w:p>
        </w:tc>
        <w:tc>
          <w:tcPr>
            <w:tcW w:w="83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5.3</w:t>
            </w:r>
          </w:p>
        </w:tc>
        <w:tc>
          <w:tcPr>
            <w:tcW w:w="1070"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高温力学性能</w:t>
            </w:r>
          </w:p>
        </w:tc>
        <w:tc>
          <w:tcPr>
            <w:tcW w:w="2018"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FF"/>
                <w:sz w:val="18"/>
                <w:szCs w:val="18"/>
                <w:highlight w:val="none"/>
                <w:u w:val="single"/>
              </w:rPr>
            </w:pPr>
          </w:p>
        </w:tc>
        <w:tc>
          <w:tcPr>
            <w:tcW w:w="83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5.4</w:t>
            </w:r>
          </w:p>
        </w:tc>
        <w:tc>
          <w:tcPr>
            <w:tcW w:w="1070"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蠕变和应力断裂性能</w:t>
            </w:r>
          </w:p>
        </w:tc>
        <w:tc>
          <w:tcPr>
            <w:tcW w:w="2018"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FF"/>
                <w:sz w:val="18"/>
                <w:szCs w:val="18"/>
                <w:highlight w:val="none"/>
                <w:u w:val="single"/>
              </w:rPr>
            </w:pPr>
          </w:p>
        </w:tc>
        <w:tc>
          <w:tcPr>
            <w:tcW w:w="83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5.5</w:t>
            </w:r>
          </w:p>
        </w:tc>
        <w:tc>
          <w:tcPr>
            <w:tcW w:w="1070"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pct"/>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晶粒度</w:t>
            </w:r>
          </w:p>
        </w:tc>
        <w:tc>
          <w:tcPr>
            <w:tcW w:w="2018"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0000FF"/>
                <w:sz w:val="18"/>
                <w:szCs w:val="18"/>
                <w:highlight w:val="none"/>
                <w:u w:val="single"/>
              </w:rPr>
            </w:pPr>
          </w:p>
        </w:tc>
        <w:tc>
          <w:tcPr>
            <w:tcW w:w="83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5.6</w:t>
            </w:r>
          </w:p>
        </w:tc>
        <w:tc>
          <w:tcPr>
            <w:tcW w:w="1070" w:type="pct"/>
            <w:tcBorders>
              <w:top w:val="single" w:color="auto" w:sz="4" w:space="0"/>
              <w:left w:val="single" w:color="auto" w:sz="4" w:space="0"/>
              <w:bottom w:val="single" w:color="auto" w:sz="4"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7" w:type="pct"/>
            <w:tcBorders>
              <w:top w:val="single" w:color="auto" w:sz="4" w:space="0"/>
              <w:left w:val="single" w:color="auto" w:sz="12" w:space="0"/>
              <w:bottom w:val="single" w:color="auto" w:sz="12"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表面质量</w:t>
            </w:r>
          </w:p>
        </w:tc>
        <w:tc>
          <w:tcPr>
            <w:tcW w:w="2018"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逐件</w:t>
            </w:r>
          </w:p>
        </w:tc>
        <w:tc>
          <w:tcPr>
            <w:tcW w:w="833" w:type="pct"/>
            <w:tcBorders>
              <w:top w:val="single" w:color="auto" w:sz="4" w:space="0"/>
              <w:left w:val="single" w:color="auto" w:sz="4" w:space="0"/>
              <w:bottom w:val="single" w:color="auto" w:sz="12" w:space="0"/>
              <w:right w:val="single" w:color="auto" w:sz="4"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5.7</w:t>
            </w:r>
          </w:p>
        </w:tc>
        <w:tc>
          <w:tcPr>
            <w:tcW w:w="1070" w:type="pct"/>
            <w:tcBorders>
              <w:top w:val="single" w:color="auto" w:sz="4" w:space="0"/>
              <w:left w:val="single" w:color="auto" w:sz="4" w:space="0"/>
              <w:bottom w:val="single" w:color="auto" w:sz="12" w:space="0"/>
              <w:right w:val="single" w:color="auto" w:sz="12" w:space="0"/>
            </w:tcBorders>
            <w:vAlign w:val="center"/>
          </w:tcPr>
          <w:p>
            <w:pPr>
              <w:jc w:val="center"/>
              <w:rPr>
                <w:rFonts w:hint="eastAsia" w:ascii="宋体" w:hAnsi="宋体"/>
                <w:color w:val="auto"/>
                <w:sz w:val="18"/>
                <w:szCs w:val="18"/>
                <w:highlight w:val="none"/>
              </w:rPr>
            </w:pPr>
            <w:r>
              <w:rPr>
                <w:rFonts w:hint="eastAsia" w:ascii="宋体" w:hAnsi="宋体"/>
                <w:color w:val="auto"/>
                <w:sz w:val="18"/>
                <w:szCs w:val="18"/>
                <w:highlight w:val="none"/>
              </w:rPr>
              <w:t>6.7</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Cs w:val="21"/>
          <w:highlight w:val="none"/>
        </w:rPr>
      </w:pPr>
      <w:r>
        <w:rPr>
          <w:rFonts w:hint="eastAsia" w:ascii="黑体" w:hAnsi="黑体" w:eastAsia="黑体"/>
          <w:color w:val="auto"/>
          <w:szCs w:val="21"/>
          <w:highlight w:val="none"/>
        </w:rPr>
        <w:t>7.4.2</w:t>
      </w:r>
      <w:r>
        <w:rPr>
          <w:rFonts w:hint="eastAsia" w:ascii="宋体" w:hAnsi="宋体"/>
          <w:color w:val="auto"/>
          <w:szCs w:val="21"/>
          <w:highlight w:val="none"/>
        </w:rPr>
        <w:t xml:space="preserve"> 锻件的力学性能、晶粒度、蠕变和应力断裂试验试样可以取自分离试验样品，也可以取自整体试验样品，或由锻件自身机加工试验样品。</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——分离试验样品：由制造锻件的同一熔炼炉料制备并采用相同锻造工艺制取样品。</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——整体试验样品：锻件一</w:t>
      </w:r>
      <w:r>
        <w:rPr>
          <w:rFonts w:hint="eastAsia" w:ascii="宋体" w:hAnsi="宋体"/>
          <w:color w:val="auto"/>
          <w:szCs w:val="21"/>
          <w:highlight w:val="none"/>
          <w:lang w:val="en-US" w:eastAsia="zh-CN"/>
        </w:rPr>
        <w:t>端</w:t>
      </w:r>
      <w:r>
        <w:rPr>
          <w:rFonts w:hint="eastAsia" w:ascii="宋体" w:hAnsi="宋体"/>
          <w:color w:val="auto"/>
          <w:szCs w:val="21"/>
          <w:highlight w:val="none"/>
        </w:rPr>
        <w:t>或两端延伸的部分提供；整体试验样品在完成热处理后才能从锻件上分离。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——锻件自身机加工试验样品：由锻件在机加工时分离的试验样品。</w:t>
      </w:r>
    </w:p>
    <w:p>
      <w:pPr>
        <w:pStyle w:val="59"/>
        <w:rPr>
          <w:color w:val="auto"/>
          <w:highlight w:val="none"/>
        </w:rPr>
      </w:pPr>
      <w:r>
        <w:rPr>
          <w:rFonts w:hint="eastAsia"/>
          <w:color w:val="auto"/>
          <w:highlight w:val="none"/>
        </w:rPr>
        <w:t>7</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检验结果的判定</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Cs w:val="21"/>
          <w:highlight w:val="none"/>
        </w:rPr>
      </w:pPr>
      <w:r>
        <w:rPr>
          <w:rFonts w:hint="eastAsia" w:ascii="黑体" w:hAnsi="黑体" w:eastAsia="黑体"/>
          <w:color w:val="auto"/>
          <w:szCs w:val="21"/>
          <w:highlight w:val="none"/>
        </w:rPr>
        <w:t>7.5.1</w:t>
      </w:r>
      <w:r>
        <w:rPr>
          <w:rFonts w:hint="eastAsia" w:ascii="宋体" w:hAnsi="宋体"/>
          <w:color w:val="auto"/>
          <w:szCs w:val="21"/>
          <w:highlight w:val="none"/>
        </w:rPr>
        <w:t xml:space="preserve"> 化学成分不合格时，判该批产品不合格。</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Cs w:val="21"/>
          <w:highlight w:val="none"/>
        </w:rPr>
      </w:pPr>
      <w:r>
        <w:rPr>
          <w:rFonts w:hint="eastAsia" w:ascii="黑体" w:hAnsi="黑体" w:eastAsia="黑体"/>
          <w:color w:val="auto"/>
          <w:szCs w:val="21"/>
          <w:highlight w:val="none"/>
        </w:rPr>
        <w:t>7.5.2</w:t>
      </w:r>
      <w:r>
        <w:rPr>
          <w:rFonts w:hint="eastAsia" w:ascii="宋体" w:hAnsi="宋体"/>
          <w:color w:val="auto"/>
          <w:szCs w:val="21"/>
          <w:highlight w:val="none"/>
        </w:rPr>
        <w:t xml:space="preserve"> 外形尺寸及其允许偏差、表面质量</w:t>
      </w:r>
      <w:r>
        <w:rPr>
          <w:rFonts w:hint="eastAsia" w:ascii="宋体" w:hAnsi="宋体"/>
          <w:color w:val="auto"/>
          <w:szCs w:val="21"/>
          <w:highlight w:val="none"/>
          <w:lang w:val="en-US" w:eastAsia="zh-CN"/>
        </w:rPr>
        <w:t>检验</w:t>
      </w:r>
      <w:r>
        <w:rPr>
          <w:rFonts w:hint="eastAsia" w:ascii="宋体" w:hAnsi="宋体"/>
          <w:color w:val="auto"/>
          <w:szCs w:val="21"/>
          <w:highlight w:val="none"/>
        </w:rPr>
        <w:t>不合格时，判该件</w:t>
      </w:r>
      <w:r>
        <w:rPr>
          <w:rFonts w:hint="eastAsia" w:ascii="宋体" w:hAnsi="宋体"/>
          <w:color w:val="auto"/>
          <w:szCs w:val="21"/>
          <w:highlight w:val="none"/>
          <w:lang w:val="en-US" w:eastAsia="zh-CN"/>
        </w:rPr>
        <w:t>产品</w:t>
      </w:r>
      <w:r>
        <w:rPr>
          <w:rFonts w:hint="eastAsia" w:ascii="宋体" w:hAnsi="宋体"/>
          <w:color w:val="auto"/>
          <w:szCs w:val="21"/>
          <w:highlight w:val="none"/>
        </w:rPr>
        <w:t>不合格。</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olor w:val="auto"/>
          <w:szCs w:val="21"/>
          <w:highlight w:val="none"/>
        </w:rPr>
      </w:pPr>
      <w:r>
        <w:rPr>
          <w:rFonts w:hint="eastAsia" w:ascii="黑体" w:hAnsi="黑体" w:eastAsia="黑体"/>
          <w:color w:val="auto"/>
          <w:szCs w:val="21"/>
          <w:highlight w:val="none"/>
        </w:rPr>
        <w:t>7.5.3</w:t>
      </w:r>
      <w:r>
        <w:rPr>
          <w:rFonts w:hint="eastAsia" w:ascii="宋体" w:hAnsi="宋体"/>
          <w:color w:val="auto"/>
          <w:szCs w:val="21"/>
          <w:highlight w:val="none"/>
        </w:rPr>
        <w:t xml:space="preserve"> 当室温力学性能、高温力学性能、蠕变和应力断裂性能、晶粒度</w:t>
      </w:r>
      <w:r>
        <w:rPr>
          <w:rFonts w:hint="eastAsia" w:ascii="宋体" w:hAnsi="宋体"/>
          <w:color w:val="auto"/>
          <w:szCs w:val="21"/>
          <w:highlight w:val="none"/>
          <w:lang w:val="en-US" w:eastAsia="zh-CN"/>
        </w:rPr>
        <w:t>检验</w:t>
      </w:r>
      <w:r>
        <w:rPr>
          <w:rFonts w:hint="eastAsia" w:ascii="宋体" w:hAnsi="宋体"/>
          <w:color w:val="auto"/>
          <w:szCs w:val="21"/>
          <w:highlight w:val="none"/>
        </w:rPr>
        <w:t>结果中有试样不合格时，应从该批产品（包括原受检不合格件）中另取双倍数量的试样进行重复</w:t>
      </w:r>
      <w:r>
        <w:rPr>
          <w:rFonts w:hint="eastAsia" w:ascii="宋体" w:hAnsi="宋体"/>
          <w:color w:val="auto"/>
          <w:szCs w:val="21"/>
          <w:highlight w:val="none"/>
          <w:lang w:val="en-US" w:eastAsia="zh-CN"/>
        </w:rPr>
        <w:t>检验</w:t>
      </w:r>
      <w:r>
        <w:rPr>
          <w:rFonts w:hint="eastAsia" w:ascii="宋体" w:hAnsi="宋体"/>
          <w:color w:val="auto"/>
          <w:szCs w:val="21"/>
          <w:highlight w:val="none"/>
        </w:rPr>
        <w:t>，重复</w:t>
      </w:r>
      <w:r>
        <w:rPr>
          <w:rFonts w:hint="eastAsia" w:ascii="宋体" w:hAnsi="宋体"/>
          <w:color w:val="auto"/>
          <w:szCs w:val="21"/>
          <w:highlight w:val="none"/>
          <w:lang w:val="en-US" w:eastAsia="zh-CN"/>
        </w:rPr>
        <w:t>检验</w:t>
      </w:r>
      <w:r>
        <w:rPr>
          <w:rFonts w:hint="eastAsia" w:ascii="宋体" w:hAnsi="宋体"/>
          <w:color w:val="auto"/>
          <w:szCs w:val="21"/>
          <w:highlight w:val="none"/>
        </w:rPr>
        <w:t>结果全部合格，则判定该批产品合格。若重复</w:t>
      </w:r>
      <w:r>
        <w:rPr>
          <w:rFonts w:hint="eastAsia" w:ascii="宋体" w:hAnsi="宋体"/>
          <w:color w:val="auto"/>
          <w:szCs w:val="21"/>
          <w:highlight w:val="none"/>
          <w:lang w:val="en-US" w:eastAsia="zh-CN"/>
        </w:rPr>
        <w:t>检验</w:t>
      </w:r>
      <w:r>
        <w:rPr>
          <w:rFonts w:hint="eastAsia" w:ascii="宋体" w:hAnsi="宋体"/>
          <w:color w:val="auto"/>
          <w:szCs w:val="21"/>
          <w:highlight w:val="none"/>
        </w:rPr>
        <w:t>结果仍有试样不合格，则判该批产品不合格。允许逐件检验，</w:t>
      </w:r>
      <w:r>
        <w:rPr>
          <w:rFonts w:hint="eastAsia" w:ascii="宋体" w:hAnsi="宋体"/>
          <w:color w:val="auto"/>
          <w:szCs w:val="21"/>
          <w:highlight w:val="none"/>
          <w:lang w:val="en-US" w:eastAsia="zh-CN"/>
        </w:rPr>
        <w:t>逐件判定</w:t>
      </w:r>
      <w:r>
        <w:rPr>
          <w:rFonts w:hint="eastAsia" w:ascii="宋体" w:hAnsi="宋体"/>
          <w:color w:val="auto"/>
          <w:szCs w:val="21"/>
          <w:highlight w:val="none"/>
        </w:rPr>
        <w:t>。</w:t>
      </w:r>
    </w:p>
    <w:p>
      <w:pPr>
        <w:pStyle w:val="58"/>
        <w:keepNext w:val="0"/>
        <w:keepLines w:val="0"/>
        <w:pageBreakBefore w:val="0"/>
        <w:kinsoku/>
        <w:wordWrap/>
        <w:overflowPunct/>
        <w:topLinePunct w:val="0"/>
        <w:bidi w:val="0"/>
        <w:adjustRightInd/>
        <w:snapToGrid/>
        <w:spacing w:before="143" w:after="143" w:line="240" w:lineRule="auto"/>
        <w:ind w:right="0" w:rightChars="0"/>
        <w:textAlignment w:val="auto"/>
        <w:rPr>
          <w:color w:val="auto"/>
          <w:highlight w:val="none"/>
        </w:rPr>
      </w:pPr>
      <w:r>
        <w:rPr>
          <w:rFonts w:hint="eastAsia"/>
          <w:color w:val="auto"/>
          <w:highlight w:val="none"/>
        </w:rPr>
        <w:t>8  标志、包装、运输、贮存</w:t>
      </w:r>
      <w:r>
        <w:rPr>
          <w:rFonts w:hint="eastAsia"/>
          <w:color w:val="auto"/>
          <w:highlight w:val="none"/>
          <w:lang w:val="en-US" w:eastAsia="zh-CN"/>
        </w:rPr>
        <w:t>及</w:t>
      </w:r>
      <w:r>
        <w:rPr>
          <w:rFonts w:hint="eastAsia"/>
          <w:color w:val="auto"/>
          <w:highlight w:val="none"/>
        </w:rPr>
        <w:t>随行文件</w:t>
      </w:r>
    </w:p>
    <w:p>
      <w:pPr>
        <w:keepNext w:val="0"/>
        <w:keepLines w:val="0"/>
        <w:pageBreakBefore w:val="0"/>
        <w:kinsoku/>
        <w:wordWrap/>
        <w:overflowPunct/>
        <w:topLinePunct w:val="0"/>
        <w:bidi w:val="0"/>
        <w:adjustRightInd/>
        <w:snapToGrid/>
        <w:spacing w:line="240" w:lineRule="auto"/>
        <w:ind w:firstLine="0" w:firstLineChars="0"/>
        <w:textAlignment w:val="auto"/>
        <w:rPr>
          <w:rFonts w:ascii="黑体" w:hAnsi="黑体" w:eastAsia="黑体" w:cs="黑体"/>
          <w:color w:val="auto"/>
          <w:highlight w:val="none"/>
        </w:rPr>
      </w:pPr>
      <w:r>
        <w:rPr>
          <w:rFonts w:hint="eastAsia" w:ascii="黑体" w:hAnsi="黑体" w:eastAsia="黑体" w:cs="黑体"/>
          <w:color w:val="auto"/>
          <w:szCs w:val="21"/>
          <w:highlight w:val="none"/>
        </w:rPr>
        <w:t xml:space="preserve">8.1 </w:t>
      </w:r>
      <w:r>
        <w:rPr>
          <w:rFonts w:hint="eastAsia" w:ascii="黑体" w:hAnsi="黑体" w:eastAsia="黑体" w:cs="黑体"/>
          <w:color w:val="auto"/>
          <w:highlight w:val="none"/>
        </w:rPr>
        <w:t>标志、包装、运输和贮存</w:t>
      </w:r>
    </w:p>
    <w:p>
      <w:pPr>
        <w:keepNext w:val="0"/>
        <w:keepLines w:val="0"/>
        <w:pageBreakBefore w:val="0"/>
        <w:kinsoku/>
        <w:wordWrap/>
        <w:overflowPunct/>
        <w:topLinePunct w:val="0"/>
        <w:bidi w:val="0"/>
        <w:adjustRightInd/>
        <w:snapToGrid/>
        <w:spacing w:line="240" w:lineRule="auto"/>
        <w:ind w:firstLine="420" w:firstLineChars="200"/>
        <w:textAlignment w:val="auto"/>
        <w:rPr>
          <w:rFonts w:hint="eastAsia" w:ascii="宋体" w:hAnsi="宋体"/>
          <w:color w:val="auto"/>
          <w:szCs w:val="21"/>
          <w:highlight w:val="none"/>
        </w:rPr>
      </w:pPr>
      <w:r>
        <w:rPr>
          <w:color w:val="auto"/>
          <w:sz w:val="21"/>
          <w:highlight w:val="none"/>
        </w:rPr>
        <mc:AlternateContent>
          <mc:Choice Requires="wps">
            <w:drawing>
              <wp:anchor distT="0" distB="0" distL="114300" distR="114300" simplePos="0" relativeHeight="251682816" behindDoc="0" locked="0" layoutInCell="1" allowOverlap="1">
                <wp:simplePos x="0" y="0"/>
                <wp:positionH relativeFrom="column">
                  <wp:posOffset>6035675</wp:posOffset>
                </wp:positionH>
                <wp:positionV relativeFrom="paragraph">
                  <wp:posOffset>175895</wp:posOffset>
                </wp:positionV>
                <wp:extent cx="8890" cy="2856865"/>
                <wp:effectExtent l="4445" t="0" r="5715" b="635"/>
                <wp:wrapNone/>
                <wp:docPr id="41" name="直接连接符 41"/>
                <wp:cNvGraphicFramePr/>
                <a:graphic xmlns:a="http://schemas.openxmlformats.org/drawingml/2006/main">
                  <a:graphicData uri="http://schemas.microsoft.com/office/word/2010/wordprocessingShape">
                    <wps:wsp>
                      <wps:cNvCnPr/>
                      <wps:spPr>
                        <a:xfrm>
                          <a:off x="0" y="0"/>
                          <a:ext cx="8890" cy="28568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5.25pt;margin-top:13.85pt;height:224.95pt;width:0.7pt;z-index:251682816;mso-width-relative:page;mso-height-relative:page;" filled="f" stroked="t" coordsize="21600,21600" o:gfxdata="UEsDBAoAAAAAAIdO4kAAAAAAAAAAAAAAAAAEAAAAZHJzL1BLAwQUAAAACACHTuJAOeRnoNkAAAAK&#10;AQAADwAAAGRycy9kb3ducmV2LnhtbE2Pu07EMBBFeyT+wRokmhVrJ5ANCZlsAaSjYQHReuMhiYjH&#10;2dj7gK/HVFCO7tG9Z6r1yY7iQLMfHCMkSwWCuHVm4A7h9aW5ugXhg2ajR8eE8EUe1vX5WaVL4478&#10;TIdN6EQsYV9qhD6EqZTStz1Z7ZduIo7Zh5utDvGcO2lmfYzldpSpUitp9cBxodcT3ffUfm72FsE3&#10;b7RrvhftQr1fd47S3cPTo0a8vEjUHYhAp/AHw69+VIc6Om3dno0XI0KRqSyiCGmeg4hAkSUFiC3C&#10;TZ6vQNaV/P9C/QNQSwMEFAAAAAgAh07iQPrzXDfcAQAAnwMAAA4AAABkcnMvZTJvRG9jLnhtbK1T&#10;zY7TMBC+I/EOlu80bUWrbtR0D1stFwSVgAeYOk5iyX/yeJv2JXgBJG5w4sidt2H3MRg7oQu7lz1s&#10;Ds54fj7P93m8vjwazQ4yoHK24rPJlDNphauVbSv+6eP1qxVnGMHWoJ2VFT9J5Jebly/WvS/l3HVO&#10;1zIwArFY9r7iXYy+LAoUnTSAE+elpWDjgoFI29AWdYCe0I0u5tPpsuhdqH1wQiKSdzsE+YgYngLo&#10;mkYJuXXixkgbB9QgNUSihJ3yyDe526aRIr5vGpSR6YoT05hXOoTsfVqLzRrKNoDvlBhbgKe08ICT&#10;AWXp0DPUFiKwm6AeQRklgkPXxIlwphiIZEWIxWz6QJsPHXiZuZDU6M+i4/PBineHXWCqrvjrGWcW&#10;DN347Zefvz9/u/v1ldbbH98ZRUim3mNJ2Vd2F8Yd+l1InI9NMOlPbNgxS3s6SyuPkQlyrlYXJLmg&#10;wHy1WK6WiwRZ3Nf6gPGNdIYlo+Ja2UQcSji8xTik/k1Jbuuuldbkh1Jb1lf8YjFfED7QQDY0CGQa&#10;T6TQtpyBbmnSRQwZEZ1WdapOxRja/ZUO7ABpPvI3NvZfWjp6C9gNeTk0pmlLNJI0gxjJ2rv6lDXK&#10;frq3THScsTQY/+5z9f272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eRnoNkAAAAKAQAADwAA&#10;AAAAAAABACAAAAAiAAAAZHJzL2Rvd25yZXYueG1sUEsBAhQAFAAAAAgAh07iQPrzXDfcAQAAnwMA&#10;AA4AAAAAAAAAAQAgAAAAKAEAAGRycy9lMm9Eb2MueG1sUEsFBgAAAAAGAAYAWQEAAHYFAAAAAA==&#10;">
                <v:fill on="f" focussize="0,0"/>
                <v:stroke color="#000000 [3213]" joinstyle="round"/>
                <v:imagedata o:title=""/>
                <o:lock v:ext="edit" aspectratio="f"/>
              </v:line>
            </w:pict>
          </mc:Fallback>
        </mc:AlternateContent>
      </w:r>
      <w:r>
        <w:rPr>
          <w:rFonts w:hint="eastAsia" w:ascii="宋体" w:hAnsi="宋体"/>
          <w:color w:val="auto"/>
          <w:szCs w:val="21"/>
          <w:highlight w:val="none"/>
        </w:rPr>
        <w:t>产品的标志、包装、运输、贮存应符合GB/T 8888的规定。</w:t>
      </w:r>
    </w:p>
    <w:p>
      <w:pPr>
        <w:keepNext w:val="0"/>
        <w:keepLines w:val="0"/>
        <w:pageBreakBefore w:val="0"/>
        <w:kinsoku/>
        <w:wordWrap/>
        <w:overflowPunct/>
        <w:topLinePunct w:val="0"/>
        <w:bidi w:val="0"/>
        <w:adjustRightInd/>
        <w:snapToGrid/>
        <w:spacing w:line="240" w:lineRule="auto"/>
        <w:textAlignment w:val="auto"/>
        <w:rPr>
          <w:rFonts w:hint="eastAsia" w:ascii="黑体" w:hAnsi="黑体" w:eastAsia="黑体" w:cs="黑体"/>
          <w:color w:val="auto"/>
          <w:highlight w:val="none"/>
          <w:u w:val="single"/>
        </w:rPr>
      </w:pPr>
      <w:r>
        <w:rPr>
          <w:rFonts w:hint="eastAsia" w:ascii="黑体" w:hAnsi="黑体" w:eastAsia="黑体" w:cs="黑体"/>
          <w:color w:val="auto"/>
          <w:szCs w:val="21"/>
          <w:highlight w:val="none"/>
          <w:u w:val="single"/>
        </w:rPr>
        <w:t>8.2</w:t>
      </w:r>
      <w:r>
        <w:rPr>
          <w:rFonts w:hint="eastAsia" w:ascii="黑体" w:hAnsi="黑体" w:eastAsia="黑体" w:cs="黑体"/>
          <w:color w:val="auto"/>
          <w:highlight w:val="none"/>
          <w:u w:val="single"/>
        </w:rPr>
        <w:t>随行文件</w:t>
      </w:r>
    </w:p>
    <w:p>
      <w:pPr>
        <w:pStyle w:val="22"/>
        <w:keepNext w:val="0"/>
        <w:keepLines w:val="0"/>
        <w:pageBreakBefore w:val="0"/>
        <w:kinsoku/>
        <w:wordWrap/>
        <w:overflowPunct/>
        <w:topLinePunct w:val="0"/>
        <w:bidi w:val="0"/>
        <w:adjustRightInd/>
        <w:snapToGrid/>
        <w:spacing w:line="240" w:lineRule="auto"/>
        <w:ind w:firstLine="420"/>
        <w:textAlignment w:val="auto"/>
        <w:rPr>
          <w:rFonts w:ascii="宋体" w:hAnsi="宋体"/>
          <w:color w:val="auto"/>
          <w:kern w:val="2"/>
          <w:szCs w:val="21"/>
          <w:highlight w:val="none"/>
          <w:u w:val="single"/>
        </w:rPr>
      </w:pPr>
      <w:r>
        <w:rPr>
          <w:rFonts w:hint="eastAsia" w:ascii="宋体" w:hAnsi="宋体"/>
          <w:color w:val="auto"/>
          <w:kern w:val="2"/>
          <w:szCs w:val="21"/>
          <w:highlight w:val="none"/>
          <w:u w:val="single"/>
        </w:rPr>
        <w:t>每批产品应附有随行文件，其中除应包括供方信息、产品信息、本文件编号、出厂日期或包装日期外，还宜包括：</w:t>
      </w:r>
    </w:p>
    <w:p>
      <w:pPr>
        <w:pStyle w:val="22"/>
        <w:keepNext w:val="0"/>
        <w:keepLines w:val="0"/>
        <w:pageBreakBefore w:val="0"/>
        <w:kinsoku/>
        <w:wordWrap/>
        <w:overflowPunct/>
        <w:topLinePunct w:val="0"/>
        <w:bidi w:val="0"/>
        <w:adjustRightInd/>
        <w:snapToGrid/>
        <w:spacing w:line="240" w:lineRule="auto"/>
        <w:ind w:firstLine="420" w:firstLineChars="0"/>
        <w:textAlignment w:val="auto"/>
        <w:rPr>
          <w:rFonts w:ascii="宋体" w:hAnsi="宋体"/>
          <w:color w:val="auto"/>
          <w:kern w:val="2"/>
          <w:szCs w:val="21"/>
          <w:highlight w:val="none"/>
          <w:u w:val="single"/>
        </w:rPr>
      </w:pPr>
      <w:r>
        <w:rPr>
          <w:rFonts w:hint="eastAsia" w:ascii="宋体" w:hAnsi="宋体"/>
          <w:color w:val="auto"/>
          <w:kern w:val="2"/>
          <w:szCs w:val="21"/>
          <w:highlight w:val="none"/>
          <w:u w:val="single"/>
        </w:rPr>
        <w:t>a）产品质量保证书：</w:t>
      </w:r>
    </w:p>
    <w:p>
      <w:pPr>
        <w:pStyle w:val="22"/>
        <w:keepNext w:val="0"/>
        <w:keepLines w:val="0"/>
        <w:pageBreakBefore w:val="0"/>
        <w:kinsoku/>
        <w:wordWrap/>
        <w:overflowPunct/>
        <w:topLinePunct w:val="0"/>
        <w:bidi w:val="0"/>
        <w:adjustRightInd/>
        <w:snapToGrid/>
        <w:spacing w:line="240" w:lineRule="auto"/>
        <w:ind w:firstLine="480" w:firstLineChars="0"/>
        <w:textAlignment w:val="auto"/>
        <w:rPr>
          <w:rFonts w:ascii="宋体" w:hAnsi="宋体"/>
          <w:color w:val="auto"/>
          <w:kern w:val="2"/>
          <w:szCs w:val="21"/>
          <w:highlight w:val="none"/>
          <w:u w:val="single"/>
        </w:rPr>
      </w:pPr>
      <w:r>
        <w:rPr>
          <w:rFonts w:hint="eastAsia" w:ascii="宋体" w:hAnsi="宋体"/>
          <w:color w:val="auto"/>
          <w:kern w:val="2"/>
          <w:sz w:val="21"/>
          <w:szCs w:val="21"/>
          <w:highlight w:val="none"/>
          <w:u w:val="single"/>
        </w:rPr>
        <w:t>·</w:t>
      </w:r>
      <w:r>
        <w:rPr>
          <w:rFonts w:hint="eastAsia" w:ascii="宋体" w:hAnsi="宋体"/>
          <w:color w:val="auto"/>
          <w:kern w:val="2"/>
          <w:szCs w:val="21"/>
          <w:highlight w:val="none"/>
          <w:u w:val="single"/>
        </w:rPr>
        <w:t>产品的主要性能及技术参数；</w:t>
      </w:r>
    </w:p>
    <w:p>
      <w:pPr>
        <w:pStyle w:val="22"/>
        <w:keepNext w:val="0"/>
        <w:keepLines w:val="0"/>
        <w:pageBreakBefore w:val="0"/>
        <w:kinsoku/>
        <w:wordWrap/>
        <w:overflowPunct/>
        <w:topLinePunct w:val="0"/>
        <w:bidi w:val="0"/>
        <w:adjustRightInd/>
        <w:snapToGrid/>
        <w:spacing w:line="240" w:lineRule="auto"/>
        <w:ind w:firstLine="480" w:firstLineChars="0"/>
        <w:textAlignment w:val="auto"/>
        <w:rPr>
          <w:rFonts w:ascii="宋体" w:hAnsi="宋体"/>
          <w:color w:val="auto"/>
          <w:kern w:val="2"/>
          <w:szCs w:val="21"/>
          <w:highlight w:val="none"/>
          <w:u w:val="single"/>
        </w:rPr>
      </w:pPr>
      <w:r>
        <w:rPr>
          <w:rFonts w:hint="eastAsia" w:ascii="宋体" w:hAnsi="宋体"/>
          <w:color w:val="auto"/>
          <w:kern w:val="2"/>
          <w:sz w:val="21"/>
          <w:szCs w:val="21"/>
          <w:highlight w:val="none"/>
          <w:u w:val="single"/>
        </w:rPr>
        <w:t>·</w:t>
      </w:r>
      <w:r>
        <w:rPr>
          <w:rFonts w:hint="eastAsia" w:ascii="宋体" w:hAnsi="宋体"/>
          <w:color w:val="auto"/>
          <w:kern w:val="2"/>
          <w:szCs w:val="21"/>
          <w:highlight w:val="none"/>
          <w:u w:val="single"/>
        </w:rPr>
        <w:t>产品特点；</w:t>
      </w:r>
    </w:p>
    <w:p>
      <w:pPr>
        <w:pStyle w:val="22"/>
        <w:keepNext w:val="0"/>
        <w:keepLines w:val="0"/>
        <w:pageBreakBefore w:val="0"/>
        <w:kinsoku/>
        <w:wordWrap/>
        <w:overflowPunct/>
        <w:topLinePunct w:val="0"/>
        <w:bidi w:val="0"/>
        <w:adjustRightInd/>
        <w:snapToGrid/>
        <w:spacing w:line="240" w:lineRule="auto"/>
        <w:ind w:firstLine="480" w:firstLineChars="0"/>
        <w:textAlignment w:val="auto"/>
        <w:rPr>
          <w:rFonts w:ascii="宋体" w:hAnsi="宋体"/>
          <w:color w:val="auto"/>
          <w:kern w:val="2"/>
          <w:szCs w:val="21"/>
          <w:highlight w:val="none"/>
          <w:u w:val="single"/>
        </w:rPr>
      </w:pPr>
      <w:r>
        <w:rPr>
          <w:rFonts w:hint="eastAsia" w:ascii="宋体" w:hAnsi="宋体"/>
          <w:color w:val="auto"/>
          <w:kern w:val="2"/>
          <w:sz w:val="21"/>
          <w:szCs w:val="21"/>
          <w:highlight w:val="none"/>
          <w:u w:val="single"/>
        </w:rPr>
        <w:t>·</w:t>
      </w:r>
      <w:r>
        <w:rPr>
          <w:rFonts w:hint="eastAsia" w:ascii="宋体" w:hAnsi="宋体"/>
          <w:color w:val="auto"/>
          <w:kern w:val="2"/>
          <w:szCs w:val="21"/>
          <w:highlight w:val="none"/>
          <w:u w:val="single"/>
        </w:rPr>
        <w:t>对产品质量所负的责任；</w:t>
      </w:r>
    </w:p>
    <w:p>
      <w:pPr>
        <w:pStyle w:val="22"/>
        <w:keepNext w:val="0"/>
        <w:keepLines w:val="0"/>
        <w:pageBreakBefore w:val="0"/>
        <w:kinsoku/>
        <w:wordWrap/>
        <w:overflowPunct/>
        <w:topLinePunct w:val="0"/>
        <w:bidi w:val="0"/>
        <w:adjustRightInd/>
        <w:snapToGrid/>
        <w:spacing w:line="240" w:lineRule="auto"/>
        <w:ind w:firstLine="480" w:firstLineChars="0"/>
        <w:textAlignment w:val="auto"/>
        <w:rPr>
          <w:rFonts w:ascii="宋体" w:hAnsi="宋体"/>
          <w:color w:val="auto"/>
          <w:kern w:val="2"/>
          <w:szCs w:val="21"/>
          <w:highlight w:val="none"/>
          <w:u w:val="single"/>
        </w:rPr>
      </w:pPr>
      <w:r>
        <w:rPr>
          <w:rFonts w:hint="eastAsia" w:ascii="宋体" w:hAnsi="宋体"/>
          <w:color w:val="auto"/>
          <w:kern w:val="2"/>
          <w:sz w:val="21"/>
          <w:szCs w:val="21"/>
          <w:highlight w:val="none"/>
          <w:u w:val="single"/>
        </w:rPr>
        <w:t>·</w:t>
      </w:r>
      <w:r>
        <w:rPr>
          <w:rFonts w:hint="eastAsia" w:ascii="宋体" w:hAnsi="宋体"/>
          <w:color w:val="auto"/>
          <w:kern w:val="2"/>
          <w:szCs w:val="21"/>
          <w:highlight w:val="none"/>
          <w:u w:val="single"/>
        </w:rPr>
        <w:t>产品获得的质量认证及带供方技术监督部门检印的各项分析检验结果。</w:t>
      </w:r>
    </w:p>
    <w:p>
      <w:pPr>
        <w:pStyle w:val="22"/>
        <w:keepNext w:val="0"/>
        <w:keepLines w:val="0"/>
        <w:pageBreakBefore w:val="0"/>
        <w:kinsoku/>
        <w:wordWrap/>
        <w:overflowPunct/>
        <w:topLinePunct w:val="0"/>
        <w:bidi w:val="0"/>
        <w:adjustRightInd/>
        <w:snapToGrid/>
        <w:spacing w:line="240" w:lineRule="auto"/>
        <w:ind w:firstLine="420" w:firstLineChars="0"/>
        <w:textAlignment w:val="auto"/>
        <w:rPr>
          <w:rFonts w:ascii="宋体" w:hAnsi="宋体"/>
          <w:color w:val="auto"/>
          <w:kern w:val="2"/>
          <w:szCs w:val="21"/>
          <w:highlight w:val="none"/>
          <w:u w:val="single"/>
        </w:rPr>
      </w:pPr>
      <w:r>
        <w:rPr>
          <w:rFonts w:hint="eastAsia" w:ascii="宋体" w:hAnsi="宋体"/>
          <w:color w:val="auto"/>
          <w:kern w:val="2"/>
          <w:szCs w:val="21"/>
          <w:highlight w:val="none"/>
          <w:u w:val="single"/>
        </w:rPr>
        <w:t>b）产品合格证：</w:t>
      </w:r>
    </w:p>
    <w:p>
      <w:pPr>
        <w:pStyle w:val="22"/>
        <w:keepNext w:val="0"/>
        <w:keepLines w:val="0"/>
        <w:pageBreakBefore w:val="0"/>
        <w:kinsoku/>
        <w:wordWrap/>
        <w:overflowPunct/>
        <w:topLinePunct w:val="0"/>
        <w:bidi w:val="0"/>
        <w:adjustRightInd/>
        <w:snapToGrid/>
        <w:spacing w:line="240" w:lineRule="auto"/>
        <w:ind w:firstLine="420"/>
        <w:textAlignment w:val="auto"/>
        <w:rPr>
          <w:rFonts w:ascii="宋体" w:hAnsi="宋体"/>
          <w:color w:val="auto"/>
          <w:kern w:val="2"/>
          <w:szCs w:val="21"/>
          <w:highlight w:val="none"/>
          <w:u w:val="single"/>
        </w:rPr>
      </w:pPr>
      <w:r>
        <w:rPr>
          <w:rFonts w:hint="eastAsia" w:ascii="宋体" w:hAnsi="宋体"/>
          <w:color w:val="auto"/>
          <w:kern w:val="2"/>
          <w:sz w:val="21"/>
          <w:szCs w:val="21"/>
          <w:highlight w:val="none"/>
          <w:u w:val="single"/>
        </w:rPr>
        <w:t>·</w:t>
      </w:r>
      <w:r>
        <w:rPr>
          <w:rFonts w:hint="eastAsia" w:ascii="宋体" w:hAnsi="宋体"/>
          <w:color w:val="auto"/>
          <w:kern w:val="2"/>
          <w:szCs w:val="21"/>
          <w:highlight w:val="none"/>
          <w:u w:val="single"/>
        </w:rPr>
        <w:t>检验项目及其结果或检验结论；</w:t>
      </w:r>
    </w:p>
    <w:p>
      <w:pPr>
        <w:pStyle w:val="22"/>
        <w:keepNext w:val="0"/>
        <w:keepLines w:val="0"/>
        <w:pageBreakBefore w:val="0"/>
        <w:kinsoku/>
        <w:wordWrap/>
        <w:overflowPunct/>
        <w:topLinePunct w:val="0"/>
        <w:bidi w:val="0"/>
        <w:adjustRightInd/>
        <w:snapToGrid/>
        <w:spacing w:line="240" w:lineRule="auto"/>
        <w:ind w:firstLine="420"/>
        <w:textAlignment w:val="auto"/>
        <w:rPr>
          <w:rFonts w:ascii="宋体" w:hAnsi="宋体"/>
          <w:color w:val="auto"/>
          <w:kern w:val="2"/>
          <w:szCs w:val="21"/>
          <w:highlight w:val="none"/>
          <w:u w:val="single"/>
        </w:rPr>
      </w:pPr>
      <w:r>
        <w:rPr>
          <w:rFonts w:hint="eastAsia" w:ascii="宋体" w:hAnsi="宋体"/>
          <w:color w:val="auto"/>
          <w:kern w:val="2"/>
          <w:sz w:val="21"/>
          <w:szCs w:val="21"/>
          <w:highlight w:val="none"/>
          <w:u w:val="single"/>
        </w:rPr>
        <w:t>·</w:t>
      </w:r>
      <w:r>
        <w:rPr>
          <w:rFonts w:hint="eastAsia" w:ascii="宋体" w:hAnsi="宋体"/>
          <w:color w:val="auto"/>
          <w:kern w:val="2"/>
          <w:szCs w:val="21"/>
          <w:highlight w:val="none"/>
          <w:u w:val="single"/>
        </w:rPr>
        <w:t>批号；</w:t>
      </w:r>
    </w:p>
    <w:p>
      <w:pPr>
        <w:pStyle w:val="22"/>
        <w:keepNext w:val="0"/>
        <w:keepLines w:val="0"/>
        <w:pageBreakBefore w:val="0"/>
        <w:kinsoku/>
        <w:wordWrap/>
        <w:overflowPunct/>
        <w:topLinePunct w:val="0"/>
        <w:bidi w:val="0"/>
        <w:adjustRightInd/>
        <w:snapToGrid/>
        <w:spacing w:line="240" w:lineRule="auto"/>
        <w:ind w:firstLine="420"/>
        <w:textAlignment w:val="auto"/>
        <w:rPr>
          <w:rFonts w:ascii="宋体" w:hAnsi="宋体"/>
          <w:color w:val="auto"/>
          <w:kern w:val="2"/>
          <w:szCs w:val="21"/>
          <w:highlight w:val="none"/>
          <w:u w:val="single"/>
        </w:rPr>
      </w:pPr>
      <w:r>
        <w:rPr>
          <w:rFonts w:hint="eastAsia" w:ascii="宋体" w:hAnsi="宋体"/>
          <w:color w:val="auto"/>
          <w:kern w:val="2"/>
          <w:sz w:val="21"/>
          <w:szCs w:val="21"/>
          <w:highlight w:val="none"/>
          <w:u w:val="single"/>
        </w:rPr>
        <w:t>·</w:t>
      </w:r>
      <w:r>
        <w:rPr>
          <w:rFonts w:hint="eastAsia" w:ascii="宋体" w:hAnsi="宋体"/>
          <w:color w:val="auto"/>
          <w:kern w:val="2"/>
          <w:szCs w:val="21"/>
          <w:highlight w:val="none"/>
          <w:u w:val="single"/>
        </w:rPr>
        <w:t>检验日期；</w:t>
      </w:r>
    </w:p>
    <w:p>
      <w:pPr>
        <w:pStyle w:val="22"/>
        <w:keepNext w:val="0"/>
        <w:keepLines w:val="0"/>
        <w:pageBreakBefore w:val="0"/>
        <w:kinsoku/>
        <w:wordWrap/>
        <w:overflowPunct/>
        <w:topLinePunct w:val="0"/>
        <w:bidi w:val="0"/>
        <w:adjustRightInd/>
        <w:snapToGrid/>
        <w:spacing w:line="240" w:lineRule="auto"/>
        <w:ind w:firstLine="480" w:firstLineChars="0"/>
        <w:textAlignment w:val="auto"/>
        <w:rPr>
          <w:rFonts w:ascii="宋体" w:hAnsi="宋体"/>
          <w:color w:val="auto"/>
          <w:kern w:val="2"/>
          <w:szCs w:val="21"/>
          <w:highlight w:val="none"/>
          <w:u w:val="single"/>
        </w:rPr>
      </w:pPr>
      <w:r>
        <w:rPr>
          <w:rFonts w:hint="eastAsia" w:ascii="宋体" w:hAnsi="宋体"/>
          <w:color w:val="auto"/>
          <w:kern w:val="2"/>
          <w:sz w:val="21"/>
          <w:szCs w:val="21"/>
          <w:highlight w:val="none"/>
          <w:u w:val="single"/>
        </w:rPr>
        <w:t>·</w:t>
      </w:r>
      <w:r>
        <w:rPr>
          <w:rFonts w:hint="eastAsia" w:ascii="宋体" w:hAnsi="宋体"/>
          <w:color w:val="auto"/>
          <w:kern w:val="2"/>
          <w:szCs w:val="21"/>
          <w:highlight w:val="none"/>
          <w:u w:val="single"/>
        </w:rPr>
        <w:t>检验员签名或盖章。</w:t>
      </w:r>
    </w:p>
    <w:p>
      <w:pPr>
        <w:pStyle w:val="22"/>
        <w:keepNext w:val="0"/>
        <w:keepLines w:val="0"/>
        <w:pageBreakBefore w:val="0"/>
        <w:kinsoku/>
        <w:wordWrap/>
        <w:overflowPunct/>
        <w:topLinePunct w:val="0"/>
        <w:bidi w:val="0"/>
        <w:adjustRightInd/>
        <w:snapToGrid/>
        <w:spacing w:line="240" w:lineRule="auto"/>
        <w:ind w:firstLine="420" w:firstLineChars="0"/>
        <w:textAlignment w:val="auto"/>
        <w:rPr>
          <w:rFonts w:ascii="宋体" w:hAnsi="宋体"/>
          <w:color w:val="auto"/>
          <w:kern w:val="2"/>
          <w:szCs w:val="21"/>
          <w:highlight w:val="none"/>
          <w:u w:val="single"/>
        </w:rPr>
      </w:pPr>
      <w:r>
        <w:rPr>
          <w:rFonts w:hint="eastAsia" w:ascii="宋体" w:hAnsi="宋体"/>
          <w:color w:val="auto"/>
          <w:kern w:val="2"/>
          <w:szCs w:val="21"/>
          <w:highlight w:val="none"/>
          <w:u w:val="single"/>
        </w:rPr>
        <w:t>c）产品质量控制过程中的检验报告及成品检验报告。</w:t>
      </w:r>
    </w:p>
    <w:p>
      <w:pPr>
        <w:pStyle w:val="22"/>
        <w:keepNext w:val="0"/>
        <w:keepLines w:val="0"/>
        <w:pageBreakBefore w:val="0"/>
        <w:kinsoku/>
        <w:wordWrap/>
        <w:overflowPunct/>
        <w:topLinePunct w:val="0"/>
        <w:bidi w:val="0"/>
        <w:adjustRightInd/>
        <w:snapToGrid/>
        <w:spacing w:line="240" w:lineRule="auto"/>
        <w:ind w:firstLine="420" w:firstLineChars="0"/>
        <w:textAlignment w:val="auto"/>
        <w:rPr>
          <w:rFonts w:ascii="宋体" w:hAnsi="宋体"/>
          <w:color w:val="auto"/>
          <w:kern w:val="2"/>
          <w:szCs w:val="21"/>
          <w:highlight w:val="none"/>
          <w:u w:val="single"/>
        </w:rPr>
      </w:pPr>
      <w:r>
        <w:rPr>
          <w:rFonts w:hint="eastAsia" w:ascii="宋体" w:hAnsi="宋体"/>
          <w:color w:val="auto"/>
          <w:kern w:val="2"/>
          <w:szCs w:val="21"/>
          <w:highlight w:val="none"/>
          <w:u w:val="single"/>
        </w:rPr>
        <w:t>d）产品使用说明：正确搬运、使用、贮存方法等。</w:t>
      </w:r>
    </w:p>
    <w:p>
      <w:pPr>
        <w:pStyle w:val="58"/>
        <w:keepNext w:val="0"/>
        <w:keepLines w:val="0"/>
        <w:pageBreakBefore w:val="0"/>
        <w:kinsoku/>
        <w:wordWrap/>
        <w:overflowPunct/>
        <w:topLinePunct w:val="0"/>
        <w:bidi w:val="0"/>
        <w:adjustRightInd/>
        <w:snapToGrid/>
        <w:spacing w:before="143" w:after="143" w:line="240" w:lineRule="auto"/>
        <w:ind w:right="0" w:rightChars="0"/>
        <w:textAlignment w:val="auto"/>
        <w:rPr>
          <w:color w:val="auto"/>
          <w:highlight w:val="none"/>
        </w:rPr>
      </w:pPr>
      <w:r>
        <w:rPr>
          <w:rFonts w:hint="eastAsia"/>
          <w:color w:val="auto"/>
          <w:highlight w:val="none"/>
        </w:rPr>
        <w:t>9  订货单内容</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订购本文件所列材料的订货单应包括下列内容：</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产品名称；</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olor w:val="auto"/>
          <w:szCs w:val="21"/>
          <w:highlight w:val="none"/>
        </w:rPr>
      </w:pPr>
      <w:r>
        <w:rPr>
          <w:rFonts w:hint="eastAsia" w:ascii="宋体" w:hAnsi="宋体"/>
          <w:color w:val="auto"/>
          <w:szCs w:val="21"/>
          <w:highlight w:val="none"/>
        </w:rPr>
        <w:t>牌号；</w:t>
      </w:r>
      <w:r>
        <w:rPr>
          <w:rFonts w:hint="eastAsia" w:ascii="宋体" w:hAnsi="宋体"/>
          <w:color w:val="auto"/>
          <w:szCs w:val="21"/>
          <w:highlight w:val="none"/>
          <w:lang w:val="en-US" w:eastAsia="zh-CN"/>
        </w:rPr>
        <w:t xml:space="preserve"> </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olor w:val="auto"/>
          <w:szCs w:val="21"/>
          <w:highlight w:val="none"/>
        </w:rPr>
      </w:pPr>
      <w:r>
        <w:rPr>
          <w:rFonts w:hint="eastAsia" w:ascii="宋体" w:hAnsi="宋体"/>
          <w:color w:val="auto"/>
          <w:szCs w:val="21"/>
          <w:highlight w:val="none"/>
        </w:rPr>
        <w:t>状态；</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olor w:val="auto"/>
          <w:szCs w:val="21"/>
          <w:highlight w:val="none"/>
        </w:rPr>
      </w:pPr>
      <w:r>
        <w:rPr>
          <w:rFonts w:hint="eastAsia" w:ascii="宋体" w:hAnsi="宋体"/>
          <w:color w:val="auto"/>
          <w:szCs w:val="21"/>
          <w:highlight w:val="none"/>
        </w:rPr>
        <w:t>外形尺寸；</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olor w:val="auto"/>
          <w:szCs w:val="21"/>
          <w:highlight w:val="none"/>
        </w:rPr>
      </w:pPr>
      <w:r>
        <w:rPr>
          <w:rFonts w:hint="eastAsia" w:ascii="宋体" w:hAnsi="宋体"/>
          <w:color w:val="auto"/>
          <w:szCs w:val="21"/>
          <w:highlight w:val="none"/>
        </w:rPr>
        <w:t>重量或件数；</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olor w:val="auto"/>
          <w:szCs w:val="21"/>
          <w:highlight w:val="none"/>
        </w:rPr>
      </w:pPr>
      <w:r>
        <w:rPr>
          <w:rFonts w:hint="eastAsia" w:ascii="宋体" w:hAnsi="宋体"/>
          <w:color w:val="auto"/>
          <w:szCs w:val="21"/>
          <w:highlight w:val="none"/>
        </w:rPr>
        <w:t>蠕变和应力断裂性能（</w:t>
      </w:r>
      <w:r>
        <w:rPr>
          <w:rFonts w:hint="eastAsia" w:ascii="宋体" w:hAnsi="宋体"/>
          <w:color w:val="auto"/>
          <w:szCs w:val="21"/>
          <w:highlight w:val="none"/>
          <w:lang w:val="en-US" w:eastAsia="zh-CN"/>
        </w:rPr>
        <w:t>需方</w:t>
      </w:r>
      <w:r>
        <w:rPr>
          <w:rFonts w:hint="eastAsia" w:ascii="宋体" w:hAnsi="宋体"/>
          <w:color w:val="auto"/>
          <w:szCs w:val="21"/>
          <w:highlight w:val="none"/>
        </w:rPr>
        <w:t>有要求时）；</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olor w:val="auto"/>
          <w:szCs w:val="21"/>
          <w:highlight w:val="none"/>
        </w:rPr>
      </w:pPr>
      <w:r>
        <w:rPr>
          <w:rFonts w:hint="eastAsia" w:ascii="宋体" w:hAnsi="宋体"/>
          <w:color w:val="auto"/>
          <w:szCs w:val="21"/>
          <w:highlight w:val="none"/>
        </w:rPr>
        <w:t>晶粒度（</w:t>
      </w:r>
      <w:r>
        <w:rPr>
          <w:rFonts w:hint="eastAsia" w:ascii="宋体" w:hAnsi="宋体"/>
          <w:color w:val="auto"/>
          <w:szCs w:val="21"/>
          <w:highlight w:val="none"/>
          <w:lang w:val="en-US" w:eastAsia="zh-CN"/>
        </w:rPr>
        <w:t>需方</w:t>
      </w:r>
      <w:r>
        <w:rPr>
          <w:rFonts w:hint="eastAsia" w:ascii="宋体" w:hAnsi="宋体"/>
          <w:color w:val="auto"/>
          <w:szCs w:val="21"/>
          <w:highlight w:val="none"/>
        </w:rPr>
        <w:t>有要求时）；</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olor w:val="auto"/>
          <w:szCs w:val="21"/>
          <w:highlight w:val="none"/>
        </w:rPr>
      </w:pPr>
      <w:r>
        <w:rPr>
          <w:rFonts w:hint="eastAsia" w:ascii="宋体" w:hAnsi="宋体"/>
          <w:color w:val="auto"/>
          <w:szCs w:val="21"/>
          <w:highlight w:val="none"/>
        </w:rPr>
        <w:t>本文件编号；</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firstLine="420" w:firstLineChars="200"/>
        <w:textAlignment w:val="auto"/>
        <w:rPr>
          <w:rFonts w:hint="eastAsia" w:ascii="黑体" w:hAnsi="黑体" w:eastAsia="黑体"/>
          <w:color w:val="auto"/>
          <w:szCs w:val="21"/>
          <w:highlight w:val="none"/>
        </w:rPr>
      </w:pPr>
      <w:r>
        <w:rPr>
          <w:rFonts w:hint="eastAsia" w:ascii="宋体" w:hAnsi="宋体"/>
          <w:color w:val="auto"/>
          <w:szCs w:val="21"/>
          <w:highlight w:val="none"/>
        </w:rPr>
        <w:t>其他。</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b/>
          <w:color w:val="auto"/>
          <w:szCs w:val="21"/>
          <w:highlight w:val="none"/>
        </w:rPr>
        <w:sectPr>
          <w:headerReference r:id="rId10" w:type="default"/>
          <w:footerReference r:id="rId12" w:type="default"/>
          <w:headerReference r:id="rId11" w:type="even"/>
          <w:footerReference r:id="rId13" w:type="even"/>
          <w:pgSz w:w="11907" w:h="16839"/>
          <w:pgMar w:top="1418" w:right="1134" w:bottom="1418" w:left="1418" w:header="720" w:footer="720" w:gutter="0"/>
          <w:pgBorders>
            <w:top w:val="none" w:sz="0" w:space="0"/>
            <w:left w:val="none" w:sz="0" w:space="0"/>
            <w:bottom w:val="none" w:sz="0" w:space="0"/>
            <w:right w:val="none" w:sz="0" w:space="0"/>
          </w:pgBorders>
          <w:cols w:space="720" w:num="1"/>
          <w:docGrid w:type="lines" w:linePitch="286" w:charSpace="0"/>
        </w:sectPr>
      </w:pPr>
    </w:p>
    <w:p>
      <w:pPr>
        <w:pageBreakBefore w:val="0"/>
        <w:widowControl/>
        <w:autoSpaceDE w:val="0"/>
        <w:autoSpaceDN w:val="0"/>
        <w:jc w:val="center"/>
        <w:outlineLvl w:val="0"/>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附录</w:t>
      </w:r>
      <w:r>
        <w:rPr>
          <w:rFonts w:eastAsia="黑体"/>
          <w:color w:val="auto"/>
          <w:kern w:val="0"/>
          <w:szCs w:val="21"/>
          <w:highlight w:val="none"/>
        </w:rPr>
        <w:t>A</w:t>
      </w:r>
    </w:p>
    <w:p>
      <w:pPr>
        <w:widowControl/>
        <w:autoSpaceDE w:val="0"/>
        <w:autoSpaceDN w:val="0"/>
        <w:jc w:val="center"/>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（资料性）</w:t>
      </w:r>
    </w:p>
    <w:p>
      <w:pPr>
        <w:widowControl/>
        <w:autoSpaceDE w:val="0"/>
        <w:autoSpaceDN w:val="0"/>
        <w:jc w:val="center"/>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本文件与</w:t>
      </w:r>
      <w:r>
        <w:rPr>
          <w:rFonts w:ascii="黑体" w:hAnsi="黑体" w:eastAsia="黑体" w:cs="黑体"/>
          <w:color w:val="auto"/>
          <w:kern w:val="0"/>
          <w:szCs w:val="21"/>
          <w:highlight w:val="none"/>
        </w:rPr>
        <w:t>ISO 9725:2017</w:t>
      </w:r>
      <w:r>
        <w:rPr>
          <w:rFonts w:hint="eastAsia" w:ascii="黑体" w:hAnsi="黑体" w:eastAsia="黑体" w:cs="黑体"/>
          <w:color w:val="auto"/>
          <w:kern w:val="0"/>
          <w:szCs w:val="21"/>
          <w:highlight w:val="none"/>
        </w:rPr>
        <w:t>结构编号对照一览表</w:t>
      </w:r>
    </w:p>
    <w:p>
      <w:pPr>
        <w:widowControl/>
        <w:autoSpaceDE w:val="0"/>
        <w:autoSpaceDN w:val="0"/>
        <w:ind w:firstLine="420" w:firstLineChars="200"/>
        <w:rPr>
          <w:rFonts w:hint="eastAsia" w:ascii="宋体" w:hAnsi="宋体" w:cs="宋体"/>
          <w:color w:val="auto"/>
          <w:kern w:val="0"/>
          <w:szCs w:val="21"/>
          <w:highlight w:val="none"/>
        </w:rPr>
      </w:pPr>
    </w:p>
    <w:p>
      <w:pPr>
        <w:widowControl/>
        <w:autoSpaceDE w:val="0"/>
        <w:autoSpaceDN w:val="0"/>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表</w:t>
      </w:r>
      <w:r>
        <w:rPr>
          <w:color w:val="auto"/>
          <w:kern w:val="0"/>
          <w:szCs w:val="21"/>
          <w:highlight w:val="none"/>
        </w:rPr>
        <w:t>A.1</w:t>
      </w:r>
      <w:r>
        <w:rPr>
          <w:rFonts w:hint="eastAsia" w:ascii="宋体" w:hAnsi="宋体" w:cs="宋体"/>
          <w:color w:val="auto"/>
          <w:kern w:val="0"/>
          <w:szCs w:val="21"/>
          <w:highlight w:val="none"/>
        </w:rPr>
        <w:t>给出了本文件与</w:t>
      </w:r>
      <w:r>
        <w:rPr>
          <w:color w:val="auto"/>
          <w:kern w:val="0"/>
          <w:szCs w:val="21"/>
          <w:highlight w:val="none"/>
        </w:rPr>
        <w:t>ISO 9725:2017</w:t>
      </w:r>
      <w:r>
        <w:rPr>
          <w:rFonts w:hint="eastAsia" w:ascii="宋体" w:hAnsi="宋体" w:cs="宋体"/>
          <w:color w:val="auto"/>
          <w:kern w:val="0"/>
          <w:szCs w:val="21"/>
          <w:highlight w:val="none"/>
        </w:rPr>
        <w:t>结构编号对照一览表。</w:t>
      </w:r>
    </w:p>
    <w:p>
      <w:pPr>
        <w:widowControl/>
        <w:autoSpaceDE w:val="0"/>
        <w:autoSpaceDN w:val="0"/>
        <w:ind w:firstLine="420" w:firstLineChars="200"/>
        <w:jc w:val="center"/>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表</w:t>
      </w:r>
      <w:r>
        <w:rPr>
          <w:rFonts w:eastAsia="黑体"/>
          <w:color w:val="auto"/>
          <w:kern w:val="0"/>
          <w:szCs w:val="21"/>
          <w:highlight w:val="none"/>
        </w:rPr>
        <w:t>A.1</w:t>
      </w:r>
      <w:r>
        <w:rPr>
          <w:rFonts w:hint="eastAsia" w:ascii="黑体" w:hAnsi="黑体" w:eastAsia="黑体" w:cs="黑体"/>
          <w:color w:val="auto"/>
          <w:kern w:val="0"/>
          <w:szCs w:val="21"/>
          <w:highlight w:val="none"/>
        </w:rPr>
        <w:t xml:space="preserve"> 本文件与</w:t>
      </w:r>
      <w:r>
        <w:rPr>
          <w:rFonts w:eastAsia="黑体"/>
          <w:color w:val="auto"/>
          <w:kern w:val="0"/>
          <w:szCs w:val="21"/>
          <w:highlight w:val="none"/>
        </w:rPr>
        <w:t>ISO 9725:2017</w:t>
      </w:r>
      <w:r>
        <w:rPr>
          <w:rFonts w:hint="eastAsia" w:ascii="黑体" w:hAnsi="黑体" w:eastAsia="黑体" w:cs="黑体"/>
          <w:color w:val="auto"/>
          <w:kern w:val="0"/>
          <w:szCs w:val="21"/>
          <w:highlight w:val="none"/>
        </w:rPr>
        <w:t>结构编号对照情况</w:t>
      </w:r>
    </w:p>
    <w:tbl>
      <w:tblPr>
        <w:tblStyle w:val="1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0"/>
        <w:gridCol w:w="6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89" w:type="pct"/>
            <w:tcBorders>
              <w:top w:val="single" w:color="auto" w:sz="12" w:space="0"/>
              <w:left w:val="single" w:color="auto" w:sz="12" w:space="0"/>
              <w:bottom w:val="single" w:color="auto" w:sz="12" w:space="0"/>
            </w:tcBorders>
          </w:tcPr>
          <w:p>
            <w:pPr>
              <w:widowControl/>
              <w:autoSpaceDE w:val="0"/>
              <w:autoSpaceDN w:val="0"/>
              <w:ind w:firstLine="360" w:firstLineChars="200"/>
              <w:jc w:val="center"/>
              <w:rPr>
                <w:color w:val="auto"/>
                <w:kern w:val="0"/>
                <w:sz w:val="18"/>
                <w:szCs w:val="18"/>
                <w:highlight w:val="none"/>
              </w:rPr>
            </w:pPr>
            <w:r>
              <w:rPr>
                <w:color w:val="auto"/>
                <w:kern w:val="0"/>
                <w:sz w:val="18"/>
                <w:szCs w:val="18"/>
                <w:highlight w:val="none"/>
              </w:rPr>
              <w:t>本文件结构编号</w:t>
            </w:r>
          </w:p>
        </w:tc>
        <w:tc>
          <w:tcPr>
            <w:tcW w:w="3510" w:type="pct"/>
            <w:tcBorders>
              <w:top w:val="single" w:color="auto" w:sz="12" w:space="0"/>
              <w:bottom w:val="single" w:color="auto" w:sz="12" w:space="0"/>
              <w:right w:val="single" w:color="auto" w:sz="12" w:space="0"/>
            </w:tcBorders>
          </w:tcPr>
          <w:p>
            <w:pPr>
              <w:widowControl/>
              <w:autoSpaceDE w:val="0"/>
              <w:autoSpaceDN w:val="0"/>
              <w:ind w:firstLine="360" w:firstLineChars="200"/>
              <w:jc w:val="center"/>
              <w:rPr>
                <w:color w:val="auto"/>
                <w:kern w:val="0"/>
                <w:sz w:val="18"/>
                <w:szCs w:val="18"/>
                <w:highlight w:val="none"/>
              </w:rPr>
            </w:pPr>
            <w:r>
              <w:rPr>
                <w:color w:val="auto"/>
                <w:kern w:val="0"/>
                <w:sz w:val="18"/>
                <w:szCs w:val="18"/>
                <w:highlight w:val="none"/>
              </w:rPr>
              <w:t>ISO 9725:2017结构编号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top w:val="single" w:color="auto" w:sz="12" w:space="0"/>
              <w:left w:val="single" w:color="auto" w:sz="12" w:space="0"/>
            </w:tcBorders>
          </w:tcPr>
          <w:p>
            <w:pPr>
              <w:widowControl/>
              <w:autoSpaceDE w:val="0"/>
              <w:autoSpaceDN w:val="0"/>
              <w:ind w:firstLine="360" w:firstLineChars="200"/>
              <w:jc w:val="center"/>
              <w:rPr>
                <w:color w:val="auto"/>
                <w:kern w:val="0"/>
                <w:sz w:val="18"/>
                <w:szCs w:val="18"/>
                <w:highlight w:val="none"/>
              </w:rPr>
            </w:pPr>
            <w:r>
              <w:rPr>
                <w:color w:val="auto"/>
                <w:kern w:val="0"/>
                <w:sz w:val="18"/>
                <w:szCs w:val="18"/>
                <w:highlight w:val="none"/>
              </w:rPr>
              <w:t>1</w:t>
            </w:r>
          </w:p>
        </w:tc>
        <w:tc>
          <w:tcPr>
            <w:tcW w:w="3510" w:type="pct"/>
            <w:tcBorders>
              <w:top w:val="single" w:color="auto" w:sz="12" w:space="0"/>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lef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2</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lef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3</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lef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4</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lef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5</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lef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6</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lef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7</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8, 9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89" w:type="pct"/>
            <w:tcBorders>
              <w:lef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8</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89" w:type="pct"/>
            <w:tcBorders>
              <w:lef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9</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left w:val="single" w:color="auto" w:sz="12" w:space="0"/>
            </w:tcBorders>
          </w:tcPr>
          <w:p>
            <w:pPr>
              <w:widowControl/>
              <w:autoSpaceDE w:val="0"/>
              <w:autoSpaceDN w:val="0"/>
              <w:ind w:firstLine="360" w:firstLineChars="200"/>
              <w:jc w:val="center"/>
              <w:rPr>
                <w:color w:val="auto"/>
                <w:kern w:val="0"/>
                <w:sz w:val="18"/>
                <w:szCs w:val="18"/>
                <w:highlight w:val="none"/>
              </w:rPr>
            </w:pPr>
            <w:r>
              <w:rPr>
                <w:color w:val="auto"/>
                <w:kern w:val="0"/>
                <w:sz w:val="18"/>
                <w:szCs w:val="18"/>
                <w:highlight w:val="none"/>
              </w:rPr>
              <w:t>附录A</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left w:val="single" w:color="auto" w:sz="12" w:space="0"/>
            </w:tcBorders>
          </w:tcPr>
          <w:p>
            <w:pPr>
              <w:widowControl/>
              <w:autoSpaceDE w:val="0"/>
              <w:autoSpaceDN w:val="0"/>
              <w:jc w:val="center"/>
              <w:rPr>
                <w:color w:val="auto"/>
                <w:kern w:val="0"/>
                <w:sz w:val="18"/>
                <w:szCs w:val="18"/>
                <w:highlight w:val="none"/>
              </w:rPr>
            </w:pPr>
            <w:r>
              <w:rPr>
                <w:rFonts w:hint="eastAsia"/>
                <w:color w:val="auto"/>
                <w:kern w:val="0"/>
                <w:sz w:val="18"/>
                <w:szCs w:val="18"/>
                <w:highlight w:val="none"/>
              </w:rPr>
              <w:t xml:space="preserve">    </w:t>
            </w:r>
            <w:r>
              <w:rPr>
                <w:color w:val="auto"/>
                <w:kern w:val="0"/>
                <w:sz w:val="18"/>
                <w:szCs w:val="18"/>
                <w:highlight w:val="none"/>
              </w:rPr>
              <w:t>附录B</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lef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附录C</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lef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w:t>
            </w:r>
          </w:p>
        </w:tc>
        <w:tc>
          <w:tcPr>
            <w:tcW w:w="3510" w:type="pct"/>
            <w:tcBorders>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sz w:val="18"/>
                <w:szCs w:val="18"/>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pct"/>
            <w:tcBorders>
              <w:left w:val="single" w:color="auto" w:sz="12" w:space="0"/>
              <w:bottom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kern w:val="0"/>
                <w:sz w:val="18"/>
                <w:szCs w:val="18"/>
                <w:highlight w:val="none"/>
              </w:rPr>
              <w:t>—</w:t>
            </w:r>
          </w:p>
        </w:tc>
        <w:tc>
          <w:tcPr>
            <w:tcW w:w="3510" w:type="pct"/>
            <w:tcBorders>
              <w:bottom w:val="single" w:color="auto" w:sz="12" w:space="0"/>
              <w:right w:val="single" w:color="auto" w:sz="12" w:space="0"/>
            </w:tcBorders>
          </w:tcPr>
          <w:p>
            <w:pPr>
              <w:widowControl/>
              <w:autoSpaceDE w:val="0"/>
              <w:autoSpaceDN w:val="0"/>
              <w:ind w:firstLine="360" w:firstLineChars="200"/>
              <w:jc w:val="center"/>
              <w:rPr>
                <w:color w:val="auto"/>
                <w:kern w:val="0"/>
                <w:sz w:val="18"/>
                <w:szCs w:val="18"/>
                <w:highlight w:val="none"/>
              </w:rPr>
            </w:pPr>
            <w:r>
              <w:rPr>
                <w:rFonts w:hint="eastAsia"/>
                <w:color w:val="auto"/>
                <w:sz w:val="18"/>
                <w:szCs w:val="18"/>
                <w:highlight w:val="none"/>
              </w:rPr>
              <w:t>附录A</w:t>
            </w:r>
          </w:p>
        </w:tc>
      </w:tr>
    </w:tbl>
    <w:p>
      <w:pPr>
        <w:pageBreakBefore w:val="0"/>
        <w:widowControl/>
        <w:autoSpaceDE w:val="0"/>
        <w:autoSpaceDN w:val="0"/>
        <w:jc w:val="center"/>
        <w:outlineLvl w:val="0"/>
        <w:rPr>
          <w:rFonts w:hint="eastAsia" w:ascii="黑体" w:hAnsi="黑体" w:eastAsia="黑体" w:cs="黑体"/>
          <w:color w:val="auto"/>
          <w:kern w:val="0"/>
          <w:szCs w:val="21"/>
          <w:highlight w:val="none"/>
        </w:rPr>
        <w:sectPr>
          <w:pgSz w:w="11907" w:h="16839"/>
          <w:pgMar w:top="1418" w:right="1134" w:bottom="1418" w:left="1418" w:header="720" w:footer="720" w:gutter="0"/>
          <w:pgBorders>
            <w:top w:val="none" w:sz="0" w:space="0"/>
            <w:left w:val="none" w:sz="0" w:space="0"/>
            <w:bottom w:val="none" w:sz="0" w:space="0"/>
            <w:right w:val="none" w:sz="0" w:space="0"/>
          </w:pgBorders>
          <w:cols w:space="720" w:num="1"/>
          <w:docGrid w:type="lines" w:linePitch="286" w:charSpace="0"/>
        </w:sectPr>
      </w:pPr>
    </w:p>
    <w:p>
      <w:pPr>
        <w:pageBreakBefore w:val="0"/>
        <w:widowControl/>
        <w:autoSpaceDE w:val="0"/>
        <w:autoSpaceDN w:val="0"/>
        <w:jc w:val="center"/>
        <w:outlineLvl w:val="0"/>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附录</w:t>
      </w:r>
      <w:r>
        <w:rPr>
          <w:rFonts w:hint="eastAsia" w:eastAsia="黑体"/>
          <w:color w:val="auto"/>
          <w:kern w:val="0"/>
          <w:szCs w:val="21"/>
          <w:highlight w:val="none"/>
        </w:rPr>
        <w:t>B</w:t>
      </w:r>
    </w:p>
    <w:p>
      <w:pPr>
        <w:widowControl/>
        <w:autoSpaceDE w:val="0"/>
        <w:autoSpaceDN w:val="0"/>
        <w:jc w:val="center"/>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（资料性）</w:t>
      </w:r>
    </w:p>
    <w:p>
      <w:pPr>
        <w:widowControl/>
        <w:autoSpaceDE w:val="0"/>
        <w:autoSpaceDN w:val="0"/>
        <w:jc w:val="center"/>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本文件与</w:t>
      </w:r>
      <w:r>
        <w:rPr>
          <w:rFonts w:hint="eastAsia" w:eastAsia="黑体"/>
          <w:color w:val="auto"/>
          <w:kern w:val="0"/>
          <w:szCs w:val="21"/>
          <w:highlight w:val="none"/>
        </w:rPr>
        <w:t>ISO 9725:2017的</w:t>
      </w:r>
      <w:r>
        <w:rPr>
          <w:rFonts w:hint="eastAsia" w:ascii="黑体" w:hAnsi="黑体" w:eastAsia="黑体" w:cs="黑体"/>
          <w:color w:val="auto"/>
          <w:kern w:val="0"/>
          <w:szCs w:val="21"/>
          <w:highlight w:val="none"/>
        </w:rPr>
        <w:t>技术差异及其原因</w:t>
      </w:r>
    </w:p>
    <w:p>
      <w:pPr>
        <w:pStyle w:val="22"/>
        <w:ind w:firstLine="420"/>
        <w:rPr>
          <w:color w:val="auto"/>
          <w:highlight w:val="none"/>
        </w:rPr>
      </w:pPr>
    </w:p>
    <w:p>
      <w:pPr>
        <w:widowControl/>
        <w:autoSpaceDE w:val="0"/>
        <w:autoSpaceDN w:val="0"/>
        <w:ind w:firstLine="420" w:firstLineChars="200"/>
        <w:rPr>
          <w:color w:val="auto"/>
          <w:highlight w:val="none"/>
        </w:rPr>
      </w:pPr>
      <w:r>
        <w:rPr>
          <w:rFonts w:hint="eastAsia" w:ascii="宋体" w:hAnsi="宋体" w:cs="宋体"/>
          <w:color w:val="auto"/>
          <w:kern w:val="0"/>
          <w:szCs w:val="21"/>
          <w:highlight w:val="none"/>
        </w:rPr>
        <w:t>表</w:t>
      </w:r>
      <w:r>
        <w:rPr>
          <w:color w:val="auto"/>
          <w:kern w:val="0"/>
          <w:szCs w:val="21"/>
          <w:highlight w:val="none"/>
        </w:rPr>
        <w:t>B.1</w:t>
      </w:r>
      <w:r>
        <w:rPr>
          <w:rFonts w:hint="eastAsia" w:ascii="宋体" w:hAnsi="宋体" w:cs="宋体"/>
          <w:color w:val="auto"/>
          <w:kern w:val="0"/>
          <w:szCs w:val="21"/>
          <w:highlight w:val="none"/>
        </w:rPr>
        <w:t>给出了本文件与</w:t>
      </w:r>
      <w:r>
        <w:rPr>
          <w:rFonts w:hint="eastAsia"/>
          <w:color w:val="auto"/>
          <w:kern w:val="0"/>
          <w:szCs w:val="21"/>
          <w:highlight w:val="none"/>
        </w:rPr>
        <w:t>ISO 9725:2017</w:t>
      </w:r>
      <w:r>
        <w:rPr>
          <w:rFonts w:hint="eastAsia" w:ascii="宋体" w:hAnsi="宋体" w:cs="宋体"/>
          <w:color w:val="auto"/>
          <w:kern w:val="0"/>
          <w:szCs w:val="21"/>
          <w:highlight w:val="none"/>
        </w:rPr>
        <w:t>技术差异及其原因一览表。</w:t>
      </w:r>
    </w:p>
    <w:p>
      <w:pPr>
        <w:widowControl/>
        <w:autoSpaceDE w:val="0"/>
        <w:autoSpaceDN w:val="0"/>
        <w:ind w:firstLine="420" w:firstLineChars="200"/>
        <w:jc w:val="center"/>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表</w:t>
      </w:r>
      <w:r>
        <w:rPr>
          <w:rFonts w:eastAsia="黑体"/>
          <w:color w:val="auto"/>
          <w:kern w:val="0"/>
          <w:szCs w:val="21"/>
          <w:highlight w:val="none"/>
        </w:rPr>
        <w:t>B.1</w:t>
      </w:r>
      <w:r>
        <w:rPr>
          <w:rFonts w:hint="eastAsia" w:ascii="黑体" w:hAnsi="黑体" w:eastAsia="黑体" w:cs="黑体"/>
          <w:color w:val="auto"/>
          <w:kern w:val="0"/>
          <w:szCs w:val="21"/>
          <w:highlight w:val="none"/>
        </w:rPr>
        <w:t xml:space="preserve"> 本文件与</w:t>
      </w:r>
      <w:r>
        <w:rPr>
          <w:rFonts w:hint="eastAsia" w:eastAsia="黑体"/>
          <w:color w:val="auto"/>
          <w:kern w:val="0"/>
          <w:szCs w:val="21"/>
          <w:highlight w:val="none"/>
        </w:rPr>
        <w:t>ISO 9725:2017</w:t>
      </w:r>
      <w:r>
        <w:rPr>
          <w:rFonts w:hint="eastAsia" w:ascii="黑体" w:hAnsi="黑体" w:eastAsia="黑体" w:cs="黑体"/>
          <w:color w:val="auto"/>
          <w:kern w:val="0"/>
          <w:szCs w:val="21"/>
          <w:highlight w:val="none"/>
        </w:rPr>
        <w:t>技术差异及其原因</w:t>
      </w:r>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86"/>
        <w:gridCol w:w="3420"/>
        <w:gridCol w:w="46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1486" w:type="dxa"/>
            <w:tcBorders>
              <w:top w:val="single" w:color="000000" w:sz="12" w:space="0"/>
              <w:left w:val="single" w:color="000000" w:sz="12" w:space="0"/>
              <w:bottom w:val="single" w:color="000000" w:sz="12" w:space="0"/>
            </w:tcBorders>
          </w:tcPr>
          <w:p>
            <w:pPr>
              <w:widowControl/>
              <w:autoSpaceDE w:val="0"/>
              <w:autoSpaceDN w:val="0"/>
              <w:ind w:firstLine="0" w:firstLineChars="0"/>
              <w:jc w:val="center"/>
              <w:rPr>
                <w:color w:val="auto"/>
                <w:kern w:val="0"/>
                <w:sz w:val="18"/>
                <w:szCs w:val="18"/>
                <w:highlight w:val="none"/>
              </w:rPr>
            </w:pPr>
            <w:r>
              <w:rPr>
                <w:color w:val="auto"/>
                <w:kern w:val="0"/>
                <w:sz w:val="18"/>
                <w:szCs w:val="18"/>
                <w:highlight w:val="none"/>
              </w:rPr>
              <w:t>本文件结构编号</w:t>
            </w:r>
          </w:p>
        </w:tc>
        <w:tc>
          <w:tcPr>
            <w:tcW w:w="3420" w:type="dxa"/>
            <w:tcBorders>
              <w:top w:val="single" w:color="000000" w:sz="12" w:space="0"/>
              <w:bottom w:val="single" w:color="000000" w:sz="12" w:space="0"/>
            </w:tcBorders>
            <w:vAlign w:val="center"/>
          </w:tcPr>
          <w:p>
            <w:pPr>
              <w:widowControl/>
              <w:autoSpaceDE w:val="0"/>
              <w:autoSpaceDN w:val="0"/>
              <w:ind w:firstLine="0" w:firstLineChars="0"/>
              <w:jc w:val="center"/>
              <w:rPr>
                <w:color w:val="auto"/>
                <w:kern w:val="0"/>
                <w:sz w:val="18"/>
                <w:szCs w:val="18"/>
                <w:highlight w:val="none"/>
              </w:rPr>
            </w:pPr>
            <w:r>
              <w:rPr>
                <w:color w:val="auto"/>
                <w:kern w:val="0"/>
                <w:sz w:val="18"/>
                <w:szCs w:val="18"/>
                <w:highlight w:val="none"/>
              </w:rPr>
              <w:t>技术差异</w:t>
            </w:r>
          </w:p>
        </w:tc>
        <w:tc>
          <w:tcPr>
            <w:tcW w:w="4665" w:type="dxa"/>
            <w:tcBorders>
              <w:top w:val="single" w:color="000000" w:sz="12" w:space="0"/>
              <w:bottom w:val="single" w:color="000000" w:sz="12" w:space="0"/>
              <w:right w:val="single" w:color="000000" w:sz="12" w:space="0"/>
            </w:tcBorders>
            <w:vAlign w:val="center"/>
          </w:tcPr>
          <w:p>
            <w:pPr>
              <w:widowControl/>
              <w:autoSpaceDE w:val="0"/>
              <w:autoSpaceDN w:val="0"/>
              <w:ind w:firstLine="0" w:firstLineChars="0"/>
              <w:jc w:val="center"/>
              <w:rPr>
                <w:color w:val="auto"/>
                <w:kern w:val="0"/>
                <w:sz w:val="18"/>
                <w:szCs w:val="18"/>
                <w:highlight w:val="none"/>
              </w:rPr>
            </w:pPr>
            <w:r>
              <w:rPr>
                <w:color w:val="auto"/>
                <w:kern w:val="0"/>
                <w:sz w:val="18"/>
                <w:szCs w:val="18"/>
                <w:highlight w:val="none"/>
              </w:rPr>
              <w:t>原因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6" w:type="dxa"/>
            <w:tcBorders>
              <w:top w:val="single" w:color="000000" w:sz="12" w:space="0"/>
              <w:left w:val="single" w:color="000000" w:sz="12" w:space="0"/>
              <w:bottom w:val="single" w:color="000000" w:sz="4" w:space="0"/>
            </w:tcBorders>
            <w:vAlign w:val="center"/>
          </w:tcPr>
          <w:p>
            <w:pPr>
              <w:widowControl/>
              <w:autoSpaceDE w:val="0"/>
              <w:autoSpaceDN w:val="0"/>
              <w:ind w:firstLine="0" w:firstLineChars="0"/>
              <w:jc w:val="center"/>
              <w:rPr>
                <w:color w:val="auto"/>
                <w:kern w:val="0"/>
                <w:sz w:val="18"/>
                <w:szCs w:val="18"/>
                <w:highlight w:val="none"/>
              </w:rPr>
            </w:pPr>
            <w:r>
              <w:rPr>
                <w:rFonts w:hint="eastAsia"/>
                <w:color w:val="auto"/>
                <w:kern w:val="0"/>
                <w:sz w:val="18"/>
                <w:szCs w:val="18"/>
                <w:highlight w:val="none"/>
              </w:rPr>
              <w:t>2</w:t>
            </w:r>
          </w:p>
        </w:tc>
        <w:tc>
          <w:tcPr>
            <w:tcW w:w="3420" w:type="dxa"/>
            <w:tcBorders>
              <w:top w:val="single" w:color="000000" w:sz="12" w:space="0"/>
              <w:bottom w:val="single" w:color="000000" w:sz="4"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规范性引用文件一章引用了我国标准</w:t>
            </w:r>
          </w:p>
        </w:tc>
        <w:tc>
          <w:tcPr>
            <w:tcW w:w="4665" w:type="dxa"/>
            <w:tcBorders>
              <w:top w:val="single" w:color="000000" w:sz="12" w:space="0"/>
              <w:bottom w:val="single" w:color="000000" w:sz="4" w:space="0"/>
              <w:right w:val="single" w:color="000000" w:sz="12"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适应我国的</w:t>
            </w:r>
            <w:r>
              <w:rPr>
                <w:rFonts w:hint="eastAsia"/>
                <w:color w:val="auto"/>
                <w:kern w:val="0"/>
                <w:sz w:val="18"/>
                <w:szCs w:val="18"/>
                <w:highlight w:val="none"/>
                <w:lang w:val="en-US" w:eastAsia="zh-CN"/>
              </w:rPr>
              <w:t>检验</w:t>
            </w:r>
            <w:r>
              <w:rPr>
                <w:rFonts w:hint="eastAsia"/>
                <w:color w:val="auto"/>
                <w:kern w:val="0"/>
                <w:sz w:val="18"/>
                <w:szCs w:val="18"/>
                <w:highlight w:val="none"/>
              </w:rPr>
              <w:t>技术条件，增加可操作性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6" w:type="dxa"/>
            <w:tcBorders>
              <w:top w:val="single" w:color="000000" w:sz="4" w:space="0"/>
              <w:left w:val="single" w:color="000000" w:sz="12" w:space="0"/>
              <w:bottom w:val="single" w:color="000000" w:sz="4" w:space="0"/>
            </w:tcBorders>
            <w:vAlign w:val="center"/>
          </w:tcPr>
          <w:p>
            <w:pPr>
              <w:widowControl/>
              <w:autoSpaceDE w:val="0"/>
              <w:autoSpaceDN w:val="0"/>
              <w:jc w:val="center"/>
              <w:rPr>
                <w:color w:val="auto"/>
                <w:kern w:val="0"/>
                <w:sz w:val="18"/>
                <w:szCs w:val="18"/>
                <w:highlight w:val="none"/>
              </w:rPr>
            </w:pPr>
            <w:r>
              <w:rPr>
                <w:rFonts w:hint="eastAsia"/>
                <w:color w:val="auto"/>
                <w:kern w:val="0"/>
                <w:sz w:val="18"/>
                <w:szCs w:val="18"/>
                <w:highlight w:val="none"/>
              </w:rPr>
              <w:t>3</w:t>
            </w:r>
          </w:p>
        </w:tc>
        <w:tc>
          <w:tcPr>
            <w:tcW w:w="3420" w:type="dxa"/>
            <w:tcBorders>
              <w:top w:val="single" w:color="000000" w:sz="4" w:space="0"/>
              <w:bottom w:val="single" w:color="000000" w:sz="4"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未引用ISO 9725:2017界定的术语和定义</w:t>
            </w:r>
          </w:p>
        </w:tc>
        <w:tc>
          <w:tcPr>
            <w:tcW w:w="4665" w:type="dxa"/>
            <w:tcBorders>
              <w:top w:val="single" w:color="000000" w:sz="4" w:space="0"/>
              <w:bottom w:val="single" w:color="000000" w:sz="4" w:space="0"/>
              <w:right w:val="single" w:color="000000" w:sz="12"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常规术语，不定义不会引起歧义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6" w:type="dxa"/>
            <w:tcBorders>
              <w:top w:val="single" w:color="000000" w:sz="4" w:space="0"/>
              <w:left w:val="single" w:color="000000" w:sz="12" w:space="0"/>
              <w:bottom w:val="single" w:color="000000" w:sz="4" w:space="0"/>
            </w:tcBorders>
            <w:vAlign w:val="center"/>
          </w:tcPr>
          <w:p>
            <w:pPr>
              <w:widowControl/>
              <w:autoSpaceDE w:val="0"/>
              <w:autoSpaceDN w:val="0"/>
              <w:jc w:val="center"/>
              <w:rPr>
                <w:rFonts w:hint="default" w:eastAsia="宋体"/>
                <w:color w:val="auto"/>
                <w:kern w:val="0"/>
                <w:sz w:val="18"/>
                <w:szCs w:val="18"/>
                <w:highlight w:val="none"/>
                <w:lang w:val="en-US" w:eastAsia="zh-CN"/>
              </w:rPr>
            </w:pPr>
            <w:r>
              <w:rPr>
                <w:rFonts w:hint="eastAsia"/>
                <w:color w:val="auto"/>
                <w:kern w:val="0"/>
                <w:sz w:val="18"/>
                <w:szCs w:val="18"/>
                <w:highlight w:val="none"/>
                <w:lang w:val="en-US" w:eastAsia="zh-CN"/>
              </w:rPr>
              <w:t>4.2</w:t>
            </w:r>
          </w:p>
        </w:tc>
        <w:tc>
          <w:tcPr>
            <w:tcW w:w="3420" w:type="dxa"/>
            <w:tcBorders>
              <w:top w:val="single" w:color="000000" w:sz="4" w:space="0"/>
              <w:bottom w:val="single" w:color="000000" w:sz="4"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增加了产品标记方法</w:t>
            </w:r>
          </w:p>
        </w:tc>
        <w:tc>
          <w:tcPr>
            <w:tcW w:w="4665" w:type="dxa"/>
            <w:tcBorders>
              <w:top w:val="single" w:color="000000" w:sz="4" w:space="0"/>
              <w:bottom w:val="single" w:color="000000" w:sz="4" w:space="0"/>
              <w:right w:val="single" w:color="000000" w:sz="12"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符合我国标准文件编制要求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6" w:type="dxa"/>
            <w:tcBorders>
              <w:top w:val="single" w:color="000000" w:sz="4" w:space="0"/>
              <w:left w:val="single" w:color="000000" w:sz="12" w:space="0"/>
              <w:bottom w:val="single" w:color="000000" w:sz="4" w:space="0"/>
            </w:tcBorders>
            <w:vAlign w:val="center"/>
          </w:tcPr>
          <w:p>
            <w:pPr>
              <w:widowControl/>
              <w:autoSpaceDE w:val="0"/>
              <w:autoSpaceDN w:val="0"/>
              <w:jc w:val="center"/>
              <w:rPr>
                <w:color w:val="auto"/>
                <w:kern w:val="0"/>
                <w:sz w:val="18"/>
                <w:szCs w:val="18"/>
                <w:highlight w:val="none"/>
              </w:rPr>
            </w:pPr>
            <w:r>
              <w:rPr>
                <w:rFonts w:hint="eastAsia"/>
                <w:color w:val="auto"/>
                <w:kern w:val="0"/>
                <w:sz w:val="18"/>
                <w:szCs w:val="18"/>
                <w:highlight w:val="none"/>
              </w:rPr>
              <w:t>5.2、6.2</w:t>
            </w:r>
          </w:p>
        </w:tc>
        <w:tc>
          <w:tcPr>
            <w:tcW w:w="3420" w:type="dxa"/>
            <w:tcBorders>
              <w:top w:val="single" w:color="000000" w:sz="4" w:space="0"/>
              <w:bottom w:val="single" w:color="000000" w:sz="4"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增加了锻件外形尺寸及允许偏差要求及试验方法</w:t>
            </w:r>
          </w:p>
        </w:tc>
        <w:tc>
          <w:tcPr>
            <w:tcW w:w="4665" w:type="dxa"/>
            <w:tcBorders>
              <w:top w:val="single" w:color="000000" w:sz="4" w:space="0"/>
              <w:bottom w:val="single" w:color="000000" w:sz="4" w:space="0"/>
              <w:right w:val="single" w:color="000000" w:sz="12"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适应国内技术要求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6" w:type="dxa"/>
            <w:tcBorders>
              <w:top w:val="single" w:color="000000" w:sz="4" w:space="0"/>
              <w:left w:val="single" w:color="000000" w:sz="12" w:space="0"/>
              <w:bottom w:val="single" w:color="000000" w:sz="4" w:space="0"/>
            </w:tcBorders>
            <w:vAlign w:val="center"/>
          </w:tcPr>
          <w:p>
            <w:pPr>
              <w:widowControl/>
              <w:autoSpaceDE w:val="0"/>
              <w:autoSpaceDN w:val="0"/>
              <w:jc w:val="center"/>
              <w:rPr>
                <w:rFonts w:hint="default" w:eastAsia="宋体"/>
                <w:color w:val="auto"/>
                <w:kern w:val="0"/>
                <w:sz w:val="18"/>
                <w:szCs w:val="18"/>
                <w:highlight w:val="none"/>
                <w:lang w:val="en-US" w:eastAsia="zh-CN"/>
              </w:rPr>
            </w:pPr>
            <w:r>
              <w:rPr>
                <w:rFonts w:hint="eastAsia"/>
                <w:color w:val="auto"/>
                <w:kern w:val="0"/>
                <w:sz w:val="18"/>
                <w:szCs w:val="18"/>
                <w:highlight w:val="none"/>
                <w:lang w:val="en-US" w:eastAsia="zh-CN"/>
              </w:rPr>
              <w:t>5.7</w:t>
            </w:r>
          </w:p>
        </w:tc>
        <w:tc>
          <w:tcPr>
            <w:tcW w:w="3420" w:type="dxa"/>
            <w:tcBorders>
              <w:top w:val="single" w:color="000000" w:sz="4" w:space="0"/>
              <w:bottom w:val="single" w:color="000000" w:sz="4"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增加了供轧制板、带材用的锻块，经表面车光的锻件表面质量的具体要求</w:t>
            </w:r>
          </w:p>
        </w:tc>
        <w:tc>
          <w:tcPr>
            <w:tcW w:w="4665" w:type="dxa"/>
            <w:tcBorders>
              <w:top w:val="single" w:color="000000" w:sz="4" w:space="0"/>
              <w:bottom w:val="single" w:color="000000" w:sz="4" w:space="0"/>
              <w:right w:val="single" w:color="000000" w:sz="12"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适应国内技术要求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6" w:type="dxa"/>
            <w:tcBorders>
              <w:top w:val="single" w:color="000000" w:sz="4" w:space="0"/>
              <w:left w:val="single" w:color="000000" w:sz="12" w:space="0"/>
              <w:bottom w:val="single" w:color="000000" w:sz="4" w:space="0"/>
            </w:tcBorders>
            <w:vAlign w:val="center"/>
          </w:tcPr>
          <w:p>
            <w:pPr>
              <w:widowControl/>
              <w:autoSpaceDE w:val="0"/>
              <w:autoSpaceDN w:val="0"/>
              <w:jc w:val="center"/>
              <w:rPr>
                <w:color w:val="auto"/>
                <w:kern w:val="0"/>
                <w:sz w:val="18"/>
                <w:szCs w:val="18"/>
                <w:highlight w:val="none"/>
              </w:rPr>
            </w:pPr>
            <w:r>
              <w:rPr>
                <w:rFonts w:hint="eastAsia"/>
                <w:color w:val="auto"/>
                <w:kern w:val="0"/>
                <w:sz w:val="18"/>
                <w:szCs w:val="18"/>
                <w:highlight w:val="none"/>
              </w:rPr>
              <w:t>7</w:t>
            </w:r>
          </w:p>
        </w:tc>
        <w:tc>
          <w:tcPr>
            <w:tcW w:w="3420" w:type="dxa"/>
            <w:tcBorders>
              <w:top w:val="single" w:color="000000" w:sz="4" w:space="0"/>
              <w:bottom w:val="single" w:color="000000" w:sz="4"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增加了检查和验收、组批、检验项目、检验结果判定等内容</w:t>
            </w:r>
          </w:p>
        </w:tc>
        <w:tc>
          <w:tcPr>
            <w:tcW w:w="4665" w:type="dxa"/>
            <w:tcBorders>
              <w:top w:val="single" w:color="000000" w:sz="4" w:space="0"/>
              <w:bottom w:val="single" w:color="000000" w:sz="4" w:space="0"/>
              <w:right w:val="single" w:color="000000" w:sz="12"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符合我国标准文件编制要求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6" w:type="dxa"/>
            <w:tcBorders>
              <w:top w:val="single" w:color="000000" w:sz="4" w:space="0"/>
              <w:left w:val="single" w:color="000000" w:sz="12" w:space="0"/>
              <w:bottom w:val="single" w:color="000000" w:sz="4" w:space="0"/>
            </w:tcBorders>
            <w:vAlign w:val="center"/>
          </w:tcPr>
          <w:p>
            <w:pPr>
              <w:widowControl/>
              <w:autoSpaceDE w:val="0"/>
              <w:autoSpaceDN w:val="0"/>
              <w:jc w:val="center"/>
              <w:rPr>
                <w:rFonts w:hint="default" w:eastAsia="宋体"/>
                <w:color w:val="auto"/>
                <w:kern w:val="0"/>
                <w:sz w:val="18"/>
                <w:szCs w:val="18"/>
                <w:highlight w:val="none"/>
                <w:lang w:val="en-US" w:eastAsia="zh-CN"/>
              </w:rPr>
            </w:pPr>
            <w:r>
              <w:rPr>
                <w:rFonts w:hint="eastAsia"/>
                <w:color w:val="auto"/>
                <w:kern w:val="0"/>
                <w:sz w:val="18"/>
                <w:szCs w:val="18"/>
                <w:highlight w:val="none"/>
                <w:lang w:val="en-US" w:eastAsia="zh-CN"/>
              </w:rPr>
              <w:t>7.4</w:t>
            </w:r>
          </w:p>
        </w:tc>
        <w:tc>
          <w:tcPr>
            <w:tcW w:w="3420" w:type="dxa"/>
            <w:tcBorders>
              <w:top w:val="single" w:color="000000" w:sz="4" w:space="0"/>
              <w:bottom w:val="single" w:color="000000" w:sz="4"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增加了取样规定细节</w:t>
            </w:r>
          </w:p>
        </w:tc>
        <w:tc>
          <w:tcPr>
            <w:tcW w:w="4665" w:type="dxa"/>
            <w:tcBorders>
              <w:top w:val="single" w:color="000000" w:sz="4" w:space="0"/>
              <w:bottom w:val="single" w:color="000000" w:sz="4" w:space="0"/>
              <w:right w:val="single" w:color="000000" w:sz="12"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符合我国</w:t>
            </w:r>
            <w:r>
              <w:rPr>
                <w:rFonts w:hint="eastAsia"/>
                <w:color w:val="auto"/>
                <w:kern w:val="0"/>
                <w:sz w:val="18"/>
                <w:szCs w:val="18"/>
                <w:highlight w:val="none"/>
                <w:lang w:val="en-US" w:eastAsia="zh-CN"/>
              </w:rPr>
              <w:t>检验</w:t>
            </w:r>
            <w:r>
              <w:rPr>
                <w:rFonts w:hint="eastAsia"/>
                <w:color w:val="auto"/>
                <w:kern w:val="0"/>
                <w:sz w:val="18"/>
                <w:szCs w:val="18"/>
                <w:highlight w:val="none"/>
              </w:rPr>
              <w:t>技术条件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486" w:type="dxa"/>
            <w:tcBorders>
              <w:top w:val="single" w:color="000000" w:sz="4" w:space="0"/>
              <w:left w:val="single" w:color="000000" w:sz="12" w:space="0"/>
              <w:bottom w:val="single" w:color="000000" w:sz="4" w:space="0"/>
            </w:tcBorders>
            <w:vAlign w:val="center"/>
          </w:tcPr>
          <w:p>
            <w:pPr>
              <w:widowControl/>
              <w:autoSpaceDE w:val="0"/>
              <w:autoSpaceDN w:val="0"/>
              <w:jc w:val="center"/>
              <w:rPr>
                <w:color w:val="auto"/>
                <w:kern w:val="0"/>
                <w:sz w:val="18"/>
                <w:szCs w:val="18"/>
                <w:highlight w:val="none"/>
              </w:rPr>
            </w:pPr>
            <w:r>
              <w:rPr>
                <w:rFonts w:hint="eastAsia"/>
                <w:color w:val="auto"/>
                <w:kern w:val="0"/>
                <w:sz w:val="18"/>
                <w:szCs w:val="18"/>
                <w:highlight w:val="none"/>
              </w:rPr>
              <w:t>8</w:t>
            </w:r>
          </w:p>
        </w:tc>
        <w:tc>
          <w:tcPr>
            <w:tcW w:w="3420" w:type="dxa"/>
            <w:tcBorders>
              <w:top w:val="single" w:color="000000" w:sz="4" w:space="0"/>
              <w:bottom w:val="single" w:color="000000" w:sz="4"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增加了包装、运输、贮存要求</w:t>
            </w:r>
          </w:p>
        </w:tc>
        <w:tc>
          <w:tcPr>
            <w:tcW w:w="4665" w:type="dxa"/>
            <w:tcBorders>
              <w:top w:val="single" w:color="000000" w:sz="4" w:space="0"/>
              <w:bottom w:val="single" w:color="000000" w:sz="4" w:space="0"/>
              <w:right w:val="single" w:color="000000" w:sz="12"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符合我国标准文件编制要求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486" w:type="dxa"/>
            <w:tcBorders>
              <w:top w:val="single" w:color="000000" w:sz="4" w:space="0"/>
              <w:left w:val="single" w:color="000000" w:sz="12" w:space="0"/>
              <w:bottom w:val="single" w:color="000000" w:sz="4" w:space="0"/>
            </w:tcBorders>
            <w:vAlign w:val="center"/>
          </w:tcPr>
          <w:p>
            <w:pPr>
              <w:widowControl/>
              <w:autoSpaceDE w:val="0"/>
              <w:autoSpaceDN w:val="0"/>
              <w:jc w:val="center"/>
              <w:rPr>
                <w:rFonts w:hint="eastAsia" w:eastAsia="宋体"/>
                <w:color w:val="auto"/>
                <w:kern w:val="0"/>
                <w:sz w:val="18"/>
                <w:szCs w:val="18"/>
                <w:highlight w:val="none"/>
                <w:lang w:val="en-US" w:eastAsia="zh-CN"/>
              </w:rPr>
            </w:pPr>
            <w:r>
              <w:rPr>
                <w:rFonts w:hint="eastAsia"/>
                <w:color w:val="auto"/>
                <w:kern w:val="0"/>
                <w:sz w:val="18"/>
                <w:szCs w:val="18"/>
                <w:highlight w:val="none"/>
                <w:lang w:val="en-US" w:eastAsia="zh-CN"/>
              </w:rPr>
              <w:t>9</w:t>
            </w:r>
          </w:p>
        </w:tc>
        <w:tc>
          <w:tcPr>
            <w:tcW w:w="3420" w:type="dxa"/>
            <w:tcBorders>
              <w:top w:val="single" w:color="000000" w:sz="4" w:space="0"/>
              <w:bottom w:val="single" w:color="000000" w:sz="4"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增加了订货单内容</w:t>
            </w:r>
          </w:p>
        </w:tc>
        <w:tc>
          <w:tcPr>
            <w:tcW w:w="4665" w:type="dxa"/>
            <w:tcBorders>
              <w:top w:val="single" w:color="000000" w:sz="4" w:space="0"/>
              <w:bottom w:val="single" w:color="000000" w:sz="4" w:space="0"/>
              <w:right w:val="single" w:color="000000" w:sz="12"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符合我国标准文件编制要求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6" w:type="dxa"/>
            <w:tcBorders>
              <w:top w:val="single" w:color="000000" w:sz="4" w:space="0"/>
              <w:left w:val="single" w:color="000000" w:sz="12" w:space="0"/>
              <w:bottom w:val="single" w:color="000000" w:sz="12" w:space="0"/>
            </w:tcBorders>
            <w:vAlign w:val="center"/>
          </w:tcPr>
          <w:p>
            <w:pPr>
              <w:widowControl/>
              <w:autoSpaceDE w:val="0"/>
              <w:autoSpaceDN w:val="0"/>
              <w:jc w:val="center"/>
              <w:rPr>
                <w:color w:val="auto"/>
                <w:kern w:val="0"/>
                <w:sz w:val="18"/>
                <w:szCs w:val="18"/>
                <w:highlight w:val="none"/>
              </w:rPr>
            </w:pPr>
            <w:r>
              <w:rPr>
                <w:rFonts w:hint="eastAsia"/>
                <w:color w:val="auto"/>
                <w:kern w:val="0"/>
                <w:sz w:val="18"/>
                <w:szCs w:val="18"/>
                <w:highlight w:val="none"/>
              </w:rPr>
              <w:t>—</w:t>
            </w:r>
          </w:p>
        </w:tc>
        <w:tc>
          <w:tcPr>
            <w:tcW w:w="3420" w:type="dxa"/>
            <w:tcBorders>
              <w:top w:val="single" w:color="000000" w:sz="4" w:space="0"/>
              <w:bottom w:val="single" w:color="000000" w:sz="12"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删除了第四章及附录A“基于化学符号的镍及镍合金牌号规则”</w:t>
            </w:r>
          </w:p>
        </w:tc>
        <w:tc>
          <w:tcPr>
            <w:tcW w:w="4665" w:type="dxa"/>
            <w:tcBorders>
              <w:top w:val="single" w:color="000000" w:sz="4" w:space="0"/>
              <w:bottom w:val="single" w:color="000000" w:sz="12" w:space="0"/>
              <w:right w:val="single" w:color="000000" w:sz="12" w:space="0"/>
            </w:tcBorders>
            <w:vAlign w:val="center"/>
          </w:tcPr>
          <w:p>
            <w:pPr>
              <w:widowControl/>
              <w:autoSpaceDE w:val="0"/>
              <w:autoSpaceDN w:val="0"/>
              <w:jc w:val="left"/>
              <w:rPr>
                <w:rFonts w:hint="eastAsia"/>
                <w:color w:val="auto"/>
                <w:kern w:val="0"/>
                <w:sz w:val="18"/>
                <w:szCs w:val="18"/>
                <w:highlight w:val="none"/>
              </w:rPr>
            </w:pPr>
            <w:r>
              <w:rPr>
                <w:rFonts w:hint="eastAsia"/>
                <w:color w:val="auto"/>
                <w:kern w:val="0"/>
                <w:sz w:val="18"/>
                <w:szCs w:val="18"/>
                <w:highlight w:val="none"/>
              </w:rPr>
              <w:t>国内使用GB/T 5235《加工镍及镍合金牌号和化学成分》，ISO 9725:2017第4章及附录A不适应国内技术要求</w:t>
            </w:r>
          </w:p>
        </w:tc>
      </w:tr>
    </w:tbl>
    <w:p>
      <w:pPr>
        <w:pStyle w:val="50"/>
        <w:shd w:val="clear" w:color="auto" w:fill="auto"/>
        <w:spacing w:before="0" w:after="0"/>
        <w:rPr>
          <w:rFonts w:hint="eastAsia" w:hAnsi="黑体"/>
          <w:color w:val="auto"/>
          <w:sz w:val="21"/>
          <w:szCs w:val="21"/>
          <w:highlight w:val="none"/>
        </w:rPr>
      </w:pPr>
      <w:r>
        <w:rPr>
          <w:rFonts w:hint="eastAsia" w:hAnsi="黑体"/>
          <w:color w:val="auto"/>
          <w:sz w:val="21"/>
          <w:szCs w:val="21"/>
          <w:highlight w:val="none"/>
        </w:rPr>
        <w:br w:type="page"/>
      </w:r>
      <w:r>
        <w:rPr>
          <w:rFonts w:hint="eastAsia" w:hAnsi="黑体"/>
          <w:color w:val="auto"/>
          <w:sz w:val="21"/>
          <w:szCs w:val="21"/>
          <w:highlight w:val="none"/>
        </w:rPr>
        <w:t>附录C</w:t>
      </w:r>
    </w:p>
    <w:p>
      <w:pPr>
        <w:pStyle w:val="33"/>
        <w:widowControl w:val="0"/>
        <w:spacing w:before="0" w:line="240" w:lineRule="auto"/>
        <w:rPr>
          <w:rFonts w:hint="eastAsia" w:ascii="黑体" w:hAnsi="黑体" w:eastAsia="黑体"/>
          <w:color w:val="auto"/>
          <w:kern w:val="2"/>
          <w:szCs w:val="21"/>
          <w:highlight w:val="none"/>
        </w:rPr>
      </w:pPr>
      <w:r>
        <w:rPr>
          <w:rFonts w:hint="eastAsia" w:ascii="黑体" w:hAnsi="黑体" w:eastAsia="黑体"/>
          <w:color w:val="auto"/>
          <w:kern w:val="2"/>
          <w:szCs w:val="21"/>
          <w:highlight w:val="none"/>
        </w:rPr>
        <w:t>（资料性）</w:t>
      </w:r>
    </w:p>
    <w:p>
      <w:pPr>
        <w:jc w:val="center"/>
        <w:rPr>
          <w:rFonts w:hint="eastAsia" w:ascii="黑体" w:hAnsi="黑体" w:eastAsia="黑体"/>
          <w:color w:val="auto"/>
          <w:highlight w:val="none"/>
        </w:rPr>
      </w:pPr>
      <w:r>
        <w:rPr>
          <w:rFonts w:hint="eastAsia" w:ascii="黑体" w:hAnsi="黑体" w:eastAsia="黑体"/>
          <w:color w:val="auto"/>
          <w:highlight w:val="none"/>
        </w:rPr>
        <w:t>国内外标准相应牌号的对照</w:t>
      </w:r>
    </w:p>
    <w:p>
      <w:pPr>
        <w:spacing w:before="156"/>
        <w:ind w:firstLine="420" w:firstLineChars="200"/>
        <w:rPr>
          <w:color w:val="auto"/>
          <w:highlight w:val="none"/>
        </w:rPr>
      </w:pPr>
      <w:r>
        <w:rPr>
          <w:rFonts w:hint="eastAsia"/>
          <w:color w:val="auto"/>
          <w:highlight w:val="none"/>
        </w:rPr>
        <w:t>本文件的牌号与相关国内外标准中化学成份完全相同牌号的对照，见表C.1。</w:t>
      </w:r>
    </w:p>
    <w:p>
      <w:pPr>
        <w:spacing w:before="156" w:after="156"/>
        <w:ind w:firstLine="420" w:firstLineChars="200"/>
        <w:jc w:val="center"/>
        <w:rPr>
          <w:rFonts w:hint="eastAsia" w:ascii="黑体" w:hAnsi="黑体" w:eastAsia="黑体"/>
          <w:color w:val="auto"/>
          <w:highlight w:val="none"/>
        </w:rPr>
      </w:pPr>
      <w:r>
        <w:rPr>
          <w:rFonts w:hint="eastAsia" w:ascii="黑体" w:hAnsi="黑体" w:eastAsia="黑体"/>
          <w:color w:val="auto"/>
          <w:highlight w:val="none"/>
        </w:rPr>
        <w:t>表C.1 国内外标准相应牌号的对照</w:t>
      </w:r>
    </w:p>
    <w:tbl>
      <w:tblPr>
        <w:tblStyle w:val="16"/>
        <w:tblW w:w="4999" w:type="pct"/>
        <w:tblInd w:w="0" w:type="dxa"/>
        <w:tblLayout w:type="autofit"/>
        <w:tblCellMar>
          <w:top w:w="0" w:type="dxa"/>
          <w:left w:w="0" w:type="dxa"/>
          <w:bottom w:w="0" w:type="dxa"/>
          <w:right w:w="0" w:type="dxa"/>
        </w:tblCellMar>
      </w:tblPr>
      <w:tblGrid>
        <w:gridCol w:w="4689"/>
        <w:gridCol w:w="4694"/>
      </w:tblGrid>
      <w:tr>
        <w:tblPrEx>
          <w:tblCellMar>
            <w:top w:w="0" w:type="dxa"/>
            <w:left w:w="0" w:type="dxa"/>
            <w:bottom w:w="0" w:type="dxa"/>
            <w:right w:w="0" w:type="dxa"/>
          </w:tblCellMar>
        </w:tblPrEx>
        <w:trPr>
          <w:trHeight w:val="90" w:hRule="atLeast"/>
        </w:trPr>
        <w:tc>
          <w:tcPr>
            <w:tcW w:w="2498" w:type="pct"/>
            <w:tcBorders>
              <w:top w:val="single" w:color="000000" w:sz="12" w:space="0"/>
              <w:left w:val="single" w:color="000000" w:sz="12" w:space="0"/>
              <w:bottom w:val="single" w:color="000000" w:sz="12"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6"/>
                <w:szCs w:val="16"/>
                <w:highlight w:val="none"/>
                <w:lang w:bidi="ar"/>
              </w:rPr>
            </w:pPr>
            <w:r>
              <w:rPr>
                <w:rFonts w:hint="eastAsia" w:ascii="宋体" w:hAnsi="宋体" w:cs="宋体"/>
                <w:color w:val="auto"/>
                <w:kern w:val="0"/>
                <w:sz w:val="16"/>
                <w:szCs w:val="16"/>
                <w:highlight w:val="none"/>
                <w:lang w:bidi="ar"/>
              </w:rPr>
              <w:t>本标准采用的牌号</w:t>
            </w:r>
          </w:p>
        </w:tc>
        <w:tc>
          <w:tcPr>
            <w:tcW w:w="2501" w:type="pct"/>
            <w:tcBorders>
              <w:top w:val="single" w:color="000000" w:sz="12" w:space="0"/>
              <w:left w:val="single" w:color="000000" w:sz="4" w:space="0"/>
              <w:bottom w:val="single" w:color="000000" w:sz="12"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ISO牌号</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NW2201</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N6</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N7</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NW2200</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DN</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NY1</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NY2</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sz w:val="16"/>
                <w:szCs w:val="16"/>
                <w:highlight w:val="none"/>
              </w:rPr>
              <w:t>NY3</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7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NCu40-2-1</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7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NCu28-2.5-1.5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7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NCu30</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NW4400</w:t>
            </w:r>
          </w:p>
        </w:tc>
      </w:tr>
      <w:tr>
        <w:tblPrEx>
          <w:tblCellMar>
            <w:top w:w="0" w:type="dxa"/>
            <w:left w:w="0" w:type="dxa"/>
            <w:bottom w:w="0" w:type="dxa"/>
            <w:right w:w="0" w:type="dxa"/>
          </w:tblCellMar>
        </w:tblPrEx>
        <w:trPr>
          <w:trHeight w:val="27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NCu30-LC</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NW4402</w:t>
            </w:r>
          </w:p>
        </w:tc>
      </w:tr>
      <w:tr>
        <w:tblPrEx>
          <w:tblCellMar>
            <w:top w:w="0" w:type="dxa"/>
            <w:left w:w="0" w:type="dxa"/>
            <w:bottom w:w="0" w:type="dxa"/>
            <w:right w:w="0" w:type="dxa"/>
          </w:tblCellMar>
        </w:tblPrEx>
        <w:trPr>
          <w:trHeight w:val="9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NCu30-3-0.5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NW5500</w:t>
            </w:r>
          </w:p>
        </w:tc>
      </w:tr>
      <w:tr>
        <w:tblPrEx>
          <w:tblCellMar>
            <w:top w:w="0" w:type="dxa"/>
            <w:left w:w="0" w:type="dxa"/>
            <w:bottom w:w="0" w:type="dxa"/>
            <w:right w:w="0" w:type="dxa"/>
          </w:tblCellMar>
        </w:tblPrEx>
        <w:trPr>
          <w:trHeight w:val="27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NMg0.1</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NSi0.19</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NMo28</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NW0665</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NMo30-5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NW0001</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NW4-0.15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NW4-0.1</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NW4-0.07</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NCr20-2-1.5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NW7080</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NCr20-0.5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NW6621</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NCr16-16</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NW6455</w:t>
            </w:r>
          </w:p>
        </w:tc>
      </w:tr>
      <w:tr>
        <w:tblPrEx>
          <w:tblCellMar>
            <w:top w:w="0" w:type="dxa"/>
            <w:left w:w="0" w:type="dxa"/>
            <w:bottom w:w="0" w:type="dxa"/>
            <w:right w:w="0" w:type="dxa"/>
          </w:tblCellMar>
        </w:tblPrEx>
        <w:trPr>
          <w:trHeight w:val="9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NMo16-15-6-4</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NW0276</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NCr22-9-3.5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NW6625</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NCo20-15-5-4</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NW3021</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-20-</w:t>
            </w:r>
            <w:r>
              <w:rPr>
                <w:rFonts w:hint="eastAsia" w:ascii="宋体" w:hAnsi="宋体" w:cs="宋体"/>
                <w:color w:val="auto"/>
                <w:kern w:val="0"/>
                <w:sz w:val="16"/>
                <w:szCs w:val="16"/>
                <w:highlight w:val="none"/>
                <w:lang w:bidi="ar"/>
              </w:rPr>
              <w:t>5</w:t>
            </w:r>
            <w:r>
              <w:rPr>
                <w:rFonts w:ascii="宋体" w:hAnsi="宋体" w:cs="宋体"/>
                <w:color w:val="auto"/>
                <w:kern w:val="0"/>
                <w:sz w:val="16"/>
                <w:szCs w:val="16"/>
                <w:highlight w:val="none"/>
                <w:lang w:bidi="ar"/>
              </w:rPr>
              <w:t>-2</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NW7263</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13</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4</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3</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NW7001</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NCr20</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18</w:t>
            </w:r>
            <w:r>
              <w:rPr>
                <w:rFonts w:ascii="宋体" w:hAnsi="宋体" w:cs="宋体"/>
                <w:color w:val="auto"/>
                <w:kern w:val="0"/>
                <w:sz w:val="16"/>
                <w:szCs w:val="16"/>
                <w:highlight w:val="none"/>
                <w:lang w:bidi="ar"/>
              </w:rPr>
              <w:t>-2.5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NW7090</w:t>
            </w:r>
          </w:p>
        </w:tc>
      </w:tr>
      <w:tr>
        <w:tblPrEx>
          <w:tblCellMar>
            <w:top w:w="0" w:type="dxa"/>
            <w:left w:w="0" w:type="dxa"/>
            <w:bottom w:w="0" w:type="dxa"/>
            <w:right w:w="0" w:type="dxa"/>
          </w:tblCellMar>
        </w:tblPrEx>
        <w:trPr>
          <w:trHeight w:val="9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NCr15-8</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NW6600</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NCr15</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8-LC</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NW6602</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NCr15</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7</w:t>
            </w:r>
            <w:r>
              <w:rPr>
                <w:rFonts w:ascii="宋体" w:hAnsi="宋体" w:cs="宋体"/>
                <w:color w:val="auto"/>
                <w:kern w:val="0"/>
                <w:sz w:val="16"/>
                <w:szCs w:val="16"/>
                <w:highlight w:val="none"/>
                <w:lang w:bidi="ar"/>
              </w:rPr>
              <w:t>-2.5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NW7750</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NCr21</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18</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9</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NW6002</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NCr23</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15</w:t>
            </w:r>
            <w:r>
              <w:rPr>
                <w:rFonts w:ascii="宋体" w:hAnsi="宋体" w:cs="宋体"/>
                <w:color w:val="auto"/>
                <w:kern w:val="0"/>
                <w:sz w:val="16"/>
                <w:szCs w:val="16"/>
                <w:highlight w:val="none"/>
                <w:lang w:bidi="ar"/>
              </w:rPr>
              <w:t>-1.5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NW6601</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NFe36</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12</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6</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3</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NW9911</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NCr19</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19</w:t>
            </w:r>
            <w:r>
              <w:rPr>
                <w:rFonts w:ascii="宋体" w:hAnsi="宋体" w:cs="宋体"/>
                <w:color w:val="auto"/>
                <w:kern w:val="0"/>
                <w:sz w:val="16"/>
                <w:szCs w:val="16"/>
                <w:highlight w:val="none"/>
                <w:lang w:bidi="ar"/>
              </w:rPr>
              <w:t>-</w:t>
            </w:r>
            <w:r>
              <w:rPr>
                <w:rFonts w:hint="eastAsia" w:ascii="宋体" w:hAnsi="宋体" w:cs="宋体"/>
                <w:color w:val="auto"/>
                <w:kern w:val="0"/>
                <w:sz w:val="16"/>
                <w:szCs w:val="16"/>
                <w:highlight w:val="none"/>
                <w:lang w:bidi="ar"/>
              </w:rPr>
              <w:t>5</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lang w:val="en-GB"/>
              </w:rPr>
            </w:pPr>
            <w:r>
              <w:rPr>
                <w:rFonts w:hint="eastAsia" w:ascii="宋体" w:hAnsi="宋体" w:cs="宋体"/>
                <w:color w:val="auto"/>
                <w:kern w:val="0"/>
                <w:sz w:val="16"/>
                <w:szCs w:val="16"/>
                <w:highlight w:val="none"/>
                <w:lang w:bidi="ar"/>
              </w:rPr>
              <w:t>NW7718</w:t>
            </w:r>
          </w:p>
        </w:tc>
      </w:tr>
      <w:tr>
        <w:tblPrEx>
          <w:tblCellMar>
            <w:top w:w="0" w:type="dxa"/>
            <w:left w:w="0" w:type="dxa"/>
            <w:bottom w:w="0" w:type="dxa"/>
            <w:right w:w="0" w:type="dxa"/>
          </w:tblCellMar>
        </w:tblPrEx>
        <w:trPr>
          <w:trHeight w:val="210" w:hRule="atLeast"/>
        </w:trPr>
        <w:tc>
          <w:tcPr>
            <w:tcW w:w="2498" w:type="pc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NFe</w:t>
            </w:r>
            <w:r>
              <w:rPr>
                <w:rFonts w:ascii="宋体" w:hAnsi="宋体" w:cs="宋体"/>
                <w:color w:val="auto"/>
                <w:kern w:val="0"/>
                <w:sz w:val="16"/>
                <w:szCs w:val="16"/>
                <w:highlight w:val="none"/>
                <w:lang w:bidi="ar"/>
              </w:rPr>
              <w:t>30-21-3</w:t>
            </w:r>
          </w:p>
        </w:tc>
        <w:tc>
          <w:tcPr>
            <w:tcW w:w="2501" w:type="pc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widowControl/>
              <w:jc w:val="center"/>
              <w:textAlignment w:val="center"/>
              <w:rPr>
                <w:rFonts w:hint="eastAsia" w:ascii="宋体" w:hAnsi="宋体" w:cs="宋体"/>
                <w:color w:val="auto"/>
                <w:sz w:val="16"/>
                <w:szCs w:val="16"/>
                <w:highlight w:val="none"/>
              </w:rPr>
            </w:pPr>
            <w:r>
              <w:rPr>
                <w:rFonts w:hint="eastAsia" w:ascii="宋体" w:hAnsi="宋体" w:cs="宋体"/>
                <w:color w:val="auto"/>
                <w:kern w:val="0"/>
                <w:sz w:val="16"/>
                <w:szCs w:val="16"/>
                <w:highlight w:val="none"/>
                <w:lang w:bidi="ar"/>
              </w:rPr>
              <w:t>NW8825</w:t>
            </w:r>
          </w:p>
        </w:tc>
      </w:tr>
    </w:tbl>
    <w:p>
      <w:pPr>
        <w:spacing w:before="156" w:after="156"/>
        <w:ind w:firstLine="420" w:firstLineChars="200"/>
        <w:jc w:val="center"/>
        <w:rPr>
          <w:rFonts w:hint="eastAsia" w:ascii="黑体" w:hAnsi="黑体" w:eastAsia="黑体"/>
          <w:color w:val="auto"/>
          <w:highlight w:val="none"/>
        </w:rPr>
      </w:pPr>
      <w:r>
        <w:rPr>
          <w:rFonts w:hint="eastAsia" w:ascii="黑体" w:hAnsi="黑体" w:eastAsia="黑体"/>
          <w:color w:val="auto"/>
          <w:highlight w:val="none"/>
        </w:rPr>
        <w:t>表</w:t>
      </w:r>
      <w:r>
        <w:rPr>
          <w:rFonts w:hint="eastAsia" w:ascii="黑体" w:hAnsi="黑体" w:eastAsia="黑体"/>
          <w:color w:val="auto"/>
          <w:highlight w:val="none"/>
          <w:lang w:val="en-US" w:eastAsia="zh-CN"/>
        </w:rPr>
        <w:t>C</w:t>
      </w:r>
      <w:r>
        <w:rPr>
          <w:rFonts w:hint="eastAsia" w:ascii="黑体" w:hAnsi="黑体" w:eastAsia="黑体"/>
          <w:color w:val="auto"/>
          <w:highlight w:val="none"/>
        </w:rPr>
        <w:t>.1 国内外标准相应牌号的对照</w:t>
      </w:r>
      <w:r>
        <w:rPr>
          <w:rFonts w:hint="eastAsia" w:ascii="宋体" w:hAnsi="宋体" w:eastAsia="宋体" w:cs="宋体"/>
          <w:color w:val="auto"/>
          <w:szCs w:val="21"/>
          <w:highlight w:val="none"/>
        </w:rPr>
        <w:t>（续）</w:t>
      </w:r>
    </w:p>
    <w:tbl>
      <w:tblPr>
        <w:tblStyle w:val="16"/>
        <w:tblW w:w="4999" w:type="pct"/>
        <w:tblInd w:w="0" w:type="dxa"/>
        <w:tblLayout w:type="autofit"/>
        <w:tblCellMar>
          <w:top w:w="0" w:type="dxa"/>
          <w:left w:w="0" w:type="dxa"/>
          <w:bottom w:w="0" w:type="dxa"/>
          <w:right w:w="0" w:type="dxa"/>
        </w:tblCellMar>
      </w:tblPr>
      <w:tblGrid>
        <w:gridCol w:w="4690"/>
        <w:gridCol w:w="4693"/>
      </w:tblGrid>
      <w:tr>
        <w:tblPrEx>
          <w:tblCellMar>
            <w:top w:w="0" w:type="dxa"/>
            <w:left w:w="0" w:type="dxa"/>
            <w:bottom w:w="0" w:type="dxa"/>
            <w:right w:w="0" w:type="dxa"/>
          </w:tblCellMar>
        </w:tblPrEx>
        <w:trPr>
          <w:trHeight w:val="210" w:hRule="atLeast"/>
        </w:trPr>
        <w:tc>
          <w:tcPr>
            <w:tcW w:w="2499" w:type="pct"/>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NS1101</w:t>
            </w:r>
          </w:p>
        </w:tc>
        <w:tc>
          <w:tcPr>
            <w:tcW w:w="2500"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NW8800</w:t>
            </w:r>
          </w:p>
        </w:tc>
      </w:tr>
      <w:tr>
        <w:tblPrEx>
          <w:tblCellMar>
            <w:top w:w="0" w:type="dxa"/>
            <w:left w:w="0" w:type="dxa"/>
            <w:bottom w:w="0" w:type="dxa"/>
            <w:right w:w="0" w:type="dxa"/>
          </w:tblCellMar>
        </w:tblPrEx>
        <w:trPr>
          <w:trHeight w:val="210" w:hRule="atLeast"/>
        </w:trPr>
        <w:tc>
          <w:tcPr>
            <w:tcW w:w="2499" w:type="pct"/>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NS1102</w:t>
            </w:r>
          </w:p>
        </w:tc>
        <w:tc>
          <w:tcPr>
            <w:tcW w:w="2500"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NW8810</w:t>
            </w:r>
          </w:p>
        </w:tc>
      </w:tr>
      <w:tr>
        <w:tblPrEx>
          <w:tblCellMar>
            <w:top w:w="0" w:type="dxa"/>
            <w:left w:w="0" w:type="dxa"/>
            <w:bottom w:w="0" w:type="dxa"/>
            <w:right w:w="0" w:type="dxa"/>
          </w:tblCellMar>
        </w:tblPrEx>
        <w:trPr>
          <w:trHeight w:val="210" w:hRule="atLeast"/>
        </w:trPr>
        <w:tc>
          <w:tcPr>
            <w:tcW w:w="2499" w:type="pct"/>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NS1104</w:t>
            </w:r>
          </w:p>
        </w:tc>
        <w:tc>
          <w:tcPr>
            <w:tcW w:w="2500"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NW8811</w:t>
            </w:r>
          </w:p>
        </w:tc>
      </w:tr>
      <w:tr>
        <w:tblPrEx>
          <w:tblCellMar>
            <w:top w:w="0" w:type="dxa"/>
            <w:left w:w="0" w:type="dxa"/>
            <w:bottom w:w="0" w:type="dxa"/>
            <w:right w:w="0" w:type="dxa"/>
          </w:tblCellMar>
        </w:tblPrEx>
        <w:trPr>
          <w:trHeight w:val="210" w:hRule="atLeast"/>
        </w:trPr>
        <w:tc>
          <w:tcPr>
            <w:tcW w:w="2499" w:type="pct"/>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NS1403</w:t>
            </w:r>
          </w:p>
        </w:tc>
        <w:tc>
          <w:tcPr>
            <w:tcW w:w="2500"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cs="宋体"/>
                <w:color w:val="auto"/>
                <w:kern w:val="0"/>
                <w:sz w:val="16"/>
                <w:szCs w:val="16"/>
                <w:highlight w:val="none"/>
                <w:lang w:bidi="ar"/>
              </w:rPr>
            </w:pPr>
            <w:r>
              <w:rPr>
                <w:rFonts w:hint="eastAsia" w:ascii="宋体" w:hAnsi="宋体"/>
                <w:color w:val="auto"/>
                <w:sz w:val="18"/>
                <w:szCs w:val="18"/>
                <w:highlight w:val="none"/>
              </w:rPr>
              <w:t>NW8020</w:t>
            </w:r>
          </w:p>
        </w:tc>
      </w:tr>
      <w:tr>
        <w:tblPrEx>
          <w:tblCellMar>
            <w:top w:w="0" w:type="dxa"/>
            <w:left w:w="0" w:type="dxa"/>
            <w:bottom w:w="0" w:type="dxa"/>
            <w:right w:w="0" w:type="dxa"/>
          </w:tblCellMar>
        </w:tblPrEx>
        <w:trPr>
          <w:trHeight w:val="210" w:hRule="atLeast"/>
        </w:trPr>
        <w:tc>
          <w:tcPr>
            <w:tcW w:w="2499" w:type="pct"/>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eastAsia="宋体" w:cs="宋体"/>
                <w:color w:val="auto"/>
                <w:kern w:val="0"/>
                <w:sz w:val="16"/>
                <w:szCs w:val="16"/>
                <w:highlight w:val="none"/>
                <w:lang w:val="en-US" w:eastAsia="zh-CN" w:bidi="ar"/>
              </w:rPr>
            </w:pPr>
            <w:r>
              <w:rPr>
                <w:rFonts w:hint="eastAsia" w:ascii="宋体" w:hAnsi="宋体"/>
                <w:color w:val="auto"/>
                <w:sz w:val="18"/>
                <w:szCs w:val="18"/>
                <w:highlight w:val="none"/>
              </w:rPr>
              <w:t>FeNi32Cr21Ti</w:t>
            </w:r>
          </w:p>
        </w:tc>
        <w:tc>
          <w:tcPr>
            <w:tcW w:w="2500"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eastAsia="宋体" w:cs="宋体"/>
                <w:color w:val="auto"/>
                <w:kern w:val="0"/>
                <w:sz w:val="16"/>
                <w:szCs w:val="16"/>
                <w:highlight w:val="none"/>
                <w:lang w:val="en-US" w:eastAsia="zh-CN" w:bidi="ar"/>
              </w:rPr>
            </w:pPr>
            <w:r>
              <w:rPr>
                <w:rFonts w:hint="eastAsia" w:ascii="宋体" w:hAnsi="宋体"/>
                <w:color w:val="auto"/>
                <w:sz w:val="18"/>
                <w:szCs w:val="18"/>
                <w:highlight w:val="none"/>
              </w:rPr>
              <w:t>NW8801</w:t>
            </w:r>
          </w:p>
        </w:tc>
      </w:tr>
      <w:tr>
        <w:tblPrEx>
          <w:tblCellMar>
            <w:top w:w="0" w:type="dxa"/>
            <w:left w:w="0" w:type="dxa"/>
            <w:bottom w:w="0" w:type="dxa"/>
            <w:right w:w="0" w:type="dxa"/>
          </w:tblCellMar>
        </w:tblPrEx>
        <w:trPr>
          <w:trHeight w:val="90" w:hRule="atLeast"/>
        </w:trPr>
        <w:tc>
          <w:tcPr>
            <w:tcW w:w="2499" w:type="pct"/>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default" w:ascii="宋体" w:hAnsi="宋体" w:eastAsia="宋体"/>
                <w:color w:val="0000FF"/>
                <w:sz w:val="18"/>
                <w:szCs w:val="18"/>
                <w:highlight w:val="none"/>
                <w:lang w:val="en-US" w:eastAsia="zh-CN"/>
              </w:rPr>
            </w:pPr>
            <w:r>
              <w:rPr>
                <w:rFonts w:hint="eastAsia" w:ascii="宋体" w:hAnsi="宋体"/>
                <w:color w:val="0000FF"/>
                <w:sz w:val="18"/>
                <w:szCs w:val="18"/>
                <w:highlight w:val="none"/>
                <w:lang w:val="en-US" w:eastAsia="zh-CN"/>
              </w:rPr>
              <w:t>NS3313</w:t>
            </w:r>
          </w:p>
        </w:tc>
        <w:tc>
          <w:tcPr>
            <w:tcW w:w="2500"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color w:val="0000FF"/>
                <w:sz w:val="18"/>
                <w:szCs w:val="18"/>
                <w:highlight w:val="none"/>
              </w:rPr>
            </w:pPr>
            <w:r>
              <w:rPr>
                <w:rFonts w:hint="eastAsia" w:ascii="宋体" w:hAnsi="宋体"/>
                <w:color w:val="0000FF"/>
                <w:sz w:val="18"/>
                <w:szCs w:val="18"/>
                <w:highlight w:val="none"/>
                <w:lang w:val="en-US" w:eastAsia="zh-CN"/>
              </w:rPr>
              <w:t>N06230</w:t>
            </w:r>
          </w:p>
        </w:tc>
      </w:tr>
      <w:tr>
        <w:tblPrEx>
          <w:tblCellMar>
            <w:top w:w="0" w:type="dxa"/>
            <w:left w:w="0" w:type="dxa"/>
            <w:bottom w:w="0" w:type="dxa"/>
            <w:right w:w="0" w:type="dxa"/>
          </w:tblCellMar>
        </w:tblPrEx>
        <w:trPr>
          <w:trHeight w:val="210" w:hRule="atLeast"/>
        </w:trPr>
        <w:tc>
          <w:tcPr>
            <w:tcW w:w="2499" w:type="pct"/>
            <w:tcBorders>
              <w:top w:val="single" w:color="000000" w:sz="8" w:space="0"/>
              <w:left w:val="single" w:color="000000" w:sz="12" w:space="0"/>
              <w:bottom w:val="single" w:color="000000" w:sz="8" w:space="0"/>
              <w:right w:val="single" w:color="000000" w:sz="8" w:space="0"/>
            </w:tcBorders>
            <w:tcMar>
              <w:top w:w="15" w:type="dxa"/>
              <w:left w:w="15" w:type="dxa"/>
              <w:right w:w="15" w:type="dxa"/>
            </w:tcMar>
            <w:vAlign w:val="center"/>
          </w:tcPr>
          <w:p>
            <w:pPr>
              <w:jc w:val="center"/>
              <w:rPr>
                <w:rFonts w:hint="eastAsia" w:ascii="宋体" w:hAnsi="宋体"/>
                <w:color w:val="0000FF"/>
                <w:sz w:val="18"/>
                <w:szCs w:val="18"/>
                <w:highlight w:val="none"/>
              </w:rPr>
            </w:pPr>
            <w:r>
              <w:rPr>
                <w:rFonts w:hint="eastAsia" w:ascii="宋体" w:hAnsi="宋体"/>
                <w:color w:val="0000FF"/>
                <w:sz w:val="18"/>
                <w:szCs w:val="18"/>
                <w:highlight w:val="none"/>
              </w:rPr>
              <w:t>NS3</w:t>
            </w:r>
            <w:r>
              <w:rPr>
                <w:rFonts w:hint="eastAsia" w:ascii="宋体" w:hAnsi="宋体"/>
                <w:color w:val="0000FF"/>
                <w:sz w:val="18"/>
                <w:szCs w:val="18"/>
                <w:highlight w:val="none"/>
                <w:lang w:val="en-US" w:eastAsia="zh-CN"/>
              </w:rPr>
              <w:t>4</w:t>
            </w:r>
            <w:r>
              <w:rPr>
                <w:rFonts w:hint="eastAsia" w:ascii="宋体" w:hAnsi="宋体"/>
                <w:color w:val="0000FF"/>
                <w:sz w:val="18"/>
                <w:szCs w:val="18"/>
                <w:highlight w:val="none"/>
              </w:rPr>
              <w:t>05</w:t>
            </w:r>
          </w:p>
        </w:tc>
        <w:tc>
          <w:tcPr>
            <w:tcW w:w="2500" w:type="pct"/>
            <w:tcBorders>
              <w:top w:val="single" w:color="000000" w:sz="8" w:space="0"/>
              <w:left w:val="single" w:color="000000" w:sz="8" w:space="0"/>
              <w:bottom w:val="single" w:color="000000" w:sz="8" w:space="0"/>
              <w:right w:val="single" w:color="000000" w:sz="12" w:space="0"/>
            </w:tcBorders>
            <w:tcMar>
              <w:top w:w="15" w:type="dxa"/>
              <w:left w:w="15" w:type="dxa"/>
              <w:right w:w="15" w:type="dxa"/>
            </w:tcMar>
            <w:vAlign w:val="center"/>
          </w:tcPr>
          <w:p>
            <w:pPr>
              <w:jc w:val="center"/>
              <w:rPr>
                <w:rFonts w:hint="eastAsia" w:ascii="宋体" w:hAnsi="宋体" w:eastAsia="宋体"/>
                <w:color w:val="0000FF"/>
                <w:sz w:val="18"/>
                <w:szCs w:val="18"/>
                <w:highlight w:val="none"/>
                <w:lang w:eastAsia="zh-CN"/>
              </w:rPr>
            </w:pPr>
            <w:r>
              <w:rPr>
                <w:rFonts w:hint="eastAsia" w:ascii="宋体" w:hAnsi="宋体"/>
                <w:color w:val="0000FF"/>
                <w:sz w:val="18"/>
                <w:szCs w:val="18"/>
                <w:highlight w:val="none"/>
                <w:lang w:val="en-US" w:eastAsia="zh-CN"/>
              </w:rPr>
              <w:t>NO6200</w:t>
            </w:r>
          </w:p>
        </w:tc>
      </w:tr>
      <w:tr>
        <w:tblPrEx>
          <w:tblCellMar>
            <w:top w:w="0" w:type="dxa"/>
            <w:left w:w="0" w:type="dxa"/>
            <w:bottom w:w="0" w:type="dxa"/>
            <w:right w:w="0" w:type="dxa"/>
          </w:tblCellMar>
        </w:tblPrEx>
        <w:trPr>
          <w:trHeight w:val="210" w:hRule="atLeast"/>
        </w:trPr>
        <w:tc>
          <w:tcPr>
            <w:tcW w:w="2499" w:type="pct"/>
            <w:tcBorders>
              <w:top w:val="single" w:color="000000" w:sz="8" w:space="0"/>
              <w:left w:val="single" w:color="000000" w:sz="12" w:space="0"/>
              <w:bottom w:val="single" w:color="000000" w:sz="12" w:space="0"/>
              <w:right w:val="single" w:color="000000" w:sz="8" w:space="0"/>
            </w:tcBorders>
            <w:tcMar>
              <w:top w:w="15" w:type="dxa"/>
              <w:left w:w="15" w:type="dxa"/>
              <w:right w:w="15" w:type="dxa"/>
            </w:tcMar>
            <w:vAlign w:val="center"/>
          </w:tcPr>
          <w:p>
            <w:pPr>
              <w:jc w:val="center"/>
              <w:rPr>
                <w:rFonts w:hint="default" w:ascii="宋体" w:hAnsi="宋体" w:eastAsia="宋体"/>
                <w:color w:val="0000FF"/>
                <w:sz w:val="18"/>
                <w:szCs w:val="18"/>
                <w:highlight w:val="none"/>
                <w:lang w:val="en-US" w:eastAsia="zh-CN"/>
              </w:rPr>
            </w:pPr>
            <w:r>
              <w:rPr>
                <w:rFonts w:hint="eastAsia" w:ascii="宋体" w:hAnsi="宋体"/>
                <w:color w:val="0000FF"/>
                <w:sz w:val="18"/>
                <w:szCs w:val="18"/>
                <w:highlight w:val="none"/>
                <w:lang w:val="en-US" w:eastAsia="zh-CN"/>
              </w:rPr>
              <w:t>NS1502</w:t>
            </w:r>
          </w:p>
        </w:tc>
        <w:tc>
          <w:tcPr>
            <w:tcW w:w="2500" w:type="pct"/>
            <w:tcBorders>
              <w:top w:val="single" w:color="000000" w:sz="8" w:space="0"/>
              <w:left w:val="single" w:color="000000" w:sz="8" w:space="0"/>
              <w:bottom w:val="single" w:color="000000" w:sz="12" w:space="0"/>
              <w:right w:val="single" w:color="000000" w:sz="12" w:space="0"/>
            </w:tcBorders>
            <w:tcMar>
              <w:top w:w="15" w:type="dxa"/>
              <w:left w:w="15" w:type="dxa"/>
              <w:right w:w="15" w:type="dxa"/>
            </w:tcMar>
            <w:vAlign w:val="center"/>
          </w:tcPr>
          <w:p>
            <w:pPr>
              <w:jc w:val="center"/>
              <w:rPr>
                <w:rFonts w:hint="eastAsia" w:ascii="宋体" w:hAnsi="宋体"/>
                <w:color w:val="0000FF"/>
                <w:sz w:val="18"/>
                <w:szCs w:val="18"/>
                <w:highlight w:val="none"/>
              </w:rPr>
            </w:pPr>
            <w:r>
              <w:rPr>
                <w:rFonts w:hint="eastAsia" w:ascii="宋体" w:hAnsi="宋体"/>
                <w:color w:val="0000FF"/>
                <w:sz w:val="18"/>
                <w:szCs w:val="18"/>
                <w:highlight w:val="none"/>
                <w:lang w:eastAsia="zh-CN"/>
              </w:rPr>
              <w:t>N08120</w:t>
            </w:r>
          </w:p>
        </w:tc>
      </w:tr>
    </w:tbl>
    <w:p>
      <w:pPr>
        <w:spacing w:line="360" w:lineRule="auto"/>
        <w:rPr>
          <w:rFonts w:hint="eastAsia" w:ascii="宋体" w:hAnsi="宋体"/>
          <w:color w:val="auto"/>
          <w:highlight w:val="none"/>
          <w:u w:val="single"/>
        </w:rPr>
      </w:pPr>
      <w:r>
        <w:rPr>
          <w:color w:val="auto"/>
          <w:highlight w:val="none"/>
        </w:rPr>
        <mc:AlternateContent>
          <mc:Choice Requires="wps">
            <w:drawing>
              <wp:anchor distT="0" distB="0" distL="114300" distR="114300" simplePos="0" relativeHeight="251672576" behindDoc="0" locked="0" layoutInCell="1" allowOverlap="1">
                <wp:simplePos x="0" y="0"/>
                <wp:positionH relativeFrom="column">
                  <wp:posOffset>2279650</wp:posOffset>
                </wp:positionH>
                <wp:positionV relativeFrom="paragraph">
                  <wp:posOffset>495935</wp:posOffset>
                </wp:positionV>
                <wp:extent cx="1619250" cy="635"/>
                <wp:effectExtent l="0" t="0" r="0" b="0"/>
                <wp:wrapNone/>
                <wp:docPr id="14" name="直线 48"/>
                <wp:cNvGraphicFramePr/>
                <a:graphic xmlns:a="http://schemas.openxmlformats.org/drawingml/2006/main">
                  <a:graphicData uri="http://schemas.microsoft.com/office/word/2010/wordprocessingShape">
                    <wps:wsp>
                      <wps:cNvCnPr/>
                      <wps:spPr>
                        <a:xfrm>
                          <a:off x="0" y="0"/>
                          <a:ext cx="161925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8" o:spid="_x0000_s1026" o:spt="20" style="position:absolute;left:0pt;margin-left:179.5pt;margin-top:39.05pt;height:0.05pt;width:127.5pt;z-index:251672576;mso-width-relative:page;mso-height-relative:page;" filled="f" stroked="t" coordsize="21600,21600" o:gfxdata="UEsDBAoAAAAAAIdO4kAAAAAAAAAAAAAAAAAEAAAAZHJzL1BLAwQUAAAACACHTuJAFbTeJtcAAAAJ&#10;AQAADwAAAGRycy9kb3ducmV2LnhtbE2PvU7DQBCEeyTe4bRINFFytgMhGJ9TAO5oCEG0G99iW/j2&#10;HN/lB56eTQXlzo5mvilWJ9erA42h82wgnSWgiGtvO24MbN6q6RJUiMgWe89k4JsCrMrLiwJz64/8&#10;Sod1bJSEcMjRQBvjkGsd6pYchpkfiOX36UeHUc6x0XbEo4S7XmdJstAOO5aGFgd6bKn+Wu+dgVC9&#10;0676mdST5GPeeMp2Ty/PaMz1VZo8gIp0in9mOOMLOpTCtPV7tkH1Bua397IlGrhbpqDEsEhvRNie&#10;hQx0Wej/C8pfUEsDBBQAAAAIAIdO4kAmjnor4wEAANMDAAAOAAAAZHJzL2Uyb0RvYy54bWytU0tu&#10;2zAQ3RfoHQjua9lObCSC5SzippuiNdD2AGOSsgjwBw5j2WfpNbrqpsfJNTqkVKdNN15EC2o4nHmc&#10;92a4ujtaww4qovau4bPJlDPlhJfa7Rv+7evDuxvOMIGTYLxTDT8p5Hfrt29WfajV3HfeSBUZgTis&#10;+9DwLqVQVxWKTlnAiQ/K0WHro4VE27ivZISe0K2p5tPpsup9lCF6oRDJuxkO+YgYLwH0bauF2njx&#10;aJVLA2pUBhJRwk4H5OtSbdsqkT63LarETMOJaSorXUL2Lq/VegX1PkLotBhLgEtKeMHJgnZ06Rlq&#10;AwnYY9T/QVktokffponwthqIFEWIxWz6QpsvHQRVuJDUGM6i4+vBik+HbWRa0iRcc+bAUsefvv94&#10;+vmLXd9kdfqANQXdu20cdxi2MVM9ttHmP5Fgx6Lo6ayoOiYmyDlbzm7nCxJb0NnyapERq+fUEDF9&#10;UN6ybDTcaJfpQg2Hj5iG0D8h2W0c6xt+u5gvCBBo9lrqOZk2UP3o9iUXvdHyQRuTMzDud/cmsgPk&#10;/pdvLOGfsHzJBrAb4spRDoO6UyDfO8nSKZAwjh4EzyVYJTkzit5PtkpkAm0uiST2xpEIWddByWzt&#10;vDwVgYufel1kGucyD9Pf+5L9/BbX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VtN4m1wAAAAkB&#10;AAAPAAAAAAAAAAEAIAAAACIAAABkcnMvZG93bnJldi54bWxQSwECFAAUAAAACACHTuJAJo56K+MB&#10;AADTAwAADgAAAAAAAAABACAAAAAmAQAAZHJzL2Uyb0RvYy54bWxQSwUGAAAAAAYABgBZAQAAewUA&#10;AAAA&#10;">
                <v:fill on="f" focussize="0,0"/>
                <v:stroke color="#000000" joinstyle="round"/>
                <v:imagedata o:title=""/>
                <o:lock v:ext="edit" aspectratio="f"/>
              </v:line>
            </w:pict>
          </mc:Fallback>
        </mc:AlternateContent>
      </w:r>
    </w:p>
    <w:sectPr>
      <w:pgSz w:w="11907" w:h="16839"/>
      <w:pgMar w:top="1418" w:right="1134" w:bottom="1418" w:left="1418" w:header="720" w:footer="720" w:gutter="0"/>
      <w:pgBorders>
        <w:top w:val="none" w:sz="0" w:space="0"/>
        <w:left w:val="none" w:sz="0" w:space="0"/>
        <w:bottom w:val="none" w:sz="0" w:space="0"/>
        <w:right w:val="none" w:sz="0" w:space="0"/>
      </w:pgBorders>
      <w:cols w:space="720" w:num="1"/>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Mincho">
    <w:altName w:val="MS UI Gothic"/>
    <w:panose1 w:val="02020600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Style w:val="19"/>
                            </w:rPr>
                          </w:pPr>
                          <w:r>
                            <w:rPr>
                              <w:rStyle w:val="19"/>
                            </w:rPr>
                            <w:fldChar w:fldCharType="begin"/>
                          </w:r>
                          <w:r>
                            <w:rPr>
                              <w:rStyle w:val="19"/>
                            </w:rPr>
                            <w:instrText xml:space="preserve">PAGE  </w:instrText>
                          </w:r>
                          <w:r>
                            <w:rPr>
                              <w:rStyle w:val="19"/>
                            </w:rPr>
                            <w:fldChar w:fldCharType="separate"/>
                          </w:r>
                          <w:r>
                            <w:rPr>
                              <w:rStyle w:val="19"/>
                            </w:rPr>
                            <w:t>I</w:t>
                          </w:r>
                          <w:r>
                            <w:rPr>
                              <w:rStyle w:val="19"/>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hA6wsIBAACO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uAnXlDhuceLnnz/Ov/6cf38n&#10;b7M+fYAa0+4DJqbhnR8wd/YDOjPtQUWbv0iIYBzVPV3UlUMiIj9aLVerCkMCY/MF8dnD8xAhvZfe&#10;kmw0NOL4iqr8+BHSmDqn5GrO32ljygiN+8eBmNnDcu9jj9lKw26YCO18e0I+PU6+oQ4XnRLzwaGw&#10;eUlmI87GbjJyDQi3h4SFSz8ZdYSaiuGYCqNppfIePL6XrIffaPM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4QOsLCAQAAjgMAAA4AAAAAAAAAAQAgAAAAHgEAAGRycy9lMm9Eb2MueG1sUEsF&#10;BgAAAAAGAAYAWQEAAFIFAAAAAA==&#10;">
              <v:fill on="f" focussize="0,0"/>
              <v:stroke on="f"/>
              <v:imagedata o:title=""/>
              <o:lock v:ext="edit" aspectratio="f"/>
              <v:textbox inset="0mm,0mm,0mm,0mm" style="mso-fit-shape-to-text:t;">
                <w:txbxContent>
                  <w:p>
                    <w:pPr>
                      <w:pStyle w:val="11"/>
                      <w:rPr>
                        <w:rStyle w:val="19"/>
                      </w:rPr>
                    </w:pPr>
                    <w:r>
                      <w:rPr>
                        <w:rStyle w:val="19"/>
                      </w:rPr>
                      <w:fldChar w:fldCharType="begin"/>
                    </w:r>
                    <w:r>
                      <w:rPr>
                        <w:rStyle w:val="19"/>
                      </w:rPr>
                      <w:instrText xml:space="preserve">PAGE  </w:instrText>
                    </w:r>
                    <w:r>
                      <w:rPr>
                        <w:rStyle w:val="19"/>
                      </w:rPr>
                      <w:fldChar w:fldCharType="separate"/>
                    </w:r>
                    <w:r>
                      <w:rPr>
                        <w:rStyle w:val="19"/>
                      </w:rPr>
                      <w:t>I</w:t>
                    </w:r>
                    <w:r>
                      <w:rPr>
                        <w:rStyle w:val="19"/>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firstLine="360"/>
      <w:rPr>
        <w:rStyle w:val="19"/>
      </w:rPr>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Style w:val="19"/>
                            </w:rPr>
                          </w:pPr>
                          <w:r>
                            <w:rPr>
                              <w:rStyle w:val="19"/>
                            </w:rPr>
                            <w:fldChar w:fldCharType="begin"/>
                          </w:r>
                          <w:r>
                            <w:rPr>
                              <w:rStyle w:val="19"/>
                            </w:rPr>
                            <w:instrText xml:space="preserve">PAGE  </w:instrText>
                          </w:r>
                          <w:r>
                            <w:rPr>
                              <w:rStyle w:val="19"/>
                            </w:rPr>
                            <w:fldChar w:fldCharType="separate"/>
                          </w:r>
                          <w:r>
                            <w:rPr>
                              <w:rStyle w:val="19"/>
                            </w:rPr>
                            <w:t>6</w:t>
                          </w:r>
                          <w:r>
                            <w:rPr>
                              <w:rStyle w:val="19"/>
                            </w:rP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U21+sIBAACOAwAADgAAAGRycy9lMm9Eb2MueG1srVPNjtMwEL4j8Q6W&#10;79TZSkA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SLm/CWEsctTvz888f515/z7+/k&#10;ddanD1Bj2m3AxDS89wPmzn5AZ6Y9qGjzFwkRjKO6p4u6ckhE5Eer5WpVYUhgbL4gPrt/HiKkD9Jb&#10;ko2GRhxfUZUfP0EaU+eUXM35G21MGaFx/zkQM3tY7n3sMVtp2A0ToZ1vT8inx8k31OGiU2I+OhQ2&#10;L8lsxNnYTUauAeHdIWHh0k9GHaGmYjimwmhaqbwH/95L1v1v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CFNtfrCAQAAjgMAAA4AAAAAAAAAAQAgAAAAHgEAAGRycy9lMm9Eb2MueG1sUEsF&#10;BgAAAAAGAAYAWQEAAFIFAAAAAA==&#10;">
              <v:fill on="f" focussize="0,0"/>
              <v:stroke on="f"/>
              <v:imagedata o:title=""/>
              <o:lock v:ext="edit" aspectratio="f"/>
              <v:textbox inset="0mm,0mm,0mm,0mm" style="mso-fit-shape-to-text:t;">
                <w:txbxContent>
                  <w:p>
                    <w:pPr>
                      <w:pStyle w:val="11"/>
                      <w:rPr>
                        <w:rStyle w:val="19"/>
                      </w:rPr>
                    </w:pPr>
                    <w:r>
                      <w:rPr>
                        <w:rStyle w:val="19"/>
                      </w:rPr>
                      <w:fldChar w:fldCharType="begin"/>
                    </w:r>
                    <w:r>
                      <w:rPr>
                        <w:rStyle w:val="19"/>
                      </w:rPr>
                      <w:instrText xml:space="preserve">PAGE  </w:instrText>
                    </w:r>
                    <w:r>
                      <w:rPr>
                        <w:rStyle w:val="19"/>
                      </w:rPr>
                      <w:fldChar w:fldCharType="separate"/>
                    </w:r>
                    <w:r>
                      <w:rPr>
                        <w:rStyle w:val="19"/>
                      </w:rPr>
                      <w:t>6</w:t>
                    </w:r>
                    <w:r>
                      <w:rPr>
                        <w:rStyle w:val="19"/>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4"/>
      <w:rPr>
        <w:rStyle w:val="19"/>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4"/>
                          </w:pPr>
                          <w:r>
                            <w:fldChar w:fldCharType="begin"/>
                          </w:r>
                          <w:r>
                            <w:rPr>
                              <w:rStyle w:val="19"/>
                            </w:rPr>
                            <w:instrText xml:space="preserve">PAGE  </w:instrText>
                          </w:r>
                          <w:r>
                            <w:fldChar w:fldCharType="separate"/>
                          </w:r>
                          <w:r>
                            <w:rPr>
                              <w:rStyle w:val="19"/>
                            </w:rPr>
                            <w:t>III</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aF60tYBAACzAwAADgAAAGRycy9lMm9Eb2MueG1srVNBrtMwEN0jcQfL&#10;e5q0EqiKmn4B1UdICJA+HMB1nMaS7bHsaZNyALgBKzbsOVfPwdhJ+uGz+Qs2yXhm/Oa9mfHmZrCG&#10;nVSIGlzNl4uSM+UkNNodav750+2zNWcRhWuEAadqflaR32yfPtn0vlIr6MA0KjACcbHqfc07RF8V&#10;RZSdsiIuwCtHwRaCFUjHcCiaIHpCt6ZYleWLoofQ+ABSxUje3RjkE2J4DCC0rZZqB/JolcMRNSgj&#10;kCTFTvvIt5lt2yqJH9o2KmSm5qQU85eKkL1P32K7EdUhCN9pOVEQj6HwQJMV2lHRK9ROoGDHoP+B&#10;sloGiNDiQoItRiG5I6RiWT7ozV0nvMpaqNXRX5se/x+sfH/6GJhuaBOec+aEpYlfvn+7/Ph1+fmV&#10;LVN/eh8rSrvzlIjDKxgod/ZHcibZQxts+pMgRnHq7vnaXTUgk+nSerVelxSSFJsPhF/cX/ch4hsF&#10;liWj5oHGl7sqTu8ijqlzSqrm4FYbk0do3F8OwkyeInEfOSYLh/0wCdpDcyY99A6oTgfhC2c9bUHN&#10;HS09Z+atoyanhZmNMBv72RBO0sWaI2ej+RrzYiUi0b88IrHLpFPpsd7EiGaZZU97l5blz3POun9r&#10;2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jaF60tYBAACzAwAADgAAAAAAAAABACAAAAAe&#10;AQAAZHJzL2Uyb0RvYy54bWxQSwUGAAAAAAYABgBZAQAAZgUAAAAA&#10;">
              <v:fill on="f" focussize="0,0"/>
              <v:stroke on="f"/>
              <v:imagedata o:title=""/>
              <o:lock v:ext="edit" aspectratio="f"/>
              <v:textbox inset="0mm,0mm,0mm,0mm" style="mso-fit-shape-to-text:t;">
                <w:txbxContent>
                  <w:p>
                    <w:pPr>
                      <w:pStyle w:val="44"/>
                    </w:pPr>
                    <w:r>
                      <w:fldChar w:fldCharType="begin"/>
                    </w:r>
                    <w:r>
                      <w:rPr>
                        <w:rStyle w:val="19"/>
                      </w:rPr>
                      <w:instrText xml:space="preserve">PAGE  </w:instrText>
                    </w:r>
                    <w:r>
                      <w:fldChar w:fldCharType="separate"/>
                    </w:r>
                    <w:r>
                      <w:rPr>
                        <w:rStyle w:val="19"/>
                      </w:rPr>
                      <w:t>III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fldChar w:fldCharType="begin"/>
                          </w:r>
                          <w:r>
                            <w:instrText xml:space="preserve"> PAGE  \* MERGEFORMAT </w:instrText>
                          </w:r>
                          <w:r>
                            <w:fldChar w:fldCharType="separate"/>
                          </w:r>
                          <w:r>
                            <w:t>II</w:t>
                          </w:r>
                          <w:r>
                            <w:fldChar w:fldCharType="end"/>
                          </w:r>
                        </w:p>
                      </w:txbxContent>
                    </wps:txbx>
                    <wps:bodyPr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Wcy/tcBAACzAwAADgAAAGRycy9lMm9Eb2MueG1srVPBjtMwEL0j8Q+W&#10;7zTZHlZV1HQFW+0KCQHSwge4jtNYsj2Wx21SPgD+gBMX7nxXv4Oxk3RhueyBSzKeGb95b2a8vhms&#10;YUcVUIOr+dWi5Ew5CY12+5p//nT3asUZRuEaYcCpmp8U8pvNyxfr3ldqCR2YRgVGIA6r3te8i9FX&#10;RYGyU1bgArxyFGwhWBHpGPZFE0RP6NYUy7K8LnoIjQ8gFSJ5t2OQT4jhOYDQtlqqLciDVS6OqEEZ&#10;EUkSdtoj32S2batk/NC2qCIzNSelMX+pCNm79C02a1Htg/CdlhMF8RwKTzRZoR0VvUBtRRTsEPQ/&#10;UFbLAAhtXEiwxSgkd4RUXJVPevPQCa+yFmo1+kvT8f/ByvfHj4HphjaB5u6EpYmfv387//h1/vmV&#10;Xaf+9B4rSnvwlBiHNzBQ7uxHcibZQxts+pMgRnHq7unSXTVEJtOl1XK1KikkKTYfCL94vO4DxnsF&#10;liWj5oHGl7sqju8wjqlzSqrm4E4bk0do3F8OwkyeInEfOSYrDrthErSD5kR66B1QnQ7CF8562oKa&#10;O1p6zsxbR01OCzMbYTZ2syGcpIs1j5yN5m3Mi5WIoH99iMQuk06lx3oTI5pllj3tXVqWP8856/Gt&#10;bX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1nMv7XAQAAswMAAA4AAAAAAAAAAQAgAAAA&#10;HgEAAGRycy9lMm9Eb2MueG1sUEsFBgAAAAAGAAYAWQEAAGcFA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9540" w:hanging="9540" w:hangingChars="5300"/>
      <w:jc w:val="center"/>
      <w:rPr>
        <w:rStyle w:val="19"/>
      </w:rPr>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fldChar w:fldCharType="begin"/>
                          </w:r>
                          <w:r>
                            <w:instrText xml:space="preserve"> PAGE  \* MERGEFORMAT </w:instrText>
                          </w:r>
                          <w:r>
                            <w:fldChar w:fldCharType="separate"/>
                          </w:r>
                          <w:r>
                            <w:t>III</w:t>
                          </w:r>
                          <w:r>
                            <w:fldChar w:fldCharType="end"/>
                          </w:r>
                        </w:p>
                      </w:txbxContent>
                    </wps:txbx>
                    <wps:bodyPr vert="horz" wrap="none" lIns="0" tIns="0" rIns="0" bIns="0" anchor="t" anchorCtr="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jQwUtcBAACzAwAADgAAAGRycy9lMm9Eb2MueG1srVPBjtMwEL0j8Q+W&#10;7zTZHqBETVdAtQgJAdLCB7iO01iyPZY9bVI+AP6AExfufFe/Y8dO0oXlsgcuyXhm/Oa9mfH6erCG&#10;HVWIGlzNrxYlZ8pJaLTb1/zL55tnK84iCtcIA07V/KQiv948fbLufaWW0IFpVGAE4mLV+5p3iL4q&#10;iig7ZUVcgFeOgi0EK5COYV80QfSEbk2xLMvnRQ+h8QGkipG82zHIJ8TwGEBoWy3VFuTBKocjalBG&#10;IEmKnfaRbzLbtlUSP7ZtVMhMzUkp5i8VIXuXvsVmLap9EL7TcqIgHkPhgSYrtKOiF6itQMEOQf8D&#10;ZbUMEKHFhQRbjEJyR0jFVfmgN7ed8CproVZHf2l6/H+w8sPxU2C6oU14yZkTliZ+/vH9/PP3+dc3&#10;9iL1p/exorRbT4k4vIaBcmd/JGeSPbTBpj8JYhSn7p4u3VUDMpkurZarVUkhSbH5QPjF/XUfIr5V&#10;YFkyah5ofLmr4vg+4pg6p6RqDm60MXmExv3lIMzkKRL3kWOycNgNk6AdNCfSQ++A6nQQvnLW0xbU&#10;3NHSc2beOWpyWpjZCLOxmw3hJF2sOXI2mm8wL1YiEv2rAxK7TDqVHutNjGiWWfa0d2lZ/jznrPu3&#10;tr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I0MFLXAQAAswMAAA4AAAAAAAAAAQAgAAAA&#10;HgEAAGRycy9lMm9Eb2MueG1sUEsFBgAAAAAGAAYAWQEAAGcFA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fldChar w:fldCharType="begin"/>
                          </w:r>
                          <w:r>
                            <w:instrText xml:space="preserve"> PAGE  \* MERGEFORMAT </w:instrText>
                          </w:r>
                          <w:r>
                            <w:fldChar w:fldCharType="separate"/>
                          </w:r>
                          <w:r>
                            <w:t>II</w:t>
                          </w:r>
                          <w:r>
                            <w:fldChar w:fldCharType="end"/>
                          </w:r>
                        </w:p>
                      </w:txbxContent>
                    </wps:txbx>
                    <wps:bodyPr vert="horz" wrap="none" lIns="0" tIns="0" rIns="0" bIns="0" anchor="t" anchorCtr="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M/TNcBAACzAwAADgAAAGRycy9lMm9Eb2MueG1srVPBjtMwEL0j8Q+W&#10;7zTZHlBUNV0tVIuQECAtfIDrOI0l22PZ0yblA+APOHHhznf1Oxg7SXdZLnvYSzKeGb95b2a8vh6s&#10;YUcVogZX86tFyZlyEhrt9jX/+uX2VcVZROEaYcCpmp9U5Nebly/WvV+pJXRgGhUYgbi46n3NO0S/&#10;KoooO2VFXIBXjoItBCuQjmFfNEH0hG5NsSzL10UPofEBpIqRvNsxyCfE8BRAaFst1RbkwSqHI2pQ&#10;RiBJip32kW8y27ZVEj+1bVTITM1JKeYvFSF7l77FZi1W+yB8p+VEQTyFwiNNVmhHRS9QW4GCHYL+&#10;D8pqGSBCiwsJthiF5I6QiqvyUW/uOuFV1kKtjv7S9Ph8sPLj8XNguqn5klrihKWJn3/+OP/6c/79&#10;nVWpP72PK0q785SIwxsYaGtmfyRnkj20waY/CWIUJ6jTpbtqQCbTpWpZVSWFJMXmA+EX99d9iPhO&#10;gWXJqHmg8eWuiuOHiGPqnJKqObjVxuQRGvePgzCTp0jcR47JwmE3TIJ20JxID70DqtNB+MZZT1tQ&#10;c0dLz5l576jJxBVnI8zGbjaEk3Sx5sjZaL7FvFiJSPQ3ByR2mXQqPdabGNEss+xp79KyPDznrPu3&#10;tvk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5zP0zXAQAAswMAAA4AAAAAAAAAAQAgAAAA&#10;HgEAAGRycy9lMm9Eb2MueG1sUEsFBgAAAAAGAAYAWQEAAGcFAAAAAA==&#10;">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spacing w:before="640" w:after="0"/>
      <w:rPr>
        <w:rFonts w:ascii="黑体" w:hAnsi="黑体" w:eastAsia="黑体" w:cs="黑体"/>
      </w:rPr>
    </w:pPr>
    <w:r>
      <w:rPr>
        <w:rFonts w:ascii="黑体" w:hAnsi="黑体" w:eastAsia="黑体" w:cs="黑体"/>
      </w:rPr>
      <w:t>GB/T 26030—××××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spacing w:before="640" w:after="0"/>
      <w:jc w:val="both"/>
      <w:rPr>
        <w:rFonts w:ascii="黑体" w:hAnsi="黑体" w:eastAsia="黑体" w:cs="黑体"/>
      </w:rPr>
    </w:pPr>
    <w:r>
      <w:rPr>
        <w:rFonts w:ascii="黑体" w:hAnsi="黑体" w:eastAsia="黑体" w:cs="黑体"/>
      </w:rPr>
      <w:t>GB/T 26030—××××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pPr>
  </w:p>
  <w:p>
    <w:pPr>
      <w:pStyle w:val="31"/>
      <w:jc w:val="right"/>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spacing w:before="640" w:after="0"/>
      <w:rPr>
        <w:rFonts w:ascii="黑体" w:hAnsi="黑体" w:eastAsia="黑体" w:cs="黑体"/>
      </w:rPr>
    </w:pPr>
    <w:r>
      <w:rPr>
        <w:rFonts w:ascii="黑体" w:hAnsi="黑体" w:eastAsia="黑体" w:cs="黑体"/>
      </w:rPr>
      <w:t>GB/T 26030—××××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spacing w:before="640" w:after="0"/>
      <w:jc w:val="both"/>
      <w:rPr>
        <w:rFonts w:ascii="黑体" w:hAnsi="黑体" w:eastAsia="黑体" w:cs="黑体"/>
      </w:rPr>
    </w:pPr>
    <w:r>
      <w:rPr>
        <w:rFonts w:ascii="黑体" w:hAnsi="黑体" w:eastAsia="黑体" w:cs="黑体"/>
      </w:rPr>
      <w:t>GB/T 26030—××××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C0033B"/>
    <w:multiLevelType w:val="singleLevel"/>
    <w:tmpl w:val="14C0033B"/>
    <w:lvl w:ilvl="0" w:tentative="0">
      <w:start w:val="1"/>
      <w:numFmt w:val="lowerLetter"/>
      <w:suff w:val="nothing"/>
      <w:lvlText w:val="%1）"/>
      <w:lvlJc w:val="left"/>
    </w:lvl>
  </w:abstractNum>
  <w:abstractNum w:abstractNumId="1">
    <w:nsid w:val="37D9DE0F"/>
    <w:multiLevelType w:val="singleLevel"/>
    <w:tmpl w:val="37D9DE0F"/>
    <w:lvl w:ilvl="0" w:tentative="0">
      <w:start w:val="1"/>
      <w:numFmt w:val="lowerLetter"/>
      <w:suff w:val="space"/>
      <w:lvlText w:val="%1）"/>
      <w:lvlJc w:val="left"/>
      <w:pPr>
        <w:ind w:left="420" w:leftChars="0" w:firstLine="0" w:firstLineChars="0"/>
      </w:pPr>
    </w:lvl>
  </w:abstractNum>
  <w:abstractNum w:abstractNumId="2">
    <w:nsid w:val="6CEA2025"/>
    <w:multiLevelType w:val="multilevel"/>
    <w:tmpl w:val="6CEA2025"/>
    <w:lvl w:ilvl="0" w:tentative="0">
      <w:start w:val="1"/>
      <w:numFmt w:val="none"/>
      <w:pStyle w:val="50"/>
      <w:suff w:val="nothing"/>
      <w:lvlText w:val="%1"/>
      <w:lvlJc w:val="left"/>
      <w:pPr>
        <w:ind w:left="0" w:firstLine="0"/>
      </w:pPr>
      <w:rPr>
        <w:rFonts w:hint="default" w:ascii="Times New Roman" w:hAnsi="Times New Roman"/>
        <w:b/>
        <w:i w:val="0"/>
        <w:sz w:val="21"/>
      </w:rPr>
    </w:lvl>
    <w:lvl w:ilvl="1" w:tentative="0">
      <w:start w:val="1"/>
      <w:numFmt w:val="decimal"/>
      <w:pStyle w:val="38"/>
      <w:suff w:val="nothing"/>
      <w:lvlText w:val="%1%2　"/>
      <w:lvlJc w:val="left"/>
      <w:pPr>
        <w:ind w:left="0" w:firstLine="0"/>
      </w:pPr>
      <w:rPr>
        <w:rFonts w:hint="eastAsia" w:ascii="黑体" w:hAnsi="Times New Roman" w:eastAsia="黑体"/>
        <w:b w:val="0"/>
        <w:i w:val="0"/>
        <w:sz w:val="21"/>
      </w:rPr>
    </w:lvl>
    <w:lvl w:ilvl="2" w:tentative="0">
      <w:start w:val="1"/>
      <w:numFmt w:val="decimal"/>
      <w:pStyle w:val="56"/>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evenAndOddHeaders w:val="1"/>
  <w:drawingGridHorizontalSpacing w:val="105"/>
  <w:drawingGridVerticalSpacing w:val="14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2Mjk1YTlhOGE1NGFjZjQwOTE2NWFmNDE1OGUwNWMifQ=="/>
    <w:docVar w:name="KSO_WPS_MARK_KEY" w:val="e74bcc30-c432-4fb3-8639-c1b161499c5d"/>
  </w:docVars>
  <w:rsids>
    <w:rsidRoot w:val="00AB3E71"/>
    <w:rsid w:val="00002154"/>
    <w:rsid w:val="00002D64"/>
    <w:rsid w:val="000042AA"/>
    <w:rsid w:val="00010F73"/>
    <w:rsid w:val="000110BC"/>
    <w:rsid w:val="0001232B"/>
    <w:rsid w:val="00012F09"/>
    <w:rsid w:val="0001516B"/>
    <w:rsid w:val="00015175"/>
    <w:rsid w:val="00016CB4"/>
    <w:rsid w:val="000214E7"/>
    <w:rsid w:val="000239E3"/>
    <w:rsid w:val="00026841"/>
    <w:rsid w:val="00026A25"/>
    <w:rsid w:val="00027CB7"/>
    <w:rsid w:val="00030A20"/>
    <w:rsid w:val="0003128B"/>
    <w:rsid w:val="00033098"/>
    <w:rsid w:val="00037034"/>
    <w:rsid w:val="0003752E"/>
    <w:rsid w:val="00041D0D"/>
    <w:rsid w:val="00050302"/>
    <w:rsid w:val="00050732"/>
    <w:rsid w:val="00051C38"/>
    <w:rsid w:val="00054742"/>
    <w:rsid w:val="00054B25"/>
    <w:rsid w:val="00057578"/>
    <w:rsid w:val="00057ACF"/>
    <w:rsid w:val="000607FE"/>
    <w:rsid w:val="00064743"/>
    <w:rsid w:val="00066884"/>
    <w:rsid w:val="00066BC1"/>
    <w:rsid w:val="000672EB"/>
    <w:rsid w:val="000678E6"/>
    <w:rsid w:val="00071A3C"/>
    <w:rsid w:val="000733EB"/>
    <w:rsid w:val="00075598"/>
    <w:rsid w:val="00081292"/>
    <w:rsid w:val="000833E3"/>
    <w:rsid w:val="0008486B"/>
    <w:rsid w:val="00086248"/>
    <w:rsid w:val="0008712A"/>
    <w:rsid w:val="0008742D"/>
    <w:rsid w:val="00095FAD"/>
    <w:rsid w:val="00097493"/>
    <w:rsid w:val="000A695B"/>
    <w:rsid w:val="000B1A1D"/>
    <w:rsid w:val="000B4A43"/>
    <w:rsid w:val="000B7A5F"/>
    <w:rsid w:val="000C0994"/>
    <w:rsid w:val="000C1AB4"/>
    <w:rsid w:val="000C1B92"/>
    <w:rsid w:val="000C26FB"/>
    <w:rsid w:val="000C62F5"/>
    <w:rsid w:val="000C711A"/>
    <w:rsid w:val="000D3BAD"/>
    <w:rsid w:val="000D5506"/>
    <w:rsid w:val="000D6A68"/>
    <w:rsid w:val="000D7EC5"/>
    <w:rsid w:val="000E151D"/>
    <w:rsid w:val="000E5780"/>
    <w:rsid w:val="000E6246"/>
    <w:rsid w:val="000E6D74"/>
    <w:rsid w:val="000E7E4F"/>
    <w:rsid w:val="000F0120"/>
    <w:rsid w:val="000F0A6B"/>
    <w:rsid w:val="000F2C06"/>
    <w:rsid w:val="000F3172"/>
    <w:rsid w:val="000F7882"/>
    <w:rsid w:val="00115FED"/>
    <w:rsid w:val="001163EF"/>
    <w:rsid w:val="001165C1"/>
    <w:rsid w:val="00117A18"/>
    <w:rsid w:val="00120FD1"/>
    <w:rsid w:val="00122251"/>
    <w:rsid w:val="00123FBA"/>
    <w:rsid w:val="001256C8"/>
    <w:rsid w:val="001276C1"/>
    <w:rsid w:val="00130DC9"/>
    <w:rsid w:val="001323CC"/>
    <w:rsid w:val="001367E8"/>
    <w:rsid w:val="0013705F"/>
    <w:rsid w:val="001437E5"/>
    <w:rsid w:val="00143DFD"/>
    <w:rsid w:val="00144C5C"/>
    <w:rsid w:val="001542F1"/>
    <w:rsid w:val="0015592E"/>
    <w:rsid w:val="00155E33"/>
    <w:rsid w:val="001564A7"/>
    <w:rsid w:val="00157CD5"/>
    <w:rsid w:val="00161477"/>
    <w:rsid w:val="00161672"/>
    <w:rsid w:val="001618F0"/>
    <w:rsid w:val="00164367"/>
    <w:rsid w:val="00166A26"/>
    <w:rsid w:val="00167062"/>
    <w:rsid w:val="001671CA"/>
    <w:rsid w:val="00167B5F"/>
    <w:rsid w:val="00172A2E"/>
    <w:rsid w:val="00180684"/>
    <w:rsid w:val="00180B1A"/>
    <w:rsid w:val="0018429B"/>
    <w:rsid w:val="001941BC"/>
    <w:rsid w:val="00194C44"/>
    <w:rsid w:val="00195CB0"/>
    <w:rsid w:val="001A1403"/>
    <w:rsid w:val="001A17BD"/>
    <w:rsid w:val="001A3903"/>
    <w:rsid w:val="001A72E0"/>
    <w:rsid w:val="001A7CC4"/>
    <w:rsid w:val="001B7599"/>
    <w:rsid w:val="001B7818"/>
    <w:rsid w:val="001C0532"/>
    <w:rsid w:val="001C2147"/>
    <w:rsid w:val="001C3364"/>
    <w:rsid w:val="001C6576"/>
    <w:rsid w:val="001C78F8"/>
    <w:rsid w:val="001D541B"/>
    <w:rsid w:val="001D5D6B"/>
    <w:rsid w:val="001D783E"/>
    <w:rsid w:val="001E016B"/>
    <w:rsid w:val="001E3056"/>
    <w:rsid w:val="001F0F6F"/>
    <w:rsid w:val="001F6B35"/>
    <w:rsid w:val="00201EFC"/>
    <w:rsid w:val="00202000"/>
    <w:rsid w:val="00203249"/>
    <w:rsid w:val="00206415"/>
    <w:rsid w:val="00212A3B"/>
    <w:rsid w:val="00212B57"/>
    <w:rsid w:val="002169A3"/>
    <w:rsid w:val="002171E8"/>
    <w:rsid w:val="00217256"/>
    <w:rsid w:val="002201FE"/>
    <w:rsid w:val="00220277"/>
    <w:rsid w:val="00222A6B"/>
    <w:rsid w:val="002233A5"/>
    <w:rsid w:val="002262B6"/>
    <w:rsid w:val="00227D30"/>
    <w:rsid w:val="002411F0"/>
    <w:rsid w:val="002435EC"/>
    <w:rsid w:val="0025397C"/>
    <w:rsid w:val="00261D0A"/>
    <w:rsid w:val="00263C88"/>
    <w:rsid w:val="00264229"/>
    <w:rsid w:val="002706AB"/>
    <w:rsid w:val="002752DF"/>
    <w:rsid w:val="002756A4"/>
    <w:rsid w:val="00275C79"/>
    <w:rsid w:val="002769FD"/>
    <w:rsid w:val="00276AEA"/>
    <w:rsid w:val="00277DA2"/>
    <w:rsid w:val="00286361"/>
    <w:rsid w:val="00291469"/>
    <w:rsid w:val="00293039"/>
    <w:rsid w:val="00296111"/>
    <w:rsid w:val="00296381"/>
    <w:rsid w:val="002963CA"/>
    <w:rsid w:val="00297039"/>
    <w:rsid w:val="00297280"/>
    <w:rsid w:val="0029790A"/>
    <w:rsid w:val="002A0071"/>
    <w:rsid w:val="002A1B82"/>
    <w:rsid w:val="002A1CDC"/>
    <w:rsid w:val="002A5A10"/>
    <w:rsid w:val="002A60F8"/>
    <w:rsid w:val="002B63EA"/>
    <w:rsid w:val="002C3776"/>
    <w:rsid w:val="002C3A39"/>
    <w:rsid w:val="002C6D18"/>
    <w:rsid w:val="002C6F73"/>
    <w:rsid w:val="002D1D56"/>
    <w:rsid w:val="002D3C80"/>
    <w:rsid w:val="002D64B6"/>
    <w:rsid w:val="002D659E"/>
    <w:rsid w:val="002D7C47"/>
    <w:rsid w:val="002E01D3"/>
    <w:rsid w:val="002E0B33"/>
    <w:rsid w:val="002E0F34"/>
    <w:rsid w:val="002E1458"/>
    <w:rsid w:val="002E1493"/>
    <w:rsid w:val="002E2472"/>
    <w:rsid w:val="002F4A78"/>
    <w:rsid w:val="002F65B8"/>
    <w:rsid w:val="003010C7"/>
    <w:rsid w:val="00301102"/>
    <w:rsid w:val="00301D2F"/>
    <w:rsid w:val="00305580"/>
    <w:rsid w:val="00306467"/>
    <w:rsid w:val="00306B0C"/>
    <w:rsid w:val="0030737C"/>
    <w:rsid w:val="0031002E"/>
    <w:rsid w:val="00310F10"/>
    <w:rsid w:val="003129F0"/>
    <w:rsid w:val="003140D9"/>
    <w:rsid w:val="0031753D"/>
    <w:rsid w:val="00320F71"/>
    <w:rsid w:val="003249F6"/>
    <w:rsid w:val="00324BD4"/>
    <w:rsid w:val="00324FEF"/>
    <w:rsid w:val="00325875"/>
    <w:rsid w:val="00327582"/>
    <w:rsid w:val="00327D06"/>
    <w:rsid w:val="0033034C"/>
    <w:rsid w:val="00332786"/>
    <w:rsid w:val="00334014"/>
    <w:rsid w:val="0033545C"/>
    <w:rsid w:val="00340C7A"/>
    <w:rsid w:val="00341F7D"/>
    <w:rsid w:val="003429C5"/>
    <w:rsid w:val="0034544F"/>
    <w:rsid w:val="0035044D"/>
    <w:rsid w:val="00355888"/>
    <w:rsid w:val="00355C26"/>
    <w:rsid w:val="00355F47"/>
    <w:rsid w:val="00355FB4"/>
    <w:rsid w:val="00356757"/>
    <w:rsid w:val="00356A32"/>
    <w:rsid w:val="00357472"/>
    <w:rsid w:val="0036011A"/>
    <w:rsid w:val="00360C20"/>
    <w:rsid w:val="00362A45"/>
    <w:rsid w:val="00363B13"/>
    <w:rsid w:val="00365B5A"/>
    <w:rsid w:val="00372517"/>
    <w:rsid w:val="00375BD2"/>
    <w:rsid w:val="003766C6"/>
    <w:rsid w:val="00382194"/>
    <w:rsid w:val="003862CB"/>
    <w:rsid w:val="0039155A"/>
    <w:rsid w:val="0039227C"/>
    <w:rsid w:val="003949C0"/>
    <w:rsid w:val="00394E7F"/>
    <w:rsid w:val="003A5669"/>
    <w:rsid w:val="003A6AB1"/>
    <w:rsid w:val="003C10B2"/>
    <w:rsid w:val="003C555F"/>
    <w:rsid w:val="003D004F"/>
    <w:rsid w:val="003D0D91"/>
    <w:rsid w:val="003D30AA"/>
    <w:rsid w:val="003D4BAE"/>
    <w:rsid w:val="003F6B7E"/>
    <w:rsid w:val="003F7D9C"/>
    <w:rsid w:val="0040000A"/>
    <w:rsid w:val="004007BB"/>
    <w:rsid w:val="0040179D"/>
    <w:rsid w:val="00401BDA"/>
    <w:rsid w:val="0040369E"/>
    <w:rsid w:val="0040393F"/>
    <w:rsid w:val="0040539A"/>
    <w:rsid w:val="00410BBA"/>
    <w:rsid w:val="00412F70"/>
    <w:rsid w:val="00415A84"/>
    <w:rsid w:val="00416984"/>
    <w:rsid w:val="00417F21"/>
    <w:rsid w:val="00422514"/>
    <w:rsid w:val="0042329A"/>
    <w:rsid w:val="00425E5D"/>
    <w:rsid w:val="00426B13"/>
    <w:rsid w:val="00430C3A"/>
    <w:rsid w:val="004427B1"/>
    <w:rsid w:val="00442A3D"/>
    <w:rsid w:val="00446022"/>
    <w:rsid w:val="00454657"/>
    <w:rsid w:val="00457FF9"/>
    <w:rsid w:val="004605AF"/>
    <w:rsid w:val="00461566"/>
    <w:rsid w:val="00467EB1"/>
    <w:rsid w:val="004708C8"/>
    <w:rsid w:val="00480905"/>
    <w:rsid w:val="00484851"/>
    <w:rsid w:val="00487D0D"/>
    <w:rsid w:val="00487FE2"/>
    <w:rsid w:val="00490F9C"/>
    <w:rsid w:val="004951AF"/>
    <w:rsid w:val="00496C2A"/>
    <w:rsid w:val="00496FC0"/>
    <w:rsid w:val="004A1DD3"/>
    <w:rsid w:val="004A5F6B"/>
    <w:rsid w:val="004B3A60"/>
    <w:rsid w:val="004B4801"/>
    <w:rsid w:val="004B7B37"/>
    <w:rsid w:val="004C076F"/>
    <w:rsid w:val="004C0E6E"/>
    <w:rsid w:val="004C4EE0"/>
    <w:rsid w:val="004C5B58"/>
    <w:rsid w:val="004C6559"/>
    <w:rsid w:val="004C6D55"/>
    <w:rsid w:val="004C7AA0"/>
    <w:rsid w:val="004C7DB0"/>
    <w:rsid w:val="004D0DCA"/>
    <w:rsid w:val="004D308D"/>
    <w:rsid w:val="004D4D2A"/>
    <w:rsid w:val="004E0FCC"/>
    <w:rsid w:val="004E593D"/>
    <w:rsid w:val="004E6DE5"/>
    <w:rsid w:val="004E7F92"/>
    <w:rsid w:val="004F0590"/>
    <w:rsid w:val="004F305B"/>
    <w:rsid w:val="00500D43"/>
    <w:rsid w:val="00506924"/>
    <w:rsid w:val="005076B6"/>
    <w:rsid w:val="005226CB"/>
    <w:rsid w:val="005245BC"/>
    <w:rsid w:val="00525442"/>
    <w:rsid w:val="0052596F"/>
    <w:rsid w:val="00526521"/>
    <w:rsid w:val="00531389"/>
    <w:rsid w:val="005351D8"/>
    <w:rsid w:val="00535B80"/>
    <w:rsid w:val="00536201"/>
    <w:rsid w:val="00536490"/>
    <w:rsid w:val="005452B7"/>
    <w:rsid w:val="00546F00"/>
    <w:rsid w:val="00556D81"/>
    <w:rsid w:val="00560EC6"/>
    <w:rsid w:val="005668BA"/>
    <w:rsid w:val="00567E0C"/>
    <w:rsid w:val="00570483"/>
    <w:rsid w:val="00570C8F"/>
    <w:rsid w:val="0057339F"/>
    <w:rsid w:val="00573649"/>
    <w:rsid w:val="00577C36"/>
    <w:rsid w:val="005875DA"/>
    <w:rsid w:val="0059136B"/>
    <w:rsid w:val="00594131"/>
    <w:rsid w:val="005965A7"/>
    <w:rsid w:val="0059670C"/>
    <w:rsid w:val="005976AB"/>
    <w:rsid w:val="005A2E67"/>
    <w:rsid w:val="005A342D"/>
    <w:rsid w:val="005A53E8"/>
    <w:rsid w:val="005A6A01"/>
    <w:rsid w:val="005A6DFB"/>
    <w:rsid w:val="005B0FA0"/>
    <w:rsid w:val="005B4E9D"/>
    <w:rsid w:val="005B6226"/>
    <w:rsid w:val="005B68FA"/>
    <w:rsid w:val="005C0274"/>
    <w:rsid w:val="005C5293"/>
    <w:rsid w:val="005C5F64"/>
    <w:rsid w:val="005D2173"/>
    <w:rsid w:val="005D3BC3"/>
    <w:rsid w:val="005D5454"/>
    <w:rsid w:val="005D7C8D"/>
    <w:rsid w:val="005E485F"/>
    <w:rsid w:val="005F0CF8"/>
    <w:rsid w:val="005F166F"/>
    <w:rsid w:val="005F6856"/>
    <w:rsid w:val="0060341A"/>
    <w:rsid w:val="006124AD"/>
    <w:rsid w:val="00613DA4"/>
    <w:rsid w:val="0061542F"/>
    <w:rsid w:val="00615518"/>
    <w:rsid w:val="006160C7"/>
    <w:rsid w:val="00616FAD"/>
    <w:rsid w:val="00621253"/>
    <w:rsid w:val="00621633"/>
    <w:rsid w:val="00623D55"/>
    <w:rsid w:val="0062598D"/>
    <w:rsid w:val="00637C83"/>
    <w:rsid w:val="006405A5"/>
    <w:rsid w:val="006407D2"/>
    <w:rsid w:val="00641344"/>
    <w:rsid w:val="006439AC"/>
    <w:rsid w:val="00650105"/>
    <w:rsid w:val="00650387"/>
    <w:rsid w:val="006512F8"/>
    <w:rsid w:val="0065149A"/>
    <w:rsid w:val="006520B7"/>
    <w:rsid w:val="00653E45"/>
    <w:rsid w:val="00654BA3"/>
    <w:rsid w:val="00660508"/>
    <w:rsid w:val="00661691"/>
    <w:rsid w:val="00661801"/>
    <w:rsid w:val="00662F3E"/>
    <w:rsid w:val="00665760"/>
    <w:rsid w:val="006665EF"/>
    <w:rsid w:val="00667A2C"/>
    <w:rsid w:val="0067026B"/>
    <w:rsid w:val="006710DC"/>
    <w:rsid w:val="00671E4F"/>
    <w:rsid w:val="00674BF1"/>
    <w:rsid w:val="00681475"/>
    <w:rsid w:val="00681670"/>
    <w:rsid w:val="006816CE"/>
    <w:rsid w:val="006827C0"/>
    <w:rsid w:val="00686107"/>
    <w:rsid w:val="006910BC"/>
    <w:rsid w:val="006917F2"/>
    <w:rsid w:val="00692058"/>
    <w:rsid w:val="006934E9"/>
    <w:rsid w:val="006966B3"/>
    <w:rsid w:val="006A15E9"/>
    <w:rsid w:val="006A242C"/>
    <w:rsid w:val="006A2897"/>
    <w:rsid w:val="006A3090"/>
    <w:rsid w:val="006A4F1A"/>
    <w:rsid w:val="006A5C9F"/>
    <w:rsid w:val="006A608C"/>
    <w:rsid w:val="006B03BF"/>
    <w:rsid w:val="006B082C"/>
    <w:rsid w:val="006B0BFF"/>
    <w:rsid w:val="006B0DB7"/>
    <w:rsid w:val="006B3105"/>
    <w:rsid w:val="006B4C17"/>
    <w:rsid w:val="006B7AB2"/>
    <w:rsid w:val="006C17FD"/>
    <w:rsid w:val="006C4801"/>
    <w:rsid w:val="006C7F13"/>
    <w:rsid w:val="006D1103"/>
    <w:rsid w:val="006D280A"/>
    <w:rsid w:val="006D2D98"/>
    <w:rsid w:val="006D6D75"/>
    <w:rsid w:val="006D79B2"/>
    <w:rsid w:val="006D7F84"/>
    <w:rsid w:val="006E02E7"/>
    <w:rsid w:val="006F2DFE"/>
    <w:rsid w:val="006F7040"/>
    <w:rsid w:val="00705B47"/>
    <w:rsid w:val="00705D05"/>
    <w:rsid w:val="00710AC2"/>
    <w:rsid w:val="00713BED"/>
    <w:rsid w:val="00715318"/>
    <w:rsid w:val="0071695B"/>
    <w:rsid w:val="00722403"/>
    <w:rsid w:val="0073063C"/>
    <w:rsid w:val="00733067"/>
    <w:rsid w:val="007336F5"/>
    <w:rsid w:val="007348ED"/>
    <w:rsid w:val="0073713F"/>
    <w:rsid w:val="007378A7"/>
    <w:rsid w:val="00740349"/>
    <w:rsid w:val="00741A8C"/>
    <w:rsid w:val="007465AB"/>
    <w:rsid w:val="00746DCF"/>
    <w:rsid w:val="0074732B"/>
    <w:rsid w:val="00747CF7"/>
    <w:rsid w:val="00750BE7"/>
    <w:rsid w:val="0075425F"/>
    <w:rsid w:val="00756F71"/>
    <w:rsid w:val="00760901"/>
    <w:rsid w:val="0076174E"/>
    <w:rsid w:val="00761CE9"/>
    <w:rsid w:val="007620C8"/>
    <w:rsid w:val="007622B4"/>
    <w:rsid w:val="00763AFA"/>
    <w:rsid w:val="00766920"/>
    <w:rsid w:val="00767908"/>
    <w:rsid w:val="00770276"/>
    <w:rsid w:val="00771A43"/>
    <w:rsid w:val="00772B2F"/>
    <w:rsid w:val="00776A6A"/>
    <w:rsid w:val="00783635"/>
    <w:rsid w:val="00784740"/>
    <w:rsid w:val="007910B2"/>
    <w:rsid w:val="0079442B"/>
    <w:rsid w:val="007A0DC6"/>
    <w:rsid w:val="007A1054"/>
    <w:rsid w:val="007A1283"/>
    <w:rsid w:val="007A1A33"/>
    <w:rsid w:val="007A5161"/>
    <w:rsid w:val="007A6607"/>
    <w:rsid w:val="007B38EF"/>
    <w:rsid w:val="007B4BEC"/>
    <w:rsid w:val="007B4F59"/>
    <w:rsid w:val="007B5678"/>
    <w:rsid w:val="007B6D0F"/>
    <w:rsid w:val="007C27E5"/>
    <w:rsid w:val="007C31AA"/>
    <w:rsid w:val="007C3E5A"/>
    <w:rsid w:val="007D6ED0"/>
    <w:rsid w:val="007D7CC5"/>
    <w:rsid w:val="007E1194"/>
    <w:rsid w:val="007E5B74"/>
    <w:rsid w:val="007E6973"/>
    <w:rsid w:val="007F1920"/>
    <w:rsid w:val="007F27B3"/>
    <w:rsid w:val="00800D24"/>
    <w:rsid w:val="00801BB6"/>
    <w:rsid w:val="00801E09"/>
    <w:rsid w:val="00802DF8"/>
    <w:rsid w:val="008032C4"/>
    <w:rsid w:val="0080398D"/>
    <w:rsid w:val="00806B53"/>
    <w:rsid w:val="00810B0C"/>
    <w:rsid w:val="00810D2C"/>
    <w:rsid w:val="008113DF"/>
    <w:rsid w:val="00816CDB"/>
    <w:rsid w:val="00821485"/>
    <w:rsid w:val="00822626"/>
    <w:rsid w:val="00823E87"/>
    <w:rsid w:val="00830DB3"/>
    <w:rsid w:val="00835959"/>
    <w:rsid w:val="00837084"/>
    <w:rsid w:val="00841B74"/>
    <w:rsid w:val="0084226C"/>
    <w:rsid w:val="00844535"/>
    <w:rsid w:val="008445CB"/>
    <w:rsid w:val="008457FB"/>
    <w:rsid w:val="00852B43"/>
    <w:rsid w:val="008549B8"/>
    <w:rsid w:val="00855AD7"/>
    <w:rsid w:val="008573A4"/>
    <w:rsid w:val="00863546"/>
    <w:rsid w:val="00870DB8"/>
    <w:rsid w:val="008736CA"/>
    <w:rsid w:val="008744C0"/>
    <w:rsid w:val="00875D4A"/>
    <w:rsid w:val="0087736F"/>
    <w:rsid w:val="00880150"/>
    <w:rsid w:val="008841E1"/>
    <w:rsid w:val="008861FD"/>
    <w:rsid w:val="008869DD"/>
    <w:rsid w:val="0089076D"/>
    <w:rsid w:val="00890D2F"/>
    <w:rsid w:val="00893F5E"/>
    <w:rsid w:val="008967D0"/>
    <w:rsid w:val="008A3783"/>
    <w:rsid w:val="008A500B"/>
    <w:rsid w:val="008A68A8"/>
    <w:rsid w:val="008B0006"/>
    <w:rsid w:val="008B229B"/>
    <w:rsid w:val="008B40C8"/>
    <w:rsid w:val="008B73F1"/>
    <w:rsid w:val="008C1082"/>
    <w:rsid w:val="008C63CC"/>
    <w:rsid w:val="008D29C3"/>
    <w:rsid w:val="008D58FC"/>
    <w:rsid w:val="008D6DE7"/>
    <w:rsid w:val="008D787A"/>
    <w:rsid w:val="008E0BA4"/>
    <w:rsid w:val="008E1BD9"/>
    <w:rsid w:val="008E36AA"/>
    <w:rsid w:val="008E404F"/>
    <w:rsid w:val="008E55EB"/>
    <w:rsid w:val="008E79D8"/>
    <w:rsid w:val="008F0A70"/>
    <w:rsid w:val="008F34A7"/>
    <w:rsid w:val="008F4F2A"/>
    <w:rsid w:val="008F6D36"/>
    <w:rsid w:val="00900F48"/>
    <w:rsid w:val="009033E9"/>
    <w:rsid w:val="009038D5"/>
    <w:rsid w:val="00904E4B"/>
    <w:rsid w:val="00905E80"/>
    <w:rsid w:val="00910D4E"/>
    <w:rsid w:val="0091131F"/>
    <w:rsid w:val="009140F3"/>
    <w:rsid w:val="0091460E"/>
    <w:rsid w:val="00922876"/>
    <w:rsid w:val="009254C4"/>
    <w:rsid w:val="00926F39"/>
    <w:rsid w:val="00933ADC"/>
    <w:rsid w:val="00935DA7"/>
    <w:rsid w:val="00940853"/>
    <w:rsid w:val="009420AA"/>
    <w:rsid w:val="009424C9"/>
    <w:rsid w:val="00944E4C"/>
    <w:rsid w:val="00947457"/>
    <w:rsid w:val="009506BC"/>
    <w:rsid w:val="009515CC"/>
    <w:rsid w:val="009516E8"/>
    <w:rsid w:val="009521F9"/>
    <w:rsid w:val="009526E4"/>
    <w:rsid w:val="00957027"/>
    <w:rsid w:val="00961E32"/>
    <w:rsid w:val="0096505C"/>
    <w:rsid w:val="00967534"/>
    <w:rsid w:val="00970EB9"/>
    <w:rsid w:val="009719F3"/>
    <w:rsid w:val="00973897"/>
    <w:rsid w:val="009741BB"/>
    <w:rsid w:val="00980E52"/>
    <w:rsid w:val="00981910"/>
    <w:rsid w:val="009847AA"/>
    <w:rsid w:val="0098553C"/>
    <w:rsid w:val="00985AFB"/>
    <w:rsid w:val="00990DEC"/>
    <w:rsid w:val="00992DA4"/>
    <w:rsid w:val="00993CA1"/>
    <w:rsid w:val="00996319"/>
    <w:rsid w:val="00996366"/>
    <w:rsid w:val="00996FD4"/>
    <w:rsid w:val="009A0E43"/>
    <w:rsid w:val="009A41DD"/>
    <w:rsid w:val="009A50F6"/>
    <w:rsid w:val="009A55AD"/>
    <w:rsid w:val="009A6980"/>
    <w:rsid w:val="009A6ACF"/>
    <w:rsid w:val="009A739D"/>
    <w:rsid w:val="009B0247"/>
    <w:rsid w:val="009B0910"/>
    <w:rsid w:val="009B2E90"/>
    <w:rsid w:val="009B4E8B"/>
    <w:rsid w:val="009B66DA"/>
    <w:rsid w:val="009B6ED5"/>
    <w:rsid w:val="009B7B49"/>
    <w:rsid w:val="009C0C77"/>
    <w:rsid w:val="009C0E63"/>
    <w:rsid w:val="009C1892"/>
    <w:rsid w:val="009C3E7F"/>
    <w:rsid w:val="009C4233"/>
    <w:rsid w:val="009C4640"/>
    <w:rsid w:val="009D00BC"/>
    <w:rsid w:val="009D3D7B"/>
    <w:rsid w:val="009D5CCE"/>
    <w:rsid w:val="009D7436"/>
    <w:rsid w:val="009D7626"/>
    <w:rsid w:val="009E0721"/>
    <w:rsid w:val="009E0BE4"/>
    <w:rsid w:val="009E0FEC"/>
    <w:rsid w:val="009E1253"/>
    <w:rsid w:val="009E7135"/>
    <w:rsid w:val="009E7A24"/>
    <w:rsid w:val="009F4028"/>
    <w:rsid w:val="00A014D0"/>
    <w:rsid w:val="00A03205"/>
    <w:rsid w:val="00A0581F"/>
    <w:rsid w:val="00A05F58"/>
    <w:rsid w:val="00A062A1"/>
    <w:rsid w:val="00A0644B"/>
    <w:rsid w:val="00A07179"/>
    <w:rsid w:val="00A12578"/>
    <w:rsid w:val="00A15801"/>
    <w:rsid w:val="00A245D0"/>
    <w:rsid w:val="00A27DBD"/>
    <w:rsid w:val="00A27FB9"/>
    <w:rsid w:val="00A302B8"/>
    <w:rsid w:val="00A30A65"/>
    <w:rsid w:val="00A31D97"/>
    <w:rsid w:val="00A35B19"/>
    <w:rsid w:val="00A35D05"/>
    <w:rsid w:val="00A36CC3"/>
    <w:rsid w:val="00A37ECE"/>
    <w:rsid w:val="00A4121F"/>
    <w:rsid w:val="00A41EC2"/>
    <w:rsid w:val="00A4305F"/>
    <w:rsid w:val="00A46E05"/>
    <w:rsid w:val="00A517DD"/>
    <w:rsid w:val="00A55573"/>
    <w:rsid w:val="00A555F2"/>
    <w:rsid w:val="00A55BB2"/>
    <w:rsid w:val="00A562D5"/>
    <w:rsid w:val="00A67428"/>
    <w:rsid w:val="00A73D7A"/>
    <w:rsid w:val="00A73E8D"/>
    <w:rsid w:val="00A73FB2"/>
    <w:rsid w:val="00A742FB"/>
    <w:rsid w:val="00A77287"/>
    <w:rsid w:val="00A77557"/>
    <w:rsid w:val="00A82A2E"/>
    <w:rsid w:val="00A8578F"/>
    <w:rsid w:val="00A91E0B"/>
    <w:rsid w:val="00A9538D"/>
    <w:rsid w:val="00A95BE6"/>
    <w:rsid w:val="00AA07FB"/>
    <w:rsid w:val="00AA4CE6"/>
    <w:rsid w:val="00AA518B"/>
    <w:rsid w:val="00AB1020"/>
    <w:rsid w:val="00AB3E71"/>
    <w:rsid w:val="00AB59A2"/>
    <w:rsid w:val="00AC7A52"/>
    <w:rsid w:val="00AD03D0"/>
    <w:rsid w:val="00AD0EB8"/>
    <w:rsid w:val="00AD3942"/>
    <w:rsid w:val="00AD47FA"/>
    <w:rsid w:val="00AE2732"/>
    <w:rsid w:val="00AE4B1F"/>
    <w:rsid w:val="00AE683A"/>
    <w:rsid w:val="00AF22E6"/>
    <w:rsid w:val="00AF284D"/>
    <w:rsid w:val="00B03FCC"/>
    <w:rsid w:val="00B05511"/>
    <w:rsid w:val="00B154A1"/>
    <w:rsid w:val="00B17810"/>
    <w:rsid w:val="00B229FF"/>
    <w:rsid w:val="00B234E3"/>
    <w:rsid w:val="00B2410F"/>
    <w:rsid w:val="00B24175"/>
    <w:rsid w:val="00B261E8"/>
    <w:rsid w:val="00B32AE5"/>
    <w:rsid w:val="00B32C0D"/>
    <w:rsid w:val="00B34B95"/>
    <w:rsid w:val="00B34E77"/>
    <w:rsid w:val="00B35362"/>
    <w:rsid w:val="00B359E6"/>
    <w:rsid w:val="00B373A9"/>
    <w:rsid w:val="00B37D5D"/>
    <w:rsid w:val="00B4147E"/>
    <w:rsid w:val="00B4669E"/>
    <w:rsid w:val="00B5453E"/>
    <w:rsid w:val="00B62B9F"/>
    <w:rsid w:val="00B64A7C"/>
    <w:rsid w:val="00B650B1"/>
    <w:rsid w:val="00B65826"/>
    <w:rsid w:val="00B65B33"/>
    <w:rsid w:val="00B71F04"/>
    <w:rsid w:val="00B73C9A"/>
    <w:rsid w:val="00B80E1E"/>
    <w:rsid w:val="00B84D75"/>
    <w:rsid w:val="00B855F0"/>
    <w:rsid w:val="00B86939"/>
    <w:rsid w:val="00B9031B"/>
    <w:rsid w:val="00B9296D"/>
    <w:rsid w:val="00B92D16"/>
    <w:rsid w:val="00B96000"/>
    <w:rsid w:val="00B9693A"/>
    <w:rsid w:val="00BA60EC"/>
    <w:rsid w:val="00BA65B0"/>
    <w:rsid w:val="00BA7DC6"/>
    <w:rsid w:val="00BB1838"/>
    <w:rsid w:val="00BC038A"/>
    <w:rsid w:val="00BC16CE"/>
    <w:rsid w:val="00BC4AF2"/>
    <w:rsid w:val="00BC540D"/>
    <w:rsid w:val="00BD084F"/>
    <w:rsid w:val="00BD287F"/>
    <w:rsid w:val="00BD4060"/>
    <w:rsid w:val="00BD4B7D"/>
    <w:rsid w:val="00BD5052"/>
    <w:rsid w:val="00BE02D8"/>
    <w:rsid w:val="00BE41A5"/>
    <w:rsid w:val="00BE505F"/>
    <w:rsid w:val="00BF68F9"/>
    <w:rsid w:val="00C02F00"/>
    <w:rsid w:val="00C06701"/>
    <w:rsid w:val="00C100A1"/>
    <w:rsid w:val="00C12414"/>
    <w:rsid w:val="00C14BBA"/>
    <w:rsid w:val="00C155FE"/>
    <w:rsid w:val="00C16C20"/>
    <w:rsid w:val="00C23E2B"/>
    <w:rsid w:val="00C24381"/>
    <w:rsid w:val="00C3427A"/>
    <w:rsid w:val="00C37BA2"/>
    <w:rsid w:val="00C41368"/>
    <w:rsid w:val="00C41A38"/>
    <w:rsid w:val="00C433BC"/>
    <w:rsid w:val="00C4341B"/>
    <w:rsid w:val="00C44726"/>
    <w:rsid w:val="00C51DB9"/>
    <w:rsid w:val="00C533B2"/>
    <w:rsid w:val="00C57688"/>
    <w:rsid w:val="00C6616E"/>
    <w:rsid w:val="00C6788D"/>
    <w:rsid w:val="00C700B0"/>
    <w:rsid w:val="00C7142B"/>
    <w:rsid w:val="00C74A1C"/>
    <w:rsid w:val="00C74C7B"/>
    <w:rsid w:val="00C75BF9"/>
    <w:rsid w:val="00C778BD"/>
    <w:rsid w:val="00C80C4F"/>
    <w:rsid w:val="00C82409"/>
    <w:rsid w:val="00C852BD"/>
    <w:rsid w:val="00C85546"/>
    <w:rsid w:val="00C922EA"/>
    <w:rsid w:val="00C93887"/>
    <w:rsid w:val="00C943CE"/>
    <w:rsid w:val="00C964EA"/>
    <w:rsid w:val="00C978B3"/>
    <w:rsid w:val="00C97D8C"/>
    <w:rsid w:val="00CA0B5F"/>
    <w:rsid w:val="00CA40BF"/>
    <w:rsid w:val="00CA4248"/>
    <w:rsid w:val="00CA73E9"/>
    <w:rsid w:val="00CB375C"/>
    <w:rsid w:val="00CB5940"/>
    <w:rsid w:val="00CB697A"/>
    <w:rsid w:val="00CC086F"/>
    <w:rsid w:val="00CC1FE8"/>
    <w:rsid w:val="00CC5427"/>
    <w:rsid w:val="00CD3D28"/>
    <w:rsid w:val="00CD5C42"/>
    <w:rsid w:val="00CD60D0"/>
    <w:rsid w:val="00CE1288"/>
    <w:rsid w:val="00CE261C"/>
    <w:rsid w:val="00CE44FD"/>
    <w:rsid w:val="00CE4ECE"/>
    <w:rsid w:val="00CE5A12"/>
    <w:rsid w:val="00CF0C00"/>
    <w:rsid w:val="00CF38CD"/>
    <w:rsid w:val="00CF768B"/>
    <w:rsid w:val="00D02D96"/>
    <w:rsid w:val="00D04119"/>
    <w:rsid w:val="00D070F8"/>
    <w:rsid w:val="00D07A72"/>
    <w:rsid w:val="00D1051D"/>
    <w:rsid w:val="00D10EDC"/>
    <w:rsid w:val="00D11604"/>
    <w:rsid w:val="00D2103D"/>
    <w:rsid w:val="00D22069"/>
    <w:rsid w:val="00D2270C"/>
    <w:rsid w:val="00D2754C"/>
    <w:rsid w:val="00D301C6"/>
    <w:rsid w:val="00D3127C"/>
    <w:rsid w:val="00D373C4"/>
    <w:rsid w:val="00D41127"/>
    <w:rsid w:val="00D41B4B"/>
    <w:rsid w:val="00D41DBD"/>
    <w:rsid w:val="00D512A3"/>
    <w:rsid w:val="00D5170E"/>
    <w:rsid w:val="00D51756"/>
    <w:rsid w:val="00D53521"/>
    <w:rsid w:val="00D538F1"/>
    <w:rsid w:val="00D550EE"/>
    <w:rsid w:val="00D554F5"/>
    <w:rsid w:val="00D60D84"/>
    <w:rsid w:val="00D62DA5"/>
    <w:rsid w:val="00D70E4B"/>
    <w:rsid w:val="00D7283E"/>
    <w:rsid w:val="00D74876"/>
    <w:rsid w:val="00D75334"/>
    <w:rsid w:val="00D76F7B"/>
    <w:rsid w:val="00D824E7"/>
    <w:rsid w:val="00D86529"/>
    <w:rsid w:val="00D872B2"/>
    <w:rsid w:val="00D90182"/>
    <w:rsid w:val="00D901E7"/>
    <w:rsid w:val="00D91057"/>
    <w:rsid w:val="00D92168"/>
    <w:rsid w:val="00D929B8"/>
    <w:rsid w:val="00D930A7"/>
    <w:rsid w:val="00D93BBE"/>
    <w:rsid w:val="00D9550A"/>
    <w:rsid w:val="00DA1342"/>
    <w:rsid w:val="00DA4BFD"/>
    <w:rsid w:val="00DA4C05"/>
    <w:rsid w:val="00DA540D"/>
    <w:rsid w:val="00DB184F"/>
    <w:rsid w:val="00DC2022"/>
    <w:rsid w:val="00DC4D9B"/>
    <w:rsid w:val="00DC70CA"/>
    <w:rsid w:val="00DD3DB7"/>
    <w:rsid w:val="00DD4714"/>
    <w:rsid w:val="00DF16C4"/>
    <w:rsid w:val="00DF19BB"/>
    <w:rsid w:val="00DF6556"/>
    <w:rsid w:val="00E026D3"/>
    <w:rsid w:val="00E079E7"/>
    <w:rsid w:val="00E07A2E"/>
    <w:rsid w:val="00E07E8C"/>
    <w:rsid w:val="00E10AE0"/>
    <w:rsid w:val="00E12746"/>
    <w:rsid w:val="00E12FF1"/>
    <w:rsid w:val="00E160B2"/>
    <w:rsid w:val="00E16FC2"/>
    <w:rsid w:val="00E20E6F"/>
    <w:rsid w:val="00E2553D"/>
    <w:rsid w:val="00E47EF1"/>
    <w:rsid w:val="00E50315"/>
    <w:rsid w:val="00E514E1"/>
    <w:rsid w:val="00E54805"/>
    <w:rsid w:val="00E601AC"/>
    <w:rsid w:val="00E62BC0"/>
    <w:rsid w:val="00E67AC5"/>
    <w:rsid w:val="00E72494"/>
    <w:rsid w:val="00E76910"/>
    <w:rsid w:val="00E814C2"/>
    <w:rsid w:val="00E8597F"/>
    <w:rsid w:val="00E85D93"/>
    <w:rsid w:val="00E864A4"/>
    <w:rsid w:val="00E927B6"/>
    <w:rsid w:val="00E93E26"/>
    <w:rsid w:val="00E95879"/>
    <w:rsid w:val="00E95C45"/>
    <w:rsid w:val="00EA158D"/>
    <w:rsid w:val="00EA1CDE"/>
    <w:rsid w:val="00EA3C66"/>
    <w:rsid w:val="00EA5CA1"/>
    <w:rsid w:val="00EA6E0B"/>
    <w:rsid w:val="00EB0751"/>
    <w:rsid w:val="00EB6704"/>
    <w:rsid w:val="00EC0C4E"/>
    <w:rsid w:val="00EC0E32"/>
    <w:rsid w:val="00ED2872"/>
    <w:rsid w:val="00EE55B0"/>
    <w:rsid w:val="00EE61AD"/>
    <w:rsid w:val="00EE7583"/>
    <w:rsid w:val="00EF36B4"/>
    <w:rsid w:val="00EF7FD1"/>
    <w:rsid w:val="00F040CA"/>
    <w:rsid w:val="00F04586"/>
    <w:rsid w:val="00F0463A"/>
    <w:rsid w:val="00F07F77"/>
    <w:rsid w:val="00F10026"/>
    <w:rsid w:val="00F1154B"/>
    <w:rsid w:val="00F12FA2"/>
    <w:rsid w:val="00F13295"/>
    <w:rsid w:val="00F133A6"/>
    <w:rsid w:val="00F14BE5"/>
    <w:rsid w:val="00F21137"/>
    <w:rsid w:val="00F227C7"/>
    <w:rsid w:val="00F23D6E"/>
    <w:rsid w:val="00F274A2"/>
    <w:rsid w:val="00F31E84"/>
    <w:rsid w:val="00F32023"/>
    <w:rsid w:val="00F3616B"/>
    <w:rsid w:val="00F3646E"/>
    <w:rsid w:val="00F36B07"/>
    <w:rsid w:val="00F378AE"/>
    <w:rsid w:val="00F41397"/>
    <w:rsid w:val="00F430C8"/>
    <w:rsid w:val="00F45372"/>
    <w:rsid w:val="00F462E7"/>
    <w:rsid w:val="00F46BA8"/>
    <w:rsid w:val="00F47565"/>
    <w:rsid w:val="00F54EF5"/>
    <w:rsid w:val="00F6065B"/>
    <w:rsid w:val="00F60B05"/>
    <w:rsid w:val="00F60CF9"/>
    <w:rsid w:val="00F615AE"/>
    <w:rsid w:val="00F65989"/>
    <w:rsid w:val="00F660F1"/>
    <w:rsid w:val="00F70F1E"/>
    <w:rsid w:val="00F7260E"/>
    <w:rsid w:val="00F73AE9"/>
    <w:rsid w:val="00F7682A"/>
    <w:rsid w:val="00F770E3"/>
    <w:rsid w:val="00F81745"/>
    <w:rsid w:val="00F81B7D"/>
    <w:rsid w:val="00F820DD"/>
    <w:rsid w:val="00F82FB9"/>
    <w:rsid w:val="00F833B1"/>
    <w:rsid w:val="00F833CA"/>
    <w:rsid w:val="00F871DB"/>
    <w:rsid w:val="00F87B17"/>
    <w:rsid w:val="00F906F9"/>
    <w:rsid w:val="00F9110E"/>
    <w:rsid w:val="00F93ED4"/>
    <w:rsid w:val="00F940A3"/>
    <w:rsid w:val="00FA1C51"/>
    <w:rsid w:val="00FA44A7"/>
    <w:rsid w:val="00FA5276"/>
    <w:rsid w:val="00FA6BF0"/>
    <w:rsid w:val="00FB4159"/>
    <w:rsid w:val="00FB4521"/>
    <w:rsid w:val="00FB519F"/>
    <w:rsid w:val="00FB5E12"/>
    <w:rsid w:val="00FC0311"/>
    <w:rsid w:val="00FC2B6D"/>
    <w:rsid w:val="00FC3378"/>
    <w:rsid w:val="00FC34ED"/>
    <w:rsid w:val="00FD1602"/>
    <w:rsid w:val="00FD3BE4"/>
    <w:rsid w:val="00FD73A5"/>
    <w:rsid w:val="00FE078D"/>
    <w:rsid w:val="00FE19A1"/>
    <w:rsid w:val="00FE63F4"/>
    <w:rsid w:val="00FF0422"/>
    <w:rsid w:val="00FF10E2"/>
    <w:rsid w:val="00FF1B84"/>
    <w:rsid w:val="00FF35E9"/>
    <w:rsid w:val="00FF397E"/>
    <w:rsid w:val="00FF4011"/>
    <w:rsid w:val="00FF75AB"/>
    <w:rsid w:val="018067FB"/>
    <w:rsid w:val="01E81F81"/>
    <w:rsid w:val="01FD52FB"/>
    <w:rsid w:val="02EC4C3D"/>
    <w:rsid w:val="063A78C0"/>
    <w:rsid w:val="07BB67DE"/>
    <w:rsid w:val="0AAB518D"/>
    <w:rsid w:val="0B3723A9"/>
    <w:rsid w:val="0DA63A46"/>
    <w:rsid w:val="0E893632"/>
    <w:rsid w:val="1191442C"/>
    <w:rsid w:val="12453041"/>
    <w:rsid w:val="125502B5"/>
    <w:rsid w:val="127C7C50"/>
    <w:rsid w:val="12F33358"/>
    <w:rsid w:val="13EA00FB"/>
    <w:rsid w:val="14327229"/>
    <w:rsid w:val="149B5516"/>
    <w:rsid w:val="15FE6D70"/>
    <w:rsid w:val="160D5FC1"/>
    <w:rsid w:val="167504A0"/>
    <w:rsid w:val="1B967384"/>
    <w:rsid w:val="1D5A2546"/>
    <w:rsid w:val="1DED46AC"/>
    <w:rsid w:val="1F0E1553"/>
    <w:rsid w:val="1F435C55"/>
    <w:rsid w:val="20D47E4B"/>
    <w:rsid w:val="23520304"/>
    <w:rsid w:val="23C41599"/>
    <w:rsid w:val="241D0251"/>
    <w:rsid w:val="25A338BA"/>
    <w:rsid w:val="28C66939"/>
    <w:rsid w:val="2A680640"/>
    <w:rsid w:val="2A7F6839"/>
    <w:rsid w:val="2AFF728D"/>
    <w:rsid w:val="2B743A2F"/>
    <w:rsid w:val="2D4310AA"/>
    <w:rsid w:val="2F7426A2"/>
    <w:rsid w:val="31ED6970"/>
    <w:rsid w:val="32DB065F"/>
    <w:rsid w:val="33956831"/>
    <w:rsid w:val="34C14724"/>
    <w:rsid w:val="36AD0447"/>
    <w:rsid w:val="370660E0"/>
    <w:rsid w:val="376F6701"/>
    <w:rsid w:val="377779D4"/>
    <w:rsid w:val="37A66FD3"/>
    <w:rsid w:val="389341FE"/>
    <w:rsid w:val="3A4C7256"/>
    <w:rsid w:val="3B957D71"/>
    <w:rsid w:val="3BF53B2E"/>
    <w:rsid w:val="3C0B2394"/>
    <w:rsid w:val="3C0C668D"/>
    <w:rsid w:val="3CD23524"/>
    <w:rsid w:val="3CDE511D"/>
    <w:rsid w:val="3D137EF8"/>
    <w:rsid w:val="3D401EC1"/>
    <w:rsid w:val="3E1B5C50"/>
    <w:rsid w:val="3EEE66A4"/>
    <w:rsid w:val="3F8575F1"/>
    <w:rsid w:val="3FF2783E"/>
    <w:rsid w:val="40A23CCC"/>
    <w:rsid w:val="4214206C"/>
    <w:rsid w:val="436763A0"/>
    <w:rsid w:val="44250C9A"/>
    <w:rsid w:val="44FA7039"/>
    <w:rsid w:val="460422BE"/>
    <w:rsid w:val="46157485"/>
    <w:rsid w:val="467D4EB5"/>
    <w:rsid w:val="47086643"/>
    <w:rsid w:val="47E71D62"/>
    <w:rsid w:val="48B620CF"/>
    <w:rsid w:val="48BE0ABB"/>
    <w:rsid w:val="48CD5A66"/>
    <w:rsid w:val="4B1A63DD"/>
    <w:rsid w:val="4C5E450A"/>
    <w:rsid w:val="4CB215DD"/>
    <w:rsid w:val="4D7953E5"/>
    <w:rsid w:val="4DB91493"/>
    <w:rsid w:val="4ED51C23"/>
    <w:rsid w:val="51333EFD"/>
    <w:rsid w:val="516F5FAD"/>
    <w:rsid w:val="51C22700"/>
    <w:rsid w:val="53946B0A"/>
    <w:rsid w:val="54A162A4"/>
    <w:rsid w:val="55CF31B0"/>
    <w:rsid w:val="59F22525"/>
    <w:rsid w:val="5ADE490B"/>
    <w:rsid w:val="5BA14E3E"/>
    <w:rsid w:val="5C9A31A7"/>
    <w:rsid w:val="5DCA5854"/>
    <w:rsid w:val="5F0B5B82"/>
    <w:rsid w:val="5FF4756B"/>
    <w:rsid w:val="60316095"/>
    <w:rsid w:val="61084EB7"/>
    <w:rsid w:val="618B774B"/>
    <w:rsid w:val="625A0AD7"/>
    <w:rsid w:val="62DF12EA"/>
    <w:rsid w:val="63F010A4"/>
    <w:rsid w:val="64CE1AF4"/>
    <w:rsid w:val="64D85AFC"/>
    <w:rsid w:val="65073BFF"/>
    <w:rsid w:val="652E471A"/>
    <w:rsid w:val="66177535"/>
    <w:rsid w:val="674F1B96"/>
    <w:rsid w:val="681051F9"/>
    <w:rsid w:val="689A0062"/>
    <w:rsid w:val="69F82C57"/>
    <w:rsid w:val="6AD90CF5"/>
    <w:rsid w:val="6B493F82"/>
    <w:rsid w:val="6B5D144E"/>
    <w:rsid w:val="6D1730BB"/>
    <w:rsid w:val="6EE8656E"/>
    <w:rsid w:val="6F652EB2"/>
    <w:rsid w:val="6FA04BD6"/>
    <w:rsid w:val="6FB83DBA"/>
    <w:rsid w:val="7002608F"/>
    <w:rsid w:val="707F0E75"/>
    <w:rsid w:val="71B657F5"/>
    <w:rsid w:val="71E249DA"/>
    <w:rsid w:val="721D26F3"/>
    <w:rsid w:val="74AE7F7A"/>
    <w:rsid w:val="75CE6855"/>
    <w:rsid w:val="781F7B9A"/>
    <w:rsid w:val="789073D6"/>
    <w:rsid w:val="79BD4DAD"/>
    <w:rsid w:val="79F148D0"/>
    <w:rsid w:val="7CC33371"/>
    <w:rsid w:val="7E4045F1"/>
    <w:rsid w:val="7FE44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qFormat="1" w:unhideWhenUsed="0" w:uiPriority="0" w:name="toc 3"/>
    <w:lsdException w:qFormat="1"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Document Map"/>
    <w:basedOn w:val="1"/>
    <w:semiHidden/>
    <w:qFormat/>
    <w:uiPriority w:val="0"/>
    <w:pPr>
      <w:shd w:val="clear" w:color="auto" w:fill="000080"/>
    </w:pPr>
  </w:style>
  <w:style w:type="paragraph" w:styleId="5">
    <w:name w:val="annotation text"/>
    <w:basedOn w:val="1"/>
    <w:unhideWhenUsed/>
    <w:qFormat/>
    <w:uiPriority w:val="99"/>
    <w:pPr>
      <w:jc w:val="left"/>
    </w:pPr>
  </w:style>
  <w:style w:type="paragraph" w:styleId="6">
    <w:name w:val="Body Text Indent"/>
    <w:basedOn w:val="1"/>
    <w:qFormat/>
    <w:uiPriority w:val="0"/>
    <w:pPr>
      <w:widowControl/>
      <w:spacing w:line="440" w:lineRule="exact"/>
      <w:ind w:firstLine="658"/>
    </w:pPr>
    <w:rPr>
      <w:rFonts w:ascii="宋体"/>
      <w:kern w:val="0"/>
      <w:szCs w:val="20"/>
    </w:rPr>
  </w:style>
  <w:style w:type="paragraph" w:styleId="7">
    <w:name w:val="toc 3"/>
    <w:basedOn w:val="1"/>
    <w:next w:val="1"/>
    <w:semiHidden/>
    <w:qFormat/>
    <w:uiPriority w:val="0"/>
    <w:pPr>
      <w:ind w:left="840" w:leftChars="400"/>
    </w:pPr>
  </w:style>
  <w:style w:type="paragraph" w:styleId="8">
    <w:name w:val="Plain Text"/>
    <w:basedOn w:val="1"/>
    <w:qFormat/>
    <w:uiPriority w:val="0"/>
    <w:rPr>
      <w:rFonts w:hint="eastAsia" w:ascii="宋体" w:hAnsi="Courier New" w:cs="Courier New"/>
      <w:szCs w:val="21"/>
    </w:rPr>
  </w:style>
  <w:style w:type="paragraph" w:styleId="9">
    <w:name w:val="Date"/>
    <w:basedOn w:val="1"/>
    <w:next w:val="1"/>
    <w:link w:val="24"/>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ind w:right="210" w:rightChars="100"/>
      <w:jc w:val="righ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next w:val="1"/>
    <w:semiHidden/>
    <w:qFormat/>
    <w:uiPriority w:val="0"/>
    <w:pPr>
      <w:jc w:val="both"/>
    </w:pPr>
    <w:rPr>
      <w:rFonts w:ascii="宋体" w:hAnsi="Times New Roman" w:eastAsia="宋体" w:cs="Times New Roman"/>
      <w:sz w:val="21"/>
      <w:lang w:val="en-US" w:eastAsia="zh-CN" w:bidi="ar-SA"/>
    </w:rPr>
  </w:style>
  <w:style w:type="paragraph" w:styleId="14">
    <w:name w:val="toc 4"/>
    <w:basedOn w:val="7"/>
    <w:next w:val="1"/>
    <w:semiHidden/>
    <w:qFormat/>
    <w:uiPriority w:val="0"/>
    <w:pPr>
      <w:widowControl/>
      <w:ind w:left="0" w:leftChars="0"/>
    </w:pPr>
    <w:rPr>
      <w:rFonts w:ascii="宋体"/>
      <w:kern w:val="0"/>
      <w:szCs w:val="20"/>
    </w:rPr>
  </w:style>
  <w:style w:type="paragraph" w:styleId="15">
    <w:name w:val="Normal (Web)"/>
    <w:basedOn w:val="1"/>
    <w:qFormat/>
    <w:uiPriority w:val="0"/>
    <w:pPr>
      <w:spacing w:before="100" w:beforeAutospacing="1" w:after="100" w:afterAutospacing="1"/>
      <w:jc w:val="left"/>
    </w:pPr>
    <w:rPr>
      <w:kern w:val="0"/>
      <w:sz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qFormat/>
    <w:uiPriority w:val="0"/>
    <w:rPr>
      <w:rFonts w:ascii="Times New Roman" w:hAnsi="Times New Roman" w:eastAsia="宋体"/>
      <w:sz w:val="18"/>
    </w:rPr>
  </w:style>
  <w:style w:type="character" w:styleId="20">
    <w:name w:val="Hyperlink"/>
    <w:qFormat/>
    <w:uiPriority w:val="0"/>
    <w:rPr>
      <w:color w:val="0000FF"/>
      <w:u w:val="single"/>
    </w:rPr>
  </w:style>
  <w:style w:type="character" w:styleId="21">
    <w:name w:val="annotation reference"/>
    <w:basedOn w:val="18"/>
    <w:qFormat/>
    <w:uiPriority w:val="0"/>
    <w:rPr>
      <w:sz w:val="21"/>
      <w:szCs w:val="21"/>
    </w:rPr>
  </w:style>
  <w:style w:type="paragraph" w:customStyle="1" w:styleId="22">
    <w:name w:val="段"/>
    <w:link w:val="23"/>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
    <w:name w:val="段 Char"/>
    <w:link w:val="22"/>
    <w:qFormat/>
    <w:uiPriority w:val="99"/>
    <w:rPr>
      <w:rFonts w:ascii="宋体"/>
      <w:sz w:val="21"/>
    </w:rPr>
  </w:style>
  <w:style w:type="character" w:customStyle="1" w:styleId="24">
    <w:name w:val="日期 字符"/>
    <w:link w:val="9"/>
    <w:qFormat/>
    <w:uiPriority w:val="0"/>
    <w:rPr>
      <w:kern w:val="2"/>
      <w:sz w:val="21"/>
      <w:szCs w:val="24"/>
    </w:rPr>
  </w:style>
  <w:style w:type="character" w:customStyle="1" w:styleId="25">
    <w:name w:val="发布"/>
    <w:qFormat/>
    <w:uiPriority w:val="0"/>
    <w:rPr>
      <w:rFonts w:ascii="黑体" w:eastAsia="黑体"/>
      <w:spacing w:val="22"/>
      <w:w w:val="100"/>
      <w:position w:val="3"/>
      <w:sz w:val="28"/>
    </w:rPr>
  </w:style>
  <w:style w:type="paragraph" w:customStyle="1" w:styleId="26">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8">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29">
    <w:name w:val="小节标题"/>
    <w:basedOn w:val="1"/>
    <w:qFormat/>
    <w:uiPriority w:val="0"/>
    <w:pPr>
      <w:tabs>
        <w:tab w:val="left" w:pos="396"/>
      </w:tabs>
      <w:snapToGrid w:val="0"/>
      <w:spacing w:line="440" w:lineRule="exact"/>
      <w:ind w:firstLine="420" w:firstLineChars="200"/>
    </w:pPr>
    <w:rPr>
      <w:rFonts w:ascii="宋体"/>
      <w:color w:val="000000"/>
      <w:szCs w:val="21"/>
      <w:u w:color="000000"/>
    </w:rPr>
  </w:style>
  <w:style w:type="paragraph" w:customStyle="1" w:styleId="30">
    <w:name w:val="_Style 38"/>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1">
    <w:name w:val="标准书眉一"/>
    <w:qFormat/>
    <w:uiPriority w:val="0"/>
    <w:pPr>
      <w:jc w:val="both"/>
    </w:pPr>
    <w:rPr>
      <w:rFonts w:ascii="Times New Roman" w:hAnsi="Times New Roman" w:eastAsia="宋体" w:cs="Times New Roman"/>
      <w:lang w:val="en-US" w:eastAsia="zh-CN" w:bidi="ar-SA"/>
    </w:rPr>
  </w:style>
  <w:style w:type="paragraph" w:customStyle="1" w:styleId="3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3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4">
    <w:name w:val="四级条标题"/>
    <w:basedOn w:val="35"/>
    <w:next w:val="22"/>
    <w:qFormat/>
    <w:uiPriority w:val="0"/>
    <w:pPr>
      <w:numPr>
        <w:ilvl w:val="5"/>
      </w:numPr>
      <w:outlineLvl w:val="5"/>
    </w:pPr>
  </w:style>
  <w:style w:type="paragraph" w:customStyle="1" w:styleId="35">
    <w:name w:val="三级条标题"/>
    <w:basedOn w:val="36"/>
    <w:next w:val="22"/>
    <w:qFormat/>
    <w:uiPriority w:val="0"/>
    <w:pPr>
      <w:numPr>
        <w:ilvl w:val="4"/>
      </w:numPr>
      <w:outlineLvl w:val="4"/>
    </w:pPr>
  </w:style>
  <w:style w:type="paragraph" w:customStyle="1" w:styleId="36">
    <w:name w:val="二级条标题"/>
    <w:basedOn w:val="37"/>
    <w:next w:val="22"/>
    <w:qFormat/>
    <w:uiPriority w:val="0"/>
    <w:pPr>
      <w:numPr>
        <w:ilvl w:val="3"/>
      </w:numPr>
      <w:outlineLvl w:val="3"/>
    </w:pPr>
  </w:style>
  <w:style w:type="paragraph" w:customStyle="1" w:styleId="37">
    <w:name w:val="一级条标题"/>
    <w:basedOn w:val="38"/>
    <w:next w:val="22"/>
    <w:qFormat/>
    <w:uiPriority w:val="0"/>
    <w:pPr>
      <w:numPr>
        <w:ilvl w:val="0"/>
        <w:numId w:val="0"/>
      </w:numPr>
      <w:spacing w:before="0" w:after="0"/>
      <w:outlineLvl w:val="2"/>
    </w:pPr>
  </w:style>
  <w:style w:type="paragraph" w:customStyle="1" w:styleId="38">
    <w:name w:val="章标题"/>
    <w:next w:val="22"/>
    <w:qFormat/>
    <w:uiPriority w:val="0"/>
    <w:pPr>
      <w:numPr>
        <w:ilvl w:val="1"/>
        <w:numId w:val="1"/>
      </w:numPr>
      <w:spacing w:before="50" w:after="50"/>
      <w:jc w:val="both"/>
      <w:outlineLvl w:val="1"/>
    </w:pPr>
    <w:rPr>
      <w:rFonts w:ascii="黑体" w:hAnsi="Times New Roman" w:eastAsia="黑体" w:cs="Times New Roman"/>
      <w:sz w:val="21"/>
      <w:lang w:val="en-US" w:eastAsia="zh-CN" w:bidi="ar-SA"/>
    </w:rPr>
  </w:style>
  <w:style w:type="paragraph" w:customStyle="1" w:styleId="3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4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41">
    <w:name w:val="实施日期"/>
    <w:basedOn w:val="40"/>
    <w:qFormat/>
    <w:uiPriority w:val="0"/>
    <w:pPr>
      <w:framePr w:hSpace="0" w:wrap="around" w:xAlign="right"/>
      <w:jc w:val="right"/>
    </w:pPr>
  </w:style>
  <w:style w:type="paragraph" w:customStyle="1" w:styleId="42">
    <w:name w:val="标准书眉_偶数页"/>
    <w:basedOn w:val="43"/>
    <w:next w:val="1"/>
    <w:qFormat/>
    <w:uiPriority w:val="0"/>
    <w:pPr>
      <w:tabs>
        <w:tab w:val="center" w:pos="4154"/>
        <w:tab w:val="right" w:pos="8306"/>
      </w:tabs>
      <w:jc w:val="left"/>
    </w:pPr>
  </w:style>
  <w:style w:type="paragraph" w:customStyle="1" w:styleId="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4">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45">
    <w:name w:val="发布部门"/>
    <w:next w:val="22"/>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4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47">
    <w:name w:val="五级条标题"/>
    <w:basedOn w:val="34"/>
    <w:next w:val="22"/>
    <w:qFormat/>
    <w:uiPriority w:val="0"/>
    <w:pPr>
      <w:numPr>
        <w:ilvl w:val="6"/>
      </w:numPr>
      <w:outlineLvl w:val="6"/>
    </w:pPr>
  </w:style>
  <w:style w:type="paragraph" w:customStyle="1" w:styleId="48">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49">
    <w:name w:val="目次、标准名称标题"/>
    <w:basedOn w:val="50"/>
    <w:next w:val="22"/>
    <w:qFormat/>
    <w:uiPriority w:val="0"/>
    <w:pPr>
      <w:numPr>
        <w:numId w:val="0"/>
      </w:numPr>
      <w:spacing w:line="460" w:lineRule="exact"/>
    </w:pPr>
  </w:style>
  <w:style w:type="paragraph" w:customStyle="1" w:styleId="50">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1">
    <w:name w:val="_Style 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封面正文"/>
    <w:qFormat/>
    <w:uiPriority w:val="0"/>
    <w:pPr>
      <w:jc w:val="both"/>
    </w:pPr>
    <w:rPr>
      <w:rFonts w:ascii="Times New Roman" w:hAnsi="Times New Roman" w:eastAsia="宋体" w:cs="Times New Roman"/>
      <w:lang w:val="en-US" w:eastAsia="zh-CN" w:bidi="ar-SA"/>
    </w:rPr>
  </w:style>
  <w:style w:type="paragraph" w:customStyle="1" w:styleId="5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5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6">
    <w:name w:val="二级无"/>
    <w:basedOn w:val="36"/>
    <w:qFormat/>
    <w:uiPriority w:val="0"/>
    <w:pPr>
      <w:numPr>
        <w:ilvl w:val="2"/>
        <w:numId w:val="1"/>
      </w:numPr>
      <w:jc w:val="left"/>
    </w:pPr>
    <w:rPr>
      <w:rFonts w:ascii="宋体" w:eastAsia="宋体"/>
      <w:szCs w:val="21"/>
    </w:rPr>
  </w:style>
  <w:style w:type="paragraph" w:customStyle="1" w:styleId="57">
    <w:name w:val="标准文件_正文表标题"/>
    <w:next w:val="1"/>
    <w:qFormat/>
    <w:uiPriority w:val="0"/>
    <w:pPr>
      <w:tabs>
        <w:tab w:val="left" w:pos="0"/>
      </w:tabs>
      <w:ind w:left="4395"/>
      <w:jc w:val="center"/>
    </w:pPr>
    <w:rPr>
      <w:rFonts w:ascii="黑体" w:hAnsi="Times New Roman" w:eastAsia="黑体" w:cs="黑体"/>
      <w:sz w:val="21"/>
      <w:szCs w:val="21"/>
      <w:lang w:val="en-US" w:eastAsia="zh-CN" w:bidi="ar-SA"/>
    </w:rPr>
  </w:style>
  <w:style w:type="paragraph" w:customStyle="1" w:styleId="58">
    <w:name w:val="标准文件_章标题"/>
    <w:next w:val="1"/>
    <w:qFormat/>
    <w:locked/>
    <w:uiPriority w:val="0"/>
    <w:pPr>
      <w:tabs>
        <w:tab w:val="left" w:pos="426"/>
      </w:tabs>
      <w:spacing w:beforeLines="50" w:afterLines="50"/>
      <w:ind w:right="-105" w:rightChars="-50"/>
      <w:outlineLvl w:val="1"/>
    </w:pPr>
    <w:rPr>
      <w:rFonts w:ascii="黑体" w:hAnsi="Times New Roman" w:eastAsia="黑体" w:cs="Times New Roman"/>
      <w:sz w:val="21"/>
      <w:szCs w:val="21"/>
      <w:lang w:val="en-US" w:eastAsia="zh-CN" w:bidi="ar-SA"/>
    </w:rPr>
  </w:style>
  <w:style w:type="paragraph" w:customStyle="1" w:styleId="59">
    <w:name w:val="标准文件_一级条标题"/>
    <w:basedOn w:val="58"/>
    <w:next w:val="1"/>
    <w:link w:val="60"/>
    <w:qFormat/>
    <w:uiPriority w:val="0"/>
    <w:pPr>
      <w:spacing w:beforeLines="0" w:afterLines="0"/>
      <w:outlineLvl w:val="2"/>
    </w:pPr>
    <w:rPr>
      <w:spacing w:val="2"/>
    </w:rPr>
  </w:style>
  <w:style w:type="character" w:customStyle="1" w:styleId="60">
    <w:name w:val="标准文件_一级条标题 Char"/>
    <w:link w:val="59"/>
    <w:qFormat/>
    <w:locked/>
    <w:uiPriority w:val="0"/>
    <w:rPr>
      <w:rFonts w:ascii="黑体" w:eastAsia="黑体"/>
      <w:spacing w:val="2"/>
      <w:sz w:val="21"/>
      <w:szCs w:val="21"/>
    </w:rPr>
  </w:style>
  <w:style w:type="paragraph" w:customStyle="1" w:styleId="6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font11"/>
    <w:basedOn w:val="18"/>
    <w:qFormat/>
    <w:uiPriority w:val="0"/>
    <w:rPr>
      <w:rFonts w:ascii="宋体" w:hAnsi="宋体" w:eastAsia="宋体" w:cs="宋体"/>
      <w:color w:val="FF0000"/>
      <w:sz w:val="32"/>
      <w:szCs w:val="32"/>
      <w:u w:val="none"/>
    </w:rPr>
  </w:style>
  <w:style w:type="character" w:customStyle="1" w:styleId="63">
    <w:name w:val="font31"/>
    <w:basedOn w:val="18"/>
    <w:qFormat/>
    <w:uiPriority w:val="0"/>
    <w:rPr>
      <w:rFonts w:hint="default" w:ascii="Times New Roman" w:hAnsi="Times New Roman" w:cs="Times New Roman"/>
      <w:color w:val="FF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jb\My%20Documents\&#26519;&#31168;&#33521;\&#20225;&#19994;&#26631;&#20934;&#27169;&#26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企业标准模板</Template>
  <Company>KJB</Company>
  <Pages>17</Pages>
  <Words>3229</Words>
  <Characters>4574</Characters>
  <Lines>94</Lines>
  <Paragraphs>26</Paragraphs>
  <TotalTime>25</TotalTime>
  <ScaleCrop>false</ScaleCrop>
  <LinksUpToDate>false</LinksUpToDate>
  <CharactersWithSpaces>4677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2022-07-07T22:42:00Z</dcterms:created>
  <dc:creator>科技部906</dc:creator>
  <cp:lastModifiedBy>张野</cp:lastModifiedBy>
  <cp:lastPrinted>2021-12-08T04:28:00Z</cp:lastPrinted>
  <dcterms:modified xsi:type="dcterms:W3CDTF">2026-06-16T07:33:43Z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97AF61D10C8340199B89A66032741694</vt:lpwstr>
  </property>
  <property fmtid="{D5CDD505-2E9C-101B-9397-08002B2CF9AE}" pid="4" name="KSOTemplateDocerSaveRecord">
    <vt:lpwstr>eyJoZGlkIjoiZDc3NjdhMzRkNzc1ZjMzMjM5NTdkY2FjNzA1OWE0YWIiLCJ1c2VySWQiOiIyNTEyODEyMjEifQ==</vt:lpwstr>
  </property>
</Properties>
</file>