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黑体"/>
          <w:color w:val="auto"/>
          <w:sz w:val="32"/>
          <w:szCs w:val="32"/>
          <w:highlight w:val="none"/>
          <w:lang w:val="en-US" w:eastAsia="zh-CN"/>
        </w:rPr>
      </w:pPr>
    </w:p>
    <w:p>
      <w:pPr>
        <w:jc w:val="center"/>
        <w:rPr>
          <w:rFonts w:hint="eastAsia" w:eastAsia="黑体"/>
          <w:color w:val="auto"/>
          <w:sz w:val="32"/>
          <w:szCs w:val="32"/>
          <w:highlight w:val="none"/>
          <w:lang w:val="en-US" w:eastAsia="zh-CN"/>
        </w:rPr>
      </w:pPr>
    </w:p>
    <w:p>
      <w:pPr>
        <w:jc w:val="center"/>
        <w:rPr>
          <w:rFonts w:hint="eastAsia" w:eastAsia="黑体"/>
          <w:color w:val="auto"/>
          <w:sz w:val="32"/>
          <w:szCs w:val="32"/>
          <w:highlight w:val="none"/>
          <w:lang w:val="en-US" w:eastAsia="zh-CN"/>
        </w:rPr>
      </w:pPr>
    </w:p>
    <w:p>
      <w:pPr>
        <w:jc w:val="center"/>
        <w:rPr>
          <w:rFonts w:hint="eastAsia" w:eastAsia="黑体"/>
          <w:color w:val="auto"/>
          <w:sz w:val="32"/>
          <w:szCs w:val="32"/>
          <w:highlight w:val="none"/>
          <w:lang w:val="en-US" w:eastAsia="zh-CN"/>
        </w:rPr>
      </w:pPr>
    </w:p>
    <w:p>
      <w:pPr>
        <w:jc w:val="center"/>
        <w:rPr>
          <w:rFonts w:hint="eastAsia" w:eastAsia="黑体"/>
          <w:color w:val="auto"/>
          <w:sz w:val="32"/>
          <w:szCs w:val="32"/>
          <w:highlight w:val="none"/>
          <w:lang w:val="en-US" w:eastAsia="zh-CN"/>
        </w:rPr>
      </w:pPr>
    </w:p>
    <w:p>
      <w:pPr>
        <w:jc w:val="center"/>
        <w:rPr>
          <w:rFonts w:hint="eastAsia" w:eastAsia="黑体"/>
          <w:color w:val="auto"/>
          <w:sz w:val="44"/>
          <w:szCs w:val="44"/>
          <w:highlight w:val="none"/>
          <w:lang w:val="en-US" w:eastAsia="zh-CN"/>
        </w:rPr>
      </w:pPr>
    </w:p>
    <w:p>
      <w:pPr>
        <w:jc w:val="center"/>
        <w:rPr>
          <w:rFonts w:hint="eastAsia" w:eastAsia="黑体"/>
          <w:color w:val="auto"/>
          <w:sz w:val="44"/>
          <w:szCs w:val="44"/>
          <w:highlight w:val="none"/>
          <w:lang w:val="en-US" w:eastAsia="zh-CN"/>
        </w:rPr>
      </w:pPr>
      <w:r>
        <w:rPr>
          <w:rFonts w:hint="eastAsia" w:eastAsia="黑体"/>
          <w:color w:val="auto"/>
          <w:sz w:val="44"/>
          <w:szCs w:val="44"/>
          <w:highlight w:val="none"/>
          <w:lang w:val="en-US" w:eastAsia="zh-CN"/>
        </w:rPr>
        <w:t>国家标准《镍及镍合金锻件》编制说明</w:t>
      </w:r>
    </w:p>
    <w:p>
      <w:pPr>
        <w:pStyle w:val="5"/>
        <w:rPr>
          <w:rFonts w:hint="eastAsia"/>
          <w:color w:val="auto"/>
          <w:highlight w:val="none"/>
          <w:lang w:val="en-US" w:eastAsia="zh-CN"/>
        </w:rPr>
      </w:pPr>
    </w:p>
    <w:p>
      <w:pPr>
        <w:jc w:val="center"/>
        <w:rPr>
          <w:rFonts w:hint="eastAsia" w:eastAsia="黑体"/>
          <w:color w:val="auto"/>
          <w:sz w:val="32"/>
          <w:szCs w:val="32"/>
          <w:highlight w:val="none"/>
          <w:lang w:val="en-US" w:eastAsia="zh-CN"/>
        </w:rPr>
      </w:pPr>
      <w:r>
        <w:rPr>
          <w:rFonts w:hint="eastAsia" w:eastAsia="黑体"/>
          <w:color w:val="auto"/>
          <w:sz w:val="32"/>
          <w:szCs w:val="32"/>
          <w:highlight w:val="none"/>
          <w:lang w:val="en-US" w:eastAsia="zh-CN"/>
        </w:rPr>
        <w:t>（送审稿）</w:t>
      </w:r>
    </w:p>
    <w:p>
      <w:pPr>
        <w:jc w:val="center"/>
        <w:rPr>
          <w:rFonts w:hint="eastAsia" w:eastAsia="黑体"/>
          <w:color w:val="auto"/>
          <w:sz w:val="28"/>
          <w:szCs w:val="28"/>
          <w:highlight w:val="none"/>
          <w:lang w:val="en-US" w:eastAsia="zh-CN"/>
        </w:rPr>
      </w:pPr>
    </w:p>
    <w:p>
      <w:pPr>
        <w:jc w:val="center"/>
        <w:rPr>
          <w:rFonts w:hint="eastAsia" w:eastAsia="黑体"/>
          <w:color w:val="auto"/>
          <w:sz w:val="28"/>
          <w:szCs w:val="28"/>
          <w:highlight w:val="none"/>
          <w:lang w:val="en-US" w:eastAsia="zh-CN"/>
        </w:rPr>
      </w:pPr>
    </w:p>
    <w:p>
      <w:pPr>
        <w:jc w:val="center"/>
        <w:rPr>
          <w:rFonts w:hint="eastAsia" w:eastAsia="黑体"/>
          <w:color w:val="auto"/>
          <w:sz w:val="28"/>
          <w:szCs w:val="28"/>
          <w:highlight w:val="none"/>
          <w:lang w:val="en-US" w:eastAsia="zh-CN"/>
        </w:rPr>
      </w:pPr>
    </w:p>
    <w:p>
      <w:pPr>
        <w:jc w:val="center"/>
        <w:rPr>
          <w:rFonts w:hint="eastAsia" w:eastAsia="黑体"/>
          <w:color w:val="auto"/>
          <w:sz w:val="28"/>
          <w:szCs w:val="28"/>
          <w:highlight w:val="none"/>
          <w:lang w:val="en-US" w:eastAsia="zh-CN"/>
        </w:rPr>
      </w:pPr>
    </w:p>
    <w:p>
      <w:pPr>
        <w:jc w:val="center"/>
        <w:rPr>
          <w:rFonts w:hint="eastAsia" w:eastAsia="黑体"/>
          <w:color w:val="auto"/>
          <w:sz w:val="28"/>
          <w:szCs w:val="28"/>
          <w:highlight w:val="none"/>
          <w:lang w:val="en-US" w:eastAsia="zh-CN"/>
        </w:rPr>
      </w:pPr>
    </w:p>
    <w:p>
      <w:pPr>
        <w:jc w:val="center"/>
        <w:rPr>
          <w:rFonts w:hint="eastAsia" w:eastAsia="黑体"/>
          <w:color w:val="auto"/>
          <w:sz w:val="28"/>
          <w:szCs w:val="28"/>
          <w:highlight w:val="none"/>
          <w:lang w:val="en-US" w:eastAsia="zh-CN"/>
        </w:rPr>
      </w:pPr>
    </w:p>
    <w:p>
      <w:pPr>
        <w:jc w:val="center"/>
        <w:rPr>
          <w:rFonts w:hint="eastAsia" w:eastAsia="黑体"/>
          <w:color w:val="auto"/>
          <w:sz w:val="28"/>
          <w:szCs w:val="28"/>
          <w:highlight w:val="none"/>
          <w:lang w:val="en-US" w:eastAsia="zh-CN"/>
        </w:rPr>
      </w:pPr>
    </w:p>
    <w:p>
      <w:pPr>
        <w:jc w:val="center"/>
        <w:rPr>
          <w:rFonts w:hint="eastAsia" w:eastAsia="黑体"/>
          <w:color w:val="auto"/>
          <w:sz w:val="28"/>
          <w:szCs w:val="28"/>
          <w:highlight w:val="none"/>
          <w:lang w:val="en-US" w:eastAsia="zh-CN"/>
        </w:rPr>
      </w:pPr>
      <w:r>
        <w:rPr>
          <w:rFonts w:hint="eastAsia" w:eastAsia="黑体"/>
          <w:color w:val="auto"/>
          <w:sz w:val="28"/>
          <w:szCs w:val="28"/>
          <w:highlight w:val="none"/>
          <w:lang w:val="en-US" w:eastAsia="zh-CN"/>
        </w:rPr>
        <w:t>攀钢集团沈阳钛金属新材料有限公司</w:t>
      </w:r>
    </w:p>
    <w:p>
      <w:pPr>
        <w:jc w:val="center"/>
        <w:rPr>
          <w:rFonts w:hint="default" w:eastAsia="黑体"/>
          <w:color w:val="auto"/>
          <w:sz w:val="28"/>
          <w:szCs w:val="28"/>
          <w:highlight w:val="none"/>
          <w:lang w:val="en-US" w:eastAsia="zh-CN"/>
        </w:rPr>
      </w:pPr>
      <w:r>
        <w:rPr>
          <w:rFonts w:hint="eastAsia" w:eastAsia="黑体"/>
          <w:color w:val="auto"/>
          <w:sz w:val="28"/>
          <w:szCs w:val="28"/>
          <w:highlight w:val="none"/>
          <w:lang w:val="en-US" w:eastAsia="zh-CN"/>
        </w:rPr>
        <w:t>2026年6月</w:t>
      </w:r>
      <w:r>
        <w:rPr>
          <w:rFonts w:hint="eastAsia" w:eastAsia="黑体"/>
          <w:color w:val="auto"/>
          <w:sz w:val="28"/>
          <w:szCs w:val="28"/>
          <w:highlight w:val="none"/>
          <w:lang w:val="en-US" w:eastAsia="zh-CN"/>
        </w:rPr>
        <w:br w:type="page"/>
      </w:r>
    </w:p>
    <w:p>
      <w:pPr>
        <w:jc w:val="center"/>
        <w:rPr>
          <w:rFonts w:hint="eastAsia" w:eastAsia="黑体"/>
          <w:color w:val="auto"/>
          <w:sz w:val="44"/>
          <w:szCs w:val="44"/>
          <w:highlight w:val="none"/>
          <w:lang w:val="en-US" w:eastAsia="zh-CN"/>
        </w:rPr>
      </w:pPr>
      <w:r>
        <w:rPr>
          <w:rFonts w:hint="eastAsia" w:eastAsia="黑体"/>
          <w:color w:val="auto"/>
          <w:sz w:val="44"/>
          <w:szCs w:val="44"/>
          <w:highlight w:val="none"/>
          <w:lang w:val="en-US" w:eastAsia="zh-CN"/>
        </w:rPr>
        <w:t>国家标准《镍及镍合金锻件》编制说明</w:t>
      </w:r>
    </w:p>
    <w:p>
      <w:pPr>
        <w:jc w:val="center"/>
        <w:rPr>
          <w:rFonts w:hint="eastAsia" w:eastAsia="黑体"/>
          <w:color w:val="auto"/>
          <w:sz w:val="44"/>
          <w:szCs w:val="44"/>
          <w:highlight w:val="none"/>
          <w:lang w:val="en-US" w:eastAsia="zh-CN"/>
        </w:rPr>
      </w:pPr>
      <w:r>
        <w:rPr>
          <w:rFonts w:hint="eastAsia" w:eastAsia="黑体"/>
          <w:color w:val="auto"/>
          <w:sz w:val="44"/>
          <w:szCs w:val="44"/>
          <w:highlight w:val="none"/>
          <w:lang w:val="en-US" w:eastAsia="zh-CN"/>
        </w:rPr>
        <w:t>（送审稿）</w:t>
      </w:r>
    </w:p>
    <w:p>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ascii="黑体" w:eastAsia="黑体" w:cs="Arial"/>
          <w:color w:val="auto"/>
          <w:sz w:val="21"/>
          <w:szCs w:val="21"/>
          <w:highlight w:val="none"/>
        </w:rPr>
      </w:pPr>
      <w:r>
        <w:rPr>
          <w:rFonts w:hint="eastAsia" w:ascii="黑体" w:eastAsia="黑体" w:cs="Arial"/>
          <w:color w:val="auto"/>
          <w:sz w:val="21"/>
          <w:szCs w:val="21"/>
          <w:highlight w:val="none"/>
        </w:rPr>
        <w:t>一、工作简况</w:t>
      </w:r>
    </w:p>
    <w:p>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ascii="黑体" w:eastAsia="黑体" w:cs="Arial"/>
          <w:color w:val="auto"/>
          <w:sz w:val="21"/>
          <w:szCs w:val="21"/>
          <w:highlight w:val="none"/>
        </w:rPr>
      </w:pPr>
      <w:r>
        <w:rPr>
          <w:rFonts w:hint="eastAsia" w:ascii="黑体" w:eastAsia="黑体" w:cs="Arial"/>
          <w:color w:val="auto"/>
          <w:sz w:val="21"/>
          <w:szCs w:val="21"/>
          <w:highlight w:val="none"/>
        </w:rPr>
        <w:t>1.1任务来源</w:t>
      </w:r>
    </w:p>
    <w:p>
      <w:pPr>
        <w:keepNext w:val="0"/>
        <w:keepLines w:val="0"/>
        <w:widowControl/>
        <w:suppressLineNumbers w:val="0"/>
        <w:ind w:firstLine="420" w:firstLineChars="200"/>
        <w:jc w:val="left"/>
        <w:rPr>
          <w:rFonts w:hint="eastAsia" w:ascii="宋体" w:hAnsi="宋体"/>
          <w:color w:val="auto"/>
          <w:sz w:val="21"/>
          <w:szCs w:val="21"/>
          <w:highlight w:val="none"/>
          <w:lang w:val="en-US" w:eastAsia="zh-CN"/>
        </w:rPr>
      </w:pPr>
      <w:r>
        <w:rPr>
          <w:rFonts w:ascii="Times New Roman" w:hAnsi="Times New Roman" w:cs="Times New Roman" w:eastAsiaTheme="minorEastAsia"/>
          <w:szCs w:val="21"/>
        </w:rPr>
        <w:t>根据国家标准化管理委员会下达的标准制修订计划</w:t>
      </w:r>
      <w:r>
        <w:rPr>
          <w:rFonts w:hint="eastAsia" w:ascii="Times New Roman" w:hAnsi="Times New Roman" w:cs="Times New Roman"/>
          <w:szCs w:val="21"/>
          <w:lang w:eastAsia="zh-CN"/>
        </w:rPr>
        <w:t>（</w:t>
      </w:r>
      <w:r>
        <w:rPr>
          <w:rFonts w:hint="eastAsia" w:ascii="宋体" w:hAnsi="宋体"/>
          <w:color w:val="auto"/>
          <w:sz w:val="21"/>
          <w:szCs w:val="21"/>
          <w:highlight w:val="none"/>
          <w:lang w:val="en-US" w:eastAsia="zh-CN"/>
        </w:rPr>
        <w:t>国标委发[2024]43号</w:t>
      </w:r>
      <w:r>
        <w:rPr>
          <w:rFonts w:hint="eastAsia" w:ascii="Times New Roman" w:hAnsi="Times New Roman" w:cs="Times New Roman"/>
          <w:szCs w:val="21"/>
          <w:lang w:eastAsia="zh-CN"/>
        </w:rPr>
        <w:t>）</w:t>
      </w:r>
      <w:r>
        <w:rPr>
          <w:rFonts w:ascii="Times New Roman" w:hAnsi="Times New Roman" w:cs="Times New Roman" w:eastAsiaTheme="minorEastAsia"/>
          <w:szCs w:val="21"/>
        </w:rPr>
        <w:t>，</w:t>
      </w:r>
      <w:r>
        <w:rPr>
          <w:rFonts w:hint="eastAsia" w:ascii="宋体" w:hAnsi="宋体"/>
          <w:color w:val="auto"/>
          <w:sz w:val="21"/>
          <w:szCs w:val="21"/>
          <w:highlight w:val="none"/>
          <w:lang w:val="en-US" w:eastAsia="zh-CN"/>
        </w:rPr>
        <w:t>中铝沈阳有色金属加工有限公司负责修订</w:t>
      </w:r>
      <w:r>
        <w:rPr>
          <w:rFonts w:hint="default" w:ascii="宋体" w:hAnsi="宋体"/>
          <w:color w:val="auto"/>
          <w:sz w:val="21"/>
          <w:szCs w:val="21"/>
          <w:highlight w:val="none"/>
          <w:lang w:val="en-US" w:eastAsia="zh-CN"/>
        </w:rPr>
        <w:t>GB/T26030-2010</w:t>
      </w:r>
      <w:r>
        <w:rPr>
          <w:rFonts w:hint="eastAsia" w:ascii="宋体" w:hAnsi="宋体"/>
          <w:color w:val="auto"/>
          <w:sz w:val="21"/>
          <w:szCs w:val="21"/>
          <w:highlight w:val="none"/>
          <w:lang w:val="en-US" w:eastAsia="zh-CN"/>
        </w:rPr>
        <w:t>《镍及镍合金锻件》，计划号为“20253699-7-610”，本标准计划由全国有色金属标准化技术委员会归口管理，完成年限2026年8月6日。</w:t>
      </w:r>
    </w:p>
    <w:p>
      <w:pPr>
        <w:keepNext w:val="0"/>
        <w:keepLines w:val="0"/>
        <w:widowControl/>
        <w:suppressLineNumbers w:val="0"/>
        <w:ind w:firstLine="420" w:firstLineChars="200"/>
        <w:jc w:val="left"/>
        <w:rPr>
          <w:rFonts w:hint="default" w:ascii="宋体" w:hAnsi="宋体"/>
          <w:color w:val="auto"/>
          <w:sz w:val="21"/>
          <w:szCs w:val="21"/>
          <w:highlight w:val="none"/>
          <w:lang w:val="en-US" w:eastAsia="zh-CN"/>
        </w:rPr>
      </w:pPr>
      <w:bookmarkStart w:id="0" w:name="OLE_LINK1"/>
      <w:r>
        <w:rPr>
          <w:rFonts w:hint="eastAsia" w:ascii="宋体" w:hAnsi="宋体"/>
          <w:color w:val="auto"/>
          <w:sz w:val="21"/>
          <w:szCs w:val="21"/>
          <w:highlight w:val="none"/>
          <w:lang w:val="en-US" w:eastAsia="zh-CN"/>
        </w:rPr>
        <w:t>2024年8月，由于结构调整，主起草单位“中铝沈阳有色金属加工有限公司”更名为攀钢集团沈阳钛金属新材料有限公司。因此，该标准由攀钢集团沈阳钛金属新材料有限公司</w:t>
      </w:r>
      <w:bookmarkEnd w:id="0"/>
      <w:r>
        <w:rPr>
          <w:rFonts w:hint="eastAsia" w:ascii="宋体" w:hAnsi="宋体"/>
          <w:color w:val="auto"/>
          <w:sz w:val="21"/>
          <w:szCs w:val="21"/>
          <w:highlight w:val="none"/>
          <w:lang w:val="en-US" w:eastAsia="zh-CN"/>
        </w:rPr>
        <w:t>负责，参编单位鞍钢集团北京研究院有限公司、沈阳有色金属研究所有限公司、宝钛集团有限公司、贵州安大航空锻造有限责任公司、江阴南工超合金有限公司、东北大学、抚顺特殊钢股份有限公司、宝鸡海吉钛镍有限公司、兰州兰石超合金新材料有限公司等单位共同起草。</w:t>
      </w:r>
    </w:p>
    <w:p>
      <w:pPr>
        <w:pStyle w:val="17"/>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rPr>
          <w:rFonts w:hint="eastAsia" w:hAnsi="黑体" w:cs="黑体"/>
          <w:color w:val="auto"/>
          <w:sz w:val="21"/>
          <w:szCs w:val="21"/>
          <w:highlight w:val="none"/>
        </w:rPr>
      </w:pPr>
      <w:r>
        <w:rPr>
          <w:rFonts w:hint="eastAsia" w:hAnsi="黑体" w:cs="黑体"/>
          <w:color w:val="auto"/>
          <w:sz w:val="21"/>
          <w:szCs w:val="21"/>
          <w:highlight w:val="none"/>
        </w:rPr>
        <w:t>1.2立项目的和意义</w:t>
      </w:r>
    </w:p>
    <w:p>
      <w:pPr>
        <w:ind w:firstLine="420" w:firstLineChars="200"/>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GB/T26030-2010《镍及镍合金锻件》的立项修订并非简单的技术参数调整，而是对镍及镍合金锻件产业链“标准供给”与“产业需求”适配性的系统性优化，其意义贯穿于</w:t>
      </w:r>
      <w:r>
        <w:rPr>
          <w:rFonts w:hint="default" w:hAnsi="黑体" w:cs="黑体"/>
          <w:color w:val="auto"/>
          <w:sz w:val="21"/>
          <w:szCs w:val="21"/>
          <w:highlight w:val="none"/>
          <w:lang w:val="en-US" w:eastAsia="zh-CN"/>
        </w:rPr>
        <w:t>技术迭代、产业升级、质量管控、国际对接、安全保障</w:t>
      </w:r>
      <w:r>
        <w:rPr>
          <w:rFonts w:hint="eastAsia" w:hAnsi="黑体" w:cs="黑体"/>
          <w:color w:val="auto"/>
          <w:sz w:val="21"/>
          <w:szCs w:val="21"/>
          <w:highlight w:val="none"/>
          <w:lang w:val="en-US" w:eastAsia="zh-CN"/>
        </w:rPr>
        <w:t>等维度。</w:t>
      </w:r>
    </w:p>
    <w:p>
      <w:pPr>
        <w:ind w:firstLine="420" w:firstLineChars="200"/>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首先该标准修订可解决标准滞后问题。原标准已超15年，无法覆盖部分高端镍合金新牌号，修订后能匹配材料与制造技术迭代，避免“无标可依”或“部分新产品受限”。二是支撑高端装备自主化。镍及镍合金锻件是核电、航空航天关键基础件，原标准缺失晶粒度等要求，致国产锻件难入高端供应链。修订后补充专用技术要求，助力关键装备自主可控，破解“卡脖子”瓶颈。其次优化质量管控。原标准检验判定模糊、无质量追溯要求，易引发争议和安全隐患。修订后增加了随行文件等要求。最后对接国际先进标准。原标准与新版国际标准ISO9725-2017、ASTM等标准存在差距，影响出口。修订后关键指标、检测方法兼容国际，同时保留国产技术优势，助锻件“破壁”国际市场。</w:t>
      </w:r>
    </w:p>
    <w:p>
      <w:pPr>
        <w:ind w:firstLine="420" w:firstLineChars="200"/>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综上，此次修订是“以标准引领产业变革”，为镍及镍合金锻件产业链高质量发展奠定基础。</w:t>
      </w:r>
    </w:p>
    <w:p>
      <w:pPr>
        <w:pStyle w:val="17"/>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rPr>
          <w:rFonts w:hint="eastAsia" w:hAnsi="黑体" w:cs="黑体"/>
          <w:color w:val="auto"/>
          <w:sz w:val="21"/>
          <w:szCs w:val="21"/>
          <w:highlight w:val="none"/>
          <w:lang w:val="en-US" w:eastAsia="zh-CN"/>
        </w:rPr>
      </w:pPr>
      <w:r>
        <w:rPr>
          <w:rFonts w:hint="eastAsia" w:hAnsi="黑体" w:cs="黑体"/>
          <w:color w:val="auto"/>
          <w:sz w:val="21"/>
          <w:szCs w:val="21"/>
          <w:highlight w:val="none"/>
        </w:rPr>
        <w:t>1.3</w:t>
      </w:r>
      <w:r>
        <w:rPr>
          <w:rFonts w:hint="eastAsia" w:hAnsi="黑体" w:cs="黑体"/>
          <w:color w:val="auto"/>
          <w:sz w:val="21"/>
          <w:szCs w:val="21"/>
          <w:highlight w:val="none"/>
          <w:lang w:val="en-US" w:eastAsia="zh-CN"/>
        </w:rPr>
        <w:t>主要参加单位和工作成员所作的工作</w:t>
      </w:r>
    </w:p>
    <w:p>
      <w:pPr>
        <w:jc w:val="center"/>
        <w:rPr>
          <w:rFonts w:hint="default" w:hAnsi="黑体" w:cs="黑体"/>
          <w:color w:val="auto"/>
          <w:sz w:val="21"/>
          <w:szCs w:val="21"/>
          <w:highlight w:val="none"/>
          <w:lang w:val="en-US" w:eastAsia="zh-CN"/>
        </w:rPr>
      </w:pPr>
      <w:r>
        <w:rPr>
          <w:rFonts w:hint="eastAsia" w:hAnsi="黑体" w:cs="黑体"/>
          <w:color w:val="auto"/>
          <w:sz w:val="21"/>
          <w:szCs w:val="21"/>
          <w:highlight w:val="none"/>
          <w:lang w:val="en-US" w:eastAsia="zh-CN"/>
        </w:rPr>
        <w:t>起草人单位及其主要工作</w:t>
      </w:r>
    </w:p>
    <w:tbl>
      <w:tblPr>
        <w:tblStyle w:val="11"/>
        <w:tblW w:w="8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1069"/>
        <w:gridCol w:w="4554"/>
        <w:gridCol w:w="2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tcPr>
          <w:p>
            <w:pPr>
              <w:jc w:val="center"/>
              <w:rPr>
                <w:rFonts w:hint="default" w:hAnsi="黑体" w:cs="黑体"/>
                <w:color w:val="auto"/>
                <w:sz w:val="21"/>
                <w:szCs w:val="21"/>
                <w:highlight w:val="none"/>
                <w:lang w:val="en-US" w:eastAsia="zh-CN"/>
              </w:rPr>
            </w:pPr>
            <w:r>
              <w:rPr>
                <w:rFonts w:hint="eastAsia" w:hAnsi="黑体" w:cs="黑体"/>
                <w:color w:val="auto"/>
                <w:sz w:val="21"/>
                <w:szCs w:val="21"/>
                <w:highlight w:val="none"/>
                <w:lang w:val="en-US" w:eastAsia="zh-CN"/>
              </w:rPr>
              <w:t>序号</w:t>
            </w:r>
          </w:p>
        </w:tc>
        <w:tc>
          <w:tcPr>
            <w:tcW w:w="1069" w:type="dxa"/>
          </w:tcPr>
          <w:p>
            <w:pPr>
              <w:jc w:val="center"/>
              <w:rPr>
                <w:rFonts w:hint="default" w:hAnsi="黑体" w:cs="黑体"/>
                <w:color w:val="auto"/>
                <w:sz w:val="21"/>
                <w:szCs w:val="21"/>
                <w:highlight w:val="none"/>
                <w:lang w:val="en-US" w:eastAsia="zh-CN"/>
              </w:rPr>
            </w:pPr>
            <w:r>
              <w:rPr>
                <w:rFonts w:hint="eastAsia" w:hAnsi="黑体" w:cs="黑体"/>
                <w:color w:val="auto"/>
                <w:sz w:val="21"/>
                <w:szCs w:val="21"/>
                <w:highlight w:val="none"/>
                <w:lang w:val="en-US" w:eastAsia="zh-CN"/>
              </w:rPr>
              <w:t>姓名</w:t>
            </w:r>
          </w:p>
        </w:tc>
        <w:tc>
          <w:tcPr>
            <w:tcW w:w="4554" w:type="dxa"/>
          </w:tcPr>
          <w:p>
            <w:pPr>
              <w:jc w:val="center"/>
              <w:rPr>
                <w:rFonts w:hint="default" w:hAnsi="黑体" w:cs="黑体"/>
                <w:color w:val="auto"/>
                <w:sz w:val="21"/>
                <w:szCs w:val="21"/>
                <w:highlight w:val="none"/>
                <w:lang w:val="en-US" w:eastAsia="zh-CN"/>
              </w:rPr>
            </w:pPr>
            <w:r>
              <w:rPr>
                <w:rFonts w:hint="eastAsia" w:hAnsi="黑体" w:cs="黑体"/>
                <w:color w:val="auto"/>
                <w:sz w:val="21"/>
                <w:szCs w:val="21"/>
                <w:highlight w:val="none"/>
                <w:lang w:val="en-US" w:eastAsia="zh-CN"/>
              </w:rPr>
              <w:t>单位</w:t>
            </w:r>
          </w:p>
        </w:tc>
        <w:tc>
          <w:tcPr>
            <w:tcW w:w="2533" w:type="dxa"/>
          </w:tcPr>
          <w:p>
            <w:pPr>
              <w:jc w:val="center"/>
              <w:rPr>
                <w:rFonts w:hint="default" w:hAnsi="黑体" w:cs="黑体"/>
                <w:color w:val="auto"/>
                <w:sz w:val="21"/>
                <w:szCs w:val="21"/>
                <w:highlight w:val="none"/>
                <w:lang w:val="en-US" w:eastAsia="zh-CN"/>
              </w:rPr>
            </w:pPr>
            <w:r>
              <w:rPr>
                <w:rFonts w:hint="eastAsia" w:hAnsi="黑体" w:cs="黑体"/>
                <w:color w:val="auto"/>
                <w:sz w:val="21"/>
                <w:szCs w:val="21"/>
                <w:highlight w:val="none"/>
                <w:lang w:val="en-US" w:eastAsia="zh-CN"/>
              </w:rPr>
              <w:t>主要任务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tcPr>
          <w:p>
            <w:pPr>
              <w:jc w:val="center"/>
              <w:rPr>
                <w:rFonts w:hint="default" w:hAnsi="黑体" w:cs="黑体"/>
                <w:color w:val="auto"/>
                <w:sz w:val="21"/>
                <w:szCs w:val="21"/>
                <w:highlight w:val="none"/>
                <w:lang w:val="en-US" w:eastAsia="zh-CN"/>
              </w:rPr>
            </w:pPr>
            <w:r>
              <w:rPr>
                <w:rFonts w:hint="eastAsia" w:hAnsi="黑体" w:cs="黑体"/>
                <w:color w:val="auto"/>
                <w:sz w:val="21"/>
                <w:szCs w:val="21"/>
                <w:highlight w:val="none"/>
                <w:lang w:val="en-US" w:eastAsia="zh-CN"/>
              </w:rPr>
              <w:t>1</w:t>
            </w:r>
          </w:p>
        </w:tc>
        <w:tc>
          <w:tcPr>
            <w:tcW w:w="1069" w:type="dxa"/>
            <w:vAlign w:val="center"/>
          </w:tcPr>
          <w:p>
            <w:pPr>
              <w:jc w:val="center"/>
              <w:rPr>
                <w:rFonts w:hint="default" w:hAnsi="黑体" w:cs="黑体"/>
                <w:color w:val="auto"/>
                <w:sz w:val="21"/>
                <w:szCs w:val="21"/>
                <w:highlight w:val="none"/>
                <w:lang w:val="en-US" w:eastAsia="zh-CN"/>
              </w:rPr>
            </w:pPr>
            <w:r>
              <w:rPr>
                <w:rFonts w:hint="eastAsia" w:hAnsi="黑体" w:cs="黑体"/>
                <w:color w:val="auto"/>
                <w:sz w:val="21"/>
                <w:szCs w:val="21"/>
                <w:highlight w:val="none"/>
                <w:lang w:val="en-US" w:eastAsia="zh-CN"/>
              </w:rPr>
              <w:t>张野</w:t>
            </w:r>
          </w:p>
        </w:tc>
        <w:tc>
          <w:tcPr>
            <w:tcW w:w="4554" w:type="dxa"/>
            <w:vAlign w:val="center"/>
          </w:tcPr>
          <w:p>
            <w:pPr>
              <w:jc w:val="center"/>
              <w:rPr>
                <w:rFonts w:hint="default" w:hAnsi="黑体" w:cs="黑体"/>
                <w:color w:val="auto"/>
                <w:sz w:val="21"/>
                <w:szCs w:val="21"/>
                <w:highlight w:val="none"/>
                <w:lang w:val="en-US" w:eastAsia="zh-CN"/>
              </w:rPr>
            </w:pPr>
            <w:r>
              <w:rPr>
                <w:rFonts w:hint="eastAsia" w:hAnsi="黑体" w:cs="黑体"/>
                <w:color w:val="auto"/>
                <w:sz w:val="21"/>
                <w:szCs w:val="21"/>
                <w:highlight w:val="none"/>
                <w:lang w:val="en-US" w:eastAsia="zh-CN"/>
              </w:rPr>
              <w:t>攀钢集团沈阳钛金属新材料有限公司</w:t>
            </w:r>
          </w:p>
        </w:tc>
        <w:tc>
          <w:tcPr>
            <w:tcW w:w="2533" w:type="dxa"/>
          </w:tcPr>
          <w:p>
            <w:pPr>
              <w:jc w:val="center"/>
              <w:rPr>
                <w:rFonts w:hint="default" w:hAnsi="黑体" w:cs="黑体"/>
                <w:color w:val="auto"/>
                <w:sz w:val="21"/>
                <w:szCs w:val="21"/>
                <w:highlight w:val="none"/>
                <w:lang w:val="en-US" w:eastAsia="zh-CN"/>
              </w:rPr>
            </w:pPr>
            <w:r>
              <w:rPr>
                <w:rFonts w:hint="eastAsia" w:hAnsi="黑体" w:cs="黑体"/>
                <w:color w:val="auto"/>
                <w:sz w:val="21"/>
                <w:szCs w:val="21"/>
                <w:highlight w:val="none"/>
                <w:lang w:val="en-US" w:eastAsia="zh-CN"/>
              </w:rPr>
              <w:t>标准条款的编写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vAlign w:val="top"/>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2</w:t>
            </w:r>
          </w:p>
        </w:tc>
        <w:tc>
          <w:tcPr>
            <w:tcW w:w="1069" w:type="dxa"/>
            <w:vAlign w:val="center"/>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滕艾均</w:t>
            </w:r>
          </w:p>
        </w:tc>
        <w:tc>
          <w:tcPr>
            <w:tcW w:w="4554" w:type="dxa"/>
            <w:vAlign w:val="center"/>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ascii="宋体" w:hAnsi="宋体" w:cs="宋体"/>
                <w:color w:val="0000FF"/>
                <w:sz w:val="21"/>
                <w:szCs w:val="21"/>
                <w:highlight w:val="none"/>
                <w:lang w:val="en-US" w:eastAsia="zh-CN"/>
              </w:rPr>
              <w:t>攀钢集团研究院有限公司北京钒钛研究分公司</w:t>
            </w:r>
          </w:p>
        </w:tc>
        <w:tc>
          <w:tcPr>
            <w:tcW w:w="2533" w:type="dxa"/>
            <w:vAlign w:val="top"/>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相关数据提供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vAlign w:val="top"/>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3</w:t>
            </w:r>
          </w:p>
        </w:tc>
        <w:tc>
          <w:tcPr>
            <w:tcW w:w="1069" w:type="dxa"/>
            <w:vAlign w:val="center"/>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朱峰</w:t>
            </w:r>
          </w:p>
        </w:tc>
        <w:tc>
          <w:tcPr>
            <w:tcW w:w="4554" w:type="dxa"/>
            <w:vAlign w:val="center"/>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沈阳有色金属研究所有限公司</w:t>
            </w:r>
          </w:p>
        </w:tc>
        <w:tc>
          <w:tcPr>
            <w:tcW w:w="2533" w:type="dxa"/>
            <w:vAlign w:val="top"/>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相关数据提供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vAlign w:val="top"/>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4</w:t>
            </w:r>
          </w:p>
        </w:tc>
        <w:tc>
          <w:tcPr>
            <w:tcW w:w="1069" w:type="dxa"/>
            <w:vAlign w:val="center"/>
          </w:tcPr>
          <w:p>
            <w:pPr>
              <w:jc w:val="center"/>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胡志杰</w:t>
            </w:r>
          </w:p>
        </w:tc>
        <w:tc>
          <w:tcPr>
            <w:tcW w:w="4554" w:type="dxa"/>
            <w:vAlign w:val="center"/>
          </w:tcPr>
          <w:p>
            <w:pPr>
              <w:jc w:val="center"/>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宝钛集团有限公司</w:t>
            </w:r>
          </w:p>
        </w:tc>
        <w:tc>
          <w:tcPr>
            <w:tcW w:w="2533" w:type="dxa"/>
            <w:vAlign w:val="top"/>
          </w:tcPr>
          <w:p>
            <w:pPr>
              <w:jc w:val="center"/>
              <w:rPr>
                <w:rFonts w:hint="default" w:hAnsi="黑体" w:cs="黑体"/>
                <w:color w:val="auto"/>
                <w:sz w:val="21"/>
                <w:szCs w:val="21"/>
                <w:highlight w:val="none"/>
                <w:lang w:val="en-US" w:eastAsia="zh-CN"/>
              </w:rPr>
            </w:pPr>
            <w:r>
              <w:rPr>
                <w:rFonts w:hint="eastAsia" w:hAnsi="黑体" w:cs="黑体"/>
                <w:color w:val="auto"/>
                <w:sz w:val="21"/>
                <w:szCs w:val="21"/>
                <w:highlight w:val="none"/>
                <w:lang w:val="en-US" w:eastAsia="zh-CN"/>
              </w:rPr>
              <w:t>相关数据提供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vAlign w:val="top"/>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5</w:t>
            </w:r>
          </w:p>
        </w:tc>
        <w:tc>
          <w:tcPr>
            <w:tcW w:w="1069" w:type="dxa"/>
            <w:vAlign w:val="center"/>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李文岗</w:t>
            </w:r>
          </w:p>
        </w:tc>
        <w:tc>
          <w:tcPr>
            <w:tcW w:w="4554" w:type="dxa"/>
            <w:vAlign w:val="center"/>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贵州安大航空锻造有限责任公司</w:t>
            </w:r>
          </w:p>
        </w:tc>
        <w:tc>
          <w:tcPr>
            <w:tcW w:w="2533" w:type="dxa"/>
            <w:vAlign w:val="top"/>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相关数据提供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vAlign w:val="top"/>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6</w:t>
            </w:r>
          </w:p>
        </w:tc>
        <w:tc>
          <w:tcPr>
            <w:tcW w:w="1069" w:type="dxa"/>
            <w:vAlign w:val="center"/>
          </w:tcPr>
          <w:p>
            <w:pPr>
              <w:jc w:val="center"/>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周志强</w:t>
            </w:r>
          </w:p>
        </w:tc>
        <w:tc>
          <w:tcPr>
            <w:tcW w:w="4554" w:type="dxa"/>
            <w:vAlign w:val="center"/>
          </w:tcPr>
          <w:p>
            <w:pPr>
              <w:jc w:val="center"/>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江阴南工超合金有限公司</w:t>
            </w:r>
          </w:p>
        </w:tc>
        <w:tc>
          <w:tcPr>
            <w:tcW w:w="2533" w:type="dxa"/>
            <w:vAlign w:val="top"/>
          </w:tcPr>
          <w:p>
            <w:pPr>
              <w:jc w:val="center"/>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相关数据提供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vAlign w:val="top"/>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7</w:t>
            </w:r>
          </w:p>
        </w:tc>
        <w:tc>
          <w:tcPr>
            <w:tcW w:w="1069" w:type="dxa"/>
            <w:vAlign w:val="center"/>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刘轶群</w:t>
            </w:r>
          </w:p>
        </w:tc>
        <w:tc>
          <w:tcPr>
            <w:tcW w:w="4554" w:type="dxa"/>
            <w:vAlign w:val="center"/>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宝鸡海吉钛镍有限公司</w:t>
            </w:r>
          </w:p>
        </w:tc>
        <w:tc>
          <w:tcPr>
            <w:tcW w:w="2533" w:type="dxa"/>
            <w:vAlign w:val="top"/>
          </w:tcPr>
          <w:p>
            <w:pPr>
              <w:jc w:val="center"/>
              <w:rPr>
                <w:rFonts w:hint="eastAsia" w:hAnsi="黑体" w:cs="黑体" w:asciiTheme="minorHAnsi" w:eastAsiaTheme="minorEastAsia"/>
                <w:color w:val="auto"/>
                <w:kern w:val="2"/>
                <w:sz w:val="21"/>
                <w:szCs w:val="21"/>
                <w:highlight w:val="none"/>
                <w:lang w:val="en-US" w:eastAsia="zh-CN" w:bidi="ar-SA"/>
              </w:rPr>
            </w:pPr>
            <w:bookmarkStart w:id="12" w:name="_GoBack"/>
            <w:bookmarkEnd w:id="12"/>
            <w:r>
              <w:rPr>
                <w:rFonts w:hint="eastAsia" w:hAnsi="黑体" w:cs="黑体"/>
                <w:color w:val="auto"/>
                <w:sz w:val="21"/>
                <w:szCs w:val="21"/>
                <w:highlight w:val="none"/>
                <w:lang w:val="en-US" w:eastAsia="zh-CN"/>
              </w:rPr>
              <w:t>相关数据提供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vAlign w:val="top"/>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8</w:t>
            </w:r>
          </w:p>
        </w:tc>
        <w:tc>
          <w:tcPr>
            <w:tcW w:w="1069" w:type="dxa"/>
            <w:vAlign w:val="center"/>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祖国胤</w:t>
            </w:r>
          </w:p>
        </w:tc>
        <w:tc>
          <w:tcPr>
            <w:tcW w:w="4554" w:type="dxa"/>
            <w:vAlign w:val="center"/>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东北大学</w:t>
            </w:r>
          </w:p>
        </w:tc>
        <w:tc>
          <w:tcPr>
            <w:tcW w:w="2533" w:type="dxa"/>
            <w:vAlign w:val="top"/>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相关数据提供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vAlign w:val="top"/>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kern w:val="2"/>
                <w:sz w:val="21"/>
                <w:szCs w:val="21"/>
                <w:highlight w:val="none"/>
                <w:lang w:val="en-US" w:eastAsia="zh-CN" w:bidi="ar-SA"/>
              </w:rPr>
              <w:t>9</w:t>
            </w:r>
          </w:p>
        </w:tc>
        <w:tc>
          <w:tcPr>
            <w:tcW w:w="1069" w:type="dxa"/>
            <w:vAlign w:val="center"/>
          </w:tcPr>
          <w:p>
            <w:pPr>
              <w:jc w:val="center"/>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白滨荣</w:t>
            </w:r>
          </w:p>
        </w:tc>
        <w:tc>
          <w:tcPr>
            <w:tcW w:w="4554" w:type="dxa"/>
            <w:vAlign w:val="center"/>
          </w:tcPr>
          <w:p>
            <w:pPr>
              <w:jc w:val="center"/>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兰州兰石超合金新材料有限公司</w:t>
            </w:r>
          </w:p>
        </w:tc>
        <w:tc>
          <w:tcPr>
            <w:tcW w:w="2533" w:type="dxa"/>
            <w:vAlign w:val="top"/>
          </w:tcPr>
          <w:p>
            <w:pPr>
              <w:jc w:val="center"/>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相关数据提供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vAlign w:val="top"/>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kern w:val="2"/>
                <w:sz w:val="21"/>
                <w:szCs w:val="21"/>
                <w:highlight w:val="none"/>
                <w:lang w:val="en-US" w:eastAsia="zh-CN" w:bidi="ar-SA"/>
              </w:rPr>
              <w:t>10</w:t>
            </w:r>
          </w:p>
        </w:tc>
        <w:tc>
          <w:tcPr>
            <w:tcW w:w="1069" w:type="dxa"/>
            <w:vAlign w:val="center"/>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于杰</w:t>
            </w:r>
          </w:p>
        </w:tc>
        <w:tc>
          <w:tcPr>
            <w:tcW w:w="4554" w:type="dxa"/>
            <w:vAlign w:val="center"/>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抚顺特殊钢股份有限公司</w:t>
            </w:r>
          </w:p>
        </w:tc>
        <w:tc>
          <w:tcPr>
            <w:tcW w:w="2533" w:type="dxa"/>
            <w:vAlign w:val="top"/>
          </w:tcPr>
          <w:p>
            <w:pPr>
              <w:jc w:val="center"/>
              <w:rPr>
                <w:rFonts w:hint="eastAsia" w:hAnsi="黑体" w:cs="黑体" w:asciiTheme="minorHAnsi" w:eastAsiaTheme="minorEastAsia"/>
                <w:color w:val="auto"/>
                <w:kern w:val="2"/>
                <w:sz w:val="21"/>
                <w:szCs w:val="21"/>
                <w:highlight w:val="none"/>
                <w:lang w:val="en-US" w:eastAsia="zh-CN" w:bidi="ar-SA"/>
              </w:rPr>
            </w:pPr>
            <w:r>
              <w:rPr>
                <w:rFonts w:hint="eastAsia" w:hAnsi="黑体" w:cs="黑体"/>
                <w:color w:val="auto"/>
                <w:sz w:val="21"/>
                <w:szCs w:val="21"/>
                <w:highlight w:val="none"/>
                <w:lang w:val="en-US" w:eastAsia="zh-CN"/>
              </w:rPr>
              <w:t>相关数据提供</w:t>
            </w:r>
          </w:p>
        </w:tc>
      </w:tr>
    </w:tbl>
    <w:p>
      <w:pPr>
        <w:pStyle w:val="17"/>
        <w:keepNext w:val="0"/>
        <w:keepLines w:val="0"/>
        <w:pageBreakBefore w:val="0"/>
        <w:kinsoku/>
        <w:wordWrap/>
        <w:overflowPunct/>
        <w:topLinePunct w:val="0"/>
        <w:autoSpaceDE/>
        <w:autoSpaceDN/>
        <w:bidi w:val="0"/>
        <w:adjustRightInd/>
        <w:snapToGrid/>
        <w:spacing w:beforeLines="0" w:afterLines="0" w:line="440" w:lineRule="exact"/>
        <w:ind w:firstLine="420" w:firstLineChars="200"/>
        <w:textAlignment w:val="auto"/>
        <w:outlineLvl w:val="9"/>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各参编单位简介情况如下：</w:t>
      </w:r>
    </w:p>
    <w:p>
      <w:pPr>
        <w:ind w:firstLine="420" w:firstLineChars="200"/>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攀钢集团沈阳钛金属新材料有限公司：地处沈阳市苏家屯区沈阳金属新材料产业园区，是鞍钢集团下属攀钢集团全资子公司，前身为中铝沈阳有色金属加工有限公司，2024 年 8 月完成工商更名，作为国资委批复的钛金属新材料现代产业链链长单位攀钢集团布局东北的核心生产基地，公司占地 600 亩、注册资本 12.21 亿元，规划年产万余吨钛镍加工材，配备德美意多国引进及国内配套的高端冶炼、锻造、轧制关键设备，建成完备的多条生产线与专属技术研发中心，可规模化生产多牌号钛、镍、铜及其合金系列产品；企业技术积淀深厚，圆满完成多项国家重点科研攻关任务，TC4 钛合金锻饼荣获国家银质奖，自主研制的大规格锆无氧铜饼有力护航我国航天事业发展，先后获评高新技术企业、辽宁省专精特新中小企业、瞪羚企业等多项重磅资质，公司传承国企优良精神，正全力建设国内一流、国际领先的稀有金属加工标杆企业。</w:t>
      </w:r>
    </w:p>
    <w:p>
      <w:pPr>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攀钢集团研究院有限公司北京钒钛研究分公司：2025年8月正式组建成立。作为攀钢研究院核心外延研发载体，该机构同时也是鞍钢集团钒钛特钢新材料板块布局在北京的重要专业研发平台。分公司深度嵌入国家级创新体系，是钒钛资源综合利用国家重点实验室、海洋装备用金属材料及其应用国家重点实验室等重大国家级创新平台的关键组成单元。立足国家重大产业发展战略，分公司紧密围绕航空航天、海洋工程装备、高端能源装备、先进轨道交通等关键领域的材料发展需求，系统布局钒钛新材料、特种金属材料以及新型非传统材料方向，统筹开展应用基础理论探究、前沿颠覆性技术攻关、行业关键共性技术突破与配套工程化验证、产业化应用研究。</w:t>
      </w:r>
    </w:p>
    <w:p>
      <w:pPr>
        <w:ind w:firstLine="420" w:firstLineChars="200"/>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沈阳有色金属研究所有限公司：公司是专精有色金属新材料研发与量产的高新技术企业，搭建起从真空熔炼到型材深加工的全流程产线，配套高精端试验检测设备，可自主闭环完成生产、试制与检测全链条业务，主营铜镍钛合金、贵金属合金、特种钎焊料等多品类板带箔管棒线型材及军工定制制品；公司量产多款电真空镍基合金、航空发动机专用真空钎焊料、雷达及飞机仪表配套特种合金，多款核心材料配套长征系列运载火箭，供给头部通信企业的波导管国内市占率超六成，深度赋能航空航天、舰船、电子雷达、仪器仪表等国防关键领域，行业口碑卓著、屡获官方表彰；企业建有完备科研体系与专业研发团队，手握十余项国家专利，作为国标委会员单位牵头、参编十余项国家及行业标准，获评省级技术中心、省级合金材料创新中心等权威资质，多款高端有色材料实现国产化进口替代，跻身兵器、航空、航天、船舶电子集采合格供应商名录，同时依托接触器用碲铜板专项技术积淀，为对应行业标准编制筑牢坚实技术根基。</w:t>
      </w:r>
    </w:p>
    <w:p>
      <w:pPr>
        <w:ind w:firstLine="420" w:firstLineChars="200"/>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宝钛集团有限公司：中国有色金属工业协会钛锆铪分会会长单位，拥有完整的有色金属（稀有金属）产业链，主营钛、锆、镍、镁等金属材料相关业务，涵盖合金熔铸、锻造、板材/带材/箔材轧制、管材/棒材/线材加工、精密铸造及残料回收综合利用等全流程。现为国家高新技术企业、"两弹一星"功勋单位、国防军工关键材料保供基地、航空航天钛合金材料主供商、行业内唯一“中国工业大奖”获奖单位。</w:t>
      </w:r>
    </w:p>
    <w:p>
      <w:pPr>
        <w:ind w:firstLine="420" w:firstLineChars="200"/>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贵州安大航空锻造有限责任公司：始建于1966年，2000年改制成立，是隶属于中国航空工业集团、由中航重机股份有限公司控股的大型国有高新技术企业。公司专注于航空发动机、飞机及燃气轮机等高端装备锻件的研发与生产，是国内领先的特种锻造和精密轧制基地。企业拥有国家企业技术中心资质，是工信部制造业单项冠军企业，并于2023年荣获贵州省省长质量奖。其产品广泛配套于国内外航空装备，并出口至多国，已成为全球多家知名航空企业的供应商。公司拥有辗环、轧盘、自由锻、模锻、等温锻、模具加工、机械加工、热处理等系列生产线。在高温合金、钛合金、铝合金、超高强度钢等特种合金的高端锻造技术领域具备较强的优势，成为向航空航天、船舶汽车、石油化工、工程机械、电力等行业提供各类锻件、环轧件的供应商，产品已远销英国、比利时、加拿大、日本、西班牙、意大利、德国和美国等国家。</w:t>
      </w:r>
    </w:p>
    <w:p>
      <w:pPr>
        <w:ind w:firstLine="420" w:firstLineChars="200"/>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江阴南工超合金有限公司：2016 年成立，为南工锻造全资子公司，注册资本 1 亿元，坐落于江苏江阴，曾用名国机金属江苏有限公司，是高新技术企业、省级专精特新中小企业。公司引进国际高端真空感应炉、电渣重熔炉、真空自耗炉等特种冶炼装备，建成年产 3000 吨特种合金产能基地，打通超纯净冶炼、压延成型、热处理、精加工全链条，主营高温合金、耐蚀合金、精密合金、难熔稀有金属型材、锻件、棒管材等产品。手握 35 项专利，通过 ISO 三大体系认证，产品广泛配套航空航天、清洁能源、海洋工程、石油化工、军工电子等高端领域，可提供材料研发、定制生产一体化解决方案，致力打造全球一流特种合金核心材料供应商。</w:t>
      </w:r>
    </w:p>
    <w:p>
      <w:pPr>
        <w:ind w:firstLine="420" w:firstLineChars="200"/>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宝鸡海吉钛镍有限公司：成立于2003年，位于“中国钛城”之称的宝鸡市高新开发区宝钛路中段67号，国家高新技术企业，陕西省“专精特新”中小企业，专业从事镍及镍合金材料的研发与生产，主导产品包括镍及镍合金卷（板）、管、棒、锻件、制品等，公司拥有1.5T真空中频感应炉、6300T快锻机、800mm冷/热轧机、XC60斜轧穿孔机、8T/15T真空自耗电弧炉等先进制造装备，近三年来生产、销售镍及镍合金加工材约2000余吨/年，年销售收入超4亿元。近年来，公司加大镍及镍合金熔炼和压延加工核心技术的深度研发，拥有多项自主知识产权，其中：发明专利8项、实用新型7项。2023年“10吨级大单重宽幅镍卷”列入陕西省重点新产品开发项目计划，同年“10吨级大单重镍卷（板）”评定为“陕西工业精品”，公司研发中心评定为“宝鸡市耐蚀镍及镍合金材料工程技术研究中心”。依托多年的研发创新和技术积累，企业的竞争优势和市场地位突出，镍及镍合金加工材在行业内得到广泛认可，产品广泛应用于制盐、氯碱、化工、冶金、制药、环保、镀膜、电子特气等行业。</w:t>
      </w:r>
    </w:p>
    <w:p>
      <w:pPr>
        <w:ind w:firstLine="420" w:firstLineChars="200"/>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东北大学：东北大学始建于 1923 年，坐落于辽宁沈阳，是教育部直属全国重点大学，国家 “985 工程”“211 工程”、双一流建设高校，同时隶属国防七子协作院校，拥有鲜明的工业底色与重工学科优势。学校冶金工程、材料科学与工程、材料加工、有色金属、钛镍特种合金、轧制技术等学科实力全国顶尖，建有轧制技术及连轧自动化国家重点实验室等一批国家级科研平台，长期深耕稀有金属、高温合金、特种新材料研发。深度联动鞍钢、攀钢及东北有色新材料产业集群，持续为航空航天、军工、舰船、高端装备领域输送技术成果与专业人才，产学研转化能力突出，是我国重工业、新材料领域重要的人才摇篮与核心技术研发高地。</w:t>
      </w:r>
    </w:p>
    <w:p>
      <w:pPr>
        <w:ind w:firstLine="420" w:firstLineChars="200"/>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兰州兰石超合金新材料有限公司：兰石重装旗下国有高新技术企业，专注高端金属新材料研发、生产与技术服务，构建“冶炼—锻造—热处理—机加工”完整产业链。公司核心主营镍基高温合金、耐蚀合金锻件，同步生产钛合金、铜合金、精密合金、高端特钢等金属制品，涵盖板材、棒材、丝材、卷材、大型铸锻件等全系列产品。依托万吨级快锻装备，可规模化生产大吨位高温合金与特种钢锻件，产品广泛应用于航空航天、核电、海洋工程、高端炼化、新能源装备等领域，为高端装备制造提供高性能金属材料整体解决方案。</w:t>
      </w:r>
    </w:p>
    <w:p>
      <w:pPr>
        <w:ind w:firstLine="420" w:firstLineChars="200"/>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抚顺特殊钢股份有限公司：抚顺特殊钢股份有限公司（简称“抚顺特钢”）是中国特殊钢行业的领军企业，被誉为‍“中国特殊钢的摇篮”‍。公司始建于1937年，前身为抚顺钢厂，是新中国第一炉不锈钢、超高强度钢、高速钢和高温合金的诞生地。公司是国家重点军工材料研发及生产基地，长期承担国家特殊新材料的研发任务。</w:t>
      </w:r>
    </w:p>
    <w:p>
      <w:pPr>
        <w:pStyle w:val="17"/>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rPr>
          <w:rFonts w:hint="eastAsia" w:hAnsi="黑体" w:cs="黑体"/>
          <w:color w:val="auto"/>
          <w:sz w:val="21"/>
          <w:szCs w:val="21"/>
          <w:highlight w:val="none"/>
        </w:rPr>
      </w:pPr>
      <w:r>
        <w:rPr>
          <w:rFonts w:hint="eastAsia" w:hAnsi="黑体" w:cs="黑体"/>
          <w:color w:val="auto"/>
          <w:sz w:val="21"/>
          <w:szCs w:val="21"/>
          <w:highlight w:val="none"/>
        </w:rPr>
        <w:t>1.4主要工作过程</w:t>
      </w:r>
    </w:p>
    <w:p>
      <w:pPr>
        <w:rPr>
          <w:rFonts w:hint="eastAsia" w:ascii="黑体" w:hAnsi="黑体" w:eastAsia="黑体" w:cs="黑体"/>
          <w:color w:val="auto"/>
          <w:kern w:val="0"/>
          <w:sz w:val="21"/>
          <w:szCs w:val="21"/>
          <w:highlight w:val="none"/>
          <w:lang w:val="en-US" w:eastAsia="zh-CN" w:bidi="ar-SA"/>
        </w:rPr>
      </w:pPr>
      <w:r>
        <w:rPr>
          <w:rFonts w:hint="eastAsia" w:ascii="黑体" w:hAnsi="黑体" w:eastAsia="黑体" w:cs="黑体"/>
          <w:color w:val="auto"/>
          <w:kern w:val="0"/>
          <w:sz w:val="21"/>
          <w:szCs w:val="21"/>
          <w:highlight w:val="none"/>
          <w:lang w:val="en-US" w:eastAsia="zh-CN" w:bidi="ar-SA"/>
        </w:rPr>
        <w:t>1.4.1预研阶段</w:t>
      </w:r>
    </w:p>
    <w:p>
      <w:pPr>
        <w:ind w:firstLine="420" w:firstLineChars="200"/>
        <w:rPr>
          <w:rFonts w:hint="eastAsia" w:hAnsi="黑体" w:cs="黑体"/>
          <w:color w:val="auto"/>
          <w:sz w:val="21"/>
          <w:szCs w:val="21"/>
          <w:highlight w:val="none"/>
          <w:lang w:val="en-US" w:eastAsia="zh-CN"/>
        </w:rPr>
      </w:pPr>
      <w:r>
        <w:rPr>
          <w:rFonts w:hint="eastAsia" w:hAnsi="黑体" w:cs="黑体"/>
          <w:color w:val="auto"/>
          <w:sz w:val="21"/>
          <w:szCs w:val="21"/>
          <w:highlight w:val="none"/>
          <w:lang w:val="en-US" w:eastAsia="zh-CN"/>
        </w:rPr>
        <w:t>调研与试验工作简介：</w:t>
      </w:r>
    </w:p>
    <w:p>
      <w:pPr>
        <w:ind w:firstLine="420" w:firstLineChars="20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为做好GB/T26030《镍及镍合金锻件》标准修订工作，确保标准技术内容贴合行业生产实际、满足市场应用需求，编制组率先开展了全面且深入的调研与试验预研工作。调研阶段，编制组依托宝钛集团有限公司、沈阳有色金属研究所有限公司、抚顺特殊钢股份有限公司等多家行业内具备镍及镍合金锻件研发、生产、应用核心能力的单位，覆盖陕西、辽宁、甘肃、北京、贵州等国内镍及镍合金加工产业主要布局区域，涵盖全产业链龙头企业、专业研发机构、军工配套基地、高端装备锻件生产企业等不同类型市场主体。编制组通过实地走访、技术座谈、资料收集等方式，全面调研了国内镍及镍合金锻件的生产制造整体水平，重点掌握了熔炼、锻造、热处理、机加工等核心工序的工艺技术现状，梳理了航空航天、核电、海洋工程、高端炼化、国防军工等下游领域对镍及镍合金锻件的质量要求、性能指标和应用场景需求。此外，编制组还系统调研了国内外镍资源产业发展现状、行业产品检测方法应用情况，对比分析了现行标准在实际生产应用中的适配性问题，广泛收集了生产企业、应用单位对标准条款的修订意见和建议。试验验证方面，编制组成员单位充分发挥自身技术优势和设备条件，结合现有生产检测设施，针对镍及镍合金锻件的关键技术指标开展了针对性的验证分析，同步整理了现有产品生产应用中的实测数据，为标准条款的修订和技术内容的完善提供了相应的实践数据支撑。本次调研与试验工作全面摸清了国内镍及镍合金锻件产业的发展现状，明确了标准修订的方向和重点，为后续标准编制工作奠定了坚实的实践和技术基础。</w:t>
      </w:r>
    </w:p>
    <w:p>
      <w:pPr>
        <w:rPr>
          <w:rFonts w:hint="eastAsia" w:ascii="黑体" w:hAnsi="黑体" w:eastAsia="黑体" w:cs="黑体"/>
          <w:color w:val="auto"/>
          <w:kern w:val="0"/>
          <w:sz w:val="21"/>
          <w:szCs w:val="21"/>
          <w:highlight w:val="none"/>
          <w:lang w:val="en-US" w:eastAsia="zh-CN" w:bidi="ar-SA"/>
        </w:rPr>
      </w:pPr>
      <w:r>
        <w:rPr>
          <w:rFonts w:hint="eastAsia" w:ascii="黑体" w:hAnsi="黑体" w:eastAsia="黑体" w:cs="黑体"/>
          <w:color w:val="auto"/>
          <w:kern w:val="0"/>
          <w:sz w:val="21"/>
          <w:szCs w:val="21"/>
          <w:highlight w:val="none"/>
          <w:lang w:val="en-US" w:eastAsia="zh-CN" w:bidi="ar-SA"/>
        </w:rPr>
        <w:t>1.4.2标准立项</w:t>
      </w:r>
    </w:p>
    <w:p>
      <w:pPr>
        <w:keepNext w:val="0"/>
        <w:keepLines w:val="0"/>
        <w:widowControl/>
        <w:suppressLineNumbers w:val="0"/>
        <w:ind w:firstLine="420" w:firstLineChars="200"/>
        <w:jc w:val="left"/>
        <w:rPr>
          <w:rFonts w:hint="eastAsia" w:ascii="宋体" w:hAnsi="宋体"/>
          <w:color w:val="auto"/>
          <w:sz w:val="21"/>
          <w:szCs w:val="21"/>
          <w:highlight w:val="none"/>
          <w:lang w:val="en-US" w:eastAsia="zh-CN"/>
        </w:rPr>
      </w:pPr>
      <w:r>
        <w:rPr>
          <w:rFonts w:ascii="Times New Roman" w:hAnsi="Times New Roman" w:cs="Times New Roman" w:eastAsiaTheme="minorEastAsia"/>
          <w:szCs w:val="21"/>
        </w:rPr>
        <w:t>根据国家标准化管理委员会下达的标准制修订计划</w:t>
      </w:r>
      <w:r>
        <w:rPr>
          <w:rFonts w:hint="eastAsia" w:ascii="Times New Roman" w:hAnsi="Times New Roman" w:cs="Times New Roman"/>
          <w:szCs w:val="21"/>
          <w:lang w:eastAsia="zh-CN"/>
        </w:rPr>
        <w:t>（</w:t>
      </w:r>
      <w:r>
        <w:rPr>
          <w:rFonts w:hint="eastAsia" w:ascii="宋体" w:hAnsi="宋体"/>
          <w:color w:val="auto"/>
          <w:sz w:val="21"/>
          <w:szCs w:val="21"/>
          <w:highlight w:val="none"/>
          <w:lang w:val="en-US" w:eastAsia="zh-CN"/>
        </w:rPr>
        <w:t>国标委发[2024]43号</w:t>
      </w:r>
      <w:r>
        <w:rPr>
          <w:rFonts w:hint="eastAsia" w:ascii="Times New Roman" w:hAnsi="Times New Roman" w:cs="Times New Roman"/>
          <w:szCs w:val="21"/>
          <w:lang w:eastAsia="zh-CN"/>
        </w:rPr>
        <w:t>）</w:t>
      </w:r>
      <w:r>
        <w:rPr>
          <w:rFonts w:ascii="Times New Roman" w:hAnsi="Times New Roman" w:cs="Times New Roman" w:eastAsiaTheme="minorEastAsia"/>
          <w:szCs w:val="21"/>
        </w:rPr>
        <w:t>，</w:t>
      </w:r>
      <w:r>
        <w:rPr>
          <w:rFonts w:hint="eastAsia" w:ascii="宋体" w:hAnsi="宋体"/>
          <w:color w:val="auto"/>
          <w:sz w:val="21"/>
          <w:szCs w:val="21"/>
          <w:highlight w:val="none"/>
          <w:lang w:val="en-US" w:eastAsia="zh-CN"/>
        </w:rPr>
        <w:t>中铝沈阳有色金属加工有限公司负责修订</w:t>
      </w:r>
      <w:r>
        <w:rPr>
          <w:rFonts w:hint="default" w:ascii="宋体" w:hAnsi="宋体"/>
          <w:color w:val="auto"/>
          <w:sz w:val="21"/>
          <w:szCs w:val="21"/>
          <w:highlight w:val="none"/>
          <w:lang w:val="en-US" w:eastAsia="zh-CN"/>
        </w:rPr>
        <w:t>GB/T26030-2010</w:t>
      </w:r>
      <w:r>
        <w:rPr>
          <w:rFonts w:hint="eastAsia" w:ascii="宋体" w:hAnsi="宋体"/>
          <w:color w:val="auto"/>
          <w:sz w:val="21"/>
          <w:szCs w:val="21"/>
          <w:highlight w:val="none"/>
          <w:lang w:val="en-US" w:eastAsia="zh-CN"/>
        </w:rPr>
        <w:t>《镍及镍合金锻件》，计划号为“20253699-7-610”，本标准计划由全国有色金属标准化技术委员会归口管理，完成年限2026年8月6日。2024年8月，由于结构调整，主起草单位“中铝沈阳有色金属加工有限公司”更名为攀钢集团沈阳钛金属新材料有限公司。</w:t>
      </w:r>
    </w:p>
    <w:p>
      <w:pPr>
        <w:pStyle w:val="5"/>
        <w:rPr>
          <w:rFonts w:hint="eastAsia" w:ascii="黑体" w:hAnsi="黑体" w:eastAsia="黑体" w:cs="黑体"/>
          <w:color w:val="auto"/>
          <w:kern w:val="0"/>
          <w:sz w:val="21"/>
          <w:szCs w:val="21"/>
          <w:highlight w:val="none"/>
          <w:lang w:val="en-US" w:eastAsia="zh-CN" w:bidi="ar-SA"/>
        </w:rPr>
      </w:pPr>
      <w:bookmarkStart w:id="1" w:name="OLE_LINK6"/>
      <w:r>
        <w:rPr>
          <w:rFonts w:hint="eastAsia" w:ascii="黑体" w:hAnsi="黑体" w:eastAsia="黑体" w:cs="黑体"/>
          <w:color w:val="auto"/>
          <w:kern w:val="0"/>
          <w:sz w:val="21"/>
          <w:szCs w:val="21"/>
          <w:highlight w:val="none"/>
          <w:lang w:val="en-US" w:eastAsia="zh-CN" w:bidi="ar-SA"/>
        </w:rPr>
        <w:t>1.4.3起草阶段</w:t>
      </w:r>
    </w:p>
    <w:bookmarkEnd w:id="1"/>
    <w:p>
      <w:pPr>
        <w:ind w:firstLine="420" w:firstLineChars="200"/>
        <w:rPr>
          <w:rFonts w:hint="eastAsia" w:hAnsi="黑体" w:cs="黑体"/>
          <w:color w:val="auto"/>
          <w:sz w:val="21"/>
          <w:szCs w:val="21"/>
          <w:highlight w:val="none"/>
          <w:lang w:val="en-US" w:eastAsia="zh-CN"/>
        </w:rPr>
      </w:pPr>
      <w:r>
        <w:rPr>
          <w:rFonts w:hint="eastAsia" w:ascii="宋体" w:hAnsi="宋体"/>
          <w:color w:val="auto"/>
          <w:sz w:val="21"/>
          <w:szCs w:val="21"/>
          <w:highlight w:val="none"/>
          <w:lang w:val="en-US" w:eastAsia="zh-CN"/>
        </w:rPr>
        <w:t>2025年9月25日在陕西西安召开本标准第一次工作会议，与会专家40余人，对本标准</w:t>
      </w:r>
      <w:r>
        <w:rPr>
          <w:rFonts w:hint="eastAsia" w:hAnsi="黑体" w:cs="黑体"/>
          <w:color w:val="auto"/>
          <w:sz w:val="21"/>
          <w:szCs w:val="21"/>
          <w:highlight w:val="none"/>
          <w:lang w:val="en-US" w:eastAsia="zh-CN"/>
        </w:rPr>
        <w:t>征求意见1稿进行了讨论，并提出相关意见。以GB/T5235标准的形式对不同牌号进行分类，同时尽量采用国内标准牌号替代国际数字牌号；对于未稳定生产的高温合金等锻件产品暂不纳入本次标准修订内容等。会议结束后，标准编制小组于2025年10月至2026年2月进一步对行业情况进行调研，结合第一次工作会议专家意见，修改标准草案文本形成征求意见2稿。</w:t>
      </w:r>
    </w:p>
    <w:p>
      <w:pPr>
        <w:pStyle w:val="5"/>
        <w:rPr>
          <w:rFonts w:hint="eastAsia" w:ascii="黑体" w:hAnsi="黑体" w:eastAsia="黑体" w:cs="黑体"/>
          <w:color w:val="auto"/>
          <w:kern w:val="0"/>
          <w:sz w:val="21"/>
          <w:szCs w:val="21"/>
          <w:highlight w:val="none"/>
          <w:lang w:val="en-US" w:eastAsia="zh-CN" w:bidi="ar-SA"/>
        </w:rPr>
      </w:pPr>
      <w:r>
        <w:rPr>
          <w:rFonts w:hint="eastAsia" w:ascii="黑体" w:hAnsi="黑体" w:eastAsia="黑体" w:cs="黑体"/>
          <w:color w:val="auto"/>
          <w:kern w:val="0"/>
          <w:sz w:val="21"/>
          <w:szCs w:val="21"/>
          <w:highlight w:val="none"/>
          <w:lang w:val="en-US" w:eastAsia="zh-CN" w:bidi="ar-SA"/>
        </w:rPr>
        <w:t xml:space="preserve">1.4.4 </w:t>
      </w:r>
      <w:r>
        <w:rPr>
          <w:rFonts w:hint="eastAsia" w:ascii="黑体" w:hAnsi="黑体" w:eastAsia="黑体" w:cs="黑体"/>
          <w:color w:val="auto"/>
          <w:kern w:val="0"/>
          <w:sz w:val="21"/>
          <w:szCs w:val="21"/>
          <w:lang w:val="en-US" w:eastAsia="zh-CN" w:bidi="ar-SA"/>
        </w:rPr>
        <w:t>征求意见阶段</w:t>
      </w:r>
    </w:p>
    <w:p>
      <w:pPr>
        <w:ind w:firstLine="420" w:firstLineChars="200"/>
        <w:rPr>
          <w:rFonts w:hint="default" w:hAnsi="黑体" w:cs="黑体"/>
          <w:color w:val="auto"/>
          <w:sz w:val="21"/>
          <w:szCs w:val="21"/>
          <w:highlight w:val="none"/>
          <w:lang w:val="en-US" w:eastAsia="zh-CN"/>
        </w:rPr>
      </w:pPr>
      <w:r>
        <w:rPr>
          <w:rFonts w:hint="eastAsia" w:hAnsi="黑体" w:cs="黑体"/>
          <w:color w:val="auto"/>
          <w:sz w:val="21"/>
          <w:szCs w:val="21"/>
          <w:highlight w:val="none"/>
          <w:lang w:val="en-US" w:eastAsia="zh-CN"/>
        </w:rPr>
        <w:t>标准编制组于2026年5月至6月通过邮箱的方式发送标准征求意见稿及编制说明至17家行业内相关企业（均为委员单位），其中科研单位2家，其他均为生产相关企业级上下游企业。收到回复4家，均为无意见，其余13家未进行回复。</w:t>
      </w:r>
    </w:p>
    <w:p>
      <w:pPr>
        <w:pStyle w:val="2"/>
        <w:rPr>
          <w:rFonts w:hint="default"/>
          <w:lang w:val="en-US" w:eastAsia="zh-CN"/>
        </w:rPr>
      </w:pPr>
      <w:r>
        <w:rPr>
          <w:rFonts w:hint="eastAsia" w:ascii="宋体" w:hAnsi="宋体"/>
          <w:color w:val="auto"/>
          <w:sz w:val="21"/>
          <w:szCs w:val="21"/>
        </w:rPr>
        <w:t>编制组</w:t>
      </w:r>
      <w:r>
        <w:rPr>
          <w:rFonts w:hint="eastAsia" w:ascii="宋体" w:hAnsi="宋体"/>
          <w:bCs/>
          <w:color w:val="auto"/>
          <w:sz w:val="21"/>
          <w:szCs w:val="21"/>
          <w:lang w:val="en-US" w:eastAsia="zh-CN"/>
        </w:rPr>
        <w:t>经过讨论</w:t>
      </w:r>
      <w:r>
        <w:rPr>
          <w:rFonts w:hint="eastAsia" w:ascii="宋体" w:hAnsi="宋体"/>
          <w:color w:val="auto"/>
          <w:sz w:val="21"/>
          <w:szCs w:val="21"/>
        </w:rPr>
        <w:t>对标准进行</w:t>
      </w:r>
      <w:r>
        <w:rPr>
          <w:rFonts w:hint="eastAsia" w:ascii="宋体" w:hAnsi="宋体"/>
          <w:color w:val="auto"/>
          <w:sz w:val="21"/>
          <w:szCs w:val="21"/>
          <w:lang w:val="en-US" w:eastAsia="zh-CN"/>
        </w:rPr>
        <w:t>进一步</w:t>
      </w:r>
      <w:r>
        <w:rPr>
          <w:rFonts w:hint="eastAsia" w:ascii="宋体" w:hAnsi="宋体"/>
          <w:color w:val="auto"/>
          <w:sz w:val="21"/>
          <w:szCs w:val="21"/>
        </w:rPr>
        <w:t>修改和完善</w:t>
      </w:r>
      <w:r>
        <w:rPr>
          <w:rFonts w:hint="eastAsia" w:ascii="宋体" w:hAnsi="宋体"/>
          <w:bCs/>
          <w:color w:val="auto"/>
          <w:sz w:val="21"/>
          <w:szCs w:val="21"/>
        </w:rPr>
        <w:t>，形成了标准《</w:t>
      </w:r>
      <w:r>
        <w:rPr>
          <w:rFonts w:hint="eastAsia" w:ascii="宋体" w:hAnsi="宋体"/>
          <w:bCs/>
          <w:color w:val="auto"/>
          <w:sz w:val="21"/>
          <w:szCs w:val="21"/>
          <w:lang w:eastAsia="zh-CN"/>
        </w:rPr>
        <w:t>送</w:t>
      </w:r>
      <w:r>
        <w:rPr>
          <w:rFonts w:hint="eastAsia" w:ascii="宋体" w:hAnsi="宋体"/>
          <w:bCs/>
          <w:color w:val="auto"/>
          <w:sz w:val="21"/>
          <w:szCs w:val="21"/>
        </w:rPr>
        <w:t>审稿》</w:t>
      </w:r>
      <w:r>
        <w:rPr>
          <w:rFonts w:hint="eastAsia" w:asciiTheme="minorEastAsia" w:hAnsiTheme="minorEastAsia" w:eastAsiaTheme="minorEastAsia"/>
          <w:bCs/>
          <w:color w:val="auto"/>
          <w:sz w:val="21"/>
          <w:szCs w:val="21"/>
        </w:rPr>
        <w:t>及《编制说明》。</w:t>
      </w:r>
    </w:p>
    <w:p>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黑体" w:eastAsia="黑体" w:cs="Arial"/>
          <w:color w:val="auto"/>
          <w:sz w:val="21"/>
          <w:szCs w:val="21"/>
          <w:highlight w:val="none"/>
          <w:lang w:val="en-US" w:eastAsia="zh-CN"/>
        </w:rPr>
      </w:pPr>
      <w:r>
        <w:rPr>
          <w:rFonts w:hint="eastAsia" w:ascii="黑体" w:eastAsia="黑体" w:cs="Arial"/>
          <w:color w:val="auto"/>
          <w:sz w:val="21"/>
          <w:szCs w:val="21"/>
          <w:highlight w:val="none"/>
        </w:rPr>
        <w:t>二、编制原则</w:t>
      </w:r>
      <w:r>
        <w:rPr>
          <w:rFonts w:hint="eastAsia" w:ascii="黑体" w:eastAsia="黑体" w:cs="Arial"/>
          <w:color w:val="auto"/>
          <w:sz w:val="21"/>
          <w:szCs w:val="21"/>
          <w:highlight w:val="none"/>
          <w:lang w:eastAsia="zh-CN"/>
        </w:rPr>
        <w:t>、</w:t>
      </w:r>
      <w:r>
        <w:rPr>
          <w:rFonts w:hint="eastAsia" w:ascii="黑体" w:eastAsia="黑体" w:cs="Arial"/>
          <w:color w:val="auto"/>
          <w:sz w:val="21"/>
          <w:szCs w:val="21"/>
          <w:highlight w:val="none"/>
          <w:lang w:val="en-US" w:eastAsia="zh-CN"/>
        </w:rPr>
        <w:t>主要内容及其确定依据、修订前后技术内容的对比（修订时有）</w:t>
      </w:r>
    </w:p>
    <w:p>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highlight w:val="none"/>
          <w:lang w:val="en-US" w:eastAsia="zh-CN"/>
        </w:rPr>
      </w:pPr>
      <w:bookmarkStart w:id="2" w:name="OLE_LINK7"/>
      <w:r>
        <w:rPr>
          <w:rFonts w:hint="eastAsia" w:ascii="黑体" w:eastAsia="黑体" w:cs="Arial"/>
          <w:color w:val="auto"/>
          <w:sz w:val="21"/>
          <w:szCs w:val="21"/>
          <w:highlight w:val="none"/>
          <w:lang w:val="en-US" w:eastAsia="zh-CN"/>
        </w:rPr>
        <w:t>1、编制原则</w:t>
      </w:r>
    </w:p>
    <w:p>
      <w:pPr>
        <w:ind w:firstLine="420" w:firstLineChars="200"/>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本标准的起草</w:t>
      </w:r>
      <w:bookmarkEnd w:id="2"/>
      <w:r>
        <w:rPr>
          <w:rFonts w:hint="eastAsia" w:ascii="宋体" w:hAnsi="宋体"/>
          <w:color w:val="auto"/>
          <w:sz w:val="21"/>
          <w:szCs w:val="21"/>
          <w:highlight w:val="none"/>
          <w:lang w:val="en-US" w:eastAsia="zh-CN"/>
        </w:rPr>
        <w:t>严格遵循《标准化工作导则第1部分：标准化文件的结构和起草规则》（GB/T1.1-2020），在结构上设置“范围”“规范性引用文件”“术语和定义”“分类和标记”“技术要求”“试验方法”“检验规则”“标志、包装、运输、贮存和随行文件”“订货单内容”及附录，逻辑清晰且层次分明。同时，在表述上采用规范的标准化语言，技术指标表述精准，确保标准的严谨性与可读性。</w:t>
      </w:r>
    </w:p>
    <w:p>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黑体" w:eastAsia="黑体" w:cs="Arial"/>
          <w:color w:val="auto"/>
          <w:sz w:val="21"/>
          <w:szCs w:val="21"/>
          <w:highlight w:val="none"/>
          <w:lang w:val="en-US" w:eastAsia="zh-CN"/>
        </w:rPr>
      </w:pPr>
      <w:r>
        <w:rPr>
          <w:rFonts w:hint="eastAsia" w:ascii="黑体" w:eastAsia="黑体" w:cs="Arial"/>
          <w:color w:val="auto"/>
          <w:sz w:val="21"/>
          <w:szCs w:val="21"/>
          <w:highlight w:val="none"/>
          <w:lang w:val="en-US" w:eastAsia="zh-CN"/>
        </w:rPr>
        <w:t>2、</w:t>
      </w:r>
      <w:r>
        <w:rPr>
          <w:rFonts w:hint="eastAsia" w:ascii="黑体" w:eastAsia="黑体" w:cs="Arial"/>
          <w:color w:val="auto"/>
          <w:sz w:val="21"/>
          <w:szCs w:val="21"/>
          <w:highlight w:val="none"/>
        </w:rPr>
        <w:t>标准主要技术内容</w:t>
      </w:r>
      <w:r>
        <w:rPr>
          <w:rFonts w:hint="eastAsia" w:ascii="黑体" w:eastAsia="黑体" w:cs="Arial"/>
          <w:color w:val="auto"/>
          <w:sz w:val="21"/>
          <w:szCs w:val="21"/>
          <w:highlight w:val="none"/>
          <w:lang w:val="en-US" w:eastAsia="zh-CN"/>
        </w:rPr>
        <w:t>的确定依据</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范围的确定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40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本标准修订</w:t>
      </w:r>
      <w:r>
        <w:rPr>
          <w:rFonts w:hint="eastAsia" w:ascii="宋体" w:hAnsi="宋体" w:cs="宋体" w:eastAsiaTheme="minorEastAsia"/>
          <w:color w:val="auto"/>
          <w:kern w:val="2"/>
          <w:sz w:val="21"/>
          <w:szCs w:val="21"/>
          <w:highlight w:val="none"/>
          <w:lang w:val="en-US" w:eastAsia="zh-CN" w:bidi="ar-SA"/>
        </w:rPr>
        <w:t>明确</w:t>
      </w:r>
      <w:r>
        <w:rPr>
          <w:rFonts w:hint="eastAsia" w:ascii="宋体" w:hAnsi="宋体" w:cs="宋体"/>
          <w:color w:val="auto"/>
          <w:kern w:val="2"/>
          <w:sz w:val="21"/>
          <w:szCs w:val="21"/>
          <w:highlight w:val="none"/>
          <w:lang w:val="en-US" w:eastAsia="zh-CN" w:bidi="ar-SA"/>
        </w:rPr>
        <w:t>了</w:t>
      </w:r>
      <w:r>
        <w:rPr>
          <w:rFonts w:hint="eastAsia" w:ascii="宋体" w:hAnsi="宋体" w:cs="宋体" w:eastAsiaTheme="minorEastAsia"/>
          <w:color w:val="auto"/>
          <w:kern w:val="2"/>
          <w:sz w:val="21"/>
          <w:szCs w:val="21"/>
          <w:highlight w:val="none"/>
          <w:lang w:val="en-US" w:eastAsia="zh-CN" w:bidi="ar-SA"/>
        </w:rPr>
        <w:t>标准适用边界，避免与其他同类标准（如镍及镍合金板材、管材标准）重叠，同时覆盖核心应用领域。参考ISO9725:2017的适用范围（镍及镍合金锻件），结合国内产业需求，补充“航空、电子仪表及其他工业部门”的具体应用场景，既保持与国际标准的兼容性，又贴合国内产业实际；未扩展至铸锻件、复合锻件等特殊品类，避免标准范围过大导致管控失焦。</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产品的分类和标记</w:t>
      </w:r>
    </w:p>
    <w:p>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840" w:firstLineChars="4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产品分类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400"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本标准按“牌号-状态-规格”分类，符合材料标准“特性-工艺-应用”的分类逻辑，便于企业生产组织与用户选型。牌号方面，采用“GB/T5235标准牌号+国内耐蚀合金牌号”的方式，以国内牌号为主，并增加牌号对照附录，方便标准的使用；状态划分“热加工（R）、退火（M）、固溶和时效（CS）”，适配不同热处理工艺的性能需求；规格细化为“≤50mm”“＞50mm”等，对应差异化力学性能，符合“尺寸-性能关联”的材料科学原理（大尺寸锻件易因冷却不均导致性能波动）。</w:t>
      </w:r>
    </w:p>
    <w:p>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840" w:firstLineChars="4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产品标记</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40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统一标记确保产品可追溯，避免贸易与检验中的标识混乱。按“产品名称-标准编号-牌号-状态-规格”顺序标记（如“锻件GB/T26030-XXXXNW4-0.1R70×500×800”），符合GB/T1.1中“标记清晰、信息完整”的要求，同时包含关键参数（规格、状态），便于下游用户快速识别产品特性。</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技术要求的确定</w:t>
      </w:r>
    </w:p>
    <w:p>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840" w:firstLineChars="4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化学成分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400"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本标准修订在参考ISO9725:2017的成分范围的基础上主要采用国内相应牌号的化学成分，并新增NS3313、NS3405、NS1502三个牌号，成分与GB/T15007标准保持一致。</w:t>
      </w:r>
    </w:p>
    <w:p>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840" w:firstLineChars="4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外形尺寸及其允许偏差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400"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尺寸偏差直接影响锻件的装配精度与使用安全性（如大尺寸偏差可能导致设备配合间隙超标），需按尺寸区间制定合理公差。本标准修订延续原标准的尺寸区间划分（≤30mm、＞30mm~50mm等），但保持公差值（如≤30mm为+2/0mm）与国内锻造工艺水平匹配（国内中小型锻件公差控制能力可达±2mm，大型锻件因变形不均需放宽至+20/0mm）；同时要求“订货单或图纸明确具体要求”，兼顾标准通用性与定制化需求。</w:t>
      </w:r>
    </w:p>
    <w:p>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840" w:firstLineChars="4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室温/高温力学性能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400"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力学性能是锻件承载能力的核心指标，室温性能反映常温应用可靠性，高温性能适配航空发动机、核电设备等高温工况需求。室温性能参考ISO9725:2017（如NS1101（NW8800）退火状态≤50mm时Rm≥520MPa、Rp0.2≥205MPa），并按尺寸细化（＞50mm时Rm≥480MPa），符合“尺寸越大，性能略有下降”的材料变形规律；高温性能针对NCr20-20-5-2（780℃时Rm≥540MPa）、NFe36-12-6-3（575℃时Rm≥960MPa），匹配其在高温设备中的服役要求，试验方法引用GB/T228.2（替代原GB/T4338），与国内最新检测标准同步。</w:t>
      </w:r>
    </w:p>
    <w:p>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840" w:firstLineChars="4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蠕变和应力断裂性能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400"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蠕变和应力断裂性能是高温长时服役锻件的关键指标（如核电主管道需抵抗高温蠕变失效），需按牌号与工况制定要求。参考ISO9725:2017的试验参数（如NCo20-15-5-4在815℃、360MPa下断裂时间≥30h），调整原标准NCo20-15-5-4的最小应力（从380MPa降至360MPa），与ISO标准保持一致。</w:t>
      </w:r>
    </w:p>
    <w:p>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840" w:firstLineChars="4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晶粒度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400"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晶粒度影响材料的强度、韧性与高温性能（细晶粒提升室温强度，粗晶粒提升高温蠕变抗力），需按牌号差异化管控。参考ASTME112（晶粒度测定方法）与国内高端合金需求，明确</w:t>
      </w:r>
      <w:r>
        <w:rPr>
          <w:rFonts w:hint="eastAsia" w:ascii="宋体" w:hAnsi="宋体"/>
          <w:color w:val="auto"/>
          <w:szCs w:val="21"/>
          <w:highlight w:val="none"/>
        </w:rPr>
        <w:t>NS1102</w:t>
      </w:r>
      <w:r>
        <w:rPr>
          <w:rFonts w:hint="eastAsia" w:ascii="宋体" w:hAnsi="宋体"/>
          <w:color w:val="auto"/>
          <w:szCs w:val="21"/>
          <w:highlight w:val="none"/>
          <w:lang w:eastAsia="zh-CN"/>
        </w:rPr>
        <w:t>、</w:t>
      </w:r>
      <w:r>
        <w:rPr>
          <w:rFonts w:hint="eastAsia" w:ascii="宋体" w:hAnsi="宋体"/>
          <w:color w:val="auto"/>
          <w:szCs w:val="21"/>
          <w:highlight w:val="none"/>
        </w:rPr>
        <w:t>NS1104</w:t>
      </w:r>
      <w:r>
        <w:rPr>
          <w:rFonts w:hint="eastAsia" w:ascii="宋体" w:hAnsi="宋体"/>
          <w:color w:val="auto"/>
          <w:szCs w:val="21"/>
          <w:highlight w:val="none"/>
          <w:lang w:eastAsia="zh-CN"/>
        </w:rPr>
        <w:t>（</w:t>
      </w:r>
      <w:r>
        <w:rPr>
          <w:rFonts w:hint="eastAsia" w:ascii="宋体" w:hAnsi="宋体" w:cs="宋体"/>
          <w:color w:val="auto"/>
          <w:sz w:val="21"/>
          <w:szCs w:val="21"/>
          <w:highlight w:val="none"/>
          <w:lang w:val="en-US" w:eastAsia="zh-CN"/>
        </w:rPr>
        <w:t>NW8810、NW8811</w:t>
      </w:r>
      <w:r>
        <w:rPr>
          <w:rFonts w:hint="eastAsia" w:ascii="宋体" w:hAnsi="宋体"/>
          <w:color w:val="auto"/>
          <w:szCs w:val="21"/>
          <w:highlight w:val="none"/>
          <w:lang w:eastAsia="zh-CN"/>
        </w:rPr>
        <w:t>）</w:t>
      </w:r>
      <w:r>
        <w:rPr>
          <w:rFonts w:hint="eastAsia" w:ascii="宋体" w:hAnsi="宋体" w:cs="宋体"/>
          <w:color w:val="auto"/>
          <w:sz w:val="21"/>
          <w:szCs w:val="21"/>
          <w:highlight w:val="none"/>
          <w:lang w:val="en-US" w:eastAsia="zh-CN"/>
        </w:rPr>
        <w:t>的平均晶粒度</w:t>
      </w:r>
      <w:r>
        <w:rPr>
          <w:rFonts w:hint="eastAsia" w:ascii="宋体" w:hAnsi="宋体"/>
          <w:color w:val="auto"/>
          <w:szCs w:val="21"/>
          <w:highlight w:val="none"/>
          <w:lang w:val="en-US" w:eastAsia="zh-CN"/>
        </w:rPr>
        <w:t>等级</w:t>
      </w:r>
      <w:r>
        <w:rPr>
          <w:rFonts w:hint="eastAsia" w:ascii="宋体" w:hAnsi="宋体"/>
          <w:color w:val="auto"/>
          <w:szCs w:val="21"/>
          <w:highlight w:val="none"/>
        </w:rPr>
        <w:t>应不</w:t>
      </w:r>
      <w:r>
        <w:rPr>
          <w:rFonts w:hint="eastAsia" w:ascii="宋体" w:hAnsi="宋体"/>
          <w:color w:val="auto"/>
          <w:szCs w:val="21"/>
          <w:highlight w:val="none"/>
          <w:lang w:val="en-US" w:eastAsia="zh-CN"/>
        </w:rPr>
        <w:t>大</w:t>
      </w:r>
      <w:r>
        <w:rPr>
          <w:rFonts w:hint="eastAsia" w:ascii="宋体" w:hAnsi="宋体"/>
          <w:color w:val="auto"/>
          <w:szCs w:val="21"/>
          <w:highlight w:val="none"/>
        </w:rPr>
        <w:t>于</w:t>
      </w:r>
      <w:r>
        <w:rPr>
          <w:rFonts w:hint="eastAsia" w:ascii="宋体" w:hAnsi="宋体"/>
          <w:color w:val="auto"/>
          <w:szCs w:val="21"/>
          <w:highlight w:val="none"/>
          <w:lang w:val="en-US" w:eastAsia="zh-CN"/>
        </w:rPr>
        <w:t>5级</w:t>
      </w:r>
      <w:r>
        <w:rPr>
          <w:rFonts w:hint="eastAsia" w:ascii="宋体" w:hAnsi="宋体" w:cs="宋体"/>
          <w:color w:val="auto"/>
          <w:sz w:val="21"/>
          <w:szCs w:val="21"/>
          <w:highlight w:val="none"/>
          <w:lang w:val="en-US" w:eastAsia="zh-CN"/>
        </w:rPr>
        <w:t>（粗晶粒适配</w:t>
      </w:r>
      <w:r>
        <w:rPr>
          <w:rFonts w:hint="eastAsia" w:ascii="宋体" w:hAnsi="宋体" w:cs="宋体"/>
          <w:color w:val="auto"/>
          <w:sz w:val="21"/>
          <w:szCs w:val="21"/>
          <w:highlight w:val="none"/>
          <w:u w:val="none"/>
          <w:lang w:val="en-US" w:eastAsia="zh-CN"/>
        </w:rPr>
        <w:t>高温应用），新增NS1502牌号的平均晶粒度</w:t>
      </w:r>
      <w:r>
        <w:rPr>
          <w:rFonts w:hint="eastAsia" w:ascii="宋体" w:hAnsi="宋体"/>
          <w:color w:val="auto"/>
          <w:szCs w:val="21"/>
          <w:highlight w:val="none"/>
          <w:u w:val="none"/>
          <w:lang w:val="en-US" w:eastAsia="zh-CN"/>
        </w:rPr>
        <w:t>等级</w:t>
      </w:r>
      <w:r>
        <w:rPr>
          <w:rFonts w:hint="eastAsia" w:ascii="宋体" w:hAnsi="宋体"/>
          <w:color w:val="auto"/>
          <w:szCs w:val="21"/>
          <w:highlight w:val="none"/>
          <w:u w:val="none"/>
        </w:rPr>
        <w:t>应不小于</w:t>
      </w:r>
      <w:r>
        <w:rPr>
          <w:rFonts w:hint="eastAsia" w:ascii="宋体" w:hAnsi="宋体"/>
          <w:color w:val="auto"/>
          <w:szCs w:val="21"/>
          <w:highlight w:val="none"/>
          <w:u w:val="none"/>
          <w:lang w:val="en-US" w:eastAsia="zh-CN"/>
        </w:rPr>
        <w:t>3级</w:t>
      </w:r>
      <w:r>
        <w:rPr>
          <w:rFonts w:hint="eastAsia" w:ascii="宋体" w:hAnsi="宋体" w:cs="宋体"/>
          <w:color w:val="auto"/>
          <w:sz w:val="21"/>
          <w:szCs w:val="21"/>
          <w:highlight w:val="none"/>
          <w:u w:val="none"/>
          <w:lang w:val="en-US" w:eastAsia="zh-CN"/>
        </w:rPr>
        <w:t>的要求，填补标准在高端牌号微观结构管</w:t>
      </w:r>
      <w:r>
        <w:rPr>
          <w:rFonts w:hint="eastAsia" w:ascii="宋体" w:hAnsi="宋体" w:cs="宋体"/>
          <w:color w:val="auto"/>
          <w:sz w:val="21"/>
          <w:szCs w:val="21"/>
          <w:highlight w:val="none"/>
          <w:lang w:val="en-US" w:eastAsia="zh-CN"/>
        </w:rPr>
        <w:t>控的空白。</w:t>
      </w:r>
    </w:p>
    <w:p>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840" w:firstLineChars="4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表面质量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40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表面缺陷（如裂纹、夹杂）易成为应力集中源，导致锻件早期失效（如疲劳断裂），需明确清洁度与缺陷修复要求。延续原标准“无影响使用的缺陷”核心要求，细化“供轧制用锻块需平直”“车光后无裂纹、分层”，并规定“局部缺陷深宽比≤1:10”，依据国内锻造表面处理工艺能力（车光加工可实现的缺陷修复精度），避免过度严苛导致成本上升。</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实验方法的确定</w:t>
      </w:r>
    </w:p>
    <w:p>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840" w:firstLineChars="4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化学成分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400"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化学成分分析需采用权威、准确的方法，确保数据可比性与仲裁有效性。纯镍锻件引用GB/T8647（镍化学分析方法），镍铜合金引用YS/T325（镍铜合金化学分析方法），覆盖国内主流检测手段；“未覆盖元素由供需双方协商”，兼顾标准通用性与特殊牌号的定制化需求，避免因方法缺失导致的检测争议。</w:t>
      </w:r>
    </w:p>
    <w:p>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840" w:firstLineChars="4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力学性能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400"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室温拉伸引用GB/T228.1（替代原GB/T228-2002）；高温拉伸引用GB/T228.2（替代原GB/T4338），与国际标准ISO6892-2（金属材料高温拉伸试验）技术内容一致，确保数据与国际接轨。</w:t>
      </w:r>
    </w:p>
    <w:p>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840" w:firstLineChars="4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晶粒度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400"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引用GB/T6394（金属平均晶粒度测定方法），替代原YB/T5148，该标准等效采用ISO643（金属材料平均晶粒度测定方法），技术内容更全面（如新增图像分析方法），适配国内检测技术升级需求。</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检验规则</w:t>
      </w:r>
    </w:p>
    <w:p>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840" w:firstLineChars="4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组批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400"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同批次产品需具备一致性（相同工艺、规格），确保检验结果的代表性。规定“</w:t>
      </w:r>
      <w:r>
        <w:rPr>
          <w:rFonts w:hint="eastAsia" w:ascii="宋体" w:hAnsi="宋体"/>
          <w:color w:val="auto"/>
          <w:szCs w:val="21"/>
          <w:highlight w:val="none"/>
        </w:rPr>
        <w:t>同一牌号、</w:t>
      </w:r>
      <w:r>
        <w:rPr>
          <w:rFonts w:hint="eastAsia" w:ascii="宋体" w:hAnsi="宋体"/>
          <w:color w:val="auto"/>
          <w:szCs w:val="21"/>
          <w:highlight w:val="none"/>
          <w:lang w:val="en-US" w:eastAsia="zh-CN"/>
        </w:rPr>
        <w:t>同一熔炼炉号、</w:t>
      </w:r>
      <w:r>
        <w:rPr>
          <w:rFonts w:hint="eastAsia" w:ascii="宋体" w:hAnsi="宋体"/>
          <w:color w:val="auto"/>
          <w:szCs w:val="21"/>
          <w:highlight w:val="none"/>
        </w:rPr>
        <w:t>同一</w:t>
      </w:r>
      <w:r>
        <w:rPr>
          <w:rFonts w:hint="eastAsia" w:ascii="宋体" w:hAnsi="宋体"/>
          <w:color w:val="auto"/>
          <w:szCs w:val="21"/>
          <w:highlight w:val="none"/>
          <w:lang w:val="en-US" w:eastAsia="zh-CN"/>
        </w:rPr>
        <w:t>供应状态</w:t>
      </w:r>
      <w:r>
        <w:rPr>
          <w:rFonts w:hint="eastAsia" w:ascii="宋体" w:hAnsi="宋体"/>
          <w:color w:val="auto"/>
          <w:szCs w:val="21"/>
          <w:highlight w:val="none"/>
        </w:rPr>
        <w:t>、</w:t>
      </w:r>
      <w:r>
        <w:rPr>
          <w:rFonts w:hint="eastAsia" w:ascii="宋体" w:hAnsi="宋体"/>
          <w:color w:val="auto"/>
          <w:szCs w:val="21"/>
          <w:highlight w:val="none"/>
          <w:lang w:val="en-US" w:eastAsia="zh-CN"/>
        </w:rPr>
        <w:t>同一制造方法、</w:t>
      </w:r>
      <w:r>
        <w:rPr>
          <w:rFonts w:hint="eastAsia" w:ascii="宋体" w:hAnsi="宋体"/>
          <w:color w:val="auto"/>
          <w:szCs w:val="21"/>
          <w:highlight w:val="none"/>
        </w:rPr>
        <w:t>同一规格、同一生产周期的锻件组成，纯镍（N7、N6、N5）锻件批重不大于8</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000kg，其他牌号批重不大于5</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000kg</w:t>
      </w:r>
      <w:r>
        <w:rPr>
          <w:rFonts w:hint="eastAsia" w:ascii="宋体" w:hAnsi="宋体" w:cs="宋体"/>
          <w:color w:val="auto"/>
          <w:sz w:val="21"/>
          <w:szCs w:val="21"/>
          <w:highlight w:val="none"/>
          <w:lang w:val="en-US" w:eastAsia="zh-CN"/>
        </w:rPr>
        <w:t>”，参考国内锻造企业的生产批量（中小型锻件批重多为1000-5000kg），避免批次过大导致的质量波动，同时兼顾生产效率。</w:t>
      </w:r>
    </w:p>
    <w:p>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840" w:firstLineChars="4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取样</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40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取样位置与数量需科学，确保试样能代表批次性能（避免取样偏差导致的误判）。</w:t>
      </w:r>
      <w:r>
        <w:rPr>
          <w:rFonts w:hint="default" w:ascii="宋体" w:hAnsi="宋体" w:cs="宋体"/>
          <w:color w:val="auto"/>
          <w:sz w:val="21"/>
          <w:szCs w:val="21"/>
          <w:highlight w:val="none"/>
          <w:lang w:val="en-US" w:eastAsia="zh-CN"/>
        </w:rPr>
        <w:t>铸锭偏析会随着单重增加而加剧，偏析现象会遗传至锻造环节。锻造加热时，炉内温度分布不均，锻造过程中，锻棒头尾与空气接触面积大，冷却速度快，而中间冷却相对慢。锻棒自身缓慢冷却、变形位置升温和变形先后顺序，均可能发生元素偏析现象，造成合金组织不均匀和力学性能差异。1/2半径处通常处于锻造变形比较均匀的区域。通过在这个位置取样，可以更准确地评估锻造工艺对材料组织均匀性的影响。通过走访集团下属研究院和生产单位，包括成攀钢研究院，本钢板材股份特殊钢厂，江油长城特殊钢，西昌钢钒等企业，锻棒产品无论牌号和应用领域，在没有客户提出的特殊情况下，取样位置通常在1/2半径处。同时借鉴本单位曾牵头研发的航空发动机用高温合金的经验，即该项目中用于检测拉伸、蠕变和应力断裂性能的试样均依据GB/T2975和GJB3165A取样，</w:t>
      </w:r>
      <w:r>
        <w:rPr>
          <w:rFonts w:hint="eastAsia" w:ascii="宋体" w:hAnsi="宋体" w:cs="宋体"/>
          <w:color w:val="auto"/>
          <w:sz w:val="21"/>
          <w:szCs w:val="21"/>
          <w:highlight w:val="none"/>
          <w:lang w:val="en-US" w:eastAsia="zh-CN"/>
        </w:rPr>
        <w:t>其中</w:t>
      </w:r>
      <w:r>
        <w:rPr>
          <w:rFonts w:hint="default" w:ascii="宋体" w:hAnsi="宋体" w:cs="宋体"/>
          <w:color w:val="auto"/>
          <w:sz w:val="21"/>
          <w:szCs w:val="21"/>
          <w:highlight w:val="none"/>
          <w:lang w:val="en-US" w:eastAsia="zh-CN"/>
        </w:rPr>
        <w:t>标准GJB3165A面向军工领域，其具有较高的安全可靠性。此外，本标准的旧版内容未提及取样位置。因此，新版本的修订明确了取样位置。</w:t>
      </w:r>
      <w:r>
        <w:rPr>
          <w:rFonts w:hint="eastAsia" w:ascii="宋体" w:hAnsi="宋体" w:cs="宋体"/>
          <w:color w:val="auto"/>
          <w:sz w:val="21"/>
          <w:szCs w:val="21"/>
          <w:highlight w:val="none"/>
          <w:lang w:val="en-US" w:eastAsia="zh-CN"/>
        </w:rPr>
        <w:t>依据GB/T2975，明确“1/2半径处取样”，有效截面厚度30mm及以下从芯部取；力学性能项目“每批任取2件”并分不同产品类型做出区分，相比原标准“每件1个试样”，提升取样的一致性与数据可靠性，降低偶然误差影响。</w:t>
      </w:r>
    </w:p>
    <w:p>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840" w:firstLineChars="4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检验结果判定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400"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判定规则兼顾严格性与灵活性，避免因偶然因素导致的批次误判，同时严控不合格产品流入市场。化学成分不合格则判批不合格；尺寸、表面质量不合格则判单件不合格；力学性能、晶粒度不合格时“双倍取样复检”，复检合格则批合格，否则批不合格或逐件检验，符合“统计抽样检验”的原理，平衡质量安全与企业成本。</w:t>
      </w:r>
    </w:p>
    <w:p>
      <w:pPr>
        <w:pStyle w:val="5"/>
        <w:numPr>
          <w:ilvl w:val="0"/>
          <w:numId w:val="6"/>
        </w:numPr>
        <w:rPr>
          <w:rFonts w:hint="eastAsia" w:ascii="黑体" w:eastAsia="黑体" w:cs="Arial"/>
          <w:color w:val="auto"/>
          <w:sz w:val="21"/>
          <w:szCs w:val="21"/>
          <w:highlight w:val="none"/>
          <w:lang w:val="en-US" w:eastAsia="zh-CN"/>
        </w:rPr>
      </w:pPr>
      <w:r>
        <w:rPr>
          <w:rFonts w:hint="eastAsia" w:ascii="黑体" w:eastAsia="黑体" w:cs="Arial"/>
          <w:color w:val="auto"/>
          <w:sz w:val="21"/>
          <w:szCs w:val="21"/>
          <w:highlight w:val="none"/>
          <w:lang w:val="en-US" w:eastAsia="zh-CN"/>
        </w:rPr>
        <w:t>修订前后技术内容的对比（修订时有）</w:t>
      </w:r>
    </w:p>
    <w:p>
      <w:pPr>
        <w:pStyle w:val="5"/>
        <w:jc w:val="center"/>
        <w:rPr>
          <w:rFonts w:hint="eastAsia"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修订前后技术内容对比</w:t>
      </w: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137"/>
        <w:gridCol w:w="1887"/>
        <w:gridCol w:w="3401"/>
        <w:gridCol w:w="2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09" w:hRule="atLeast"/>
        </w:trPr>
        <w:tc>
          <w:tcPr>
            <w:tcW w:w="640" w:type="pct"/>
            <w:tcBorders>
              <w:top w:val="single" w:color="000000" w:sz="8" w:space="0"/>
              <w:left w:val="single" w:color="000000" w:sz="8" w:space="0"/>
              <w:bottom w:val="single" w:color="000000" w:sz="8" w:space="0"/>
              <w:right w:val="single" w:color="000000" w:sz="8" w:space="0"/>
            </w:tcBorders>
            <w:shd w:val="clear" w:color="auto" w:fill="FFFFFF"/>
            <w:tcMar>
              <w:top w:w="180" w:type="dxa"/>
              <w:left w:w="270" w:type="dxa"/>
              <w:bottom w:w="180" w:type="dxa"/>
              <w:right w:w="270" w:type="dxa"/>
            </w:tcMar>
            <w:vAlign w:val="center"/>
          </w:tcPr>
          <w:p>
            <w:pPr>
              <w:widowControl/>
              <w:jc w:val="center"/>
              <w:textAlignment w:val="center"/>
              <w:rPr>
                <w:rFonts w:hint="eastAsia" w:ascii="宋体" w:hAnsi="宋体" w:eastAsia="宋体" w:cs="宋体"/>
                <w:b/>
                <w:bCs/>
                <w:color w:val="auto"/>
                <w:kern w:val="0"/>
                <w:sz w:val="16"/>
                <w:szCs w:val="16"/>
                <w:highlight w:val="none"/>
                <w:lang w:val="en-US" w:eastAsia="zh-CN" w:bidi="ar"/>
              </w:rPr>
            </w:pPr>
            <w:r>
              <w:rPr>
                <w:rFonts w:hint="default" w:ascii="宋体" w:hAnsi="宋体" w:eastAsia="宋体" w:cs="宋体"/>
                <w:b/>
                <w:bCs/>
                <w:color w:val="auto"/>
                <w:kern w:val="0"/>
                <w:sz w:val="16"/>
                <w:szCs w:val="16"/>
                <w:highlight w:val="none"/>
                <w:lang w:val="en-US" w:eastAsia="zh-CN" w:bidi="ar"/>
              </w:rPr>
              <w:t>对比维度</w:t>
            </w:r>
          </w:p>
        </w:tc>
        <w:tc>
          <w:tcPr>
            <w:tcW w:w="1062" w:type="pct"/>
            <w:tcBorders>
              <w:top w:val="single" w:color="000000" w:sz="8" w:space="0"/>
              <w:left w:val="single" w:color="000000" w:sz="8" w:space="0"/>
              <w:bottom w:val="single" w:color="000000" w:sz="8" w:space="0"/>
              <w:right w:val="single" w:color="000000" w:sz="8" w:space="0"/>
            </w:tcBorders>
            <w:shd w:val="clear" w:color="auto" w:fill="FFFFFF"/>
            <w:tcMar>
              <w:top w:w="180" w:type="dxa"/>
              <w:left w:w="270" w:type="dxa"/>
              <w:bottom w:w="180" w:type="dxa"/>
              <w:right w:w="270" w:type="dxa"/>
            </w:tcMar>
            <w:vAlign w:val="center"/>
          </w:tcPr>
          <w:p>
            <w:pPr>
              <w:widowControl/>
              <w:jc w:val="center"/>
              <w:textAlignment w:val="center"/>
              <w:rPr>
                <w:rFonts w:hint="default" w:ascii="宋体" w:hAnsi="宋体" w:eastAsia="宋体" w:cs="宋体"/>
                <w:b/>
                <w:bCs/>
                <w:color w:val="auto"/>
                <w:kern w:val="0"/>
                <w:sz w:val="16"/>
                <w:szCs w:val="16"/>
                <w:highlight w:val="none"/>
                <w:lang w:val="en-US" w:eastAsia="zh-CN" w:bidi="ar"/>
              </w:rPr>
            </w:pPr>
            <w:r>
              <w:rPr>
                <w:rFonts w:hint="default" w:ascii="宋体" w:hAnsi="宋体" w:eastAsia="宋体" w:cs="宋体"/>
                <w:b/>
                <w:bCs/>
                <w:color w:val="auto"/>
                <w:kern w:val="0"/>
                <w:sz w:val="16"/>
                <w:szCs w:val="16"/>
                <w:highlight w:val="none"/>
                <w:lang w:val="en-US" w:eastAsia="zh-CN" w:bidi="ar"/>
              </w:rPr>
              <w:t>GB/T26030-2010（原版）</w:t>
            </w:r>
          </w:p>
        </w:tc>
        <w:tc>
          <w:tcPr>
            <w:tcW w:w="1914" w:type="pct"/>
            <w:tcBorders>
              <w:top w:val="single" w:color="000000" w:sz="8" w:space="0"/>
              <w:left w:val="single" w:color="000000" w:sz="8" w:space="0"/>
              <w:bottom w:val="single" w:color="000000" w:sz="8" w:space="0"/>
              <w:right w:val="single" w:color="000000" w:sz="8" w:space="0"/>
            </w:tcBorders>
            <w:shd w:val="clear" w:color="auto" w:fill="FFFFFF"/>
            <w:tcMar>
              <w:top w:w="180" w:type="dxa"/>
              <w:left w:w="270" w:type="dxa"/>
              <w:bottom w:w="180" w:type="dxa"/>
              <w:right w:w="270" w:type="dxa"/>
            </w:tcMar>
            <w:vAlign w:val="center"/>
          </w:tcPr>
          <w:p>
            <w:pPr>
              <w:widowControl/>
              <w:jc w:val="center"/>
              <w:textAlignment w:val="center"/>
              <w:rPr>
                <w:rFonts w:hint="default" w:ascii="宋体" w:hAnsi="宋体" w:eastAsia="宋体" w:cs="宋体"/>
                <w:b/>
                <w:bCs/>
                <w:color w:val="auto"/>
                <w:kern w:val="0"/>
                <w:sz w:val="16"/>
                <w:szCs w:val="16"/>
                <w:highlight w:val="none"/>
                <w:lang w:val="en-US" w:eastAsia="zh-CN" w:bidi="ar"/>
              </w:rPr>
            </w:pPr>
            <w:r>
              <w:rPr>
                <w:rFonts w:hint="default" w:ascii="宋体" w:hAnsi="宋体" w:eastAsia="宋体" w:cs="宋体"/>
                <w:b/>
                <w:bCs/>
                <w:color w:val="auto"/>
                <w:kern w:val="0"/>
                <w:sz w:val="16"/>
                <w:szCs w:val="16"/>
                <w:highlight w:val="none"/>
                <w:lang w:val="en-US" w:eastAsia="zh-CN" w:bidi="ar"/>
              </w:rPr>
              <w:t>GB/T26030—20xx（新版）</w:t>
            </w:r>
          </w:p>
        </w:tc>
        <w:tc>
          <w:tcPr>
            <w:tcW w:w="1382" w:type="pct"/>
            <w:tcBorders>
              <w:top w:val="single" w:color="000000" w:sz="8" w:space="0"/>
              <w:left w:val="single" w:color="000000" w:sz="8" w:space="0"/>
              <w:bottom w:val="single" w:color="000000" w:sz="8" w:space="0"/>
              <w:right w:val="single" w:color="000000" w:sz="8" w:space="0"/>
            </w:tcBorders>
            <w:shd w:val="clear" w:color="auto" w:fill="FFFFFF"/>
            <w:tcMar>
              <w:top w:w="180" w:type="dxa"/>
              <w:left w:w="270" w:type="dxa"/>
              <w:bottom w:w="180" w:type="dxa"/>
              <w:right w:w="270" w:type="dxa"/>
            </w:tcMar>
            <w:vAlign w:val="center"/>
          </w:tcPr>
          <w:p>
            <w:pPr>
              <w:widowControl/>
              <w:jc w:val="center"/>
              <w:textAlignment w:val="center"/>
              <w:rPr>
                <w:rFonts w:hint="default" w:ascii="宋体" w:hAnsi="宋体" w:eastAsia="宋体" w:cs="宋体"/>
                <w:b/>
                <w:bCs/>
                <w:color w:val="auto"/>
                <w:kern w:val="0"/>
                <w:sz w:val="16"/>
                <w:szCs w:val="16"/>
                <w:highlight w:val="none"/>
                <w:lang w:val="en-US" w:eastAsia="zh-CN" w:bidi="ar"/>
              </w:rPr>
            </w:pPr>
            <w:r>
              <w:rPr>
                <w:rFonts w:hint="default" w:ascii="宋体" w:hAnsi="宋体" w:eastAsia="宋体" w:cs="宋体"/>
                <w:b/>
                <w:bCs/>
                <w:color w:val="auto"/>
                <w:kern w:val="0"/>
                <w:sz w:val="16"/>
                <w:szCs w:val="16"/>
                <w:highlight w:val="none"/>
                <w:lang w:val="en-US" w:eastAsia="zh-CN" w:bidi="ar"/>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640"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采用国际标准版本</w:t>
            </w:r>
          </w:p>
        </w:tc>
        <w:tc>
          <w:tcPr>
            <w:tcW w:w="106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ISO9725:1992(E)</w:t>
            </w:r>
          </w:p>
        </w:tc>
        <w:tc>
          <w:tcPr>
            <w:tcW w:w="1914"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ISO9725:2017(E)</w:t>
            </w:r>
          </w:p>
        </w:tc>
        <w:tc>
          <w:tcPr>
            <w:tcW w:w="138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新版对标更晚的国际标准版本，技术内容与国际最新要求接轨，原版国际标准版本滞后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84" w:hRule="atLeast"/>
        </w:trPr>
        <w:tc>
          <w:tcPr>
            <w:tcW w:w="640"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外形尺寸分类</w:t>
            </w:r>
          </w:p>
        </w:tc>
        <w:tc>
          <w:tcPr>
            <w:tcW w:w="106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NW8825退火状态、NW8800热加工及退火状态</w:t>
            </w:r>
            <w:r>
              <w:rPr>
                <w:rFonts w:hint="eastAsia" w:ascii="宋体" w:hAnsi="宋体" w:eastAsia="宋体" w:cs="宋体"/>
                <w:color w:val="auto"/>
                <w:kern w:val="0"/>
                <w:sz w:val="16"/>
                <w:szCs w:val="16"/>
                <w:highlight w:val="none"/>
                <w:lang w:val="en-US" w:eastAsia="zh-CN" w:bidi="ar"/>
              </w:rPr>
              <w:t>、</w:t>
            </w:r>
            <w:r>
              <w:rPr>
                <w:rFonts w:hint="default" w:ascii="宋体" w:hAnsi="宋体" w:eastAsia="宋体" w:cs="宋体"/>
                <w:color w:val="auto"/>
                <w:kern w:val="0"/>
                <w:sz w:val="16"/>
                <w:szCs w:val="16"/>
                <w:highlight w:val="none"/>
                <w:lang w:val="en-US" w:eastAsia="zh-CN" w:bidi="ar"/>
              </w:rPr>
              <w:t>NW6621退火状态外形尺寸均按“所有”统一分类</w:t>
            </w:r>
          </w:p>
        </w:tc>
        <w:tc>
          <w:tcPr>
            <w:tcW w:w="1914"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NW8825退火状态、NW8800热加工及退火状态外形尺寸由“所有”细分为“≤50mm”和“＞50mm”NW6621退火状态外形尺寸由“所有”细分为“≤</w:t>
            </w:r>
            <w:r>
              <w:rPr>
                <w:rFonts w:hint="eastAsia" w:ascii="宋体" w:hAnsi="宋体" w:eastAsia="宋体" w:cs="宋体"/>
                <w:color w:val="auto"/>
                <w:kern w:val="0"/>
                <w:sz w:val="16"/>
                <w:szCs w:val="16"/>
                <w:highlight w:val="none"/>
                <w:lang w:val="en-US" w:eastAsia="zh-CN" w:bidi="ar"/>
              </w:rPr>
              <w:t>75</w:t>
            </w:r>
            <w:r>
              <w:rPr>
                <w:rFonts w:hint="default" w:ascii="宋体" w:hAnsi="宋体" w:eastAsia="宋体" w:cs="宋体"/>
                <w:color w:val="auto"/>
                <w:kern w:val="0"/>
                <w:sz w:val="16"/>
                <w:szCs w:val="16"/>
                <w:highlight w:val="none"/>
                <w:lang w:val="en-US" w:eastAsia="zh-CN" w:bidi="ar"/>
              </w:rPr>
              <w:t>mm”和“＞</w:t>
            </w:r>
            <w:r>
              <w:rPr>
                <w:rFonts w:hint="eastAsia" w:ascii="宋体" w:hAnsi="宋体" w:eastAsia="宋体" w:cs="宋体"/>
                <w:color w:val="auto"/>
                <w:kern w:val="0"/>
                <w:sz w:val="16"/>
                <w:szCs w:val="16"/>
                <w:highlight w:val="none"/>
                <w:lang w:val="en-US" w:eastAsia="zh-CN" w:bidi="ar"/>
              </w:rPr>
              <w:t>75</w:t>
            </w:r>
            <w:r>
              <w:rPr>
                <w:rFonts w:hint="default" w:ascii="宋体" w:hAnsi="宋体" w:eastAsia="宋体" w:cs="宋体"/>
                <w:color w:val="auto"/>
                <w:kern w:val="0"/>
                <w:sz w:val="16"/>
                <w:szCs w:val="16"/>
                <w:highlight w:val="none"/>
                <w:lang w:val="en-US" w:eastAsia="zh-CN" w:bidi="ar"/>
              </w:rPr>
              <w:t>mm”</w:t>
            </w:r>
          </w:p>
        </w:tc>
        <w:tc>
          <w:tcPr>
            <w:tcW w:w="138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尺寸分类更精细化，可针对性制定性能要求，贴合不同规格产品实际应用场景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640"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化学成分规定</w:t>
            </w:r>
          </w:p>
        </w:tc>
        <w:tc>
          <w:tcPr>
            <w:tcW w:w="106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1.详细列出多数牌号化学成分</w:t>
            </w:r>
            <w:r>
              <w:rPr>
                <w:rFonts w:hint="default" w:ascii="宋体" w:hAnsi="宋体" w:eastAsia="宋体" w:cs="宋体"/>
                <w:color w:val="auto"/>
                <w:kern w:val="0"/>
                <w:sz w:val="16"/>
                <w:szCs w:val="16"/>
                <w:highlight w:val="none"/>
                <w:lang w:val="en-US" w:eastAsia="zh-CN" w:bidi="ar"/>
              </w:rPr>
              <w:br w:type="textWrapping"/>
            </w:r>
            <w:r>
              <w:rPr>
                <w:rFonts w:hint="default" w:ascii="宋体" w:hAnsi="宋体" w:eastAsia="宋体" w:cs="宋体"/>
                <w:color w:val="auto"/>
                <w:kern w:val="0"/>
                <w:sz w:val="16"/>
                <w:szCs w:val="16"/>
                <w:highlight w:val="none"/>
                <w:lang w:val="en-US" w:eastAsia="zh-CN" w:bidi="ar"/>
              </w:rPr>
              <w:t>2.未单独针对特定牌号细化杂质元素管控</w:t>
            </w:r>
          </w:p>
        </w:tc>
        <w:tc>
          <w:tcPr>
            <w:tcW w:w="1914"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1.按GB/T5235</w:t>
            </w:r>
            <w:r>
              <w:rPr>
                <w:rFonts w:hint="eastAsia" w:ascii="宋体" w:hAnsi="宋体" w:eastAsia="宋体" w:cs="宋体"/>
                <w:color w:val="auto"/>
                <w:kern w:val="0"/>
                <w:sz w:val="16"/>
                <w:szCs w:val="16"/>
                <w:highlight w:val="none"/>
                <w:lang w:val="en-US" w:eastAsia="zh-CN" w:bidi="ar"/>
              </w:rPr>
              <w:t>与GB/T15007</w:t>
            </w:r>
            <w:r>
              <w:rPr>
                <w:rFonts w:hint="default" w:ascii="宋体" w:hAnsi="宋体" w:eastAsia="宋体" w:cs="宋体"/>
                <w:color w:val="auto"/>
                <w:kern w:val="0"/>
                <w:sz w:val="16"/>
                <w:szCs w:val="16"/>
                <w:highlight w:val="none"/>
                <w:lang w:val="en-US" w:eastAsia="zh-CN" w:bidi="ar"/>
              </w:rPr>
              <w:t>执行</w:t>
            </w:r>
            <w:r>
              <w:rPr>
                <w:rFonts w:hint="default" w:ascii="宋体" w:hAnsi="宋体" w:eastAsia="宋体" w:cs="宋体"/>
                <w:color w:val="auto"/>
                <w:kern w:val="0"/>
                <w:sz w:val="16"/>
                <w:szCs w:val="16"/>
                <w:highlight w:val="none"/>
                <w:lang w:val="en-US" w:eastAsia="zh-CN" w:bidi="ar"/>
              </w:rPr>
              <w:br w:type="textWrapping"/>
            </w:r>
            <w:r>
              <w:rPr>
                <w:rFonts w:hint="default" w:ascii="宋体" w:hAnsi="宋体" w:eastAsia="宋体" w:cs="宋体"/>
                <w:color w:val="auto"/>
                <w:kern w:val="0"/>
                <w:sz w:val="16"/>
                <w:szCs w:val="16"/>
                <w:highlight w:val="none"/>
                <w:lang w:val="en-US" w:eastAsia="zh-CN" w:bidi="ar"/>
              </w:rPr>
              <w:t>2.明确未单独标注牌号的Co含量最大值为1.5%，且计入镍含量，非范围值元素为杂质元素（最大含量）</w:t>
            </w:r>
          </w:p>
        </w:tc>
        <w:tc>
          <w:tcPr>
            <w:tcW w:w="138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1.简化标准结构，</w:t>
            </w:r>
            <w:r>
              <w:rPr>
                <w:rFonts w:hint="eastAsia" w:ascii="宋体" w:hAnsi="宋体" w:eastAsia="宋体" w:cs="宋体"/>
                <w:color w:val="auto"/>
                <w:kern w:val="0"/>
                <w:sz w:val="16"/>
                <w:szCs w:val="16"/>
                <w:highlight w:val="none"/>
                <w:lang w:val="en-US" w:eastAsia="zh-CN" w:bidi="ar"/>
              </w:rPr>
              <w:t>与国内现有标准保持一致</w:t>
            </w:r>
            <w:r>
              <w:rPr>
                <w:rFonts w:hint="default" w:ascii="宋体" w:hAnsi="宋体" w:eastAsia="宋体" w:cs="宋体"/>
                <w:color w:val="auto"/>
                <w:kern w:val="0"/>
                <w:sz w:val="16"/>
                <w:szCs w:val="16"/>
                <w:highlight w:val="none"/>
                <w:lang w:val="en-US" w:eastAsia="zh-CN" w:bidi="ar"/>
              </w:rPr>
              <w:br w:type="textWrapping"/>
            </w:r>
            <w:r>
              <w:rPr>
                <w:rFonts w:hint="default" w:ascii="宋体" w:hAnsi="宋体" w:eastAsia="宋体" w:cs="宋体"/>
                <w:color w:val="auto"/>
                <w:kern w:val="0"/>
                <w:sz w:val="16"/>
                <w:szCs w:val="16"/>
                <w:highlight w:val="none"/>
                <w:lang w:val="en-US" w:eastAsia="zh-CN" w:bidi="ar"/>
              </w:rPr>
              <w:t>2.统一杂质元素管控要求，提升成分稳定性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640"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力学性能要求</w:t>
            </w:r>
          </w:p>
        </w:tc>
        <w:tc>
          <w:tcPr>
            <w:tcW w:w="106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NFe30-21-3</w:t>
            </w:r>
            <w:r>
              <w:rPr>
                <w:rFonts w:hint="eastAsia" w:ascii="宋体" w:hAnsi="宋体" w:eastAsia="宋体" w:cs="宋体"/>
                <w:color w:val="auto"/>
                <w:kern w:val="0"/>
                <w:sz w:val="16"/>
                <w:szCs w:val="16"/>
                <w:highlight w:val="none"/>
                <w:lang w:val="en-US" w:eastAsia="zh-CN" w:bidi="ar"/>
              </w:rPr>
              <w:t>（</w:t>
            </w:r>
            <w:r>
              <w:rPr>
                <w:rFonts w:hint="default" w:ascii="宋体" w:hAnsi="宋体" w:eastAsia="宋体" w:cs="宋体"/>
                <w:color w:val="auto"/>
                <w:kern w:val="0"/>
                <w:sz w:val="16"/>
                <w:szCs w:val="16"/>
                <w:highlight w:val="none"/>
                <w:lang w:val="en-US" w:eastAsia="zh-CN" w:bidi="ar"/>
              </w:rPr>
              <w:t>NW8825</w:t>
            </w:r>
            <w:r>
              <w:rPr>
                <w:rFonts w:hint="eastAsia" w:ascii="宋体" w:hAnsi="宋体" w:eastAsia="宋体" w:cs="宋体"/>
                <w:color w:val="auto"/>
                <w:kern w:val="0"/>
                <w:sz w:val="16"/>
                <w:szCs w:val="16"/>
                <w:highlight w:val="none"/>
                <w:lang w:val="en-US" w:eastAsia="zh-CN" w:bidi="ar"/>
              </w:rPr>
              <w:t>）</w:t>
            </w:r>
            <w:r>
              <w:rPr>
                <w:rFonts w:hint="default" w:ascii="宋体" w:hAnsi="宋体" w:eastAsia="宋体" w:cs="宋体"/>
                <w:color w:val="auto"/>
                <w:kern w:val="0"/>
                <w:sz w:val="16"/>
                <w:szCs w:val="16"/>
                <w:highlight w:val="none"/>
                <w:lang w:val="en-US" w:eastAsia="zh-CN" w:bidi="ar"/>
              </w:rPr>
              <w:t>退火状态、NS1101</w:t>
            </w:r>
            <w:r>
              <w:rPr>
                <w:rFonts w:hint="eastAsia" w:ascii="宋体" w:hAnsi="宋体" w:eastAsia="宋体" w:cs="宋体"/>
                <w:color w:val="auto"/>
                <w:kern w:val="0"/>
                <w:sz w:val="16"/>
                <w:szCs w:val="16"/>
                <w:highlight w:val="none"/>
                <w:lang w:val="en-US" w:eastAsia="zh-CN" w:bidi="ar"/>
              </w:rPr>
              <w:t>（</w:t>
            </w:r>
            <w:r>
              <w:rPr>
                <w:rFonts w:hint="default" w:ascii="宋体" w:hAnsi="宋体" w:eastAsia="宋体" w:cs="宋体"/>
                <w:color w:val="auto"/>
                <w:kern w:val="0"/>
                <w:sz w:val="16"/>
                <w:szCs w:val="16"/>
                <w:highlight w:val="none"/>
                <w:lang w:val="en-US" w:eastAsia="zh-CN" w:bidi="ar"/>
              </w:rPr>
              <w:t>NW8800</w:t>
            </w:r>
            <w:r>
              <w:rPr>
                <w:rFonts w:hint="eastAsia" w:ascii="宋体" w:hAnsi="宋体" w:eastAsia="宋体" w:cs="宋体"/>
                <w:color w:val="auto"/>
                <w:kern w:val="0"/>
                <w:sz w:val="16"/>
                <w:szCs w:val="16"/>
                <w:highlight w:val="none"/>
                <w:lang w:val="en-US" w:eastAsia="zh-CN" w:bidi="ar"/>
              </w:rPr>
              <w:t>）</w:t>
            </w:r>
            <w:r>
              <w:rPr>
                <w:rFonts w:hint="default" w:ascii="宋体" w:hAnsi="宋体" w:eastAsia="宋体" w:cs="宋体"/>
                <w:color w:val="auto"/>
                <w:kern w:val="0"/>
                <w:sz w:val="16"/>
                <w:szCs w:val="16"/>
                <w:highlight w:val="none"/>
                <w:lang w:val="en-US" w:eastAsia="zh-CN" w:bidi="ar"/>
              </w:rPr>
              <w:t>热加工及退火状态</w:t>
            </w:r>
            <w:r>
              <w:rPr>
                <w:rFonts w:hint="eastAsia" w:ascii="宋体" w:hAnsi="宋体" w:eastAsia="宋体" w:cs="宋体"/>
                <w:color w:val="auto"/>
                <w:kern w:val="0"/>
                <w:sz w:val="16"/>
                <w:szCs w:val="16"/>
                <w:highlight w:val="none"/>
                <w:lang w:val="en-US" w:eastAsia="zh-CN" w:bidi="ar"/>
              </w:rPr>
              <w:t>、NCr20-0.5（</w:t>
            </w:r>
            <w:r>
              <w:rPr>
                <w:rFonts w:hint="default" w:ascii="宋体" w:hAnsi="宋体" w:eastAsia="宋体" w:cs="宋体"/>
                <w:color w:val="auto"/>
                <w:kern w:val="0"/>
                <w:sz w:val="16"/>
                <w:szCs w:val="16"/>
                <w:highlight w:val="none"/>
                <w:lang w:val="en-US" w:eastAsia="zh-CN" w:bidi="ar"/>
              </w:rPr>
              <w:t>NW6621</w:t>
            </w:r>
            <w:r>
              <w:rPr>
                <w:rFonts w:hint="eastAsia" w:ascii="宋体" w:hAnsi="宋体" w:eastAsia="宋体" w:cs="宋体"/>
                <w:color w:val="auto"/>
                <w:kern w:val="0"/>
                <w:sz w:val="16"/>
                <w:szCs w:val="16"/>
                <w:highlight w:val="none"/>
                <w:lang w:val="en-US" w:eastAsia="zh-CN" w:bidi="ar"/>
              </w:rPr>
              <w:t>）</w:t>
            </w:r>
            <w:r>
              <w:rPr>
                <w:rFonts w:hint="default" w:ascii="宋体" w:hAnsi="宋体" w:eastAsia="宋体" w:cs="宋体"/>
                <w:color w:val="auto"/>
                <w:kern w:val="0"/>
                <w:sz w:val="16"/>
                <w:szCs w:val="16"/>
                <w:highlight w:val="none"/>
                <w:lang w:val="en-US" w:eastAsia="zh-CN" w:bidi="ar"/>
              </w:rPr>
              <w:t>退火状态力学性能按“所有”尺寸统一规定</w:t>
            </w:r>
          </w:p>
        </w:tc>
        <w:tc>
          <w:tcPr>
            <w:tcW w:w="1914"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NFe30-21-3</w:t>
            </w:r>
            <w:r>
              <w:rPr>
                <w:rFonts w:hint="eastAsia" w:ascii="宋体" w:hAnsi="宋体" w:eastAsia="宋体" w:cs="宋体"/>
                <w:color w:val="auto"/>
                <w:kern w:val="0"/>
                <w:sz w:val="16"/>
                <w:szCs w:val="16"/>
                <w:highlight w:val="none"/>
                <w:lang w:val="en-US" w:eastAsia="zh-CN" w:bidi="ar"/>
              </w:rPr>
              <w:t>（</w:t>
            </w:r>
            <w:r>
              <w:rPr>
                <w:rFonts w:hint="default" w:ascii="宋体" w:hAnsi="宋体" w:eastAsia="宋体" w:cs="宋体"/>
                <w:color w:val="auto"/>
                <w:kern w:val="0"/>
                <w:sz w:val="16"/>
                <w:szCs w:val="16"/>
                <w:highlight w:val="none"/>
                <w:lang w:val="en-US" w:eastAsia="zh-CN" w:bidi="ar"/>
              </w:rPr>
              <w:t>NW8825</w:t>
            </w:r>
            <w:r>
              <w:rPr>
                <w:rFonts w:hint="eastAsia" w:ascii="宋体" w:hAnsi="宋体" w:eastAsia="宋体" w:cs="宋体"/>
                <w:color w:val="auto"/>
                <w:kern w:val="0"/>
                <w:sz w:val="16"/>
                <w:szCs w:val="16"/>
                <w:highlight w:val="none"/>
                <w:lang w:val="en-US" w:eastAsia="zh-CN" w:bidi="ar"/>
              </w:rPr>
              <w:t>）</w:t>
            </w:r>
            <w:r>
              <w:rPr>
                <w:rFonts w:hint="default" w:ascii="宋体" w:hAnsi="宋体" w:eastAsia="宋体" w:cs="宋体"/>
                <w:color w:val="auto"/>
                <w:kern w:val="0"/>
                <w:sz w:val="16"/>
                <w:szCs w:val="16"/>
                <w:highlight w:val="none"/>
                <w:lang w:val="en-US" w:eastAsia="zh-CN" w:bidi="ar"/>
              </w:rPr>
              <w:t>退火状态、NS1101</w:t>
            </w:r>
            <w:r>
              <w:rPr>
                <w:rFonts w:hint="eastAsia" w:ascii="宋体" w:hAnsi="宋体" w:eastAsia="宋体" w:cs="宋体"/>
                <w:color w:val="auto"/>
                <w:kern w:val="0"/>
                <w:sz w:val="16"/>
                <w:szCs w:val="16"/>
                <w:highlight w:val="none"/>
                <w:lang w:val="en-US" w:eastAsia="zh-CN" w:bidi="ar"/>
              </w:rPr>
              <w:t>（</w:t>
            </w:r>
            <w:r>
              <w:rPr>
                <w:rFonts w:hint="default" w:ascii="宋体" w:hAnsi="宋体" w:eastAsia="宋体" w:cs="宋体"/>
                <w:color w:val="auto"/>
                <w:kern w:val="0"/>
                <w:sz w:val="16"/>
                <w:szCs w:val="16"/>
                <w:highlight w:val="none"/>
                <w:lang w:val="en-US" w:eastAsia="zh-CN" w:bidi="ar"/>
              </w:rPr>
              <w:t>NW8800</w:t>
            </w:r>
            <w:r>
              <w:rPr>
                <w:rFonts w:hint="eastAsia" w:ascii="宋体" w:hAnsi="宋体" w:eastAsia="宋体" w:cs="宋体"/>
                <w:color w:val="auto"/>
                <w:kern w:val="0"/>
                <w:sz w:val="16"/>
                <w:szCs w:val="16"/>
                <w:highlight w:val="none"/>
                <w:lang w:val="en-US" w:eastAsia="zh-CN" w:bidi="ar"/>
              </w:rPr>
              <w:t>）</w:t>
            </w:r>
            <w:r>
              <w:rPr>
                <w:rFonts w:hint="default" w:ascii="宋体" w:hAnsi="宋体" w:eastAsia="宋体" w:cs="宋体"/>
                <w:color w:val="auto"/>
                <w:kern w:val="0"/>
                <w:sz w:val="16"/>
                <w:szCs w:val="16"/>
                <w:highlight w:val="none"/>
                <w:lang w:val="en-US" w:eastAsia="zh-CN" w:bidi="ar"/>
              </w:rPr>
              <w:t>热加工及退火状态力学性能按外形尺寸“≤50mm”和“＞50mm”分别规定</w:t>
            </w:r>
            <w:r>
              <w:rPr>
                <w:rFonts w:hint="eastAsia" w:ascii="宋体" w:hAnsi="宋体" w:eastAsia="宋体" w:cs="宋体"/>
                <w:color w:val="auto"/>
                <w:kern w:val="0"/>
                <w:sz w:val="16"/>
                <w:szCs w:val="16"/>
                <w:highlight w:val="none"/>
                <w:lang w:val="en-US" w:eastAsia="zh-CN" w:bidi="ar"/>
              </w:rPr>
              <w:t>；NCr20-0.5（</w:t>
            </w:r>
            <w:r>
              <w:rPr>
                <w:rFonts w:hint="default" w:ascii="宋体" w:hAnsi="宋体" w:eastAsia="宋体" w:cs="宋体"/>
                <w:color w:val="auto"/>
                <w:kern w:val="0"/>
                <w:sz w:val="16"/>
                <w:szCs w:val="16"/>
                <w:highlight w:val="none"/>
                <w:lang w:val="en-US" w:eastAsia="zh-CN" w:bidi="ar"/>
              </w:rPr>
              <w:t>NW6621</w:t>
            </w:r>
            <w:r>
              <w:rPr>
                <w:rFonts w:hint="eastAsia" w:ascii="宋体" w:hAnsi="宋体" w:eastAsia="宋体" w:cs="宋体"/>
                <w:color w:val="auto"/>
                <w:kern w:val="0"/>
                <w:sz w:val="16"/>
                <w:szCs w:val="16"/>
                <w:highlight w:val="none"/>
                <w:lang w:val="en-US" w:eastAsia="zh-CN" w:bidi="ar"/>
              </w:rPr>
              <w:t>）</w:t>
            </w:r>
            <w:r>
              <w:rPr>
                <w:rFonts w:hint="default" w:ascii="宋体" w:hAnsi="宋体" w:eastAsia="宋体" w:cs="宋体"/>
                <w:color w:val="auto"/>
                <w:kern w:val="0"/>
                <w:sz w:val="16"/>
                <w:szCs w:val="16"/>
                <w:highlight w:val="none"/>
                <w:lang w:val="en-US" w:eastAsia="zh-CN" w:bidi="ar"/>
              </w:rPr>
              <w:t>退火状态力学性能按外形尺寸“≤</w:t>
            </w:r>
            <w:r>
              <w:rPr>
                <w:rFonts w:hint="eastAsia" w:ascii="宋体" w:hAnsi="宋体" w:eastAsia="宋体" w:cs="宋体"/>
                <w:color w:val="auto"/>
                <w:kern w:val="0"/>
                <w:sz w:val="16"/>
                <w:szCs w:val="16"/>
                <w:highlight w:val="none"/>
                <w:lang w:val="en-US" w:eastAsia="zh-CN" w:bidi="ar"/>
              </w:rPr>
              <w:t>75</w:t>
            </w:r>
            <w:r>
              <w:rPr>
                <w:rFonts w:hint="default" w:ascii="宋体" w:hAnsi="宋体" w:eastAsia="宋体" w:cs="宋体"/>
                <w:color w:val="auto"/>
                <w:kern w:val="0"/>
                <w:sz w:val="16"/>
                <w:szCs w:val="16"/>
                <w:highlight w:val="none"/>
                <w:lang w:val="en-US" w:eastAsia="zh-CN" w:bidi="ar"/>
              </w:rPr>
              <w:t>mm”和“＞</w:t>
            </w:r>
            <w:r>
              <w:rPr>
                <w:rFonts w:hint="eastAsia" w:ascii="宋体" w:hAnsi="宋体" w:eastAsia="宋体" w:cs="宋体"/>
                <w:color w:val="auto"/>
                <w:kern w:val="0"/>
                <w:sz w:val="16"/>
                <w:szCs w:val="16"/>
                <w:highlight w:val="none"/>
                <w:lang w:val="en-US" w:eastAsia="zh-CN" w:bidi="ar"/>
              </w:rPr>
              <w:t>75</w:t>
            </w:r>
            <w:r>
              <w:rPr>
                <w:rFonts w:hint="default" w:ascii="宋体" w:hAnsi="宋体" w:eastAsia="宋体" w:cs="宋体"/>
                <w:color w:val="auto"/>
                <w:kern w:val="0"/>
                <w:sz w:val="16"/>
                <w:szCs w:val="16"/>
                <w:highlight w:val="none"/>
                <w:lang w:val="en-US" w:eastAsia="zh-CN" w:bidi="ar"/>
              </w:rPr>
              <w:t>mm”分别规定</w:t>
            </w:r>
          </w:p>
        </w:tc>
        <w:tc>
          <w:tcPr>
            <w:tcW w:w="138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力学性能要求与尺寸挂钩，更符合不同尺寸产品的性能规律，提升要求合理性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640"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蠕变和应力断裂性能</w:t>
            </w:r>
          </w:p>
        </w:tc>
        <w:tc>
          <w:tcPr>
            <w:tcW w:w="106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NCo20-15-5-4（对应原版NW3021）最小应力要求为≥380N/mm²</w:t>
            </w:r>
          </w:p>
        </w:tc>
        <w:tc>
          <w:tcPr>
            <w:tcW w:w="1914"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NCo20-15-5-4最小应力要求调整为≥360N/mm²</w:t>
            </w:r>
          </w:p>
        </w:tc>
        <w:tc>
          <w:tcPr>
            <w:tcW w:w="138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根据材料实际应用反馈及试验数据，优化最小应力指标，更贴合实际使用需求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640"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晶粒度要求</w:t>
            </w:r>
          </w:p>
        </w:tc>
        <w:tc>
          <w:tcPr>
            <w:tcW w:w="106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仅规定FeNi32Cr21AlTi-LC（NW8810）、FeNi32Cr21AlTi-HT（NW8811）的晶粒度要求，无具体数值</w:t>
            </w:r>
          </w:p>
        </w:tc>
        <w:tc>
          <w:tcPr>
            <w:tcW w:w="1914"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需方要求时，NS1102、NS1104牌号的平均晶粒度等级应不大于5级，NS1502牌号的平均晶粒度等级应不</w:t>
            </w:r>
            <w:r>
              <w:rPr>
                <w:rFonts w:hint="default" w:ascii="宋体" w:hAnsi="宋体" w:eastAsia="宋体" w:cs="宋体"/>
                <w:color w:val="auto"/>
                <w:kern w:val="0"/>
                <w:sz w:val="16"/>
                <w:szCs w:val="16"/>
                <w:highlight w:val="none"/>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6067425</wp:posOffset>
                      </wp:positionH>
                      <wp:positionV relativeFrom="paragraph">
                        <wp:posOffset>1729740</wp:posOffset>
                      </wp:positionV>
                      <wp:extent cx="17145" cy="7103110"/>
                      <wp:effectExtent l="4445" t="0" r="16510" b="2540"/>
                      <wp:wrapNone/>
                      <wp:docPr id="37" name="直接连接符 37"/>
                      <wp:cNvGraphicFramePr/>
                      <a:graphic xmlns:a="http://schemas.openxmlformats.org/drawingml/2006/main">
                        <a:graphicData uri="http://schemas.microsoft.com/office/word/2010/wordprocessingShape">
                          <wps:wsp>
                            <wps:cNvCnPr/>
                            <wps:spPr>
                              <a:xfrm>
                                <a:off x="0" y="0"/>
                                <a:ext cx="17145" cy="71031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77.75pt;margin-top:136.2pt;height:559.3pt;width:1.35pt;z-index:251659264;mso-width-relative:page;mso-height-relative:page;" filled="f" stroked="t" coordsize="21600,21600" o:gfxdata="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EbyShtoAAAAMAQAA&#10;DwAAAAAAAAABACAAAAAiAAAAZHJzL2Rvd25yZXYueG1sUEsBAhQAFAAAAAgAh07iQMpsTVDeAQAA&#10;oAMAAA4AAAAAAAAAAQAgAAAAKQEAAGRycy9lMm9Eb2MueG1sUEsFBgAAAAAGAAYAWQEAAHkFAAAA&#10;AA==&#10;">
                      <v:fill on="f" focussize="0,0"/>
                      <v:stroke color="#000000 [3213]" joinstyle="round"/>
                      <v:imagedata o:title=""/>
                      <o:lock v:ext="edit" aspectratio="f"/>
                    </v:line>
                  </w:pict>
                </mc:Fallback>
              </mc:AlternateContent>
            </w:r>
            <w:r>
              <w:rPr>
                <w:rFonts w:hint="default" w:ascii="宋体" w:hAnsi="宋体" w:eastAsia="宋体" w:cs="宋体"/>
                <w:color w:val="auto"/>
                <w:kern w:val="0"/>
                <w:sz w:val="16"/>
                <w:szCs w:val="16"/>
                <w:highlight w:val="none"/>
                <w:lang w:val="en-US" w:eastAsia="zh-CN" w:bidi="ar"/>
              </w:rPr>
              <w:t>小于3级。</w:t>
            </w:r>
          </w:p>
        </w:tc>
        <w:tc>
          <w:tcPr>
            <w:tcW w:w="138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1.新增NS1502牌号晶粒度要求</w:t>
            </w:r>
            <w:r>
              <w:rPr>
                <w:rFonts w:hint="default" w:ascii="宋体" w:hAnsi="宋体" w:eastAsia="宋体" w:cs="宋体"/>
                <w:color w:val="auto"/>
                <w:kern w:val="0"/>
                <w:sz w:val="16"/>
                <w:szCs w:val="16"/>
                <w:highlight w:val="none"/>
                <w:lang w:val="en-US" w:eastAsia="zh-CN" w:bidi="ar"/>
              </w:rPr>
              <w:br w:type="textWrapping"/>
            </w:r>
            <w:r>
              <w:rPr>
                <w:rFonts w:hint="default" w:ascii="宋体" w:hAnsi="宋体" w:eastAsia="宋体" w:cs="宋体"/>
                <w:color w:val="auto"/>
                <w:kern w:val="0"/>
                <w:sz w:val="16"/>
                <w:szCs w:val="16"/>
                <w:highlight w:val="none"/>
                <w:lang w:val="en-US" w:eastAsia="zh-CN" w:bidi="ar"/>
              </w:rPr>
              <w:t>2.明确具体</w:t>
            </w:r>
            <w:r>
              <w:rPr>
                <w:rFonts w:hint="eastAsia" w:ascii="宋体" w:hAnsi="宋体" w:eastAsia="宋体" w:cs="宋体"/>
                <w:color w:val="auto"/>
                <w:kern w:val="0"/>
                <w:sz w:val="16"/>
                <w:szCs w:val="16"/>
                <w:highlight w:val="none"/>
                <w:lang w:val="en-US" w:eastAsia="zh-CN" w:bidi="ar"/>
              </w:rPr>
              <w:t>等级要求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640"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试验方法</w:t>
            </w:r>
          </w:p>
        </w:tc>
        <w:tc>
          <w:tcPr>
            <w:tcW w:w="106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1.高温力学性能试验按GB/T4338</w:t>
            </w:r>
            <w:r>
              <w:rPr>
                <w:rFonts w:hint="default" w:ascii="宋体" w:hAnsi="宋体" w:eastAsia="宋体" w:cs="宋体"/>
                <w:color w:val="auto"/>
                <w:kern w:val="0"/>
                <w:sz w:val="16"/>
                <w:szCs w:val="16"/>
                <w:highlight w:val="none"/>
                <w:lang w:val="en-US" w:eastAsia="zh-CN" w:bidi="ar"/>
              </w:rPr>
              <w:br w:type="textWrapping"/>
            </w:r>
            <w:r>
              <w:rPr>
                <w:rFonts w:hint="default" w:ascii="宋体" w:hAnsi="宋体" w:eastAsia="宋体" w:cs="宋体"/>
                <w:color w:val="auto"/>
                <w:kern w:val="0"/>
                <w:sz w:val="16"/>
                <w:szCs w:val="16"/>
                <w:highlight w:val="none"/>
                <w:lang w:val="en-US" w:eastAsia="zh-CN" w:bidi="ar"/>
              </w:rPr>
              <w:t>2.晶粒度测定按YB/T5148</w:t>
            </w:r>
            <w:r>
              <w:rPr>
                <w:rFonts w:hint="default" w:ascii="宋体" w:hAnsi="宋体" w:eastAsia="宋体" w:cs="宋体"/>
                <w:color w:val="auto"/>
                <w:kern w:val="0"/>
                <w:sz w:val="16"/>
                <w:szCs w:val="16"/>
                <w:highlight w:val="none"/>
                <w:lang w:val="en-US" w:eastAsia="zh-CN" w:bidi="ar"/>
              </w:rPr>
              <w:br w:type="textWrapping"/>
            </w:r>
            <w:r>
              <w:rPr>
                <w:rFonts w:hint="default" w:ascii="宋体" w:hAnsi="宋体" w:eastAsia="宋体" w:cs="宋体"/>
                <w:color w:val="auto"/>
                <w:kern w:val="0"/>
                <w:sz w:val="16"/>
                <w:szCs w:val="16"/>
                <w:highlight w:val="none"/>
                <w:lang w:val="en-US" w:eastAsia="zh-CN" w:bidi="ar"/>
              </w:rPr>
              <w:t>3.室温拉伸试样按GB/T228-2002附录B表B1中R4</w:t>
            </w:r>
          </w:p>
        </w:tc>
        <w:tc>
          <w:tcPr>
            <w:tcW w:w="1914"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1.高温力学性能试验改为GB/T228.2</w:t>
            </w:r>
            <w:r>
              <w:rPr>
                <w:rFonts w:hint="default" w:ascii="宋体" w:hAnsi="宋体" w:eastAsia="宋体" w:cs="宋体"/>
                <w:color w:val="auto"/>
                <w:kern w:val="0"/>
                <w:sz w:val="16"/>
                <w:szCs w:val="16"/>
                <w:highlight w:val="none"/>
                <w:lang w:val="en-US" w:eastAsia="zh-CN" w:bidi="ar"/>
              </w:rPr>
              <w:br w:type="textWrapping"/>
            </w:r>
            <w:r>
              <w:rPr>
                <w:rFonts w:hint="default" w:ascii="宋体" w:hAnsi="宋体" w:eastAsia="宋体" w:cs="宋体"/>
                <w:color w:val="auto"/>
                <w:kern w:val="0"/>
                <w:sz w:val="16"/>
                <w:szCs w:val="16"/>
                <w:highlight w:val="none"/>
                <w:lang w:val="en-US" w:eastAsia="zh-CN" w:bidi="ar"/>
              </w:rPr>
              <w:t>2.晶粒度测定改为GB/T6394</w:t>
            </w:r>
            <w:r>
              <w:rPr>
                <w:rFonts w:hint="default" w:ascii="宋体" w:hAnsi="宋体" w:eastAsia="宋体" w:cs="宋体"/>
                <w:color w:val="auto"/>
                <w:kern w:val="0"/>
                <w:sz w:val="16"/>
                <w:szCs w:val="16"/>
                <w:highlight w:val="none"/>
                <w:lang w:val="en-US" w:eastAsia="zh-CN" w:bidi="ar"/>
              </w:rPr>
              <w:br w:type="textWrapping"/>
            </w:r>
            <w:r>
              <w:rPr>
                <w:rFonts w:hint="default" w:ascii="宋体" w:hAnsi="宋体" w:eastAsia="宋体" w:cs="宋体"/>
                <w:color w:val="auto"/>
                <w:kern w:val="0"/>
                <w:sz w:val="16"/>
                <w:szCs w:val="16"/>
                <w:highlight w:val="none"/>
                <w:lang w:val="en-US" w:eastAsia="zh-CN" w:bidi="ar"/>
              </w:rPr>
              <w:t>3.室温拉伸试验按GB/T228.1</w:t>
            </w:r>
          </w:p>
        </w:tc>
        <w:tc>
          <w:tcPr>
            <w:tcW w:w="138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试验方法更新为国内最新标准，提升试验数据准确性与通用性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32" w:hRule="atLeast"/>
        </w:trPr>
        <w:tc>
          <w:tcPr>
            <w:tcW w:w="640"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取样规定</w:t>
            </w:r>
          </w:p>
        </w:tc>
        <w:tc>
          <w:tcPr>
            <w:tcW w:w="106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1.室温、高温力学性能等项目每批任取2件，每件取1个试样</w:t>
            </w:r>
            <w:r>
              <w:rPr>
                <w:rFonts w:hint="default" w:ascii="宋体" w:hAnsi="宋体" w:eastAsia="宋体" w:cs="宋体"/>
                <w:color w:val="auto"/>
                <w:kern w:val="0"/>
                <w:sz w:val="16"/>
                <w:szCs w:val="16"/>
                <w:highlight w:val="none"/>
                <w:lang w:val="en-US" w:eastAsia="zh-CN" w:bidi="ar"/>
              </w:rPr>
              <w:br w:type="textWrapping"/>
            </w:r>
            <w:r>
              <w:rPr>
                <w:rFonts w:hint="default" w:ascii="宋体" w:hAnsi="宋体" w:eastAsia="宋体" w:cs="宋体"/>
                <w:color w:val="auto"/>
                <w:kern w:val="0"/>
                <w:sz w:val="16"/>
                <w:szCs w:val="16"/>
                <w:highlight w:val="none"/>
                <w:lang w:val="en-US" w:eastAsia="zh-CN" w:bidi="ar"/>
              </w:rPr>
              <w:t>2.未明确不同直径棒材取样位置差异</w:t>
            </w:r>
          </w:p>
        </w:tc>
        <w:tc>
          <w:tcPr>
            <w:tcW w:w="1914"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1.室温、高温力学性能等项目每批取二件，棒/轴类：头尾1/2 半径处，小规格（有效截面厚度30mm及以下）可取芯部；盘/环/饼类：径向1/2半径及轴向中心区域各取一个试样；异形件：主变形方向、受力关键部位或厚大截面处取样；无法直接取样可用同炉同工艺随炉试块代替</w:t>
            </w:r>
            <w:r>
              <w:rPr>
                <w:rFonts w:hint="default" w:ascii="宋体" w:hAnsi="宋体" w:eastAsia="宋体" w:cs="宋体"/>
                <w:color w:val="auto"/>
                <w:kern w:val="0"/>
                <w:sz w:val="16"/>
                <w:szCs w:val="16"/>
                <w:highlight w:val="none"/>
                <w:lang w:val="en-US" w:eastAsia="zh-CN" w:bidi="ar"/>
              </w:rPr>
              <w:br w:type="textWrapping"/>
            </w:r>
            <w:r>
              <w:rPr>
                <w:rFonts w:hint="default" w:ascii="宋体" w:hAnsi="宋体" w:eastAsia="宋体" w:cs="宋体"/>
                <w:color w:val="auto"/>
                <w:kern w:val="0"/>
                <w:sz w:val="16"/>
                <w:szCs w:val="16"/>
                <w:highlight w:val="none"/>
                <w:lang w:val="en-US" w:eastAsia="zh-CN" w:bidi="ar"/>
              </w:rPr>
              <w:t>2.明确分离试验样品、整体试验样品、锻件自身机加工试验样品的定义及要求</w:t>
            </w:r>
          </w:p>
        </w:tc>
        <w:tc>
          <w:tcPr>
            <w:tcW w:w="138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1.细化取样，减少取样误差</w:t>
            </w:r>
            <w:r>
              <w:rPr>
                <w:rFonts w:hint="default" w:ascii="宋体" w:hAnsi="宋体" w:eastAsia="宋体" w:cs="宋体"/>
                <w:color w:val="auto"/>
                <w:kern w:val="0"/>
                <w:sz w:val="16"/>
                <w:szCs w:val="16"/>
                <w:highlight w:val="none"/>
                <w:lang w:val="en-US" w:eastAsia="zh-CN" w:bidi="ar"/>
              </w:rPr>
              <w:br w:type="textWrapping"/>
            </w:r>
            <w:r>
              <w:rPr>
                <w:rFonts w:hint="default" w:ascii="宋体" w:hAnsi="宋体" w:eastAsia="宋体" w:cs="宋体"/>
                <w:color w:val="auto"/>
                <w:kern w:val="0"/>
                <w:sz w:val="16"/>
                <w:szCs w:val="16"/>
                <w:highlight w:val="none"/>
                <w:lang w:val="en-US" w:eastAsia="zh-CN" w:bidi="ar"/>
              </w:rPr>
              <w:t>2.规范试样来源，提升检验结果可靠性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40"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随行文件</w:t>
            </w:r>
          </w:p>
        </w:tc>
        <w:tc>
          <w:tcPr>
            <w:tcW w:w="106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仅要求提供质量证明书，无详细内容规定</w:t>
            </w:r>
          </w:p>
        </w:tc>
        <w:tc>
          <w:tcPr>
            <w:tcW w:w="1914"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1.明确随行文件需包含供方信息、产品信息、标准编号、出厂/包装日期</w:t>
            </w:r>
            <w:r>
              <w:rPr>
                <w:rFonts w:hint="default" w:ascii="宋体" w:hAnsi="宋体" w:eastAsia="宋体" w:cs="宋体"/>
                <w:color w:val="auto"/>
                <w:kern w:val="0"/>
                <w:sz w:val="16"/>
                <w:szCs w:val="16"/>
                <w:highlight w:val="none"/>
                <w:lang w:val="en-US" w:eastAsia="zh-CN" w:bidi="ar"/>
              </w:rPr>
              <w:br w:type="textWrapping"/>
            </w:r>
            <w:r>
              <w:rPr>
                <w:rFonts w:hint="default" w:ascii="宋体" w:hAnsi="宋体" w:eastAsia="宋体" w:cs="宋体"/>
                <w:color w:val="auto"/>
                <w:kern w:val="0"/>
                <w:sz w:val="16"/>
                <w:szCs w:val="16"/>
                <w:highlight w:val="none"/>
                <w:lang w:val="en-US" w:eastAsia="zh-CN" w:bidi="ar"/>
              </w:rPr>
              <w:t>2.细化产品质量保证书（含性能参数、工艺特点、质量责任、认证及检验结果）、产品合格证（含检验项目、批号、日期、签名）、检验报告、使用说明</w:t>
            </w:r>
          </w:p>
        </w:tc>
        <w:tc>
          <w:tcPr>
            <w:tcW w:w="138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建立全流程质量追溯体系，提升产品质量透明度与可追溯性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40"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附录内容</w:t>
            </w:r>
          </w:p>
        </w:tc>
        <w:tc>
          <w:tcPr>
            <w:tcW w:w="106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1.附录A：ISO与ASTM牌号对应表</w:t>
            </w:r>
            <w:r>
              <w:rPr>
                <w:rFonts w:hint="default" w:ascii="宋体" w:hAnsi="宋体" w:eastAsia="宋体" w:cs="宋体"/>
                <w:color w:val="auto"/>
                <w:kern w:val="0"/>
                <w:sz w:val="16"/>
                <w:szCs w:val="16"/>
                <w:highlight w:val="none"/>
                <w:lang w:val="en-US" w:eastAsia="zh-CN" w:bidi="ar"/>
              </w:rPr>
              <w:br w:type="textWrapping"/>
            </w:r>
            <w:r>
              <w:rPr>
                <w:rFonts w:hint="default" w:ascii="宋体" w:hAnsi="宋体" w:eastAsia="宋体" w:cs="宋体"/>
                <w:color w:val="auto"/>
                <w:kern w:val="0"/>
                <w:sz w:val="16"/>
                <w:szCs w:val="16"/>
                <w:highlight w:val="none"/>
                <w:lang w:val="en-US" w:eastAsia="zh-CN" w:bidi="ar"/>
              </w:rPr>
              <w:t>2.附录B：与ISO9725:1992章条对照</w:t>
            </w:r>
            <w:r>
              <w:rPr>
                <w:rFonts w:hint="default" w:ascii="宋体" w:hAnsi="宋体" w:eastAsia="宋体" w:cs="宋体"/>
                <w:color w:val="auto"/>
                <w:kern w:val="0"/>
                <w:sz w:val="16"/>
                <w:szCs w:val="16"/>
                <w:highlight w:val="none"/>
                <w:lang w:val="en-US" w:eastAsia="zh-CN" w:bidi="ar"/>
              </w:rPr>
              <w:br w:type="textWrapping"/>
            </w:r>
            <w:r>
              <w:rPr>
                <w:rFonts w:hint="default" w:ascii="宋体" w:hAnsi="宋体" w:eastAsia="宋体" w:cs="宋体"/>
                <w:color w:val="auto"/>
                <w:kern w:val="0"/>
                <w:sz w:val="16"/>
                <w:szCs w:val="16"/>
                <w:highlight w:val="none"/>
                <w:lang w:val="en-US" w:eastAsia="zh-CN" w:bidi="ar"/>
              </w:rPr>
              <w:t>3.附录C：与ISO9725:1992技术差异及原因</w:t>
            </w:r>
          </w:p>
        </w:tc>
        <w:tc>
          <w:tcPr>
            <w:tcW w:w="1914"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1.附录A：与ISO9725:2017结构编号对照</w:t>
            </w:r>
            <w:r>
              <w:rPr>
                <w:rFonts w:hint="default" w:ascii="宋体" w:hAnsi="宋体" w:eastAsia="宋体" w:cs="宋体"/>
                <w:color w:val="auto"/>
                <w:kern w:val="0"/>
                <w:sz w:val="16"/>
                <w:szCs w:val="16"/>
                <w:highlight w:val="none"/>
                <w:lang w:val="en-US" w:eastAsia="zh-CN" w:bidi="ar"/>
              </w:rPr>
              <w:br w:type="textWrapping"/>
            </w:r>
            <w:r>
              <w:rPr>
                <w:rFonts w:hint="default" w:ascii="宋体" w:hAnsi="宋体" w:eastAsia="宋体" w:cs="宋体"/>
                <w:color w:val="auto"/>
                <w:kern w:val="0"/>
                <w:sz w:val="16"/>
                <w:szCs w:val="16"/>
                <w:highlight w:val="none"/>
                <w:lang w:val="en-US" w:eastAsia="zh-CN" w:bidi="ar"/>
              </w:rPr>
              <w:t>2.附录B：与ISO9725:2017技术差异及原因</w:t>
            </w:r>
            <w:r>
              <w:rPr>
                <w:rFonts w:hint="default" w:ascii="宋体" w:hAnsi="宋体" w:eastAsia="宋体" w:cs="宋体"/>
                <w:color w:val="auto"/>
                <w:kern w:val="0"/>
                <w:sz w:val="16"/>
                <w:szCs w:val="16"/>
                <w:highlight w:val="none"/>
                <w:lang w:val="en-US" w:eastAsia="zh-CN" w:bidi="ar"/>
              </w:rPr>
              <w:br w:type="textWrapping"/>
            </w:r>
            <w:r>
              <w:rPr>
                <w:rFonts w:hint="default" w:ascii="宋体" w:hAnsi="宋体" w:eastAsia="宋体" w:cs="宋体"/>
                <w:color w:val="auto"/>
                <w:kern w:val="0"/>
                <w:sz w:val="16"/>
                <w:szCs w:val="16"/>
                <w:highlight w:val="none"/>
                <w:lang w:val="en-US" w:eastAsia="zh-CN" w:bidi="ar"/>
              </w:rPr>
              <w:t>3.附录C：国内外标准相应牌号对照</w:t>
            </w:r>
          </w:p>
        </w:tc>
        <w:tc>
          <w:tcPr>
            <w:tcW w:w="1382" w:type="pct"/>
            <w:shd w:val="clear" w:color="auto" w:fill="auto"/>
            <w:tcMar>
              <w:top w:w="180" w:type="dxa"/>
              <w:left w:w="270" w:type="dxa"/>
              <w:bottom w:w="180" w:type="dxa"/>
              <w:right w:w="27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16"/>
                <w:szCs w:val="16"/>
                <w:highlight w:val="none"/>
                <w:lang w:val="en-US" w:eastAsia="zh-CN" w:bidi="ar"/>
              </w:rPr>
            </w:pPr>
            <w:r>
              <w:rPr>
                <w:rFonts w:hint="default" w:ascii="宋体" w:hAnsi="宋体" w:eastAsia="宋体" w:cs="宋体"/>
                <w:color w:val="auto"/>
                <w:kern w:val="0"/>
                <w:sz w:val="16"/>
                <w:szCs w:val="16"/>
                <w:highlight w:val="none"/>
                <w:lang w:val="en-US" w:eastAsia="zh-CN" w:bidi="ar"/>
              </w:rPr>
              <w:t>1.附录内容随国际标准版本更新，便于理解标准结构与技术差异</w:t>
            </w:r>
            <w:r>
              <w:rPr>
                <w:rFonts w:hint="default" w:ascii="宋体" w:hAnsi="宋体" w:eastAsia="宋体" w:cs="宋体"/>
                <w:color w:val="auto"/>
                <w:kern w:val="0"/>
                <w:sz w:val="16"/>
                <w:szCs w:val="16"/>
                <w:highlight w:val="none"/>
                <w:lang w:val="en-US" w:eastAsia="zh-CN" w:bidi="ar"/>
              </w:rPr>
              <w:br w:type="textWrapping"/>
            </w:r>
            <w:r>
              <w:rPr>
                <w:rFonts w:hint="default" w:ascii="宋体" w:hAnsi="宋体" w:eastAsia="宋体" w:cs="宋体"/>
                <w:color w:val="auto"/>
                <w:kern w:val="0"/>
                <w:sz w:val="16"/>
                <w:szCs w:val="16"/>
                <w:highlight w:val="none"/>
                <w:lang w:val="en-US" w:eastAsia="zh-CN" w:bidi="ar"/>
              </w:rPr>
              <w:t>2.新增国内外牌号对照，方便企业技术转化与产品替代</w:t>
            </w:r>
          </w:p>
        </w:tc>
      </w:tr>
    </w:tbl>
    <w:p>
      <w:pPr>
        <w:spacing w:before="156" w:after="156"/>
        <w:ind w:firstLine="420" w:firstLineChars="200"/>
        <w:jc w:val="center"/>
        <w:rPr>
          <w:rFonts w:hint="eastAsia" w:ascii="黑体" w:hAnsi="黑体" w:eastAsia="黑体"/>
          <w:color w:val="auto"/>
          <w:highlight w:val="none"/>
        </w:rPr>
      </w:pPr>
      <w:r>
        <w:rPr>
          <w:rFonts w:hint="eastAsia" w:ascii="黑体" w:hAnsi="黑体" w:eastAsia="黑体"/>
          <w:color w:val="auto"/>
          <w:highlight w:val="none"/>
        </w:rPr>
        <w:t>国内外标准</w:t>
      </w:r>
      <w:r>
        <w:rPr>
          <w:rFonts w:hint="eastAsia" w:ascii="黑体" w:hAnsi="黑体" w:eastAsia="黑体"/>
          <w:color w:val="auto"/>
          <w:highlight w:val="none"/>
          <w:lang w:val="en-US" w:eastAsia="zh-CN"/>
        </w:rPr>
        <w:t>及原标准</w:t>
      </w:r>
      <w:r>
        <w:rPr>
          <w:rFonts w:hint="eastAsia" w:ascii="黑体" w:hAnsi="黑体" w:eastAsia="黑体"/>
          <w:color w:val="auto"/>
          <w:highlight w:val="none"/>
        </w:rPr>
        <w:t>相应牌号对照</w:t>
      </w:r>
    </w:p>
    <w:tbl>
      <w:tblPr>
        <w:tblStyle w:val="10"/>
        <w:tblW w:w="4998" w:type="pct"/>
        <w:tblInd w:w="0" w:type="dxa"/>
        <w:tblLayout w:type="autofit"/>
        <w:tblCellMar>
          <w:top w:w="0" w:type="dxa"/>
          <w:left w:w="0" w:type="dxa"/>
          <w:bottom w:w="0" w:type="dxa"/>
          <w:right w:w="0" w:type="dxa"/>
        </w:tblCellMar>
      </w:tblPr>
      <w:tblGrid>
        <w:gridCol w:w="2788"/>
        <w:gridCol w:w="5"/>
        <w:gridCol w:w="2786"/>
        <w:gridCol w:w="82"/>
        <w:gridCol w:w="2705"/>
        <w:gridCol w:w="7"/>
      </w:tblGrid>
      <w:tr>
        <w:tblPrEx>
          <w:tblCellMar>
            <w:top w:w="0" w:type="dxa"/>
            <w:left w:w="0" w:type="dxa"/>
            <w:bottom w:w="0" w:type="dxa"/>
            <w:right w:w="0" w:type="dxa"/>
          </w:tblCellMar>
        </w:tblPrEx>
        <w:trPr>
          <w:trHeight w:val="90" w:hRule="atLeast"/>
        </w:trPr>
        <w:tc>
          <w:tcPr>
            <w:tcW w:w="1664" w:type="pct"/>
            <w:tcBorders>
              <w:top w:val="single" w:color="000000" w:sz="12" w:space="0"/>
              <w:left w:val="single" w:color="000000" w:sz="12" w:space="0"/>
              <w:bottom w:val="single" w:color="000000" w:sz="12"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6"/>
                <w:szCs w:val="16"/>
                <w:highlight w:val="none"/>
                <w:lang w:bidi="ar"/>
              </w:rPr>
            </w:pPr>
            <w:r>
              <w:rPr>
                <w:rFonts w:hint="eastAsia" w:ascii="宋体" w:hAnsi="宋体" w:cs="宋体"/>
                <w:color w:val="auto"/>
                <w:kern w:val="0"/>
                <w:sz w:val="16"/>
                <w:szCs w:val="16"/>
                <w:highlight w:val="none"/>
                <w:lang w:bidi="ar"/>
              </w:rPr>
              <w:t>本标准采用的牌号</w:t>
            </w:r>
          </w:p>
        </w:tc>
        <w:tc>
          <w:tcPr>
            <w:tcW w:w="1666" w:type="pct"/>
            <w:gridSpan w:val="2"/>
            <w:tcBorders>
              <w:top w:val="single" w:color="000000" w:sz="12" w:space="0"/>
              <w:left w:val="single" w:color="000000" w:sz="4" w:space="0"/>
              <w:bottom w:val="single" w:color="000000" w:sz="12"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GB/T 26030-2010牌号</w:t>
            </w:r>
          </w:p>
        </w:tc>
        <w:tc>
          <w:tcPr>
            <w:tcW w:w="1668" w:type="pct"/>
            <w:gridSpan w:val="3"/>
            <w:tcBorders>
              <w:top w:val="single" w:color="000000" w:sz="12" w:space="0"/>
              <w:left w:val="single" w:color="000000" w:sz="4" w:space="0"/>
              <w:bottom w:val="single" w:color="000000" w:sz="12"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ISO牌号</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N5</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Ni99.0-LC</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NW2201</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N6</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N7</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Ni99.0</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NW2200</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DN</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NY1</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NY1</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NY2</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NY2</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NY3</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NY3</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w:t>
            </w:r>
          </w:p>
        </w:tc>
      </w:tr>
      <w:tr>
        <w:tblPrEx>
          <w:tblCellMar>
            <w:top w:w="0" w:type="dxa"/>
            <w:left w:w="0" w:type="dxa"/>
            <w:bottom w:w="0" w:type="dxa"/>
            <w:right w:w="0" w:type="dxa"/>
          </w:tblCellMar>
        </w:tblPrEx>
        <w:trPr>
          <w:trHeight w:val="27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NCu40-2-1</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w:t>
            </w:r>
          </w:p>
        </w:tc>
      </w:tr>
      <w:tr>
        <w:tblPrEx>
          <w:tblCellMar>
            <w:top w:w="0" w:type="dxa"/>
            <w:left w:w="0" w:type="dxa"/>
            <w:bottom w:w="0" w:type="dxa"/>
            <w:right w:w="0" w:type="dxa"/>
          </w:tblCellMar>
        </w:tblPrEx>
        <w:trPr>
          <w:trHeight w:val="27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NCu28-2.5-1.5</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w:t>
            </w:r>
          </w:p>
        </w:tc>
      </w:tr>
      <w:tr>
        <w:trPr>
          <w:trHeight w:val="27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NCu30</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NiCu30</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NW4400</w:t>
            </w:r>
          </w:p>
        </w:tc>
      </w:tr>
      <w:tr>
        <w:tblPrEx>
          <w:tblCellMar>
            <w:top w:w="0" w:type="dxa"/>
            <w:left w:w="0" w:type="dxa"/>
            <w:bottom w:w="0" w:type="dxa"/>
            <w:right w:w="0" w:type="dxa"/>
          </w:tblCellMar>
        </w:tblPrEx>
        <w:trPr>
          <w:trHeight w:val="27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NCu30-LC</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NiCu30-LC</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NW4402</w:t>
            </w:r>
          </w:p>
        </w:tc>
      </w:tr>
      <w:tr>
        <w:tblPrEx>
          <w:tblCellMar>
            <w:top w:w="0" w:type="dxa"/>
            <w:left w:w="0" w:type="dxa"/>
            <w:bottom w:w="0" w:type="dxa"/>
            <w:right w:w="0" w:type="dxa"/>
          </w:tblCellMar>
        </w:tblPrEx>
        <w:trPr>
          <w:trHeight w:val="9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NCu30-3-0.5</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NiCu30Al3Ti</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NW5500</w:t>
            </w:r>
          </w:p>
        </w:tc>
      </w:tr>
      <w:tr>
        <w:tblPrEx>
          <w:tblCellMar>
            <w:top w:w="0" w:type="dxa"/>
            <w:left w:w="0" w:type="dxa"/>
            <w:bottom w:w="0" w:type="dxa"/>
            <w:right w:w="0" w:type="dxa"/>
          </w:tblCellMar>
        </w:tblPrEx>
        <w:trPr>
          <w:trHeight w:val="27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NMg0.1</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NSi0.19</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NMo28</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NiMo28</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NW0665</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NMo30-5</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NiMo30Fe5</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NW0001</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NW4-0.15</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NW4-0.1</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NW4-0.07</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NCr20-2-1.5</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NiCr20Ti2Al</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NW7080</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NCr20-0.5</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NiCr20Ti</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NW6621</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NCr16-16</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NiCr16Mo16Ti</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NW6455</w:t>
            </w:r>
          </w:p>
        </w:tc>
      </w:tr>
      <w:tr>
        <w:tblPrEx>
          <w:tblCellMar>
            <w:top w:w="0" w:type="dxa"/>
            <w:left w:w="0" w:type="dxa"/>
            <w:bottom w:w="0" w:type="dxa"/>
            <w:right w:w="0" w:type="dxa"/>
          </w:tblCellMar>
        </w:tblPrEx>
        <w:trPr>
          <w:trHeight w:val="9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NMo16-15-6-4</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NiMo16Cr15Fe6W4</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NW0276</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NCr22-9-3.5</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NiCr22Mo9Nb</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NW6625</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NCo20-15-5-4</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NiCo20Cr15Mo5Al4Ti</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NW3021</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NCr20</w:t>
            </w:r>
            <w:r>
              <w:rPr>
                <w:rFonts w:ascii="宋体" w:hAnsi="宋体" w:cs="宋体"/>
                <w:color w:val="auto"/>
                <w:kern w:val="0"/>
                <w:sz w:val="16"/>
                <w:szCs w:val="16"/>
                <w:highlight w:val="none"/>
                <w:lang w:bidi="ar"/>
              </w:rPr>
              <w:t>-20-</w:t>
            </w:r>
            <w:r>
              <w:rPr>
                <w:rFonts w:hint="eastAsia" w:ascii="宋体" w:hAnsi="宋体" w:cs="宋体"/>
                <w:color w:val="auto"/>
                <w:kern w:val="0"/>
                <w:sz w:val="16"/>
                <w:szCs w:val="16"/>
                <w:highlight w:val="none"/>
                <w:lang w:bidi="ar"/>
              </w:rPr>
              <w:t>5</w:t>
            </w:r>
            <w:r>
              <w:rPr>
                <w:rFonts w:ascii="宋体" w:hAnsi="宋体" w:cs="宋体"/>
                <w:color w:val="auto"/>
                <w:kern w:val="0"/>
                <w:sz w:val="16"/>
                <w:szCs w:val="16"/>
                <w:highlight w:val="none"/>
                <w:lang w:bidi="ar"/>
              </w:rPr>
              <w:t>-2</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NiCo20Cr20Mo5Ti2Al</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NW7263</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NCr20</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13</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4</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3</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NiCr20Co13Mo4Ti3Al</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NW7001</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NCr20</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18</w:t>
            </w:r>
            <w:r>
              <w:rPr>
                <w:rFonts w:ascii="宋体" w:hAnsi="宋体" w:cs="宋体"/>
                <w:color w:val="auto"/>
                <w:kern w:val="0"/>
                <w:sz w:val="16"/>
                <w:szCs w:val="16"/>
                <w:highlight w:val="none"/>
                <w:lang w:bidi="ar"/>
              </w:rPr>
              <w:t>-2.5</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NiCr20Co18Ti3</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NW7090</w:t>
            </w:r>
          </w:p>
        </w:tc>
      </w:tr>
      <w:tr>
        <w:tblPrEx>
          <w:tblCellMar>
            <w:top w:w="0" w:type="dxa"/>
            <w:left w:w="0" w:type="dxa"/>
            <w:bottom w:w="0" w:type="dxa"/>
            <w:right w:w="0" w:type="dxa"/>
          </w:tblCellMar>
        </w:tblPrEx>
        <w:trPr>
          <w:trHeight w:val="9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NCr15-8</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NiCr15Fe8</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NW6600</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NCr15</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8-LC</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NiCr15Fe8-LC</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NW6602</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NCr15</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7</w:t>
            </w:r>
            <w:r>
              <w:rPr>
                <w:rFonts w:ascii="宋体" w:hAnsi="宋体" w:cs="宋体"/>
                <w:color w:val="auto"/>
                <w:kern w:val="0"/>
                <w:sz w:val="16"/>
                <w:szCs w:val="16"/>
                <w:highlight w:val="none"/>
                <w:lang w:bidi="ar"/>
              </w:rPr>
              <w:t>-2.5</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NiCr15Fe7Ti2Al</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NW7750</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NCr21</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18</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9</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NiCr21Fe18Mo3</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NW6002</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NCr23</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15</w:t>
            </w:r>
            <w:r>
              <w:rPr>
                <w:rFonts w:ascii="宋体" w:hAnsi="宋体" w:cs="宋体"/>
                <w:color w:val="auto"/>
                <w:kern w:val="0"/>
                <w:sz w:val="16"/>
                <w:szCs w:val="16"/>
                <w:highlight w:val="none"/>
                <w:lang w:bidi="ar"/>
              </w:rPr>
              <w:t>-1.5</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NiCr23Fe15Al</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NW6601</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NFe36</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12</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6</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3</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NiFe36Cr12Mo6Ti3</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NW9911</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NCr19</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19</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5</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NiCr19Fe19Nb5Mo3</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lang w:val="en-GB"/>
              </w:rPr>
            </w:pPr>
            <w:r>
              <w:rPr>
                <w:rFonts w:hint="eastAsia" w:ascii="宋体" w:hAnsi="宋体" w:cs="宋体"/>
                <w:color w:val="auto"/>
                <w:sz w:val="16"/>
                <w:szCs w:val="16"/>
                <w:highlight w:val="none"/>
              </w:rPr>
              <w:t>NW7718</w:t>
            </w:r>
          </w:p>
        </w:tc>
      </w:tr>
      <w:tr>
        <w:tblPrEx>
          <w:tblCellMar>
            <w:top w:w="0" w:type="dxa"/>
            <w:left w:w="0" w:type="dxa"/>
            <w:bottom w:w="0" w:type="dxa"/>
            <w:right w:w="0" w:type="dxa"/>
          </w:tblCellMar>
        </w:tblPrEx>
        <w:trPr>
          <w:trHeight w:val="210" w:hRule="atLeast"/>
        </w:trPr>
        <w:tc>
          <w:tcPr>
            <w:tcW w:w="1664"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NFe</w:t>
            </w:r>
            <w:r>
              <w:rPr>
                <w:rFonts w:ascii="宋体" w:hAnsi="宋体" w:cs="宋体"/>
                <w:color w:val="auto"/>
                <w:kern w:val="0"/>
                <w:sz w:val="16"/>
                <w:szCs w:val="16"/>
                <w:highlight w:val="none"/>
                <w:lang w:bidi="ar"/>
              </w:rPr>
              <w:t>30-21-3</w:t>
            </w:r>
          </w:p>
        </w:tc>
        <w:tc>
          <w:tcPr>
            <w:tcW w:w="1666"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NiFe30CrMo3</w:t>
            </w:r>
          </w:p>
        </w:tc>
        <w:tc>
          <w:tcPr>
            <w:tcW w:w="1668" w:type="pct"/>
            <w:gridSpan w:val="3"/>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NW8825</w:t>
            </w:r>
          </w:p>
        </w:tc>
      </w:tr>
      <w:tr>
        <w:tblPrEx>
          <w:tblCellMar>
            <w:top w:w="0" w:type="dxa"/>
            <w:left w:w="0" w:type="dxa"/>
            <w:bottom w:w="0" w:type="dxa"/>
            <w:right w:w="0" w:type="dxa"/>
          </w:tblCellMar>
        </w:tblPrEx>
        <w:trPr>
          <w:gridAfter w:val="1"/>
          <w:wAfter w:w="4" w:type="pct"/>
          <w:trHeight w:val="210" w:hRule="atLeast"/>
        </w:trPr>
        <w:tc>
          <w:tcPr>
            <w:tcW w:w="1667" w:type="pct"/>
            <w:gridSpan w:val="2"/>
            <w:tcBorders>
              <w:top w:val="single" w:color="000000" w:sz="8" w:space="0"/>
              <w:left w:val="single" w:color="000000" w:sz="12" w:space="0"/>
              <w:bottom w:val="single" w:color="000000" w:sz="8" w:space="0"/>
              <w:right w:val="single" w:color="000000" w:sz="8" w:space="0"/>
            </w:tcBorders>
            <w:tcMar>
              <w:top w:w="15" w:type="dxa"/>
              <w:left w:w="15" w:type="dxa"/>
              <w:right w:w="15" w:type="dxa"/>
            </w:tcMar>
            <w:vAlign w:val="center"/>
          </w:tcPr>
          <w:p>
            <w:pPr>
              <w:jc w:val="center"/>
              <w:rPr>
                <w:rFonts w:hint="eastAsia" w:ascii="宋体" w:hAnsi="宋体" w:cs="宋体"/>
                <w:color w:val="auto"/>
                <w:kern w:val="0"/>
                <w:sz w:val="16"/>
                <w:szCs w:val="16"/>
                <w:highlight w:val="none"/>
                <w:lang w:bidi="ar"/>
              </w:rPr>
            </w:pPr>
            <w:r>
              <w:rPr>
                <w:rFonts w:hint="eastAsia" w:ascii="宋体" w:hAnsi="宋体"/>
                <w:color w:val="auto"/>
                <w:sz w:val="18"/>
                <w:szCs w:val="18"/>
                <w:highlight w:val="none"/>
              </w:rPr>
              <w:t>NS1101</w:t>
            </w:r>
          </w:p>
        </w:tc>
        <w:tc>
          <w:tcPr>
            <w:tcW w:w="1712" w:type="pct"/>
            <w:gridSpan w:val="2"/>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FeNi32Cr21AlTi</w:t>
            </w:r>
          </w:p>
        </w:tc>
        <w:tc>
          <w:tcPr>
            <w:tcW w:w="1615" w:type="pct"/>
            <w:tcBorders>
              <w:top w:val="single" w:color="000000" w:sz="8" w:space="0"/>
              <w:left w:val="single" w:color="000000" w:sz="8" w:space="0"/>
              <w:bottom w:val="single" w:color="000000" w:sz="8" w:space="0"/>
              <w:right w:val="single" w:color="000000" w:sz="12" w:space="0"/>
            </w:tcBorders>
            <w:tcMar>
              <w:top w:w="15" w:type="dxa"/>
              <w:left w:w="15" w:type="dxa"/>
              <w:right w:w="15" w:type="dxa"/>
            </w:tcMar>
            <w:vAlign w:val="center"/>
          </w:tcPr>
          <w:p>
            <w:pPr>
              <w:jc w:val="center"/>
              <w:rPr>
                <w:rFonts w:hint="eastAsia" w:ascii="宋体" w:hAnsi="宋体" w:cs="宋体"/>
                <w:color w:val="auto"/>
                <w:kern w:val="0"/>
                <w:sz w:val="16"/>
                <w:szCs w:val="16"/>
                <w:highlight w:val="none"/>
                <w:lang w:bidi="ar"/>
              </w:rPr>
            </w:pPr>
            <w:r>
              <w:rPr>
                <w:rFonts w:hint="eastAsia" w:ascii="宋体" w:hAnsi="宋体"/>
                <w:color w:val="auto"/>
                <w:sz w:val="18"/>
                <w:szCs w:val="18"/>
                <w:highlight w:val="none"/>
              </w:rPr>
              <w:t>NW8800</w:t>
            </w:r>
          </w:p>
        </w:tc>
      </w:tr>
      <w:tr>
        <w:tblPrEx>
          <w:tblCellMar>
            <w:top w:w="0" w:type="dxa"/>
            <w:left w:w="0" w:type="dxa"/>
            <w:bottom w:w="0" w:type="dxa"/>
            <w:right w:w="0" w:type="dxa"/>
          </w:tblCellMar>
        </w:tblPrEx>
        <w:trPr>
          <w:gridAfter w:val="1"/>
          <w:wAfter w:w="4" w:type="pct"/>
          <w:trHeight w:val="210" w:hRule="atLeast"/>
        </w:trPr>
        <w:tc>
          <w:tcPr>
            <w:tcW w:w="1667" w:type="pct"/>
            <w:gridSpan w:val="2"/>
            <w:tcBorders>
              <w:top w:val="single" w:color="000000" w:sz="8" w:space="0"/>
              <w:left w:val="single" w:color="000000" w:sz="12" w:space="0"/>
              <w:bottom w:val="single" w:color="000000" w:sz="8" w:space="0"/>
              <w:right w:val="single" w:color="000000" w:sz="8" w:space="0"/>
            </w:tcBorders>
            <w:tcMar>
              <w:top w:w="15" w:type="dxa"/>
              <w:left w:w="15" w:type="dxa"/>
              <w:right w:w="15" w:type="dxa"/>
            </w:tcMar>
            <w:vAlign w:val="center"/>
          </w:tcPr>
          <w:p>
            <w:pPr>
              <w:jc w:val="center"/>
              <w:rPr>
                <w:rFonts w:hint="eastAsia" w:ascii="宋体" w:hAnsi="宋体" w:cs="宋体"/>
                <w:color w:val="auto"/>
                <w:kern w:val="0"/>
                <w:sz w:val="16"/>
                <w:szCs w:val="16"/>
                <w:highlight w:val="none"/>
                <w:lang w:bidi="ar"/>
              </w:rPr>
            </w:pPr>
            <w:r>
              <w:rPr>
                <w:rFonts w:hint="eastAsia" w:ascii="宋体" w:hAnsi="宋体"/>
                <w:color w:val="auto"/>
                <w:sz w:val="18"/>
                <w:szCs w:val="18"/>
                <w:highlight w:val="none"/>
              </w:rPr>
              <w:t>NS1102</w:t>
            </w:r>
          </w:p>
        </w:tc>
        <w:tc>
          <w:tcPr>
            <w:tcW w:w="1712" w:type="pct"/>
            <w:gridSpan w:val="2"/>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FeNi32Cr21AlTi-LC</w:t>
            </w:r>
          </w:p>
        </w:tc>
        <w:tc>
          <w:tcPr>
            <w:tcW w:w="1615" w:type="pct"/>
            <w:tcBorders>
              <w:top w:val="single" w:color="000000" w:sz="8" w:space="0"/>
              <w:left w:val="single" w:color="000000" w:sz="8" w:space="0"/>
              <w:bottom w:val="single" w:color="000000" w:sz="8" w:space="0"/>
              <w:right w:val="single" w:color="000000" w:sz="12" w:space="0"/>
            </w:tcBorders>
            <w:tcMar>
              <w:top w:w="15" w:type="dxa"/>
              <w:left w:w="15" w:type="dxa"/>
              <w:right w:w="15" w:type="dxa"/>
            </w:tcMar>
            <w:vAlign w:val="center"/>
          </w:tcPr>
          <w:p>
            <w:pPr>
              <w:jc w:val="center"/>
              <w:rPr>
                <w:rFonts w:hint="eastAsia" w:ascii="宋体" w:hAnsi="宋体" w:cs="宋体"/>
                <w:color w:val="auto"/>
                <w:kern w:val="0"/>
                <w:sz w:val="16"/>
                <w:szCs w:val="16"/>
                <w:highlight w:val="none"/>
                <w:lang w:bidi="ar"/>
              </w:rPr>
            </w:pPr>
            <w:r>
              <w:rPr>
                <w:rFonts w:hint="eastAsia" w:ascii="宋体" w:hAnsi="宋体"/>
                <w:color w:val="auto"/>
                <w:sz w:val="18"/>
                <w:szCs w:val="18"/>
                <w:highlight w:val="none"/>
              </w:rPr>
              <w:t>NW8810</w:t>
            </w:r>
          </w:p>
        </w:tc>
      </w:tr>
      <w:tr>
        <w:tblPrEx>
          <w:tblCellMar>
            <w:top w:w="0" w:type="dxa"/>
            <w:left w:w="0" w:type="dxa"/>
            <w:bottom w:w="0" w:type="dxa"/>
            <w:right w:w="0" w:type="dxa"/>
          </w:tblCellMar>
        </w:tblPrEx>
        <w:trPr>
          <w:gridAfter w:val="1"/>
          <w:wAfter w:w="4" w:type="pct"/>
          <w:trHeight w:val="210" w:hRule="atLeast"/>
        </w:trPr>
        <w:tc>
          <w:tcPr>
            <w:tcW w:w="1667" w:type="pct"/>
            <w:gridSpan w:val="2"/>
            <w:tcBorders>
              <w:top w:val="single" w:color="000000" w:sz="8" w:space="0"/>
              <w:left w:val="single" w:color="000000" w:sz="12" w:space="0"/>
              <w:bottom w:val="single" w:color="000000" w:sz="8" w:space="0"/>
              <w:right w:val="single" w:color="000000" w:sz="8" w:space="0"/>
            </w:tcBorders>
            <w:tcMar>
              <w:top w:w="15" w:type="dxa"/>
              <w:left w:w="15" w:type="dxa"/>
              <w:right w:w="15" w:type="dxa"/>
            </w:tcMar>
            <w:vAlign w:val="center"/>
          </w:tcPr>
          <w:p>
            <w:pPr>
              <w:jc w:val="center"/>
              <w:rPr>
                <w:rFonts w:hint="eastAsia" w:ascii="宋体" w:hAnsi="宋体" w:cs="宋体"/>
                <w:color w:val="auto"/>
                <w:kern w:val="0"/>
                <w:sz w:val="16"/>
                <w:szCs w:val="16"/>
                <w:highlight w:val="none"/>
                <w:lang w:bidi="ar"/>
              </w:rPr>
            </w:pPr>
            <w:r>
              <w:rPr>
                <w:rFonts w:hint="eastAsia" w:ascii="宋体" w:hAnsi="宋体"/>
                <w:color w:val="auto"/>
                <w:sz w:val="18"/>
                <w:szCs w:val="18"/>
                <w:highlight w:val="none"/>
              </w:rPr>
              <w:t>NS1104</w:t>
            </w:r>
          </w:p>
        </w:tc>
        <w:tc>
          <w:tcPr>
            <w:tcW w:w="1712" w:type="pct"/>
            <w:gridSpan w:val="2"/>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FeNi32Cr21AlTi-HT</w:t>
            </w:r>
          </w:p>
        </w:tc>
        <w:tc>
          <w:tcPr>
            <w:tcW w:w="1615" w:type="pct"/>
            <w:tcBorders>
              <w:top w:val="single" w:color="000000" w:sz="8" w:space="0"/>
              <w:left w:val="single" w:color="000000" w:sz="8" w:space="0"/>
              <w:bottom w:val="single" w:color="000000" w:sz="8" w:space="0"/>
              <w:right w:val="single" w:color="000000" w:sz="12" w:space="0"/>
            </w:tcBorders>
            <w:tcMar>
              <w:top w:w="15" w:type="dxa"/>
              <w:left w:w="15" w:type="dxa"/>
              <w:right w:w="15" w:type="dxa"/>
            </w:tcMar>
            <w:vAlign w:val="center"/>
          </w:tcPr>
          <w:p>
            <w:pPr>
              <w:jc w:val="center"/>
              <w:rPr>
                <w:rFonts w:hint="eastAsia" w:ascii="宋体" w:hAnsi="宋体" w:cs="宋体"/>
                <w:color w:val="auto"/>
                <w:kern w:val="0"/>
                <w:sz w:val="16"/>
                <w:szCs w:val="16"/>
                <w:highlight w:val="none"/>
                <w:lang w:bidi="ar"/>
              </w:rPr>
            </w:pPr>
            <w:r>
              <w:rPr>
                <w:rFonts w:hint="eastAsia" w:ascii="宋体" w:hAnsi="宋体"/>
                <w:color w:val="auto"/>
                <w:sz w:val="18"/>
                <w:szCs w:val="18"/>
                <w:highlight w:val="none"/>
              </w:rPr>
              <w:t>NW8811</w:t>
            </w:r>
          </w:p>
        </w:tc>
      </w:tr>
      <w:tr>
        <w:tblPrEx>
          <w:tblCellMar>
            <w:top w:w="0" w:type="dxa"/>
            <w:left w:w="0" w:type="dxa"/>
            <w:bottom w:w="0" w:type="dxa"/>
            <w:right w:w="0" w:type="dxa"/>
          </w:tblCellMar>
        </w:tblPrEx>
        <w:trPr>
          <w:gridAfter w:val="1"/>
          <w:wAfter w:w="4" w:type="pct"/>
          <w:trHeight w:val="210" w:hRule="atLeast"/>
        </w:trPr>
        <w:tc>
          <w:tcPr>
            <w:tcW w:w="1667" w:type="pct"/>
            <w:gridSpan w:val="2"/>
            <w:tcBorders>
              <w:top w:val="single" w:color="000000" w:sz="8" w:space="0"/>
              <w:left w:val="single" w:color="000000" w:sz="12" w:space="0"/>
              <w:bottom w:val="single" w:color="000000" w:sz="8" w:space="0"/>
              <w:right w:val="single" w:color="000000" w:sz="8" w:space="0"/>
            </w:tcBorders>
            <w:tcMar>
              <w:top w:w="15" w:type="dxa"/>
              <w:left w:w="15" w:type="dxa"/>
              <w:right w:w="15" w:type="dxa"/>
            </w:tcMar>
            <w:vAlign w:val="center"/>
          </w:tcPr>
          <w:p>
            <w:pPr>
              <w:jc w:val="center"/>
              <w:rPr>
                <w:rFonts w:hint="eastAsia" w:ascii="宋体" w:hAnsi="宋体" w:cs="宋体"/>
                <w:color w:val="auto"/>
                <w:kern w:val="0"/>
                <w:sz w:val="16"/>
                <w:szCs w:val="16"/>
                <w:highlight w:val="none"/>
                <w:lang w:bidi="ar"/>
              </w:rPr>
            </w:pPr>
            <w:r>
              <w:rPr>
                <w:rFonts w:hint="eastAsia" w:ascii="宋体" w:hAnsi="宋体"/>
                <w:color w:val="auto"/>
                <w:sz w:val="18"/>
                <w:szCs w:val="18"/>
                <w:highlight w:val="none"/>
              </w:rPr>
              <w:t>NS1403</w:t>
            </w:r>
          </w:p>
        </w:tc>
        <w:tc>
          <w:tcPr>
            <w:tcW w:w="1712" w:type="pct"/>
            <w:gridSpan w:val="2"/>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FeNi35Cr20Cu4Mo2</w:t>
            </w:r>
          </w:p>
        </w:tc>
        <w:tc>
          <w:tcPr>
            <w:tcW w:w="1615" w:type="pct"/>
            <w:tcBorders>
              <w:top w:val="single" w:color="000000" w:sz="8" w:space="0"/>
              <w:left w:val="single" w:color="000000" w:sz="8" w:space="0"/>
              <w:bottom w:val="single" w:color="000000" w:sz="8" w:space="0"/>
              <w:right w:val="single" w:color="000000" w:sz="12" w:space="0"/>
            </w:tcBorders>
            <w:tcMar>
              <w:top w:w="15" w:type="dxa"/>
              <w:left w:w="15" w:type="dxa"/>
              <w:right w:w="15" w:type="dxa"/>
            </w:tcMar>
            <w:vAlign w:val="center"/>
          </w:tcPr>
          <w:p>
            <w:pPr>
              <w:jc w:val="center"/>
              <w:rPr>
                <w:rFonts w:hint="eastAsia" w:ascii="宋体" w:hAnsi="宋体" w:cs="宋体"/>
                <w:color w:val="auto"/>
                <w:kern w:val="0"/>
                <w:sz w:val="16"/>
                <w:szCs w:val="16"/>
                <w:highlight w:val="none"/>
                <w:lang w:bidi="ar"/>
              </w:rPr>
            </w:pPr>
            <w:r>
              <w:rPr>
                <w:rFonts w:hint="eastAsia" w:ascii="宋体" w:hAnsi="宋体"/>
                <w:color w:val="auto"/>
                <w:sz w:val="18"/>
                <w:szCs w:val="18"/>
                <w:highlight w:val="none"/>
              </w:rPr>
              <w:t>NW8020</w:t>
            </w:r>
          </w:p>
        </w:tc>
      </w:tr>
      <w:tr>
        <w:tblPrEx>
          <w:tblCellMar>
            <w:top w:w="0" w:type="dxa"/>
            <w:left w:w="0" w:type="dxa"/>
            <w:bottom w:w="0" w:type="dxa"/>
            <w:right w:w="0" w:type="dxa"/>
          </w:tblCellMar>
        </w:tblPrEx>
        <w:trPr>
          <w:gridAfter w:val="1"/>
          <w:wAfter w:w="4" w:type="pct"/>
          <w:trHeight w:val="210" w:hRule="atLeast"/>
        </w:trPr>
        <w:tc>
          <w:tcPr>
            <w:tcW w:w="1667" w:type="pct"/>
            <w:gridSpan w:val="2"/>
            <w:tcBorders>
              <w:top w:val="single" w:color="000000" w:sz="8" w:space="0"/>
              <w:left w:val="single" w:color="000000" w:sz="12" w:space="0"/>
              <w:bottom w:val="single" w:color="000000" w:sz="8" w:space="0"/>
              <w:right w:val="single" w:color="000000" w:sz="8" w:space="0"/>
            </w:tcBorders>
            <w:tcMar>
              <w:top w:w="15" w:type="dxa"/>
              <w:left w:w="15" w:type="dxa"/>
              <w:right w:w="15" w:type="dxa"/>
            </w:tcMar>
            <w:vAlign w:val="center"/>
          </w:tcPr>
          <w:p>
            <w:pPr>
              <w:jc w:val="center"/>
              <w:rPr>
                <w:rFonts w:hint="eastAsia" w:ascii="宋体" w:hAnsi="宋体" w:eastAsia="宋体" w:cs="宋体"/>
                <w:color w:val="auto"/>
                <w:kern w:val="0"/>
                <w:sz w:val="16"/>
                <w:szCs w:val="16"/>
                <w:highlight w:val="none"/>
                <w:lang w:val="en-US" w:eastAsia="zh-CN" w:bidi="ar"/>
              </w:rPr>
            </w:pPr>
            <w:r>
              <w:rPr>
                <w:rFonts w:hint="eastAsia" w:ascii="宋体" w:hAnsi="宋体"/>
                <w:color w:val="auto"/>
                <w:sz w:val="18"/>
                <w:szCs w:val="18"/>
                <w:highlight w:val="none"/>
              </w:rPr>
              <w:t>FeNi32Cr21Ti</w:t>
            </w:r>
          </w:p>
        </w:tc>
        <w:tc>
          <w:tcPr>
            <w:tcW w:w="1712" w:type="pct"/>
            <w:gridSpan w:val="2"/>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lang w:val="en-US" w:eastAsia="zh-CN"/>
              </w:rPr>
            </w:pPr>
            <w:r>
              <w:rPr>
                <w:rFonts w:hint="eastAsia" w:ascii="宋体" w:hAnsi="宋体" w:cs="宋体"/>
                <w:color w:val="auto"/>
                <w:sz w:val="16"/>
                <w:szCs w:val="16"/>
                <w:highlight w:val="none"/>
              </w:rPr>
              <w:t>FeNi32Cr21Ti</w:t>
            </w:r>
          </w:p>
        </w:tc>
        <w:tc>
          <w:tcPr>
            <w:tcW w:w="1615" w:type="pct"/>
            <w:tcBorders>
              <w:top w:val="single" w:color="000000" w:sz="8" w:space="0"/>
              <w:left w:val="single" w:color="000000" w:sz="8" w:space="0"/>
              <w:bottom w:val="single" w:color="000000" w:sz="8" w:space="0"/>
              <w:right w:val="single" w:color="000000" w:sz="12" w:space="0"/>
            </w:tcBorders>
            <w:tcMar>
              <w:top w:w="15" w:type="dxa"/>
              <w:left w:w="15" w:type="dxa"/>
              <w:right w:w="15" w:type="dxa"/>
            </w:tcMar>
            <w:vAlign w:val="center"/>
          </w:tcPr>
          <w:p>
            <w:pPr>
              <w:jc w:val="center"/>
              <w:rPr>
                <w:rFonts w:hint="eastAsia" w:ascii="宋体" w:hAnsi="宋体" w:eastAsia="宋体" w:cs="宋体"/>
                <w:color w:val="auto"/>
                <w:kern w:val="0"/>
                <w:sz w:val="16"/>
                <w:szCs w:val="16"/>
                <w:highlight w:val="none"/>
                <w:lang w:val="en-US" w:eastAsia="zh-CN" w:bidi="ar"/>
              </w:rPr>
            </w:pPr>
            <w:r>
              <w:rPr>
                <w:rFonts w:hint="eastAsia" w:ascii="宋体" w:hAnsi="宋体"/>
                <w:color w:val="auto"/>
                <w:sz w:val="18"/>
                <w:szCs w:val="18"/>
                <w:highlight w:val="none"/>
              </w:rPr>
              <w:t>NW8801</w:t>
            </w:r>
          </w:p>
        </w:tc>
      </w:tr>
      <w:tr>
        <w:tblPrEx>
          <w:tblCellMar>
            <w:top w:w="0" w:type="dxa"/>
            <w:left w:w="0" w:type="dxa"/>
            <w:bottom w:w="0" w:type="dxa"/>
            <w:right w:w="0" w:type="dxa"/>
          </w:tblCellMar>
        </w:tblPrEx>
        <w:trPr>
          <w:gridAfter w:val="1"/>
          <w:wAfter w:w="4" w:type="pct"/>
          <w:trHeight w:val="90" w:hRule="atLeast"/>
        </w:trPr>
        <w:tc>
          <w:tcPr>
            <w:tcW w:w="1667" w:type="pct"/>
            <w:gridSpan w:val="2"/>
            <w:tcBorders>
              <w:top w:val="single" w:color="000000" w:sz="8" w:space="0"/>
              <w:left w:val="single" w:color="000000" w:sz="12" w:space="0"/>
              <w:bottom w:val="single" w:color="000000" w:sz="8" w:space="0"/>
              <w:right w:val="single" w:color="000000" w:sz="8" w:space="0"/>
            </w:tcBorders>
            <w:tcMar>
              <w:top w:w="15" w:type="dxa"/>
              <w:left w:w="15" w:type="dxa"/>
              <w:right w:w="15" w:type="dxa"/>
            </w:tcMar>
            <w:vAlign w:val="center"/>
          </w:tcPr>
          <w:p>
            <w:pPr>
              <w:jc w:val="center"/>
              <w:rPr>
                <w:rFonts w:hint="default" w:ascii="宋体" w:hAnsi="宋体" w:eastAsia="宋体"/>
                <w:color w:val="0000FF"/>
                <w:sz w:val="18"/>
                <w:szCs w:val="18"/>
                <w:highlight w:val="none"/>
                <w:lang w:val="en-US" w:eastAsia="zh-CN"/>
              </w:rPr>
            </w:pPr>
            <w:r>
              <w:rPr>
                <w:rFonts w:hint="eastAsia" w:ascii="宋体" w:hAnsi="宋体"/>
                <w:color w:val="0000FF"/>
                <w:sz w:val="18"/>
                <w:szCs w:val="18"/>
                <w:highlight w:val="none"/>
                <w:lang w:val="en-US" w:eastAsia="zh-CN"/>
              </w:rPr>
              <w:t>NS3313</w:t>
            </w:r>
          </w:p>
        </w:tc>
        <w:tc>
          <w:tcPr>
            <w:tcW w:w="1712" w:type="pct"/>
            <w:gridSpan w:val="2"/>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w:t>
            </w:r>
          </w:p>
        </w:tc>
        <w:tc>
          <w:tcPr>
            <w:tcW w:w="1615" w:type="pct"/>
            <w:tcBorders>
              <w:top w:val="single" w:color="000000" w:sz="8" w:space="0"/>
              <w:left w:val="single" w:color="000000" w:sz="8" w:space="0"/>
              <w:bottom w:val="single" w:color="000000" w:sz="8" w:space="0"/>
              <w:right w:val="single" w:color="000000" w:sz="12" w:space="0"/>
            </w:tcBorders>
            <w:tcMar>
              <w:top w:w="15" w:type="dxa"/>
              <w:left w:w="15" w:type="dxa"/>
              <w:right w:w="15" w:type="dxa"/>
            </w:tcMar>
            <w:vAlign w:val="center"/>
          </w:tcPr>
          <w:p>
            <w:pPr>
              <w:jc w:val="center"/>
              <w:rPr>
                <w:rFonts w:hint="eastAsia" w:ascii="宋体" w:hAnsi="宋体"/>
                <w:color w:val="0000FF"/>
                <w:sz w:val="18"/>
                <w:szCs w:val="18"/>
                <w:highlight w:val="none"/>
              </w:rPr>
            </w:pPr>
            <w:r>
              <w:rPr>
                <w:rFonts w:hint="eastAsia" w:ascii="宋体" w:hAnsi="宋体"/>
                <w:color w:val="0000FF"/>
                <w:sz w:val="18"/>
                <w:szCs w:val="18"/>
                <w:highlight w:val="none"/>
                <w:lang w:val="en-US" w:eastAsia="zh-CN"/>
              </w:rPr>
              <w:t>N06230</w:t>
            </w:r>
          </w:p>
        </w:tc>
      </w:tr>
      <w:tr>
        <w:tblPrEx>
          <w:tblCellMar>
            <w:top w:w="0" w:type="dxa"/>
            <w:left w:w="0" w:type="dxa"/>
            <w:bottom w:w="0" w:type="dxa"/>
            <w:right w:w="0" w:type="dxa"/>
          </w:tblCellMar>
        </w:tblPrEx>
        <w:trPr>
          <w:gridAfter w:val="1"/>
          <w:wAfter w:w="4" w:type="pct"/>
          <w:trHeight w:val="210" w:hRule="atLeast"/>
        </w:trPr>
        <w:tc>
          <w:tcPr>
            <w:tcW w:w="1667" w:type="pct"/>
            <w:gridSpan w:val="2"/>
            <w:tcBorders>
              <w:top w:val="single" w:color="000000" w:sz="8" w:space="0"/>
              <w:left w:val="single" w:color="000000" w:sz="12" w:space="0"/>
              <w:bottom w:val="single" w:color="000000" w:sz="8" w:space="0"/>
              <w:right w:val="single" w:color="000000" w:sz="8" w:space="0"/>
            </w:tcBorders>
            <w:tcMar>
              <w:top w:w="15" w:type="dxa"/>
              <w:left w:w="15" w:type="dxa"/>
              <w:right w:w="15" w:type="dxa"/>
            </w:tcMar>
            <w:vAlign w:val="center"/>
          </w:tcPr>
          <w:p>
            <w:pPr>
              <w:jc w:val="center"/>
              <w:rPr>
                <w:rFonts w:hint="eastAsia" w:ascii="宋体" w:hAnsi="宋体"/>
                <w:color w:val="0000FF"/>
                <w:sz w:val="18"/>
                <w:szCs w:val="18"/>
                <w:highlight w:val="none"/>
              </w:rPr>
            </w:pPr>
            <w:r>
              <w:rPr>
                <w:rFonts w:hint="eastAsia" w:ascii="宋体" w:hAnsi="宋体"/>
                <w:color w:val="0000FF"/>
                <w:sz w:val="18"/>
                <w:szCs w:val="18"/>
                <w:highlight w:val="none"/>
              </w:rPr>
              <w:t>NS3</w:t>
            </w:r>
            <w:r>
              <w:rPr>
                <w:rFonts w:hint="eastAsia" w:ascii="宋体" w:hAnsi="宋体"/>
                <w:color w:val="0000FF"/>
                <w:sz w:val="18"/>
                <w:szCs w:val="18"/>
                <w:highlight w:val="none"/>
                <w:lang w:val="en-US" w:eastAsia="zh-CN"/>
              </w:rPr>
              <w:t>4</w:t>
            </w:r>
            <w:r>
              <w:rPr>
                <w:rFonts w:hint="eastAsia" w:ascii="宋体" w:hAnsi="宋体"/>
                <w:color w:val="0000FF"/>
                <w:sz w:val="18"/>
                <w:szCs w:val="18"/>
                <w:highlight w:val="none"/>
              </w:rPr>
              <w:t>05</w:t>
            </w:r>
          </w:p>
        </w:tc>
        <w:tc>
          <w:tcPr>
            <w:tcW w:w="1712" w:type="pct"/>
            <w:gridSpan w:val="2"/>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w:t>
            </w:r>
          </w:p>
        </w:tc>
        <w:tc>
          <w:tcPr>
            <w:tcW w:w="1615" w:type="pct"/>
            <w:tcBorders>
              <w:top w:val="single" w:color="000000" w:sz="8" w:space="0"/>
              <w:left w:val="single" w:color="000000" w:sz="8" w:space="0"/>
              <w:bottom w:val="single" w:color="000000" w:sz="8" w:space="0"/>
              <w:right w:val="single" w:color="000000" w:sz="12" w:space="0"/>
            </w:tcBorders>
            <w:tcMar>
              <w:top w:w="15" w:type="dxa"/>
              <w:left w:w="15" w:type="dxa"/>
              <w:right w:w="15" w:type="dxa"/>
            </w:tcMar>
            <w:vAlign w:val="center"/>
          </w:tcPr>
          <w:p>
            <w:pPr>
              <w:jc w:val="center"/>
              <w:rPr>
                <w:rFonts w:hint="eastAsia" w:ascii="宋体" w:hAnsi="宋体" w:eastAsia="宋体"/>
                <w:color w:val="0000FF"/>
                <w:sz w:val="18"/>
                <w:szCs w:val="18"/>
                <w:highlight w:val="none"/>
                <w:lang w:eastAsia="zh-CN"/>
              </w:rPr>
            </w:pPr>
            <w:r>
              <w:rPr>
                <w:rFonts w:hint="eastAsia" w:ascii="宋体" w:hAnsi="宋体"/>
                <w:color w:val="0000FF"/>
                <w:sz w:val="18"/>
                <w:szCs w:val="18"/>
                <w:highlight w:val="none"/>
                <w:lang w:val="en-US" w:eastAsia="zh-CN"/>
              </w:rPr>
              <w:t>NO6200</w:t>
            </w:r>
          </w:p>
        </w:tc>
      </w:tr>
      <w:tr>
        <w:tblPrEx>
          <w:tblCellMar>
            <w:top w:w="0" w:type="dxa"/>
            <w:left w:w="0" w:type="dxa"/>
            <w:bottom w:w="0" w:type="dxa"/>
            <w:right w:w="0" w:type="dxa"/>
          </w:tblCellMar>
        </w:tblPrEx>
        <w:trPr>
          <w:gridAfter w:val="1"/>
          <w:wAfter w:w="4" w:type="pct"/>
          <w:trHeight w:val="210" w:hRule="atLeast"/>
        </w:trPr>
        <w:tc>
          <w:tcPr>
            <w:tcW w:w="1667" w:type="pct"/>
            <w:gridSpan w:val="2"/>
            <w:tcBorders>
              <w:top w:val="single" w:color="000000" w:sz="8" w:space="0"/>
              <w:left w:val="single" w:color="000000" w:sz="12" w:space="0"/>
              <w:bottom w:val="single" w:color="000000" w:sz="12" w:space="0"/>
              <w:right w:val="single" w:color="000000" w:sz="8" w:space="0"/>
            </w:tcBorders>
            <w:tcMar>
              <w:top w:w="15" w:type="dxa"/>
              <w:left w:w="15" w:type="dxa"/>
              <w:right w:w="15" w:type="dxa"/>
            </w:tcMar>
            <w:vAlign w:val="center"/>
          </w:tcPr>
          <w:p>
            <w:pPr>
              <w:jc w:val="center"/>
              <w:rPr>
                <w:rFonts w:hint="default" w:ascii="宋体" w:hAnsi="宋体" w:eastAsia="宋体"/>
                <w:color w:val="0000FF"/>
                <w:sz w:val="18"/>
                <w:szCs w:val="18"/>
                <w:highlight w:val="none"/>
                <w:lang w:val="en-US" w:eastAsia="zh-CN"/>
              </w:rPr>
            </w:pPr>
            <w:r>
              <w:rPr>
                <w:rFonts w:hint="eastAsia" w:ascii="宋体" w:hAnsi="宋体"/>
                <w:color w:val="0000FF"/>
                <w:sz w:val="18"/>
                <w:szCs w:val="18"/>
                <w:highlight w:val="none"/>
                <w:lang w:val="en-US" w:eastAsia="zh-CN"/>
              </w:rPr>
              <w:t>NS1502</w:t>
            </w:r>
          </w:p>
        </w:tc>
        <w:tc>
          <w:tcPr>
            <w:tcW w:w="1712" w:type="pct"/>
            <w:gridSpan w:val="2"/>
            <w:tcBorders>
              <w:top w:val="single" w:color="000000" w:sz="8" w:space="0"/>
              <w:left w:val="single" w:color="000000" w:sz="8" w:space="0"/>
              <w:bottom w:val="single" w:color="000000" w:sz="12" w:space="0"/>
              <w:right w:val="single" w:color="000000" w:sz="8"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w:t>
            </w:r>
          </w:p>
        </w:tc>
        <w:tc>
          <w:tcPr>
            <w:tcW w:w="1615" w:type="pct"/>
            <w:tcBorders>
              <w:top w:val="single" w:color="000000" w:sz="8" w:space="0"/>
              <w:left w:val="single" w:color="000000" w:sz="8" w:space="0"/>
              <w:bottom w:val="single" w:color="000000" w:sz="12" w:space="0"/>
              <w:right w:val="single" w:color="000000" w:sz="12" w:space="0"/>
            </w:tcBorders>
            <w:tcMar>
              <w:top w:w="15" w:type="dxa"/>
              <w:left w:w="15" w:type="dxa"/>
              <w:right w:w="15" w:type="dxa"/>
            </w:tcMar>
            <w:vAlign w:val="center"/>
          </w:tcPr>
          <w:p>
            <w:pPr>
              <w:jc w:val="center"/>
              <w:rPr>
                <w:rFonts w:hint="eastAsia" w:ascii="宋体" w:hAnsi="宋体"/>
                <w:color w:val="0000FF"/>
                <w:sz w:val="18"/>
                <w:szCs w:val="18"/>
                <w:highlight w:val="none"/>
              </w:rPr>
            </w:pPr>
            <w:r>
              <w:rPr>
                <w:rFonts w:hint="eastAsia" w:ascii="宋体" w:hAnsi="宋体"/>
                <w:color w:val="0000FF"/>
                <w:sz w:val="18"/>
                <w:szCs w:val="18"/>
                <w:highlight w:val="none"/>
                <w:lang w:eastAsia="zh-CN"/>
              </w:rPr>
              <w:t>N08120</w:t>
            </w:r>
          </w:p>
        </w:tc>
      </w:tr>
    </w:tbl>
    <w:p>
      <w:pPr>
        <w:pStyle w:val="9"/>
        <w:keepNext w:val="0"/>
        <w:keepLines w:val="0"/>
        <w:pageBreakBefore w:val="0"/>
        <w:numPr>
          <w:ilvl w:val="0"/>
          <w:numId w:val="7"/>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highlight w:val="none"/>
          <w:lang w:val="en-US" w:eastAsia="zh-CN"/>
        </w:rPr>
      </w:pPr>
      <w:r>
        <w:rPr>
          <w:rFonts w:hint="eastAsia" w:ascii="黑体" w:eastAsia="黑体" w:cs="Arial"/>
          <w:color w:val="auto"/>
          <w:sz w:val="21"/>
          <w:szCs w:val="21"/>
          <w:highlight w:val="none"/>
          <w:lang w:val="en-US" w:eastAsia="zh-CN"/>
        </w:rPr>
        <w:t>试验验证分析、综述报告、技术经济论证、预期达到的经济效益、社会效益和生态效益</w:t>
      </w:r>
    </w:p>
    <w:p>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default" w:ascii="黑体" w:eastAsia="黑体" w:cs="Arial"/>
          <w:color w:val="auto"/>
          <w:sz w:val="21"/>
          <w:szCs w:val="21"/>
          <w:highlight w:val="none"/>
          <w:lang w:val="en-US" w:eastAsia="zh-CN"/>
        </w:rPr>
      </w:pPr>
      <w:r>
        <w:rPr>
          <w:rFonts w:hint="eastAsia" w:ascii="黑体" w:eastAsia="黑体" w:cs="Arial"/>
          <w:color w:val="auto"/>
          <w:sz w:val="21"/>
          <w:szCs w:val="21"/>
          <w:highlight w:val="none"/>
          <w:lang w:val="en-US" w:eastAsia="zh-CN"/>
        </w:rPr>
        <w:t>1、试验验证分析和综述报告</w:t>
      </w:r>
    </w:p>
    <w:p>
      <w:pPr>
        <w:pStyle w:val="5"/>
        <w:numPr>
          <w:ilvl w:val="0"/>
          <w:numId w:val="8"/>
        </w:numPr>
        <w:rPr>
          <w:rFonts w:hint="eastAsia" w:ascii="黑体" w:hAnsi="宋体" w:eastAsia="黑体" w:cs="宋体"/>
          <w:bCs/>
          <w:color w:val="auto"/>
          <w:sz w:val="21"/>
          <w:szCs w:val="21"/>
          <w:highlight w:val="none"/>
          <w:lang w:val="en-US" w:eastAsia="zh-CN"/>
        </w:rPr>
      </w:pPr>
      <w:r>
        <w:rPr>
          <w:rFonts w:hint="eastAsia" w:ascii="黑体" w:hAnsi="宋体" w:eastAsia="黑体" w:cs="宋体"/>
          <w:bCs/>
          <w:color w:val="auto"/>
          <w:sz w:val="21"/>
          <w:szCs w:val="21"/>
          <w:highlight w:val="none"/>
          <w:lang w:val="en-US" w:eastAsia="zh-CN"/>
        </w:rPr>
        <w:t>项目的必要性阐述</w:t>
      </w:r>
    </w:p>
    <w:p>
      <w:pPr>
        <w:pStyle w:val="5"/>
        <w:numPr>
          <w:ilvl w:val="0"/>
          <w:numId w:val="0"/>
        </w:numPr>
        <w:ind w:firstLine="420" w:firstLineChars="200"/>
        <w:rPr>
          <w:rFonts w:hint="default"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该标准修订具有显著必要性，主要体现在三方面：一是原标准GB/T26030-2010技术内容已滞后，如高温力学性能试验方法、晶粒度要求等与当前行业技术发展及国际标准ISO9725:2017衔接不足；二是原标准在外形尺寸分类、化学成分管控、检验规则等方面存在粗放问题，如NFe30-21-3（NW8825）、NS1101（NW8800）等牌号未按尺寸细分力学性能要求，取样与检验流程缺乏精细化规范，导致产品质量稳定性不足，既影响国内市场秩序，也制约了产品参与国际竞争；三是面对国家质量强国战略、产业链自主可控需求及有色金属行业产能结构优化要求，原标准难以支撑高端镍合金锻件进口替代、消化普通过剩产能的产业发展目标，修订后的标准通过对标国际、补充高端牌号、细化技术指标与检验体系，可解决上述问题，为行业高质量发展提供技术依据。</w:t>
      </w:r>
    </w:p>
    <w:p>
      <w:pPr>
        <w:pStyle w:val="5"/>
        <w:numPr>
          <w:ilvl w:val="0"/>
          <w:numId w:val="8"/>
        </w:numPr>
        <w:rPr>
          <w:rFonts w:hint="default" w:ascii="黑体" w:hAnsi="宋体" w:eastAsia="黑体" w:cs="宋体"/>
          <w:bCs/>
          <w:color w:val="auto"/>
          <w:sz w:val="21"/>
          <w:szCs w:val="21"/>
          <w:highlight w:val="none"/>
          <w:lang w:val="en-US" w:eastAsia="zh-CN"/>
        </w:rPr>
      </w:pPr>
      <w:r>
        <w:rPr>
          <w:rFonts w:hint="eastAsia" w:ascii="黑体" w:hAnsi="宋体" w:eastAsia="黑体" w:cs="宋体"/>
          <w:bCs/>
          <w:color w:val="auto"/>
          <w:sz w:val="21"/>
          <w:szCs w:val="21"/>
          <w:highlight w:val="none"/>
          <w:lang w:val="en-US" w:eastAsia="zh-CN"/>
        </w:rPr>
        <w:t>项目的可行性阐述</w:t>
      </w:r>
    </w:p>
    <w:p>
      <w:pPr>
        <w:pStyle w:val="5"/>
        <w:numPr>
          <w:ilvl w:val="0"/>
          <w:numId w:val="0"/>
        </w:numPr>
        <w:ind w:firstLine="420" w:firstLineChars="200"/>
        <w:rPr>
          <w:rFonts w:hint="eastAsia"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本次标准修订主要围绕合金成分控制、力学性能、晶粒度等关键指标，更新了相应的试验方法，增强了检测的科学性，旨在解决现有标准中技术指标滞后于材料发展、测试方法不够统一或适用性不足等问题，从而更好地指导合金材料的生产、检验与应用，满足高端装备对高性能材料的迫切需求，推动材料科技进步与产业应用的高质量发展。</w:t>
      </w:r>
    </w:p>
    <w:p>
      <w:pPr>
        <w:pStyle w:val="5"/>
        <w:numPr>
          <w:ilvl w:val="0"/>
          <w:numId w:val="0"/>
        </w:numPr>
        <w:ind w:firstLine="420" w:firstLineChars="200"/>
        <w:rPr>
          <w:rFonts w:hint="eastAsia"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本次标准更新了合金牌号，反映了合金在研发、性能优化及工程应用方面取得的突破性进展，具有重要的战略与现实意义。一方面，标准化是对合金性能、成分、制备工艺及应用要求的科学总结与规范，能够有效保障材料在不同应用场景下的可靠性与安全性，特别是在航空航天、能源、交通、海洋工程等对材料性能要求严苛的领域，纳入标准有助于提升用户信心，推动其在关键结构中的实际应用。另一方面，标准化为新型合金的规模化生产和产业链协同提供了统一的技术依据，有利于降低应用成本、提高生产效率，推动产业健康有序发展。同时，将具有自主知识产权的新型合金纳入国家或国际标准，不仅能够规范市场秩序，防止低质产品扰乱行业，还能增强我国在新材料领域的技术话语权与国际竞争力，促进中国标准“走出去”。因此，推动新型合金及时、科学地纳入相关标准体系，是实现技术创新、产业升级与工程应用良性互动的关键环节，对加快新材料从实验室走向市场、支撑高端制造业发展具有重要作用。</w:t>
      </w:r>
    </w:p>
    <w:p>
      <w:pPr>
        <w:pStyle w:val="5"/>
        <w:numPr>
          <w:ilvl w:val="0"/>
          <w:numId w:val="8"/>
        </w:numPr>
        <w:ind w:left="0" w:leftChars="0" w:firstLine="0" w:firstLineChars="0"/>
        <w:rPr>
          <w:rFonts w:hint="eastAsia" w:ascii="黑体" w:eastAsia="黑体" w:cs="Arial"/>
          <w:color w:val="auto"/>
          <w:sz w:val="21"/>
          <w:szCs w:val="21"/>
          <w:highlight w:val="none"/>
          <w:lang w:val="en-US" w:eastAsia="zh-CN"/>
        </w:rPr>
      </w:pPr>
      <w:r>
        <w:rPr>
          <w:rFonts w:hint="eastAsia" w:ascii="黑体" w:eastAsia="黑体" w:cs="Arial"/>
          <w:color w:val="auto"/>
          <w:sz w:val="21"/>
          <w:szCs w:val="21"/>
          <w:highlight w:val="none"/>
          <w:lang w:val="en-US" w:eastAsia="zh-CN"/>
        </w:rPr>
        <w:t>试验验证分析</w:t>
      </w:r>
    </w:p>
    <w:p>
      <w:pPr>
        <w:pStyle w:val="5"/>
        <w:numPr>
          <w:ilvl w:val="0"/>
          <w:numId w:val="9"/>
        </w:numPr>
        <w:ind w:left="425" w:leftChars="0" w:hanging="425" w:firstLineChars="0"/>
        <w:rPr>
          <w:rFonts w:hint="eastAsia" w:ascii="宋体" w:hAnsi="宋体" w:eastAsiaTheme="minorEastAsia" w:cstheme="minorBidi"/>
          <w:color w:val="auto"/>
          <w:kern w:val="2"/>
          <w:sz w:val="21"/>
          <w:szCs w:val="21"/>
          <w:highlight w:val="none"/>
          <w:lang w:val="en-US" w:eastAsia="zh-CN" w:bidi="ar-SA"/>
        </w:rPr>
        <w:sectPr>
          <w:pgSz w:w="11906" w:h="16838"/>
          <w:pgMar w:top="1440" w:right="1780" w:bottom="1440" w:left="178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Theme="minorEastAsia" w:cstheme="minorBidi"/>
          <w:color w:val="auto"/>
          <w:kern w:val="2"/>
          <w:sz w:val="21"/>
          <w:szCs w:val="21"/>
          <w:highlight w:val="none"/>
          <w:lang w:val="en-US" w:eastAsia="zh-CN" w:bidi="ar-SA"/>
        </w:rPr>
        <w:t>化学成分</w:t>
      </w: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666"/>
        <w:gridCol w:w="776"/>
        <w:gridCol w:w="611"/>
        <w:gridCol w:w="749"/>
        <w:gridCol w:w="912"/>
        <w:gridCol w:w="815"/>
        <w:gridCol w:w="666"/>
        <w:gridCol w:w="578"/>
        <w:gridCol w:w="919"/>
        <w:gridCol w:w="763"/>
        <w:gridCol w:w="700"/>
        <w:gridCol w:w="712"/>
        <w:gridCol w:w="225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24" w:type="pct"/>
            <w:vMerge w:val="restart"/>
            <w:tcBorders>
              <w:top w:val="single" w:color="auto" w:sz="12" w:space="0"/>
              <w:left w:val="single" w:color="auto" w:sz="12" w:space="0"/>
              <w:bottom w:val="single" w:color="auto" w:sz="4" w:space="0"/>
              <w:right w:val="single" w:color="auto" w:sz="4" w:space="0"/>
            </w:tcBorders>
            <w:vAlign w:val="center"/>
          </w:tcPr>
          <w:p>
            <w:pPr>
              <w:jc w:val="center"/>
              <w:rPr>
                <w:rFonts w:hint="eastAsia"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合金牌号</w:t>
            </w:r>
          </w:p>
        </w:tc>
        <w:tc>
          <w:tcPr>
            <w:tcW w:w="3924" w:type="pct"/>
            <w:gridSpan w:val="13"/>
            <w:tcBorders>
              <w:top w:val="single" w:color="auto" w:sz="12" w:space="0"/>
              <w:left w:val="single" w:color="auto" w:sz="4" w:space="0"/>
              <w:bottom w:val="single" w:color="auto" w:sz="4" w:space="0"/>
              <w:right w:val="single" w:color="auto" w:sz="4" w:space="0"/>
            </w:tcBorders>
            <w:vAlign w:val="center"/>
          </w:tcPr>
          <w:p>
            <w:pPr>
              <w:jc w:val="center"/>
              <w:rPr>
                <w:rFonts w:hint="eastAsia"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质量分数/%</w:t>
            </w:r>
          </w:p>
        </w:tc>
        <w:tc>
          <w:tcPr>
            <w:tcW w:w="650" w:type="pct"/>
            <w:vMerge w:val="restart"/>
            <w:tcBorders>
              <w:top w:val="single" w:color="auto" w:sz="12" w:space="0"/>
              <w:left w:val="single" w:color="auto" w:sz="4" w:space="0"/>
              <w:bottom w:val="single" w:color="auto" w:sz="4" w:space="0"/>
              <w:right w:val="single" w:color="auto" w:sz="12" w:space="0"/>
            </w:tcBorders>
            <w:vAlign w:val="center"/>
          </w:tcPr>
          <w:p>
            <w:pPr>
              <w:jc w:val="center"/>
              <w:rPr>
                <w:rFonts w:hint="default"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24" w:type="pct"/>
            <w:vMerge w:val="continue"/>
            <w:tcBorders>
              <w:top w:val="single" w:color="auto" w:sz="4" w:space="0"/>
              <w:left w:val="single" w:color="auto" w:sz="12" w:space="0"/>
              <w:bottom w:val="single" w:color="auto" w:sz="12" w:space="0"/>
              <w:right w:val="single" w:color="auto" w:sz="4" w:space="0"/>
            </w:tcBorders>
            <w:vAlign w:val="center"/>
          </w:tcPr>
          <w:p>
            <w:pPr>
              <w:jc w:val="center"/>
              <w:rPr>
                <w:rFonts w:hint="eastAsia" w:ascii="宋体" w:hAnsi="宋体"/>
                <w:b/>
                <w:bCs/>
                <w:color w:val="auto"/>
                <w:sz w:val="18"/>
                <w:szCs w:val="18"/>
                <w:highlight w:val="none"/>
                <w:lang w:val="en-US" w:eastAsia="zh-CN"/>
              </w:rPr>
            </w:pPr>
          </w:p>
        </w:tc>
        <w:tc>
          <w:tcPr>
            <w:tcW w:w="235"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Ni</w:t>
            </w:r>
          </w:p>
        </w:tc>
        <w:tc>
          <w:tcPr>
            <w:tcW w:w="273"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Fe</w:t>
            </w:r>
          </w:p>
        </w:tc>
        <w:tc>
          <w:tcPr>
            <w:tcW w:w="215"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Al</w:t>
            </w:r>
          </w:p>
        </w:tc>
        <w:tc>
          <w:tcPr>
            <w:tcW w:w="264"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C</w:t>
            </w:r>
          </w:p>
        </w:tc>
        <w:tc>
          <w:tcPr>
            <w:tcW w:w="321"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Cr</w:t>
            </w:r>
          </w:p>
        </w:tc>
        <w:tc>
          <w:tcPr>
            <w:tcW w:w="287"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Cu</w:t>
            </w:r>
          </w:p>
        </w:tc>
        <w:tc>
          <w:tcPr>
            <w:tcW w:w="235"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Mn</w:t>
            </w:r>
          </w:p>
        </w:tc>
        <w:tc>
          <w:tcPr>
            <w:tcW w:w="204"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Mo</w:t>
            </w:r>
          </w:p>
        </w:tc>
        <w:tc>
          <w:tcPr>
            <w:tcW w:w="324"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P</w:t>
            </w:r>
          </w:p>
        </w:tc>
        <w:tc>
          <w:tcPr>
            <w:tcW w:w="269"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S</w:t>
            </w:r>
          </w:p>
        </w:tc>
        <w:tc>
          <w:tcPr>
            <w:tcW w:w="247"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Si</w:t>
            </w:r>
          </w:p>
        </w:tc>
        <w:tc>
          <w:tcPr>
            <w:tcW w:w="251"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Ti</w:t>
            </w:r>
          </w:p>
        </w:tc>
        <w:tc>
          <w:tcPr>
            <w:tcW w:w="794"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其他元素</w:t>
            </w:r>
          </w:p>
        </w:tc>
        <w:tc>
          <w:tcPr>
            <w:tcW w:w="650" w:type="pct"/>
            <w:vMerge w:val="continue"/>
            <w:tcBorders>
              <w:top w:val="single" w:color="auto" w:sz="4" w:space="0"/>
              <w:left w:val="single" w:color="auto" w:sz="4" w:space="0"/>
              <w:bottom w:val="single" w:color="auto" w:sz="12" w:space="0"/>
              <w:right w:val="single" w:color="auto" w:sz="12" w:space="0"/>
            </w:tcBorders>
            <w:vAlign w:val="center"/>
          </w:tcPr>
          <w:p>
            <w:pPr>
              <w:jc w:val="center"/>
              <w:rPr>
                <w:rFonts w:hint="eastAsia" w:ascii="宋体" w:hAnsi="宋体"/>
                <w:b/>
                <w:bCs/>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restart"/>
            <w:tcBorders>
              <w:top w:val="single" w:color="auto" w:sz="12"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N5（NW</w:t>
            </w:r>
            <w:r>
              <w:rPr>
                <w:rFonts w:hint="default" w:ascii="宋体" w:hAnsi="宋体"/>
                <w:color w:val="auto"/>
                <w:sz w:val="18"/>
                <w:szCs w:val="18"/>
                <w:highlight w:val="none"/>
                <w:lang w:val="en-US" w:eastAsia="zh-CN"/>
              </w:rPr>
              <w:t>2201</w:t>
            </w:r>
            <w:r>
              <w:rPr>
                <w:rFonts w:hint="eastAsia" w:ascii="宋体" w:hAnsi="宋体"/>
                <w:color w:val="auto"/>
                <w:sz w:val="18"/>
                <w:szCs w:val="18"/>
                <w:highlight w:val="none"/>
                <w:lang w:val="en-US" w:eastAsia="zh-CN"/>
              </w:rPr>
              <w:t>）</w:t>
            </w:r>
          </w:p>
        </w:tc>
        <w:tc>
          <w:tcPr>
            <w:tcW w:w="235" w:type="pct"/>
            <w:tcBorders>
              <w:top w:val="single" w:color="auto" w:sz="12"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73" w:type="pct"/>
            <w:tcBorders>
              <w:top w:val="single" w:color="auto" w:sz="12"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0.12</w:t>
            </w:r>
          </w:p>
        </w:tc>
        <w:tc>
          <w:tcPr>
            <w:tcW w:w="215" w:type="pct"/>
            <w:tcBorders>
              <w:top w:val="single" w:color="auto" w:sz="12"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12"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0.006</w:t>
            </w:r>
          </w:p>
        </w:tc>
        <w:tc>
          <w:tcPr>
            <w:tcW w:w="321" w:type="pct"/>
            <w:tcBorders>
              <w:top w:val="single" w:color="auto" w:sz="12"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12"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0.01</w:t>
            </w:r>
          </w:p>
        </w:tc>
        <w:tc>
          <w:tcPr>
            <w:tcW w:w="235" w:type="pct"/>
            <w:tcBorders>
              <w:top w:val="single" w:color="auto" w:sz="12"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0.2</w:t>
            </w:r>
          </w:p>
        </w:tc>
        <w:tc>
          <w:tcPr>
            <w:tcW w:w="204" w:type="pct"/>
            <w:tcBorders>
              <w:top w:val="single" w:color="auto" w:sz="12"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12"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&lt;0.01</w:t>
            </w:r>
          </w:p>
        </w:tc>
        <w:tc>
          <w:tcPr>
            <w:tcW w:w="269" w:type="pct"/>
            <w:tcBorders>
              <w:top w:val="single" w:color="auto" w:sz="12"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w:t>
            </w:r>
          </w:p>
        </w:tc>
        <w:tc>
          <w:tcPr>
            <w:tcW w:w="247" w:type="pct"/>
            <w:tcBorders>
              <w:top w:val="single" w:color="auto" w:sz="12"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0.05</w:t>
            </w:r>
          </w:p>
        </w:tc>
        <w:tc>
          <w:tcPr>
            <w:tcW w:w="251" w:type="pct"/>
            <w:tcBorders>
              <w:top w:val="single" w:color="auto" w:sz="12"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12"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restart"/>
            <w:tcBorders>
              <w:top w:val="single" w:color="auto" w:sz="12" w:space="0"/>
              <w:left w:val="single" w:color="auto" w:sz="4" w:space="0"/>
              <w:bottom w:val="single" w:color="auto" w:sz="4" w:space="0"/>
              <w:right w:val="single" w:color="auto" w:sz="12"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宝钛集团有限公司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0.18</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0.008</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0.012</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0.23</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0.05</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restart"/>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N7（NW</w:t>
            </w:r>
            <w:r>
              <w:rPr>
                <w:rFonts w:hint="default" w:ascii="宋体" w:hAnsi="宋体"/>
                <w:color w:val="auto"/>
                <w:sz w:val="18"/>
                <w:szCs w:val="18"/>
                <w:highlight w:val="none"/>
                <w:lang w:val="en-US" w:eastAsia="zh-CN"/>
              </w:rPr>
              <w:t>2200</w:t>
            </w:r>
            <w:r>
              <w:rPr>
                <w:rFonts w:hint="eastAsia" w:ascii="宋体" w:hAnsi="宋体"/>
                <w:color w:val="auto"/>
                <w:sz w:val="18"/>
                <w:szCs w:val="18"/>
                <w:highlight w:val="none"/>
                <w:lang w:val="en-US" w:eastAsia="zh-CN"/>
              </w:rPr>
              <w:t>）</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0.18</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0.01</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0.12</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0.15</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0.05</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top w:val="single" w:color="auto" w:sz="4" w:space="0"/>
              <w:left w:val="single" w:color="auto" w:sz="12"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0.08</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0.02</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0.002</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0.16</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0.05</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top w:val="single" w:color="auto" w:sz="4" w:space="0"/>
              <w:left w:val="single" w:color="auto" w:sz="12"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0.27</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0.01</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0.002</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0.23</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0.05</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top w:val="single" w:color="auto" w:sz="4" w:space="0"/>
              <w:left w:val="single" w:color="auto" w:sz="12"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0.17</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0.025</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0.01</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0.19</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0.05</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restart"/>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NCu30（NW</w:t>
            </w:r>
            <w:r>
              <w:rPr>
                <w:rFonts w:hint="default" w:ascii="宋体" w:hAnsi="宋体"/>
                <w:color w:val="auto"/>
                <w:sz w:val="18"/>
                <w:szCs w:val="18"/>
                <w:highlight w:val="none"/>
                <w:lang w:val="en-US" w:eastAsia="zh-CN"/>
              </w:rPr>
              <w:t>4400</w:t>
            </w:r>
            <w:r>
              <w:rPr>
                <w:rFonts w:hint="eastAsia" w:ascii="宋体" w:hAnsi="宋体"/>
                <w:color w:val="auto"/>
                <w:sz w:val="18"/>
                <w:szCs w:val="18"/>
                <w:highlight w:val="none"/>
                <w:lang w:val="en-US" w:eastAsia="zh-CN"/>
              </w:rPr>
              <w:t>）</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1.9</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0.012</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32.57</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1.26</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&lt;0.002</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0.08</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1.65</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0.016</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31.95</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1.45</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&lt;0.002</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0.06</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NCu40-2-1</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0.62</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0.08</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40.62</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1.86</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&lt;0.002</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0.013</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Pb</w:t>
            </w:r>
            <w:r>
              <w:rPr>
                <w:rFonts w:hint="eastAsia" w:ascii="宋体" w:hAnsi="宋体"/>
                <w:color w:val="auto"/>
                <w:sz w:val="18"/>
                <w:szCs w:val="18"/>
                <w:highlight w:val="none"/>
                <w:lang w:val="en-US" w:eastAsia="zh-CN"/>
              </w:rPr>
              <w:t>：&lt;0.002</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Borders>
              <w:top w:val="single" w:color="auto" w:sz="4" w:space="0"/>
              <w:left w:val="single" w:color="auto" w:sz="12"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NCr15-8（NW</w:t>
            </w:r>
            <w:r>
              <w:rPr>
                <w:rFonts w:hint="default" w:ascii="宋体" w:hAnsi="宋体"/>
                <w:color w:val="auto"/>
                <w:sz w:val="18"/>
                <w:szCs w:val="18"/>
                <w:highlight w:val="none"/>
                <w:lang w:val="en-US" w:eastAsia="zh-CN"/>
              </w:rPr>
              <w:t>6600</w:t>
            </w:r>
            <w:r>
              <w:rPr>
                <w:rFonts w:hint="eastAsia" w:ascii="宋体" w:hAnsi="宋体"/>
                <w:color w:val="auto"/>
                <w:sz w:val="18"/>
                <w:szCs w:val="18"/>
                <w:highlight w:val="none"/>
                <w:lang w:val="en-US" w:eastAsia="zh-CN"/>
              </w:rPr>
              <w:t>）</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7.98</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0.082</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15.89</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0.01</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0.58</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0.15</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restart"/>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NCr22-9-3.5（NW6625）</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0.52</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0.12</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0.006</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21.98</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0.14</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8.86</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0.02</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0.24</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Nb:3.68</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0.07</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0.13</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0.008</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22.06</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0.32</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9.07</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0.03</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0.25</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Nb:3.78</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0.12</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0.12</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0.006</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21.99</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0.21</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8.78</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0.028</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0.22</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Nb:3.84</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0.17</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0.11</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0.009</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21.89</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0.26</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9.01</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0.03</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0.24</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Nb:3.76</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0.12</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0.14</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0.005</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22.06</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0.21</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8.99</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0.032</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0.25</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Nb:3.81</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0.15</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0.14</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0.008</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21.93</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0.25</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8.87</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0.025</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0.26</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Nb:3.85</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NS3313（NW6230）</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余</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0.90</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0.36</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0.09</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21.90</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0.70</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2.00</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&lt;0.005</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0.007</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0.40</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Co：&lt;0.05；B：0.005；La：0.035；W：14.24</w:t>
            </w:r>
          </w:p>
        </w:tc>
        <w:tc>
          <w:tcPr>
            <w:tcW w:w="650" w:type="pct"/>
            <w:vMerge w:val="restar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江阴南工超合金有限公司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NS3405（NW6200）</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余</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1.68</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0.21</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0.0049</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22.9</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1.65</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0.021</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15.96</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0.0024</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0.0015</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0.021</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Co：0.10；</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NS1502（NW8120）</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35.88</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eastAsiaTheme="minorEastAsia" w:cstheme="minorBidi"/>
                <w:color w:val="auto"/>
                <w:kern w:val="2"/>
                <w:sz w:val="18"/>
                <w:szCs w:val="18"/>
                <w:highlight w:val="none"/>
                <w:lang w:val="en-US" w:eastAsia="zh-CN" w:bidi="ar-SA"/>
              </w:rPr>
              <w:t>37.20</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eastAsiaTheme="minorEastAsia" w:cstheme="minorBidi"/>
                <w:color w:val="auto"/>
                <w:kern w:val="2"/>
                <w:sz w:val="18"/>
                <w:szCs w:val="18"/>
                <w:highlight w:val="none"/>
                <w:lang w:val="en-US" w:eastAsia="zh-CN" w:bidi="ar-SA"/>
              </w:rPr>
              <w:t>0.046</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eastAsiaTheme="minorEastAsia" w:cstheme="minorBidi"/>
                <w:color w:val="auto"/>
                <w:kern w:val="2"/>
                <w:sz w:val="18"/>
                <w:szCs w:val="18"/>
                <w:highlight w:val="none"/>
                <w:lang w:val="en-US" w:eastAsia="zh-CN" w:bidi="ar-SA"/>
              </w:rPr>
              <w:t>0.046</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eastAsiaTheme="minorEastAsia" w:cstheme="minorBidi"/>
                <w:color w:val="auto"/>
                <w:kern w:val="2"/>
                <w:sz w:val="18"/>
                <w:szCs w:val="18"/>
                <w:highlight w:val="none"/>
                <w:lang w:val="en-US" w:eastAsia="zh-CN" w:bidi="ar-SA"/>
              </w:rPr>
              <w:t>24.18</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eastAsiaTheme="minorEastAsia" w:cstheme="minorBidi"/>
                <w:color w:val="auto"/>
                <w:kern w:val="2"/>
                <w:sz w:val="18"/>
                <w:szCs w:val="18"/>
                <w:highlight w:val="none"/>
                <w:lang w:val="en-US" w:eastAsia="zh-CN" w:bidi="ar-SA"/>
              </w:rPr>
              <w:t>0.034</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eastAsiaTheme="minorEastAsia" w:cstheme="minorBidi"/>
                <w:color w:val="auto"/>
                <w:kern w:val="2"/>
                <w:sz w:val="18"/>
                <w:szCs w:val="18"/>
                <w:highlight w:val="none"/>
                <w:lang w:val="en-US" w:eastAsia="zh-CN" w:bidi="ar-SA"/>
              </w:rPr>
              <w:t>0.29</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eastAsiaTheme="minorEastAsia" w:cstheme="minorBidi"/>
                <w:color w:val="auto"/>
                <w:kern w:val="2"/>
                <w:sz w:val="18"/>
                <w:szCs w:val="18"/>
                <w:highlight w:val="none"/>
                <w:lang w:val="en-US" w:eastAsia="zh-CN" w:bidi="ar-SA"/>
              </w:rPr>
              <w:t>0.60</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eastAsiaTheme="minorEastAsia" w:cstheme="minorBidi"/>
                <w:color w:val="auto"/>
                <w:kern w:val="2"/>
                <w:sz w:val="18"/>
                <w:szCs w:val="18"/>
                <w:highlight w:val="none"/>
                <w:lang w:val="en-US" w:eastAsia="zh-CN" w:bidi="ar-SA"/>
              </w:rPr>
              <w:t>0.016</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eastAsiaTheme="minorEastAsia" w:cstheme="minorBidi"/>
                <w:color w:val="auto"/>
                <w:kern w:val="2"/>
                <w:sz w:val="18"/>
                <w:szCs w:val="18"/>
                <w:highlight w:val="none"/>
                <w:lang w:val="en-US" w:eastAsia="zh-CN" w:bidi="ar-SA"/>
              </w:rPr>
              <w:t>0.011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eastAsiaTheme="minorEastAsia" w:cstheme="minorBidi"/>
                <w:color w:val="auto"/>
                <w:kern w:val="2"/>
                <w:sz w:val="18"/>
                <w:szCs w:val="18"/>
                <w:highlight w:val="none"/>
                <w:lang w:val="en-US" w:eastAsia="zh-CN" w:bidi="ar-SA"/>
              </w:rPr>
              <w:t>0.38</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eastAsiaTheme="minorEastAsia" w:cstheme="minorBidi"/>
                <w:color w:val="auto"/>
                <w:kern w:val="2"/>
                <w:sz w:val="18"/>
                <w:szCs w:val="18"/>
                <w:highlight w:val="none"/>
                <w:lang w:val="en-US" w:eastAsia="zh-CN" w:bidi="ar-SA"/>
              </w:rPr>
              <w:t>0.003</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eastAsiaTheme="minorEastAsia" w:cstheme="minorBidi"/>
                <w:color w:val="auto"/>
                <w:kern w:val="2"/>
                <w:sz w:val="18"/>
                <w:szCs w:val="18"/>
                <w:highlight w:val="none"/>
                <w:lang w:val="en-US" w:eastAsia="zh-CN" w:bidi="ar-SA"/>
              </w:rPr>
              <w:t>Co：0.04；Nb：0.61；B：0.0062；W：0.080；N：0.154</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restart"/>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eastAsiaTheme="minorEastAsia"/>
                <w:color w:val="auto"/>
                <w:sz w:val="18"/>
                <w:szCs w:val="18"/>
                <w:highlight w:val="none"/>
                <w:lang w:val="en-US" w:eastAsia="zh-CN"/>
              </w:rPr>
            </w:pPr>
            <w:r>
              <w:rPr>
                <w:rFonts w:hint="eastAsia" w:ascii="宋体" w:hAnsi="宋体"/>
                <w:color w:val="auto"/>
                <w:sz w:val="18"/>
                <w:szCs w:val="18"/>
                <w:highlight w:val="none"/>
                <w:lang w:val="en-US" w:eastAsia="zh-CN"/>
              </w:rPr>
              <w:t>NS1403（NW8020）</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33.8</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0.019</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19.84</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3.38</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0.6</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2.29</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0.020</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0.0021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0.33</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Nb+Ta：0.47</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34.25</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0.036</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20.32</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3.32</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0.43</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2.54</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0.011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0.0022</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0.26</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Nb+Ta：</w:t>
            </w:r>
            <w:r>
              <w:rPr>
                <w:rFonts w:hint="default" w:ascii="宋体" w:hAnsi="宋体"/>
                <w:color w:val="auto"/>
                <w:sz w:val="18"/>
                <w:szCs w:val="18"/>
                <w:highlight w:val="none"/>
                <w:lang w:val="en-US" w:eastAsia="zh-CN"/>
              </w:rPr>
              <w:t>0.62</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NS1102（NW8810）</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30.9</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45.8</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0.448</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0.060</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20.08</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0.23</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0.80</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0.015</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0.39</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0.35</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NFe30-21-3（NW8825）</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39.67</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30.11</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0.112</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0.020</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22.57</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2.15</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0.30</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3.14</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0.018</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0.0032</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0.23</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0.98</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O：0.0017；N：0.0108；H：0.00019</w:t>
            </w:r>
          </w:p>
        </w:tc>
        <w:tc>
          <w:tcPr>
            <w:tcW w:w="650" w:type="pct"/>
            <w:vMerge w:val="continue"/>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4" w:type="pct"/>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N5</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0.08</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0.012</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&lt;0.005</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&lt;0.01</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0.0015</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&lt;0.01</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restart"/>
            <w:tcBorders>
              <w:top w:val="single" w:color="auto" w:sz="4" w:space="0"/>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宝鸡海吉钛镍有限公司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restart"/>
            <w:tcBorders>
              <w:top w:val="single" w:color="auto" w:sz="4" w:space="0"/>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N6</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&gt;99.5</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0.08</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0.04</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&lt;0.005</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&lt;0.005</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&lt;0.01</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0.0015</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&lt;0.01</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vMerge w:val="restart"/>
            <w:tcBorders>
              <w:top w:val="single" w:color="auto" w:sz="4" w:space="0"/>
              <w:left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Mg：&lt;0.002；Pb：&lt;0.001；Bi：&lt;0.001；As：&lt;0.001；Sb：&lt;0.001；Zn：&lt;0.001；Cd：&lt;0.001；Sn：&lt;0.001</w:t>
            </w: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0.02</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0.025</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0.015</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&lt;0.01</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&lt;0.01</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vMerge w:val="continue"/>
            <w:tcBorders>
              <w:left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0.02</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0.034</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0.02</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&lt;0.01</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&lt;0.01</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vMerge w:val="continue"/>
            <w:tcBorders>
              <w:left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0.034</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0.03</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0.021</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&lt;0.01</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0.0013</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0.02</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vMerge w:val="continue"/>
            <w:tcBorders>
              <w:left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0.015</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0.044</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0.019</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&lt;0.01</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0.0011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&lt;0.01</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vMerge w:val="continue"/>
            <w:tcBorders>
              <w:left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0.036</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0.025</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0.031</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&lt;0.01</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&lt;0.01</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vMerge w:val="continue"/>
            <w:tcBorders>
              <w:left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0.014</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0.029</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0.014</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&lt;0.01</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0.0012</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&lt;0.01</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vMerge w:val="continue"/>
            <w:tcBorders>
              <w:left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0.011</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0.021</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0.011</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&lt;0.01</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0.0011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&lt;0.01</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vMerge w:val="continue"/>
            <w:tcBorders>
              <w:left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0.011</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0.032</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0.015</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&lt;0.01</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0.014</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vMerge w:val="continue"/>
            <w:tcBorders>
              <w:left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&lt;0.010</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0.023</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0.022</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&lt;0.01</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&lt;0.001</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0.015</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vMerge w:val="continue"/>
            <w:tcBorders>
              <w:left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0.01</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0.03</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0.026</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&lt;0.01</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0.00045</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0.0011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&lt;0.010</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vMerge w:val="continue"/>
            <w:tcBorders>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restart"/>
            <w:tcBorders>
              <w:top w:val="single" w:color="auto" w:sz="4" w:space="0"/>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N7</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0.18</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0.07</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&lt;0.005</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&lt;0.01</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0.0015</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&lt;0.01</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0.257</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0.023</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0.031</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0.02</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0.0011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0.015</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0.24</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0.04</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0.015</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0.02</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0.0011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&lt;0.01</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restart"/>
            <w:tcBorders>
              <w:top w:val="single" w:color="auto" w:sz="4" w:space="0"/>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NCu30</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余量</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1.45</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bookmarkStart w:id="3" w:name="OLE_LINK5"/>
            <w:r>
              <w:rPr>
                <w:rFonts w:hint="eastAsia" w:ascii="宋体" w:hAnsi="宋体"/>
                <w:color w:val="auto"/>
                <w:sz w:val="18"/>
                <w:szCs w:val="18"/>
                <w:highlight w:val="none"/>
                <w:lang w:val="en-US" w:eastAsia="zh-CN"/>
              </w:rPr>
              <w:t>-</w:t>
            </w:r>
            <w:bookmarkEnd w:id="3"/>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0.12</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31.5</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0.9</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0.003</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0.17</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bookmarkStart w:id="4" w:name="OLE_LINK2"/>
            <w:r>
              <w:rPr>
                <w:rFonts w:hint="eastAsia" w:ascii="宋体" w:hAnsi="宋体"/>
                <w:color w:val="auto"/>
                <w:sz w:val="18"/>
                <w:szCs w:val="18"/>
                <w:highlight w:val="none"/>
                <w:lang w:val="en-US" w:eastAsia="zh-CN"/>
              </w:rPr>
              <w:t>-</w:t>
            </w:r>
            <w:bookmarkEnd w:id="4"/>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1.38</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0.065</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30.32</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1.1</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0.002</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0.26</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2.01</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0.056</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29.59</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0.96</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0.0012</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0.18</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1.93</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0.054</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30.13</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0.94</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0.2</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1.45</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0.058</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30.52</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0.88</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&lt;0.005</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0.22</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1.36</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0.078</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29.87</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0.83</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0.14</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1.53</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0.074</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31.33</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0.88</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0.1</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1.52</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0.046</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32.37</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0.87</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&lt;0.001</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0.12</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left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Merge w:val="continue"/>
            <w:tcBorders>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73"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1.68</w:t>
            </w:r>
          </w:p>
        </w:tc>
        <w:tc>
          <w:tcPr>
            <w:tcW w:w="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0.071</w:t>
            </w:r>
          </w:p>
        </w:tc>
        <w:tc>
          <w:tcPr>
            <w:tcW w:w="32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31.23</w:t>
            </w:r>
          </w:p>
        </w:tc>
        <w:tc>
          <w:tcPr>
            <w:tcW w:w="2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1.01</w:t>
            </w:r>
          </w:p>
        </w:tc>
        <w:tc>
          <w:tcPr>
            <w:tcW w:w="20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2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69"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0.0012</w:t>
            </w:r>
          </w:p>
        </w:tc>
        <w:tc>
          <w:tcPr>
            <w:tcW w:w="24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0.2</w:t>
            </w:r>
          </w:p>
        </w:tc>
        <w:tc>
          <w:tcPr>
            <w:tcW w:w="25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9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650" w:type="pct"/>
            <w:vMerge w:val="continue"/>
            <w:tcBorders>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Borders>
              <w:top w:val="single" w:color="auto" w:sz="4" w:space="0"/>
              <w:left w:val="single" w:color="auto" w:sz="12" w:space="0"/>
              <w:bottom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NCr22-9-3.5（NW6625）</w:t>
            </w:r>
          </w:p>
        </w:tc>
        <w:tc>
          <w:tcPr>
            <w:tcW w:w="235"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62.28</w:t>
            </w:r>
          </w:p>
        </w:tc>
        <w:tc>
          <w:tcPr>
            <w:tcW w:w="273"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1.69</w:t>
            </w:r>
          </w:p>
        </w:tc>
        <w:tc>
          <w:tcPr>
            <w:tcW w:w="215"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0.17</w:t>
            </w:r>
          </w:p>
        </w:tc>
        <w:tc>
          <w:tcPr>
            <w:tcW w:w="264"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0.01</w:t>
            </w:r>
          </w:p>
        </w:tc>
        <w:tc>
          <w:tcPr>
            <w:tcW w:w="321"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22.47</w:t>
            </w:r>
          </w:p>
        </w:tc>
        <w:tc>
          <w:tcPr>
            <w:tcW w:w="287"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235"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0.22</w:t>
            </w:r>
          </w:p>
        </w:tc>
        <w:tc>
          <w:tcPr>
            <w:tcW w:w="204"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8.73</w:t>
            </w:r>
          </w:p>
        </w:tc>
        <w:tc>
          <w:tcPr>
            <w:tcW w:w="324"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0.001</w:t>
            </w:r>
          </w:p>
        </w:tc>
        <w:tc>
          <w:tcPr>
            <w:tcW w:w="269"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0.001</w:t>
            </w:r>
          </w:p>
        </w:tc>
        <w:tc>
          <w:tcPr>
            <w:tcW w:w="247"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0.05</w:t>
            </w:r>
          </w:p>
        </w:tc>
        <w:tc>
          <w:tcPr>
            <w:tcW w:w="251"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0.24</w:t>
            </w:r>
          </w:p>
        </w:tc>
        <w:tc>
          <w:tcPr>
            <w:tcW w:w="794" w:type="pct"/>
            <w:tcBorders>
              <w:top w:val="single" w:color="auto" w:sz="4" w:space="0"/>
              <w:left w:val="single" w:color="auto" w:sz="4" w:space="0"/>
              <w:bottom w:val="single" w:color="auto" w:sz="12"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Nb+Ta:3.87</w:t>
            </w:r>
          </w:p>
        </w:tc>
        <w:tc>
          <w:tcPr>
            <w:tcW w:w="650" w:type="pct"/>
            <w:tcBorders>
              <w:top w:val="single" w:color="auto" w:sz="4" w:space="0"/>
              <w:left w:val="single" w:color="auto" w:sz="4" w:space="0"/>
              <w:bottom w:val="single" w:color="auto" w:sz="12" w:space="0"/>
              <w:right w:val="single" w:color="auto" w:sz="12"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兰州兰石超合金新材料有限公司</w:t>
            </w:r>
          </w:p>
        </w:tc>
      </w:tr>
    </w:tbl>
    <w:p>
      <w:pPr>
        <w:pStyle w:val="5"/>
        <w:numPr>
          <w:ilvl w:val="0"/>
          <w:numId w:val="0"/>
        </w:numPr>
        <w:ind w:leftChars="0" w:firstLine="420" w:firstLineChars="200"/>
        <w:rPr>
          <w:rFonts w:hint="default" w:ascii="宋体" w:hAnsi="宋体" w:eastAsiaTheme="minorEastAsia" w:cstheme="minorBidi"/>
          <w:color w:val="auto"/>
          <w:kern w:val="2"/>
          <w:sz w:val="21"/>
          <w:szCs w:val="21"/>
          <w:highlight w:val="none"/>
          <w:lang w:val="en-US" w:eastAsia="zh-CN" w:bidi="ar-SA"/>
        </w:rPr>
        <w:sectPr>
          <w:pgSz w:w="16838" w:h="11906" w:orient="landscape"/>
          <w:pgMar w:top="1780" w:right="1440" w:bottom="1780" w:left="144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Theme="minorEastAsia" w:cstheme="minorBidi"/>
          <w:color w:val="auto"/>
          <w:kern w:val="2"/>
          <w:sz w:val="21"/>
          <w:szCs w:val="21"/>
          <w:highlight w:val="none"/>
          <w:lang w:val="en-US" w:eastAsia="zh-CN" w:bidi="ar-SA"/>
        </w:rPr>
        <w:t>编制组收集了N5、N6、N7等13个牌号镍及镍合金锻件的化学成分数据，经比较分析均在本标准要求范围内。其余牌号产品化学成分数据较少，遵照ISO 9725-2017及原版GB/T 26030-2010标准执行，未做改动。</w:t>
      </w:r>
    </w:p>
    <w:p>
      <w:pPr>
        <w:pStyle w:val="5"/>
        <w:numPr>
          <w:ilvl w:val="0"/>
          <w:numId w:val="9"/>
        </w:numPr>
        <w:ind w:left="425" w:leftChars="0" w:hanging="425" w:firstLineChars="0"/>
        <w:rPr>
          <w:rFonts w:hint="default"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室温力学性能/晶粒度/硬度</w:t>
      </w:r>
    </w:p>
    <w:tbl>
      <w:tblPr>
        <w:tblStyle w:val="11"/>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784"/>
        <w:gridCol w:w="702"/>
        <w:gridCol w:w="597"/>
        <w:gridCol w:w="712"/>
        <w:gridCol w:w="597"/>
        <w:gridCol w:w="779"/>
        <w:gridCol w:w="847"/>
        <w:gridCol w:w="1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blHeader/>
        </w:trPr>
        <w:tc>
          <w:tcPr>
            <w:tcW w:w="704" w:type="pct"/>
            <w:tcBorders>
              <w:top w:val="single" w:color="auto" w:sz="12" w:space="0"/>
              <w:left w:val="single" w:color="auto" w:sz="12" w:space="0"/>
              <w:bottom w:val="single" w:color="auto" w:sz="12" w:space="0"/>
            </w:tcBorders>
            <w:vAlign w:val="center"/>
          </w:tcPr>
          <w:p>
            <w:pPr>
              <w:jc w:val="center"/>
              <w:rPr>
                <w:rFonts w:hint="default"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牌号</w:t>
            </w:r>
          </w:p>
        </w:tc>
        <w:tc>
          <w:tcPr>
            <w:tcW w:w="1042" w:type="pct"/>
            <w:tcBorders>
              <w:top w:val="single" w:color="auto" w:sz="12" w:space="0"/>
              <w:bottom w:val="single" w:color="auto" w:sz="12" w:space="0"/>
            </w:tcBorders>
            <w:vAlign w:val="center"/>
          </w:tcPr>
          <w:p>
            <w:pPr>
              <w:jc w:val="center"/>
              <w:rPr>
                <w:rFonts w:hint="default"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规格</w:t>
            </w:r>
          </w:p>
        </w:tc>
        <w:tc>
          <w:tcPr>
            <w:tcW w:w="410" w:type="pct"/>
            <w:tcBorders>
              <w:top w:val="single" w:color="auto" w:sz="12" w:space="0"/>
              <w:bottom w:val="single" w:color="auto" w:sz="12" w:space="0"/>
            </w:tcBorders>
            <w:vAlign w:val="center"/>
          </w:tcPr>
          <w:p>
            <w:pPr>
              <w:jc w:val="center"/>
              <w:rPr>
                <w:rFonts w:hint="default"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状态</w:t>
            </w:r>
          </w:p>
        </w:tc>
        <w:tc>
          <w:tcPr>
            <w:tcW w:w="349" w:type="pct"/>
            <w:tcBorders>
              <w:top w:val="single" w:color="auto" w:sz="12" w:space="0"/>
              <w:bottom w:val="single" w:color="auto" w:sz="12" w:space="0"/>
            </w:tcBorders>
            <w:vAlign w:val="center"/>
          </w:tcPr>
          <w:p>
            <w:pPr>
              <w:jc w:val="center"/>
              <w:rPr>
                <w:rFonts w:hint="default"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Rm</w:t>
            </w:r>
          </w:p>
        </w:tc>
        <w:tc>
          <w:tcPr>
            <w:tcW w:w="416" w:type="pct"/>
            <w:tcBorders>
              <w:top w:val="single" w:color="auto" w:sz="12" w:space="0"/>
              <w:bottom w:val="single" w:color="auto" w:sz="12" w:space="0"/>
            </w:tcBorders>
            <w:vAlign w:val="center"/>
          </w:tcPr>
          <w:p>
            <w:pPr>
              <w:jc w:val="center"/>
              <w:rPr>
                <w:rFonts w:hint="default"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Rp0.2</w:t>
            </w:r>
          </w:p>
        </w:tc>
        <w:tc>
          <w:tcPr>
            <w:tcW w:w="349" w:type="pct"/>
            <w:tcBorders>
              <w:top w:val="single" w:color="auto" w:sz="12" w:space="0"/>
              <w:bottom w:val="single" w:color="auto" w:sz="12" w:space="0"/>
            </w:tcBorders>
            <w:vAlign w:val="center"/>
          </w:tcPr>
          <w:p>
            <w:pPr>
              <w:jc w:val="center"/>
              <w:rPr>
                <w:rFonts w:hint="default"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A</w:t>
            </w:r>
          </w:p>
        </w:tc>
        <w:tc>
          <w:tcPr>
            <w:tcW w:w="455" w:type="pct"/>
            <w:tcBorders>
              <w:top w:val="single" w:color="auto" w:sz="12" w:space="0"/>
              <w:bottom w:val="single" w:color="auto" w:sz="12" w:space="0"/>
            </w:tcBorders>
            <w:vAlign w:val="center"/>
          </w:tcPr>
          <w:p>
            <w:pPr>
              <w:jc w:val="center"/>
              <w:rPr>
                <w:rFonts w:hint="default"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Z</w:t>
            </w:r>
          </w:p>
        </w:tc>
        <w:tc>
          <w:tcPr>
            <w:tcW w:w="495" w:type="pct"/>
            <w:tcBorders>
              <w:top w:val="single" w:color="auto" w:sz="12" w:space="0"/>
              <w:bottom w:val="single" w:color="auto" w:sz="12" w:space="0"/>
            </w:tcBorders>
            <w:vAlign w:val="center"/>
          </w:tcPr>
          <w:p>
            <w:pPr>
              <w:jc w:val="center"/>
              <w:rPr>
                <w:rFonts w:hint="default"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晶粒度等级</w:t>
            </w:r>
          </w:p>
        </w:tc>
        <w:tc>
          <w:tcPr>
            <w:tcW w:w="777" w:type="pct"/>
            <w:tcBorders>
              <w:top w:val="single" w:color="auto" w:sz="12" w:space="0"/>
              <w:bottom w:val="single" w:color="auto" w:sz="12" w:space="0"/>
              <w:right w:val="single" w:color="auto" w:sz="12" w:space="0"/>
            </w:tcBorders>
            <w:vAlign w:val="center"/>
          </w:tcPr>
          <w:p>
            <w:pPr>
              <w:jc w:val="center"/>
              <w:rPr>
                <w:rFonts w:hint="default"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restart"/>
            <w:tcBorders>
              <w:top w:val="single" w:color="auto" w:sz="12" w:space="0"/>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N5（NW</w:t>
            </w:r>
            <w:r>
              <w:rPr>
                <w:rFonts w:hint="default" w:ascii="宋体" w:hAnsi="宋体"/>
                <w:color w:val="auto"/>
                <w:sz w:val="18"/>
                <w:szCs w:val="18"/>
                <w:highlight w:val="none"/>
                <w:lang w:val="en-US" w:eastAsia="zh-CN"/>
              </w:rPr>
              <w:t>2201</w:t>
            </w:r>
            <w:r>
              <w:rPr>
                <w:rFonts w:hint="eastAsia" w:ascii="宋体" w:hAnsi="宋体"/>
                <w:color w:val="auto"/>
                <w:sz w:val="18"/>
                <w:szCs w:val="18"/>
                <w:highlight w:val="none"/>
                <w:lang w:val="en-US" w:eastAsia="zh-CN"/>
              </w:rPr>
              <w:t>）</w:t>
            </w:r>
          </w:p>
        </w:tc>
        <w:tc>
          <w:tcPr>
            <w:tcW w:w="1042" w:type="pct"/>
            <w:tcBorders>
              <w:top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Φ57*2500</w:t>
            </w:r>
          </w:p>
        </w:tc>
        <w:tc>
          <w:tcPr>
            <w:tcW w:w="410" w:type="pct"/>
            <w:tcBorders>
              <w:top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tcBorders>
              <w:top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389</w:t>
            </w:r>
          </w:p>
        </w:tc>
        <w:tc>
          <w:tcPr>
            <w:tcW w:w="416" w:type="pct"/>
            <w:tcBorders>
              <w:top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226</w:t>
            </w:r>
          </w:p>
        </w:tc>
        <w:tc>
          <w:tcPr>
            <w:tcW w:w="349" w:type="pct"/>
            <w:tcBorders>
              <w:top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46</w:t>
            </w:r>
          </w:p>
        </w:tc>
        <w:tc>
          <w:tcPr>
            <w:tcW w:w="455" w:type="pct"/>
            <w:tcBorders>
              <w:top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tcBorders>
              <w:top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restart"/>
            <w:tcBorders>
              <w:top w:val="single" w:color="auto" w:sz="12" w:space="0"/>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宝钛集团有限公司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Φ250*1500</w:t>
            </w:r>
          </w:p>
        </w:tc>
        <w:tc>
          <w:tcPr>
            <w:tcW w:w="410"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399</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267</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42.5</w:t>
            </w:r>
          </w:p>
        </w:tc>
        <w:tc>
          <w:tcPr>
            <w:tcW w:w="45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restart"/>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N6</w:t>
            </w: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Ф31*1000</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383</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108</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44.5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Ф33*1000</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382</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102</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43</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Ф51*295</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391</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224</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42.5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Ф33*1000</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402</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245</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41.5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Ф31*1000</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401</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251</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40.5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Ф12*L</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380</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FF0000"/>
                <w:sz w:val="18"/>
                <w:szCs w:val="18"/>
                <w:highlight w:val="none"/>
                <w:lang w:val="en-US" w:eastAsia="zh-CN"/>
              </w:rPr>
              <w:t>93</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Ф15*≥900</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387</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278</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42.5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Ф33*1000</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391</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204</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41.5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Ф31*1000</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388</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174</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44.5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Ф33*1000</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415</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289</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40.5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Ф31*1000</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395</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248</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42.5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Ф20*1000</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392</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221</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45.5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Ф32*600</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377</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240</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42</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Ф51*1160</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385</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247</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41.5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Ф33*1000</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414</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250</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41.5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Ф31*1000</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407</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191</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42</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Ф20*1000</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380</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211</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41.5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Ф15*1000</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383</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203</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42.5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Ф25*1000</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415</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308</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41</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Merge w:val="restar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Φ70/φ80</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热锻</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374</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255</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38</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Merge w:val="continue"/>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热锻</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376</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266</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43.5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Merge w:val="continue"/>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热锻</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392</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271</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37.5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Merge w:val="continue"/>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热锻</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394</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266</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Merge w:val="continue"/>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热锻</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357</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254</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36.5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Merge w:val="continue"/>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热锻</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377</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255</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40</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Merge w:val="continue"/>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热锻</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432</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281</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44</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Merge w:val="continue"/>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热锻</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434</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282</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43.5</w:t>
            </w:r>
          </w:p>
        </w:tc>
        <w:tc>
          <w:tcPr>
            <w:tcW w:w="45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restart"/>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N7（NW2200）</w:t>
            </w: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Ф168*22</w:t>
            </w:r>
          </w:p>
        </w:tc>
        <w:tc>
          <w:tcPr>
            <w:tcW w:w="410"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388</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219</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50.5</w:t>
            </w:r>
          </w:p>
        </w:tc>
        <w:tc>
          <w:tcPr>
            <w:tcW w:w="45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p>
        </w:tc>
        <w:tc>
          <w:tcPr>
            <w:tcW w:w="1042" w:type="pct"/>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r>
              <w:rPr>
                <w:rFonts w:hint="default" w:ascii="宋体" w:hAnsi="宋体"/>
                <w:color w:val="auto"/>
                <w:sz w:val="18"/>
                <w:szCs w:val="18"/>
                <w:highlight w:val="none"/>
                <w:lang w:val="en-US" w:eastAsia="zh-CN"/>
              </w:rPr>
              <w:t>Φ300*1205</w:t>
            </w:r>
          </w:p>
        </w:tc>
        <w:tc>
          <w:tcPr>
            <w:tcW w:w="410" w:type="pct"/>
            <w:vAlign w:val="center"/>
          </w:tcPr>
          <w:p>
            <w:pPr>
              <w:keepNext w:val="0"/>
              <w:keepLines w:val="0"/>
              <w:widowControl/>
              <w:suppressLineNumbers w:val="0"/>
              <w:jc w:val="center"/>
              <w:textAlignment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r>
              <w:rPr>
                <w:rFonts w:hint="default" w:ascii="宋体" w:hAnsi="宋体"/>
                <w:color w:val="auto"/>
                <w:sz w:val="18"/>
                <w:szCs w:val="18"/>
                <w:highlight w:val="none"/>
                <w:lang w:val="en-US" w:eastAsia="zh-CN"/>
              </w:rPr>
              <w:t>389</w:t>
            </w:r>
          </w:p>
        </w:tc>
        <w:tc>
          <w:tcPr>
            <w:tcW w:w="416" w:type="pct"/>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r>
              <w:rPr>
                <w:rFonts w:hint="default" w:ascii="宋体" w:hAnsi="宋体"/>
                <w:color w:val="auto"/>
                <w:sz w:val="18"/>
                <w:szCs w:val="18"/>
                <w:highlight w:val="none"/>
                <w:lang w:val="en-US" w:eastAsia="zh-CN"/>
              </w:rPr>
              <w:t>155</w:t>
            </w:r>
          </w:p>
        </w:tc>
        <w:tc>
          <w:tcPr>
            <w:tcW w:w="349" w:type="pct"/>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r>
              <w:rPr>
                <w:rFonts w:hint="default" w:ascii="宋体" w:hAnsi="宋体"/>
                <w:color w:val="auto"/>
                <w:sz w:val="18"/>
                <w:szCs w:val="18"/>
                <w:highlight w:val="none"/>
                <w:lang w:val="en-US" w:eastAsia="zh-CN"/>
              </w:rPr>
              <w:t>50.5</w:t>
            </w:r>
          </w:p>
        </w:tc>
        <w:tc>
          <w:tcPr>
            <w:tcW w:w="455" w:type="pct"/>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eastAsiaTheme="minorEastAsia" w:cstheme="minorBidi"/>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p>
        </w:tc>
        <w:tc>
          <w:tcPr>
            <w:tcW w:w="1042" w:type="pct"/>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r>
              <w:rPr>
                <w:rFonts w:hint="default" w:ascii="宋体" w:hAnsi="宋体"/>
                <w:color w:val="auto"/>
                <w:sz w:val="18"/>
                <w:szCs w:val="18"/>
                <w:highlight w:val="none"/>
                <w:lang w:val="en-US" w:eastAsia="zh-CN"/>
              </w:rPr>
              <w:t>Ф38*781</w:t>
            </w:r>
            <w:r>
              <w:rPr>
                <w:rFonts w:hint="default" w:ascii="宋体" w:hAnsi="宋体"/>
                <w:color w:val="auto"/>
                <w:sz w:val="18"/>
                <w:szCs w:val="18"/>
                <w:highlight w:val="none"/>
                <w:lang w:val="en-US" w:eastAsia="zh-CN"/>
              </w:rPr>
              <w:br w:type="textWrapping"/>
            </w:r>
            <w:r>
              <w:rPr>
                <w:rFonts w:hint="default" w:ascii="宋体" w:hAnsi="宋体"/>
                <w:color w:val="auto"/>
                <w:sz w:val="18"/>
                <w:szCs w:val="18"/>
                <w:highlight w:val="none"/>
                <w:lang w:val="en-US" w:eastAsia="zh-CN"/>
              </w:rPr>
              <w:t>Ф38*671</w:t>
            </w:r>
          </w:p>
        </w:tc>
        <w:tc>
          <w:tcPr>
            <w:tcW w:w="410" w:type="pct"/>
            <w:vAlign w:val="center"/>
          </w:tcPr>
          <w:p>
            <w:pPr>
              <w:keepNext w:val="0"/>
              <w:keepLines w:val="0"/>
              <w:widowControl/>
              <w:suppressLineNumbers w:val="0"/>
              <w:jc w:val="center"/>
              <w:textAlignment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r>
              <w:rPr>
                <w:rFonts w:hint="default" w:ascii="宋体" w:hAnsi="宋体"/>
                <w:color w:val="auto"/>
                <w:sz w:val="18"/>
                <w:szCs w:val="18"/>
                <w:highlight w:val="none"/>
                <w:lang w:val="en-US" w:eastAsia="zh-CN"/>
              </w:rPr>
              <w:t>390</w:t>
            </w:r>
          </w:p>
        </w:tc>
        <w:tc>
          <w:tcPr>
            <w:tcW w:w="416" w:type="pct"/>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r>
              <w:rPr>
                <w:rFonts w:hint="default" w:ascii="宋体" w:hAnsi="宋体"/>
                <w:color w:val="auto"/>
                <w:sz w:val="18"/>
                <w:szCs w:val="18"/>
                <w:highlight w:val="none"/>
                <w:lang w:val="en-US" w:eastAsia="zh-CN"/>
              </w:rPr>
              <w:t>218</w:t>
            </w:r>
          </w:p>
        </w:tc>
        <w:tc>
          <w:tcPr>
            <w:tcW w:w="349" w:type="pct"/>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r>
              <w:rPr>
                <w:rFonts w:hint="default" w:ascii="宋体" w:hAnsi="宋体"/>
                <w:color w:val="auto"/>
                <w:sz w:val="18"/>
                <w:szCs w:val="18"/>
                <w:highlight w:val="none"/>
                <w:lang w:val="en-US" w:eastAsia="zh-CN"/>
              </w:rPr>
              <w:t>53.5</w:t>
            </w:r>
          </w:p>
        </w:tc>
        <w:tc>
          <w:tcPr>
            <w:tcW w:w="455" w:type="pct"/>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eastAsiaTheme="minorEastAsia" w:cstheme="minorBidi"/>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p>
        </w:tc>
        <w:tc>
          <w:tcPr>
            <w:tcW w:w="1042" w:type="pct"/>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r>
              <w:rPr>
                <w:rFonts w:hint="default" w:ascii="宋体" w:hAnsi="宋体"/>
                <w:color w:val="auto"/>
                <w:sz w:val="18"/>
                <w:szCs w:val="18"/>
                <w:highlight w:val="none"/>
                <w:lang w:val="en-US" w:eastAsia="zh-CN"/>
              </w:rPr>
              <w:t>Ф129*595</w:t>
            </w:r>
          </w:p>
        </w:tc>
        <w:tc>
          <w:tcPr>
            <w:tcW w:w="410" w:type="pct"/>
            <w:vAlign w:val="center"/>
          </w:tcPr>
          <w:p>
            <w:pPr>
              <w:keepNext w:val="0"/>
              <w:keepLines w:val="0"/>
              <w:widowControl/>
              <w:suppressLineNumbers w:val="0"/>
              <w:jc w:val="center"/>
              <w:textAlignment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r>
              <w:rPr>
                <w:rFonts w:hint="default" w:ascii="宋体" w:hAnsi="宋体"/>
                <w:color w:val="auto"/>
                <w:sz w:val="18"/>
                <w:szCs w:val="18"/>
                <w:highlight w:val="none"/>
                <w:lang w:val="en-US" w:eastAsia="zh-CN"/>
              </w:rPr>
              <w:t>406</w:t>
            </w:r>
          </w:p>
        </w:tc>
        <w:tc>
          <w:tcPr>
            <w:tcW w:w="416" w:type="pct"/>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r>
              <w:rPr>
                <w:rFonts w:hint="default" w:ascii="宋体" w:hAnsi="宋体"/>
                <w:color w:val="auto"/>
                <w:sz w:val="18"/>
                <w:szCs w:val="18"/>
                <w:highlight w:val="none"/>
                <w:lang w:val="en-US" w:eastAsia="zh-CN"/>
              </w:rPr>
              <w:t>286</w:t>
            </w:r>
          </w:p>
        </w:tc>
        <w:tc>
          <w:tcPr>
            <w:tcW w:w="349" w:type="pct"/>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r>
              <w:rPr>
                <w:rFonts w:hint="default" w:ascii="宋体" w:hAnsi="宋体"/>
                <w:color w:val="auto"/>
                <w:sz w:val="18"/>
                <w:szCs w:val="18"/>
                <w:highlight w:val="none"/>
                <w:lang w:val="en-US" w:eastAsia="zh-CN"/>
              </w:rPr>
              <w:t>50</w:t>
            </w:r>
          </w:p>
        </w:tc>
        <w:tc>
          <w:tcPr>
            <w:tcW w:w="455" w:type="pct"/>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eastAsiaTheme="minorEastAsia" w:cstheme="minorBidi"/>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restart"/>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NCu30（NW4400）</w:t>
            </w: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Ф73*188</w:t>
            </w:r>
          </w:p>
        </w:tc>
        <w:tc>
          <w:tcPr>
            <w:tcW w:w="410"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525</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228</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42.5</w:t>
            </w:r>
          </w:p>
        </w:tc>
        <w:tc>
          <w:tcPr>
            <w:tcW w:w="45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Ф488*Ф318*42</w:t>
            </w:r>
          </w:p>
        </w:tc>
        <w:tc>
          <w:tcPr>
            <w:tcW w:w="410"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525</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235</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45</w:t>
            </w:r>
          </w:p>
        </w:tc>
        <w:tc>
          <w:tcPr>
            <w:tcW w:w="45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NCu40-2-1</w:t>
            </w: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Φ80*500</w:t>
            </w:r>
          </w:p>
        </w:tc>
        <w:tc>
          <w:tcPr>
            <w:tcW w:w="410"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热锻</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467</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219</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50</w:t>
            </w:r>
          </w:p>
        </w:tc>
        <w:tc>
          <w:tcPr>
            <w:tcW w:w="45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86</w:t>
            </w:r>
          </w:p>
        </w:tc>
        <w:tc>
          <w:tcPr>
            <w:tcW w:w="49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NCr15-8（NW</w:t>
            </w:r>
            <w:r>
              <w:rPr>
                <w:rFonts w:hint="default" w:ascii="宋体" w:hAnsi="宋体"/>
                <w:color w:val="auto"/>
                <w:sz w:val="18"/>
                <w:szCs w:val="18"/>
                <w:highlight w:val="none"/>
                <w:lang w:val="en-US" w:eastAsia="zh-CN"/>
              </w:rPr>
              <w:t>6600</w:t>
            </w:r>
            <w:r>
              <w:rPr>
                <w:rFonts w:hint="eastAsia" w:ascii="宋体" w:hAnsi="宋体"/>
                <w:color w:val="auto"/>
                <w:sz w:val="18"/>
                <w:szCs w:val="18"/>
                <w:highlight w:val="none"/>
                <w:lang w:val="en-US" w:eastAsia="zh-CN"/>
              </w:rPr>
              <w:t>）</w:t>
            </w: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WN25(</w:t>
            </w:r>
            <w:r>
              <w:rPr>
                <w:rFonts w:hint="eastAsia" w:ascii="宋体" w:hAnsi="宋体"/>
                <w:color w:val="auto"/>
                <w:sz w:val="18"/>
                <w:szCs w:val="18"/>
                <w:highlight w:val="none"/>
                <w:lang w:val="en-US" w:eastAsia="zh-CN"/>
              </w:rPr>
              <w:t xml:space="preserve"> </w:t>
            </w:r>
            <w:r>
              <w:rPr>
                <w:rFonts w:hint="default" w:ascii="宋体" w:hAnsi="宋体"/>
                <w:color w:val="auto"/>
                <w:sz w:val="18"/>
                <w:szCs w:val="18"/>
                <w:highlight w:val="none"/>
                <w:lang w:val="en-US" w:eastAsia="zh-CN"/>
              </w:rPr>
              <w:t>B)-16RF</w:t>
            </w:r>
          </w:p>
        </w:tc>
        <w:tc>
          <w:tcPr>
            <w:tcW w:w="410"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605</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259</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51</w:t>
            </w:r>
          </w:p>
        </w:tc>
        <w:tc>
          <w:tcPr>
            <w:tcW w:w="45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restart"/>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NCr22-9-3.5（NW6625）</w:t>
            </w: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Ф165*1000</w:t>
            </w:r>
          </w:p>
        </w:tc>
        <w:tc>
          <w:tcPr>
            <w:tcW w:w="410"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固溶</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805</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376</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66.5</w:t>
            </w:r>
          </w:p>
        </w:tc>
        <w:tc>
          <w:tcPr>
            <w:tcW w:w="45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6.5</w:t>
            </w:r>
            <w:r>
              <w:rPr>
                <w:rFonts w:hint="eastAsia" w:ascii="宋体" w:hAnsi="宋体"/>
                <w:color w:val="auto"/>
                <w:sz w:val="18"/>
                <w:szCs w:val="18"/>
                <w:highlight w:val="none"/>
                <w:lang w:val="en-US" w:eastAsia="zh-CN"/>
              </w:rPr>
              <w:t>级</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Ф125*3190</w:t>
            </w:r>
          </w:p>
        </w:tc>
        <w:tc>
          <w:tcPr>
            <w:tcW w:w="410"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固溶</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824</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394</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55.5</w:t>
            </w:r>
          </w:p>
        </w:tc>
        <w:tc>
          <w:tcPr>
            <w:tcW w:w="45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900*550*55</w:t>
            </w:r>
          </w:p>
        </w:tc>
        <w:tc>
          <w:tcPr>
            <w:tcW w:w="410"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固溶</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841</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418</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58.5</w:t>
            </w:r>
          </w:p>
        </w:tc>
        <w:tc>
          <w:tcPr>
            <w:tcW w:w="45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2915*415*270</w:t>
            </w:r>
          </w:p>
        </w:tc>
        <w:tc>
          <w:tcPr>
            <w:tcW w:w="410"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固溶</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787</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361</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61</w:t>
            </w:r>
          </w:p>
        </w:tc>
        <w:tc>
          <w:tcPr>
            <w:tcW w:w="45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Ф210*2870</w:t>
            </w:r>
          </w:p>
        </w:tc>
        <w:tc>
          <w:tcPr>
            <w:tcW w:w="410"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固溶</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764</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365</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66.5</w:t>
            </w:r>
          </w:p>
        </w:tc>
        <w:tc>
          <w:tcPr>
            <w:tcW w:w="45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Ф140*530</w:t>
            </w:r>
          </w:p>
        </w:tc>
        <w:tc>
          <w:tcPr>
            <w:tcW w:w="410"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固溶</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836</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404</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54.5</w:t>
            </w:r>
          </w:p>
        </w:tc>
        <w:tc>
          <w:tcPr>
            <w:tcW w:w="45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p>
        </w:tc>
        <w:tc>
          <w:tcPr>
            <w:tcW w:w="1042"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≤φ350</w:t>
            </w:r>
          </w:p>
        </w:tc>
        <w:tc>
          <w:tcPr>
            <w:tcW w:w="410"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842</w:t>
            </w:r>
          </w:p>
        </w:tc>
        <w:tc>
          <w:tcPr>
            <w:tcW w:w="416"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428</w:t>
            </w:r>
          </w:p>
        </w:tc>
        <w:tc>
          <w:tcPr>
            <w:tcW w:w="349"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58</w:t>
            </w:r>
          </w:p>
        </w:tc>
        <w:tc>
          <w:tcPr>
            <w:tcW w:w="455" w:type="pct"/>
            <w:vAlign w:val="center"/>
          </w:tcPr>
          <w:p>
            <w:pPr>
              <w:keepNext w:val="0"/>
              <w:keepLines w:val="0"/>
              <w:widowControl/>
              <w:suppressLineNumbers w:val="0"/>
              <w:jc w:val="center"/>
              <w:textAlignment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5.5级</w:t>
            </w:r>
          </w:p>
        </w:tc>
        <w:tc>
          <w:tcPr>
            <w:tcW w:w="777" w:type="pct"/>
            <w:tcBorders>
              <w:right w:val="single" w:color="auto" w:sz="12" w:space="0"/>
            </w:tcBorders>
            <w:vAlign w:val="center"/>
          </w:tcPr>
          <w:p>
            <w:pPr>
              <w:keepNext w:val="0"/>
              <w:keepLines w:val="0"/>
              <w:widowControl/>
              <w:suppressLineNumbers w:val="0"/>
              <w:jc w:val="center"/>
              <w:textAlignment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兰州兰石超合金新材料有限公司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restart"/>
            <w:tcBorders>
              <w:left w:val="single" w:color="auto" w:sz="12"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NS3313（NW6230）</w:t>
            </w:r>
          </w:p>
        </w:tc>
        <w:tc>
          <w:tcPr>
            <w:tcW w:w="1042" w:type="pct"/>
            <w:vMerge w:val="restart"/>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default" w:ascii="宋体" w:hAnsi="宋体"/>
                <w:color w:val="auto"/>
                <w:sz w:val="18"/>
                <w:szCs w:val="18"/>
                <w:highlight w:val="none"/>
                <w:lang w:val="en-US" w:eastAsia="zh-CN"/>
              </w:rPr>
              <w:t>锻板/锻环</w:t>
            </w:r>
          </w:p>
        </w:tc>
        <w:tc>
          <w:tcPr>
            <w:tcW w:w="410" w:type="pct"/>
            <w:vMerge w:val="restart"/>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固溶</w:t>
            </w:r>
          </w:p>
        </w:tc>
        <w:tc>
          <w:tcPr>
            <w:tcW w:w="349" w:type="pct"/>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810</w:t>
            </w:r>
          </w:p>
        </w:tc>
        <w:tc>
          <w:tcPr>
            <w:tcW w:w="416" w:type="pct"/>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358</w:t>
            </w:r>
          </w:p>
        </w:tc>
        <w:tc>
          <w:tcPr>
            <w:tcW w:w="349" w:type="pct"/>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40</w:t>
            </w:r>
          </w:p>
        </w:tc>
        <w:tc>
          <w:tcPr>
            <w:tcW w:w="455" w:type="pct"/>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777" w:type="pct"/>
            <w:vMerge w:val="restart"/>
            <w:tcBorders>
              <w:right w:val="single" w:color="auto" w:sz="12"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江阴南工超合金有限公司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default"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822</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366</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50.5</w:t>
            </w:r>
          </w:p>
        </w:tc>
        <w:tc>
          <w:tcPr>
            <w:tcW w:w="950" w:type="pct"/>
            <w:gridSpan w:val="2"/>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硬度HB：205、212、216</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tcBorders>
              <w:left w:val="single" w:color="auto" w:sz="12"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NS3405（NW6200）</w:t>
            </w:r>
          </w:p>
        </w:tc>
        <w:tc>
          <w:tcPr>
            <w:tcW w:w="1042" w:type="pct"/>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矩形锻件/锻管</w:t>
            </w:r>
          </w:p>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Φ150*Φ110*50mm锻环</w:t>
            </w:r>
          </w:p>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75mm*460mm*300mm</w:t>
            </w:r>
          </w:p>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36mm*600mm*600mm</w:t>
            </w:r>
          </w:p>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φ159*8mm*L锻管</w:t>
            </w:r>
          </w:p>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φ133*5mm*L锻管</w:t>
            </w:r>
          </w:p>
        </w:tc>
        <w:tc>
          <w:tcPr>
            <w:tcW w:w="410"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固溶</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724</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371</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63.5</w:t>
            </w:r>
          </w:p>
        </w:tc>
        <w:tc>
          <w:tcPr>
            <w:tcW w:w="455"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restart"/>
            <w:tcBorders>
              <w:left w:val="single" w:color="auto" w:sz="12"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NS1403（NW8020）</w:t>
            </w:r>
          </w:p>
        </w:tc>
        <w:tc>
          <w:tcPr>
            <w:tcW w:w="1042" w:type="pct"/>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矩形锻件/锻管</w:t>
            </w:r>
          </w:p>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Φ150*Φ110*50mm锻环</w:t>
            </w:r>
          </w:p>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75mm*460mm*300mm</w:t>
            </w:r>
          </w:p>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36mm*600mm*600mm</w:t>
            </w:r>
          </w:p>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φ159*8mm*L锻管</w:t>
            </w:r>
          </w:p>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φ133*5mm*L锻管</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固溶</w:t>
            </w:r>
          </w:p>
        </w:tc>
        <w:tc>
          <w:tcPr>
            <w:tcW w:w="349" w:type="pct"/>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573</w:t>
            </w:r>
          </w:p>
        </w:tc>
        <w:tc>
          <w:tcPr>
            <w:tcW w:w="416" w:type="pct"/>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301</w:t>
            </w:r>
          </w:p>
        </w:tc>
        <w:tc>
          <w:tcPr>
            <w:tcW w:w="349" w:type="pct"/>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50.5</w:t>
            </w:r>
          </w:p>
        </w:tc>
        <w:tc>
          <w:tcPr>
            <w:tcW w:w="455" w:type="pct"/>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73.0</w:t>
            </w:r>
          </w:p>
        </w:tc>
        <w:tc>
          <w:tcPr>
            <w:tcW w:w="495"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φ65-φ350</w:t>
            </w:r>
          </w:p>
        </w:tc>
        <w:tc>
          <w:tcPr>
            <w:tcW w:w="410" w:type="pct"/>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热锻</w:t>
            </w:r>
          </w:p>
        </w:tc>
        <w:tc>
          <w:tcPr>
            <w:tcW w:w="349" w:type="pct"/>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416" w:type="pct"/>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455" w:type="pct"/>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6</w:t>
            </w:r>
          </w:p>
        </w:tc>
        <w:tc>
          <w:tcPr>
            <w:tcW w:w="777" w:type="pct"/>
            <w:vMerge w:val="continue"/>
            <w:tcBorders>
              <w:right w:val="single" w:color="auto" w:sz="12"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tcBorders>
              <w:left w:val="single" w:color="auto" w:sz="12"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NS1502（NW8120）</w:t>
            </w:r>
          </w:p>
        </w:tc>
        <w:tc>
          <w:tcPr>
            <w:tcW w:w="1042" w:type="pct"/>
            <w:vAlign w:val="center"/>
          </w:tcPr>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锻板/锻棒</w:t>
            </w:r>
          </w:p>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φ65-φ350mm</w:t>
            </w:r>
          </w:p>
          <w:p>
            <w:pPr>
              <w:jc w:val="center"/>
              <w:rPr>
                <w:rFonts w:hint="default" w:ascii="宋体" w:hAnsi="宋体"/>
                <w:color w:val="auto"/>
                <w:sz w:val="18"/>
                <w:szCs w:val="18"/>
                <w:highlight w:val="none"/>
                <w:lang w:val="en-US" w:eastAsia="zh-CN"/>
              </w:rPr>
            </w:pPr>
            <w:r>
              <w:rPr>
                <w:rFonts w:hint="default" w:ascii="宋体" w:hAnsi="宋体"/>
                <w:color w:val="auto"/>
                <w:sz w:val="18"/>
                <w:szCs w:val="18"/>
                <w:highlight w:val="none"/>
                <w:lang w:val="en-US" w:eastAsia="zh-CN"/>
              </w:rPr>
              <w:t>150mm*1500mm*4000mm</w:t>
            </w:r>
          </w:p>
        </w:tc>
        <w:tc>
          <w:tcPr>
            <w:tcW w:w="410"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热锻</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55"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6-8</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tcBorders>
              <w:left w:val="single" w:color="auto" w:sz="12"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NFe30-21-3（NW8825）</w:t>
            </w:r>
          </w:p>
        </w:tc>
        <w:tc>
          <w:tcPr>
            <w:tcW w:w="1042"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锻棒Φ305</w:t>
            </w:r>
            <w:r>
              <w:rPr>
                <w:rFonts w:hint="default" w:ascii="宋体" w:hAnsi="宋体"/>
                <w:color w:val="auto"/>
                <w:sz w:val="18"/>
                <w:szCs w:val="18"/>
                <w:highlight w:val="none"/>
                <w:lang w:val="en-US" w:eastAsia="zh-CN"/>
              </w:rPr>
              <w:t>mm</w:t>
            </w:r>
          </w:p>
        </w:tc>
        <w:tc>
          <w:tcPr>
            <w:tcW w:w="410" w:type="pct"/>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热锻</w:t>
            </w:r>
          </w:p>
        </w:tc>
        <w:tc>
          <w:tcPr>
            <w:tcW w:w="349" w:type="pct"/>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416" w:type="pct"/>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349" w:type="pct"/>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455" w:type="pct"/>
            <w:vAlign w:val="center"/>
          </w:tcPr>
          <w:p>
            <w:pPr>
              <w:jc w:val="center"/>
              <w:rPr>
                <w:rFonts w:hint="eastAsia" w:ascii="宋体" w:hAnsi="宋体" w:eastAsiaTheme="minorEastAsia" w:cstheme="minorBidi"/>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495" w:type="pct"/>
            <w:vAlign w:val="center"/>
          </w:tcPr>
          <w:p>
            <w:pPr>
              <w:jc w:val="center"/>
              <w:rPr>
                <w:rFonts w:hint="default" w:ascii="宋体" w:hAnsi="宋体" w:eastAsiaTheme="minorEastAsia" w:cstheme="minorBidi"/>
                <w:color w:val="auto"/>
                <w:kern w:val="2"/>
                <w:sz w:val="18"/>
                <w:szCs w:val="18"/>
                <w:highlight w:val="none"/>
                <w:lang w:val="en-US" w:eastAsia="zh-CN" w:bidi="ar-SA"/>
              </w:rPr>
            </w:pPr>
            <w:r>
              <w:rPr>
                <w:rFonts w:hint="eastAsia" w:ascii="宋体" w:hAnsi="宋体" w:cstheme="minorBidi"/>
                <w:color w:val="auto"/>
                <w:kern w:val="2"/>
                <w:sz w:val="18"/>
                <w:szCs w:val="18"/>
                <w:highlight w:val="none"/>
                <w:lang w:val="en-US" w:eastAsia="zh-CN" w:bidi="ar-SA"/>
              </w:rPr>
              <w:t>3-5</w:t>
            </w:r>
          </w:p>
        </w:tc>
        <w:tc>
          <w:tcPr>
            <w:tcW w:w="777" w:type="pct"/>
            <w:vMerge w:val="continue"/>
            <w:tcBorders>
              <w:right w:val="single" w:color="auto" w:sz="12" w:space="0"/>
            </w:tcBorders>
            <w:vAlign w:val="center"/>
          </w:tcPr>
          <w:p>
            <w:pPr>
              <w:jc w:val="center"/>
              <w:rPr>
                <w:rFonts w:hint="eastAsia" w:ascii="宋体" w:hAnsi="宋体" w:eastAsiaTheme="minorEastAsia" w:cstheme="minorBidi"/>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restart"/>
            <w:tcBorders>
              <w:left w:val="single" w:color="auto" w:sz="12"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N5（NW2201）</w:t>
            </w:r>
          </w:p>
        </w:tc>
        <w:tc>
          <w:tcPr>
            <w:tcW w:w="1042"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□130*L</w:t>
            </w:r>
            <w:r>
              <w:rPr>
                <w:rFonts w:hint="default" w:ascii="宋体" w:hAnsi="宋体"/>
                <w:color w:val="auto"/>
                <w:sz w:val="18"/>
                <w:szCs w:val="18"/>
                <w:highlight w:val="none"/>
                <w:lang w:val="en-US" w:eastAsia="zh-CN"/>
              </w:rPr>
              <w:t>mm</w:t>
            </w:r>
          </w:p>
        </w:tc>
        <w:tc>
          <w:tcPr>
            <w:tcW w:w="410"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370</w:t>
            </w:r>
          </w:p>
        </w:tc>
        <w:tc>
          <w:tcPr>
            <w:tcW w:w="416" w:type="pct"/>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146</w:t>
            </w:r>
          </w:p>
        </w:tc>
        <w:tc>
          <w:tcPr>
            <w:tcW w:w="349" w:type="pct"/>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46</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5.5-7.5</w:t>
            </w:r>
          </w:p>
        </w:tc>
        <w:tc>
          <w:tcPr>
            <w:tcW w:w="777" w:type="pct"/>
            <w:vMerge w:val="restart"/>
            <w:tcBorders>
              <w:right w:val="single" w:color="auto" w:sz="12"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宝鸡海吉钛镍有限公司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□130*130*L</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370</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146</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46</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Φ94*L</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386</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214</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37</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Φ100*1000</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379</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193</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41</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Φ350*55</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393</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163</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46.5</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Φ160*650</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396</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147</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43</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□35*55*270</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381</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151</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47</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Φ82*L</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379</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160</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49</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Φ242/Φ97*45</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389</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216</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49</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Φ130*L</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389</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212</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43.5</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Φ88*330</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364</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105</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59</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Φ150*180</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370</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192</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57</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restart"/>
            <w:tcBorders>
              <w:left w:val="single" w:color="auto" w:sz="12"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N6</w:t>
            </w:r>
          </w:p>
        </w:tc>
        <w:tc>
          <w:tcPr>
            <w:tcW w:w="1042"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55*75*405</w:t>
            </w:r>
            <w:r>
              <w:rPr>
                <w:rFonts w:hint="default" w:ascii="宋体" w:hAnsi="宋体"/>
                <w:color w:val="auto"/>
                <w:sz w:val="18"/>
                <w:szCs w:val="18"/>
                <w:highlight w:val="none"/>
                <w:lang w:val="en-US" w:eastAsia="zh-CN"/>
              </w:rPr>
              <w:t>mm</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380</w:t>
            </w:r>
          </w:p>
        </w:tc>
        <w:tc>
          <w:tcPr>
            <w:tcW w:w="416" w:type="pct"/>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154</w:t>
            </w:r>
          </w:p>
        </w:tc>
        <w:tc>
          <w:tcPr>
            <w:tcW w:w="349" w:type="pct"/>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47</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5.5-7.5</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□55*75*405</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380</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154</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47</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Φ277*205</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376</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173</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54</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Φ75*L</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380</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183</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54.5</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Φ280*35</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376</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189</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56.5</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Φ190*63</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393</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157</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57.5</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Φ415*38</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369</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119</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59.5</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Φ106*L</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375</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FF0000"/>
                <w:sz w:val="18"/>
                <w:szCs w:val="18"/>
                <w:highlight w:val="none"/>
                <w:lang w:val="en-US" w:eastAsia="zh-CN"/>
              </w:rPr>
              <w:t>99</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63</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Φ85*550</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396</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131</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56</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Φ300*30</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395</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139</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50</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restart"/>
            <w:tcBorders>
              <w:left w:val="single" w:color="auto" w:sz="12"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N7（NW2200）</w:t>
            </w:r>
          </w:p>
        </w:tc>
        <w:tc>
          <w:tcPr>
            <w:tcW w:w="1042"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Φ180*40</w:t>
            </w:r>
            <w:r>
              <w:rPr>
                <w:rFonts w:hint="default" w:ascii="宋体" w:hAnsi="宋体"/>
                <w:color w:val="auto"/>
                <w:sz w:val="18"/>
                <w:szCs w:val="18"/>
                <w:highlight w:val="none"/>
                <w:lang w:val="en-US" w:eastAsia="zh-CN"/>
              </w:rPr>
              <w:t>mm</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407</w:t>
            </w:r>
          </w:p>
        </w:tc>
        <w:tc>
          <w:tcPr>
            <w:tcW w:w="416" w:type="pct"/>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158</w:t>
            </w:r>
          </w:p>
        </w:tc>
        <w:tc>
          <w:tcPr>
            <w:tcW w:w="349" w:type="pct"/>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55</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5.5-7.5</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Φ180*40</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407</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158</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55</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Φ90*L</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423</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166</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48</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Φ190*63</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389</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104</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48</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restart"/>
            <w:tcBorders>
              <w:left w:val="single" w:color="auto" w:sz="12"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NCu30（NW4400）</w:t>
            </w:r>
          </w:p>
        </w:tc>
        <w:tc>
          <w:tcPr>
            <w:tcW w:w="1042"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Φ425*35</w:t>
            </w:r>
            <w:r>
              <w:rPr>
                <w:rFonts w:hint="default" w:ascii="宋体" w:hAnsi="宋体"/>
                <w:color w:val="auto"/>
                <w:sz w:val="18"/>
                <w:szCs w:val="18"/>
                <w:highlight w:val="none"/>
                <w:lang w:val="en-US" w:eastAsia="zh-CN"/>
              </w:rPr>
              <w:t>mm</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517</w:t>
            </w:r>
          </w:p>
        </w:tc>
        <w:tc>
          <w:tcPr>
            <w:tcW w:w="416" w:type="pct"/>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200</w:t>
            </w:r>
          </w:p>
        </w:tc>
        <w:tc>
          <w:tcPr>
            <w:tcW w:w="349" w:type="pct"/>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49</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7.5-9.5</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Φ425*35</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517</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200</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49</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Φ45*L</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574</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280</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42</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Φ120*550</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556</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266</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44.5</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Φ50*1150</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560</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296</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42</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Φ85*1250</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530</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243</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43</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Φ65*L</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560</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273</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45</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Φ242/Φ93*57</w:t>
            </w:r>
          </w:p>
        </w:tc>
        <w:tc>
          <w:tcPr>
            <w:tcW w:w="410"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567</w:t>
            </w:r>
          </w:p>
        </w:tc>
        <w:tc>
          <w:tcPr>
            <w:tcW w:w="416"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245</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49</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restart"/>
            <w:tcBorders>
              <w:left w:val="single" w:color="auto" w:sz="12"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NCu40-2-1</w:t>
            </w:r>
          </w:p>
        </w:tc>
        <w:tc>
          <w:tcPr>
            <w:tcW w:w="1042" w:type="pct"/>
            <w:vMerge w:val="restar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Φ45-100mm</w:t>
            </w:r>
          </w:p>
        </w:tc>
        <w:tc>
          <w:tcPr>
            <w:tcW w:w="410" w:type="pct"/>
            <w:vMerge w:val="restart"/>
            <w:vAlign w:val="center"/>
          </w:tcPr>
          <w:p>
            <w:pPr>
              <w:jc w:val="center"/>
              <w:rPr>
                <w:rFonts w:hint="eastAsia" w:ascii="宋体" w:hAnsi="宋体"/>
                <w:color w:val="auto"/>
                <w:sz w:val="18"/>
                <w:szCs w:val="18"/>
                <w:highlight w:val="none"/>
                <w:lang w:val="en-US" w:eastAsia="zh-CN"/>
              </w:rPr>
            </w:pPr>
            <w:bookmarkStart w:id="5" w:name="OLE_LINK4"/>
            <w:r>
              <w:rPr>
                <w:rFonts w:hint="eastAsia" w:ascii="宋体" w:hAnsi="宋体"/>
                <w:color w:val="auto"/>
                <w:sz w:val="18"/>
                <w:szCs w:val="18"/>
                <w:highlight w:val="none"/>
                <w:lang w:val="en-US" w:eastAsia="zh-CN"/>
              </w:rPr>
              <w:t>热锻</w:t>
            </w:r>
            <w:bookmarkEnd w:id="5"/>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493</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30</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restart"/>
            <w:tcBorders>
              <w:right w:val="single" w:color="auto" w:sz="12" w:space="0"/>
            </w:tcBorders>
            <w:vAlign w:val="center"/>
          </w:tcPr>
          <w:p>
            <w:pPr>
              <w:jc w:val="center"/>
              <w:rPr>
                <w:rFonts w:hint="eastAsia" w:ascii="宋体" w:hAnsi="宋体"/>
                <w:color w:val="auto"/>
                <w:sz w:val="18"/>
                <w:szCs w:val="18"/>
                <w:highlight w:val="none"/>
                <w:lang w:val="en-US" w:eastAsia="zh-CN"/>
              </w:rPr>
            </w:pPr>
            <w:bookmarkStart w:id="6" w:name="OLE_LINK3"/>
            <w:r>
              <w:rPr>
                <w:rFonts w:hint="eastAsia" w:ascii="宋体" w:hAnsi="宋体"/>
                <w:color w:val="auto"/>
                <w:sz w:val="18"/>
                <w:szCs w:val="18"/>
                <w:highlight w:val="none"/>
                <w:lang w:val="en-US" w:eastAsia="zh-CN"/>
              </w:rPr>
              <w:t>沈阳有色金属研究所有限公司</w:t>
            </w:r>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442</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44.4</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433</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47.2</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412</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49.2</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448</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44</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465</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46</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473</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34</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448</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37.6</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477</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38</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434</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29.2</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481</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29.8</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433</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35.6</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446</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49</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442</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50.6</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453</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47.0</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493</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28</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475</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32</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473</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34</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452</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35.6</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restart"/>
            <w:tcBorders>
              <w:left w:val="single" w:color="auto" w:sz="12"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N4</w:t>
            </w:r>
          </w:p>
        </w:tc>
        <w:tc>
          <w:tcPr>
            <w:tcW w:w="1042" w:type="pct"/>
            <w:vMerge w:val="restar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Φ70mm</w:t>
            </w:r>
          </w:p>
        </w:tc>
        <w:tc>
          <w:tcPr>
            <w:tcW w:w="410" w:type="pct"/>
            <w:vMerge w:val="restar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热锻</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3356</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58</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340</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60</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337</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60</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359</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37.2</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restart"/>
            <w:tcBorders>
              <w:left w:val="single" w:color="auto" w:sz="12"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N6</w:t>
            </w:r>
          </w:p>
        </w:tc>
        <w:tc>
          <w:tcPr>
            <w:tcW w:w="1042" w:type="pct"/>
            <w:vMerge w:val="restar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Φ35-50mm</w:t>
            </w:r>
          </w:p>
        </w:tc>
        <w:tc>
          <w:tcPr>
            <w:tcW w:w="410" w:type="pct"/>
            <w:vMerge w:val="restar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热锻</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359</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53.8</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353</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61</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FF0000"/>
                <w:sz w:val="18"/>
                <w:szCs w:val="18"/>
                <w:highlight w:val="none"/>
                <w:lang w:val="en-US" w:eastAsia="zh-CN"/>
              </w:rPr>
              <w:t>329</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53.4</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359</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51</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361</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50</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369</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51</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359</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54</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vAlign w:val="center"/>
          </w:tcPr>
          <w:p>
            <w:pPr>
              <w:jc w:val="center"/>
              <w:rPr>
                <w:rFonts w:hint="eastAsia" w:ascii="宋体" w:hAnsi="宋体"/>
                <w:color w:val="auto"/>
                <w:sz w:val="18"/>
                <w:szCs w:val="18"/>
                <w:highlight w:val="none"/>
                <w:lang w:val="en-US" w:eastAsia="zh-CN"/>
              </w:rPr>
            </w:pPr>
          </w:p>
        </w:tc>
        <w:tc>
          <w:tcPr>
            <w:tcW w:w="410" w:type="pct"/>
            <w:vMerge w:val="continue"/>
            <w:vAlign w:val="center"/>
          </w:tcPr>
          <w:p>
            <w:pPr>
              <w:jc w:val="center"/>
              <w:rPr>
                <w:rFonts w:hint="eastAsia" w:ascii="宋体" w:hAnsi="宋体"/>
                <w:color w:val="auto"/>
                <w:sz w:val="18"/>
                <w:szCs w:val="18"/>
                <w:highlight w:val="none"/>
                <w:lang w:val="en-US" w:eastAsia="zh-CN"/>
              </w:rPr>
            </w:pP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370</w:t>
            </w:r>
          </w:p>
        </w:tc>
        <w:tc>
          <w:tcPr>
            <w:tcW w:w="416"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38</w:t>
            </w:r>
          </w:p>
        </w:tc>
        <w:tc>
          <w:tcPr>
            <w:tcW w:w="45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right w:val="single" w:color="auto" w:sz="12" w:space="0"/>
            </w:tcBorders>
            <w:vAlign w:val="center"/>
          </w:tcPr>
          <w:p>
            <w:pPr>
              <w:jc w:val="center"/>
              <w:rPr>
                <w:rFonts w:hint="eastAsia" w:ascii="宋体" w:hAnsi="宋体"/>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left w:val="single" w:color="auto" w:sz="12" w:space="0"/>
              <w:bottom w:val="single" w:color="auto" w:sz="12" w:space="0"/>
            </w:tcBorders>
            <w:vAlign w:val="center"/>
          </w:tcPr>
          <w:p>
            <w:pPr>
              <w:jc w:val="center"/>
              <w:rPr>
                <w:rFonts w:hint="eastAsia" w:ascii="宋体" w:hAnsi="宋体"/>
                <w:color w:val="auto"/>
                <w:sz w:val="18"/>
                <w:szCs w:val="18"/>
                <w:highlight w:val="none"/>
                <w:lang w:val="en-US" w:eastAsia="zh-CN"/>
              </w:rPr>
            </w:pPr>
          </w:p>
        </w:tc>
        <w:tc>
          <w:tcPr>
            <w:tcW w:w="1042" w:type="pct"/>
            <w:vMerge w:val="continue"/>
            <w:tcBorders>
              <w:bottom w:val="single" w:color="auto" w:sz="12" w:space="0"/>
            </w:tcBorders>
            <w:vAlign w:val="center"/>
          </w:tcPr>
          <w:p>
            <w:pPr>
              <w:jc w:val="center"/>
              <w:rPr>
                <w:rFonts w:hint="eastAsia" w:ascii="宋体" w:hAnsi="宋体"/>
                <w:color w:val="auto"/>
                <w:sz w:val="18"/>
                <w:szCs w:val="18"/>
                <w:highlight w:val="none"/>
                <w:lang w:val="en-US" w:eastAsia="zh-CN"/>
              </w:rPr>
            </w:pPr>
          </w:p>
        </w:tc>
        <w:tc>
          <w:tcPr>
            <w:tcW w:w="410" w:type="pct"/>
            <w:vMerge w:val="continue"/>
            <w:tcBorders>
              <w:bottom w:val="single" w:color="auto" w:sz="12" w:space="0"/>
            </w:tcBorders>
            <w:vAlign w:val="center"/>
          </w:tcPr>
          <w:p>
            <w:pPr>
              <w:jc w:val="center"/>
              <w:rPr>
                <w:rFonts w:hint="eastAsia" w:ascii="宋体" w:hAnsi="宋体"/>
                <w:color w:val="auto"/>
                <w:sz w:val="18"/>
                <w:szCs w:val="18"/>
                <w:highlight w:val="none"/>
                <w:lang w:val="en-US" w:eastAsia="zh-CN"/>
              </w:rPr>
            </w:pPr>
          </w:p>
        </w:tc>
        <w:tc>
          <w:tcPr>
            <w:tcW w:w="349" w:type="pct"/>
            <w:tcBorders>
              <w:bottom w:val="single" w:color="auto" w:sz="12"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363</w:t>
            </w:r>
          </w:p>
        </w:tc>
        <w:tc>
          <w:tcPr>
            <w:tcW w:w="416" w:type="pct"/>
            <w:tcBorders>
              <w:bottom w:val="single" w:color="auto" w:sz="12"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349" w:type="pct"/>
            <w:tcBorders>
              <w:bottom w:val="single" w:color="auto" w:sz="12"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47.6</w:t>
            </w:r>
          </w:p>
        </w:tc>
        <w:tc>
          <w:tcPr>
            <w:tcW w:w="455" w:type="pct"/>
            <w:tcBorders>
              <w:bottom w:val="single" w:color="auto" w:sz="12"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495" w:type="pct"/>
            <w:tcBorders>
              <w:bottom w:val="single" w:color="auto" w:sz="12"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777" w:type="pct"/>
            <w:vMerge w:val="continue"/>
            <w:tcBorders>
              <w:bottom w:val="single" w:color="auto" w:sz="12" w:space="0"/>
              <w:right w:val="single" w:color="auto" w:sz="12" w:space="0"/>
            </w:tcBorders>
            <w:vAlign w:val="center"/>
          </w:tcPr>
          <w:p>
            <w:pPr>
              <w:jc w:val="center"/>
              <w:rPr>
                <w:rFonts w:hint="eastAsia" w:ascii="宋体" w:hAnsi="宋体"/>
                <w:color w:val="auto"/>
                <w:sz w:val="18"/>
                <w:szCs w:val="18"/>
                <w:highlight w:val="none"/>
                <w:lang w:val="en-US" w:eastAsia="zh-CN"/>
              </w:rPr>
            </w:pPr>
          </w:p>
        </w:tc>
      </w:tr>
    </w:tbl>
    <w:p>
      <w:pPr>
        <w:pStyle w:val="5"/>
        <w:numPr>
          <w:ilvl w:val="0"/>
          <w:numId w:val="0"/>
        </w:numPr>
        <w:ind w:leftChars="0" w:firstLine="420" w:firstLineChars="200"/>
        <w:rPr>
          <w:rFonts w:hint="eastAsia"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编制组收集了N5、N6、N7等13个牌号镍及镍合金锻件热锻状态及退火状态的室温力学性能数据，经过汇总分析，绘制正态分布直方曲线图如下，证明本标准中对应牌号状态的性能指标设计合理。由于数据样本量有限，部分曲线呈现双峰形态，但不影响结果判定。其余牌号产品数据较少，遵照ISO 9725-2017及原版GB/T 26030-2010标准执行，未做改动。</w:t>
      </w:r>
    </w:p>
    <w:p>
      <w:pPr>
        <w:pStyle w:val="5"/>
        <w:numPr>
          <w:ilvl w:val="0"/>
          <w:numId w:val="0"/>
        </w:numPr>
        <w:ind w:leftChars="0" w:firstLine="420" w:firstLineChars="200"/>
        <w:rPr>
          <w:rFonts w:hint="eastAsia"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M态、N5室温力学性能要求：Rm≥340MPa、Rp0.2≥65MPa、A≥35%，对应直方图分别如下：</w:t>
      </w:r>
    </w:p>
    <w:p>
      <w:pPr>
        <w:pStyle w:val="5"/>
        <w:numPr>
          <w:ilvl w:val="0"/>
          <w:numId w:val="0"/>
        </w:numPr>
      </w:pPr>
      <w:r>
        <w:drawing>
          <wp:inline distT="0" distB="0" distL="114300" distR="114300">
            <wp:extent cx="2628265" cy="1656080"/>
            <wp:effectExtent l="0" t="0" r="635" b="1270"/>
            <wp:docPr id="2" name="图片 1" descr="image"/>
            <wp:cNvGraphicFramePr/>
            <a:graphic xmlns:a="http://schemas.openxmlformats.org/drawingml/2006/main">
              <a:graphicData uri="http://schemas.openxmlformats.org/drawingml/2006/picture">
                <pic:pic xmlns:pic="http://schemas.openxmlformats.org/drawingml/2006/picture">
                  <pic:nvPicPr>
                    <pic:cNvPr id="2" name="图片 1" descr="image"/>
                    <pic:cNvPicPr/>
                  </pic:nvPicPr>
                  <pic:blipFill>
                    <a:blip r:embed="rId4" r:link="rId5"/>
                    <a:stretch>
                      <a:fillRect/>
                    </a:stretch>
                  </pic:blipFill>
                  <pic:spPr>
                    <a:xfrm>
                      <a:off x="0" y="0"/>
                      <a:ext cx="2628265" cy="1656080"/>
                    </a:xfrm>
                    <a:prstGeom prst="rect">
                      <a:avLst/>
                    </a:prstGeom>
                    <a:noFill/>
                    <a:ln>
                      <a:noFill/>
                    </a:ln>
                  </pic:spPr>
                </pic:pic>
              </a:graphicData>
            </a:graphic>
          </wp:inline>
        </w:drawing>
      </w:r>
      <w:r>
        <w:drawing>
          <wp:inline distT="0" distB="0" distL="114300" distR="114300">
            <wp:extent cx="2628265" cy="1656080"/>
            <wp:effectExtent l="0" t="0" r="635" b="1270"/>
            <wp:docPr id="3" name="图片 2" descr="image"/>
            <wp:cNvGraphicFramePr/>
            <a:graphic xmlns:a="http://schemas.openxmlformats.org/drawingml/2006/main">
              <a:graphicData uri="http://schemas.openxmlformats.org/drawingml/2006/picture">
                <pic:pic xmlns:pic="http://schemas.openxmlformats.org/drawingml/2006/picture">
                  <pic:nvPicPr>
                    <pic:cNvPr id="3" name="图片 2" descr="image"/>
                    <pic:cNvPicPr/>
                  </pic:nvPicPr>
                  <pic:blipFill>
                    <a:blip r:embed="rId6" r:link="rId5"/>
                    <a:stretch>
                      <a:fillRect/>
                    </a:stretch>
                  </pic:blipFill>
                  <pic:spPr>
                    <a:xfrm>
                      <a:off x="0" y="0"/>
                      <a:ext cx="2628265" cy="1656080"/>
                    </a:xfrm>
                    <a:prstGeom prst="rect">
                      <a:avLst/>
                    </a:prstGeom>
                    <a:noFill/>
                    <a:ln>
                      <a:noFill/>
                    </a:ln>
                  </pic:spPr>
                </pic:pic>
              </a:graphicData>
            </a:graphic>
          </wp:inline>
        </w:drawing>
      </w:r>
    </w:p>
    <w:p>
      <w:pPr>
        <w:pStyle w:val="5"/>
        <w:numPr>
          <w:ilvl w:val="0"/>
          <w:numId w:val="0"/>
        </w:numPr>
        <w:rPr>
          <w:rFonts w:hint="eastAsia"/>
          <w:lang w:val="en-US" w:eastAsia="zh-CN"/>
        </w:rPr>
      </w:pPr>
      <w:r>
        <w:drawing>
          <wp:inline distT="0" distB="0" distL="114300" distR="114300">
            <wp:extent cx="2628265" cy="1656080"/>
            <wp:effectExtent l="0" t="0" r="635" b="1270"/>
            <wp:docPr id="4" name="图片 3" descr="image"/>
            <wp:cNvGraphicFramePr/>
            <a:graphic xmlns:a="http://schemas.openxmlformats.org/drawingml/2006/main">
              <a:graphicData uri="http://schemas.openxmlformats.org/drawingml/2006/picture">
                <pic:pic xmlns:pic="http://schemas.openxmlformats.org/drawingml/2006/picture">
                  <pic:nvPicPr>
                    <pic:cNvPr id="4" name="图片 3" descr="image"/>
                    <pic:cNvPicPr/>
                  </pic:nvPicPr>
                  <pic:blipFill>
                    <a:blip r:embed="rId7" r:link="rId5"/>
                    <a:stretch>
                      <a:fillRect/>
                    </a:stretch>
                  </pic:blipFill>
                  <pic:spPr>
                    <a:xfrm>
                      <a:off x="0" y="0"/>
                      <a:ext cx="2628265" cy="1656080"/>
                    </a:xfrm>
                    <a:prstGeom prst="rect">
                      <a:avLst/>
                    </a:prstGeom>
                    <a:noFill/>
                    <a:ln>
                      <a:noFill/>
                    </a:ln>
                  </pic:spPr>
                </pic:pic>
              </a:graphicData>
            </a:graphic>
          </wp:inline>
        </w:drawing>
      </w:r>
    </w:p>
    <w:p>
      <w:pPr>
        <w:pStyle w:val="5"/>
        <w:numPr>
          <w:ilvl w:val="0"/>
          <w:numId w:val="0"/>
        </w:numPr>
        <w:ind w:leftChars="0" w:firstLine="420" w:firstLineChars="200"/>
        <w:rPr>
          <w:rFonts w:hint="eastAsia" w:ascii="宋体" w:hAnsi="宋体" w:eastAsiaTheme="minorEastAsia" w:cstheme="minorBidi"/>
          <w:color w:val="auto"/>
          <w:kern w:val="2"/>
          <w:sz w:val="21"/>
          <w:szCs w:val="21"/>
          <w:highlight w:val="none"/>
          <w:lang w:val="en-US" w:eastAsia="zh-CN" w:bidi="ar-SA"/>
        </w:rPr>
      </w:pPr>
      <w:bookmarkStart w:id="7" w:name="OLE_LINK8"/>
      <w:r>
        <w:rPr>
          <w:rFonts w:hint="eastAsia" w:ascii="宋体" w:hAnsi="宋体" w:eastAsiaTheme="minorEastAsia" w:cstheme="minorBidi"/>
          <w:color w:val="auto"/>
          <w:kern w:val="2"/>
          <w:sz w:val="21"/>
          <w:szCs w:val="21"/>
          <w:highlight w:val="none"/>
          <w:lang w:val="en-US" w:eastAsia="zh-CN" w:bidi="ar-SA"/>
        </w:rPr>
        <w:t>R态、N6室温力学性能要求：Rm≥345MPa、Rp0.2≥100MPa、A≥35%，对应直方图分别如下：</w:t>
      </w:r>
    </w:p>
    <w:p>
      <w:pPr>
        <w:pStyle w:val="5"/>
        <w:numPr>
          <w:ilvl w:val="0"/>
          <w:numId w:val="0"/>
        </w:numPr>
        <w:rPr>
          <w:rFonts w:hint="eastAsia" w:ascii="宋体" w:hAnsi="宋体" w:eastAsiaTheme="minorEastAsia" w:cstheme="minorBidi"/>
          <w:color w:val="auto"/>
          <w:kern w:val="2"/>
          <w:sz w:val="21"/>
          <w:szCs w:val="21"/>
          <w:highlight w:val="none"/>
          <w:lang w:val="en-US" w:eastAsia="zh-CN" w:bidi="ar-SA"/>
        </w:rPr>
      </w:pPr>
      <w:r>
        <w:drawing>
          <wp:inline distT="0" distB="0" distL="114300" distR="114300">
            <wp:extent cx="2628265" cy="1656080"/>
            <wp:effectExtent l="0" t="0" r="635" b="1270"/>
            <wp:docPr id="17" name="图片 2" descr="image"/>
            <wp:cNvGraphicFramePr/>
            <a:graphic xmlns:a="http://schemas.openxmlformats.org/drawingml/2006/main">
              <a:graphicData uri="http://schemas.openxmlformats.org/drawingml/2006/picture">
                <pic:pic xmlns:pic="http://schemas.openxmlformats.org/drawingml/2006/picture">
                  <pic:nvPicPr>
                    <pic:cNvPr id="17" name="图片 2" descr="image"/>
                    <pic:cNvPicPr/>
                  </pic:nvPicPr>
                  <pic:blipFill>
                    <a:blip r:embed="rId8" r:link="rId5"/>
                    <a:stretch>
                      <a:fillRect/>
                    </a:stretch>
                  </pic:blipFill>
                  <pic:spPr>
                    <a:xfrm>
                      <a:off x="0" y="0"/>
                      <a:ext cx="2628265" cy="1656080"/>
                    </a:xfrm>
                    <a:prstGeom prst="rect">
                      <a:avLst/>
                    </a:prstGeom>
                    <a:noFill/>
                    <a:ln>
                      <a:noFill/>
                    </a:ln>
                  </pic:spPr>
                </pic:pic>
              </a:graphicData>
            </a:graphic>
          </wp:inline>
        </w:drawing>
      </w:r>
      <w:r>
        <w:drawing>
          <wp:inline distT="0" distB="0" distL="114300" distR="114300">
            <wp:extent cx="2628265" cy="1656080"/>
            <wp:effectExtent l="0" t="0" r="635" b="1270"/>
            <wp:docPr id="18" name="图片 5" descr="image"/>
            <wp:cNvGraphicFramePr/>
            <a:graphic xmlns:a="http://schemas.openxmlformats.org/drawingml/2006/main">
              <a:graphicData uri="http://schemas.openxmlformats.org/drawingml/2006/picture">
                <pic:pic xmlns:pic="http://schemas.openxmlformats.org/drawingml/2006/picture">
                  <pic:nvPicPr>
                    <pic:cNvPr id="18" name="图片 5" descr="image"/>
                    <pic:cNvPicPr/>
                  </pic:nvPicPr>
                  <pic:blipFill>
                    <a:blip r:embed="rId9" r:link="rId5"/>
                    <a:stretch>
                      <a:fillRect/>
                    </a:stretch>
                  </pic:blipFill>
                  <pic:spPr>
                    <a:xfrm>
                      <a:off x="0" y="0"/>
                      <a:ext cx="2628265" cy="1656080"/>
                    </a:xfrm>
                    <a:prstGeom prst="rect">
                      <a:avLst/>
                    </a:prstGeom>
                    <a:noFill/>
                    <a:ln>
                      <a:noFill/>
                    </a:ln>
                  </pic:spPr>
                </pic:pic>
              </a:graphicData>
            </a:graphic>
          </wp:inline>
        </w:drawing>
      </w:r>
      <w:r>
        <w:drawing>
          <wp:inline distT="0" distB="0" distL="114300" distR="114300">
            <wp:extent cx="2628265" cy="1656080"/>
            <wp:effectExtent l="0" t="0" r="635" b="1270"/>
            <wp:docPr id="19" name="图片 4" descr="image"/>
            <wp:cNvGraphicFramePr/>
            <a:graphic xmlns:a="http://schemas.openxmlformats.org/drawingml/2006/main">
              <a:graphicData uri="http://schemas.openxmlformats.org/drawingml/2006/picture">
                <pic:pic xmlns:pic="http://schemas.openxmlformats.org/drawingml/2006/picture">
                  <pic:nvPicPr>
                    <pic:cNvPr id="19" name="图片 4" descr="image"/>
                    <pic:cNvPicPr/>
                  </pic:nvPicPr>
                  <pic:blipFill>
                    <a:blip r:embed="rId10" r:link="rId5"/>
                    <a:stretch>
                      <a:fillRect/>
                    </a:stretch>
                  </pic:blipFill>
                  <pic:spPr>
                    <a:xfrm>
                      <a:off x="0" y="0"/>
                      <a:ext cx="2628265" cy="1656080"/>
                    </a:xfrm>
                    <a:prstGeom prst="rect">
                      <a:avLst/>
                    </a:prstGeom>
                    <a:noFill/>
                    <a:ln>
                      <a:noFill/>
                    </a:ln>
                  </pic:spPr>
                </pic:pic>
              </a:graphicData>
            </a:graphic>
          </wp:inline>
        </w:drawing>
      </w:r>
    </w:p>
    <w:bookmarkEnd w:id="7"/>
    <w:p>
      <w:pPr>
        <w:pStyle w:val="5"/>
        <w:numPr>
          <w:ilvl w:val="0"/>
          <w:numId w:val="0"/>
        </w:numPr>
        <w:ind w:leftChars="0" w:firstLine="420" w:firstLineChars="200"/>
        <w:rPr>
          <w:rFonts w:hint="eastAsia"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M态、N6室温力学性能要求：Rm≥345MPa、Rp0.2≥100MPa、A≥40%，对应直方图分别如下：</w:t>
      </w:r>
    </w:p>
    <w:p>
      <w:pPr>
        <w:pStyle w:val="5"/>
        <w:numPr>
          <w:ilvl w:val="0"/>
          <w:numId w:val="0"/>
        </w:numPr>
        <w:rPr>
          <w:rFonts w:hint="eastAsia" w:ascii="宋体" w:hAnsi="宋体" w:eastAsiaTheme="minorEastAsia" w:cstheme="minorBidi"/>
          <w:color w:val="auto"/>
          <w:kern w:val="2"/>
          <w:sz w:val="21"/>
          <w:szCs w:val="21"/>
          <w:highlight w:val="none"/>
          <w:lang w:val="en-US" w:eastAsia="zh-CN" w:bidi="ar-SA"/>
        </w:rPr>
      </w:pPr>
      <w:r>
        <w:drawing>
          <wp:inline distT="0" distB="0" distL="114300" distR="114300">
            <wp:extent cx="2628265" cy="1656080"/>
            <wp:effectExtent l="0" t="0" r="635" b="1270"/>
            <wp:docPr id="12" name="图片 5" descr="image"/>
            <wp:cNvGraphicFramePr/>
            <a:graphic xmlns:a="http://schemas.openxmlformats.org/drawingml/2006/main">
              <a:graphicData uri="http://schemas.openxmlformats.org/drawingml/2006/picture">
                <pic:pic xmlns:pic="http://schemas.openxmlformats.org/drawingml/2006/picture">
                  <pic:nvPicPr>
                    <pic:cNvPr id="12" name="图片 5" descr="image"/>
                    <pic:cNvPicPr/>
                  </pic:nvPicPr>
                  <pic:blipFill>
                    <a:blip r:embed="rId11" r:link="rId5"/>
                    <a:stretch>
                      <a:fillRect/>
                    </a:stretch>
                  </pic:blipFill>
                  <pic:spPr>
                    <a:xfrm>
                      <a:off x="0" y="0"/>
                      <a:ext cx="2628265" cy="1656080"/>
                    </a:xfrm>
                    <a:prstGeom prst="rect">
                      <a:avLst/>
                    </a:prstGeom>
                    <a:noFill/>
                    <a:ln>
                      <a:noFill/>
                    </a:ln>
                  </pic:spPr>
                </pic:pic>
              </a:graphicData>
            </a:graphic>
          </wp:inline>
        </w:drawing>
      </w:r>
      <w:r>
        <w:drawing>
          <wp:inline distT="0" distB="0" distL="114300" distR="114300">
            <wp:extent cx="2628265" cy="1656080"/>
            <wp:effectExtent l="0" t="0" r="635" b="1270"/>
            <wp:docPr id="13" name="图片 4" descr="image"/>
            <wp:cNvGraphicFramePr/>
            <a:graphic xmlns:a="http://schemas.openxmlformats.org/drawingml/2006/main">
              <a:graphicData uri="http://schemas.openxmlformats.org/drawingml/2006/picture">
                <pic:pic xmlns:pic="http://schemas.openxmlformats.org/drawingml/2006/picture">
                  <pic:nvPicPr>
                    <pic:cNvPr id="13" name="图片 4" descr="image"/>
                    <pic:cNvPicPr/>
                  </pic:nvPicPr>
                  <pic:blipFill>
                    <a:blip r:embed="rId12" r:link="rId5"/>
                    <a:stretch>
                      <a:fillRect/>
                    </a:stretch>
                  </pic:blipFill>
                  <pic:spPr>
                    <a:xfrm>
                      <a:off x="0" y="0"/>
                      <a:ext cx="2628265" cy="1656080"/>
                    </a:xfrm>
                    <a:prstGeom prst="rect">
                      <a:avLst/>
                    </a:prstGeom>
                    <a:noFill/>
                    <a:ln>
                      <a:noFill/>
                    </a:ln>
                  </pic:spPr>
                </pic:pic>
              </a:graphicData>
            </a:graphic>
          </wp:inline>
        </w:drawing>
      </w:r>
      <w:r>
        <w:drawing>
          <wp:inline distT="0" distB="0" distL="114300" distR="114300">
            <wp:extent cx="2628265" cy="1656080"/>
            <wp:effectExtent l="0" t="0" r="635" b="1270"/>
            <wp:docPr id="8" name="图片 7" descr="image"/>
            <wp:cNvGraphicFramePr/>
            <a:graphic xmlns:a="http://schemas.openxmlformats.org/drawingml/2006/main">
              <a:graphicData uri="http://schemas.openxmlformats.org/drawingml/2006/picture">
                <pic:pic xmlns:pic="http://schemas.openxmlformats.org/drawingml/2006/picture">
                  <pic:nvPicPr>
                    <pic:cNvPr id="8" name="图片 7" descr="image"/>
                    <pic:cNvPicPr/>
                  </pic:nvPicPr>
                  <pic:blipFill>
                    <a:blip r:embed="rId13" r:link="rId5"/>
                    <a:stretch>
                      <a:fillRect/>
                    </a:stretch>
                  </pic:blipFill>
                  <pic:spPr>
                    <a:xfrm>
                      <a:off x="0" y="0"/>
                      <a:ext cx="2628265" cy="1656080"/>
                    </a:xfrm>
                    <a:prstGeom prst="rect">
                      <a:avLst/>
                    </a:prstGeom>
                    <a:noFill/>
                    <a:ln>
                      <a:noFill/>
                    </a:ln>
                  </pic:spPr>
                </pic:pic>
              </a:graphicData>
            </a:graphic>
          </wp:inline>
        </w:drawing>
      </w:r>
    </w:p>
    <w:p>
      <w:pPr>
        <w:pStyle w:val="5"/>
        <w:numPr>
          <w:ilvl w:val="0"/>
          <w:numId w:val="0"/>
        </w:numPr>
        <w:ind w:leftChars="0" w:firstLine="420" w:firstLineChars="200"/>
        <w:rPr>
          <w:rFonts w:hint="eastAsia"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M态、NCu30室温力学性能要求：Rm≥480MPa、Rp0.2≥170MPa、A≥35%，对应直方图分别如下：</w:t>
      </w:r>
    </w:p>
    <w:p>
      <w:pPr>
        <w:pStyle w:val="5"/>
        <w:numPr>
          <w:ilvl w:val="0"/>
          <w:numId w:val="0"/>
        </w:numPr>
      </w:pPr>
      <w:r>
        <w:drawing>
          <wp:inline distT="0" distB="0" distL="114300" distR="114300">
            <wp:extent cx="2628265" cy="1656080"/>
            <wp:effectExtent l="0" t="0" r="635" b="1270"/>
            <wp:docPr id="14" name="图片 13" descr="image"/>
            <wp:cNvGraphicFramePr/>
            <a:graphic xmlns:a="http://schemas.openxmlformats.org/drawingml/2006/main">
              <a:graphicData uri="http://schemas.openxmlformats.org/drawingml/2006/picture">
                <pic:pic xmlns:pic="http://schemas.openxmlformats.org/drawingml/2006/picture">
                  <pic:nvPicPr>
                    <pic:cNvPr id="14" name="图片 13" descr="image"/>
                    <pic:cNvPicPr/>
                  </pic:nvPicPr>
                  <pic:blipFill>
                    <a:blip r:embed="rId14" r:link="rId5"/>
                    <a:stretch>
                      <a:fillRect/>
                    </a:stretch>
                  </pic:blipFill>
                  <pic:spPr>
                    <a:xfrm>
                      <a:off x="0" y="0"/>
                      <a:ext cx="2628265" cy="1656080"/>
                    </a:xfrm>
                    <a:prstGeom prst="rect">
                      <a:avLst/>
                    </a:prstGeom>
                    <a:noFill/>
                    <a:ln>
                      <a:noFill/>
                    </a:ln>
                  </pic:spPr>
                </pic:pic>
              </a:graphicData>
            </a:graphic>
          </wp:inline>
        </w:drawing>
      </w:r>
      <w:r>
        <w:drawing>
          <wp:inline distT="0" distB="0" distL="114300" distR="114300">
            <wp:extent cx="2628265" cy="1656080"/>
            <wp:effectExtent l="0" t="0" r="635" b="1270"/>
            <wp:docPr id="15" name="图片 12" descr="image"/>
            <wp:cNvGraphicFramePr/>
            <a:graphic xmlns:a="http://schemas.openxmlformats.org/drawingml/2006/main">
              <a:graphicData uri="http://schemas.openxmlformats.org/drawingml/2006/picture">
                <pic:pic xmlns:pic="http://schemas.openxmlformats.org/drawingml/2006/picture">
                  <pic:nvPicPr>
                    <pic:cNvPr id="15" name="图片 12" descr="image"/>
                    <pic:cNvPicPr/>
                  </pic:nvPicPr>
                  <pic:blipFill>
                    <a:blip r:embed="rId15" r:link="rId5"/>
                    <a:stretch>
                      <a:fillRect/>
                    </a:stretch>
                  </pic:blipFill>
                  <pic:spPr>
                    <a:xfrm>
                      <a:off x="0" y="0"/>
                      <a:ext cx="2628265" cy="1656080"/>
                    </a:xfrm>
                    <a:prstGeom prst="rect">
                      <a:avLst/>
                    </a:prstGeom>
                    <a:noFill/>
                    <a:ln>
                      <a:noFill/>
                    </a:ln>
                  </pic:spPr>
                </pic:pic>
              </a:graphicData>
            </a:graphic>
          </wp:inline>
        </w:drawing>
      </w:r>
      <w:r>
        <w:drawing>
          <wp:inline distT="0" distB="0" distL="114300" distR="114300">
            <wp:extent cx="2628265" cy="1656080"/>
            <wp:effectExtent l="0" t="0" r="635" b="1270"/>
            <wp:docPr id="16" name="图片 11" descr="image"/>
            <wp:cNvGraphicFramePr/>
            <a:graphic xmlns:a="http://schemas.openxmlformats.org/drawingml/2006/main">
              <a:graphicData uri="http://schemas.openxmlformats.org/drawingml/2006/picture">
                <pic:pic xmlns:pic="http://schemas.openxmlformats.org/drawingml/2006/picture">
                  <pic:nvPicPr>
                    <pic:cNvPr id="16" name="图片 11" descr="image"/>
                    <pic:cNvPicPr/>
                  </pic:nvPicPr>
                  <pic:blipFill>
                    <a:blip r:embed="rId16" r:link="rId5"/>
                    <a:stretch>
                      <a:fillRect/>
                    </a:stretch>
                  </pic:blipFill>
                  <pic:spPr>
                    <a:xfrm>
                      <a:off x="0" y="0"/>
                      <a:ext cx="2628265" cy="1656080"/>
                    </a:xfrm>
                    <a:prstGeom prst="rect">
                      <a:avLst/>
                    </a:prstGeom>
                    <a:noFill/>
                    <a:ln>
                      <a:noFill/>
                    </a:ln>
                  </pic:spPr>
                </pic:pic>
              </a:graphicData>
            </a:graphic>
          </wp:inline>
        </w:drawing>
      </w:r>
    </w:p>
    <w:p>
      <w:pPr>
        <w:pStyle w:val="5"/>
        <w:numPr>
          <w:ilvl w:val="0"/>
          <w:numId w:val="0"/>
        </w:numPr>
        <w:ind w:leftChars="0" w:firstLine="420" w:firstLineChars="200"/>
        <w:rPr>
          <w:rFonts w:hint="eastAsia"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R态、NCu40-2-1室温力学性能要求：实测值，Rm及A对应直方图分别如下：</w:t>
      </w:r>
    </w:p>
    <w:p>
      <w:pPr>
        <w:pStyle w:val="5"/>
        <w:numPr>
          <w:ilvl w:val="0"/>
          <w:numId w:val="0"/>
        </w:numPr>
      </w:pPr>
      <w:r>
        <w:drawing>
          <wp:inline distT="0" distB="0" distL="114300" distR="114300">
            <wp:extent cx="2628265" cy="1656080"/>
            <wp:effectExtent l="0" t="0" r="635" b="1270"/>
            <wp:docPr id="5" name="图片 4" descr="image"/>
            <wp:cNvGraphicFramePr/>
            <a:graphic xmlns:a="http://schemas.openxmlformats.org/drawingml/2006/main">
              <a:graphicData uri="http://schemas.openxmlformats.org/drawingml/2006/picture">
                <pic:pic xmlns:pic="http://schemas.openxmlformats.org/drawingml/2006/picture">
                  <pic:nvPicPr>
                    <pic:cNvPr id="5" name="图片 4" descr="image"/>
                    <pic:cNvPicPr/>
                  </pic:nvPicPr>
                  <pic:blipFill>
                    <a:blip r:embed="rId17" r:link="rId5"/>
                    <a:stretch>
                      <a:fillRect/>
                    </a:stretch>
                  </pic:blipFill>
                  <pic:spPr>
                    <a:xfrm>
                      <a:off x="0" y="0"/>
                      <a:ext cx="2628265" cy="1656080"/>
                    </a:xfrm>
                    <a:prstGeom prst="rect">
                      <a:avLst/>
                    </a:prstGeom>
                    <a:noFill/>
                    <a:ln>
                      <a:noFill/>
                    </a:ln>
                  </pic:spPr>
                </pic:pic>
              </a:graphicData>
            </a:graphic>
          </wp:inline>
        </w:drawing>
      </w:r>
      <w:r>
        <w:drawing>
          <wp:inline distT="0" distB="0" distL="114300" distR="114300">
            <wp:extent cx="2628265" cy="1656080"/>
            <wp:effectExtent l="0" t="0" r="635" b="1270"/>
            <wp:docPr id="6" name="图片 5" descr="image"/>
            <wp:cNvGraphicFramePr/>
            <a:graphic xmlns:a="http://schemas.openxmlformats.org/drawingml/2006/main">
              <a:graphicData uri="http://schemas.openxmlformats.org/drawingml/2006/picture">
                <pic:pic xmlns:pic="http://schemas.openxmlformats.org/drawingml/2006/picture">
                  <pic:nvPicPr>
                    <pic:cNvPr id="6" name="图片 5" descr="image"/>
                    <pic:cNvPicPr/>
                  </pic:nvPicPr>
                  <pic:blipFill>
                    <a:blip r:embed="rId18" r:link="rId5"/>
                    <a:stretch>
                      <a:fillRect/>
                    </a:stretch>
                  </pic:blipFill>
                  <pic:spPr>
                    <a:xfrm>
                      <a:off x="0" y="0"/>
                      <a:ext cx="2628265" cy="1656080"/>
                    </a:xfrm>
                    <a:prstGeom prst="rect">
                      <a:avLst/>
                    </a:prstGeom>
                    <a:noFill/>
                    <a:ln>
                      <a:noFill/>
                    </a:ln>
                  </pic:spPr>
                </pic:pic>
              </a:graphicData>
            </a:graphic>
          </wp:inline>
        </w:drawing>
      </w:r>
    </w:p>
    <w:p>
      <w:pPr>
        <w:pStyle w:val="5"/>
        <w:numPr>
          <w:ilvl w:val="0"/>
          <w:numId w:val="0"/>
        </w:numPr>
        <w:ind w:firstLine="420" w:firstLineChars="200"/>
        <w:rPr>
          <w:rFonts w:hint="eastAsia"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CS态、NCr22-9-3.5室温力学性能要求：Rm≥690MPa、Rp0.2≥275MPa、A≥30%，对应直方图分别如下：</w:t>
      </w:r>
    </w:p>
    <w:p>
      <w:pPr>
        <w:pStyle w:val="5"/>
        <w:numPr>
          <w:ilvl w:val="0"/>
          <w:numId w:val="0"/>
        </w:numPr>
        <w:rPr>
          <w:rFonts w:hint="default" w:ascii="宋体" w:hAnsi="宋体" w:eastAsiaTheme="minorEastAsia" w:cstheme="minorBidi"/>
          <w:color w:val="auto"/>
          <w:kern w:val="2"/>
          <w:sz w:val="21"/>
          <w:szCs w:val="21"/>
          <w:highlight w:val="none"/>
          <w:lang w:val="en-US" w:eastAsia="zh-CN" w:bidi="ar-SA"/>
        </w:rPr>
      </w:pPr>
      <w:r>
        <w:drawing>
          <wp:inline distT="0" distB="0" distL="114300" distR="114300">
            <wp:extent cx="2628265" cy="1656080"/>
            <wp:effectExtent l="0" t="0" r="635" b="1270"/>
            <wp:docPr id="7" name="图片 6" descr="image"/>
            <wp:cNvGraphicFramePr/>
            <a:graphic xmlns:a="http://schemas.openxmlformats.org/drawingml/2006/main">
              <a:graphicData uri="http://schemas.openxmlformats.org/drawingml/2006/picture">
                <pic:pic xmlns:pic="http://schemas.openxmlformats.org/drawingml/2006/picture">
                  <pic:nvPicPr>
                    <pic:cNvPr id="7" name="图片 6" descr="image"/>
                    <pic:cNvPicPr/>
                  </pic:nvPicPr>
                  <pic:blipFill>
                    <a:blip r:embed="rId19" r:link="rId5"/>
                    <a:stretch>
                      <a:fillRect/>
                    </a:stretch>
                  </pic:blipFill>
                  <pic:spPr>
                    <a:xfrm>
                      <a:off x="0" y="0"/>
                      <a:ext cx="2628265" cy="1656080"/>
                    </a:xfrm>
                    <a:prstGeom prst="rect">
                      <a:avLst/>
                    </a:prstGeom>
                    <a:noFill/>
                    <a:ln>
                      <a:noFill/>
                    </a:ln>
                  </pic:spPr>
                </pic:pic>
              </a:graphicData>
            </a:graphic>
          </wp:inline>
        </w:drawing>
      </w:r>
      <w:r>
        <w:drawing>
          <wp:inline distT="0" distB="0" distL="114300" distR="114300">
            <wp:extent cx="2628265" cy="1656080"/>
            <wp:effectExtent l="0" t="0" r="635" b="1270"/>
            <wp:docPr id="20" name="图片 5" descr="image"/>
            <wp:cNvGraphicFramePr/>
            <a:graphic xmlns:a="http://schemas.openxmlformats.org/drawingml/2006/main">
              <a:graphicData uri="http://schemas.openxmlformats.org/drawingml/2006/picture">
                <pic:pic xmlns:pic="http://schemas.openxmlformats.org/drawingml/2006/picture">
                  <pic:nvPicPr>
                    <pic:cNvPr id="20" name="图片 5" descr="image"/>
                    <pic:cNvPicPr/>
                  </pic:nvPicPr>
                  <pic:blipFill>
                    <a:blip r:embed="rId20" r:link="rId5"/>
                    <a:stretch>
                      <a:fillRect/>
                    </a:stretch>
                  </pic:blipFill>
                  <pic:spPr>
                    <a:xfrm>
                      <a:off x="0" y="0"/>
                      <a:ext cx="2628265" cy="1656080"/>
                    </a:xfrm>
                    <a:prstGeom prst="rect">
                      <a:avLst/>
                    </a:prstGeom>
                    <a:noFill/>
                    <a:ln>
                      <a:noFill/>
                    </a:ln>
                  </pic:spPr>
                </pic:pic>
              </a:graphicData>
            </a:graphic>
          </wp:inline>
        </w:drawing>
      </w:r>
      <w:r>
        <w:drawing>
          <wp:inline distT="0" distB="0" distL="114300" distR="114300">
            <wp:extent cx="2628265" cy="1656080"/>
            <wp:effectExtent l="0" t="0" r="635" b="1270"/>
            <wp:docPr id="21" name="图片 7" descr="image"/>
            <wp:cNvGraphicFramePr/>
            <a:graphic xmlns:a="http://schemas.openxmlformats.org/drawingml/2006/main">
              <a:graphicData uri="http://schemas.openxmlformats.org/drawingml/2006/picture">
                <pic:pic xmlns:pic="http://schemas.openxmlformats.org/drawingml/2006/picture">
                  <pic:nvPicPr>
                    <pic:cNvPr id="21" name="图片 7" descr="image"/>
                    <pic:cNvPicPr/>
                  </pic:nvPicPr>
                  <pic:blipFill>
                    <a:blip r:embed="rId21" r:link="rId5"/>
                    <a:stretch>
                      <a:fillRect/>
                    </a:stretch>
                  </pic:blipFill>
                  <pic:spPr>
                    <a:xfrm>
                      <a:off x="0" y="0"/>
                      <a:ext cx="2628265" cy="1656080"/>
                    </a:xfrm>
                    <a:prstGeom prst="rect">
                      <a:avLst/>
                    </a:prstGeom>
                    <a:noFill/>
                    <a:ln>
                      <a:noFill/>
                    </a:ln>
                  </pic:spPr>
                </pic:pic>
              </a:graphicData>
            </a:graphic>
          </wp:inline>
        </w:drawing>
      </w:r>
    </w:p>
    <w:p>
      <w:pPr>
        <w:pStyle w:val="5"/>
        <w:numPr>
          <w:ilvl w:val="0"/>
          <w:numId w:val="9"/>
        </w:numPr>
        <w:ind w:left="425" w:leftChars="0" w:hanging="425" w:firstLineChars="0"/>
        <w:rPr>
          <w:rFonts w:hint="default"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高温力学性能</w:t>
      </w:r>
    </w:p>
    <w:tbl>
      <w:tblPr>
        <w:tblStyle w:val="1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8"/>
        <w:gridCol w:w="1220"/>
        <w:gridCol w:w="975"/>
        <w:gridCol w:w="589"/>
        <w:gridCol w:w="612"/>
        <w:gridCol w:w="684"/>
        <w:gridCol w:w="461"/>
        <w:gridCol w:w="2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746" w:type="pct"/>
            <w:tcBorders>
              <w:top w:val="single" w:color="auto" w:sz="12" w:space="0"/>
              <w:left w:val="single" w:color="auto" w:sz="12" w:space="0"/>
              <w:bottom w:val="single" w:color="auto" w:sz="12" w:space="0"/>
            </w:tcBorders>
            <w:vAlign w:val="center"/>
          </w:tcPr>
          <w:p>
            <w:pPr>
              <w:jc w:val="center"/>
              <w:rPr>
                <w:rFonts w:hint="default"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牌号</w:t>
            </w:r>
          </w:p>
        </w:tc>
        <w:tc>
          <w:tcPr>
            <w:tcW w:w="712" w:type="pct"/>
            <w:tcBorders>
              <w:top w:val="single" w:color="auto" w:sz="12" w:space="0"/>
              <w:bottom w:val="single" w:color="auto" w:sz="12" w:space="0"/>
            </w:tcBorders>
            <w:vAlign w:val="center"/>
          </w:tcPr>
          <w:p>
            <w:pPr>
              <w:jc w:val="center"/>
              <w:rPr>
                <w:rFonts w:hint="default"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规格</w:t>
            </w:r>
          </w:p>
        </w:tc>
        <w:tc>
          <w:tcPr>
            <w:tcW w:w="569" w:type="pct"/>
            <w:tcBorders>
              <w:top w:val="single" w:color="auto" w:sz="12" w:space="0"/>
              <w:bottom w:val="single" w:color="auto" w:sz="12" w:space="0"/>
            </w:tcBorders>
            <w:vAlign w:val="center"/>
          </w:tcPr>
          <w:p>
            <w:pPr>
              <w:jc w:val="center"/>
              <w:rPr>
                <w:rFonts w:hint="default"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状态</w:t>
            </w:r>
          </w:p>
        </w:tc>
        <w:tc>
          <w:tcPr>
            <w:tcW w:w="344" w:type="pct"/>
            <w:tcBorders>
              <w:top w:val="single" w:color="auto" w:sz="12" w:space="0"/>
              <w:bottom w:val="single" w:color="auto" w:sz="12" w:space="0"/>
            </w:tcBorders>
            <w:vAlign w:val="center"/>
          </w:tcPr>
          <w:p>
            <w:pPr>
              <w:jc w:val="center"/>
              <w:rPr>
                <w:rFonts w:hint="default"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温度</w:t>
            </w:r>
          </w:p>
        </w:tc>
        <w:tc>
          <w:tcPr>
            <w:tcW w:w="357" w:type="pct"/>
            <w:tcBorders>
              <w:top w:val="single" w:color="auto" w:sz="12" w:space="0"/>
              <w:bottom w:val="single" w:color="auto" w:sz="12" w:space="0"/>
            </w:tcBorders>
            <w:vAlign w:val="center"/>
          </w:tcPr>
          <w:p>
            <w:pPr>
              <w:jc w:val="center"/>
              <w:rPr>
                <w:rFonts w:hint="default"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Rm</w:t>
            </w:r>
          </w:p>
        </w:tc>
        <w:tc>
          <w:tcPr>
            <w:tcW w:w="399" w:type="pct"/>
            <w:tcBorders>
              <w:top w:val="single" w:color="auto" w:sz="12" w:space="0"/>
              <w:bottom w:val="single" w:color="auto" w:sz="12" w:space="0"/>
            </w:tcBorders>
            <w:vAlign w:val="center"/>
          </w:tcPr>
          <w:p>
            <w:pPr>
              <w:jc w:val="center"/>
              <w:rPr>
                <w:rFonts w:hint="default"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Rp0.2</w:t>
            </w:r>
          </w:p>
        </w:tc>
        <w:tc>
          <w:tcPr>
            <w:tcW w:w="269" w:type="pct"/>
            <w:tcBorders>
              <w:top w:val="single" w:color="auto" w:sz="12" w:space="0"/>
              <w:bottom w:val="single" w:color="auto" w:sz="12" w:space="0"/>
            </w:tcBorders>
            <w:vAlign w:val="center"/>
          </w:tcPr>
          <w:p>
            <w:pPr>
              <w:jc w:val="center"/>
              <w:rPr>
                <w:rFonts w:hint="default"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A</w:t>
            </w:r>
          </w:p>
        </w:tc>
        <w:tc>
          <w:tcPr>
            <w:tcW w:w="1599" w:type="pct"/>
            <w:tcBorders>
              <w:top w:val="single" w:color="auto" w:sz="12" w:space="0"/>
              <w:bottom w:val="single" w:color="auto" w:sz="12" w:space="0"/>
              <w:right w:val="single" w:color="auto" w:sz="12" w:space="0"/>
            </w:tcBorders>
            <w:vAlign w:val="center"/>
          </w:tcPr>
          <w:p>
            <w:pPr>
              <w:jc w:val="center"/>
              <w:rPr>
                <w:rFonts w:hint="default" w:ascii="宋体" w:hAnsi="宋体"/>
                <w:b/>
                <w:bCs/>
                <w:color w:val="auto"/>
                <w:sz w:val="18"/>
                <w:szCs w:val="18"/>
                <w:highlight w:val="none"/>
                <w:lang w:val="en-US" w:eastAsia="zh-CN"/>
              </w:rPr>
            </w:pPr>
            <w:r>
              <w:rPr>
                <w:rFonts w:hint="eastAsia" w:ascii="宋体" w:hAnsi="宋体"/>
                <w:b/>
                <w:bCs/>
                <w:color w:val="auto"/>
                <w:sz w:val="18"/>
                <w:szCs w:val="18"/>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pct"/>
            <w:vMerge w:val="restart"/>
            <w:tcBorders>
              <w:top w:val="single" w:color="auto" w:sz="12" w:space="0"/>
              <w:left w:val="single" w:color="auto" w:sz="12"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NCr22-9-3.5（NW6625）</w:t>
            </w:r>
          </w:p>
        </w:tc>
        <w:tc>
          <w:tcPr>
            <w:tcW w:w="712" w:type="pct"/>
            <w:tcBorders>
              <w:top w:val="single" w:color="auto" w:sz="12"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≤φ350mm</w:t>
            </w:r>
          </w:p>
        </w:tc>
        <w:tc>
          <w:tcPr>
            <w:tcW w:w="569" w:type="pct"/>
            <w:tcBorders>
              <w:top w:val="single" w:color="auto" w:sz="12"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退火</w:t>
            </w:r>
          </w:p>
        </w:tc>
        <w:tc>
          <w:tcPr>
            <w:tcW w:w="344" w:type="pct"/>
            <w:tcBorders>
              <w:top w:val="single" w:color="auto" w:sz="12"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650</w:t>
            </w:r>
          </w:p>
        </w:tc>
        <w:tc>
          <w:tcPr>
            <w:tcW w:w="357" w:type="pct"/>
            <w:tcBorders>
              <w:top w:val="single" w:color="auto" w:sz="12"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810</w:t>
            </w:r>
          </w:p>
        </w:tc>
        <w:tc>
          <w:tcPr>
            <w:tcW w:w="399" w:type="pct"/>
            <w:tcBorders>
              <w:top w:val="single" w:color="auto" w:sz="12"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442</w:t>
            </w:r>
          </w:p>
        </w:tc>
        <w:tc>
          <w:tcPr>
            <w:tcW w:w="269" w:type="pct"/>
            <w:tcBorders>
              <w:top w:val="single" w:color="auto" w:sz="12"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1599" w:type="pct"/>
            <w:tcBorders>
              <w:top w:val="single" w:color="auto" w:sz="12" w:space="0"/>
              <w:right w:val="single" w:color="auto" w:sz="12"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兰州兰石超合金新材料有限公司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pct"/>
            <w:vMerge w:val="continue"/>
            <w:tcBorders>
              <w:left w:val="single" w:color="auto" w:sz="12" w:space="0"/>
              <w:bottom w:val="single" w:color="auto" w:sz="12" w:space="0"/>
            </w:tcBorders>
            <w:vAlign w:val="center"/>
          </w:tcPr>
          <w:p>
            <w:pPr>
              <w:jc w:val="center"/>
              <w:rPr>
                <w:rFonts w:hint="eastAsia" w:ascii="宋体" w:hAnsi="宋体"/>
                <w:color w:val="auto"/>
                <w:sz w:val="18"/>
                <w:szCs w:val="18"/>
                <w:highlight w:val="none"/>
                <w:lang w:val="en-US" w:eastAsia="zh-CN"/>
              </w:rPr>
            </w:pPr>
          </w:p>
        </w:tc>
        <w:tc>
          <w:tcPr>
            <w:tcW w:w="712" w:type="pct"/>
            <w:tcBorders>
              <w:bottom w:val="single" w:color="auto" w:sz="12"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Ф165*1000</w:t>
            </w:r>
          </w:p>
        </w:tc>
        <w:tc>
          <w:tcPr>
            <w:tcW w:w="569" w:type="pct"/>
            <w:tcBorders>
              <w:bottom w:val="single" w:color="auto" w:sz="12"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ST</w:t>
            </w:r>
            <w:r>
              <w:rPr>
                <w:rFonts w:hint="eastAsia" w:ascii="宋体" w:hAnsi="宋体"/>
                <w:color w:val="auto"/>
                <w:sz w:val="18"/>
                <w:szCs w:val="18"/>
                <w:highlight w:val="none"/>
                <w:lang w:val="en-US" w:eastAsia="zh-CN"/>
              </w:rPr>
              <w:t>（固溶）</w:t>
            </w:r>
          </w:p>
        </w:tc>
        <w:tc>
          <w:tcPr>
            <w:tcW w:w="344" w:type="pct"/>
            <w:tcBorders>
              <w:bottom w:val="single" w:color="auto" w:sz="12"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650</w:t>
            </w:r>
          </w:p>
        </w:tc>
        <w:tc>
          <w:tcPr>
            <w:tcW w:w="357" w:type="pct"/>
            <w:tcBorders>
              <w:bottom w:val="single" w:color="auto" w:sz="12"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798</w:t>
            </w:r>
          </w:p>
        </w:tc>
        <w:tc>
          <w:tcPr>
            <w:tcW w:w="399" w:type="pct"/>
            <w:tcBorders>
              <w:bottom w:val="single" w:color="auto" w:sz="12"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343</w:t>
            </w:r>
          </w:p>
        </w:tc>
        <w:tc>
          <w:tcPr>
            <w:tcW w:w="269" w:type="pct"/>
            <w:tcBorders>
              <w:bottom w:val="single" w:color="auto" w:sz="12" w:space="0"/>
            </w:tcBorders>
            <w:vAlign w:val="center"/>
          </w:tcPr>
          <w:p>
            <w:pPr>
              <w:jc w:val="center"/>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US" w:eastAsia="zh-CN"/>
              </w:rPr>
              <w:t>66</w:t>
            </w:r>
          </w:p>
        </w:tc>
        <w:tc>
          <w:tcPr>
            <w:tcW w:w="1599" w:type="pct"/>
            <w:tcBorders>
              <w:bottom w:val="single" w:color="auto" w:sz="12" w:space="0"/>
              <w:right w:val="single" w:color="auto" w:sz="12"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宝钛集团有限公司</w:t>
            </w:r>
          </w:p>
        </w:tc>
      </w:tr>
    </w:tbl>
    <w:p>
      <w:pPr>
        <w:pStyle w:val="5"/>
        <w:numPr>
          <w:ilvl w:val="0"/>
          <w:numId w:val="9"/>
        </w:numPr>
        <w:ind w:left="425" w:leftChars="0" w:hanging="425" w:firstLineChars="0"/>
        <w:rPr>
          <w:rFonts w:hint="default"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蠕变和应力断裂试验</w:t>
      </w:r>
    </w:p>
    <w:tbl>
      <w:tblPr>
        <w:tblStyle w:val="10"/>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8"/>
        <w:gridCol w:w="1080"/>
        <w:gridCol w:w="709"/>
        <w:gridCol w:w="960"/>
        <w:gridCol w:w="1362"/>
        <w:gridCol w:w="1583"/>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pct"/>
            <w:tcBorders>
              <w:top w:val="single" w:color="auto" w:sz="12" w:space="0"/>
              <w:left w:val="single" w:color="auto" w:sz="12"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合金牌号</w:t>
            </w:r>
          </w:p>
        </w:tc>
        <w:tc>
          <w:tcPr>
            <w:tcW w:w="631" w:type="pct"/>
            <w:tcBorders>
              <w:top w:val="single" w:color="auto" w:sz="12"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外形尺寸</w:t>
            </w:r>
          </w:p>
          <w:p>
            <w:pPr>
              <w:jc w:val="center"/>
              <w:rPr>
                <w:rFonts w:hint="eastAsia" w:ascii="宋体" w:hAnsi="宋体"/>
                <w:color w:val="auto"/>
                <w:sz w:val="18"/>
                <w:szCs w:val="18"/>
                <w:highlight w:val="none"/>
              </w:rPr>
            </w:pPr>
            <w:r>
              <w:rPr>
                <w:rFonts w:hint="eastAsia" w:ascii="宋体" w:hAnsi="宋体"/>
                <w:color w:val="auto"/>
                <w:sz w:val="18"/>
                <w:szCs w:val="18"/>
                <w:highlight w:val="none"/>
              </w:rPr>
              <w:t>mm</w:t>
            </w:r>
          </w:p>
        </w:tc>
        <w:tc>
          <w:tcPr>
            <w:tcW w:w="414" w:type="pct"/>
            <w:tcBorders>
              <w:top w:val="single" w:color="auto" w:sz="12"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温度</w:t>
            </w:r>
          </w:p>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c>
          <w:tcPr>
            <w:tcW w:w="561" w:type="pct"/>
            <w:tcBorders>
              <w:top w:val="single" w:color="auto" w:sz="12"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最小应力</w:t>
            </w:r>
          </w:p>
          <w:p>
            <w:pPr>
              <w:jc w:val="center"/>
              <w:rPr>
                <w:rFonts w:hint="eastAsia" w:ascii="宋体" w:hAnsi="宋体"/>
                <w:color w:val="auto"/>
                <w:sz w:val="18"/>
                <w:szCs w:val="18"/>
                <w:highlight w:val="none"/>
              </w:rPr>
            </w:pPr>
            <w:r>
              <w:rPr>
                <w:rFonts w:hint="eastAsia" w:ascii="宋体" w:hAnsi="宋体"/>
                <w:color w:val="auto"/>
                <w:sz w:val="18"/>
                <w:szCs w:val="18"/>
                <w:highlight w:val="none"/>
              </w:rPr>
              <w:t>N/mm2</w:t>
            </w:r>
          </w:p>
        </w:tc>
        <w:tc>
          <w:tcPr>
            <w:tcW w:w="796" w:type="pct"/>
            <w:tcBorders>
              <w:top w:val="single" w:color="auto" w:sz="12"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最少断裂时间</w:t>
            </w:r>
          </w:p>
          <w:p>
            <w:pPr>
              <w:jc w:val="center"/>
              <w:rPr>
                <w:rFonts w:hint="eastAsia" w:ascii="宋体" w:hAnsi="宋体"/>
                <w:color w:val="auto"/>
                <w:sz w:val="18"/>
                <w:szCs w:val="18"/>
                <w:highlight w:val="none"/>
              </w:rPr>
            </w:pPr>
            <w:r>
              <w:rPr>
                <w:rFonts w:hint="eastAsia" w:ascii="宋体" w:hAnsi="宋体"/>
                <w:color w:val="auto"/>
                <w:sz w:val="18"/>
                <w:szCs w:val="18"/>
                <w:highlight w:val="none"/>
              </w:rPr>
              <w:t>h</w:t>
            </w:r>
          </w:p>
        </w:tc>
        <w:tc>
          <w:tcPr>
            <w:tcW w:w="925" w:type="pct"/>
            <w:tcBorders>
              <w:top w:val="single" w:color="auto" w:sz="12"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断裂时延伸率A</w:t>
            </w:r>
            <w:r>
              <w:rPr>
                <w:rFonts w:hint="eastAsia" w:ascii="宋体" w:hAnsi="宋体"/>
                <w:color w:val="auto"/>
                <w:sz w:val="18"/>
                <w:szCs w:val="18"/>
                <w:highlight w:val="none"/>
                <w:vertAlign w:val="subscript"/>
              </w:rPr>
              <w:t>50</w:t>
            </w:r>
          </w:p>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c>
          <w:tcPr>
            <w:tcW w:w="929" w:type="pct"/>
            <w:tcBorders>
              <w:top w:val="single" w:color="auto" w:sz="12" w:space="0"/>
              <w:left w:val="single" w:color="auto" w:sz="6" w:space="0"/>
              <w:bottom w:val="single" w:color="auto" w:sz="12"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b/>
                <w:bCs/>
                <w:color w:val="auto"/>
                <w:sz w:val="18"/>
                <w:szCs w:val="18"/>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1" w:type="pct"/>
            <w:vMerge w:val="restart"/>
            <w:tcBorders>
              <w:top w:val="single" w:color="auto" w:sz="12"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lang w:val="en-US" w:eastAsia="zh-CN"/>
              </w:rPr>
              <w:t>NS3313（NW6230）</w:t>
            </w:r>
          </w:p>
        </w:tc>
        <w:tc>
          <w:tcPr>
            <w:tcW w:w="631" w:type="pct"/>
            <w:vMerge w:val="restart"/>
            <w:tcBorders>
              <w:top w:val="single" w:color="auto" w:sz="12"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锻板/锻环</w:t>
            </w:r>
          </w:p>
        </w:tc>
        <w:tc>
          <w:tcPr>
            <w:tcW w:w="414" w:type="pct"/>
            <w:vMerge w:val="restart"/>
            <w:tcBorders>
              <w:top w:val="single" w:color="auto" w:sz="12" w:space="0"/>
              <w:left w:val="single" w:color="auto" w:sz="4" w:space="0"/>
              <w:bottom w:val="single" w:color="auto" w:sz="4" w:space="0"/>
              <w:right w:val="single" w:color="auto" w:sz="4" w:space="0"/>
            </w:tcBorders>
            <w:vAlign w:val="center"/>
          </w:tcPr>
          <w:p>
            <w:pPr>
              <w:jc w:val="center"/>
              <w:rPr>
                <w:rFonts w:hint="default" w:ascii="宋体" w:hAnsi="宋体" w:eastAsiaTheme="minorEastAsia"/>
                <w:color w:val="auto"/>
                <w:sz w:val="18"/>
                <w:szCs w:val="18"/>
                <w:highlight w:val="none"/>
                <w:lang w:val="en-US" w:eastAsia="zh-CN"/>
              </w:rPr>
            </w:pPr>
            <w:r>
              <w:rPr>
                <w:rFonts w:hint="eastAsia" w:ascii="宋体" w:hAnsi="宋体"/>
                <w:color w:val="auto"/>
                <w:sz w:val="18"/>
                <w:szCs w:val="18"/>
                <w:highlight w:val="none"/>
                <w:lang w:val="en-US" w:eastAsia="zh-CN"/>
              </w:rPr>
              <w:t>927</w:t>
            </w:r>
          </w:p>
        </w:tc>
        <w:tc>
          <w:tcPr>
            <w:tcW w:w="561" w:type="pct"/>
            <w:vMerge w:val="restart"/>
            <w:tcBorders>
              <w:top w:val="single" w:color="auto" w:sz="12" w:space="0"/>
              <w:left w:val="single" w:color="auto" w:sz="4" w:space="0"/>
              <w:bottom w:val="single" w:color="auto" w:sz="4" w:space="0"/>
              <w:right w:val="single" w:color="auto" w:sz="4" w:space="0"/>
            </w:tcBorders>
            <w:vAlign w:val="center"/>
          </w:tcPr>
          <w:p>
            <w:pPr>
              <w:jc w:val="center"/>
              <w:rPr>
                <w:rFonts w:hint="default" w:ascii="宋体" w:hAnsi="宋体" w:eastAsiaTheme="minorEastAsia"/>
                <w:color w:val="auto"/>
                <w:sz w:val="18"/>
                <w:szCs w:val="18"/>
                <w:highlight w:val="none"/>
                <w:lang w:val="en-US" w:eastAsia="zh-CN"/>
              </w:rPr>
            </w:pPr>
            <w:r>
              <w:rPr>
                <w:rFonts w:hint="eastAsia" w:ascii="宋体" w:hAnsi="宋体"/>
                <w:color w:val="auto"/>
                <w:sz w:val="18"/>
                <w:szCs w:val="18"/>
                <w:highlight w:val="none"/>
                <w:lang w:val="en-US" w:eastAsia="zh-CN"/>
              </w:rPr>
              <w:t>62</w:t>
            </w:r>
          </w:p>
        </w:tc>
        <w:tc>
          <w:tcPr>
            <w:tcW w:w="796" w:type="pct"/>
            <w:tcBorders>
              <w:top w:val="single" w:color="auto" w:sz="12" w:space="0"/>
              <w:left w:val="single" w:color="auto" w:sz="4" w:space="0"/>
              <w:bottom w:val="single" w:color="auto" w:sz="4" w:space="0"/>
              <w:right w:val="single" w:color="auto" w:sz="4" w:space="0"/>
            </w:tcBorders>
            <w:vAlign w:val="center"/>
          </w:tcPr>
          <w:p>
            <w:pPr>
              <w:jc w:val="center"/>
              <w:rPr>
                <w:rFonts w:hint="default" w:ascii="宋体" w:hAnsi="宋体" w:eastAsiaTheme="minorEastAsia"/>
                <w:color w:val="auto"/>
                <w:sz w:val="18"/>
                <w:szCs w:val="18"/>
                <w:highlight w:val="none"/>
                <w:lang w:val="en-US" w:eastAsia="zh-CN"/>
              </w:rPr>
            </w:pPr>
            <w:r>
              <w:rPr>
                <w:rFonts w:hint="eastAsia" w:ascii="宋体" w:hAnsi="宋体"/>
                <w:color w:val="auto"/>
                <w:sz w:val="18"/>
                <w:szCs w:val="18"/>
                <w:highlight w:val="none"/>
                <w:lang w:val="en-US" w:eastAsia="zh-CN"/>
              </w:rPr>
              <w:t>27.25</w:t>
            </w:r>
          </w:p>
        </w:tc>
        <w:tc>
          <w:tcPr>
            <w:tcW w:w="925" w:type="pct"/>
            <w:tcBorders>
              <w:top w:val="single" w:color="auto" w:sz="12" w:space="0"/>
              <w:left w:val="single" w:color="auto" w:sz="4" w:space="0"/>
              <w:bottom w:val="single" w:color="auto" w:sz="4" w:space="0"/>
              <w:right w:val="single" w:color="auto" w:sz="4" w:space="0"/>
            </w:tcBorders>
            <w:vAlign w:val="center"/>
          </w:tcPr>
          <w:p>
            <w:pPr>
              <w:jc w:val="center"/>
              <w:rPr>
                <w:rFonts w:hint="default" w:ascii="宋体" w:hAnsi="宋体" w:eastAsiaTheme="minorEastAsia"/>
                <w:color w:val="auto"/>
                <w:sz w:val="18"/>
                <w:szCs w:val="18"/>
                <w:highlight w:val="none"/>
                <w:lang w:val="en-US" w:eastAsia="zh-CN"/>
              </w:rPr>
            </w:pPr>
            <w:r>
              <w:rPr>
                <w:rFonts w:hint="eastAsia" w:ascii="宋体" w:hAnsi="宋体"/>
                <w:color w:val="auto"/>
                <w:sz w:val="18"/>
                <w:szCs w:val="18"/>
                <w:highlight w:val="none"/>
                <w:lang w:val="en-US" w:eastAsia="zh-CN"/>
              </w:rPr>
              <w:t>19.5</w:t>
            </w:r>
          </w:p>
        </w:tc>
        <w:tc>
          <w:tcPr>
            <w:tcW w:w="929" w:type="pct"/>
            <w:vMerge w:val="restart"/>
            <w:tcBorders>
              <w:top w:val="single" w:color="auto" w:sz="12"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江阴南工超合金有限公司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1" w:type="pct"/>
            <w:vMerge w:val="continue"/>
            <w:tcBorders>
              <w:top w:val="single" w:color="auto" w:sz="4" w:space="0"/>
              <w:left w:val="single" w:color="auto" w:sz="12" w:space="0"/>
              <w:bottom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631" w:type="pct"/>
            <w:vMerge w:val="continue"/>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color w:val="auto"/>
                <w:sz w:val="18"/>
                <w:szCs w:val="18"/>
                <w:highlight w:val="none"/>
              </w:rPr>
            </w:pPr>
          </w:p>
        </w:tc>
        <w:tc>
          <w:tcPr>
            <w:tcW w:w="414" w:type="pct"/>
            <w:vMerge w:val="continue"/>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561" w:type="pct"/>
            <w:vMerge w:val="continue"/>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796" w:type="pct"/>
            <w:tcBorders>
              <w:top w:val="single" w:color="auto" w:sz="4" w:space="0"/>
              <w:left w:val="single" w:color="auto" w:sz="4" w:space="0"/>
              <w:bottom w:val="single" w:color="auto" w:sz="12"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25.09</w:t>
            </w:r>
          </w:p>
        </w:tc>
        <w:tc>
          <w:tcPr>
            <w:tcW w:w="925" w:type="pct"/>
            <w:tcBorders>
              <w:top w:val="single" w:color="auto" w:sz="4" w:space="0"/>
              <w:left w:val="single" w:color="auto" w:sz="4" w:space="0"/>
              <w:bottom w:val="single" w:color="auto" w:sz="12"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50.4</w:t>
            </w:r>
          </w:p>
        </w:tc>
        <w:tc>
          <w:tcPr>
            <w:tcW w:w="929" w:type="pct"/>
            <w:vMerge w:val="continue"/>
            <w:tcBorders>
              <w:top w:val="single" w:color="auto" w:sz="4" w:space="0"/>
              <w:left w:val="single" w:color="auto" w:sz="4" w:space="0"/>
              <w:bottom w:val="single" w:color="auto" w:sz="12" w:space="0"/>
              <w:right w:val="single" w:color="auto" w:sz="12" w:space="0"/>
            </w:tcBorders>
            <w:vAlign w:val="center"/>
          </w:tcPr>
          <w:p>
            <w:pPr>
              <w:jc w:val="center"/>
              <w:rPr>
                <w:rFonts w:hint="eastAsia" w:ascii="宋体" w:hAnsi="宋体"/>
                <w:color w:val="auto"/>
                <w:sz w:val="18"/>
                <w:szCs w:val="18"/>
                <w:highlight w:val="none"/>
                <w:lang w:val="en-US" w:eastAsia="zh-CN"/>
              </w:rPr>
            </w:pPr>
          </w:p>
        </w:tc>
      </w:tr>
    </w:tbl>
    <w:p>
      <w:pPr>
        <w:pStyle w:val="5"/>
        <w:numPr>
          <w:ilvl w:val="0"/>
          <w:numId w:val="8"/>
        </w:numPr>
        <w:ind w:left="0" w:leftChars="0" w:firstLine="0" w:firstLineChars="0"/>
        <w:rPr>
          <w:rFonts w:hint="eastAsia" w:ascii="宋体" w:hAnsi="宋体" w:eastAsiaTheme="minorEastAsia" w:cstheme="minorBidi"/>
          <w:b/>
          <w:bCs/>
          <w:color w:val="auto"/>
          <w:kern w:val="2"/>
          <w:sz w:val="21"/>
          <w:szCs w:val="21"/>
          <w:highlight w:val="none"/>
          <w:lang w:val="en-US" w:eastAsia="zh-CN" w:bidi="ar-SA"/>
        </w:rPr>
      </w:pPr>
      <w:r>
        <w:rPr>
          <w:rFonts w:hint="eastAsia" w:ascii="黑体" w:hAnsi="宋体" w:eastAsia="黑体" w:cs="宋体"/>
          <w:bCs/>
          <w:color w:val="auto"/>
          <w:sz w:val="21"/>
          <w:szCs w:val="21"/>
          <w:highlight w:val="none"/>
          <w:lang w:val="en-US" w:eastAsia="zh-CN"/>
        </w:rPr>
        <w:t>标准的先进性、创新性、标准实施后预期产生的经济效益和社会效益</w:t>
      </w:r>
    </w:p>
    <w:p>
      <w:pPr>
        <w:pStyle w:val="5"/>
        <w:numPr>
          <w:ilvl w:val="0"/>
          <w:numId w:val="0"/>
        </w:numPr>
        <w:ind w:leftChars="0"/>
        <w:rPr>
          <w:rFonts w:hint="eastAsia" w:ascii="宋体" w:hAnsi="宋体" w:eastAsiaTheme="minorEastAsia" w:cstheme="minorBidi"/>
          <w:b/>
          <w:bCs/>
          <w:color w:val="auto"/>
          <w:kern w:val="2"/>
          <w:sz w:val="21"/>
          <w:szCs w:val="21"/>
          <w:highlight w:val="none"/>
          <w:lang w:val="en-US" w:eastAsia="zh-CN" w:bidi="ar-SA"/>
        </w:rPr>
      </w:pPr>
      <w:r>
        <w:rPr>
          <w:rFonts w:hint="eastAsia" w:ascii="宋体" w:hAnsi="宋体" w:eastAsiaTheme="minorEastAsia" w:cstheme="minorBidi"/>
          <w:b/>
          <w:bCs/>
          <w:color w:val="auto"/>
          <w:kern w:val="2"/>
          <w:sz w:val="21"/>
          <w:szCs w:val="21"/>
          <w:highlight w:val="none"/>
          <w:lang w:val="en-US" w:eastAsia="zh-CN" w:bidi="ar-SA"/>
        </w:rPr>
        <w:t>4.1先进性、创新性</w:t>
      </w:r>
    </w:p>
    <w:p>
      <w:pPr>
        <w:pStyle w:val="5"/>
        <w:numPr>
          <w:ilvl w:val="0"/>
          <w:numId w:val="0"/>
        </w:numPr>
        <w:ind w:firstLine="420" w:firstLineChars="200"/>
        <w:rPr>
          <w:rFonts w:hint="default" w:ascii="宋体" w:hAnsi="宋体" w:eastAsiaTheme="minorEastAsia" w:cstheme="minorBidi"/>
          <w:color w:val="auto"/>
          <w:kern w:val="2"/>
          <w:sz w:val="21"/>
          <w:szCs w:val="21"/>
          <w:highlight w:val="none"/>
          <w:lang w:val="en-US" w:eastAsia="zh-CN" w:bidi="ar-SA"/>
        </w:rPr>
      </w:pPr>
      <w:r>
        <w:rPr>
          <w:rFonts w:hint="default" w:ascii="宋体" w:hAnsi="宋体" w:eastAsiaTheme="minorEastAsia" w:cstheme="minorBidi"/>
          <w:color w:val="auto"/>
          <w:kern w:val="2"/>
          <w:sz w:val="21"/>
          <w:szCs w:val="21"/>
          <w:highlight w:val="none"/>
          <w:lang w:val="en-US" w:eastAsia="zh-CN" w:bidi="ar-SA"/>
        </w:rPr>
        <w:t>本标准修改采用国际标准ISO9725:2017，结合国内镍及镍合金锻件产业生产与应用实际开展技术调整优化，既保持与国际先进标准的兼容性，又解决了原标准GB/T26030-2010在技术指标划分、试验方法适配、牌号体系应用等方面与国际接轨不充分的问题，在技术内容、体系设计、应用适配性上实现多维度升级，兼具先进性与创新性；技术指标制定更贴合产品实际应用场景，将NFe30-21-3（NW8825）退火状态、NS1101（NW8800）热加工及退火状态外形尺寸由“所有”细分为“≤50mm”和“＞50mm”，NCr20-0.5退火状态外形尺寸细分为“≤75mm”和“＞75mm”，并针对性制定力学性能要求，晶粒度方面明确NS1102、NS1104牌号平均晶粒度等级应不大于5级、NS1502牌号的平均晶粒度等级应不小于3级的差异化指标；牌号与化学成分管控上，更改原标准ISO数字牌号单一表示形式，采用GB/T5235</w:t>
      </w:r>
      <w:r>
        <w:rPr>
          <w:rFonts w:hint="eastAsia" w:ascii="宋体" w:hAnsi="宋体" w:eastAsiaTheme="minorEastAsia" w:cstheme="minorBidi"/>
          <w:color w:val="auto"/>
          <w:kern w:val="2"/>
          <w:sz w:val="21"/>
          <w:szCs w:val="21"/>
          <w:highlight w:val="none"/>
          <w:lang w:val="en-US" w:eastAsia="zh-CN" w:bidi="ar-SA"/>
        </w:rPr>
        <w:t>与GB/T15007</w:t>
      </w:r>
      <w:r>
        <w:rPr>
          <w:rFonts w:hint="default" w:ascii="宋体" w:hAnsi="宋体" w:eastAsiaTheme="minorEastAsia" w:cstheme="minorBidi"/>
          <w:color w:val="auto"/>
          <w:kern w:val="2"/>
          <w:sz w:val="21"/>
          <w:szCs w:val="21"/>
          <w:highlight w:val="none"/>
          <w:lang w:val="en-US" w:eastAsia="zh-CN" w:bidi="ar-SA"/>
        </w:rPr>
        <w:t>牌号表示方式，详细列出FeNi32Cr21Ti合金牌号锻件化学成分</w:t>
      </w:r>
      <w:r>
        <w:rPr>
          <w:rFonts w:hint="eastAsia" w:ascii="宋体" w:hAnsi="宋体" w:eastAsiaTheme="minorEastAsia" w:cstheme="minorBidi"/>
          <w:color w:val="auto"/>
          <w:kern w:val="2"/>
          <w:sz w:val="21"/>
          <w:szCs w:val="21"/>
          <w:highlight w:val="none"/>
          <w:lang w:val="en-US" w:eastAsia="zh-CN" w:bidi="ar-SA"/>
        </w:rPr>
        <w:t>，</w:t>
      </w:r>
      <w:r>
        <w:rPr>
          <w:rFonts w:hint="default" w:ascii="宋体" w:hAnsi="宋体" w:eastAsiaTheme="minorEastAsia" w:cstheme="minorBidi"/>
          <w:color w:val="auto"/>
          <w:kern w:val="2"/>
          <w:sz w:val="21"/>
          <w:szCs w:val="21"/>
          <w:highlight w:val="none"/>
          <w:lang w:val="en-US" w:eastAsia="zh-CN" w:bidi="ar-SA"/>
        </w:rPr>
        <w:t>新增NS3313、NS3405、NS1502等牌号；试验方法与检验规则对标国际先进要求并适配国内实际，将高温力学性能试验方法更新为GB/T228.2、晶粒度试验方法更新为GB/T6394，细化取样要求，建立“不合格-双倍数量试样复检-逐件检验”的分级判定机制；标准体系设计更具实用性，新增随行文件要求，明确每批产品需附带质量保证书、合格证等文件，完善附录体系，新增结构编号对照、技术差异及原因、国内外牌号对照等附录，同时在修改采用ISO9725:2017核心技术内容基础上，结合国内实际进行本土化优化，增加锻件外形尺寸及允许偏差、表面质量等具体要求，补充检验规则相关内容，通过牌号对照等方式保持与国际标准关联性，解决国内外牌号对应混乱、标准体系衔接不畅问题，实现“接轨国际、立足国内、服务产业”的标准制定目标。</w:t>
      </w:r>
    </w:p>
    <w:p>
      <w:pPr>
        <w:pStyle w:val="5"/>
        <w:numPr>
          <w:ilvl w:val="0"/>
          <w:numId w:val="0"/>
        </w:numPr>
        <w:ind w:firstLine="420" w:firstLineChars="200"/>
        <w:rPr>
          <w:rFonts w:hint="default" w:ascii="宋体" w:hAnsi="宋体" w:eastAsiaTheme="minorEastAsia" w:cstheme="minorBidi"/>
          <w:color w:val="auto"/>
          <w:kern w:val="2"/>
          <w:sz w:val="21"/>
          <w:szCs w:val="21"/>
          <w:highlight w:val="none"/>
          <w:lang w:val="en-US" w:eastAsia="zh-CN" w:bidi="ar-SA"/>
        </w:rPr>
      </w:pPr>
    </w:p>
    <w:p>
      <w:pPr>
        <w:pStyle w:val="5"/>
        <w:numPr>
          <w:ilvl w:val="0"/>
          <w:numId w:val="0"/>
        </w:numPr>
        <w:ind w:firstLine="422" w:firstLineChars="200"/>
        <w:rPr>
          <w:rFonts w:hint="eastAsia" w:ascii="宋体" w:hAnsi="宋体" w:eastAsiaTheme="minorEastAsia" w:cstheme="minorBidi"/>
          <w:b/>
          <w:bCs/>
          <w:color w:val="auto"/>
          <w:kern w:val="2"/>
          <w:sz w:val="21"/>
          <w:szCs w:val="21"/>
          <w:highlight w:val="none"/>
          <w:lang w:val="en-US" w:eastAsia="zh-CN" w:bidi="ar-SA"/>
        </w:rPr>
      </w:pPr>
      <w:r>
        <w:rPr>
          <w:rFonts w:hint="eastAsia" w:ascii="宋体" w:hAnsi="宋体" w:eastAsiaTheme="minorEastAsia" w:cstheme="minorBidi"/>
          <w:b/>
          <w:bCs/>
          <w:color w:val="auto"/>
          <w:kern w:val="2"/>
          <w:sz w:val="21"/>
          <w:szCs w:val="21"/>
          <w:highlight w:val="none"/>
          <w:lang w:val="en-US" w:eastAsia="zh-CN" w:bidi="ar-SA"/>
        </w:rPr>
        <w:t>4.2经济效益</w:t>
      </w:r>
    </w:p>
    <w:p>
      <w:pPr>
        <w:pStyle w:val="5"/>
        <w:numPr>
          <w:ilvl w:val="0"/>
          <w:numId w:val="0"/>
        </w:numPr>
        <w:ind w:firstLine="420" w:firstLineChars="200"/>
        <w:rPr>
          <w:rFonts w:hint="default"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标准通过优化技术指标与检验流程，减少企业因指标模糊导致的试错成本。同时，符合新版标准的产品因性能稳定、指标与国际接轨，可在国际市场上获得更高定价。随着标准实施后国内产品逐步替代进口，以年进口高端镍及镍合金锻件10万吨、平均单价8万元/吨计算，每年可减少外汇支出约80亿元，同时避免因国际供应链波动导致的价格上涨风险，降低企业进口成本。</w:t>
      </w:r>
    </w:p>
    <w:p>
      <w:pPr>
        <w:pStyle w:val="5"/>
        <w:numPr>
          <w:ilvl w:val="0"/>
          <w:numId w:val="0"/>
        </w:numPr>
        <w:ind w:firstLine="422" w:firstLineChars="200"/>
        <w:rPr>
          <w:rFonts w:hint="eastAsia" w:ascii="宋体" w:hAnsi="宋体" w:eastAsiaTheme="minorEastAsia" w:cstheme="minorBidi"/>
          <w:b/>
          <w:bCs/>
          <w:color w:val="auto"/>
          <w:kern w:val="2"/>
          <w:sz w:val="21"/>
          <w:szCs w:val="21"/>
          <w:highlight w:val="none"/>
          <w:lang w:val="en-US" w:eastAsia="zh-CN" w:bidi="ar-SA"/>
        </w:rPr>
      </w:pPr>
      <w:r>
        <w:rPr>
          <w:rFonts w:hint="eastAsia" w:ascii="宋体" w:hAnsi="宋体" w:eastAsiaTheme="minorEastAsia" w:cstheme="minorBidi"/>
          <w:b/>
          <w:bCs/>
          <w:color w:val="auto"/>
          <w:kern w:val="2"/>
          <w:sz w:val="21"/>
          <w:szCs w:val="21"/>
          <w:highlight w:val="none"/>
          <w:lang w:val="en-US" w:eastAsia="zh-CN" w:bidi="ar-SA"/>
        </w:rPr>
        <w:t>4.3社会效益</w:t>
      </w:r>
    </w:p>
    <w:p>
      <w:pPr>
        <w:pStyle w:val="5"/>
        <w:numPr>
          <w:ilvl w:val="0"/>
          <w:numId w:val="0"/>
        </w:numPr>
        <w:ind w:firstLine="420" w:firstLineChars="200"/>
        <w:rPr>
          <w:rFonts w:hint="default" w:ascii="宋体" w:hAnsi="宋体" w:eastAsiaTheme="minorEastAsia" w:cstheme="minorBidi"/>
          <w:color w:val="auto"/>
          <w:kern w:val="2"/>
          <w:sz w:val="21"/>
          <w:szCs w:val="21"/>
          <w:highlight w:val="none"/>
          <w:lang w:val="en-US" w:eastAsia="zh-CN" w:bidi="ar-SA"/>
        </w:rPr>
      </w:pPr>
      <w:r>
        <w:rPr>
          <w:rFonts w:hint="default" w:ascii="宋体" w:hAnsi="宋体" w:eastAsiaTheme="minorEastAsia" w:cstheme="minorBidi"/>
          <w:color w:val="auto"/>
          <w:kern w:val="2"/>
          <w:sz w:val="21"/>
          <w:szCs w:val="21"/>
          <w:highlight w:val="none"/>
          <w:lang w:val="en-US" w:eastAsia="zh-CN" w:bidi="ar-SA"/>
        </w:rPr>
        <w:t>标准实施过程中，企业需通过技术改造、工艺升级满足要求，将推动行业整体技术水平提升。同时，为适配新标准的检验、生产要求，企业将加强技术人员培训，</w:t>
      </w:r>
      <w:r>
        <w:rPr>
          <w:rFonts w:hint="eastAsia" w:ascii="宋体" w:hAnsi="宋体" w:eastAsiaTheme="minorEastAsia" w:cstheme="minorBidi"/>
          <w:color w:val="auto"/>
          <w:kern w:val="2"/>
          <w:sz w:val="21"/>
          <w:szCs w:val="21"/>
          <w:highlight w:val="none"/>
          <w:lang w:val="en-US" w:eastAsia="zh-CN" w:bidi="ar-SA"/>
        </w:rPr>
        <w:t>培养人才，</w:t>
      </w:r>
      <w:r>
        <w:rPr>
          <w:rFonts w:hint="default" w:ascii="宋体" w:hAnsi="宋体" w:eastAsiaTheme="minorEastAsia" w:cstheme="minorBidi"/>
          <w:color w:val="auto"/>
          <w:kern w:val="2"/>
          <w:sz w:val="21"/>
          <w:szCs w:val="21"/>
          <w:highlight w:val="none"/>
          <w:lang w:val="en-US" w:eastAsia="zh-CN" w:bidi="ar-SA"/>
        </w:rPr>
        <w:t>为有色金属行业储备技术力量，缓解高端技术人才短缺问题。镍及镍合金锻件是航空航天、核电、医疗设备等关键领域的核心原材料，标准通过提升产品质量稳定性，可降低重点领域设备运行风险（如核电设备泄漏、航空发动机故障等），保障国家能源安全、航空安全；在医疗领域，符合标准的镍合金锻件可用于人工关节、医疗器械部件，减少因材料质量问题导致的医疗事故，保障民生健康。新版标准实现与国际标准的兼容与创新，可推动我国在镍及镍合金锻件领域的标准输出。</w:t>
      </w:r>
    </w:p>
    <w:p>
      <w:pPr>
        <w:pStyle w:val="5"/>
        <w:numPr>
          <w:ilvl w:val="0"/>
          <w:numId w:val="0"/>
        </w:numPr>
        <w:ind w:firstLine="422" w:firstLineChars="200"/>
        <w:rPr>
          <w:rFonts w:hint="eastAsia" w:ascii="宋体" w:hAnsi="宋体" w:eastAsiaTheme="minorEastAsia" w:cstheme="minorBidi"/>
          <w:b/>
          <w:bCs/>
          <w:color w:val="auto"/>
          <w:kern w:val="2"/>
          <w:sz w:val="21"/>
          <w:szCs w:val="21"/>
          <w:highlight w:val="none"/>
          <w:lang w:val="en-US" w:eastAsia="zh-CN" w:bidi="ar-SA"/>
        </w:rPr>
      </w:pPr>
      <w:r>
        <w:rPr>
          <w:rFonts w:hint="eastAsia" w:ascii="宋体" w:hAnsi="宋体" w:eastAsiaTheme="minorEastAsia" w:cstheme="minorBidi"/>
          <w:b/>
          <w:bCs/>
          <w:color w:val="auto"/>
          <w:kern w:val="2"/>
          <w:sz w:val="21"/>
          <w:szCs w:val="21"/>
          <w:highlight w:val="none"/>
          <w:lang w:val="en-US" w:eastAsia="zh-CN" w:bidi="ar-SA"/>
        </w:rPr>
        <w:t>4.4生态效益</w:t>
      </w:r>
    </w:p>
    <w:p>
      <w:pPr>
        <w:pStyle w:val="5"/>
        <w:numPr>
          <w:ilvl w:val="0"/>
          <w:numId w:val="0"/>
        </w:numPr>
        <w:ind w:firstLine="420" w:firstLineChars="200"/>
        <w:rPr>
          <w:rFonts w:hint="eastAsia"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标准规范了化学成分要求，限制了铅、汞等有害杂质元素的含量，减少了生产过程中有害金属离子的排放，降低了对土壤、水资源的污染风险。</w:t>
      </w:r>
    </w:p>
    <w:p>
      <w:pPr>
        <w:pStyle w:val="5"/>
        <w:numPr>
          <w:ilvl w:val="0"/>
          <w:numId w:val="0"/>
        </w:numPr>
        <w:rPr>
          <w:rFonts w:hint="default" w:ascii="黑体" w:hAnsi="宋体" w:eastAsia="黑体" w:cs="宋体"/>
          <w:bCs/>
          <w:color w:val="auto"/>
          <w:sz w:val="21"/>
          <w:szCs w:val="21"/>
          <w:highlight w:val="none"/>
          <w:lang w:val="en-US"/>
        </w:rPr>
      </w:pPr>
      <w:r>
        <w:rPr>
          <w:rFonts w:hint="eastAsia" w:ascii="黑体" w:hAnsi="宋体" w:eastAsia="黑体" w:cs="宋体"/>
          <w:bCs/>
          <w:color w:val="auto"/>
          <w:sz w:val="21"/>
          <w:szCs w:val="21"/>
          <w:highlight w:val="none"/>
          <w:lang w:val="en-US" w:eastAsia="zh-CN"/>
        </w:rPr>
        <w:t>四、与国际标准和国外先进标准技术内容的对比</w:t>
      </w:r>
    </w:p>
    <w:p>
      <w:pPr>
        <w:pStyle w:val="5"/>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是否采用国际或国外先进标准，及采用国际标准和国外先进标准的程度（IDT或MOD或NEQ）；</w:t>
      </w:r>
    </w:p>
    <w:p>
      <w:pPr>
        <w:pStyle w:val="5"/>
        <w:numPr>
          <w:ilvl w:val="0"/>
          <w:numId w:val="0"/>
        </w:numPr>
        <w:ind w:firstLine="420" w:firstLineChars="200"/>
        <w:rPr>
          <w:rFonts w:hint="default"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MOD。</w:t>
      </w:r>
    </w:p>
    <w:p>
      <w:pPr>
        <w:pStyle w:val="5"/>
        <w:rPr>
          <w:rFonts w:hint="eastAsia"/>
          <w:color w:val="auto"/>
          <w:highlight w:val="none"/>
          <w:lang w:val="en-US" w:eastAsia="zh-CN"/>
        </w:rPr>
      </w:pPr>
      <w:r>
        <w:rPr>
          <w:rFonts w:hint="eastAsia"/>
          <w:color w:val="auto"/>
          <w:highlight w:val="none"/>
          <w:lang w:val="en-US" w:eastAsia="zh-CN"/>
        </w:rPr>
        <w:t>——查阅到国际同类标准的情况，及标准水平的对比分析（宜以表格形式出现）；</w:t>
      </w:r>
    </w:p>
    <w:p>
      <w:pPr>
        <w:pStyle w:val="5"/>
        <w:numPr>
          <w:ilvl w:val="0"/>
          <w:numId w:val="0"/>
        </w:numPr>
        <w:ind w:firstLine="420" w:firstLineChars="200"/>
        <w:rPr>
          <w:rFonts w:hint="default"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本标准包含了标准ISO9725-2017涉及的镍合金锻件，同时纳入了其他牌号的镍基锻件。规定了锻件外形尺寸及其允许偏差，规定了高温力学性能的技术要求和试验方法。</w:t>
      </w:r>
    </w:p>
    <w:p>
      <w:pPr>
        <w:pStyle w:val="5"/>
        <w:rPr>
          <w:rFonts w:hint="eastAsia"/>
          <w:color w:val="auto"/>
          <w:highlight w:val="none"/>
          <w:lang w:val="en-US" w:eastAsia="zh-CN"/>
        </w:rPr>
      </w:pPr>
      <w:r>
        <w:rPr>
          <w:rFonts w:hint="eastAsia"/>
          <w:color w:val="auto"/>
          <w:highlight w:val="none"/>
          <w:lang w:val="en-US" w:eastAsia="zh-CN"/>
        </w:rPr>
        <w:t>——与测试的国外样品、样机的有关数据对比情况。</w:t>
      </w:r>
    </w:p>
    <w:p>
      <w:pPr>
        <w:pStyle w:val="5"/>
        <w:numPr>
          <w:ilvl w:val="0"/>
          <w:numId w:val="0"/>
        </w:numPr>
        <w:ind w:firstLine="420" w:firstLineChars="200"/>
        <w:rPr>
          <w:rFonts w:hint="default"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无。</w:t>
      </w:r>
    </w:p>
    <w:p>
      <w:pPr>
        <w:keepNext w:val="0"/>
        <w:keepLines w:val="0"/>
        <w:pageBreakBefore w:val="0"/>
        <w:numPr>
          <w:ilvl w:val="0"/>
          <w:numId w:val="10"/>
        </w:numPr>
        <w:kinsoku/>
        <w:wordWrap/>
        <w:overflowPunct/>
        <w:topLinePunct w:val="0"/>
        <w:bidi w:val="0"/>
        <w:snapToGrid/>
        <w:spacing w:beforeLines="50" w:afterLines="50" w:line="440" w:lineRule="exact"/>
        <w:textAlignment w:val="auto"/>
        <w:rPr>
          <w:rFonts w:ascii="黑体" w:hAnsi="宋体" w:eastAsia="黑体" w:cs="宋体"/>
          <w:bCs/>
          <w:color w:val="auto"/>
          <w:sz w:val="21"/>
          <w:szCs w:val="21"/>
          <w:highlight w:val="none"/>
        </w:rPr>
      </w:pPr>
      <w:r>
        <w:rPr>
          <w:rFonts w:hint="eastAsia" w:ascii="黑体" w:hAnsi="宋体" w:eastAsia="黑体" w:cs="宋体"/>
          <w:bCs/>
          <w:color w:val="auto"/>
          <w:sz w:val="21"/>
          <w:szCs w:val="21"/>
          <w:highlight w:val="none"/>
          <w:lang w:val="en-US" w:eastAsia="zh-CN"/>
        </w:rPr>
        <w:t>以国际标准为基础的起草情况以及是否合规采用国际国外标准、未采用国际标准的原因</w:t>
      </w:r>
    </w:p>
    <w:p>
      <w:pPr>
        <w:pStyle w:val="5"/>
        <w:numPr>
          <w:ilvl w:val="0"/>
          <w:numId w:val="0"/>
        </w:numPr>
        <w:ind w:firstLine="420" w:firstLineChars="200"/>
        <w:rPr>
          <w:rFonts w:hint="eastAsia"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本标准采用了ISO9725-2017技术内容，并结合国内产品现状对该标准进行了补充完善。</w:t>
      </w:r>
    </w:p>
    <w:p>
      <w:pPr>
        <w:pStyle w:val="5"/>
        <w:numPr>
          <w:ilvl w:val="0"/>
          <w:numId w:val="0"/>
        </w:numPr>
        <w:spacing w:line="240" w:lineRule="auto"/>
        <w:ind w:firstLine="420" w:firstLineChars="200"/>
        <w:rPr>
          <w:rFonts w:hint="eastAsia"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整体来看，GB/T 26030送审稿完整采纳ISO 9725:2017核心技术指标、试验方法、性能限值，同时立足国内镍合金产业产品结构、生产工艺、检测体系、商贸规则、标准体系，主要完成五大类完善改进：</w:t>
      </w:r>
    </w:p>
    <w:p>
      <w:pPr>
        <w:keepNext w:val="0"/>
        <w:keepLines w:val="0"/>
        <w:pageBreakBefore w:val="0"/>
        <w:numPr>
          <w:ilvl w:val="0"/>
          <w:numId w:val="11"/>
        </w:numPr>
        <w:kinsoku/>
        <w:wordWrap/>
        <w:overflowPunct/>
        <w:topLinePunct w:val="0"/>
        <w:bidi w:val="0"/>
        <w:snapToGrid/>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标准架构与引用文件全面本土化，适配国标体系；</w:t>
      </w:r>
    </w:p>
    <w:p>
      <w:pPr>
        <w:keepNext w:val="0"/>
        <w:keepLines w:val="0"/>
        <w:pageBreakBefore w:val="0"/>
        <w:numPr>
          <w:ilvl w:val="0"/>
          <w:numId w:val="11"/>
        </w:numPr>
        <w:kinsoku/>
        <w:wordWrap/>
        <w:overflowPunct/>
        <w:topLinePunct w:val="0"/>
        <w:bidi w:val="0"/>
        <w:snapToGrid/>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扩充国内常用合金牌号、产品品类，覆盖全行业产品；</w:t>
      </w:r>
    </w:p>
    <w:p>
      <w:pPr>
        <w:keepNext w:val="0"/>
        <w:keepLines w:val="0"/>
        <w:pageBreakBefore w:val="0"/>
        <w:numPr>
          <w:ilvl w:val="0"/>
          <w:numId w:val="11"/>
        </w:numPr>
        <w:kinsoku/>
        <w:wordWrap/>
        <w:overflowPunct/>
        <w:topLinePunct w:val="0"/>
        <w:bidi w:val="0"/>
        <w:snapToGrid/>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新增尺寸公差、详细表面质量、专用硬度、细分晶粒度等ISO缺失的技术指标；</w:t>
      </w:r>
    </w:p>
    <w:p>
      <w:pPr>
        <w:keepNext w:val="0"/>
        <w:keepLines w:val="0"/>
        <w:pageBreakBefore w:val="0"/>
        <w:numPr>
          <w:ilvl w:val="0"/>
          <w:numId w:val="11"/>
        </w:numPr>
        <w:kinsoku/>
        <w:wordWrap/>
        <w:overflowPunct/>
        <w:topLinePunct w:val="0"/>
        <w:bidi w:val="0"/>
        <w:snapToGrid/>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系统化完善组批、取样、检验、复检、仲裁全套质检规则，强化可执行性；</w:t>
      </w:r>
    </w:p>
    <w:p>
      <w:pPr>
        <w:keepNext w:val="0"/>
        <w:keepLines w:val="0"/>
        <w:pageBreakBefore w:val="0"/>
        <w:numPr>
          <w:ilvl w:val="0"/>
          <w:numId w:val="11"/>
        </w:numPr>
        <w:kinsoku/>
        <w:wordWrap/>
        <w:overflowPunct/>
        <w:topLinePunct w:val="0"/>
        <w:bidi w:val="0"/>
        <w:snapToGrid/>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补充标记、包装、储运、随行文件、订货规范、牌号对照等配套管理内容，打通生产、检验、贸易、使用全流程。</w:t>
      </w:r>
    </w:p>
    <w:p>
      <w:pPr>
        <w:keepNext w:val="0"/>
        <w:keepLines w:val="0"/>
        <w:pageBreakBefore w:val="0"/>
        <w:kinsoku/>
        <w:wordWrap/>
        <w:overflowPunct/>
        <w:topLinePunct w:val="0"/>
        <w:bidi w:val="0"/>
        <w:snapToGrid/>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最终形成一份技术上与国际接轨、应用上贴合国内产业实际的国家标准。</w:t>
      </w:r>
    </w:p>
    <w:p>
      <w:pPr>
        <w:keepNext w:val="0"/>
        <w:keepLines w:val="0"/>
        <w:pageBreakBefore w:val="0"/>
        <w:numPr>
          <w:ilvl w:val="0"/>
          <w:numId w:val="10"/>
        </w:numPr>
        <w:kinsoku/>
        <w:wordWrap/>
        <w:overflowPunct/>
        <w:topLinePunct w:val="0"/>
        <w:bidi w:val="0"/>
        <w:snapToGrid/>
        <w:spacing w:beforeLines="50" w:afterLines="50" w:line="440" w:lineRule="exact"/>
        <w:textAlignment w:val="auto"/>
        <w:rPr>
          <w:rFonts w:ascii="黑体" w:hAnsi="宋体" w:eastAsia="黑体" w:cs="宋体"/>
          <w:bCs/>
          <w:color w:val="auto"/>
          <w:sz w:val="21"/>
          <w:szCs w:val="21"/>
          <w:highlight w:val="none"/>
        </w:rPr>
      </w:pPr>
      <w:r>
        <w:rPr>
          <w:rFonts w:hint="eastAsia" w:ascii="黑体" w:hAnsi="宋体" w:eastAsia="黑体" w:cs="宋体"/>
          <w:bCs/>
          <w:color w:val="auto"/>
          <w:sz w:val="21"/>
          <w:szCs w:val="21"/>
          <w:highlight w:val="none"/>
        </w:rPr>
        <w:t>与</w:t>
      </w:r>
      <w:r>
        <w:rPr>
          <w:rFonts w:hint="eastAsia" w:ascii="黑体" w:hAnsi="宋体" w:eastAsia="黑体" w:cs="宋体"/>
          <w:bCs/>
          <w:color w:val="auto"/>
          <w:sz w:val="21"/>
          <w:szCs w:val="21"/>
          <w:highlight w:val="none"/>
          <w:lang w:val="en-US" w:eastAsia="zh-CN"/>
        </w:rPr>
        <w:t>有关</w:t>
      </w:r>
      <w:r>
        <w:rPr>
          <w:rFonts w:hint="eastAsia" w:ascii="黑体" w:hAnsi="宋体" w:eastAsia="黑体" w:cs="宋体"/>
          <w:bCs/>
          <w:color w:val="auto"/>
          <w:sz w:val="21"/>
          <w:szCs w:val="21"/>
          <w:highlight w:val="none"/>
        </w:rPr>
        <w:t>法律、</w:t>
      </w:r>
      <w:r>
        <w:rPr>
          <w:rFonts w:hint="eastAsia" w:ascii="黑体" w:hAnsi="宋体" w:eastAsia="黑体" w:cs="宋体"/>
          <w:bCs/>
          <w:color w:val="auto"/>
          <w:sz w:val="21"/>
          <w:szCs w:val="21"/>
          <w:highlight w:val="none"/>
          <w:lang w:val="en-US" w:eastAsia="zh-CN"/>
        </w:rPr>
        <w:t>行政</w:t>
      </w:r>
      <w:r>
        <w:rPr>
          <w:rFonts w:hint="eastAsia" w:ascii="黑体" w:hAnsi="宋体" w:eastAsia="黑体" w:cs="宋体"/>
          <w:bCs/>
          <w:color w:val="auto"/>
          <w:sz w:val="21"/>
          <w:szCs w:val="21"/>
          <w:highlight w:val="none"/>
        </w:rPr>
        <w:t>法规及相关标准</w:t>
      </w:r>
      <w:r>
        <w:rPr>
          <w:rFonts w:hint="eastAsia" w:ascii="黑体" w:hAnsi="宋体" w:eastAsia="黑体" w:cs="宋体"/>
          <w:bCs/>
          <w:color w:val="auto"/>
          <w:sz w:val="21"/>
          <w:szCs w:val="21"/>
          <w:highlight w:val="none"/>
          <w:lang w:val="en-US" w:eastAsia="zh-CN"/>
        </w:rPr>
        <w:t>的关系</w:t>
      </w:r>
    </w:p>
    <w:p>
      <w:pPr>
        <w:keepNext w:val="0"/>
        <w:keepLines w:val="0"/>
        <w:pageBreakBefore w:val="0"/>
        <w:kinsoku/>
        <w:wordWrap/>
        <w:overflowPunct/>
        <w:topLinePunct w:val="0"/>
        <w:bidi w:val="0"/>
        <w:snapToGrid/>
        <w:spacing w:line="44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本标准符合现行法律、法规的要求，并与其他同类国家标准、国家J用标准、行业标准无冲突、重叠和不协调之处。</w:t>
      </w:r>
    </w:p>
    <w:p>
      <w:pPr>
        <w:keepNext w:val="0"/>
        <w:keepLines w:val="0"/>
        <w:pageBreakBefore w:val="0"/>
        <w:numPr>
          <w:ilvl w:val="0"/>
          <w:numId w:val="10"/>
        </w:numPr>
        <w:kinsoku/>
        <w:wordWrap/>
        <w:overflowPunct/>
        <w:topLinePunct w:val="0"/>
        <w:bidi w:val="0"/>
        <w:snapToGrid/>
        <w:spacing w:beforeLines="50" w:afterLines="50" w:line="440" w:lineRule="exact"/>
        <w:ind w:left="0" w:leftChars="0" w:firstLine="0" w:firstLineChars="0"/>
        <w:textAlignment w:val="auto"/>
        <w:rPr>
          <w:rFonts w:hint="eastAsia"/>
          <w:color w:val="auto"/>
          <w:highlight w:val="none"/>
          <w:lang w:val="en-US" w:eastAsia="zh-CN"/>
        </w:rPr>
      </w:pPr>
      <w:bookmarkStart w:id="8" w:name="_Toc32100"/>
      <w:r>
        <w:rPr>
          <w:rFonts w:hint="eastAsia" w:ascii="黑体" w:hAnsi="宋体" w:eastAsia="黑体" w:cs="宋体"/>
          <w:bCs/>
          <w:color w:val="auto"/>
          <w:sz w:val="21"/>
          <w:szCs w:val="21"/>
          <w:highlight w:val="none"/>
          <w:lang w:val="en-US" w:eastAsia="zh-CN"/>
        </w:rPr>
        <w:t>重大分歧意见的处理经过和依据</w:t>
      </w:r>
    </w:p>
    <w:p>
      <w:pPr>
        <w:keepNext w:val="0"/>
        <w:keepLines w:val="0"/>
        <w:pageBreakBefore w:val="0"/>
        <w:kinsoku/>
        <w:wordWrap/>
        <w:overflowPunct/>
        <w:topLinePunct w:val="0"/>
        <w:bidi w:val="0"/>
        <w:snapToGrid/>
        <w:spacing w:line="440" w:lineRule="exact"/>
        <w:ind w:firstLine="420" w:firstLineChars="200"/>
        <w:textAlignment w:val="auto"/>
        <w:rPr>
          <w:rFonts w:hint="eastAsia"/>
          <w:color w:val="auto"/>
          <w:highlight w:val="none"/>
          <w:lang w:val="en-US" w:eastAsia="zh-CN"/>
        </w:rPr>
      </w:pPr>
      <w:r>
        <w:rPr>
          <w:rFonts w:hint="eastAsia" w:ascii="宋体" w:hAnsi="宋体"/>
          <w:color w:val="auto"/>
          <w:sz w:val="21"/>
          <w:szCs w:val="21"/>
          <w:highlight w:val="none"/>
        </w:rPr>
        <w:t>暂无。</w:t>
      </w:r>
    </w:p>
    <w:p>
      <w:pPr>
        <w:keepNext w:val="0"/>
        <w:keepLines w:val="0"/>
        <w:pageBreakBefore w:val="0"/>
        <w:numPr>
          <w:ilvl w:val="0"/>
          <w:numId w:val="0"/>
        </w:numPr>
        <w:kinsoku/>
        <w:wordWrap/>
        <w:overflowPunct/>
        <w:topLinePunct w:val="0"/>
        <w:bidi w:val="0"/>
        <w:snapToGrid/>
        <w:spacing w:beforeLines="50" w:afterLines="50" w:line="440" w:lineRule="exact"/>
        <w:ind w:leftChars="0"/>
        <w:textAlignment w:val="auto"/>
        <w:rPr>
          <w:rFonts w:hint="default" w:ascii="黑体" w:hAnsi="宋体" w:eastAsia="黑体" w:cs="宋体"/>
          <w:bCs/>
          <w:color w:val="auto"/>
          <w:sz w:val="21"/>
          <w:szCs w:val="21"/>
          <w:highlight w:val="none"/>
          <w:lang w:val="en-US" w:eastAsia="zh-CN"/>
        </w:rPr>
      </w:pPr>
      <w:r>
        <w:rPr>
          <w:rFonts w:hint="eastAsia" w:ascii="黑体" w:hAnsi="宋体" w:eastAsia="黑体" w:cs="宋体"/>
          <w:bCs/>
          <w:color w:val="auto"/>
          <w:sz w:val="21"/>
          <w:szCs w:val="21"/>
          <w:highlight w:val="none"/>
          <w:lang w:val="en-US" w:eastAsia="zh-CN"/>
        </w:rPr>
        <w:t>八、涉及专利的有关说明</w:t>
      </w:r>
    </w:p>
    <w:p>
      <w:pPr>
        <w:pStyle w:val="5"/>
        <w:ind w:firstLine="420" w:firstLineChars="200"/>
        <w:rPr>
          <w:rFonts w:hint="default"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本标准不涉及专利问题。</w:t>
      </w:r>
    </w:p>
    <w:bookmarkEnd w:id="8"/>
    <w:p>
      <w:pPr>
        <w:keepNext w:val="0"/>
        <w:keepLines w:val="0"/>
        <w:pageBreakBefore w:val="0"/>
        <w:kinsoku/>
        <w:wordWrap/>
        <w:overflowPunct/>
        <w:topLinePunct w:val="0"/>
        <w:bidi w:val="0"/>
        <w:snapToGrid/>
        <w:spacing w:beforeLines="50" w:afterLines="50" w:line="440" w:lineRule="exact"/>
        <w:textAlignment w:val="auto"/>
        <w:rPr>
          <w:rFonts w:ascii="黑体" w:hAnsi="宋体" w:eastAsia="黑体" w:cs="宋体"/>
          <w:bCs/>
          <w:color w:val="auto"/>
          <w:sz w:val="21"/>
          <w:szCs w:val="21"/>
          <w:highlight w:val="none"/>
        </w:rPr>
      </w:pPr>
      <w:bookmarkStart w:id="9" w:name="_Toc15989"/>
      <w:r>
        <w:rPr>
          <w:rFonts w:hint="eastAsia" w:ascii="黑体" w:hAnsi="宋体" w:eastAsia="黑体" w:cs="宋体"/>
          <w:bCs/>
          <w:color w:val="auto"/>
          <w:sz w:val="21"/>
          <w:szCs w:val="21"/>
          <w:highlight w:val="none"/>
          <w:lang w:val="en-US" w:eastAsia="zh-CN"/>
        </w:rPr>
        <w:t>九</w:t>
      </w:r>
      <w:r>
        <w:rPr>
          <w:rFonts w:hint="eastAsia" w:ascii="黑体" w:hAnsi="宋体" w:eastAsia="黑体" w:cs="宋体"/>
          <w:bCs/>
          <w:color w:val="auto"/>
          <w:sz w:val="21"/>
          <w:szCs w:val="21"/>
          <w:highlight w:val="none"/>
        </w:rPr>
        <w:t>、</w:t>
      </w:r>
      <w:r>
        <w:rPr>
          <w:rFonts w:hint="eastAsia" w:ascii="黑体" w:hAnsi="宋体" w:eastAsia="黑体" w:cs="宋体"/>
          <w:bCs/>
          <w:color w:val="auto"/>
          <w:sz w:val="21"/>
          <w:szCs w:val="21"/>
          <w:highlight w:val="none"/>
          <w:lang w:val="en-US" w:eastAsia="zh-CN"/>
        </w:rPr>
        <w:t>实施国家标准的要求以及组织措施、技术措施、过渡期和实施日期的建议等措施建议</w:t>
      </w:r>
      <w:bookmarkEnd w:id="9"/>
    </w:p>
    <w:p>
      <w:pPr>
        <w:pStyle w:val="21"/>
        <w:keepNext w:val="0"/>
        <w:keepLines w:val="0"/>
        <w:pageBreakBefore w:val="0"/>
        <w:kinsoku/>
        <w:wordWrap/>
        <w:overflowPunct/>
        <w:topLinePunct w:val="0"/>
        <w:bidi w:val="0"/>
        <w:snapToGrid/>
        <w:spacing w:line="240" w:lineRule="auto"/>
        <w:ind w:firstLine="42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本标准建议作为推荐性国家标准发布。</w:t>
      </w:r>
      <w:bookmarkStart w:id="10" w:name="_Toc15588"/>
    </w:p>
    <w:p>
      <w:pPr>
        <w:pStyle w:val="21"/>
        <w:keepNext w:val="0"/>
        <w:keepLines w:val="0"/>
        <w:pageBreakBefore w:val="0"/>
        <w:kinsoku/>
        <w:wordWrap/>
        <w:overflowPunct/>
        <w:topLinePunct w:val="0"/>
        <w:bidi w:val="0"/>
        <w:snapToGrid/>
        <w:spacing w:line="240" w:lineRule="auto"/>
        <w:ind w:firstLine="42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贯彻标准的要求和措施建议</w:t>
      </w:r>
      <w:bookmarkEnd w:id="10"/>
    </w:p>
    <w:p>
      <w:pPr>
        <w:pStyle w:val="21"/>
        <w:keepNext w:val="0"/>
        <w:keepLines w:val="0"/>
        <w:pageBreakBefore w:val="0"/>
        <w:kinsoku/>
        <w:wordWrap/>
        <w:overflowPunct/>
        <w:topLinePunct w:val="0"/>
        <w:bidi w:val="0"/>
        <w:snapToGrid/>
        <w:spacing w:line="240" w:lineRule="auto"/>
        <w:ind w:firstLine="420"/>
        <w:textAlignment w:val="auto"/>
        <w:rPr>
          <w:rFonts w:hint="default" w:hAnsi="宋体" w:cs="宋体"/>
          <w:color w:val="auto"/>
          <w:sz w:val="21"/>
          <w:szCs w:val="21"/>
          <w:highlight w:val="none"/>
          <w:lang w:val="en-US" w:eastAsia="zh-CN"/>
        </w:rPr>
      </w:pPr>
      <w:r>
        <w:rPr>
          <w:rFonts w:hint="eastAsia" w:hAnsi="宋体" w:cs="宋体"/>
          <w:color w:val="auto"/>
          <w:sz w:val="21"/>
          <w:szCs w:val="21"/>
          <w:highlight w:val="none"/>
          <w:lang w:val="en-US" w:eastAsia="zh-CN"/>
        </w:rPr>
        <w:t>组织措施：开展宣贯培训活动</w:t>
      </w:r>
      <w:r>
        <w:rPr>
          <w:rFonts w:hint="default" w:hAnsi="宋体" w:cs="宋体"/>
          <w:color w:val="auto"/>
          <w:sz w:val="21"/>
          <w:szCs w:val="21"/>
          <w:highlight w:val="none"/>
          <w:lang w:val="en-US" w:eastAsia="zh-CN"/>
        </w:rPr>
        <w:t>：标准发布前，针对行业内企业、检测机构等相关方，组织系列宣贯培训活动。邀请标准</w:t>
      </w:r>
      <w:r>
        <w:rPr>
          <w:rFonts w:hint="eastAsia" w:hAnsi="宋体" w:cs="宋体"/>
          <w:color w:val="auto"/>
          <w:sz w:val="21"/>
          <w:szCs w:val="21"/>
          <w:highlight w:val="none"/>
          <w:lang w:val="en-US" w:eastAsia="zh-CN"/>
        </w:rPr>
        <w:t>专业人员</w:t>
      </w:r>
      <w:r>
        <w:rPr>
          <w:rFonts w:hint="default" w:hAnsi="宋体" w:cs="宋体"/>
          <w:color w:val="auto"/>
          <w:sz w:val="21"/>
          <w:szCs w:val="21"/>
          <w:highlight w:val="none"/>
          <w:lang w:val="en-US" w:eastAsia="zh-CN"/>
        </w:rPr>
        <w:t>作为讲师，详细解读新修订标准的主要变化、技术要求、检验规则等内容。采用线上线下相结合的方式，制作培训视频供相关人员随时学习，同时举办现场培训讲座，设置答疑环节，确保相关方准确理解标准内容，为标准实施做好准备。</w:t>
      </w:r>
    </w:p>
    <w:p>
      <w:pPr>
        <w:pStyle w:val="21"/>
        <w:keepNext w:val="0"/>
        <w:keepLines w:val="0"/>
        <w:pageBreakBefore w:val="0"/>
        <w:kinsoku/>
        <w:wordWrap/>
        <w:overflowPunct/>
        <w:topLinePunct w:val="0"/>
        <w:bidi w:val="0"/>
        <w:snapToGrid/>
        <w:spacing w:line="240" w:lineRule="auto"/>
        <w:ind w:firstLine="420"/>
        <w:textAlignment w:val="auto"/>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技术措施：推动信息化建设，</w:t>
      </w:r>
      <w:r>
        <w:rPr>
          <w:rFonts w:hint="default" w:hAnsi="宋体" w:cs="宋体"/>
          <w:color w:val="auto"/>
          <w:sz w:val="21"/>
          <w:szCs w:val="21"/>
          <w:highlight w:val="none"/>
          <w:lang w:val="en-US" w:eastAsia="zh-CN"/>
        </w:rPr>
        <w:t>利用信息化手段，搭建GB26030标准信息服务平台。平台提供标准文本下载、标准解读资料、技术咨询服务、实施案例分享等功能。企业可通过平台及时获取标准最新信息，交流标准实施经验，反馈实施过程中出现的问题。同时，平台可收集行业内相关技术数据，为标准的持续改进提供数据支持。</w:t>
      </w:r>
    </w:p>
    <w:p>
      <w:pPr>
        <w:pStyle w:val="21"/>
        <w:keepNext w:val="0"/>
        <w:keepLines w:val="0"/>
        <w:pageBreakBefore w:val="0"/>
        <w:kinsoku/>
        <w:wordWrap/>
        <w:overflowPunct/>
        <w:topLinePunct w:val="0"/>
        <w:bidi w:val="0"/>
        <w:snapToGrid/>
        <w:spacing w:line="240" w:lineRule="auto"/>
        <w:ind w:firstLine="420"/>
        <w:textAlignment w:val="auto"/>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过度办法确定实施日期</w:t>
      </w:r>
      <w:r>
        <w:rPr>
          <w:rFonts w:hint="default" w:hAnsi="宋体" w:cs="宋体"/>
          <w:color w:val="auto"/>
          <w:sz w:val="21"/>
          <w:szCs w:val="21"/>
          <w:highlight w:val="none"/>
          <w:lang w:val="en-US" w:eastAsia="zh-CN"/>
        </w:rPr>
        <w:t>：建议新修订的GB26030标准发布后，给予企业6-9个月的过渡期，实施日期可定为标准发布后的第9个月1日。这样的时间安排，可使企业有较为充裕的时间调整生产工艺、更新检测设备、培训员工，确保能够顺利实施新标准。​</w:t>
      </w:r>
    </w:p>
    <w:p>
      <w:pPr>
        <w:pStyle w:val="21"/>
        <w:keepNext w:val="0"/>
        <w:keepLines w:val="0"/>
        <w:pageBreakBefore w:val="0"/>
        <w:kinsoku/>
        <w:wordWrap/>
        <w:overflowPunct/>
        <w:topLinePunct w:val="0"/>
        <w:bidi w:val="0"/>
        <w:snapToGrid/>
        <w:spacing w:line="240" w:lineRule="auto"/>
        <w:ind w:firstLine="420"/>
        <w:textAlignment w:val="auto"/>
        <w:rPr>
          <w:rFonts w:hint="eastAsia" w:hAnsi="宋体" w:cs="宋体"/>
          <w:color w:val="auto"/>
          <w:sz w:val="21"/>
          <w:szCs w:val="21"/>
          <w:highlight w:val="none"/>
          <w:lang w:val="en-US" w:eastAsia="zh-CN"/>
        </w:rPr>
      </w:pPr>
      <w:r>
        <w:rPr>
          <w:rFonts w:hint="default" w:hAnsi="宋体" w:cs="宋体"/>
          <w:color w:val="auto"/>
          <w:sz w:val="21"/>
          <w:szCs w:val="21"/>
          <w:highlight w:val="none"/>
          <w:lang w:val="en-US" w:eastAsia="zh-CN"/>
        </w:rPr>
        <w:t>制定过渡期间指导意见：在过渡期内，相关部门制定GB26030标准过渡期间指导意见。明确在过渡期间，企业若继续执行旧标准生产，产品应满足的基本要求，以及如何逐步向新标准过渡。鼓励企业提前按照新标准组织生产，对提前达标的企业给予一定政策支持，如在项目申报、资质认定等方面予以优先考虑。​</w:t>
      </w:r>
    </w:p>
    <w:p>
      <w:pPr>
        <w:pStyle w:val="21"/>
        <w:keepNext w:val="0"/>
        <w:keepLines w:val="0"/>
        <w:pageBreakBefore w:val="0"/>
        <w:kinsoku/>
        <w:wordWrap/>
        <w:overflowPunct/>
        <w:topLinePunct w:val="0"/>
        <w:bidi w:val="0"/>
        <w:snapToGrid/>
        <w:spacing w:line="240" w:lineRule="auto"/>
        <w:ind w:firstLine="420"/>
        <w:textAlignment w:val="auto"/>
        <w:rPr>
          <w:rFonts w:hint="eastAsia" w:hAnsi="宋体" w:cs="宋体"/>
          <w:color w:val="auto"/>
          <w:sz w:val="21"/>
          <w:szCs w:val="21"/>
          <w:highlight w:val="none"/>
          <w:lang w:val="en-US" w:eastAsia="zh-CN"/>
        </w:rPr>
      </w:pPr>
      <w:r>
        <w:rPr>
          <w:rFonts w:hint="default" w:hAnsi="宋体" w:cs="宋体"/>
          <w:color w:val="auto"/>
          <w:sz w:val="21"/>
          <w:szCs w:val="21"/>
          <w:highlight w:val="none"/>
          <w:lang w:val="en-US" w:eastAsia="zh-CN"/>
        </w:rPr>
        <w:t>加强监督检查：过渡期间，监管部门加强对企业执行标准情况的监督检查。一方面，督促企业积极开展向新标准的过渡工作；另一方面，严格查处违规生产行为，对于在过渡期结束后仍不执行新标准的企业，依法依规进行处理，确保新标准能够有效贯彻实施。</w:t>
      </w:r>
    </w:p>
    <w:p>
      <w:pPr>
        <w:pStyle w:val="21"/>
        <w:keepNext w:val="0"/>
        <w:keepLines w:val="0"/>
        <w:pageBreakBefore w:val="0"/>
        <w:kinsoku/>
        <w:wordWrap/>
        <w:overflowPunct/>
        <w:topLinePunct w:val="0"/>
        <w:bidi w:val="0"/>
        <w:snapToGrid/>
        <w:spacing w:line="240" w:lineRule="auto"/>
        <w:ind w:firstLine="420"/>
        <w:textAlignment w:val="auto"/>
        <w:rPr>
          <w:rFonts w:hint="default" w:hAnsi="宋体" w:cs="宋体"/>
          <w:color w:val="auto"/>
          <w:sz w:val="21"/>
          <w:szCs w:val="21"/>
          <w:highlight w:val="none"/>
          <w:lang w:val="en-US" w:eastAsia="zh-CN"/>
        </w:rPr>
      </w:pPr>
      <w:r>
        <w:rPr>
          <w:rFonts w:hint="eastAsia" w:hAnsi="宋体" w:cs="宋体"/>
          <w:color w:val="auto"/>
          <w:sz w:val="21"/>
          <w:szCs w:val="21"/>
          <w:highlight w:val="none"/>
          <w:lang w:val="en-US" w:eastAsia="zh-CN"/>
        </w:rPr>
        <w:t>本标准发布实施之日起，代替GB/T26030-2010《镍及镍合金锻件》标准。</w:t>
      </w:r>
    </w:p>
    <w:p>
      <w:pPr>
        <w:keepNext w:val="0"/>
        <w:keepLines w:val="0"/>
        <w:pageBreakBefore w:val="0"/>
        <w:numPr>
          <w:ilvl w:val="0"/>
          <w:numId w:val="0"/>
        </w:numPr>
        <w:kinsoku/>
        <w:wordWrap/>
        <w:overflowPunct/>
        <w:topLinePunct w:val="0"/>
        <w:bidi w:val="0"/>
        <w:snapToGrid/>
        <w:spacing w:beforeLines="50" w:afterLines="50" w:line="440" w:lineRule="exact"/>
        <w:textAlignment w:val="auto"/>
        <w:rPr>
          <w:rFonts w:hint="eastAsia"/>
          <w:color w:val="auto"/>
          <w:highlight w:val="none"/>
        </w:rPr>
      </w:pPr>
      <w:bookmarkStart w:id="11" w:name="_Toc22451"/>
      <w:r>
        <w:rPr>
          <w:rFonts w:hint="eastAsia" w:ascii="黑体" w:hAnsi="宋体" w:eastAsia="黑体" w:cs="宋体"/>
          <w:bCs/>
          <w:color w:val="auto"/>
          <w:sz w:val="21"/>
          <w:szCs w:val="21"/>
          <w:highlight w:val="none"/>
        </w:rPr>
        <w:t>十、公平竞争审查</w:t>
      </w:r>
    </w:p>
    <w:p>
      <w:pPr>
        <w:keepNext w:val="0"/>
        <w:keepLines w:val="0"/>
        <w:pageBreakBefore w:val="0"/>
        <w:kinsoku/>
        <w:wordWrap/>
        <w:overflowPunct/>
        <w:topLinePunct w:val="0"/>
        <w:bidi w:val="0"/>
        <w:snapToGrid/>
        <w:spacing w:beforeLines="50" w:afterLines="50" w:line="240" w:lineRule="auto"/>
        <w:ind w:firstLine="630" w:firstLineChars="300"/>
        <w:textAlignment w:val="auto"/>
        <w:rPr>
          <w:rFonts w:hint="eastAsia" w:ascii="黑体" w:hAnsi="宋体" w:eastAsia="黑体" w:cs="宋体"/>
          <w:bCs/>
          <w:color w:val="auto"/>
          <w:sz w:val="21"/>
          <w:szCs w:val="21"/>
          <w:highlight w:val="none"/>
        </w:rPr>
      </w:pPr>
      <w:r>
        <w:rPr>
          <w:rFonts w:hint="eastAsia" w:ascii="Times New Roman" w:hAnsi="Times New Roman" w:cs="Times New Roman"/>
          <w:color w:val="auto"/>
          <w:highlight w:val="none"/>
          <w:lang w:val="en-US" w:eastAsia="zh-CN"/>
        </w:rPr>
        <w:t>本标准研制过程中，开展了公平竞争审查，经对照，没有发现限制或者变相限制市场准入和退出，没有限制商品要素的自由流动、不影响生产经营成本以及生产经营行为。同时填写了《公平竞争审查》。</w:t>
      </w:r>
    </w:p>
    <w:p>
      <w:pPr>
        <w:keepNext w:val="0"/>
        <w:keepLines w:val="0"/>
        <w:pageBreakBefore w:val="0"/>
        <w:kinsoku/>
        <w:wordWrap/>
        <w:overflowPunct/>
        <w:topLinePunct w:val="0"/>
        <w:bidi w:val="0"/>
        <w:snapToGrid/>
        <w:spacing w:beforeLines="50" w:afterLines="50" w:line="440" w:lineRule="exact"/>
        <w:textAlignment w:val="auto"/>
        <w:rPr>
          <w:rFonts w:ascii="黑体" w:hAnsi="宋体" w:eastAsia="黑体" w:cs="宋体"/>
          <w:bCs/>
          <w:color w:val="auto"/>
          <w:sz w:val="21"/>
          <w:szCs w:val="21"/>
          <w:highlight w:val="none"/>
        </w:rPr>
      </w:pPr>
      <w:r>
        <w:rPr>
          <w:rFonts w:hint="eastAsia" w:ascii="黑体" w:hAnsi="宋体" w:eastAsia="黑体" w:cs="宋体"/>
          <w:bCs/>
          <w:color w:val="auto"/>
          <w:sz w:val="21"/>
          <w:szCs w:val="21"/>
          <w:highlight w:val="none"/>
          <w:lang w:val="en-US" w:eastAsia="zh-CN"/>
        </w:rPr>
        <w:t>十一、</w:t>
      </w:r>
      <w:r>
        <w:rPr>
          <w:rFonts w:hint="eastAsia" w:ascii="黑体" w:hAnsi="宋体" w:eastAsia="黑体" w:cs="宋体"/>
          <w:bCs/>
          <w:color w:val="auto"/>
          <w:sz w:val="21"/>
          <w:szCs w:val="21"/>
          <w:highlight w:val="none"/>
        </w:rPr>
        <w:t>其他</w:t>
      </w:r>
      <w:r>
        <w:rPr>
          <w:rFonts w:hint="eastAsia" w:ascii="黑体" w:hAnsi="宋体" w:eastAsia="黑体" w:cs="宋体"/>
          <w:bCs/>
          <w:color w:val="auto"/>
          <w:sz w:val="21"/>
          <w:szCs w:val="21"/>
          <w:highlight w:val="none"/>
          <w:lang w:val="en-US" w:eastAsia="zh-CN"/>
        </w:rPr>
        <w:t>应当说明的事项</w:t>
      </w:r>
      <w:r>
        <w:rPr>
          <w:rFonts w:hint="eastAsia" w:ascii="黑体" w:hAnsi="宋体" w:eastAsia="黑体" w:cs="宋体"/>
          <w:bCs/>
          <w:color w:val="auto"/>
          <w:sz w:val="21"/>
          <w:szCs w:val="21"/>
          <w:highlight w:val="none"/>
        </w:rPr>
        <w:t>。</w:t>
      </w:r>
      <w:bookmarkEnd w:id="11"/>
    </w:p>
    <w:p>
      <w:pPr>
        <w:keepNext w:val="0"/>
        <w:keepLines w:val="0"/>
        <w:pageBreakBefore w:val="0"/>
        <w:kinsoku/>
        <w:wordWrap/>
        <w:overflowPunct/>
        <w:topLinePunct w:val="0"/>
        <w:bidi w:val="0"/>
        <w:snapToGrid/>
        <w:spacing w:line="240" w:lineRule="auto"/>
        <w:ind w:firstLine="420" w:firstLineChars="200"/>
        <w:jc w:val="both"/>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因鞍钢集团内部业务统筹优化、业务归口重新划分，原参编单位鞍钢集团北京研究院有限公司所承担的本标准全部参编工作整体划转至攀钢集团研究院有限公司北京钒钛研究分公司，项目在研内容、权责、试验资料均由新单位接续履行，相关资质延续不变，产生参编单位名称变更；结合标准编制推进实际工作需要，为完善标准技术论证、统筹试验数据汇总与意见汇总工作，新增张昭作为本标准参编人员，全程参与标准技术内容校核、试验结果梳理及征求意见汇总等编制工作。</w:t>
      </w:r>
    </w:p>
    <w:p>
      <w:pPr>
        <w:keepNext w:val="0"/>
        <w:keepLines w:val="0"/>
        <w:pageBreakBefore w:val="0"/>
        <w:kinsoku/>
        <w:wordWrap/>
        <w:overflowPunct/>
        <w:topLinePunct w:val="0"/>
        <w:bidi w:val="0"/>
        <w:snapToGrid/>
        <w:spacing w:line="440" w:lineRule="exact"/>
        <w:jc w:val="right"/>
        <w:textAlignment w:val="auto"/>
        <w:rPr>
          <w:rFonts w:hint="eastAsia"/>
          <w:color w:val="auto"/>
          <w:sz w:val="21"/>
          <w:szCs w:val="21"/>
          <w:highlight w:val="none"/>
        </w:rPr>
      </w:pPr>
    </w:p>
    <w:p>
      <w:pPr>
        <w:keepNext w:val="0"/>
        <w:keepLines w:val="0"/>
        <w:pageBreakBefore w:val="0"/>
        <w:kinsoku/>
        <w:wordWrap/>
        <w:overflowPunct/>
        <w:topLinePunct w:val="0"/>
        <w:bidi w:val="0"/>
        <w:snapToGrid/>
        <w:spacing w:line="440" w:lineRule="exact"/>
        <w:jc w:val="right"/>
        <w:textAlignment w:val="auto"/>
        <w:rPr>
          <w:rFonts w:hint="eastAsia"/>
          <w:color w:val="auto"/>
          <w:sz w:val="21"/>
          <w:szCs w:val="21"/>
          <w:highlight w:val="none"/>
        </w:rPr>
      </w:pPr>
    </w:p>
    <w:p>
      <w:pPr>
        <w:keepNext w:val="0"/>
        <w:keepLines w:val="0"/>
        <w:pageBreakBefore w:val="0"/>
        <w:kinsoku/>
        <w:wordWrap/>
        <w:overflowPunct/>
        <w:topLinePunct w:val="0"/>
        <w:bidi w:val="0"/>
        <w:snapToGrid/>
        <w:spacing w:line="440" w:lineRule="exact"/>
        <w:jc w:val="right"/>
        <w:textAlignment w:val="auto"/>
        <w:rPr>
          <w:rFonts w:ascii="宋体" w:hAnsi="宋体" w:eastAsia="宋体"/>
          <w:color w:val="auto"/>
          <w:sz w:val="21"/>
          <w:szCs w:val="21"/>
          <w:highlight w:val="none"/>
        </w:rPr>
      </w:pPr>
      <w:r>
        <w:rPr>
          <w:rFonts w:hint="eastAsia"/>
          <w:color w:val="auto"/>
          <w:sz w:val="21"/>
          <w:szCs w:val="21"/>
          <w:highlight w:val="none"/>
        </w:rPr>
        <w:t>《</w:t>
      </w:r>
      <w:r>
        <w:rPr>
          <w:rFonts w:hint="eastAsia"/>
          <w:color w:val="auto"/>
          <w:sz w:val="21"/>
          <w:szCs w:val="21"/>
          <w:highlight w:val="none"/>
          <w:lang w:val="en-US" w:eastAsia="zh-CN"/>
        </w:rPr>
        <w:t>镍及镍合金锻件</w:t>
      </w:r>
      <w:r>
        <w:rPr>
          <w:rFonts w:hint="eastAsia"/>
          <w:color w:val="auto"/>
          <w:sz w:val="21"/>
          <w:szCs w:val="21"/>
          <w:highlight w:val="none"/>
        </w:rPr>
        <w:t>》</w:t>
      </w:r>
      <w:r>
        <w:rPr>
          <w:rFonts w:hint="eastAsia" w:ascii="宋体" w:hAnsi="宋体" w:eastAsia="宋体"/>
          <w:color w:val="auto"/>
          <w:sz w:val="21"/>
          <w:szCs w:val="21"/>
          <w:highlight w:val="none"/>
        </w:rPr>
        <w:t>编制组</w:t>
      </w:r>
    </w:p>
    <w:p>
      <w:pPr>
        <w:keepNext w:val="0"/>
        <w:keepLines w:val="0"/>
        <w:pageBreakBefore w:val="0"/>
        <w:kinsoku/>
        <w:wordWrap/>
        <w:overflowPunct/>
        <w:topLinePunct w:val="0"/>
        <w:bidi w:val="0"/>
        <w:snapToGrid/>
        <w:spacing w:line="440" w:lineRule="exact"/>
        <w:jc w:val="right"/>
        <w:textAlignment w:val="auto"/>
        <w:rPr>
          <w:rFonts w:hint="default"/>
          <w:color w:val="auto"/>
          <w:sz w:val="21"/>
          <w:szCs w:val="21"/>
          <w:highlight w:val="none"/>
          <w:lang w:val="en-US" w:eastAsia="zh-CN"/>
        </w:rPr>
      </w:pPr>
      <w:r>
        <w:rPr>
          <w:rFonts w:hint="eastAsia"/>
          <w:color w:val="auto"/>
          <w:sz w:val="21"/>
          <w:szCs w:val="21"/>
          <w:highlight w:val="none"/>
        </w:rPr>
        <w:t>20</w:t>
      </w:r>
      <w:r>
        <w:rPr>
          <w:rFonts w:hint="eastAsia"/>
          <w:color w:val="auto"/>
          <w:sz w:val="21"/>
          <w:szCs w:val="21"/>
          <w:highlight w:val="none"/>
          <w:lang w:val="en-US" w:eastAsia="zh-CN"/>
        </w:rPr>
        <w:t>26</w:t>
      </w:r>
      <w:r>
        <w:rPr>
          <w:rFonts w:hint="eastAsia"/>
          <w:color w:val="auto"/>
          <w:sz w:val="21"/>
          <w:szCs w:val="21"/>
          <w:highlight w:val="none"/>
        </w:rPr>
        <w:t>年</w:t>
      </w:r>
      <w:r>
        <w:rPr>
          <w:rFonts w:hint="eastAsia"/>
          <w:color w:val="auto"/>
          <w:sz w:val="21"/>
          <w:szCs w:val="21"/>
          <w:highlight w:val="none"/>
          <w:lang w:val="en-US" w:eastAsia="zh-CN"/>
        </w:rPr>
        <w:t>6</w:t>
      </w:r>
      <w:r>
        <w:rPr>
          <w:rFonts w:hint="eastAsia"/>
          <w:color w:val="auto"/>
          <w:sz w:val="21"/>
          <w:szCs w:val="21"/>
          <w:highlight w:val="none"/>
        </w:rPr>
        <w:t>月</w:t>
      </w:r>
      <w:r>
        <w:rPr>
          <w:rFonts w:hint="eastAsia"/>
          <w:color w:val="auto"/>
          <w:sz w:val="21"/>
          <w:szCs w:val="21"/>
          <w:highlight w:val="none"/>
          <w:lang w:val="en-US" w:eastAsia="zh-CN"/>
        </w:rPr>
        <w:t>17</w:t>
      </w:r>
      <w:r>
        <w:rPr>
          <w:rFonts w:hint="eastAsia"/>
          <w:color w:val="auto"/>
          <w:sz w:val="21"/>
          <w:szCs w:val="21"/>
          <w:highlight w:val="none"/>
        </w:rPr>
        <w:t>日</w:t>
      </w:r>
    </w:p>
    <w:sectPr>
      <w:pgSz w:w="11906" w:h="16838"/>
      <w:pgMar w:top="1440" w:right="1780" w:bottom="1440" w:left="17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917316"/>
    <w:multiLevelType w:val="singleLevel"/>
    <w:tmpl w:val="83917316"/>
    <w:lvl w:ilvl="0" w:tentative="0">
      <w:start w:val="1"/>
      <w:numFmt w:val="lowerLetter"/>
      <w:lvlText w:val="%1."/>
      <w:lvlJc w:val="left"/>
      <w:pPr>
        <w:ind w:left="425" w:hanging="425"/>
      </w:pPr>
      <w:rPr>
        <w:rFonts w:hint="default"/>
      </w:rPr>
    </w:lvl>
  </w:abstractNum>
  <w:abstractNum w:abstractNumId="1">
    <w:nsid w:val="99515445"/>
    <w:multiLevelType w:val="singleLevel"/>
    <w:tmpl w:val="99515445"/>
    <w:lvl w:ilvl="0" w:tentative="0">
      <w:start w:val="1"/>
      <w:numFmt w:val="lowerLetter"/>
      <w:lvlText w:val="%1."/>
      <w:lvlJc w:val="left"/>
      <w:pPr>
        <w:ind w:left="425" w:hanging="425"/>
      </w:pPr>
      <w:rPr>
        <w:rFonts w:hint="default"/>
      </w:rPr>
    </w:lvl>
  </w:abstractNum>
  <w:abstractNum w:abstractNumId="2">
    <w:nsid w:val="9A1615D0"/>
    <w:multiLevelType w:val="singleLevel"/>
    <w:tmpl w:val="9A1615D0"/>
    <w:lvl w:ilvl="0" w:tentative="0">
      <w:start w:val="1"/>
      <w:numFmt w:val="lowerLetter"/>
      <w:lvlText w:val="%1."/>
      <w:lvlJc w:val="left"/>
      <w:pPr>
        <w:ind w:left="425" w:hanging="425"/>
      </w:pPr>
      <w:rPr>
        <w:rFonts w:hint="default"/>
      </w:rPr>
    </w:lvl>
  </w:abstractNum>
  <w:abstractNum w:abstractNumId="3">
    <w:nsid w:val="B39C5788"/>
    <w:multiLevelType w:val="singleLevel"/>
    <w:tmpl w:val="B39C5788"/>
    <w:lvl w:ilvl="0" w:tentative="0">
      <w:start w:val="1"/>
      <w:numFmt w:val="decimal"/>
      <w:lvlText w:val="%1)"/>
      <w:lvlJc w:val="left"/>
      <w:pPr>
        <w:ind w:left="425" w:hanging="425"/>
      </w:pPr>
      <w:rPr>
        <w:rFonts w:hint="default"/>
      </w:rPr>
    </w:lvl>
  </w:abstractNum>
  <w:abstractNum w:abstractNumId="4">
    <w:nsid w:val="B4DD8B22"/>
    <w:multiLevelType w:val="singleLevel"/>
    <w:tmpl w:val="B4DD8B22"/>
    <w:lvl w:ilvl="0" w:tentative="0">
      <w:start w:val="1"/>
      <w:numFmt w:val="decimal"/>
      <w:suff w:val="nothing"/>
      <w:lvlText w:val="%1、"/>
      <w:lvlJc w:val="left"/>
    </w:lvl>
  </w:abstractNum>
  <w:abstractNum w:abstractNumId="5">
    <w:nsid w:val="BA2E7D44"/>
    <w:multiLevelType w:val="singleLevel"/>
    <w:tmpl w:val="BA2E7D44"/>
    <w:lvl w:ilvl="0" w:tentative="0">
      <w:start w:val="1"/>
      <w:numFmt w:val="decimal"/>
      <w:lvlText w:val="%1)"/>
      <w:lvlJc w:val="left"/>
      <w:pPr>
        <w:ind w:left="425" w:hanging="425"/>
      </w:pPr>
      <w:rPr>
        <w:rFonts w:hint="default"/>
      </w:rPr>
    </w:lvl>
  </w:abstractNum>
  <w:abstractNum w:abstractNumId="6">
    <w:nsid w:val="DA9F0784"/>
    <w:multiLevelType w:val="singleLevel"/>
    <w:tmpl w:val="DA9F0784"/>
    <w:lvl w:ilvl="0" w:tentative="0">
      <w:start w:val="5"/>
      <w:numFmt w:val="chineseCounting"/>
      <w:suff w:val="nothing"/>
      <w:lvlText w:val="%1、"/>
      <w:lvlJc w:val="left"/>
      <w:rPr>
        <w:rFonts w:hint="eastAsia"/>
      </w:rPr>
    </w:lvl>
  </w:abstractNum>
  <w:abstractNum w:abstractNumId="7">
    <w:nsid w:val="F116BB8D"/>
    <w:multiLevelType w:val="singleLevel"/>
    <w:tmpl w:val="F116BB8D"/>
    <w:lvl w:ilvl="0" w:tentative="0">
      <w:start w:val="1"/>
      <w:numFmt w:val="chineseCounting"/>
      <w:suff w:val="nothing"/>
      <w:lvlText w:val="（%1）"/>
      <w:lvlJc w:val="left"/>
      <w:rPr>
        <w:rFonts w:hint="eastAsia"/>
      </w:rPr>
    </w:lvl>
  </w:abstractNum>
  <w:abstractNum w:abstractNumId="8">
    <w:nsid w:val="4916F4FC"/>
    <w:multiLevelType w:val="singleLevel"/>
    <w:tmpl w:val="4916F4FC"/>
    <w:lvl w:ilvl="0" w:tentative="0">
      <w:start w:val="3"/>
      <w:numFmt w:val="chineseCounting"/>
      <w:suff w:val="nothing"/>
      <w:lvlText w:val="%1、"/>
      <w:lvlJc w:val="left"/>
      <w:rPr>
        <w:rFonts w:hint="eastAsia"/>
      </w:rPr>
    </w:lvl>
  </w:abstractNum>
  <w:abstractNum w:abstractNumId="9">
    <w:nsid w:val="5723CE35"/>
    <w:multiLevelType w:val="singleLevel"/>
    <w:tmpl w:val="5723CE35"/>
    <w:lvl w:ilvl="0" w:tentative="0">
      <w:start w:val="1"/>
      <w:numFmt w:val="lowerLetter"/>
      <w:lvlText w:val="%1."/>
      <w:lvlJc w:val="left"/>
      <w:pPr>
        <w:ind w:left="425" w:hanging="425"/>
      </w:pPr>
      <w:rPr>
        <w:rFonts w:hint="default"/>
      </w:rPr>
    </w:lvl>
  </w:abstractNum>
  <w:abstractNum w:abstractNumId="10">
    <w:nsid w:val="75657C17"/>
    <w:multiLevelType w:val="singleLevel"/>
    <w:tmpl w:val="75657C17"/>
    <w:lvl w:ilvl="0" w:tentative="0">
      <w:start w:val="3"/>
      <w:numFmt w:val="decimal"/>
      <w:suff w:val="nothing"/>
      <w:lvlText w:val="%1、"/>
      <w:lvlJc w:val="left"/>
    </w:lvl>
  </w:abstractNum>
  <w:num w:numId="1">
    <w:abstractNumId w:val="5"/>
  </w:num>
  <w:num w:numId="2">
    <w:abstractNumId w:val="1"/>
  </w:num>
  <w:num w:numId="3">
    <w:abstractNumId w:val="2"/>
  </w:num>
  <w:num w:numId="4">
    <w:abstractNumId w:val="9"/>
  </w:num>
  <w:num w:numId="5">
    <w:abstractNumId w:val="0"/>
  </w:num>
  <w:num w:numId="6">
    <w:abstractNumId w:val="10"/>
  </w:num>
  <w:num w:numId="7">
    <w:abstractNumId w:val="8"/>
  </w:num>
  <w:num w:numId="8">
    <w:abstractNumId w:val="7"/>
  </w:num>
  <w:num w:numId="9">
    <w:abstractNumId w:val="3"/>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xNGEzNDk1ZjY1ZDdlOWU3ZmFiZDlhOTM4NTZhMjEifQ=="/>
  </w:docVars>
  <w:rsids>
    <w:rsidRoot w:val="0049152D"/>
    <w:rsid w:val="00000899"/>
    <w:rsid w:val="00002C81"/>
    <w:rsid w:val="0000483E"/>
    <w:rsid w:val="0000533A"/>
    <w:rsid w:val="00006069"/>
    <w:rsid w:val="00007345"/>
    <w:rsid w:val="0000734E"/>
    <w:rsid w:val="000119A5"/>
    <w:rsid w:val="00011F52"/>
    <w:rsid w:val="0001287D"/>
    <w:rsid w:val="00013051"/>
    <w:rsid w:val="00013700"/>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958"/>
    <w:rsid w:val="00033C9E"/>
    <w:rsid w:val="00035A30"/>
    <w:rsid w:val="000362EA"/>
    <w:rsid w:val="0003648A"/>
    <w:rsid w:val="000370C9"/>
    <w:rsid w:val="000376FC"/>
    <w:rsid w:val="00041459"/>
    <w:rsid w:val="000425E5"/>
    <w:rsid w:val="00043943"/>
    <w:rsid w:val="00047256"/>
    <w:rsid w:val="00047897"/>
    <w:rsid w:val="00047C97"/>
    <w:rsid w:val="000538E0"/>
    <w:rsid w:val="00053978"/>
    <w:rsid w:val="000543AE"/>
    <w:rsid w:val="00056B2E"/>
    <w:rsid w:val="00057549"/>
    <w:rsid w:val="00060E9C"/>
    <w:rsid w:val="00061A95"/>
    <w:rsid w:val="00061BAC"/>
    <w:rsid w:val="00062BA9"/>
    <w:rsid w:val="000630E4"/>
    <w:rsid w:val="0006311A"/>
    <w:rsid w:val="000632D5"/>
    <w:rsid w:val="000634E4"/>
    <w:rsid w:val="00063E72"/>
    <w:rsid w:val="000647B0"/>
    <w:rsid w:val="000647D1"/>
    <w:rsid w:val="000648D5"/>
    <w:rsid w:val="00064F0E"/>
    <w:rsid w:val="0006509C"/>
    <w:rsid w:val="000661DC"/>
    <w:rsid w:val="0006634E"/>
    <w:rsid w:val="00067F99"/>
    <w:rsid w:val="0007025D"/>
    <w:rsid w:val="0007113B"/>
    <w:rsid w:val="00072938"/>
    <w:rsid w:val="00072B7E"/>
    <w:rsid w:val="00073823"/>
    <w:rsid w:val="000738A3"/>
    <w:rsid w:val="00073EA4"/>
    <w:rsid w:val="00074BD0"/>
    <w:rsid w:val="00075228"/>
    <w:rsid w:val="00076905"/>
    <w:rsid w:val="00083504"/>
    <w:rsid w:val="00083671"/>
    <w:rsid w:val="0008539E"/>
    <w:rsid w:val="0008748A"/>
    <w:rsid w:val="00087579"/>
    <w:rsid w:val="00090932"/>
    <w:rsid w:val="0009564E"/>
    <w:rsid w:val="000956AA"/>
    <w:rsid w:val="00095716"/>
    <w:rsid w:val="00095B00"/>
    <w:rsid w:val="000968E7"/>
    <w:rsid w:val="000A25DA"/>
    <w:rsid w:val="000A2674"/>
    <w:rsid w:val="000A46E3"/>
    <w:rsid w:val="000A68B0"/>
    <w:rsid w:val="000A68DC"/>
    <w:rsid w:val="000B0288"/>
    <w:rsid w:val="000B12AD"/>
    <w:rsid w:val="000B20BA"/>
    <w:rsid w:val="000C2E3D"/>
    <w:rsid w:val="000C4435"/>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98"/>
    <w:rsid w:val="000E7492"/>
    <w:rsid w:val="000E75F6"/>
    <w:rsid w:val="000F0726"/>
    <w:rsid w:val="000F21CD"/>
    <w:rsid w:val="000F2931"/>
    <w:rsid w:val="000F60BA"/>
    <w:rsid w:val="000F7EE8"/>
    <w:rsid w:val="0010164F"/>
    <w:rsid w:val="00103B79"/>
    <w:rsid w:val="00103F5A"/>
    <w:rsid w:val="001043C6"/>
    <w:rsid w:val="0011080B"/>
    <w:rsid w:val="00112E27"/>
    <w:rsid w:val="001133B5"/>
    <w:rsid w:val="0011342C"/>
    <w:rsid w:val="00115E89"/>
    <w:rsid w:val="001169BC"/>
    <w:rsid w:val="001172DB"/>
    <w:rsid w:val="0011791C"/>
    <w:rsid w:val="0011799D"/>
    <w:rsid w:val="00117A27"/>
    <w:rsid w:val="00120FE8"/>
    <w:rsid w:val="001215B6"/>
    <w:rsid w:val="00122E35"/>
    <w:rsid w:val="00123CA5"/>
    <w:rsid w:val="00125817"/>
    <w:rsid w:val="00125CAC"/>
    <w:rsid w:val="00126111"/>
    <w:rsid w:val="001268D7"/>
    <w:rsid w:val="00130CC9"/>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3F"/>
    <w:rsid w:val="00161FB3"/>
    <w:rsid w:val="00162FCD"/>
    <w:rsid w:val="00164041"/>
    <w:rsid w:val="00164320"/>
    <w:rsid w:val="0016453D"/>
    <w:rsid w:val="00165B11"/>
    <w:rsid w:val="00167FF7"/>
    <w:rsid w:val="001710BE"/>
    <w:rsid w:val="001728AD"/>
    <w:rsid w:val="00173330"/>
    <w:rsid w:val="00175F20"/>
    <w:rsid w:val="0017788A"/>
    <w:rsid w:val="00180F34"/>
    <w:rsid w:val="00181FDF"/>
    <w:rsid w:val="00183DBE"/>
    <w:rsid w:val="00183F8C"/>
    <w:rsid w:val="00184A11"/>
    <w:rsid w:val="00185294"/>
    <w:rsid w:val="00186327"/>
    <w:rsid w:val="001866BE"/>
    <w:rsid w:val="001868B2"/>
    <w:rsid w:val="0019074F"/>
    <w:rsid w:val="001909E7"/>
    <w:rsid w:val="0019306C"/>
    <w:rsid w:val="001936E4"/>
    <w:rsid w:val="001945B5"/>
    <w:rsid w:val="00194AB3"/>
    <w:rsid w:val="00195204"/>
    <w:rsid w:val="0019675D"/>
    <w:rsid w:val="00196900"/>
    <w:rsid w:val="00196D91"/>
    <w:rsid w:val="0019747E"/>
    <w:rsid w:val="001976D2"/>
    <w:rsid w:val="00197920"/>
    <w:rsid w:val="001A0EA6"/>
    <w:rsid w:val="001A2F17"/>
    <w:rsid w:val="001A577D"/>
    <w:rsid w:val="001B1F37"/>
    <w:rsid w:val="001B2EA2"/>
    <w:rsid w:val="001B548E"/>
    <w:rsid w:val="001B6C1B"/>
    <w:rsid w:val="001B7E54"/>
    <w:rsid w:val="001C010F"/>
    <w:rsid w:val="001C1800"/>
    <w:rsid w:val="001C1A61"/>
    <w:rsid w:val="001C1C7F"/>
    <w:rsid w:val="001C3BD9"/>
    <w:rsid w:val="001C3C44"/>
    <w:rsid w:val="001C5F5B"/>
    <w:rsid w:val="001C63FA"/>
    <w:rsid w:val="001C6400"/>
    <w:rsid w:val="001C64E2"/>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4570"/>
    <w:rsid w:val="001F64BD"/>
    <w:rsid w:val="001F7AA9"/>
    <w:rsid w:val="001F7D16"/>
    <w:rsid w:val="001F7D87"/>
    <w:rsid w:val="002007E1"/>
    <w:rsid w:val="00201957"/>
    <w:rsid w:val="002028F6"/>
    <w:rsid w:val="00202F21"/>
    <w:rsid w:val="00203916"/>
    <w:rsid w:val="00204E1B"/>
    <w:rsid w:val="00205696"/>
    <w:rsid w:val="00210806"/>
    <w:rsid w:val="00210D97"/>
    <w:rsid w:val="00211DAA"/>
    <w:rsid w:val="00212C2F"/>
    <w:rsid w:val="00213C05"/>
    <w:rsid w:val="00213CB8"/>
    <w:rsid w:val="002149D3"/>
    <w:rsid w:val="00215CF2"/>
    <w:rsid w:val="00217EB2"/>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E80"/>
    <w:rsid w:val="002653CB"/>
    <w:rsid w:val="002662BE"/>
    <w:rsid w:val="00267B20"/>
    <w:rsid w:val="00271A24"/>
    <w:rsid w:val="002727E2"/>
    <w:rsid w:val="002727F2"/>
    <w:rsid w:val="00276418"/>
    <w:rsid w:val="002766E1"/>
    <w:rsid w:val="00277D55"/>
    <w:rsid w:val="00277DE9"/>
    <w:rsid w:val="00280742"/>
    <w:rsid w:val="00281A43"/>
    <w:rsid w:val="002870F4"/>
    <w:rsid w:val="002931B8"/>
    <w:rsid w:val="00293432"/>
    <w:rsid w:val="00293797"/>
    <w:rsid w:val="002A119B"/>
    <w:rsid w:val="002A1596"/>
    <w:rsid w:val="002A39FC"/>
    <w:rsid w:val="002A477A"/>
    <w:rsid w:val="002A52DB"/>
    <w:rsid w:val="002A5373"/>
    <w:rsid w:val="002A61D8"/>
    <w:rsid w:val="002A7451"/>
    <w:rsid w:val="002B0BEE"/>
    <w:rsid w:val="002B12B9"/>
    <w:rsid w:val="002B1C35"/>
    <w:rsid w:val="002B2BCB"/>
    <w:rsid w:val="002B33F4"/>
    <w:rsid w:val="002B351D"/>
    <w:rsid w:val="002B45E4"/>
    <w:rsid w:val="002B4A70"/>
    <w:rsid w:val="002B6C88"/>
    <w:rsid w:val="002C11C3"/>
    <w:rsid w:val="002C33FD"/>
    <w:rsid w:val="002C3F54"/>
    <w:rsid w:val="002C6308"/>
    <w:rsid w:val="002C7E20"/>
    <w:rsid w:val="002D16DB"/>
    <w:rsid w:val="002D29B7"/>
    <w:rsid w:val="002D6F42"/>
    <w:rsid w:val="002D75D7"/>
    <w:rsid w:val="002E22A3"/>
    <w:rsid w:val="002E34A8"/>
    <w:rsid w:val="002E3C9C"/>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4AE0"/>
    <w:rsid w:val="003058A9"/>
    <w:rsid w:val="00306204"/>
    <w:rsid w:val="00310C92"/>
    <w:rsid w:val="00311726"/>
    <w:rsid w:val="00311A03"/>
    <w:rsid w:val="00311EF2"/>
    <w:rsid w:val="00311F46"/>
    <w:rsid w:val="00321BF3"/>
    <w:rsid w:val="003222DE"/>
    <w:rsid w:val="00323A14"/>
    <w:rsid w:val="00326E25"/>
    <w:rsid w:val="00327C26"/>
    <w:rsid w:val="0033114F"/>
    <w:rsid w:val="00332590"/>
    <w:rsid w:val="0033375D"/>
    <w:rsid w:val="003341F6"/>
    <w:rsid w:val="00334FD6"/>
    <w:rsid w:val="0033778F"/>
    <w:rsid w:val="00337C4B"/>
    <w:rsid w:val="00340915"/>
    <w:rsid w:val="00340C08"/>
    <w:rsid w:val="00340C89"/>
    <w:rsid w:val="0034101B"/>
    <w:rsid w:val="00341EAD"/>
    <w:rsid w:val="0034335F"/>
    <w:rsid w:val="0034452B"/>
    <w:rsid w:val="00344AA8"/>
    <w:rsid w:val="00345E08"/>
    <w:rsid w:val="00350386"/>
    <w:rsid w:val="003520BC"/>
    <w:rsid w:val="003530CC"/>
    <w:rsid w:val="00353342"/>
    <w:rsid w:val="00353EE8"/>
    <w:rsid w:val="0035503B"/>
    <w:rsid w:val="00357AB2"/>
    <w:rsid w:val="0036126F"/>
    <w:rsid w:val="0036236D"/>
    <w:rsid w:val="0036516E"/>
    <w:rsid w:val="0036648C"/>
    <w:rsid w:val="0036699F"/>
    <w:rsid w:val="00366FD6"/>
    <w:rsid w:val="00370D90"/>
    <w:rsid w:val="00371730"/>
    <w:rsid w:val="0037462A"/>
    <w:rsid w:val="00376214"/>
    <w:rsid w:val="003764C4"/>
    <w:rsid w:val="00376D7D"/>
    <w:rsid w:val="0038013C"/>
    <w:rsid w:val="0038064F"/>
    <w:rsid w:val="003807E6"/>
    <w:rsid w:val="003829D3"/>
    <w:rsid w:val="003854A7"/>
    <w:rsid w:val="003859E4"/>
    <w:rsid w:val="00387C73"/>
    <w:rsid w:val="00390678"/>
    <w:rsid w:val="003907CF"/>
    <w:rsid w:val="00395D8B"/>
    <w:rsid w:val="003966FD"/>
    <w:rsid w:val="003A004A"/>
    <w:rsid w:val="003A0A71"/>
    <w:rsid w:val="003A0D28"/>
    <w:rsid w:val="003A0E43"/>
    <w:rsid w:val="003A0F8D"/>
    <w:rsid w:val="003A226A"/>
    <w:rsid w:val="003A3735"/>
    <w:rsid w:val="003A3C95"/>
    <w:rsid w:val="003B0813"/>
    <w:rsid w:val="003B159B"/>
    <w:rsid w:val="003B1D01"/>
    <w:rsid w:val="003B2710"/>
    <w:rsid w:val="003B30B6"/>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6715"/>
    <w:rsid w:val="003D697A"/>
    <w:rsid w:val="003D70CD"/>
    <w:rsid w:val="003D763B"/>
    <w:rsid w:val="003D77DA"/>
    <w:rsid w:val="003E0B81"/>
    <w:rsid w:val="003E1850"/>
    <w:rsid w:val="003E28B7"/>
    <w:rsid w:val="003E29D5"/>
    <w:rsid w:val="003E57D1"/>
    <w:rsid w:val="003E6ADF"/>
    <w:rsid w:val="003E6EF7"/>
    <w:rsid w:val="003F49C6"/>
    <w:rsid w:val="003F555E"/>
    <w:rsid w:val="003F614E"/>
    <w:rsid w:val="003F7502"/>
    <w:rsid w:val="003F7BA1"/>
    <w:rsid w:val="00406567"/>
    <w:rsid w:val="0040765C"/>
    <w:rsid w:val="004076E2"/>
    <w:rsid w:val="0040773D"/>
    <w:rsid w:val="00407C11"/>
    <w:rsid w:val="00410088"/>
    <w:rsid w:val="004116FB"/>
    <w:rsid w:val="00412931"/>
    <w:rsid w:val="00414A71"/>
    <w:rsid w:val="004153B6"/>
    <w:rsid w:val="00416FB1"/>
    <w:rsid w:val="00417CE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40278"/>
    <w:rsid w:val="004405DE"/>
    <w:rsid w:val="0044264F"/>
    <w:rsid w:val="00442AA5"/>
    <w:rsid w:val="0044332E"/>
    <w:rsid w:val="00444E84"/>
    <w:rsid w:val="0044667C"/>
    <w:rsid w:val="00446C4C"/>
    <w:rsid w:val="004514C8"/>
    <w:rsid w:val="00451F87"/>
    <w:rsid w:val="00452906"/>
    <w:rsid w:val="004529DD"/>
    <w:rsid w:val="00452DAC"/>
    <w:rsid w:val="00453850"/>
    <w:rsid w:val="00454EB1"/>
    <w:rsid w:val="004565BC"/>
    <w:rsid w:val="004576A5"/>
    <w:rsid w:val="00460FA1"/>
    <w:rsid w:val="00462143"/>
    <w:rsid w:val="0046322F"/>
    <w:rsid w:val="004666E1"/>
    <w:rsid w:val="0046734F"/>
    <w:rsid w:val="004720CB"/>
    <w:rsid w:val="004728DF"/>
    <w:rsid w:val="00473AA0"/>
    <w:rsid w:val="0047455F"/>
    <w:rsid w:val="00474C54"/>
    <w:rsid w:val="004765D1"/>
    <w:rsid w:val="004767A9"/>
    <w:rsid w:val="00476BD5"/>
    <w:rsid w:val="00480137"/>
    <w:rsid w:val="00480F80"/>
    <w:rsid w:val="00480FD3"/>
    <w:rsid w:val="00481581"/>
    <w:rsid w:val="0048184E"/>
    <w:rsid w:val="00482782"/>
    <w:rsid w:val="004840FC"/>
    <w:rsid w:val="00486195"/>
    <w:rsid w:val="004863ED"/>
    <w:rsid w:val="00486436"/>
    <w:rsid w:val="004869D0"/>
    <w:rsid w:val="00487974"/>
    <w:rsid w:val="004900F7"/>
    <w:rsid w:val="0049152D"/>
    <w:rsid w:val="00494307"/>
    <w:rsid w:val="004943AB"/>
    <w:rsid w:val="00495C7F"/>
    <w:rsid w:val="00496CFF"/>
    <w:rsid w:val="00497207"/>
    <w:rsid w:val="004A1953"/>
    <w:rsid w:val="004A28E4"/>
    <w:rsid w:val="004A2B95"/>
    <w:rsid w:val="004B0F1A"/>
    <w:rsid w:val="004B12D0"/>
    <w:rsid w:val="004C37E3"/>
    <w:rsid w:val="004C5DDC"/>
    <w:rsid w:val="004C639B"/>
    <w:rsid w:val="004C7324"/>
    <w:rsid w:val="004D0ACA"/>
    <w:rsid w:val="004D29DA"/>
    <w:rsid w:val="004D3777"/>
    <w:rsid w:val="004E166F"/>
    <w:rsid w:val="004E1E35"/>
    <w:rsid w:val="004E353D"/>
    <w:rsid w:val="004E4B54"/>
    <w:rsid w:val="004E5227"/>
    <w:rsid w:val="004E555F"/>
    <w:rsid w:val="004E6E7F"/>
    <w:rsid w:val="004F40C5"/>
    <w:rsid w:val="004F4C96"/>
    <w:rsid w:val="004F69A5"/>
    <w:rsid w:val="004F76C2"/>
    <w:rsid w:val="00500130"/>
    <w:rsid w:val="00504978"/>
    <w:rsid w:val="0050730B"/>
    <w:rsid w:val="00511BD6"/>
    <w:rsid w:val="0051428E"/>
    <w:rsid w:val="005147F3"/>
    <w:rsid w:val="00515D70"/>
    <w:rsid w:val="00517579"/>
    <w:rsid w:val="005176CE"/>
    <w:rsid w:val="005200E9"/>
    <w:rsid w:val="00522BD3"/>
    <w:rsid w:val="00523E5C"/>
    <w:rsid w:val="00524C16"/>
    <w:rsid w:val="005254B4"/>
    <w:rsid w:val="00525782"/>
    <w:rsid w:val="005267EB"/>
    <w:rsid w:val="00526A34"/>
    <w:rsid w:val="00526AAF"/>
    <w:rsid w:val="005276A6"/>
    <w:rsid w:val="00531DC8"/>
    <w:rsid w:val="00532265"/>
    <w:rsid w:val="00533A74"/>
    <w:rsid w:val="0053413C"/>
    <w:rsid w:val="00534433"/>
    <w:rsid w:val="00535449"/>
    <w:rsid w:val="00535487"/>
    <w:rsid w:val="00536839"/>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61B33"/>
    <w:rsid w:val="00563071"/>
    <w:rsid w:val="005652D7"/>
    <w:rsid w:val="00573390"/>
    <w:rsid w:val="005757B3"/>
    <w:rsid w:val="0057757C"/>
    <w:rsid w:val="0058145D"/>
    <w:rsid w:val="00582510"/>
    <w:rsid w:val="00582834"/>
    <w:rsid w:val="005829BF"/>
    <w:rsid w:val="00582FD9"/>
    <w:rsid w:val="00583048"/>
    <w:rsid w:val="00583845"/>
    <w:rsid w:val="00583960"/>
    <w:rsid w:val="005849A6"/>
    <w:rsid w:val="005859AF"/>
    <w:rsid w:val="00590E7B"/>
    <w:rsid w:val="00591422"/>
    <w:rsid w:val="005940E3"/>
    <w:rsid w:val="005946AF"/>
    <w:rsid w:val="005947B8"/>
    <w:rsid w:val="0059508E"/>
    <w:rsid w:val="00595137"/>
    <w:rsid w:val="00595729"/>
    <w:rsid w:val="00596591"/>
    <w:rsid w:val="005A0829"/>
    <w:rsid w:val="005A0EB2"/>
    <w:rsid w:val="005A1119"/>
    <w:rsid w:val="005A264C"/>
    <w:rsid w:val="005A3477"/>
    <w:rsid w:val="005A366C"/>
    <w:rsid w:val="005A3B0F"/>
    <w:rsid w:val="005A3B3F"/>
    <w:rsid w:val="005B1210"/>
    <w:rsid w:val="005B15F5"/>
    <w:rsid w:val="005B2378"/>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566E"/>
    <w:rsid w:val="005D069C"/>
    <w:rsid w:val="005D179F"/>
    <w:rsid w:val="005D1EDE"/>
    <w:rsid w:val="005D489F"/>
    <w:rsid w:val="005D6DF8"/>
    <w:rsid w:val="005E200B"/>
    <w:rsid w:val="005E2355"/>
    <w:rsid w:val="005E3A3E"/>
    <w:rsid w:val="005E6CA1"/>
    <w:rsid w:val="005E702C"/>
    <w:rsid w:val="005E73C2"/>
    <w:rsid w:val="005E7C44"/>
    <w:rsid w:val="005F197A"/>
    <w:rsid w:val="005F2927"/>
    <w:rsid w:val="005F2DF7"/>
    <w:rsid w:val="005F3007"/>
    <w:rsid w:val="005F304B"/>
    <w:rsid w:val="005F5F6F"/>
    <w:rsid w:val="005F698A"/>
    <w:rsid w:val="00600538"/>
    <w:rsid w:val="00605CDD"/>
    <w:rsid w:val="00605EA7"/>
    <w:rsid w:val="0060674D"/>
    <w:rsid w:val="00606A00"/>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904"/>
    <w:rsid w:val="00644F62"/>
    <w:rsid w:val="006451CB"/>
    <w:rsid w:val="00645383"/>
    <w:rsid w:val="00646E4E"/>
    <w:rsid w:val="0064758B"/>
    <w:rsid w:val="0064769A"/>
    <w:rsid w:val="00650546"/>
    <w:rsid w:val="006518DC"/>
    <w:rsid w:val="006519D0"/>
    <w:rsid w:val="00652836"/>
    <w:rsid w:val="0065321E"/>
    <w:rsid w:val="006533FD"/>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C20"/>
    <w:rsid w:val="00673DCE"/>
    <w:rsid w:val="006749E5"/>
    <w:rsid w:val="00675C9D"/>
    <w:rsid w:val="00675DA5"/>
    <w:rsid w:val="00676165"/>
    <w:rsid w:val="00676CB1"/>
    <w:rsid w:val="00686291"/>
    <w:rsid w:val="00686FA4"/>
    <w:rsid w:val="00691E65"/>
    <w:rsid w:val="00691EA1"/>
    <w:rsid w:val="00693886"/>
    <w:rsid w:val="00694BE9"/>
    <w:rsid w:val="00696114"/>
    <w:rsid w:val="0069667F"/>
    <w:rsid w:val="00696D4A"/>
    <w:rsid w:val="006974AF"/>
    <w:rsid w:val="00697728"/>
    <w:rsid w:val="006A03C8"/>
    <w:rsid w:val="006A07EB"/>
    <w:rsid w:val="006A1279"/>
    <w:rsid w:val="006A1CD6"/>
    <w:rsid w:val="006A362D"/>
    <w:rsid w:val="006A5E39"/>
    <w:rsid w:val="006A615E"/>
    <w:rsid w:val="006A641C"/>
    <w:rsid w:val="006B048C"/>
    <w:rsid w:val="006B210C"/>
    <w:rsid w:val="006B2C4A"/>
    <w:rsid w:val="006B2D1C"/>
    <w:rsid w:val="006B35DA"/>
    <w:rsid w:val="006B53F6"/>
    <w:rsid w:val="006B655F"/>
    <w:rsid w:val="006C11BE"/>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58C8"/>
    <w:rsid w:val="006E669A"/>
    <w:rsid w:val="006E7C7B"/>
    <w:rsid w:val="006F1F44"/>
    <w:rsid w:val="006F2ADA"/>
    <w:rsid w:val="006F2AE7"/>
    <w:rsid w:val="006F2D52"/>
    <w:rsid w:val="006F3591"/>
    <w:rsid w:val="006F7B7C"/>
    <w:rsid w:val="0070002A"/>
    <w:rsid w:val="00700DAE"/>
    <w:rsid w:val="007015A1"/>
    <w:rsid w:val="0070297A"/>
    <w:rsid w:val="00704090"/>
    <w:rsid w:val="00706102"/>
    <w:rsid w:val="00711461"/>
    <w:rsid w:val="0071373D"/>
    <w:rsid w:val="00713758"/>
    <w:rsid w:val="00715907"/>
    <w:rsid w:val="00720307"/>
    <w:rsid w:val="00722D85"/>
    <w:rsid w:val="007236C0"/>
    <w:rsid w:val="00724361"/>
    <w:rsid w:val="00724564"/>
    <w:rsid w:val="007255E3"/>
    <w:rsid w:val="007265F0"/>
    <w:rsid w:val="007269E3"/>
    <w:rsid w:val="00732460"/>
    <w:rsid w:val="00733D7B"/>
    <w:rsid w:val="00735881"/>
    <w:rsid w:val="00735F13"/>
    <w:rsid w:val="007364A0"/>
    <w:rsid w:val="007408D5"/>
    <w:rsid w:val="0074154C"/>
    <w:rsid w:val="00741FDE"/>
    <w:rsid w:val="00742757"/>
    <w:rsid w:val="007430B3"/>
    <w:rsid w:val="007453E5"/>
    <w:rsid w:val="00746363"/>
    <w:rsid w:val="007464AF"/>
    <w:rsid w:val="00746C27"/>
    <w:rsid w:val="00750371"/>
    <w:rsid w:val="00750941"/>
    <w:rsid w:val="00750BF7"/>
    <w:rsid w:val="0075108D"/>
    <w:rsid w:val="007557DC"/>
    <w:rsid w:val="00760148"/>
    <w:rsid w:val="007611F3"/>
    <w:rsid w:val="00762451"/>
    <w:rsid w:val="007656EE"/>
    <w:rsid w:val="00766B87"/>
    <w:rsid w:val="00767F5A"/>
    <w:rsid w:val="00771493"/>
    <w:rsid w:val="00771A62"/>
    <w:rsid w:val="0077338A"/>
    <w:rsid w:val="00773A59"/>
    <w:rsid w:val="00774701"/>
    <w:rsid w:val="007771DC"/>
    <w:rsid w:val="00777F89"/>
    <w:rsid w:val="00782574"/>
    <w:rsid w:val="007831CE"/>
    <w:rsid w:val="0078347B"/>
    <w:rsid w:val="00784F06"/>
    <w:rsid w:val="00790B45"/>
    <w:rsid w:val="0079220D"/>
    <w:rsid w:val="00792719"/>
    <w:rsid w:val="00792749"/>
    <w:rsid w:val="007928CE"/>
    <w:rsid w:val="00792ADA"/>
    <w:rsid w:val="00793ECE"/>
    <w:rsid w:val="00796E22"/>
    <w:rsid w:val="0079778C"/>
    <w:rsid w:val="00797E1A"/>
    <w:rsid w:val="007A35C4"/>
    <w:rsid w:val="007A3CC4"/>
    <w:rsid w:val="007A4418"/>
    <w:rsid w:val="007A45F1"/>
    <w:rsid w:val="007A56FF"/>
    <w:rsid w:val="007A5B54"/>
    <w:rsid w:val="007A766F"/>
    <w:rsid w:val="007B1B31"/>
    <w:rsid w:val="007B2921"/>
    <w:rsid w:val="007B392C"/>
    <w:rsid w:val="007B4388"/>
    <w:rsid w:val="007B45BA"/>
    <w:rsid w:val="007B49CE"/>
    <w:rsid w:val="007B4E9A"/>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11F4"/>
    <w:rsid w:val="007F2366"/>
    <w:rsid w:val="007F2A06"/>
    <w:rsid w:val="007F4F74"/>
    <w:rsid w:val="007F5A11"/>
    <w:rsid w:val="007F62FA"/>
    <w:rsid w:val="007F6887"/>
    <w:rsid w:val="00801520"/>
    <w:rsid w:val="008020B9"/>
    <w:rsid w:val="0080321B"/>
    <w:rsid w:val="008057DB"/>
    <w:rsid w:val="00807805"/>
    <w:rsid w:val="00810C47"/>
    <w:rsid w:val="00810DC1"/>
    <w:rsid w:val="008122E0"/>
    <w:rsid w:val="0081279E"/>
    <w:rsid w:val="008139A3"/>
    <w:rsid w:val="008139C1"/>
    <w:rsid w:val="00813A79"/>
    <w:rsid w:val="0081473C"/>
    <w:rsid w:val="0081684A"/>
    <w:rsid w:val="00816BB8"/>
    <w:rsid w:val="00817F38"/>
    <w:rsid w:val="00820E4E"/>
    <w:rsid w:val="0082207A"/>
    <w:rsid w:val="00823429"/>
    <w:rsid w:val="008309E3"/>
    <w:rsid w:val="008314BA"/>
    <w:rsid w:val="00832337"/>
    <w:rsid w:val="00832B7B"/>
    <w:rsid w:val="00832FFA"/>
    <w:rsid w:val="008347F7"/>
    <w:rsid w:val="008353FC"/>
    <w:rsid w:val="00837C2E"/>
    <w:rsid w:val="00837FDA"/>
    <w:rsid w:val="00841543"/>
    <w:rsid w:val="00841833"/>
    <w:rsid w:val="008418E3"/>
    <w:rsid w:val="00842E49"/>
    <w:rsid w:val="00843D2B"/>
    <w:rsid w:val="00843FE0"/>
    <w:rsid w:val="00844357"/>
    <w:rsid w:val="008443F9"/>
    <w:rsid w:val="00844C65"/>
    <w:rsid w:val="00845862"/>
    <w:rsid w:val="00846311"/>
    <w:rsid w:val="008470F0"/>
    <w:rsid w:val="008473F7"/>
    <w:rsid w:val="00847750"/>
    <w:rsid w:val="008478D1"/>
    <w:rsid w:val="00850C3C"/>
    <w:rsid w:val="00851A9C"/>
    <w:rsid w:val="0085300C"/>
    <w:rsid w:val="008608E6"/>
    <w:rsid w:val="00860B78"/>
    <w:rsid w:val="00860BCC"/>
    <w:rsid w:val="00861880"/>
    <w:rsid w:val="0086195A"/>
    <w:rsid w:val="00861B47"/>
    <w:rsid w:val="0086229E"/>
    <w:rsid w:val="00862CED"/>
    <w:rsid w:val="0086480A"/>
    <w:rsid w:val="00864CD8"/>
    <w:rsid w:val="00867F87"/>
    <w:rsid w:val="00870279"/>
    <w:rsid w:val="00870603"/>
    <w:rsid w:val="0087096F"/>
    <w:rsid w:val="008755BA"/>
    <w:rsid w:val="00881208"/>
    <w:rsid w:val="00884FC6"/>
    <w:rsid w:val="0089080C"/>
    <w:rsid w:val="00890C8E"/>
    <w:rsid w:val="00895D8D"/>
    <w:rsid w:val="008A172E"/>
    <w:rsid w:val="008A1F51"/>
    <w:rsid w:val="008A2695"/>
    <w:rsid w:val="008A33D5"/>
    <w:rsid w:val="008A45E8"/>
    <w:rsid w:val="008A5D75"/>
    <w:rsid w:val="008A7719"/>
    <w:rsid w:val="008A7A9A"/>
    <w:rsid w:val="008B0AFD"/>
    <w:rsid w:val="008B3B41"/>
    <w:rsid w:val="008B44DA"/>
    <w:rsid w:val="008B4D42"/>
    <w:rsid w:val="008B5CA8"/>
    <w:rsid w:val="008B6FB0"/>
    <w:rsid w:val="008C1AB9"/>
    <w:rsid w:val="008C32CD"/>
    <w:rsid w:val="008C4891"/>
    <w:rsid w:val="008C64BD"/>
    <w:rsid w:val="008C7A4C"/>
    <w:rsid w:val="008C7F9B"/>
    <w:rsid w:val="008D1583"/>
    <w:rsid w:val="008D38F1"/>
    <w:rsid w:val="008D509B"/>
    <w:rsid w:val="008D53A8"/>
    <w:rsid w:val="008D716B"/>
    <w:rsid w:val="008E047F"/>
    <w:rsid w:val="008E0678"/>
    <w:rsid w:val="008E110C"/>
    <w:rsid w:val="008E11F8"/>
    <w:rsid w:val="008E4D3C"/>
    <w:rsid w:val="008E4E14"/>
    <w:rsid w:val="008E7F39"/>
    <w:rsid w:val="008F0A69"/>
    <w:rsid w:val="008F102D"/>
    <w:rsid w:val="008F14A2"/>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41C1D"/>
    <w:rsid w:val="00941EF0"/>
    <w:rsid w:val="009423AA"/>
    <w:rsid w:val="009423AC"/>
    <w:rsid w:val="00943218"/>
    <w:rsid w:val="009453A2"/>
    <w:rsid w:val="00946AB1"/>
    <w:rsid w:val="009504B8"/>
    <w:rsid w:val="009517F6"/>
    <w:rsid w:val="00953281"/>
    <w:rsid w:val="00953B8E"/>
    <w:rsid w:val="00956565"/>
    <w:rsid w:val="00957FDC"/>
    <w:rsid w:val="009601AB"/>
    <w:rsid w:val="00960D92"/>
    <w:rsid w:val="00961947"/>
    <w:rsid w:val="00962C7C"/>
    <w:rsid w:val="00962F2C"/>
    <w:rsid w:val="0096331D"/>
    <w:rsid w:val="00963579"/>
    <w:rsid w:val="00963C26"/>
    <w:rsid w:val="00963D08"/>
    <w:rsid w:val="00963E4F"/>
    <w:rsid w:val="00965CA7"/>
    <w:rsid w:val="00966160"/>
    <w:rsid w:val="009672AC"/>
    <w:rsid w:val="00967EDD"/>
    <w:rsid w:val="00971910"/>
    <w:rsid w:val="00972B8E"/>
    <w:rsid w:val="00973A55"/>
    <w:rsid w:val="00974C45"/>
    <w:rsid w:val="00975A1E"/>
    <w:rsid w:val="00975C75"/>
    <w:rsid w:val="00980B13"/>
    <w:rsid w:val="00980F6D"/>
    <w:rsid w:val="00982E2D"/>
    <w:rsid w:val="00982F94"/>
    <w:rsid w:val="00983EDA"/>
    <w:rsid w:val="00985422"/>
    <w:rsid w:val="009867CF"/>
    <w:rsid w:val="00986DCF"/>
    <w:rsid w:val="00991021"/>
    <w:rsid w:val="00992A6C"/>
    <w:rsid w:val="00992B39"/>
    <w:rsid w:val="00996DF4"/>
    <w:rsid w:val="009A02E4"/>
    <w:rsid w:val="009A0A3D"/>
    <w:rsid w:val="009A1442"/>
    <w:rsid w:val="009A1C7C"/>
    <w:rsid w:val="009A2D3A"/>
    <w:rsid w:val="009A3F87"/>
    <w:rsid w:val="009A4F82"/>
    <w:rsid w:val="009A5325"/>
    <w:rsid w:val="009A659A"/>
    <w:rsid w:val="009A67B4"/>
    <w:rsid w:val="009A7570"/>
    <w:rsid w:val="009B475F"/>
    <w:rsid w:val="009B4A1E"/>
    <w:rsid w:val="009C0E14"/>
    <w:rsid w:val="009C1DA6"/>
    <w:rsid w:val="009C32A2"/>
    <w:rsid w:val="009C3472"/>
    <w:rsid w:val="009C6B17"/>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230A8"/>
    <w:rsid w:val="00A246A8"/>
    <w:rsid w:val="00A2660D"/>
    <w:rsid w:val="00A2730C"/>
    <w:rsid w:val="00A27CF3"/>
    <w:rsid w:val="00A30BC4"/>
    <w:rsid w:val="00A30C4E"/>
    <w:rsid w:val="00A32843"/>
    <w:rsid w:val="00A33131"/>
    <w:rsid w:val="00A40C00"/>
    <w:rsid w:val="00A4126E"/>
    <w:rsid w:val="00A42D32"/>
    <w:rsid w:val="00A43BE4"/>
    <w:rsid w:val="00A46A63"/>
    <w:rsid w:val="00A47F91"/>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5BF2"/>
    <w:rsid w:val="00A824D5"/>
    <w:rsid w:val="00A8270A"/>
    <w:rsid w:val="00A86745"/>
    <w:rsid w:val="00A928A8"/>
    <w:rsid w:val="00A93F20"/>
    <w:rsid w:val="00A94AAE"/>
    <w:rsid w:val="00A94C7E"/>
    <w:rsid w:val="00A9692C"/>
    <w:rsid w:val="00A97F66"/>
    <w:rsid w:val="00AA324F"/>
    <w:rsid w:val="00AA539D"/>
    <w:rsid w:val="00AA56B6"/>
    <w:rsid w:val="00AA763A"/>
    <w:rsid w:val="00AA7A54"/>
    <w:rsid w:val="00AB046D"/>
    <w:rsid w:val="00AB074C"/>
    <w:rsid w:val="00AB1416"/>
    <w:rsid w:val="00AB29C1"/>
    <w:rsid w:val="00AB50CF"/>
    <w:rsid w:val="00AC0055"/>
    <w:rsid w:val="00AC007F"/>
    <w:rsid w:val="00AC0677"/>
    <w:rsid w:val="00AC2558"/>
    <w:rsid w:val="00AC2F81"/>
    <w:rsid w:val="00AC3B25"/>
    <w:rsid w:val="00AC4DB2"/>
    <w:rsid w:val="00AC5119"/>
    <w:rsid w:val="00AC59E2"/>
    <w:rsid w:val="00AC6BA8"/>
    <w:rsid w:val="00AC711A"/>
    <w:rsid w:val="00AD046A"/>
    <w:rsid w:val="00AD258F"/>
    <w:rsid w:val="00AD3BBA"/>
    <w:rsid w:val="00AD3C09"/>
    <w:rsid w:val="00AD3C7F"/>
    <w:rsid w:val="00AD48C6"/>
    <w:rsid w:val="00AD4B16"/>
    <w:rsid w:val="00AD528D"/>
    <w:rsid w:val="00AD6C53"/>
    <w:rsid w:val="00AE433E"/>
    <w:rsid w:val="00AF1E7D"/>
    <w:rsid w:val="00AF26BD"/>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39A7"/>
    <w:rsid w:val="00B245DB"/>
    <w:rsid w:val="00B26620"/>
    <w:rsid w:val="00B27045"/>
    <w:rsid w:val="00B27C98"/>
    <w:rsid w:val="00B300F4"/>
    <w:rsid w:val="00B30765"/>
    <w:rsid w:val="00B31DD6"/>
    <w:rsid w:val="00B32630"/>
    <w:rsid w:val="00B34CAA"/>
    <w:rsid w:val="00B412DC"/>
    <w:rsid w:val="00B41CD9"/>
    <w:rsid w:val="00B41DD3"/>
    <w:rsid w:val="00B426B4"/>
    <w:rsid w:val="00B46CCD"/>
    <w:rsid w:val="00B5039F"/>
    <w:rsid w:val="00B51FC9"/>
    <w:rsid w:val="00B5314F"/>
    <w:rsid w:val="00B54DDA"/>
    <w:rsid w:val="00B54F3A"/>
    <w:rsid w:val="00B567B2"/>
    <w:rsid w:val="00B56A7D"/>
    <w:rsid w:val="00B571FF"/>
    <w:rsid w:val="00B60946"/>
    <w:rsid w:val="00B6558E"/>
    <w:rsid w:val="00B67193"/>
    <w:rsid w:val="00B67D35"/>
    <w:rsid w:val="00B67E9F"/>
    <w:rsid w:val="00B70F4B"/>
    <w:rsid w:val="00B718C4"/>
    <w:rsid w:val="00B71B75"/>
    <w:rsid w:val="00B74F18"/>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B5F14"/>
    <w:rsid w:val="00BC02C5"/>
    <w:rsid w:val="00BC2CDB"/>
    <w:rsid w:val="00BC371D"/>
    <w:rsid w:val="00BC4A6E"/>
    <w:rsid w:val="00BC548D"/>
    <w:rsid w:val="00BC6356"/>
    <w:rsid w:val="00BC6621"/>
    <w:rsid w:val="00BC6D78"/>
    <w:rsid w:val="00BD0BA6"/>
    <w:rsid w:val="00BD1290"/>
    <w:rsid w:val="00BD1A8F"/>
    <w:rsid w:val="00BD24D4"/>
    <w:rsid w:val="00BD4E7A"/>
    <w:rsid w:val="00BD5E18"/>
    <w:rsid w:val="00BD6E7A"/>
    <w:rsid w:val="00BE01B3"/>
    <w:rsid w:val="00BE09B6"/>
    <w:rsid w:val="00BE3B1F"/>
    <w:rsid w:val="00BE4F7B"/>
    <w:rsid w:val="00BE5598"/>
    <w:rsid w:val="00BE5A42"/>
    <w:rsid w:val="00BE6C70"/>
    <w:rsid w:val="00BE6DA3"/>
    <w:rsid w:val="00BE7612"/>
    <w:rsid w:val="00BF109A"/>
    <w:rsid w:val="00BF3586"/>
    <w:rsid w:val="00C03BA0"/>
    <w:rsid w:val="00C078B4"/>
    <w:rsid w:val="00C07D37"/>
    <w:rsid w:val="00C1073D"/>
    <w:rsid w:val="00C123A9"/>
    <w:rsid w:val="00C131D6"/>
    <w:rsid w:val="00C13379"/>
    <w:rsid w:val="00C13F24"/>
    <w:rsid w:val="00C15DA6"/>
    <w:rsid w:val="00C165DE"/>
    <w:rsid w:val="00C214C2"/>
    <w:rsid w:val="00C25ED7"/>
    <w:rsid w:val="00C26002"/>
    <w:rsid w:val="00C26983"/>
    <w:rsid w:val="00C274C9"/>
    <w:rsid w:val="00C30622"/>
    <w:rsid w:val="00C31586"/>
    <w:rsid w:val="00C31ADD"/>
    <w:rsid w:val="00C3339F"/>
    <w:rsid w:val="00C34EA3"/>
    <w:rsid w:val="00C3551D"/>
    <w:rsid w:val="00C35FC9"/>
    <w:rsid w:val="00C3704C"/>
    <w:rsid w:val="00C377C5"/>
    <w:rsid w:val="00C43BE1"/>
    <w:rsid w:val="00C44DBD"/>
    <w:rsid w:val="00C461DC"/>
    <w:rsid w:val="00C46671"/>
    <w:rsid w:val="00C46E46"/>
    <w:rsid w:val="00C50BA4"/>
    <w:rsid w:val="00C52F3F"/>
    <w:rsid w:val="00C55615"/>
    <w:rsid w:val="00C57FA6"/>
    <w:rsid w:val="00C60DFE"/>
    <w:rsid w:val="00C611F1"/>
    <w:rsid w:val="00C616EE"/>
    <w:rsid w:val="00C63123"/>
    <w:rsid w:val="00C640E1"/>
    <w:rsid w:val="00C6449E"/>
    <w:rsid w:val="00C64727"/>
    <w:rsid w:val="00C655DD"/>
    <w:rsid w:val="00C668FA"/>
    <w:rsid w:val="00C72066"/>
    <w:rsid w:val="00C74A04"/>
    <w:rsid w:val="00C81BE8"/>
    <w:rsid w:val="00C825D1"/>
    <w:rsid w:val="00C82BDE"/>
    <w:rsid w:val="00C84386"/>
    <w:rsid w:val="00C84DA9"/>
    <w:rsid w:val="00C8690B"/>
    <w:rsid w:val="00C872CC"/>
    <w:rsid w:val="00C875A8"/>
    <w:rsid w:val="00C8771D"/>
    <w:rsid w:val="00C87997"/>
    <w:rsid w:val="00C9040C"/>
    <w:rsid w:val="00C904F3"/>
    <w:rsid w:val="00C91D12"/>
    <w:rsid w:val="00C9646E"/>
    <w:rsid w:val="00CA164D"/>
    <w:rsid w:val="00CA3BD2"/>
    <w:rsid w:val="00CA429B"/>
    <w:rsid w:val="00CA6B0F"/>
    <w:rsid w:val="00CA7768"/>
    <w:rsid w:val="00CA792E"/>
    <w:rsid w:val="00CA7EF2"/>
    <w:rsid w:val="00CB162D"/>
    <w:rsid w:val="00CB1736"/>
    <w:rsid w:val="00CB5EF9"/>
    <w:rsid w:val="00CB77E9"/>
    <w:rsid w:val="00CC0327"/>
    <w:rsid w:val="00CC1E9D"/>
    <w:rsid w:val="00CC3C57"/>
    <w:rsid w:val="00CC4EE1"/>
    <w:rsid w:val="00CC6124"/>
    <w:rsid w:val="00CC671A"/>
    <w:rsid w:val="00CC72F2"/>
    <w:rsid w:val="00CC76BC"/>
    <w:rsid w:val="00CD01B1"/>
    <w:rsid w:val="00CD07D4"/>
    <w:rsid w:val="00CD12BB"/>
    <w:rsid w:val="00CD6611"/>
    <w:rsid w:val="00CD6966"/>
    <w:rsid w:val="00CE11ED"/>
    <w:rsid w:val="00CE1291"/>
    <w:rsid w:val="00CE2583"/>
    <w:rsid w:val="00CE289E"/>
    <w:rsid w:val="00CE3A9F"/>
    <w:rsid w:val="00CE3C02"/>
    <w:rsid w:val="00CE587F"/>
    <w:rsid w:val="00CE5A82"/>
    <w:rsid w:val="00CE6ED1"/>
    <w:rsid w:val="00CE72FB"/>
    <w:rsid w:val="00CE7DF7"/>
    <w:rsid w:val="00CF16E4"/>
    <w:rsid w:val="00CF31CB"/>
    <w:rsid w:val="00CF44DA"/>
    <w:rsid w:val="00D003B0"/>
    <w:rsid w:val="00D029DE"/>
    <w:rsid w:val="00D03BD1"/>
    <w:rsid w:val="00D06D79"/>
    <w:rsid w:val="00D10277"/>
    <w:rsid w:val="00D107FE"/>
    <w:rsid w:val="00D10961"/>
    <w:rsid w:val="00D14AB0"/>
    <w:rsid w:val="00D1521D"/>
    <w:rsid w:val="00D169BB"/>
    <w:rsid w:val="00D212C5"/>
    <w:rsid w:val="00D2148D"/>
    <w:rsid w:val="00D22C7B"/>
    <w:rsid w:val="00D23904"/>
    <w:rsid w:val="00D23B55"/>
    <w:rsid w:val="00D24065"/>
    <w:rsid w:val="00D24DCE"/>
    <w:rsid w:val="00D256AC"/>
    <w:rsid w:val="00D26994"/>
    <w:rsid w:val="00D320AC"/>
    <w:rsid w:val="00D3304B"/>
    <w:rsid w:val="00D359BF"/>
    <w:rsid w:val="00D36DB4"/>
    <w:rsid w:val="00D371D3"/>
    <w:rsid w:val="00D37299"/>
    <w:rsid w:val="00D4083C"/>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78D6"/>
    <w:rsid w:val="00D60251"/>
    <w:rsid w:val="00D61BA1"/>
    <w:rsid w:val="00D61EC4"/>
    <w:rsid w:val="00D63B93"/>
    <w:rsid w:val="00D644F7"/>
    <w:rsid w:val="00D64D43"/>
    <w:rsid w:val="00D6533E"/>
    <w:rsid w:val="00D66304"/>
    <w:rsid w:val="00D66B6B"/>
    <w:rsid w:val="00D675A8"/>
    <w:rsid w:val="00D67794"/>
    <w:rsid w:val="00D7004B"/>
    <w:rsid w:val="00D7190C"/>
    <w:rsid w:val="00D7207F"/>
    <w:rsid w:val="00D72152"/>
    <w:rsid w:val="00D72F0A"/>
    <w:rsid w:val="00D75AFF"/>
    <w:rsid w:val="00D75EC4"/>
    <w:rsid w:val="00D7634D"/>
    <w:rsid w:val="00D830F3"/>
    <w:rsid w:val="00D84245"/>
    <w:rsid w:val="00D84264"/>
    <w:rsid w:val="00D85B2B"/>
    <w:rsid w:val="00D86727"/>
    <w:rsid w:val="00D941C7"/>
    <w:rsid w:val="00D94661"/>
    <w:rsid w:val="00D94930"/>
    <w:rsid w:val="00D95A89"/>
    <w:rsid w:val="00D95D4E"/>
    <w:rsid w:val="00D966A4"/>
    <w:rsid w:val="00D966F4"/>
    <w:rsid w:val="00D97FC7"/>
    <w:rsid w:val="00DA1558"/>
    <w:rsid w:val="00DA1891"/>
    <w:rsid w:val="00DA31A6"/>
    <w:rsid w:val="00DA3763"/>
    <w:rsid w:val="00DA6543"/>
    <w:rsid w:val="00DB0A43"/>
    <w:rsid w:val="00DB6BA8"/>
    <w:rsid w:val="00DB7F50"/>
    <w:rsid w:val="00DC0AFF"/>
    <w:rsid w:val="00DC0D5D"/>
    <w:rsid w:val="00DC0F59"/>
    <w:rsid w:val="00DC1118"/>
    <w:rsid w:val="00DC1B4D"/>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E06BD"/>
    <w:rsid w:val="00DE1107"/>
    <w:rsid w:val="00DE2848"/>
    <w:rsid w:val="00DE3511"/>
    <w:rsid w:val="00DE3CCF"/>
    <w:rsid w:val="00DE403C"/>
    <w:rsid w:val="00DE459E"/>
    <w:rsid w:val="00DE5FE8"/>
    <w:rsid w:val="00DE66E7"/>
    <w:rsid w:val="00DE7104"/>
    <w:rsid w:val="00DF2795"/>
    <w:rsid w:val="00DF4176"/>
    <w:rsid w:val="00DF4C0F"/>
    <w:rsid w:val="00DF5045"/>
    <w:rsid w:val="00DF5BB3"/>
    <w:rsid w:val="00DF62F9"/>
    <w:rsid w:val="00DF7057"/>
    <w:rsid w:val="00DF7937"/>
    <w:rsid w:val="00E0023D"/>
    <w:rsid w:val="00E0111A"/>
    <w:rsid w:val="00E01169"/>
    <w:rsid w:val="00E02E01"/>
    <w:rsid w:val="00E04563"/>
    <w:rsid w:val="00E07309"/>
    <w:rsid w:val="00E07C98"/>
    <w:rsid w:val="00E1281A"/>
    <w:rsid w:val="00E14896"/>
    <w:rsid w:val="00E1628E"/>
    <w:rsid w:val="00E208B5"/>
    <w:rsid w:val="00E20BEE"/>
    <w:rsid w:val="00E21947"/>
    <w:rsid w:val="00E21C42"/>
    <w:rsid w:val="00E225FB"/>
    <w:rsid w:val="00E22E25"/>
    <w:rsid w:val="00E22F70"/>
    <w:rsid w:val="00E2655E"/>
    <w:rsid w:val="00E32CEB"/>
    <w:rsid w:val="00E337BC"/>
    <w:rsid w:val="00E34B24"/>
    <w:rsid w:val="00E35CAB"/>
    <w:rsid w:val="00E35CAD"/>
    <w:rsid w:val="00E37145"/>
    <w:rsid w:val="00E40019"/>
    <w:rsid w:val="00E40492"/>
    <w:rsid w:val="00E4058F"/>
    <w:rsid w:val="00E40F2A"/>
    <w:rsid w:val="00E42948"/>
    <w:rsid w:val="00E42DC1"/>
    <w:rsid w:val="00E44814"/>
    <w:rsid w:val="00E44FFF"/>
    <w:rsid w:val="00E4610E"/>
    <w:rsid w:val="00E4738F"/>
    <w:rsid w:val="00E51633"/>
    <w:rsid w:val="00E5245D"/>
    <w:rsid w:val="00E549AA"/>
    <w:rsid w:val="00E54B99"/>
    <w:rsid w:val="00E55819"/>
    <w:rsid w:val="00E560F1"/>
    <w:rsid w:val="00E6161B"/>
    <w:rsid w:val="00E61FCC"/>
    <w:rsid w:val="00E62057"/>
    <w:rsid w:val="00E6290C"/>
    <w:rsid w:val="00E62ED4"/>
    <w:rsid w:val="00E6334B"/>
    <w:rsid w:val="00E651D0"/>
    <w:rsid w:val="00E653C7"/>
    <w:rsid w:val="00E67634"/>
    <w:rsid w:val="00E701CD"/>
    <w:rsid w:val="00E731A1"/>
    <w:rsid w:val="00E81BCB"/>
    <w:rsid w:val="00E82AD6"/>
    <w:rsid w:val="00E82E2C"/>
    <w:rsid w:val="00E8477B"/>
    <w:rsid w:val="00E84C73"/>
    <w:rsid w:val="00E91F16"/>
    <w:rsid w:val="00EA0835"/>
    <w:rsid w:val="00EA12F8"/>
    <w:rsid w:val="00EA219D"/>
    <w:rsid w:val="00EA2B7E"/>
    <w:rsid w:val="00EA6CBC"/>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CD"/>
    <w:rsid w:val="00EC454B"/>
    <w:rsid w:val="00EC4D79"/>
    <w:rsid w:val="00EC511E"/>
    <w:rsid w:val="00EC5F37"/>
    <w:rsid w:val="00ED1496"/>
    <w:rsid w:val="00ED187D"/>
    <w:rsid w:val="00ED27CB"/>
    <w:rsid w:val="00ED3B99"/>
    <w:rsid w:val="00ED5530"/>
    <w:rsid w:val="00ED67F0"/>
    <w:rsid w:val="00ED7DAF"/>
    <w:rsid w:val="00ED7F88"/>
    <w:rsid w:val="00EE3498"/>
    <w:rsid w:val="00EE3BB1"/>
    <w:rsid w:val="00EE50B9"/>
    <w:rsid w:val="00EE5257"/>
    <w:rsid w:val="00EE7488"/>
    <w:rsid w:val="00EE7EA8"/>
    <w:rsid w:val="00EF04A1"/>
    <w:rsid w:val="00EF1488"/>
    <w:rsid w:val="00EF1E76"/>
    <w:rsid w:val="00EF3FF1"/>
    <w:rsid w:val="00EF4571"/>
    <w:rsid w:val="00EF564A"/>
    <w:rsid w:val="00EF778C"/>
    <w:rsid w:val="00F02D20"/>
    <w:rsid w:val="00F03EAC"/>
    <w:rsid w:val="00F0584C"/>
    <w:rsid w:val="00F05FB0"/>
    <w:rsid w:val="00F10080"/>
    <w:rsid w:val="00F113B0"/>
    <w:rsid w:val="00F1264C"/>
    <w:rsid w:val="00F1534B"/>
    <w:rsid w:val="00F16179"/>
    <w:rsid w:val="00F17F04"/>
    <w:rsid w:val="00F20246"/>
    <w:rsid w:val="00F22756"/>
    <w:rsid w:val="00F233D8"/>
    <w:rsid w:val="00F25618"/>
    <w:rsid w:val="00F2761F"/>
    <w:rsid w:val="00F312FC"/>
    <w:rsid w:val="00F31D7C"/>
    <w:rsid w:val="00F31EB6"/>
    <w:rsid w:val="00F34DC7"/>
    <w:rsid w:val="00F358A8"/>
    <w:rsid w:val="00F363B9"/>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ED"/>
    <w:rsid w:val="00F60856"/>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68B"/>
    <w:rsid w:val="00F742F1"/>
    <w:rsid w:val="00F74832"/>
    <w:rsid w:val="00F759F4"/>
    <w:rsid w:val="00F7660E"/>
    <w:rsid w:val="00F77803"/>
    <w:rsid w:val="00F77947"/>
    <w:rsid w:val="00F805C2"/>
    <w:rsid w:val="00F810C0"/>
    <w:rsid w:val="00F81430"/>
    <w:rsid w:val="00F818E2"/>
    <w:rsid w:val="00F86DAF"/>
    <w:rsid w:val="00F90F78"/>
    <w:rsid w:val="00F92C1F"/>
    <w:rsid w:val="00F93877"/>
    <w:rsid w:val="00F93EB8"/>
    <w:rsid w:val="00F93EF3"/>
    <w:rsid w:val="00F945CD"/>
    <w:rsid w:val="00F96986"/>
    <w:rsid w:val="00FA27DF"/>
    <w:rsid w:val="00FA33A5"/>
    <w:rsid w:val="00FA4826"/>
    <w:rsid w:val="00FA4EE7"/>
    <w:rsid w:val="00FA74C7"/>
    <w:rsid w:val="00FA7CC4"/>
    <w:rsid w:val="00FB3C03"/>
    <w:rsid w:val="00FB65AE"/>
    <w:rsid w:val="00FC060E"/>
    <w:rsid w:val="00FC159E"/>
    <w:rsid w:val="00FC1EFA"/>
    <w:rsid w:val="00FC2CB8"/>
    <w:rsid w:val="00FC3698"/>
    <w:rsid w:val="00FC3E35"/>
    <w:rsid w:val="00FC429E"/>
    <w:rsid w:val="00FC42D5"/>
    <w:rsid w:val="00FC661B"/>
    <w:rsid w:val="00FC7C0C"/>
    <w:rsid w:val="00FC7FD0"/>
    <w:rsid w:val="00FD0408"/>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5BB4"/>
    <w:rsid w:val="016E044A"/>
    <w:rsid w:val="02484BFF"/>
    <w:rsid w:val="070B5632"/>
    <w:rsid w:val="070C7912"/>
    <w:rsid w:val="077E0924"/>
    <w:rsid w:val="0AC33126"/>
    <w:rsid w:val="0BE63154"/>
    <w:rsid w:val="0C482343"/>
    <w:rsid w:val="0D211128"/>
    <w:rsid w:val="0EB205C2"/>
    <w:rsid w:val="10F2058A"/>
    <w:rsid w:val="149445F0"/>
    <w:rsid w:val="16D05547"/>
    <w:rsid w:val="16FF13B0"/>
    <w:rsid w:val="17952264"/>
    <w:rsid w:val="18704CB4"/>
    <w:rsid w:val="189D76C4"/>
    <w:rsid w:val="18B77B06"/>
    <w:rsid w:val="18E50A11"/>
    <w:rsid w:val="18EE1B3D"/>
    <w:rsid w:val="192E28F8"/>
    <w:rsid w:val="1ABF7AB8"/>
    <w:rsid w:val="1B0061FE"/>
    <w:rsid w:val="1CBA107A"/>
    <w:rsid w:val="1E1D00CD"/>
    <w:rsid w:val="1EC37813"/>
    <w:rsid w:val="218777AC"/>
    <w:rsid w:val="21AE6687"/>
    <w:rsid w:val="220107FD"/>
    <w:rsid w:val="22C80A1D"/>
    <w:rsid w:val="234A45D7"/>
    <w:rsid w:val="23B83E1D"/>
    <w:rsid w:val="25EE1414"/>
    <w:rsid w:val="27AF5E55"/>
    <w:rsid w:val="28725721"/>
    <w:rsid w:val="28E92B74"/>
    <w:rsid w:val="29077BAF"/>
    <w:rsid w:val="29AB0007"/>
    <w:rsid w:val="29C713CD"/>
    <w:rsid w:val="2A71766E"/>
    <w:rsid w:val="2A8870BB"/>
    <w:rsid w:val="2AF42FD1"/>
    <w:rsid w:val="2CF17ED9"/>
    <w:rsid w:val="2D491F9E"/>
    <w:rsid w:val="2DD6396D"/>
    <w:rsid w:val="2E031C33"/>
    <w:rsid w:val="2E9F3EB4"/>
    <w:rsid w:val="2EE3075D"/>
    <w:rsid w:val="2EE50969"/>
    <w:rsid w:val="2F20599A"/>
    <w:rsid w:val="2FE50BA9"/>
    <w:rsid w:val="317F0BCA"/>
    <w:rsid w:val="31BE26DC"/>
    <w:rsid w:val="32832A04"/>
    <w:rsid w:val="3416048F"/>
    <w:rsid w:val="358C62E7"/>
    <w:rsid w:val="35F85C24"/>
    <w:rsid w:val="374133C6"/>
    <w:rsid w:val="38CA1338"/>
    <w:rsid w:val="391C28EE"/>
    <w:rsid w:val="398F0CA8"/>
    <w:rsid w:val="3A6C3919"/>
    <w:rsid w:val="3B1A3909"/>
    <w:rsid w:val="3B37322C"/>
    <w:rsid w:val="3B7A0F58"/>
    <w:rsid w:val="3C333252"/>
    <w:rsid w:val="3C672EE2"/>
    <w:rsid w:val="3CC647D3"/>
    <w:rsid w:val="41120194"/>
    <w:rsid w:val="41A01E0D"/>
    <w:rsid w:val="42907749"/>
    <w:rsid w:val="432B3291"/>
    <w:rsid w:val="4391781D"/>
    <w:rsid w:val="43EE21DA"/>
    <w:rsid w:val="4592277E"/>
    <w:rsid w:val="45DC4B29"/>
    <w:rsid w:val="48960B41"/>
    <w:rsid w:val="493733B5"/>
    <w:rsid w:val="49424788"/>
    <w:rsid w:val="49EC224C"/>
    <w:rsid w:val="4C4C62F7"/>
    <w:rsid w:val="4D601F30"/>
    <w:rsid w:val="4E2C295C"/>
    <w:rsid w:val="4FD37F56"/>
    <w:rsid w:val="50453168"/>
    <w:rsid w:val="50CE10DD"/>
    <w:rsid w:val="512B4493"/>
    <w:rsid w:val="544813CD"/>
    <w:rsid w:val="54837CBB"/>
    <w:rsid w:val="5A445BB4"/>
    <w:rsid w:val="5AE16379"/>
    <w:rsid w:val="5E1216FE"/>
    <w:rsid w:val="62392E68"/>
    <w:rsid w:val="640146EE"/>
    <w:rsid w:val="646502AB"/>
    <w:rsid w:val="65083676"/>
    <w:rsid w:val="654D71EC"/>
    <w:rsid w:val="659854CA"/>
    <w:rsid w:val="669A5492"/>
    <w:rsid w:val="66E51502"/>
    <w:rsid w:val="67D972FC"/>
    <w:rsid w:val="67EA3DCB"/>
    <w:rsid w:val="68877127"/>
    <w:rsid w:val="6B06293D"/>
    <w:rsid w:val="6B3E697D"/>
    <w:rsid w:val="6CB457C7"/>
    <w:rsid w:val="6CF0252C"/>
    <w:rsid w:val="6E3C6504"/>
    <w:rsid w:val="6F3335BA"/>
    <w:rsid w:val="6FEC3071"/>
    <w:rsid w:val="710354F2"/>
    <w:rsid w:val="73157770"/>
    <w:rsid w:val="734E0722"/>
    <w:rsid w:val="766E0306"/>
    <w:rsid w:val="76A76695"/>
    <w:rsid w:val="76E521D9"/>
    <w:rsid w:val="7725313D"/>
    <w:rsid w:val="779035D2"/>
    <w:rsid w:val="786514EC"/>
    <w:rsid w:val="79B76AC2"/>
    <w:rsid w:val="7A241826"/>
    <w:rsid w:val="7B084D19"/>
    <w:rsid w:val="7B8239A1"/>
    <w:rsid w:val="7B8F6412"/>
    <w:rsid w:val="7CAA1CAF"/>
    <w:rsid w:val="7D7207BA"/>
    <w:rsid w:val="7EB04622"/>
    <w:rsid w:val="7EDC5F34"/>
    <w:rsid w:val="7EEB540B"/>
    <w:rsid w:val="7F844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tabs>
        <w:tab w:val="left" w:pos="2340"/>
      </w:tabs>
      <w:ind w:firstLine="420" w:firstLineChars="200"/>
    </w:pPr>
  </w:style>
  <w:style w:type="paragraph" w:styleId="3">
    <w:name w:val="Body Text Indent"/>
    <w:basedOn w:val="1"/>
    <w:link w:val="18"/>
    <w:qFormat/>
    <w:uiPriority w:val="0"/>
    <w:pPr>
      <w:ind w:firstLine="420"/>
    </w:pPr>
    <w:rPr>
      <w:rFonts w:ascii="Times New Roman" w:hAnsi="Times New Roman" w:eastAsia="宋体" w:cs="Times New Roman"/>
      <w:sz w:val="24"/>
      <w:szCs w:val="24"/>
    </w:rPr>
  </w:style>
  <w:style w:type="paragraph" w:styleId="4">
    <w:name w:val="annotation text"/>
    <w:basedOn w:val="1"/>
    <w:link w:val="19"/>
    <w:qFormat/>
    <w:uiPriority w:val="0"/>
    <w:pPr>
      <w:spacing w:line="360" w:lineRule="auto"/>
      <w:jc w:val="left"/>
    </w:pPr>
    <w:rPr>
      <w:rFonts w:ascii="宋体" w:hAnsi="宋体" w:eastAsia="宋体" w:cs="Times New Roman"/>
      <w:szCs w:val="24"/>
    </w:rPr>
  </w:style>
  <w:style w:type="paragraph" w:styleId="5">
    <w:name w:val="Body Text"/>
    <w:basedOn w:val="1"/>
    <w:unhideWhenUsed/>
    <w:qFormat/>
    <w:uiPriority w:val="99"/>
    <w:pPr>
      <w:spacing w:after="120"/>
    </w:pPr>
    <w:rPr>
      <w:rFonts w:eastAsia="仿宋_GB2312"/>
    </w:rPr>
  </w:style>
  <w:style w:type="paragraph" w:styleId="6">
    <w:name w:val="Balloon Text"/>
    <w:basedOn w:val="1"/>
    <w:link w:val="14"/>
    <w:semiHidden/>
    <w:unhideWhenUsed/>
    <w:qFormat/>
    <w:uiPriority w:val="99"/>
    <w:rPr>
      <w:sz w:val="18"/>
      <w:szCs w:val="18"/>
    </w:rPr>
  </w:style>
  <w:style w:type="paragraph" w:styleId="7">
    <w:name w:val="footer"/>
    <w:basedOn w:val="1"/>
    <w:link w:val="16"/>
    <w:semiHidden/>
    <w:unhideWhenUsed/>
    <w:qFormat/>
    <w:uiPriority w:val="99"/>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3">
    <w:name w:val="Strong"/>
    <w:basedOn w:val="12"/>
    <w:qFormat/>
    <w:uiPriority w:val="22"/>
    <w:rPr>
      <w:b/>
    </w:rPr>
  </w:style>
  <w:style w:type="character" w:customStyle="1" w:styleId="14">
    <w:name w:val="批注框文本 Char"/>
    <w:basedOn w:val="12"/>
    <w:link w:val="6"/>
    <w:semiHidden/>
    <w:qFormat/>
    <w:uiPriority w:val="99"/>
    <w:rPr>
      <w:sz w:val="18"/>
      <w:szCs w:val="18"/>
    </w:rPr>
  </w:style>
  <w:style w:type="character" w:customStyle="1" w:styleId="15">
    <w:name w:val="页眉 Char"/>
    <w:basedOn w:val="12"/>
    <w:link w:val="8"/>
    <w:semiHidden/>
    <w:qFormat/>
    <w:uiPriority w:val="99"/>
    <w:rPr>
      <w:sz w:val="18"/>
      <w:szCs w:val="18"/>
    </w:rPr>
  </w:style>
  <w:style w:type="character" w:customStyle="1" w:styleId="16">
    <w:name w:val="页脚 Char"/>
    <w:basedOn w:val="12"/>
    <w:link w:val="7"/>
    <w:semiHidden/>
    <w:qFormat/>
    <w:uiPriority w:val="99"/>
    <w:rPr>
      <w:sz w:val="18"/>
      <w:szCs w:val="18"/>
    </w:rPr>
  </w:style>
  <w:style w:type="paragraph" w:customStyle="1" w:styleId="17">
    <w:name w:val="章标题"/>
    <w:next w:val="1"/>
    <w:qFormat/>
    <w:uiPriority w:val="0"/>
    <w:pPr>
      <w:spacing w:beforeLines="50" w:afterLines="50"/>
      <w:jc w:val="both"/>
      <w:outlineLvl w:val="1"/>
    </w:pPr>
    <w:rPr>
      <w:rFonts w:ascii="黑体" w:hAnsi="Times New Roman" w:eastAsia="黑体" w:cs="Times New Roman"/>
      <w:kern w:val="0"/>
      <w:sz w:val="21"/>
      <w:szCs w:val="20"/>
      <w:lang w:val="en-US" w:eastAsia="zh-CN" w:bidi="ar-SA"/>
    </w:rPr>
  </w:style>
  <w:style w:type="character" w:customStyle="1" w:styleId="18">
    <w:name w:val="正文文本缩进 Char"/>
    <w:basedOn w:val="12"/>
    <w:link w:val="3"/>
    <w:qFormat/>
    <w:uiPriority w:val="0"/>
    <w:rPr>
      <w:rFonts w:ascii="Times New Roman" w:hAnsi="Times New Roman" w:eastAsia="宋体" w:cs="Times New Roman"/>
      <w:sz w:val="24"/>
      <w:szCs w:val="24"/>
    </w:rPr>
  </w:style>
  <w:style w:type="character" w:customStyle="1" w:styleId="19">
    <w:name w:val="批注文字 Char"/>
    <w:basedOn w:val="12"/>
    <w:link w:val="4"/>
    <w:qFormat/>
    <w:uiPriority w:val="0"/>
    <w:rPr>
      <w:rFonts w:ascii="宋体" w:hAnsi="宋体" w:eastAsia="宋体" w:cs="Times New Roman"/>
      <w:szCs w:val="24"/>
    </w:rPr>
  </w:style>
  <w:style w:type="paragraph" w:styleId="20">
    <w:name w:val="List Paragraph"/>
    <w:basedOn w:val="1"/>
    <w:qFormat/>
    <w:uiPriority w:val="34"/>
    <w:pPr>
      <w:ind w:firstLine="420" w:firstLineChars="200"/>
    </w:pPr>
  </w:style>
  <w:style w:type="paragraph" w:customStyle="1" w:styleId="21">
    <w:name w:val="段"/>
    <w:link w:val="22"/>
    <w:qFormat/>
    <w:uiPriority w:val="0"/>
    <w:pPr>
      <w:autoSpaceDE w:val="0"/>
      <w:autoSpaceDN w:val="0"/>
      <w:ind w:firstLine="200" w:firstLineChars="200"/>
      <w:jc w:val="both"/>
    </w:pPr>
    <w:rPr>
      <w:rFonts w:ascii="宋体" w:hAnsi="Times New Roman" w:eastAsia="宋体" w:cs="Times New Roman"/>
      <w:kern w:val="0"/>
      <w:sz w:val="21"/>
      <w:szCs w:val="22"/>
      <w:lang w:val="en-US" w:eastAsia="zh-CN" w:bidi="ar-SA"/>
    </w:rPr>
  </w:style>
  <w:style w:type="character" w:customStyle="1" w:styleId="22">
    <w:name w:val="段 Char"/>
    <w:link w:val="21"/>
    <w:qFormat/>
    <w:uiPriority w:val="0"/>
    <w:rPr>
      <w:rFonts w:ascii="宋体" w:hAnsi="Times New Roman" w:eastAsia="宋体" w:cs="Times New Roman"/>
      <w:kern w:val="0"/>
    </w:rPr>
  </w:style>
  <w:style w:type="character" w:customStyle="1" w:styleId="23">
    <w:name w:val="font01"/>
    <w:basedOn w:val="12"/>
    <w:qFormat/>
    <w:uiPriority w:val="0"/>
    <w:rPr>
      <w:rFonts w:hint="eastAsia" w:ascii="宋体" w:hAnsi="宋体" w:eastAsia="宋体" w:cs="宋体"/>
      <w:color w:val="000000"/>
      <w:sz w:val="22"/>
      <w:szCs w:val="22"/>
      <w:u w:val="none"/>
    </w:rPr>
  </w:style>
  <w:style w:type="character" w:customStyle="1" w:styleId="24">
    <w:name w:val="font21"/>
    <w:basedOn w:val="12"/>
    <w:qFormat/>
    <w:uiPriority w:val="0"/>
    <w:rPr>
      <w:rFonts w:hint="eastAsia" w:ascii="宋体" w:hAnsi="宋体" w:eastAsia="宋体" w:cs="宋体"/>
      <w:color w:val="000000"/>
      <w:sz w:val="22"/>
      <w:szCs w:val="22"/>
      <w:u w:val="none"/>
    </w:rPr>
  </w:style>
  <w:style w:type="character" w:customStyle="1" w:styleId="25">
    <w:name w:val="font11"/>
    <w:basedOn w:val="12"/>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NULL" TargetMode="External"/><Relationship Id="rId4" Type="http://schemas.openxmlformats.org/officeDocument/2006/relationships/image" Target="media/image1.pn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32C55B-7085-467F-ABDB-CBEB33EA7829}">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18</Pages>
  <Words>11496</Words>
  <Characters>16143</Characters>
  <Lines>68</Lines>
  <Paragraphs>19</Paragraphs>
  <TotalTime>2</TotalTime>
  <ScaleCrop>false</ScaleCrop>
  <LinksUpToDate>false</LinksUpToDate>
  <CharactersWithSpaces>16147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2022-08-03T02:17:00Z</dcterms:created>
  <dc:creator>Sky123.Org</dc:creator>
  <cp:lastModifiedBy>张野</cp:lastModifiedBy>
  <dcterms:modified xsi:type="dcterms:W3CDTF">2026-06-16T07:33:33Z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DD803281849C47C1A6B25E16854F7368</vt:lpwstr>
  </property>
  <property fmtid="{D5CDD505-2E9C-101B-9397-08002B2CF9AE}" pid="4" name="KSOTemplateDocerSaveRecord">
    <vt:lpwstr>eyJoZGlkIjoiZDkzZWI2YWJjZDZjZWJhMDk2Y2IyMTcxODkyOTMwZjkiLCJ1c2VySWQiOiIxNDg5Mjg2NDc2In0=</vt:lpwstr>
  </property>
</Properties>
</file>