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7EFFA2">
      <w:pPr>
        <w:tabs>
          <w:tab w:val="left" w:pos="6840"/>
          <w:tab w:val="left" w:pos="7020"/>
          <w:tab w:val="left" w:pos="10108"/>
        </w:tabs>
        <w:adjustRightInd w:val="0"/>
        <w:snapToGrid w:val="0"/>
        <w:jc w:val="left"/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</w:pPr>
      <w:r>
        <w:rPr>
          <w:rFonts w:hint="eastAsia" w:ascii="Times New Roman" w:hAnsi="Times New Roman" w:cs="Times New Roman"/>
          <w:b/>
          <w:bCs/>
          <w:sz w:val="28"/>
          <w:szCs w:val="28"/>
          <w:lang w:val="en-US" w:eastAsia="zh-CN"/>
        </w:rPr>
        <w:t>附件：</w:t>
      </w:r>
    </w:p>
    <w:p w14:paraId="68D16BDA">
      <w:pPr>
        <w:pStyle w:val="2"/>
        <w:jc w:val="center"/>
        <w:rPr>
          <w:rFonts w:hint="default"/>
        </w:rPr>
      </w:pPr>
      <w:r>
        <w:rPr>
          <w:rFonts w:hint="eastAsia" w:ascii="黑体" w:hAnsi="黑体" w:eastAsia="黑体" w:cs="Times New Roman"/>
          <w:color w:val="000000"/>
          <w:sz w:val="28"/>
          <w:szCs w:val="28"/>
          <w:highlight w:val="none"/>
          <w:lang w:val="en-US" w:eastAsia="zh-CN"/>
        </w:rPr>
        <w:t>轻金属分标委会审定、预审和讨论</w:t>
      </w:r>
      <w:r>
        <w:rPr>
          <w:rFonts w:ascii="黑体" w:hAnsi="黑体" w:eastAsia="黑体" w:cs="Times New Roman"/>
          <w:color w:val="000000"/>
          <w:sz w:val="28"/>
          <w:szCs w:val="28"/>
          <w:highlight w:val="none"/>
        </w:rPr>
        <w:t>的标准项目</w:t>
      </w:r>
      <w:bookmarkStart w:id="0" w:name="_GoBack"/>
      <w:bookmarkEnd w:id="0"/>
    </w:p>
    <w:tbl>
      <w:tblPr>
        <w:tblStyle w:val="8"/>
        <w:tblW w:w="4996" w:type="pct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3033"/>
        <w:gridCol w:w="2533"/>
        <w:gridCol w:w="7326"/>
        <w:gridCol w:w="845"/>
      </w:tblGrid>
      <w:tr w14:paraId="5B9AA7D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tblHeader/>
        </w:trPr>
        <w:tc>
          <w:tcPr>
            <w:tcW w:w="139" w:type="pct"/>
            <w:tcBorders>
              <w:bottom w:val="single" w:color="auto" w:sz="12" w:space="0"/>
            </w:tcBorders>
            <w:vAlign w:val="center"/>
          </w:tcPr>
          <w:p w14:paraId="76FFD573">
            <w:pPr>
              <w:tabs>
                <w:tab w:val="left" w:pos="6840"/>
                <w:tab w:val="left" w:pos="7020"/>
                <w:tab w:val="left" w:pos="10108"/>
              </w:tabs>
              <w:adjustRightInd w:val="0"/>
              <w:snapToGrid w:val="0"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074" w:type="pct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08569FAD">
            <w:pPr>
              <w:widowControl/>
              <w:jc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标准项目名称</w:t>
            </w:r>
          </w:p>
        </w:tc>
        <w:tc>
          <w:tcPr>
            <w:tcW w:w="897" w:type="pct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340F9D72">
            <w:pPr>
              <w:widowControl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项目编号</w:t>
            </w:r>
          </w:p>
        </w:tc>
        <w:tc>
          <w:tcPr>
            <w:tcW w:w="2589" w:type="pct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6630275A">
            <w:pPr>
              <w:widowControl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起草单位及相关单位</w:t>
            </w:r>
          </w:p>
        </w:tc>
        <w:tc>
          <w:tcPr>
            <w:tcW w:w="297" w:type="pct"/>
            <w:tcBorders>
              <w:bottom w:val="single" w:color="auto" w:sz="12" w:space="0"/>
            </w:tcBorders>
            <w:shd w:val="clear" w:color="auto" w:fill="auto"/>
            <w:vAlign w:val="center"/>
          </w:tcPr>
          <w:p w14:paraId="74072504">
            <w:pPr>
              <w:widowControl/>
              <w:jc w:val="center"/>
              <w:rPr>
                <w:rFonts w:hint="eastAsia" w:ascii="Times New Roman" w:hAnsi="Times New Roman" w:eastAsia="宋体" w:cs="Times New Roman"/>
                <w:i w:val="0"/>
                <w:iCs w:val="0"/>
                <w:color w:val="auto"/>
                <w:kern w:val="0"/>
                <w:sz w:val="21"/>
                <w:szCs w:val="21"/>
                <w:highlight w:val="none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备注</w:t>
            </w:r>
          </w:p>
        </w:tc>
      </w:tr>
      <w:tr w14:paraId="4F244E4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5000" w:type="pct"/>
            <w:gridSpan w:val="5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14962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default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  <w:t>第一组</w:t>
            </w:r>
          </w:p>
        </w:tc>
      </w:tr>
      <w:tr w14:paraId="0509A7C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9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0BB77A1B">
            <w:pPr>
              <w:pStyle w:val="2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adjustRightInd w:val="0"/>
              <w:snapToGrid w:val="0"/>
              <w:ind w:left="420" w:leftChars="0" w:hanging="420" w:firstLine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74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6A2ADE0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变形铝及铝合金铸锭及加工产品缺陷 第4部分：铝箔缺陷</w:t>
            </w:r>
          </w:p>
        </w:tc>
        <w:tc>
          <w:tcPr>
            <w:tcW w:w="897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036A1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国标委发〔2026〕10号</w:t>
            </w:r>
          </w:p>
          <w:p w14:paraId="57E92A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Calibri" w:hAnsi="Calibri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20260477-T-610</w:t>
            </w:r>
          </w:p>
        </w:tc>
        <w:tc>
          <w:tcPr>
            <w:tcW w:w="2589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49ABE8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五星铝业有限公司、有色金属技术经济研究院有限责任公司、厦门厦顺铝箔有限公司、浙江永杰铝业有限公司、安徽金誉材料股份有限公司、江苏大亚铝业有限公司、江苏中基新能源科技集团有限公司、昆山铝业股份有限公司、中铝材料应用研究院有限公司、贵州贵铝新材料股份有限公司、华北铝业新材料科技有限公司、江苏常铝铝业集团股份有限公司、广州优箔良材科技有限公司、乳源东阳光优艾希杰精箔有限公司、江苏鼎胜新能源材料股份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等</w:t>
            </w:r>
          </w:p>
        </w:tc>
        <w:tc>
          <w:tcPr>
            <w:tcW w:w="297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588136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讨论</w:t>
            </w:r>
          </w:p>
        </w:tc>
      </w:tr>
      <w:tr w14:paraId="2006EB57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1FF11C6">
            <w:pPr>
              <w:pStyle w:val="2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adjustRightInd w:val="0"/>
              <w:snapToGrid w:val="0"/>
              <w:ind w:left="420" w:leftChars="0" w:hanging="420" w:firstLineChars="0"/>
              <w:jc w:val="center"/>
              <w:rPr>
                <w:rFonts w:ascii="Times New Roman" w:hAnsi="Times New Roman" w:eastAsia="宋体" w:cs="Times New Roman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7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9F6E8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铝箔试验方法 第12部分：铝箔表面缺陷检测方法 照相法和光电传感器法</w:t>
            </w:r>
          </w:p>
        </w:tc>
        <w:tc>
          <w:tcPr>
            <w:tcW w:w="89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8DFD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待上报计划</w:t>
            </w:r>
          </w:p>
        </w:tc>
        <w:tc>
          <w:tcPr>
            <w:tcW w:w="258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6109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五星铝业有限公司、有色金属技术经济研究院有限责任公司、浙江双元科技股份有限公司、华北铝业新材料科技有限公司、广州优箔良材科技有限公司、厦门厦顺铝箔有限公司、浙江永杰铝业有限公司、江苏常铝铝业集团股份有限公司、安徽金誉材料股份有限公司、江苏大亚铝业有限公司、乳源东阳光优艾希杰精箔有限公司、江苏鼎胜新能源材料股份有限公司、昆山铝业股份有限公司、江苏中基新能源科技集团有限公司、贵州贵铝新材料股份有限公司、贵州中铝铝业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等</w:t>
            </w:r>
          </w:p>
        </w:tc>
        <w:tc>
          <w:tcPr>
            <w:tcW w:w="29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25C62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讨论</w:t>
            </w:r>
          </w:p>
        </w:tc>
      </w:tr>
      <w:tr w14:paraId="702B69F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0499812A">
            <w:pPr>
              <w:pStyle w:val="2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adjustRightInd w:val="0"/>
              <w:snapToGrid w:val="0"/>
              <w:ind w:left="420" w:firstLineChars="0"/>
              <w:jc w:val="center"/>
              <w:rPr>
                <w:rFonts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07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31BF51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铝箔在线孔洞检测系统技术要求</w:t>
            </w:r>
          </w:p>
        </w:tc>
        <w:tc>
          <w:tcPr>
            <w:tcW w:w="89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0EA8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中色协科字[2025]23号2025-011-T/CNIA</w:t>
            </w:r>
          </w:p>
        </w:tc>
        <w:tc>
          <w:tcPr>
            <w:tcW w:w="2589" w:type="pct"/>
            <w:vMerge w:val="restart"/>
            <w:tcBorders>
              <w:top w:val="single" w:color="auto" w:sz="4" w:space="0"/>
            </w:tcBorders>
            <w:shd w:val="clear" w:color="auto" w:fill="auto"/>
            <w:vAlign w:val="center"/>
          </w:tcPr>
          <w:p w14:paraId="79BF94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五星铝业有限公司、浙江双元科技股份有限公司、厦门厦顺铝箔有限公司、广州优箔良材科技有限公司、浙江永杰铝业有限公司、华北铝业新材料科技有限公司、昆山铝业股份有限公司、乳源东阳光优艾希杰精箔有限公司、江苏大亚铝业有限公司、贵州贵铝新材料股份有限公司、江苏中基新能源科技集团有限公司、安徽金誉材料股份有限公司、江苏鼎胜新能源材料股份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等</w:t>
            </w:r>
          </w:p>
        </w:tc>
        <w:tc>
          <w:tcPr>
            <w:tcW w:w="29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E585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kern w:val="0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讨论</w:t>
            </w:r>
          </w:p>
        </w:tc>
      </w:tr>
      <w:tr w14:paraId="27F433B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FA53EB5">
            <w:pPr>
              <w:pStyle w:val="2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adjustRightInd w:val="0"/>
              <w:snapToGrid w:val="0"/>
              <w:ind w:left="420" w:firstLineChars="0"/>
              <w:jc w:val="center"/>
              <w:rPr>
                <w:rFonts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07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F94308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铝及铝合金带材、箔材表面缺陷在线检测系统技术要求</w:t>
            </w:r>
          </w:p>
        </w:tc>
        <w:tc>
          <w:tcPr>
            <w:tcW w:w="89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68E76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中色协科字[2021]88号2021-007-T/CNIA</w:t>
            </w:r>
          </w:p>
        </w:tc>
        <w:tc>
          <w:tcPr>
            <w:tcW w:w="2589" w:type="pct"/>
            <w:vMerge w:val="continue"/>
            <w:tcBorders>
              <w:bottom w:val="single" w:color="auto" w:sz="4" w:space="0"/>
            </w:tcBorders>
            <w:shd w:val="clear" w:color="auto" w:fill="auto"/>
            <w:vAlign w:val="center"/>
          </w:tcPr>
          <w:p w14:paraId="36C2A6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</w:p>
        </w:tc>
        <w:tc>
          <w:tcPr>
            <w:tcW w:w="29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5197B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讨论</w:t>
            </w:r>
          </w:p>
        </w:tc>
      </w:tr>
      <w:tr w14:paraId="4FE317D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6" w:hRule="atLeast"/>
        </w:trPr>
        <w:tc>
          <w:tcPr>
            <w:tcW w:w="13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FF9AD97">
            <w:pPr>
              <w:pStyle w:val="2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adjustRightInd w:val="0"/>
              <w:snapToGrid w:val="0"/>
              <w:ind w:left="420" w:firstLineChars="0"/>
              <w:jc w:val="center"/>
              <w:rPr>
                <w:rFonts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07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0D1CB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锂离子电池用铝及铝合金涂碳箔</w:t>
            </w:r>
          </w:p>
        </w:tc>
        <w:tc>
          <w:tcPr>
            <w:tcW w:w="89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D1611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待下达计划</w:t>
            </w:r>
          </w:p>
        </w:tc>
        <w:tc>
          <w:tcPr>
            <w:tcW w:w="258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45925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杭州五星铝业有限公司、广州纳诺科技股份有限公司、乳源瑶族自治县阳之光亲水箔有限公司、广州慧谷新材料科技股份有限公司、厦门厦顺铝箔有限公司、江苏鼎胜新能源材料股份有限公司、浙江永杰铝业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等</w:t>
            </w:r>
          </w:p>
        </w:tc>
        <w:tc>
          <w:tcPr>
            <w:tcW w:w="29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DC1A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讨论</w:t>
            </w:r>
          </w:p>
        </w:tc>
      </w:tr>
      <w:tr w14:paraId="087A59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" w:hRule="atLeast"/>
        </w:trPr>
        <w:tc>
          <w:tcPr>
            <w:tcW w:w="5000" w:type="pct"/>
            <w:gridSpan w:val="5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3B2129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0"/>
                <w:sz w:val="21"/>
                <w:szCs w:val="21"/>
                <w:lang w:val="en-US" w:eastAsia="zh-CN" w:bidi="ar-SA"/>
              </w:rPr>
              <w:t>第二组</w:t>
            </w:r>
          </w:p>
        </w:tc>
      </w:tr>
      <w:tr w14:paraId="6AB9818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9" w:type="pct"/>
            <w:tcBorders>
              <w:top w:val="single" w:color="auto" w:sz="12" w:space="0"/>
              <w:bottom w:val="single" w:color="auto" w:sz="4" w:space="0"/>
            </w:tcBorders>
            <w:vAlign w:val="center"/>
          </w:tcPr>
          <w:p w14:paraId="668CC0EA">
            <w:pPr>
              <w:pStyle w:val="2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adjustRightInd w:val="0"/>
              <w:snapToGrid w:val="0"/>
              <w:ind w:left="420" w:firstLineChars="0"/>
              <w:jc w:val="center"/>
              <w:rPr>
                <w:rFonts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074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6AE21F1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color w:val="000000" w:themeColor="text1"/>
                <w:kern w:val="2"/>
                <w:sz w:val="21"/>
                <w:szCs w:val="21"/>
                <w:highlight w:val="no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氟钛酸钾、氟硼酸钾、氟锆酸钾 化学分析方法 第7部分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钠含量的测定 火焰原子吸收光谱法</w:t>
            </w:r>
          </w:p>
        </w:tc>
        <w:tc>
          <w:tcPr>
            <w:tcW w:w="897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0FC91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国标委发〔2025〕43号20253843-T-610</w:t>
            </w:r>
          </w:p>
        </w:tc>
        <w:tc>
          <w:tcPr>
            <w:tcW w:w="2589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00F7ED2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color w:val="auto"/>
                <w:kern w:val="2"/>
                <w:sz w:val="21"/>
                <w:szCs w:val="21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广东省科学院工业分析检测中心、内蒙古霍煤鸿骏铝电有限责任公司、福建省漳平市九鼎氟化工有限公司、国标（北京）检验认证有限公司、中铝郑州有色金属研究院有限公司、多氟多新材料股份有限公司等</w:t>
            </w:r>
          </w:p>
        </w:tc>
        <w:tc>
          <w:tcPr>
            <w:tcW w:w="297" w:type="pct"/>
            <w:tcBorders>
              <w:top w:val="single" w:color="auto" w:sz="12" w:space="0"/>
              <w:bottom w:val="single" w:color="auto" w:sz="4" w:space="0"/>
            </w:tcBorders>
            <w:shd w:val="clear" w:color="auto" w:fill="auto"/>
            <w:vAlign w:val="center"/>
          </w:tcPr>
          <w:p w14:paraId="29666A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审定</w:t>
            </w:r>
          </w:p>
        </w:tc>
      </w:tr>
      <w:tr w14:paraId="520A8D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6498F025">
            <w:pPr>
              <w:pStyle w:val="2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adjustRightInd w:val="0"/>
              <w:snapToGrid w:val="0"/>
              <w:ind w:left="420" w:firstLineChars="0"/>
              <w:jc w:val="center"/>
              <w:rPr>
                <w:rFonts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07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0BD9AF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氟化铝化学分析方法和物理性能测定方法第7部分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三化二铁含量的测定 邻二氮杂菲分光光度法</w:t>
            </w:r>
          </w:p>
        </w:tc>
        <w:tc>
          <w:tcPr>
            <w:tcW w:w="89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2222F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工信厅科函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〔2025〕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528号2025-1332T-YS</w:t>
            </w:r>
          </w:p>
        </w:tc>
        <w:tc>
          <w:tcPr>
            <w:tcW w:w="258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AB0C1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中铝检测科技(郑州)有限公司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氟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多新材料股份有限公司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中铝山西新材料有限公司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内蒙古霍煤鸿骏铝电有限责任公司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山东南山铝业股份有限公司等</w:t>
            </w:r>
          </w:p>
        </w:tc>
        <w:tc>
          <w:tcPr>
            <w:tcW w:w="29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29E9E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审定</w:t>
            </w:r>
          </w:p>
        </w:tc>
      </w:tr>
      <w:tr w14:paraId="460CDBF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DB0E5CB">
            <w:pPr>
              <w:pStyle w:val="2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adjustRightInd w:val="0"/>
              <w:snapToGrid w:val="0"/>
              <w:ind w:left="420" w:firstLineChars="0"/>
              <w:jc w:val="center"/>
              <w:rPr>
                <w:rFonts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07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303929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氟化铝化学分析方法和物理性能测定方法 第17部分：流动时间的测定</w:t>
            </w:r>
          </w:p>
        </w:tc>
        <w:tc>
          <w:tcPr>
            <w:tcW w:w="89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F301C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工信厅科函〔2025〕528号2025-1333T-YS</w:t>
            </w:r>
          </w:p>
        </w:tc>
        <w:tc>
          <w:tcPr>
            <w:tcW w:w="258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C51C8B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中铝检测科技（郑州）有限公司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包头铝业有限公司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中铝中州铝业有限公司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中铝（郑州）铝业有限公司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中铝山西新材料有限公司等</w:t>
            </w:r>
          </w:p>
        </w:tc>
        <w:tc>
          <w:tcPr>
            <w:tcW w:w="29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0CBD4D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审定</w:t>
            </w:r>
          </w:p>
        </w:tc>
      </w:tr>
      <w:tr w14:paraId="3F587A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1DB16A1C">
            <w:pPr>
              <w:pStyle w:val="2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adjustRightInd w:val="0"/>
              <w:snapToGrid w:val="0"/>
              <w:ind w:left="420" w:firstLineChars="0"/>
              <w:jc w:val="center"/>
              <w:rPr>
                <w:rFonts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07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D11E01A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氢氧化铝化学分析方法第6部分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微量元素含量的测定 波长色散X射线荧光光谱法</w:t>
            </w:r>
          </w:p>
        </w:tc>
        <w:tc>
          <w:tcPr>
            <w:tcW w:w="89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A6EEC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工信厅科函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〔2025〕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528号2025-1335T-YS</w:t>
            </w:r>
          </w:p>
        </w:tc>
        <w:tc>
          <w:tcPr>
            <w:tcW w:w="258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C0AC9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中铝检测科技(郑州)有限公司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中国铝业股份有限公司广西分公司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岛津企业管理(中国)有限公司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国标(北京)检测认证有限公司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多多新材料股份有限公司，山东南山铝业股份有限公司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、</w:t>
            </w:r>
            <w:r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中铝(郑州)铝业有限公司等</w:t>
            </w:r>
          </w:p>
        </w:tc>
        <w:tc>
          <w:tcPr>
            <w:tcW w:w="29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3500EC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预审</w:t>
            </w:r>
          </w:p>
        </w:tc>
      </w:tr>
      <w:tr w14:paraId="398827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455D91FB">
            <w:pPr>
              <w:pStyle w:val="2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adjustRightInd w:val="0"/>
              <w:snapToGrid w:val="0"/>
              <w:ind w:left="420" w:firstLineChars="0"/>
              <w:jc w:val="center"/>
              <w:rPr>
                <w:rFonts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07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7432FC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</w:rPr>
              <w:t>氟钛酸钾、氟硼酸钾、氟锆酸钾化学分析方法 第9部分：氯含量的测定 硝酸汞容量法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或离子色谱法</w:t>
            </w:r>
          </w:p>
        </w:tc>
        <w:tc>
          <w:tcPr>
            <w:tcW w:w="89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5F0FA1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待上报计划</w:t>
            </w:r>
          </w:p>
        </w:tc>
        <w:tc>
          <w:tcPr>
            <w:tcW w:w="258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DC56D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</w:rPr>
              <w:t>中铝</w:t>
            </w:r>
            <w:r>
              <w:rPr>
                <w:rFonts w:hint="eastAsia" w:ascii="Times New Roman" w:hAnsi="Times New Roman" w:cs="Times New Roman"/>
                <w:sz w:val="21"/>
                <w:szCs w:val="21"/>
                <w:highlight w:val="none"/>
                <w:lang w:val="en-US" w:eastAsia="zh-CN"/>
              </w:rPr>
              <w:t>检测科技（郑州）有限公司</w:t>
            </w:r>
            <w:r>
              <w:rPr>
                <w:rFonts w:hint="eastAsia" w:ascii="Times New Roman" w:hAnsi="Times New Roman" w:cs="Times New Roman"/>
                <w:sz w:val="21"/>
                <w:szCs w:val="21"/>
              </w:rPr>
              <w:t>、九鼎氟化工有限公司、</w:t>
            </w:r>
            <w:r>
              <w:rPr>
                <w:rFonts w:hint="eastAsia" w:ascii="Times New Roman" w:hAnsi="Times New Roman" w:cs="Times New Roman"/>
                <w:sz w:val="21"/>
                <w:szCs w:val="21"/>
                <w:lang w:val="en-US" w:eastAsia="zh-CN"/>
              </w:rPr>
              <w:t>内蒙古霍煤鸿骏铝电有限公司、多氟多新材料股份有限公司、国标（北京）检验认证有限公司等</w:t>
            </w:r>
          </w:p>
        </w:tc>
        <w:tc>
          <w:tcPr>
            <w:tcW w:w="29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6C498D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讨论</w:t>
            </w:r>
          </w:p>
        </w:tc>
      </w:tr>
      <w:tr w14:paraId="6D4EF1B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</w:trPr>
        <w:tc>
          <w:tcPr>
            <w:tcW w:w="139" w:type="pct"/>
            <w:tcBorders>
              <w:top w:val="single" w:color="auto" w:sz="4" w:space="0"/>
              <w:bottom w:val="single" w:color="auto" w:sz="4" w:space="0"/>
            </w:tcBorders>
            <w:vAlign w:val="center"/>
          </w:tcPr>
          <w:p w14:paraId="7D19A471">
            <w:pPr>
              <w:pStyle w:val="20"/>
              <w:numPr>
                <w:ilvl w:val="0"/>
                <w:numId w:val="1"/>
              </w:numPr>
              <w:tabs>
                <w:tab w:val="left" w:pos="6840"/>
                <w:tab w:val="left" w:pos="7020"/>
                <w:tab w:val="left" w:pos="10108"/>
              </w:tabs>
              <w:adjustRightInd w:val="0"/>
              <w:snapToGrid w:val="0"/>
              <w:ind w:left="420" w:firstLineChars="0"/>
              <w:jc w:val="center"/>
              <w:rPr>
                <w:rFonts w:ascii="Times New Roman" w:hAnsi="Times New Roman" w:cs="Times New Roman"/>
                <w:sz w:val="21"/>
                <w:szCs w:val="21"/>
                <w:highlight w:val="none"/>
              </w:rPr>
            </w:pPr>
          </w:p>
        </w:tc>
        <w:tc>
          <w:tcPr>
            <w:tcW w:w="1074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1658331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/>
                <w:sz w:val="21"/>
                <w:szCs w:val="21"/>
              </w:rPr>
              <w:t>氟化锂、氟化镁化学分析方法 第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8</w:t>
            </w:r>
            <w:r>
              <w:rPr>
                <w:rFonts w:hint="eastAsia"/>
                <w:sz w:val="21"/>
                <w:szCs w:val="21"/>
              </w:rPr>
              <w:t>部分：硫酸根含量的测定 硫酸钡重量法</w:t>
            </w:r>
          </w:p>
        </w:tc>
        <w:tc>
          <w:tcPr>
            <w:tcW w:w="89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29381F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-SA"/>
              </w:rPr>
              <w:t>待上报计划</w:t>
            </w:r>
          </w:p>
        </w:tc>
        <w:tc>
          <w:tcPr>
            <w:tcW w:w="2589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3125ED0">
            <w:pPr>
              <w:pStyle w:val="2"/>
              <w:rPr>
                <w:rFonts w:hint="default" w:ascii="Calibri" w:hAnsi="Calibri" w:eastAsia="宋体" w:cs="宋体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/>
                <w:sz w:val="21"/>
                <w:szCs w:val="21"/>
              </w:rPr>
              <w:t>中铝检测科技（郑州）有限公司、多氟多新材料股份有限公司、国合通用青岛测试评价有限公司</w:t>
            </w:r>
            <w:r>
              <w:rPr>
                <w:rFonts w:hint="eastAsia"/>
                <w:sz w:val="21"/>
                <w:szCs w:val="21"/>
                <w:lang w:val="en-US" w:eastAsia="zh-CN"/>
              </w:rPr>
              <w:t>等</w:t>
            </w:r>
          </w:p>
        </w:tc>
        <w:tc>
          <w:tcPr>
            <w:tcW w:w="297" w:type="pct"/>
            <w:tcBorders>
              <w:top w:val="single" w:color="auto" w:sz="4" w:space="0"/>
              <w:bottom w:val="single" w:color="auto" w:sz="4" w:space="0"/>
            </w:tcBorders>
            <w:shd w:val="clear" w:color="auto" w:fill="auto"/>
            <w:vAlign w:val="center"/>
          </w:tcPr>
          <w:p w14:paraId="4AA9FF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textAlignment w:val="center"/>
              <w:rPr>
                <w:rFonts w:hint="eastAsia" w:ascii="Times New Roman" w:hAnsi="Times New Roman" w:eastAsia="宋体" w:cs="Times New Roman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Times New Roman" w:hAnsi="Times New Roman" w:cs="Times New Roman"/>
                <w:kern w:val="0"/>
                <w:sz w:val="21"/>
                <w:szCs w:val="21"/>
                <w:lang w:val="en-US" w:eastAsia="zh-CN" w:bidi="ar-SA"/>
              </w:rPr>
              <w:t>讨论</w:t>
            </w:r>
          </w:p>
        </w:tc>
      </w:tr>
    </w:tbl>
    <w:p w14:paraId="3A2018B4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0"/>
    <w:multiLevelType w:val="multilevel"/>
    <w:tmpl w:val="00000000"/>
    <w:lvl w:ilvl="0" w:tentative="0">
      <w:start w:val="1"/>
      <w:numFmt w:val="decimal"/>
      <w:lvlText w:val="%1."/>
      <w:lvlJc w:val="left"/>
      <w:pPr>
        <w:ind w:left="562" w:hanging="420"/>
      </w:pPr>
      <w:rPr>
        <w:rFonts w:hint="default"/>
        <w:sz w:val="18"/>
        <w:szCs w:val="18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DI0MmIzMzRmOTdmOWU1Y2M1NWQ0OTYwYTVjOTZlYWYifQ=="/>
  </w:docVars>
  <w:rsids>
    <w:rsidRoot w:val="00000000"/>
    <w:rsid w:val="01064C9A"/>
    <w:rsid w:val="013E6769"/>
    <w:rsid w:val="06FD0FC9"/>
    <w:rsid w:val="09051306"/>
    <w:rsid w:val="090E6A2D"/>
    <w:rsid w:val="09B259BF"/>
    <w:rsid w:val="0B995089"/>
    <w:rsid w:val="0C2234B5"/>
    <w:rsid w:val="0F110AE5"/>
    <w:rsid w:val="0FCB160C"/>
    <w:rsid w:val="10B7350A"/>
    <w:rsid w:val="10D40911"/>
    <w:rsid w:val="128A572B"/>
    <w:rsid w:val="12CA3D79"/>
    <w:rsid w:val="16C511B0"/>
    <w:rsid w:val="176B1C0A"/>
    <w:rsid w:val="17FA1F2D"/>
    <w:rsid w:val="186D7206"/>
    <w:rsid w:val="1AC6751C"/>
    <w:rsid w:val="1E414E81"/>
    <w:rsid w:val="1F3C7DAD"/>
    <w:rsid w:val="242D7456"/>
    <w:rsid w:val="24DD7748"/>
    <w:rsid w:val="252818B7"/>
    <w:rsid w:val="269F1209"/>
    <w:rsid w:val="280A7841"/>
    <w:rsid w:val="285439C6"/>
    <w:rsid w:val="2BDB5159"/>
    <w:rsid w:val="3091782D"/>
    <w:rsid w:val="309D2676"/>
    <w:rsid w:val="3200580A"/>
    <w:rsid w:val="32625925"/>
    <w:rsid w:val="340F42CA"/>
    <w:rsid w:val="359202CF"/>
    <w:rsid w:val="388B706D"/>
    <w:rsid w:val="3B9D21BA"/>
    <w:rsid w:val="3D3D4FC4"/>
    <w:rsid w:val="3DCD6B06"/>
    <w:rsid w:val="3F382312"/>
    <w:rsid w:val="3F832DEC"/>
    <w:rsid w:val="42072045"/>
    <w:rsid w:val="43972F54"/>
    <w:rsid w:val="43AF64F0"/>
    <w:rsid w:val="44965583"/>
    <w:rsid w:val="462705C0"/>
    <w:rsid w:val="4E4B04E6"/>
    <w:rsid w:val="4EB25325"/>
    <w:rsid w:val="4EDD5C34"/>
    <w:rsid w:val="4FB629B4"/>
    <w:rsid w:val="5160711D"/>
    <w:rsid w:val="525C5A95"/>
    <w:rsid w:val="532F6D06"/>
    <w:rsid w:val="585D05F5"/>
    <w:rsid w:val="5B1A65A9"/>
    <w:rsid w:val="5CAA0600"/>
    <w:rsid w:val="5F8A1E93"/>
    <w:rsid w:val="60F46C91"/>
    <w:rsid w:val="62035F2D"/>
    <w:rsid w:val="623B6A28"/>
    <w:rsid w:val="631B1928"/>
    <w:rsid w:val="64340620"/>
    <w:rsid w:val="65334B65"/>
    <w:rsid w:val="661C75BD"/>
    <w:rsid w:val="67EB0A43"/>
    <w:rsid w:val="693E784B"/>
    <w:rsid w:val="699B067F"/>
    <w:rsid w:val="6A222000"/>
    <w:rsid w:val="6B513865"/>
    <w:rsid w:val="6BE648F5"/>
    <w:rsid w:val="6ED4591B"/>
    <w:rsid w:val="6FEF7A37"/>
    <w:rsid w:val="71C95C2A"/>
    <w:rsid w:val="71F616D3"/>
    <w:rsid w:val="77F263D0"/>
    <w:rsid w:val="7BF021A6"/>
    <w:rsid w:val="7D116B61"/>
    <w:rsid w:val="7F207CC7"/>
    <w:rsid w:val="ABE9A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qFormat="1" w:unhideWhenUsed="0" w:uiPriority="99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qFormat="1" w:uiPriority="99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qFormat="1"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qFormat="1"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qFormat="1"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qFormat="1"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qFormat="1"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qFormat="1"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qFormat="1"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2"/>
      <w:lang w:val="en-US" w:eastAsia="zh-CN" w:bidi="ar-SA"/>
    </w:rPr>
  </w:style>
  <w:style w:type="character" w:default="1" w:styleId="17">
    <w:name w:val="Default Paragraph Font"/>
    <w:qFormat/>
    <w:uiPriority w:val="0"/>
  </w:style>
  <w:style w:type="table" w:default="1" w:styleId="8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nhideWhenUsed/>
    <w:qFormat/>
    <w:uiPriority w:val="99"/>
    <w:pPr>
      <w:spacing w:after="120"/>
    </w:pPr>
  </w:style>
  <w:style w:type="paragraph" w:styleId="3">
    <w:name w:val="endnote text"/>
    <w:basedOn w:val="1"/>
    <w:qFormat/>
    <w:uiPriority w:val="99"/>
    <w:pPr>
      <w:adjustRightInd w:val="0"/>
      <w:snapToGrid w:val="0"/>
      <w:jc w:val="left"/>
      <w:textAlignment w:val="baseline"/>
    </w:pPr>
    <w:rPr>
      <w:rFonts w:eastAsia="Times New Roman"/>
      <w:szCs w:val="24"/>
    </w:rPr>
  </w:style>
  <w:style w:type="paragraph" w:styleId="4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6">
    <w:name w:val="toc 1"/>
    <w:basedOn w:val="1"/>
    <w:next w:val="1"/>
    <w:qFormat/>
    <w:uiPriority w:val="0"/>
    <w:pPr>
      <w:spacing w:before="25" w:beforeLines="25" w:after="25" w:afterLines="25"/>
    </w:pPr>
    <w:rPr>
      <w:szCs w:val="21"/>
    </w:rPr>
  </w:style>
  <w:style w:type="paragraph" w:styleId="7">
    <w:name w:val="Normal (Web)"/>
    <w:basedOn w:val="1"/>
    <w:qFormat/>
    <w:uiPriority w:val="0"/>
    <w:rPr>
      <w:sz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Medium Grid 3"/>
    <w:basedOn w:val="8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808080"/>
      </w:tcPr>
    </w:tblStylePr>
  </w:style>
  <w:style w:type="table" w:styleId="11">
    <w:name w:val="Medium Grid 3 Accent 1"/>
    <w:basedOn w:val="8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7BFDE"/>
      </w:tcPr>
    </w:tblStylePr>
  </w:style>
  <w:style w:type="table" w:styleId="12">
    <w:name w:val="Medium Grid 3 Accent 2"/>
    <w:basedOn w:val="8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DFA7A6"/>
      </w:tcPr>
    </w:tblStylePr>
  </w:style>
  <w:style w:type="table" w:styleId="13">
    <w:name w:val="Medium Grid 3 Accent 3"/>
    <w:basedOn w:val="8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CDDDAC"/>
      </w:tcPr>
    </w:tblStylePr>
  </w:style>
  <w:style w:type="table" w:styleId="14">
    <w:name w:val="Medium Grid 3 Accent 4"/>
    <w:basedOn w:val="8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BFB1D0"/>
      </w:tcPr>
    </w:tblStylePr>
  </w:style>
  <w:style w:type="table" w:styleId="15">
    <w:name w:val="Medium Grid 3 Accent 5"/>
    <w:basedOn w:val="8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A5D5E2"/>
      </w:tcPr>
    </w:tblStylePr>
  </w:style>
  <w:style w:type="table" w:styleId="16">
    <w:name w:val="Medium Grid 3 Accent 6"/>
    <w:basedOn w:val="8"/>
    <w:qFormat/>
    <w:uiPriority w:val="69"/>
    <w:tblPr>
      <w:tblBorders>
        <w:top w:val="single" w:color="CCE8CF" w:sz="8" w:space="0"/>
        <w:left w:val="single" w:color="CCE8CF" w:sz="8" w:space="0"/>
        <w:bottom w:val="single" w:color="CCE8CF" w:sz="8" w:space="0"/>
        <w:right w:val="single" w:color="CCE8CF" w:sz="8" w:space="0"/>
        <w:insideH w:val="single" w:color="CCE8CF" w:sz="6" w:space="0"/>
        <w:insideV w:val="single" w:color="CCE8CF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color="CCE8CF" w:sz="8" w:space="0"/>
          <w:left w:val="single" w:color="CCE8CF" w:sz="8" w:space="0"/>
          <w:bottom w:val="single" w:color="CCE8CF" w:sz="24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color="CCE8CF" w:sz="24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single" w:sz="8" w:space="0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color="CCE8CF" w:sz="8" w:space="0"/>
          <w:right w:val="single" w:color="CCE8CF" w:sz="24" w:space="0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color="CCE8CF" w:sz="24" w:space="0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color="CCE8CF" w:sz="8" w:space="0"/>
          <w:left w:val="single" w:color="CCE8CF" w:sz="8" w:space="0"/>
          <w:bottom w:val="single" w:color="CCE8CF" w:sz="8" w:space="0"/>
          <w:right w:val="single" w:color="CCE8CF" w:sz="8" w:space="0"/>
          <w:insideH w:val="single" w:sz="8" w:space="0"/>
          <w:insideV w:val="single" w:sz="8" w:space="0"/>
        </w:tcBorders>
        <w:shd w:val="clear" w:color="auto" w:fill="FBCAA2"/>
      </w:tcPr>
    </w:tblStylePr>
  </w:style>
  <w:style w:type="character" w:styleId="18">
    <w:name w:val="Emphasis"/>
    <w:basedOn w:val="17"/>
    <w:qFormat/>
    <w:uiPriority w:val="0"/>
    <w:rPr>
      <w:i/>
    </w:rPr>
  </w:style>
  <w:style w:type="character" w:styleId="19">
    <w:name w:val="Hyperlink"/>
    <w:basedOn w:val="17"/>
    <w:qFormat/>
    <w:uiPriority w:val="0"/>
    <w:rPr>
      <w:color w:val="0000FF"/>
      <w:u w:val="single"/>
    </w:rPr>
  </w:style>
  <w:style w:type="paragraph" w:styleId="20">
    <w:name w:val="List Paragraph"/>
    <w:basedOn w:val="1"/>
    <w:qFormat/>
    <w:uiPriority w:val="34"/>
    <w:pPr>
      <w:ind w:firstLine="420" w:firstLineChars="200"/>
    </w:pPr>
  </w:style>
  <w:style w:type="character" w:customStyle="1" w:styleId="21">
    <w:name w:val="font2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  <w:style w:type="character" w:customStyle="1" w:styleId="22">
    <w:name w:val="font11"/>
    <w:basedOn w:val="1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font41"/>
    <w:basedOn w:val="1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1587</Words>
  <Characters>1716</Characters>
  <Paragraphs>71</Paragraphs>
  <TotalTime>0</TotalTime>
  <ScaleCrop>false</ScaleCrop>
  <LinksUpToDate>false</LinksUpToDate>
  <CharactersWithSpaces>1729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2025-05-06T09:01:00Z</dcterms:created>
  <dc:creator>Sean Liu</dc:creator>
  <cp:lastModifiedBy>WX</cp:lastModifiedBy>
  <dcterms:modified xsi:type="dcterms:W3CDTF">2026-06-15T03:38:22Z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FA604C07BC51C537FB84FC69EF165F7C_43</vt:lpwstr>
  </property>
  <property fmtid="{D5CDD505-2E9C-101B-9397-08002B2CF9AE}" pid="4" name="KSOTemplateDocerSaveRecord">
    <vt:lpwstr>eyJoZGlkIjoiYmQ0NzkyYjhiZjc4MjQ2OThjYjAxYzc2Yjc3NzdhNzciLCJ1c2VySWQiOiIyNjE3MjczOTIifQ==</vt:lpwstr>
  </property>
</Properties>
</file>