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6513A">
      <w:pPr>
        <w:pStyle w:val="99"/>
        <w:jc w:val="center"/>
        <w:rPr>
          <w:rFonts w:ascii="黑体" w:hAnsi="黑体" w:eastAsia="黑体"/>
          <w:b w:val="0"/>
          <w:bCs w:val="0"/>
          <w:sz w:val="24"/>
          <w:szCs w:val="24"/>
        </w:rPr>
      </w:pPr>
      <w:bookmarkStart w:id="0" w:name="_Toc464728891"/>
      <w:bookmarkStart w:id="1" w:name="SectionMark4"/>
    </w:p>
    <w:p w14:paraId="261607E6">
      <w:pPr>
        <w:pStyle w:val="99"/>
        <w:jc w:val="center"/>
        <w:rPr>
          <w:rFonts w:ascii="黑体" w:hAnsi="黑体" w:eastAsia="黑体"/>
          <w:b w:val="0"/>
          <w:bCs w:val="0"/>
          <w:sz w:val="24"/>
          <w:szCs w:val="24"/>
        </w:rPr>
      </w:pPr>
    </w:p>
    <w:p w14:paraId="5CCD06B1">
      <w:pPr>
        <w:pStyle w:val="99"/>
        <w:jc w:val="center"/>
        <w:rPr>
          <w:rFonts w:ascii="黑体" w:hAnsi="黑体" w:eastAsia="黑体"/>
          <w:b w:val="0"/>
          <w:bCs w:val="0"/>
          <w:sz w:val="24"/>
          <w:szCs w:val="24"/>
        </w:rPr>
      </w:pPr>
    </w:p>
    <w:p w14:paraId="23A4CA42">
      <w:pPr>
        <w:pStyle w:val="99"/>
        <w:jc w:val="center"/>
        <w:rPr>
          <w:rFonts w:ascii="黑体" w:hAnsi="黑体" w:eastAsia="黑体"/>
          <w:b w:val="0"/>
          <w:bCs w:val="0"/>
          <w:sz w:val="24"/>
          <w:szCs w:val="24"/>
        </w:rPr>
      </w:pPr>
    </w:p>
    <w:p w14:paraId="1CEAA560">
      <w:pPr>
        <w:pStyle w:val="99"/>
        <w:jc w:val="center"/>
        <w:rPr>
          <w:rFonts w:ascii="黑体" w:hAnsi="黑体" w:eastAsia="黑体"/>
          <w:b w:val="0"/>
          <w:bCs w:val="0"/>
          <w:sz w:val="24"/>
          <w:szCs w:val="24"/>
        </w:rPr>
      </w:pPr>
    </w:p>
    <w:p w14:paraId="1E5655C1">
      <w:pPr>
        <w:pStyle w:val="99"/>
        <w:jc w:val="center"/>
        <w:rPr>
          <w:rFonts w:ascii="黑体" w:hAnsi="黑体" w:eastAsia="黑体"/>
          <w:b w:val="0"/>
          <w:bCs w:val="0"/>
          <w:sz w:val="24"/>
          <w:szCs w:val="24"/>
        </w:rPr>
      </w:pPr>
    </w:p>
    <w:p w14:paraId="365DF92E">
      <w:pPr>
        <w:pStyle w:val="99"/>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3BF3227D">
                            <w:pPr>
                              <w:pStyle w:val="76"/>
                              <w:rPr>
                                <w:rFonts w:hAnsi="黑体" w:cs="黑体"/>
                                <w:sz w:val="44"/>
                                <w:szCs w:val="44"/>
                              </w:rPr>
                            </w:pPr>
                            <w:bookmarkStart w:id="101"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101"/>
                          <w:p w14:paraId="011E22CF">
                            <w:pPr>
                              <w:pStyle w:val="76"/>
                              <w:rPr>
                                <w:rFonts w:hAnsi="黑体" w:cs="黑体"/>
                                <w:szCs w:val="52"/>
                              </w:rPr>
                            </w:pPr>
                            <w:r>
                              <w:rPr>
                                <w:rFonts w:hint="eastAsia" w:hAnsi="黑体" w:cs="黑体"/>
                                <w:szCs w:val="52"/>
                              </w:rPr>
                              <w:t>有色金属材料分析用</w:t>
                            </w:r>
                            <w:r>
                              <w:rPr>
                                <w:rFonts w:hint="eastAsia" w:hAnsi="Times New Roman" w:cs="Times New Roman"/>
                                <w:szCs w:val="52"/>
                                <w:lang w:val="en-US" w:eastAsia="zh-CN"/>
                              </w:rPr>
                              <w:t>辉光放电发射光谱仪校准规范</w:t>
                            </w:r>
                          </w:p>
                          <w:p w14:paraId="72F6B995">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3BF3227D">
                      <w:pPr>
                        <w:pStyle w:val="76"/>
                        <w:rPr>
                          <w:rFonts w:hAnsi="黑体" w:cs="黑体"/>
                          <w:sz w:val="44"/>
                          <w:szCs w:val="44"/>
                        </w:rPr>
                      </w:pPr>
                      <w:bookmarkStart w:id="101"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101"/>
                    <w:p w14:paraId="011E22CF">
                      <w:pPr>
                        <w:pStyle w:val="76"/>
                        <w:rPr>
                          <w:rFonts w:hAnsi="黑体" w:cs="黑体"/>
                          <w:szCs w:val="52"/>
                        </w:rPr>
                      </w:pPr>
                      <w:r>
                        <w:rPr>
                          <w:rFonts w:hint="eastAsia" w:hAnsi="黑体" w:cs="黑体"/>
                          <w:szCs w:val="52"/>
                        </w:rPr>
                        <w:t>有色金属材料分析用</w:t>
                      </w:r>
                      <w:r>
                        <w:rPr>
                          <w:rFonts w:hint="eastAsia" w:hAnsi="Times New Roman" w:cs="Times New Roman"/>
                          <w:szCs w:val="52"/>
                          <w:lang w:val="en-US" w:eastAsia="zh-CN"/>
                        </w:rPr>
                        <w:t>辉光放电发射光谱仪校准规范</w:t>
                      </w:r>
                    </w:p>
                    <w:p w14:paraId="72F6B995">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657F1709">
      <w:pPr>
        <w:pStyle w:val="99"/>
        <w:jc w:val="center"/>
        <w:rPr>
          <w:rFonts w:ascii="黑体" w:hAnsi="黑体" w:eastAsia="黑体"/>
          <w:b w:val="0"/>
          <w:bCs w:val="0"/>
          <w:sz w:val="24"/>
          <w:szCs w:val="24"/>
        </w:rPr>
      </w:pPr>
    </w:p>
    <w:p w14:paraId="5B12077C">
      <w:pPr>
        <w:pStyle w:val="99"/>
        <w:jc w:val="center"/>
        <w:rPr>
          <w:rFonts w:ascii="黑体" w:hAnsi="黑体" w:eastAsia="黑体"/>
          <w:b w:val="0"/>
          <w:bCs w:val="0"/>
          <w:sz w:val="24"/>
          <w:szCs w:val="24"/>
        </w:rPr>
      </w:pPr>
    </w:p>
    <w:p w14:paraId="4B6D4267">
      <w:pPr>
        <w:pStyle w:val="99"/>
        <w:jc w:val="center"/>
        <w:rPr>
          <w:rFonts w:ascii="黑体" w:hAnsi="黑体" w:eastAsia="黑体"/>
          <w:b w:val="0"/>
          <w:bCs w:val="0"/>
          <w:sz w:val="24"/>
          <w:szCs w:val="24"/>
        </w:rPr>
      </w:pPr>
    </w:p>
    <w:p w14:paraId="5CEE8E5D">
      <w:pPr>
        <w:pStyle w:val="99"/>
        <w:jc w:val="center"/>
        <w:rPr>
          <w:rFonts w:ascii="黑体" w:hAnsi="黑体" w:eastAsia="黑体"/>
          <w:b w:val="0"/>
          <w:bCs w:val="0"/>
          <w:sz w:val="24"/>
          <w:szCs w:val="24"/>
        </w:rPr>
      </w:pPr>
    </w:p>
    <w:p w14:paraId="520DE93F">
      <w:pPr>
        <w:pStyle w:val="99"/>
        <w:jc w:val="center"/>
        <w:rPr>
          <w:rFonts w:ascii="黑体" w:hAnsi="黑体" w:eastAsia="黑体"/>
          <w:b w:val="0"/>
          <w:bCs w:val="0"/>
          <w:sz w:val="24"/>
          <w:szCs w:val="24"/>
        </w:rPr>
      </w:pPr>
    </w:p>
    <w:p w14:paraId="4DC0BF17">
      <w:pPr>
        <w:pStyle w:val="99"/>
        <w:jc w:val="center"/>
        <w:rPr>
          <w:rFonts w:ascii="黑体" w:hAnsi="黑体" w:eastAsia="黑体"/>
          <w:b w:val="0"/>
          <w:bCs w:val="0"/>
          <w:sz w:val="24"/>
          <w:szCs w:val="24"/>
        </w:rPr>
      </w:pPr>
    </w:p>
    <w:p w14:paraId="4A8606C4">
      <w:pPr>
        <w:pStyle w:val="99"/>
        <w:jc w:val="center"/>
        <w:rPr>
          <w:rFonts w:ascii="黑体" w:hAnsi="黑体" w:eastAsia="黑体"/>
          <w:b w:val="0"/>
          <w:bCs w:val="0"/>
          <w:sz w:val="24"/>
          <w:szCs w:val="24"/>
        </w:rPr>
      </w:pPr>
    </w:p>
    <w:p w14:paraId="426E253B">
      <w:pPr>
        <w:pStyle w:val="99"/>
        <w:jc w:val="center"/>
        <w:rPr>
          <w:rFonts w:ascii="黑体" w:hAnsi="黑体" w:eastAsia="黑体"/>
          <w:b w:val="0"/>
          <w:bCs w:val="0"/>
          <w:sz w:val="24"/>
          <w:szCs w:val="24"/>
        </w:rPr>
      </w:pPr>
    </w:p>
    <w:p w14:paraId="7AF395CF">
      <w:pPr>
        <w:pStyle w:val="99"/>
        <w:jc w:val="center"/>
        <w:rPr>
          <w:rFonts w:ascii="黑体" w:hAnsi="黑体" w:eastAsia="黑体"/>
          <w:b w:val="0"/>
          <w:bCs w:val="0"/>
          <w:sz w:val="24"/>
          <w:szCs w:val="24"/>
        </w:rPr>
      </w:pPr>
    </w:p>
    <w:p w14:paraId="7E7C99B0">
      <w:pPr>
        <w:pStyle w:val="99"/>
        <w:jc w:val="center"/>
        <w:rPr>
          <w:rFonts w:ascii="黑体" w:hAnsi="黑体" w:eastAsia="黑体"/>
          <w:b w:val="0"/>
          <w:bCs w:val="0"/>
          <w:sz w:val="24"/>
          <w:szCs w:val="24"/>
        </w:rPr>
      </w:pPr>
    </w:p>
    <w:p w14:paraId="44A9AD4F">
      <w:pPr>
        <w:pStyle w:val="99"/>
        <w:jc w:val="center"/>
        <w:rPr>
          <w:rFonts w:ascii="黑体" w:hAnsi="黑体" w:eastAsia="黑体"/>
          <w:b w:val="0"/>
          <w:bCs w:val="0"/>
          <w:sz w:val="24"/>
          <w:szCs w:val="24"/>
        </w:rPr>
      </w:pPr>
    </w:p>
    <w:p w14:paraId="02AC33B4">
      <w:pPr>
        <w:pStyle w:val="99"/>
        <w:jc w:val="center"/>
        <w:rPr>
          <w:rFonts w:ascii="黑体" w:hAnsi="黑体" w:eastAsia="黑体"/>
          <w:b w:val="0"/>
          <w:bCs w:val="0"/>
          <w:sz w:val="24"/>
          <w:szCs w:val="24"/>
        </w:rPr>
      </w:pPr>
    </w:p>
    <w:p w14:paraId="6C0AC297">
      <w:pPr>
        <w:pStyle w:val="99"/>
        <w:jc w:val="center"/>
        <w:rPr>
          <w:rFonts w:ascii="黑体" w:hAnsi="黑体" w:eastAsia="黑体"/>
          <w:b w:val="0"/>
          <w:bCs w:val="0"/>
          <w:sz w:val="24"/>
          <w:szCs w:val="24"/>
        </w:rPr>
      </w:pPr>
    </w:p>
    <w:p w14:paraId="6ED72D46">
      <w:pPr>
        <w:pStyle w:val="99"/>
        <w:jc w:val="center"/>
        <w:rPr>
          <w:rFonts w:ascii="黑体" w:hAnsi="黑体" w:eastAsia="黑体"/>
          <w:b w:val="0"/>
          <w:bCs w:val="0"/>
          <w:sz w:val="24"/>
          <w:szCs w:val="24"/>
        </w:rPr>
      </w:pPr>
    </w:p>
    <w:p w14:paraId="4D140896">
      <w:pPr>
        <w:pStyle w:val="99"/>
        <w:jc w:val="center"/>
        <w:rPr>
          <w:rFonts w:ascii="黑体" w:hAnsi="黑体" w:eastAsia="黑体"/>
          <w:b w:val="0"/>
          <w:bCs w:val="0"/>
          <w:sz w:val="24"/>
          <w:szCs w:val="24"/>
        </w:rPr>
      </w:pPr>
    </w:p>
    <w:p w14:paraId="276BDB7B">
      <w:pPr>
        <w:pStyle w:val="99"/>
        <w:jc w:val="center"/>
        <w:rPr>
          <w:rFonts w:ascii="黑体" w:hAnsi="黑体" w:eastAsia="黑体"/>
          <w:b w:val="0"/>
          <w:bCs w:val="0"/>
          <w:sz w:val="24"/>
          <w:szCs w:val="24"/>
        </w:rPr>
      </w:pPr>
    </w:p>
    <w:p w14:paraId="55981809">
      <w:pPr>
        <w:pStyle w:val="99"/>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6D583F56">
                            <w:pPr>
                              <w:pStyle w:val="68"/>
                              <w:spacing w:before="600"/>
                              <w:rPr>
                                <w:rFonts w:ascii="黑体" w:hAnsi="黑体" w:eastAsia="黑体"/>
                                <w:sz w:val="36"/>
                                <w:szCs w:val="36"/>
                              </w:rPr>
                            </w:pPr>
                            <w:r>
                              <w:rPr>
                                <w:rFonts w:hint="eastAsia" w:ascii="黑体" w:hAnsi="黑体" w:eastAsia="黑体"/>
                                <w:sz w:val="36"/>
                                <w:szCs w:val="36"/>
                                <w:lang w:val="en-US" w:eastAsia="zh-CN"/>
                              </w:rPr>
                              <w:t>征求意见</w:t>
                            </w:r>
                            <w:r>
                              <w:rPr>
                                <w:rFonts w:hint="eastAsia" w:ascii="黑体" w:hAnsi="黑体" w:eastAsia="黑体"/>
                                <w:sz w:val="36"/>
                                <w:szCs w:val="36"/>
                              </w:rPr>
                              <w:t>稿</w:t>
                            </w:r>
                          </w:p>
                          <w:p w14:paraId="15A726FB">
                            <w:pPr>
                              <w:pStyle w:val="68"/>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05</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6D583F56">
                      <w:pPr>
                        <w:pStyle w:val="68"/>
                        <w:spacing w:before="600"/>
                        <w:rPr>
                          <w:rFonts w:ascii="黑体" w:hAnsi="黑体" w:eastAsia="黑体"/>
                          <w:sz w:val="36"/>
                          <w:szCs w:val="36"/>
                        </w:rPr>
                      </w:pPr>
                      <w:r>
                        <w:rPr>
                          <w:rFonts w:hint="eastAsia" w:ascii="黑体" w:hAnsi="黑体" w:eastAsia="黑体"/>
                          <w:sz w:val="36"/>
                          <w:szCs w:val="36"/>
                          <w:lang w:val="en-US" w:eastAsia="zh-CN"/>
                        </w:rPr>
                        <w:t>征求意见</w:t>
                      </w:r>
                      <w:r>
                        <w:rPr>
                          <w:rFonts w:hint="eastAsia" w:ascii="黑体" w:hAnsi="黑体" w:eastAsia="黑体"/>
                          <w:sz w:val="36"/>
                          <w:szCs w:val="36"/>
                        </w:rPr>
                        <w:t>稿</w:t>
                      </w:r>
                    </w:p>
                    <w:p w14:paraId="15A726FB">
                      <w:pPr>
                        <w:pStyle w:val="68"/>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05</w:t>
                      </w:r>
                    </w:p>
                  </w:txbxContent>
                </v:textbox>
                <w10:anchorlock/>
              </v:rect>
            </w:pict>
          </mc:Fallback>
        </mc:AlternateContent>
      </w:r>
    </w:p>
    <w:p w14:paraId="60A4B863">
      <w:pPr>
        <w:pStyle w:val="99"/>
        <w:jc w:val="center"/>
        <w:rPr>
          <w:rFonts w:ascii="黑体" w:hAnsi="黑体" w:eastAsia="黑体"/>
          <w:b w:val="0"/>
          <w:bCs w:val="0"/>
          <w:sz w:val="24"/>
          <w:szCs w:val="24"/>
        </w:rPr>
      </w:pPr>
    </w:p>
    <w:p w14:paraId="5485B151">
      <w:pPr>
        <w:pStyle w:val="99"/>
        <w:jc w:val="center"/>
        <w:rPr>
          <w:rFonts w:ascii="黑体" w:hAnsi="黑体" w:eastAsia="黑体"/>
          <w:b w:val="0"/>
          <w:bCs w:val="0"/>
          <w:sz w:val="24"/>
          <w:szCs w:val="24"/>
        </w:rPr>
      </w:pPr>
    </w:p>
    <w:p w14:paraId="6EAE2478">
      <w:pPr>
        <w:pStyle w:val="99"/>
        <w:jc w:val="center"/>
        <w:rPr>
          <w:rFonts w:ascii="黑体" w:hAnsi="黑体" w:eastAsia="黑体"/>
          <w:b w:val="0"/>
          <w:bCs w:val="0"/>
          <w:sz w:val="24"/>
          <w:szCs w:val="24"/>
        </w:rPr>
      </w:pPr>
    </w:p>
    <w:p w14:paraId="51704646">
      <w:pPr>
        <w:pStyle w:val="99"/>
        <w:jc w:val="center"/>
        <w:rPr>
          <w:rFonts w:ascii="黑体" w:hAnsi="黑体" w:eastAsia="黑体"/>
          <w:b w:val="0"/>
          <w:bCs w:val="0"/>
          <w:sz w:val="24"/>
          <w:szCs w:val="24"/>
        </w:rPr>
      </w:pPr>
    </w:p>
    <w:p w14:paraId="7E453036">
      <w:pPr>
        <w:pStyle w:val="99"/>
        <w:jc w:val="center"/>
        <w:rPr>
          <w:rFonts w:ascii="黑体" w:hAnsi="黑体" w:eastAsia="黑体"/>
          <w:b w:val="0"/>
          <w:bCs w:val="0"/>
          <w:sz w:val="24"/>
          <w:szCs w:val="24"/>
        </w:rPr>
      </w:pPr>
    </w:p>
    <w:p w14:paraId="642EA6C2">
      <w:pPr>
        <w:pStyle w:val="99"/>
        <w:jc w:val="center"/>
        <w:rPr>
          <w:rFonts w:ascii="黑体" w:hAnsi="黑体" w:eastAsia="黑体"/>
          <w:b w:val="0"/>
          <w:bCs w:val="0"/>
          <w:sz w:val="24"/>
          <w:szCs w:val="24"/>
        </w:rPr>
      </w:pPr>
    </w:p>
    <w:p w14:paraId="0082894A">
      <w:pPr>
        <w:pStyle w:val="99"/>
        <w:jc w:val="center"/>
        <w:rPr>
          <w:rFonts w:ascii="黑体" w:hAnsi="黑体" w:eastAsia="黑体"/>
          <w:b w:val="0"/>
          <w:bCs w:val="0"/>
          <w:sz w:val="24"/>
          <w:szCs w:val="24"/>
        </w:rPr>
      </w:pPr>
    </w:p>
    <w:p w14:paraId="0709B332">
      <w:pPr>
        <w:pStyle w:val="99"/>
        <w:jc w:val="center"/>
        <w:rPr>
          <w:rFonts w:ascii="黑体" w:hAnsi="黑体" w:eastAsia="黑体"/>
          <w:b w:val="0"/>
          <w:bCs w:val="0"/>
          <w:sz w:val="24"/>
          <w:szCs w:val="24"/>
        </w:rPr>
      </w:pPr>
    </w:p>
    <w:p w14:paraId="5258344D">
      <w:pPr>
        <w:pStyle w:val="99"/>
        <w:jc w:val="center"/>
        <w:rPr>
          <w:rFonts w:ascii="黑体" w:hAnsi="黑体" w:eastAsia="黑体"/>
          <w:b w:val="0"/>
          <w:bCs w:val="0"/>
          <w:sz w:val="24"/>
          <w:szCs w:val="24"/>
        </w:rPr>
      </w:pPr>
    </w:p>
    <w:p w14:paraId="660B44CE">
      <w:pPr>
        <w:pStyle w:val="99"/>
        <w:jc w:val="center"/>
        <w:rPr>
          <w:rFonts w:ascii="黑体" w:hAnsi="黑体" w:eastAsia="黑体"/>
          <w:b w:val="0"/>
          <w:bCs w:val="0"/>
          <w:sz w:val="24"/>
          <w:szCs w:val="24"/>
        </w:rPr>
      </w:pPr>
    </w:p>
    <w:p w14:paraId="29D1196A">
      <w:pPr>
        <w:pStyle w:val="99"/>
        <w:jc w:val="center"/>
        <w:rPr>
          <w:rFonts w:ascii="黑体" w:hAnsi="黑体" w:eastAsia="黑体"/>
          <w:b w:val="0"/>
          <w:bCs w:val="0"/>
          <w:sz w:val="24"/>
          <w:szCs w:val="24"/>
        </w:rPr>
      </w:pPr>
    </w:p>
    <w:p w14:paraId="60223242">
      <w:pPr>
        <w:pStyle w:val="99"/>
        <w:jc w:val="center"/>
        <w:rPr>
          <w:rFonts w:ascii="黑体" w:hAnsi="黑体" w:eastAsia="黑体"/>
          <w:b w:val="0"/>
          <w:bCs w:val="0"/>
          <w:sz w:val="24"/>
          <w:szCs w:val="24"/>
        </w:rPr>
      </w:pPr>
    </w:p>
    <w:p w14:paraId="7AAF4CC4">
      <w:pPr>
        <w:pStyle w:val="99"/>
        <w:jc w:val="center"/>
        <w:rPr>
          <w:rFonts w:ascii="黑体" w:hAnsi="黑体" w:eastAsia="黑体"/>
          <w:b w:val="0"/>
          <w:bCs w:val="0"/>
          <w:sz w:val="24"/>
          <w:szCs w:val="24"/>
        </w:rPr>
      </w:pPr>
    </w:p>
    <w:p w14:paraId="75E989CA">
      <w:pPr>
        <w:pStyle w:val="99"/>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1312" behindDoc="0" locked="1" layoutInCell="1" allowOverlap="1">
                <wp:simplePos x="0" y="0"/>
                <wp:positionH relativeFrom="margin">
                  <wp:posOffset>-528955</wp:posOffset>
                </wp:positionH>
                <wp:positionV relativeFrom="margin">
                  <wp:posOffset>7419340</wp:posOffset>
                </wp:positionV>
                <wp:extent cx="6995160" cy="1652270"/>
                <wp:effectExtent l="0" t="0" r="2540" b="11430"/>
                <wp:wrapNone/>
                <wp:docPr id="1" name="fmFrame7"/>
                <wp:cNvGraphicFramePr/>
                <a:graphic xmlns:a="http://schemas.openxmlformats.org/drawingml/2006/main">
                  <a:graphicData uri="http://schemas.microsoft.com/office/word/2010/wordprocessingShape">
                    <wps:wsp>
                      <wps:cNvSpPr/>
                      <wps:spPr>
                        <a:xfrm>
                          <a:off x="0" y="0"/>
                          <a:ext cx="6995160" cy="1652270"/>
                        </a:xfrm>
                        <a:prstGeom prst="rect">
                          <a:avLst/>
                        </a:prstGeom>
                        <a:solidFill>
                          <a:srgbClr val="FFFFFF"/>
                        </a:solidFill>
                        <a:ln>
                          <a:noFill/>
                        </a:ln>
                      </wps:spPr>
                      <wps:txbx>
                        <w:txbxContent>
                          <w:p w14:paraId="6FD6E607">
                            <w:pPr>
                              <w:pStyle w:val="76"/>
                              <w:rPr>
                                <w:rFonts w:ascii="宋体" w:hAnsi="宋体" w:eastAsia="宋体" w:cs="宋体"/>
                                <w:spacing w:val="58"/>
                                <w:w w:val="120"/>
                                <w:kern w:val="2"/>
                                <w:sz w:val="28"/>
                                <w:szCs w:val="28"/>
                              </w:rPr>
                            </w:pPr>
                          </w:p>
                          <w:p w14:paraId="5BF7C346">
                            <w:pPr>
                              <w:jc w:val="center"/>
                              <w:rPr>
                                <w:rFonts w:hint="eastAsia" w:ascii="宋体" w:hAnsi="宋体" w:cs="宋体"/>
                                <w:spacing w:val="58"/>
                                <w:w w:val="120"/>
                                <w:sz w:val="28"/>
                                <w:szCs w:val="28"/>
                              </w:rPr>
                            </w:pPr>
                            <w:r>
                              <w:rPr>
                                <w:rFonts w:hint="eastAsia" w:ascii="宋体" w:hAnsi="宋体" w:cs="宋体"/>
                                <w:spacing w:val="58"/>
                                <w:w w:val="120"/>
                                <w:sz w:val="28"/>
                                <w:szCs w:val="28"/>
                              </w:rPr>
                              <w:t>有色金属材料分析用辉光放电发射光谱仪</w:t>
                            </w:r>
                          </w:p>
                          <w:p w14:paraId="06143CAA">
                            <w:pPr>
                              <w:jc w:val="center"/>
                              <w:rPr>
                                <w:rFonts w:ascii="宋体" w:hAnsi="宋体" w:cs="宋体"/>
                                <w:sz w:val="28"/>
                                <w:szCs w:val="28"/>
                              </w:rPr>
                            </w:pPr>
                            <w:r>
                              <w:rPr>
                                <w:rFonts w:hint="eastAsia" w:ascii="宋体" w:hAnsi="宋体" w:cs="宋体"/>
                                <w:spacing w:val="58"/>
                                <w:w w:val="120"/>
                                <w:sz w:val="28"/>
                                <w:szCs w:val="28"/>
                              </w:rPr>
                              <w:t>校准规范编制组</w:t>
                            </w:r>
                          </w:p>
                          <w:p w14:paraId="703B9137">
                            <w:pPr>
                              <w:pStyle w:val="115"/>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中铝洛阳铜加工有限公司</w:t>
                            </w:r>
                          </w:p>
                        </w:txbxContent>
                      </wps:txbx>
                      <wps:bodyPr lIns="0" tIns="0" rIns="0" bIns="0" upright="1"/>
                    </wps:wsp>
                  </a:graphicData>
                </a:graphic>
              </wp:anchor>
            </w:drawing>
          </mc:Choice>
          <mc:Fallback>
            <w:pict>
              <v:rect id="fmFrame7" o:spid="_x0000_s1026" o:spt="1" style="position:absolute;left:0pt;margin-left:-41.65pt;margin-top:584.2pt;height:130.1pt;width:550.8pt;mso-position-horizontal-relative:margin;mso-position-vertical-relative:margin;z-index:251661312;mso-width-relative:page;mso-height-relative:page;" fillcolor="#FFFFFF" filled="t" stroked="f" coordsize="21600,21600" o:gfxdata="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avgk12QAAAA4BAAAPAAAAAAAAAAEAIAAAACIAAABkcnMvZG93bnJldi54bWxQSwEC&#10;FAAUAAAACACHTuJAEBZN3boBAACPAwAADgAAAAAAAAABACAAAAAoAQAAZHJzL2Uyb0RvYy54bWxQ&#10;SwUGAAAAAAYABgBZAQAAVAUAAAAA&#10;">
                <v:fill on="t" focussize="0,0"/>
                <v:stroke on="f"/>
                <v:imagedata o:title=""/>
                <o:lock v:ext="edit" aspectratio="f"/>
                <v:textbox inset="0mm,0mm,0mm,0mm">
                  <w:txbxContent>
                    <w:p w14:paraId="6FD6E607">
                      <w:pPr>
                        <w:pStyle w:val="76"/>
                        <w:rPr>
                          <w:rFonts w:ascii="宋体" w:hAnsi="宋体" w:eastAsia="宋体" w:cs="宋体"/>
                          <w:spacing w:val="58"/>
                          <w:w w:val="120"/>
                          <w:kern w:val="2"/>
                          <w:sz w:val="28"/>
                          <w:szCs w:val="28"/>
                        </w:rPr>
                      </w:pPr>
                    </w:p>
                    <w:p w14:paraId="5BF7C346">
                      <w:pPr>
                        <w:jc w:val="center"/>
                        <w:rPr>
                          <w:rFonts w:hint="eastAsia" w:ascii="宋体" w:hAnsi="宋体" w:cs="宋体"/>
                          <w:spacing w:val="58"/>
                          <w:w w:val="120"/>
                          <w:sz w:val="28"/>
                          <w:szCs w:val="28"/>
                        </w:rPr>
                      </w:pPr>
                      <w:r>
                        <w:rPr>
                          <w:rFonts w:hint="eastAsia" w:ascii="宋体" w:hAnsi="宋体" w:cs="宋体"/>
                          <w:spacing w:val="58"/>
                          <w:w w:val="120"/>
                          <w:sz w:val="28"/>
                          <w:szCs w:val="28"/>
                        </w:rPr>
                        <w:t>有色金属材料分析用辉光放电发射光谱仪</w:t>
                      </w:r>
                    </w:p>
                    <w:p w14:paraId="06143CAA">
                      <w:pPr>
                        <w:jc w:val="center"/>
                        <w:rPr>
                          <w:rFonts w:ascii="宋体" w:hAnsi="宋体" w:cs="宋体"/>
                          <w:sz w:val="28"/>
                          <w:szCs w:val="28"/>
                        </w:rPr>
                      </w:pPr>
                      <w:r>
                        <w:rPr>
                          <w:rFonts w:hint="eastAsia" w:ascii="宋体" w:hAnsi="宋体" w:cs="宋体"/>
                          <w:spacing w:val="58"/>
                          <w:w w:val="120"/>
                          <w:sz w:val="28"/>
                          <w:szCs w:val="28"/>
                        </w:rPr>
                        <w:t>校准规范编制组</w:t>
                      </w:r>
                    </w:p>
                    <w:p w14:paraId="703B9137">
                      <w:pPr>
                        <w:pStyle w:val="115"/>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中铝洛阳铜加工有限公司</w:t>
                      </w:r>
                    </w:p>
                  </w:txbxContent>
                </v:textbox>
                <w10:anchorlock/>
              </v:rect>
            </w:pict>
          </mc:Fallback>
        </mc:AlternateContent>
      </w:r>
    </w:p>
    <w:p w14:paraId="08C76235">
      <w:pPr>
        <w:pStyle w:val="99"/>
        <w:jc w:val="center"/>
        <w:rPr>
          <w:rFonts w:ascii="黑体" w:hAnsi="黑体" w:eastAsia="黑体"/>
          <w:b w:val="0"/>
          <w:bCs w:val="0"/>
          <w:sz w:val="24"/>
          <w:szCs w:val="24"/>
        </w:rPr>
      </w:pPr>
    </w:p>
    <w:p w14:paraId="207D3399">
      <w:pPr>
        <w:pStyle w:val="99"/>
        <w:jc w:val="center"/>
        <w:rPr>
          <w:rFonts w:ascii="黑体" w:hAnsi="黑体" w:eastAsia="黑体"/>
          <w:b w:val="0"/>
          <w:bCs w:val="0"/>
          <w:sz w:val="24"/>
          <w:szCs w:val="24"/>
        </w:rPr>
      </w:pPr>
    </w:p>
    <w:p w14:paraId="2A2979CC">
      <w:pPr>
        <w:pStyle w:val="99"/>
        <w:jc w:val="center"/>
        <w:rPr>
          <w:rFonts w:ascii="黑体" w:hAnsi="黑体" w:eastAsia="黑体"/>
          <w:b w:val="0"/>
          <w:bCs w:val="0"/>
          <w:sz w:val="24"/>
          <w:szCs w:val="24"/>
        </w:rPr>
      </w:pPr>
    </w:p>
    <w:p w14:paraId="1C6E7CC3">
      <w:pPr>
        <w:pStyle w:val="99"/>
        <w:jc w:val="center"/>
        <w:rPr>
          <w:rFonts w:ascii="黑体" w:hAnsi="黑体" w:eastAsia="黑体"/>
          <w:b w:val="0"/>
          <w:bCs w:val="0"/>
          <w:sz w:val="24"/>
          <w:szCs w:val="24"/>
        </w:rPr>
      </w:pPr>
    </w:p>
    <w:p w14:paraId="1F92AC1C">
      <w:pPr>
        <w:pStyle w:val="99"/>
        <w:jc w:val="center"/>
        <w:rPr>
          <w:rFonts w:ascii="黑体" w:hAnsi="黑体" w:eastAsia="黑体"/>
          <w:b w:val="0"/>
          <w:bCs w:val="0"/>
          <w:sz w:val="24"/>
          <w:szCs w:val="24"/>
        </w:rPr>
      </w:pPr>
    </w:p>
    <w:p w14:paraId="0C6A8990">
      <w:pPr>
        <w:pStyle w:val="99"/>
        <w:jc w:val="center"/>
        <w:rPr>
          <w:rFonts w:ascii="黑体" w:hAnsi="黑体" w:eastAsia="黑体"/>
          <w:b w:val="0"/>
          <w:bCs w:val="0"/>
          <w:sz w:val="24"/>
          <w:szCs w:val="24"/>
        </w:rPr>
      </w:pPr>
    </w:p>
    <w:p w14:paraId="6F63AF80">
      <w:pPr>
        <w:pStyle w:val="99"/>
        <w:jc w:val="center"/>
        <w:rPr>
          <w:rFonts w:ascii="黑体" w:hAnsi="黑体" w:eastAsia="黑体"/>
          <w:b w:val="0"/>
          <w:bCs w:val="0"/>
          <w:sz w:val="24"/>
          <w:szCs w:val="24"/>
        </w:rPr>
      </w:pPr>
    </w:p>
    <w:p w14:paraId="4518B1F7">
      <w:pPr>
        <w:pStyle w:val="2"/>
        <w:pageBreakBefore w:val="0"/>
        <w:kinsoku/>
        <w:wordWrap/>
        <w:overflowPunct/>
        <w:topLinePunct w:val="0"/>
        <w:bidi w:val="0"/>
        <w:spacing w:before="156" w:after="156" w:line="300" w:lineRule="auto"/>
        <w:textAlignment w:val="auto"/>
        <w:rPr>
          <w:b w:val="0"/>
          <w:bCs w:val="0"/>
        </w:rPr>
      </w:pPr>
      <w:r>
        <w:rPr>
          <w:rFonts w:hint="eastAsia"/>
          <w:b w:val="0"/>
          <w:bCs w:val="0"/>
        </w:rPr>
        <w:t>一、工作简况</w:t>
      </w:r>
      <w:bookmarkEnd w:id="0"/>
      <w:bookmarkStart w:id="2" w:name="_Toc464728896"/>
    </w:p>
    <w:p w14:paraId="75FBB674">
      <w:pPr>
        <w:pStyle w:val="3"/>
        <w:pageBreakBefore w:val="0"/>
        <w:kinsoku/>
        <w:wordWrap/>
        <w:overflowPunct/>
        <w:topLinePunct w:val="0"/>
        <w:bidi w:val="0"/>
        <w:spacing w:before="156" w:after="156" w:line="300" w:lineRule="auto"/>
        <w:textAlignment w:val="auto"/>
        <w:rPr>
          <w:b w:val="0"/>
          <w:bCs w:val="0"/>
        </w:rPr>
      </w:pPr>
      <w:r>
        <w:rPr>
          <w:rFonts w:hint="eastAsia"/>
          <w:b w:val="0"/>
          <w:bCs w:val="0"/>
        </w:rPr>
        <w:t>1.立项目的</w:t>
      </w:r>
    </w:p>
    <w:p w14:paraId="7159EF66">
      <w:pPr>
        <w:pageBreakBefore w:val="0"/>
        <w:kinsoku/>
        <w:wordWrap/>
        <w:overflowPunct/>
        <w:topLinePunct w:val="0"/>
        <w:bidi w:val="0"/>
        <w:spacing w:line="300" w:lineRule="auto"/>
        <w:ind w:firstLine="555"/>
        <w:textAlignment w:val="auto"/>
        <w:rPr>
          <w:rFonts w:hint="eastAsia" w:hAnsi="宋体"/>
          <w:b w:val="0"/>
          <w:bCs w:val="0"/>
          <w:sz w:val="24"/>
          <w:szCs w:val="24"/>
        </w:rPr>
      </w:pPr>
      <w:r>
        <w:rPr>
          <w:rFonts w:hint="eastAsia" w:hAnsi="宋体"/>
          <w:b w:val="0"/>
          <w:bCs w:val="0"/>
          <w:sz w:val="24"/>
          <w:szCs w:val="24"/>
        </w:rPr>
        <w:t>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是一种能同时对材料进行成分分析和表面分析的仪器。在常规化学成分分析中，该仪器可以直接对固体样品进行多元素同时快速分析，同时具备检测限低、灵敏度高、线性范围宽和分析成本低的特点。在表面分析中</w:t>
      </w:r>
      <w:r>
        <w:rPr>
          <w:rFonts w:hint="eastAsia" w:hAnsi="宋体"/>
          <w:b w:val="0"/>
          <w:bCs w:val="0"/>
          <w:sz w:val="24"/>
          <w:szCs w:val="24"/>
          <w:lang w:eastAsia="zh-CN"/>
        </w:rPr>
        <w:t>，</w:t>
      </w:r>
      <w:r>
        <w:rPr>
          <w:rFonts w:hint="eastAsia" w:hAnsi="宋体"/>
          <w:b w:val="0"/>
          <w:bCs w:val="0"/>
          <w:sz w:val="24"/>
          <w:szCs w:val="24"/>
        </w:rPr>
        <w:t>根据方法是否经过了校准</w:t>
      </w:r>
      <w:r>
        <w:rPr>
          <w:rFonts w:hint="eastAsia" w:hAnsi="宋体"/>
          <w:b w:val="0"/>
          <w:bCs w:val="0"/>
          <w:sz w:val="24"/>
          <w:szCs w:val="24"/>
          <w:lang w:eastAsia="zh-CN"/>
        </w:rPr>
        <w:t>，</w:t>
      </w:r>
      <w:r>
        <w:rPr>
          <w:rFonts w:hint="eastAsia" w:hAnsi="宋体"/>
          <w:b w:val="0"/>
          <w:bCs w:val="0"/>
          <w:sz w:val="24"/>
          <w:szCs w:val="24"/>
        </w:rPr>
        <w:t>可以进行定量或定性的表面分析。利用射频</w:t>
      </w:r>
      <w:r>
        <w:rPr>
          <w:rFonts w:hint="eastAsia" w:hAnsi="宋体"/>
          <w:b w:val="0"/>
          <w:bCs w:val="0"/>
          <w:sz w:val="24"/>
          <w:szCs w:val="24"/>
          <w:lang w:eastAsia="zh-CN"/>
        </w:rPr>
        <w:t>（</w:t>
      </w:r>
      <w:r>
        <w:rPr>
          <w:rFonts w:hint="eastAsia" w:hAnsi="宋体"/>
          <w:b w:val="0"/>
          <w:bCs w:val="0"/>
          <w:sz w:val="24"/>
          <w:szCs w:val="24"/>
        </w:rPr>
        <w:t>RF</w:t>
      </w:r>
      <w:r>
        <w:rPr>
          <w:rFonts w:hint="eastAsia" w:hAnsi="宋体"/>
          <w:b w:val="0"/>
          <w:bCs w:val="0"/>
          <w:sz w:val="24"/>
          <w:szCs w:val="24"/>
          <w:lang w:eastAsia="zh-CN"/>
        </w:rPr>
        <w:t>）</w:t>
      </w:r>
      <w:r>
        <w:rPr>
          <w:rFonts w:hint="eastAsia" w:hAnsi="宋体"/>
          <w:b w:val="0"/>
          <w:bCs w:val="0"/>
          <w:sz w:val="24"/>
          <w:szCs w:val="24"/>
        </w:rPr>
        <w:t>光源，辉光光谱还能进行非导电样品的成分分析和表面分析。辉光光谱的分析时间较短</w:t>
      </w:r>
      <w:r>
        <w:rPr>
          <w:rFonts w:hint="eastAsia" w:hAnsi="宋体"/>
          <w:b w:val="0"/>
          <w:bCs w:val="0"/>
          <w:sz w:val="24"/>
          <w:szCs w:val="24"/>
          <w:lang w:eastAsia="zh-CN"/>
        </w:rPr>
        <w:t>（</w:t>
      </w:r>
      <w:r>
        <w:rPr>
          <w:rFonts w:hint="eastAsia" w:hAnsi="宋体"/>
          <w:b w:val="0"/>
          <w:bCs w:val="0"/>
          <w:sz w:val="24"/>
          <w:szCs w:val="24"/>
        </w:rPr>
        <w:t>一般为几分钟到十几分钟</w:t>
      </w:r>
      <w:r>
        <w:rPr>
          <w:rFonts w:hint="eastAsia" w:hAnsi="宋体"/>
          <w:b w:val="0"/>
          <w:bCs w:val="0"/>
          <w:sz w:val="24"/>
          <w:szCs w:val="24"/>
          <w:lang w:eastAsia="zh-CN"/>
        </w:rPr>
        <w:t>），</w:t>
      </w:r>
      <w:r>
        <w:rPr>
          <w:rFonts w:hint="eastAsia" w:hAnsi="宋体"/>
          <w:b w:val="0"/>
          <w:bCs w:val="0"/>
          <w:sz w:val="24"/>
          <w:szCs w:val="24"/>
        </w:rPr>
        <w:t>深度分辨率可以达到纳米级</w:t>
      </w:r>
      <w:r>
        <w:rPr>
          <w:rFonts w:hint="eastAsia" w:hAnsi="宋体"/>
          <w:b w:val="0"/>
          <w:bCs w:val="0"/>
          <w:sz w:val="24"/>
          <w:szCs w:val="24"/>
          <w:lang w:eastAsia="zh-CN"/>
        </w:rPr>
        <w:t>，</w:t>
      </w:r>
      <w:r>
        <w:rPr>
          <w:rFonts w:hint="eastAsia" w:hAnsi="宋体"/>
          <w:b w:val="0"/>
          <w:bCs w:val="0"/>
          <w:sz w:val="24"/>
          <w:szCs w:val="24"/>
        </w:rPr>
        <w:t>所以辉光光谱仪在有色金属材料行业中应用非常广泛，目前已形成多项相关国家标准，如：GB/T 19502-2023《表面化学分析 辉光放电发射光谱方法通则》、GB/T 29559-2013《表面化学分析 辉光放电原子发射光谱 锌和/或铝基合金镀层的分析》、GB/T 32996-2016《表面化学分析 辉光放电发射光谱法分析金属氧化物膜》等。</w:t>
      </w:r>
    </w:p>
    <w:p w14:paraId="2278430B">
      <w:pPr>
        <w:pageBreakBefore w:val="0"/>
        <w:kinsoku/>
        <w:wordWrap/>
        <w:overflowPunct/>
        <w:topLinePunct w:val="0"/>
        <w:bidi w:val="0"/>
        <w:spacing w:line="300" w:lineRule="auto"/>
        <w:ind w:firstLine="555"/>
        <w:textAlignment w:val="auto"/>
        <w:rPr>
          <w:rFonts w:hint="eastAsia" w:hAnsi="宋体"/>
          <w:b w:val="0"/>
          <w:bCs w:val="0"/>
          <w:sz w:val="24"/>
          <w:szCs w:val="24"/>
        </w:rPr>
      </w:pPr>
      <w:r>
        <w:rPr>
          <w:rFonts w:hint="eastAsia" w:hAnsi="宋体"/>
          <w:b w:val="0"/>
          <w:bCs w:val="0"/>
          <w:sz w:val="24"/>
          <w:szCs w:val="24"/>
        </w:rPr>
        <w:t>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工作原理是在辉光放电光谱光源内维持一个低真空氩气环境（一般100～500Pa）。给样品施加负电压（一般500～1500V</w:t>
      </w:r>
      <w:r>
        <w:rPr>
          <w:rFonts w:hint="eastAsia" w:hAnsi="宋体"/>
          <w:b w:val="0"/>
          <w:bCs w:val="0"/>
          <w:sz w:val="24"/>
          <w:szCs w:val="24"/>
          <w:lang w:eastAsia="zh-CN"/>
        </w:rPr>
        <w:t>）</w:t>
      </w:r>
      <w:r>
        <w:rPr>
          <w:rFonts w:hint="eastAsia" w:hAnsi="宋体"/>
          <w:b w:val="0"/>
          <w:bCs w:val="0"/>
          <w:sz w:val="24"/>
          <w:szCs w:val="24"/>
        </w:rPr>
        <w:t>，样品作为阴极。在电场作用下，电离产生的氩离子</w:t>
      </w:r>
      <w:r>
        <w:rPr>
          <w:rFonts w:hint="eastAsia" w:hAnsi="宋体"/>
          <w:b w:val="0"/>
          <w:bCs w:val="0"/>
          <w:sz w:val="24"/>
          <w:szCs w:val="24"/>
          <w:lang w:eastAsia="zh-CN"/>
        </w:rPr>
        <w:t>（</w:t>
      </w:r>
      <w:r>
        <w:rPr>
          <w:rFonts w:hint="eastAsia" w:hAnsi="宋体"/>
          <w:b w:val="0"/>
          <w:bCs w:val="0"/>
          <w:sz w:val="24"/>
          <w:szCs w:val="24"/>
        </w:rPr>
        <w:t>Ar+</w:t>
      </w:r>
      <w:r>
        <w:rPr>
          <w:rFonts w:hint="eastAsia" w:hAnsi="宋体"/>
          <w:b w:val="0"/>
          <w:bCs w:val="0"/>
          <w:sz w:val="24"/>
          <w:szCs w:val="24"/>
          <w:lang w:eastAsia="zh-CN"/>
        </w:rPr>
        <w:t>）</w:t>
      </w:r>
      <w:r>
        <w:rPr>
          <w:rFonts w:hint="eastAsia" w:hAnsi="宋体"/>
          <w:b w:val="0"/>
          <w:bCs w:val="0"/>
          <w:sz w:val="24"/>
          <w:szCs w:val="24"/>
        </w:rPr>
        <w:t>在阴极与阳极间被加速。同时在电离过程中，产生了阳离子和自由电子，最终形成等离子体，该等离子体的形成过程称之为辉光放电。一些高速氩离子</w:t>
      </w:r>
      <w:r>
        <w:rPr>
          <w:rFonts w:hint="eastAsia" w:hAnsi="宋体"/>
          <w:b w:val="0"/>
          <w:bCs w:val="0"/>
          <w:sz w:val="24"/>
          <w:szCs w:val="24"/>
          <w:lang w:eastAsia="zh-CN"/>
        </w:rPr>
        <w:t>（</w:t>
      </w:r>
      <w:r>
        <w:rPr>
          <w:rFonts w:hint="eastAsia" w:hAnsi="宋体"/>
          <w:b w:val="0"/>
          <w:bCs w:val="0"/>
          <w:sz w:val="24"/>
          <w:szCs w:val="24"/>
        </w:rPr>
        <w:t>Ar+</w:t>
      </w:r>
      <w:r>
        <w:rPr>
          <w:rFonts w:hint="eastAsia" w:hAnsi="宋体"/>
          <w:b w:val="0"/>
          <w:bCs w:val="0"/>
          <w:sz w:val="24"/>
          <w:szCs w:val="24"/>
          <w:lang w:eastAsia="zh-CN"/>
        </w:rPr>
        <w:t>）</w:t>
      </w:r>
      <w:r>
        <w:rPr>
          <w:rFonts w:hint="eastAsia" w:hAnsi="宋体"/>
          <w:b w:val="0"/>
          <w:bCs w:val="0"/>
          <w:sz w:val="24"/>
          <w:szCs w:val="24"/>
        </w:rPr>
        <w:t>到达样品表面，撞击得到阴极</w:t>
      </w:r>
      <w:r>
        <w:rPr>
          <w:rFonts w:hint="eastAsia" w:hAnsi="宋体"/>
          <w:b w:val="0"/>
          <w:bCs w:val="0"/>
          <w:sz w:val="24"/>
          <w:szCs w:val="24"/>
          <w:lang w:eastAsia="zh-CN"/>
        </w:rPr>
        <w:t>（</w:t>
      </w:r>
      <w:r>
        <w:rPr>
          <w:rFonts w:hint="eastAsia" w:hAnsi="宋体"/>
          <w:b w:val="0"/>
          <w:bCs w:val="0"/>
          <w:sz w:val="24"/>
          <w:szCs w:val="24"/>
        </w:rPr>
        <w:t>样品）原子和二次电子，将样品表面物质均匀地溅射</w:t>
      </w:r>
      <w:r>
        <w:rPr>
          <w:rFonts w:hint="eastAsia" w:hAnsi="宋体"/>
          <w:b w:val="0"/>
          <w:bCs w:val="0"/>
          <w:sz w:val="24"/>
          <w:szCs w:val="24"/>
          <w:lang w:eastAsia="zh-CN"/>
        </w:rPr>
        <w:t>（</w:t>
      </w:r>
      <w:r>
        <w:rPr>
          <w:rFonts w:hint="eastAsia" w:hAnsi="宋体"/>
          <w:b w:val="0"/>
          <w:bCs w:val="0"/>
          <w:sz w:val="24"/>
          <w:szCs w:val="24"/>
        </w:rPr>
        <w:t>或剥离</w:t>
      </w:r>
      <w:r>
        <w:rPr>
          <w:rFonts w:hint="eastAsia" w:hAnsi="宋体"/>
          <w:b w:val="0"/>
          <w:bCs w:val="0"/>
          <w:sz w:val="24"/>
          <w:szCs w:val="24"/>
          <w:lang w:eastAsia="zh-CN"/>
        </w:rPr>
        <w:t>）</w:t>
      </w:r>
      <w:r>
        <w:rPr>
          <w:rFonts w:hint="eastAsia" w:hAnsi="宋体"/>
          <w:b w:val="0"/>
          <w:bCs w:val="0"/>
          <w:sz w:val="24"/>
          <w:szCs w:val="24"/>
        </w:rPr>
        <w:t>出来，一些溅射出的物质扩散到辉光放电等离子体内，最终被激发。这些被激发的原子由激发态回到基态时所发出的光是组成该样品元素的特征光谱。经光栅分光后，利用这些发射光谱的波长和强度即可进行定性和定量分析。在深度分析时，通过相应的数学模型将实验得到的元素强度与溅射时间的关系转化为元素含量与溅射深度的关系，即可得到样品深度分布的信息。</w:t>
      </w:r>
    </w:p>
    <w:p w14:paraId="4B6E2830">
      <w:pPr>
        <w:pageBreakBefore w:val="0"/>
        <w:kinsoku/>
        <w:wordWrap/>
        <w:overflowPunct/>
        <w:topLinePunct w:val="0"/>
        <w:bidi w:val="0"/>
        <w:spacing w:line="300" w:lineRule="auto"/>
        <w:ind w:firstLine="555"/>
        <w:textAlignment w:val="auto"/>
        <w:rPr>
          <w:rFonts w:hint="eastAsia" w:hAnsi="宋体"/>
          <w:b w:val="0"/>
          <w:bCs w:val="0"/>
          <w:sz w:val="24"/>
          <w:szCs w:val="24"/>
        </w:rPr>
      </w:pPr>
      <w:r>
        <w:rPr>
          <w:rFonts w:hint="eastAsia" w:hAnsi="宋体"/>
          <w:b w:val="0"/>
          <w:bCs w:val="0"/>
          <w:sz w:val="24"/>
          <w:szCs w:val="24"/>
        </w:rPr>
        <w:t>有色金属材料的化学成分直接影响其性能，也是判断产品合格与否的关键参数；有色金属材料的表面处理工艺直接关系到材料的耐腐蚀性、抗氧化性、导电性等性能，如在铜基、铝基、镁基等材料表面进行镀镍，在铜基材料表面镀银等。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作为精密的光学仪器，其准确度直接影响了被测样品的化学成分及材料性能，因此必须定期对辉光放电发射光谱仪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进行校准。</w:t>
      </w:r>
      <w:r>
        <w:rPr>
          <w:rFonts w:hint="eastAsia" w:hAnsi="宋体"/>
          <w:b w:val="0"/>
          <w:bCs w:val="0"/>
          <w:sz w:val="24"/>
          <w:szCs w:val="24"/>
          <w:lang w:val="en-US" w:eastAsia="zh-CN"/>
        </w:rPr>
        <w:t>而</w:t>
      </w:r>
      <w:r>
        <w:rPr>
          <w:rFonts w:hint="eastAsia" w:hAnsi="宋体"/>
          <w:b w:val="0"/>
          <w:bCs w:val="0"/>
          <w:color w:val="000000" w:themeColor="text1"/>
          <w:sz w:val="24"/>
          <w:szCs w:val="24"/>
          <w14:textFill>
            <w14:solidFill>
              <w14:schemeClr w14:val="tx1"/>
            </w14:solidFill>
          </w14:textFill>
        </w:rPr>
        <w:t>现有的JJG768-2005《发射光谱仪》校准规范不</w:t>
      </w:r>
      <w:r>
        <w:rPr>
          <w:rFonts w:hint="eastAsia" w:hAnsi="宋体"/>
          <w:b w:val="0"/>
          <w:bCs w:val="0"/>
          <w:color w:val="000000" w:themeColor="text1"/>
          <w:sz w:val="24"/>
          <w:szCs w:val="24"/>
          <w:lang w:val="en-US" w:eastAsia="zh-CN"/>
          <w14:textFill>
            <w14:solidFill>
              <w14:schemeClr w14:val="tx1"/>
            </w14:solidFill>
          </w14:textFill>
        </w:rPr>
        <w:t>再</w:t>
      </w:r>
      <w:r>
        <w:rPr>
          <w:rFonts w:hint="eastAsia" w:hAnsi="宋体"/>
          <w:b w:val="0"/>
          <w:bCs w:val="0"/>
          <w:color w:val="000000" w:themeColor="text1"/>
          <w:sz w:val="24"/>
          <w:szCs w:val="24"/>
          <w14:textFill>
            <w14:solidFill>
              <w14:schemeClr w14:val="tx1"/>
            </w14:solidFill>
          </w14:textFill>
        </w:rPr>
        <w:t>适用于火花放电原子发射光谱仪的校准。</w:t>
      </w:r>
    </w:p>
    <w:p w14:paraId="0BBCC02C">
      <w:pPr>
        <w:pStyle w:val="16"/>
        <w:keepNext w:val="0"/>
        <w:keepLines w:val="0"/>
        <w:pageBreakBefore w:val="0"/>
        <w:widowControl w:val="0"/>
        <w:kinsoku/>
        <w:wordWrap/>
        <w:overflowPunct/>
        <w:topLinePunct w:val="0"/>
        <w:autoSpaceDE/>
        <w:autoSpaceDN/>
        <w:bidi w:val="0"/>
        <w:adjustRightInd/>
        <w:snapToGrid/>
        <w:spacing w:after="0" w:line="300" w:lineRule="auto"/>
        <w:ind w:firstLine="480" w:firstLineChars="200"/>
        <w:textAlignment w:val="auto"/>
        <w:rPr>
          <w:rFonts w:hint="eastAsia" w:hAnsi="宋体"/>
          <w:b w:val="0"/>
          <w:bCs w:val="0"/>
          <w:sz w:val="24"/>
          <w:szCs w:val="24"/>
        </w:rPr>
      </w:pPr>
      <w:r>
        <w:rPr>
          <w:rFonts w:hint="eastAsia" w:hAnsi="宋体"/>
          <w:b w:val="0"/>
          <w:bCs w:val="0"/>
          <w:color w:val="000000" w:themeColor="text1"/>
          <w:sz w:val="24"/>
          <w:szCs w:val="24"/>
          <w14:textFill>
            <w14:solidFill>
              <w14:schemeClr w14:val="tx1"/>
            </w14:solidFill>
          </w14:textFill>
        </w:rPr>
        <w:t>本</w:t>
      </w:r>
      <w:r>
        <w:rPr>
          <w:rFonts w:hint="eastAsia" w:hAnsi="宋体"/>
          <w:b w:val="0"/>
          <w:bCs w:val="0"/>
          <w:color w:val="000000" w:themeColor="text1"/>
          <w:sz w:val="24"/>
          <w:szCs w:val="24"/>
          <w:lang w:val="en-US" w:eastAsia="zh-CN"/>
          <w14:textFill>
            <w14:solidFill>
              <w14:schemeClr w14:val="tx1"/>
            </w14:solidFill>
          </w14:textFill>
        </w:rPr>
        <w:t>规范</w:t>
      </w:r>
      <w:r>
        <w:rPr>
          <w:rFonts w:hint="eastAsia" w:hAnsi="宋体"/>
          <w:b w:val="0"/>
          <w:bCs w:val="0"/>
          <w:color w:val="000000" w:themeColor="text1"/>
          <w:sz w:val="24"/>
          <w:szCs w:val="24"/>
          <w14:textFill>
            <w14:solidFill>
              <w14:schemeClr w14:val="tx1"/>
            </w14:solidFill>
          </w14:textFill>
        </w:rPr>
        <w:t>制定后，</w:t>
      </w:r>
      <w:r>
        <w:rPr>
          <w:rFonts w:hint="eastAsia" w:hAnsi="宋体"/>
          <w:b w:val="0"/>
          <w:bCs w:val="0"/>
          <w:sz w:val="24"/>
          <w:szCs w:val="24"/>
        </w:rPr>
        <w:t>将实现辉光放电发射光谱仪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校准的规范化与一致性，为辉光放电发射光谱仪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的检测数据准确可靠提供了必要的计量保障。从行业需求来看、此类设备应用广泛，不仅可以作为有色金属材料化学成分的快速分析常规手段，随着对材料表面质量的要求越来越高，在表面分析方面更体现出了独特的优势。因此，</w:t>
      </w:r>
      <w:r>
        <w:rPr>
          <w:rFonts w:hint="eastAsia" w:hAnsi="宋体"/>
          <w:b w:val="0"/>
          <w:bCs w:val="0"/>
          <w:sz w:val="24"/>
          <w:szCs w:val="24"/>
          <w:lang w:eastAsia="zh-CN"/>
        </w:rPr>
        <w:t>亟须</w:t>
      </w:r>
      <w:r>
        <w:rPr>
          <w:rFonts w:hint="eastAsia" w:hAnsi="宋体"/>
          <w:b w:val="0"/>
          <w:bCs w:val="0"/>
          <w:sz w:val="24"/>
          <w:szCs w:val="24"/>
        </w:rPr>
        <w:t>专门制定针对辉光放电发射光谱仪</w:t>
      </w:r>
      <w:r>
        <w:rPr>
          <w:rFonts w:hint="eastAsia" w:hAnsi="宋体"/>
          <w:b w:val="0"/>
          <w:bCs w:val="0"/>
          <w:sz w:val="24"/>
          <w:szCs w:val="24"/>
          <w:lang w:eastAsia="zh-CN"/>
        </w:rPr>
        <w:t>（</w:t>
      </w:r>
      <w:r>
        <w:rPr>
          <w:rFonts w:hint="eastAsia" w:hAnsi="宋体"/>
          <w:b w:val="0"/>
          <w:bCs w:val="0"/>
          <w:sz w:val="24"/>
          <w:szCs w:val="24"/>
        </w:rPr>
        <w:t>GD-OES</w:t>
      </w:r>
      <w:r>
        <w:rPr>
          <w:rFonts w:hint="eastAsia" w:hAnsi="宋体"/>
          <w:b w:val="0"/>
          <w:bCs w:val="0"/>
          <w:sz w:val="24"/>
          <w:szCs w:val="24"/>
          <w:lang w:eastAsia="zh-CN"/>
        </w:rPr>
        <w:t>）</w:t>
      </w:r>
      <w:r>
        <w:rPr>
          <w:rFonts w:hint="eastAsia" w:hAnsi="宋体"/>
          <w:b w:val="0"/>
          <w:bCs w:val="0"/>
          <w:sz w:val="24"/>
          <w:szCs w:val="24"/>
        </w:rPr>
        <w:t>的计量校准规范，以填补此类仪器设备量值溯源所依据技术文件的空白，满足行业相关计量的迫切需求。</w:t>
      </w:r>
    </w:p>
    <w:p w14:paraId="33748486">
      <w:pPr>
        <w:pStyle w:val="3"/>
        <w:pageBreakBefore w:val="0"/>
        <w:kinsoku/>
        <w:wordWrap/>
        <w:overflowPunct/>
        <w:topLinePunct w:val="0"/>
        <w:bidi w:val="0"/>
        <w:spacing w:before="156" w:after="156" w:line="300" w:lineRule="auto"/>
        <w:textAlignment w:val="auto"/>
        <w:rPr>
          <w:b w:val="0"/>
          <w:bCs w:val="0"/>
        </w:rPr>
      </w:pPr>
      <w:r>
        <w:rPr>
          <w:rFonts w:hint="eastAsia"/>
          <w:b w:val="0"/>
          <w:bCs w:val="0"/>
        </w:rPr>
        <w:t>2.任务来源</w:t>
      </w:r>
      <w:bookmarkEnd w:id="2"/>
    </w:p>
    <w:p w14:paraId="47F4B72C">
      <w:pPr>
        <w:pStyle w:val="36"/>
        <w:pageBreakBefore w:val="0"/>
        <w:kinsoku/>
        <w:wordWrap/>
        <w:overflowPunct/>
        <w:topLinePunct w:val="0"/>
        <w:bidi w:val="0"/>
        <w:spacing w:after="0" w:line="300" w:lineRule="auto"/>
        <w:ind w:firstLine="480" w:firstLineChars="200"/>
        <w:textAlignment w:val="auto"/>
        <w:rPr>
          <w:rFonts w:hint="eastAsia" w:hAnsi="宋体"/>
          <w:b w:val="0"/>
          <w:bCs w:val="0"/>
          <w:sz w:val="24"/>
          <w:szCs w:val="24"/>
        </w:rPr>
      </w:pPr>
      <w:r>
        <w:rPr>
          <w:rFonts w:hint="default" w:hAnsi="宋体"/>
          <w:b w:val="0"/>
          <w:bCs w:val="0"/>
          <w:sz w:val="24"/>
          <w:szCs w:val="24"/>
          <w:lang w:val="en-US" w:eastAsia="zh-CN"/>
        </w:rPr>
        <w:t>根据工信部《工业和信息化部办公厅关于印发2025年行业计量技术规范制修订计划的通知》（工厅科</w:t>
      </w:r>
      <w:r>
        <w:rPr>
          <w:rFonts w:hint="eastAsia" w:hAnsi="宋体"/>
          <w:b w:val="0"/>
          <w:bCs w:val="0"/>
          <w:sz w:val="24"/>
          <w:szCs w:val="24"/>
          <w:lang w:val="en-US" w:eastAsia="zh-CN"/>
        </w:rPr>
        <w:t>〔2025〕299号</w:t>
      </w:r>
      <w:r>
        <w:rPr>
          <w:rFonts w:hint="default" w:hAnsi="宋体"/>
          <w:b w:val="0"/>
          <w:bCs w:val="0"/>
          <w:sz w:val="24"/>
          <w:szCs w:val="24"/>
          <w:lang w:val="en-US" w:eastAsia="zh-CN"/>
        </w:rPr>
        <w:t>）</w:t>
      </w:r>
      <w:r>
        <w:rPr>
          <w:rFonts w:hint="eastAsia" w:hAnsi="宋体"/>
          <w:b w:val="0"/>
          <w:bCs w:val="0"/>
          <w:sz w:val="24"/>
          <w:szCs w:val="24"/>
          <w:lang w:val="en-US" w:eastAsia="zh-CN"/>
        </w:rPr>
        <w:t>，</w:t>
      </w:r>
      <w:r>
        <w:rPr>
          <w:rFonts w:hint="eastAsia" w:hAnsi="宋体"/>
          <w:b w:val="0"/>
          <w:bCs w:val="0"/>
          <w:sz w:val="24"/>
          <w:szCs w:val="24"/>
        </w:rPr>
        <w:t>行业计量技术规范《有色金属材料分析用辉光放电发射光谱仪校准规范》由</w:t>
      </w:r>
      <w:r>
        <w:rPr>
          <w:rFonts w:hint="eastAsia" w:hAnsi="宋体"/>
          <w:b w:val="0"/>
          <w:bCs w:val="0"/>
          <w:sz w:val="24"/>
          <w:szCs w:val="24"/>
          <w:lang w:val="en-US" w:eastAsia="zh-CN"/>
        </w:rPr>
        <w:t>中铝洛阳铜加工有限公司</w:t>
      </w:r>
      <w:r>
        <w:rPr>
          <w:rFonts w:hint="eastAsia" w:hAnsi="宋体"/>
          <w:b w:val="0"/>
          <w:bCs w:val="0"/>
          <w:sz w:val="24"/>
          <w:szCs w:val="24"/>
        </w:rPr>
        <w:t>负责起草。该项目计划编号为JJFZ</w:t>
      </w:r>
      <w:r>
        <w:rPr>
          <w:rFonts w:hint="eastAsia" w:hAnsi="宋体"/>
          <w:b w:val="0"/>
          <w:bCs w:val="0"/>
          <w:sz w:val="24"/>
          <w:szCs w:val="24"/>
          <w:lang w:eastAsia="zh-CN"/>
        </w:rPr>
        <w:t>（</w:t>
      </w:r>
      <w:r>
        <w:rPr>
          <w:rFonts w:hint="eastAsia" w:hAnsi="宋体"/>
          <w:b w:val="0"/>
          <w:bCs w:val="0"/>
          <w:sz w:val="24"/>
          <w:szCs w:val="24"/>
        </w:rPr>
        <w:t>有色金属</w:t>
      </w:r>
      <w:r>
        <w:rPr>
          <w:rFonts w:hint="eastAsia" w:hAnsi="宋体"/>
          <w:b w:val="0"/>
          <w:bCs w:val="0"/>
          <w:sz w:val="24"/>
          <w:szCs w:val="24"/>
          <w:lang w:eastAsia="zh-CN"/>
        </w:rPr>
        <w:t>）</w:t>
      </w:r>
      <w:r>
        <w:rPr>
          <w:rFonts w:hint="default" w:hAnsi="宋体"/>
          <w:b w:val="0"/>
          <w:bCs w:val="0"/>
          <w:sz w:val="24"/>
          <w:szCs w:val="24"/>
          <w:lang w:val="en-US" w:eastAsia="zh-CN"/>
        </w:rPr>
        <w:t>JJFZ（有色金属）004-2025</w:t>
      </w:r>
      <w:r>
        <w:rPr>
          <w:rFonts w:hint="eastAsia" w:hAnsi="宋体"/>
          <w:b w:val="0"/>
          <w:bCs w:val="0"/>
          <w:sz w:val="24"/>
          <w:szCs w:val="24"/>
          <w:lang w:val="en-US" w:eastAsia="zh-CN"/>
        </w:rPr>
        <w:t>，</w:t>
      </w:r>
      <w:r>
        <w:rPr>
          <w:rFonts w:hint="default" w:hAnsi="宋体"/>
          <w:b w:val="0"/>
          <w:bCs w:val="0"/>
          <w:sz w:val="24"/>
          <w:szCs w:val="24"/>
          <w:lang w:val="en-US" w:eastAsia="zh-CN"/>
        </w:rPr>
        <w:t>计划完成年限为202</w:t>
      </w:r>
      <w:r>
        <w:rPr>
          <w:rFonts w:hint="eastAsia" w:hAnsi="宋体"/>
          <w:b w:val="0"/>
          <w:bCs w:val="0"/>
          <w:sz w:val="24"/>
          <w:szCs w:val="24"/>
          <w:lang w:val="en-US" w:eastAsia="zh-CN"/>
        </w:rPr>
        <w:t>7</w:t>
      </w:r>
      <w:r>
        <w:rPr>
          <w:rFonts w:hint="default" w:hAnsi="宋体"/>
          <w:b w:val="0"/>
          <w:bCs w:val="0"/>
          <w:sz w:val="24"/>
          <w:szCs w:val="24"/>
          <w:lang w:val="en-US" w:eastAsia="zh-CN"/>
        </w:rPr>
        <w:t>年。</w:t>
      </w:r>
    </w:p>
    <w:p w14:paraId="7285DE43">
      <w:pPr>
        <w:pStyle w:val="3"/>
        <w:pageBreakBefore w:val="0"/>
        <w:kinsoku/>
        <w:wordWrap/>
        <w:overflowPunct/>
        <w:topLinePunct w:val="0"/>
        <w:bidi w:val="0"/>
        <w:spacing w:before="156" w:after="156" w:line="300" w:lineRule="auto"/>
        <w:textAlignment w:val="auto"/>
        <w:rPr>
          <w:b w:val="0"/>
          <w:bCs w:val="0"/>
        </w:rPr>
      </w:pPr>
      <w:r>
        <w:rPr>
          <w:rFonts w:hint="eastAsia"/>
          <w:b w:val="0"/>
          <w:bCs w:val="0"/>
        </w:rPr>
        <w:t>3.项目编制组单位简况</w:t>
      </w:r>
    </w:p>
    <w:p w14:paraId="5C80AFEB">
      <w:pPr>
        <w:pStyle w:val="4"/>
        <w:pageBreakBefore w:val="0"/>
        <w:kinsoku/>
        <w:wordWrap/>
        <w:overflowPunct/>
        <w:topLinePunct w:val="0"/>
        <w:bidi w:val="0"/>
        <w:spacing w:before="156" w:after="156" w:line="300" w:lineRule="auto"/>
        <w:textAlignment w:val="auto"/>
        <w:rPr>
          <w:b w:val="0"/>
          <w:bCs w:val="0"/>
          <w:sz w:val="24"/>
          <w:szCs w:val="24"/>
        </w:rPr>
      </w:pPr>
      <w:r>
        <w:rPr>
          <w:rFonts w:hint="eastAsia"/>
          <w:b w:val="0"/>
          <w:bCs w:val="0"/>
          <w:sz w:val="24"/>
          <w:szCs w:val="24"/>
        </w:rPr>
        <w:t>3.1编制组成员单位</w:t>
      </w:r>
    </w:p>
    <w:p w14:paraId="40014D57">
      <w:pPr>
        <w:pageBreakBefore w:val="0"/>
        <w:widowControl/>
        <w:kinsoku/>
        <w:wordWrap/>
        <w:overflowPunct/>
        <w:topLinePunct w:val="0"/>
        <w:autoSpaceDE w:val="0"/>
        <w:autoSpaceDN w:val="0"/>
        <w:bidi w:val="0"/>
        <w:spacing w:line="300" w:lineRule="auto"/>
        <w:ind w:firstLine="480" w:firstLineChars="200"/>
        <w:textAlignment w:val="auto"/>
        <w:rPr>
          <w:rFonts w:hint="default"/>
          <w:b w:val="0"/>
          <w:bCs w:val="0"/>
          <w:sz w:val="24"/>
          <w:szCs w:val="24"/>
        </w:rPr>
      </w:pPr>
      <w:bookmarkStart w:id="3" w:name="_Toc462884344"/>
      <w:bookmarkStart w:id="4" w:name="_Toc464728900"/>
      <w:r>
        <w:rPr>
          <w:rFonts w:hint="eastAsia"/>
          <w:b w:val="0"/>
          <w:bCs w:val="0"/>
          <w:sz w:val="24"/>
          <w:szCs w:val="24"/>
        </w:rPr>
        <w:t>本规范的编制组单位为：</w:t>
      </w:r>
      <w:r>
        <w:rPr>
          <w:rFonts w:hint="eastAsia"/>
          <w:sz w:val="24"/>
          <w:szCs w:val="24"/>
        </w:rPr>
        <w:t>中铝洛阳铜加工有限公司</w:t>
      </w:r>
      <w:r>
        <w:rPr>
          <w:rFonts w:hint="eastAsia"/>
          <w:sz w:val="24"/>
          <w:szCs w:val="24"/>
          <w:lang w:eastAsia="zh-CN"/>
        </w:rPr>
        <w:t>、</w:t>
      </w:r>
      <w:r>
        <w:rPr>
          <w:rFonts w:hint="eastAsia"/>
          <w:sz w:val="24"/>
          <w:szCs w:val="24"/>
        </w:rPr>
        <w:t>中铝材料应用研究院有限公司</w:t>
      </w:r>
      <w:r>
        <w:rPr>
          <w:rFonts w:hint="eastAsia"/>
          <w:sz w:val="24"/>
          <w:szCs w:val="24"/>
          <w:lang w:eastAsia="zh-CN"/>
        </w:rPr>
        <w:t>、</w:t>
      </w:r>
      <w:r>
        <w:rPr>
          <w:rFonts w:hint="eastAsia"/>
          <w:sz w:val="24"/>
          <w:szCs w:val="24"/>
        </w:rPr>
        <w:t>国标（北京）检验认证有限公司</w:t>
      </w:r>
      <w:r>
        <w:rPr>
          <w:rFonts w:hint="eastAsia"/>
          <w:sz w:val="24"/>
          <w:szCs w:val="24"/>
          <w:lang w:eastAsia="zh-CN"/>
        </w:rPr>
        <w:t>、</w:t>
      </w:r>
      <w:r>
        <w:rPr>
          <w:rFonts w:hint="eastAsia"/>
          <w:sz w:val="24"/>
          <w:szCs w:val="24"/>
        </w:rPr>
        <w:t>辽宁盛达计量检测技术有限公司</w:t>
      </w:r>
      <w:r>
        <w:rPr>
          <w:rFonts w:hint="eastAsia"/>
          <w:sz w:val="24"/>
          <w:szCs w:val="24"/>
          <w:lang w:eastAsia="zh-CN"/>
        </w:rPr>
        <w:t>、</w:t>
      </w:r>
      <w:r>
        <w:rPr>
          <w:rFonts w:hint="eastAsia"/>
          <w:sz w:val="24"/>
          <w:szCs w:val="24"/>
        </w:rPr>
        <w:t>宝鸡钛业股份有限公司</w:t>
      </w:r>
      <w:r>
        <w:rPr>
          <w:rFonts w:hint="eastAsia"/>
          <w:sz w:val="24"/>
          <w:szCs w:val="24"/>
          <w:lang w:eastAsia="zh-CN"/>
        </w:rPr>
        <w:t>、有色金属技术经济研究院有限责任公司、</w:t>
      </w:r>
      <w:r>
        <w:rPr>
          <w:rFonts w:hint="eastAsia"/>
          <w:sz w:val="24"/>
          <w:szCs w:val="24"/>
        </w:rPr>
        <w:t>西安汉唐分析检测有限公司</w:t>
      </w:r>
      <w:r>
        <w:rPr>
          <w:rFonts w:hint="eastAsia"/>
          <w:sz w:val="24"/>
          <w:szCs w:val="24"/>
          <w:lang w:eastAsia="zh-CN"/>
        </w:rPr>
        <w:t>、</w:t>
      </w:r>
      <w:r>
        <w:rPr>
          <w:rFonts w:hint="eastAsia"/>
          <w:sz w:val="24"/>
          <w:szCs w:val="24"/>
        </w:rPr>
        <w:t>北京科技大学</w:t>
      </w:r>
      <w:r>
        <w:rPr>
          <w:rFonts w:hint="eastAsia"/>
          <w:sz w:val="24"/>
          <w:szCs w:val="24"/>
          <w:lang w:eastAsia="zh-CN"/>
        </w:rPr>
        <w:t>、</w:t>
      </w:r>
      <w:r>
        <w:rPr>
          <w:rFonts w:hint="eastAsia"/>
          <w:sz w:val="24"/>
          <w:szCs w:val="24"/>
        </w:rPr>
        <w:t>国合通用</w:t>
      </w:r>
      <w:r>
        <w:rPr>
          <w:rFonts w:hint="eastAsia"/>
          <w:sz w:val="24"/>
          <w:szCs w:val="24"/>
          <w:lang w:eastAsia="zh-CN"/>
        </w:rPr>
        <w:t>（</w:t>
      </w:r>
      <w:r>
        <w:rPr>
          <w:rFonts w:hint="eastAsia"/>
          <w:sz w:val="24"/>
          <w:szCs w:val="24"/>
        </w:rPr>
        <w:t>青岛</w:t>
      </w:r>
      <w:r>
        <w:rPr>
          <w:rFonts w:hint="eastAsia"/>
          <w:sz w:val="24"/>
          <w:szCs w:val="24"/>
          <w:lang w:eastAsia="zh-CN"/>
        </w:rPr>
        <w:t>）</w:t>
      </w:r>
      <w:r>
        <w:rPr>
          <w:rFonts w:hint="eastAsia"/>
          <w:sz w:val="24"/>
          <w:szCs w:val="24"/>
        </w:rPr>
        <w:t>测试评价有限公司</w:t>
      </w:r>
      <w:r>
        <w:rPr>
          <w:rFonts w:hint="eastAsia"/>
          <w:sz w:val="24"/>
          <w:szCs w:val="24"/>
          <w:lang w:eastAsia="zh-CN"/>
        </w:rPr>
        <w:t>、</w:t>
      </w:r>
      <w:r>
        <w:rPr>
          <w:rFonts w:hint="eastAsia"/>
          <w:sz w:val="24"/>
          <w:szCs w:val="24"/>
        </w:rPr>
        <w:t>中国科学院宁波材料技术与工程研究所</w:t>
      </w:r>
      <w:r>
        <w:rPr>
          <w:rFonts w:hint="eastAsia"/>
          <w:sz w:val="24"/>
          <w:szCs w:val="24"/>
          <w:lang w:eastAsia="zh-CN"/>
        </w:rPr>
        <w:t>、西南铝业(集团)有限责任公司</w:t>
      </w:r>
      <w:r>
        <w:rPr>
          <w:rFonts w:hint="eastAsia"/>
          <w:b w:val="0"/>
          <w:bCs w:val="0"/>
          <w:sz w:val="24"/>
          <w:szCs w:val="24"/>
        </w:rPr>
        <w:t>。</w:t>
      </w:r>
    </w:p>
    <w:p w14:paraId="7D4F1A94">
      <w:pPr>
        <w:pStyle w:val="4"/>
        <w:pageBreakBefore w:val="0"/>
        <w:kinsoku/>
        <w:wordWrap/>
        <w:overflowPunct/>
        <w:topLinePunct w:val="0"/>
        <w:bidi w:val="0"/>
        <w:spacing w:before="156" w:after="156" w:line="300" w:lineRule="auto"/>
        <w:textAlignment w:val="auto"/>
        <w:rPr>
          <w:b w:val="0"/>
          <w:bCs w:val="0"/>
          <w:sz w:val="24"/>
          <w:szCs w:val="24"/>
        </w:rPr>
      </w:pPr>
      <w:r>
        <w:rPr>
          <w:rFonts w:hint="eastAsia"/>
          <w:b w:val="0"/>
          <w:bCs w:val="0"/>
          <w:sz w:val="24"/>
          <w:szCs w:val="24"/>
        </w:rPr>
        <w:t>3.2 主编单位简介</w:t>
      </w:r>
    </w:p>
    <w:bookmarkEnd w:id="3"/>
    <w:bookmarkEnd w:id="4"/>
    <w:p w14:paraId="28C5F932">
      <w:pPr>
        <w:pageBreakBefore w:val="0"/>
        <w:kinsoku/>
        <w:wordWrap/>
        <w:overflowPunct/>
        <w:topLinePunct w:val="0"/>
        <w:bidi w:val="0"/>
        <w:spacing w:line="300" w:lineRule="auto"/>
        <w:ind w:firstLine="480" w:firstLineChars="200"/>
        <w:textAlignment w:val="auto"/>
        <w:rPr>
          <w:rFonts w:hint="eastAsia"/>
          <w:b w:val="0"/>
          <w:bCs w:val="0"/>
          <w:color w:val="auto"/>
          <w:sz w:val="24"/>
          <w:szCs w:val="24"/>
        </w:rPr>
      </w:pPr>
      <w:r>
        <w:rPr>
          <w:rFonts w:hint="eastAsia"/>
          <w:sz w:val="24"/>
          <w:szCs w:val="24"/>
          <w:lang w:eastAsia="zh-CN"/>
        </w:rPr>
        <w:t>中铝洛阳铜加工有限公司（以下简称洛阳铜加工）是知名铜加工企业，国内具有影响力的综合性铜加工企业，拥有“国内领先、世界一流”的高精度电子铜带生产（引进美国、德国、意大利、日本等国家具有国际领先水平的先进生产装备）、铜及铜合金板带箔加工生产、铜及铜合金管棒加工生产、铝镁材加工生产等多条生产线，产品涉及铜及铜合金板、带、箔、管、棒、型材、铝镁板带箔材。广泛应用于电子信息通讯、新能源、汽车、海洋工程、轨道交通、电力装备等领域，为神舟系列飞船、大推力火箭、区域电子对抗、JT等国家重大战略工程提供了关键材料保障。拥有国家级企业技术中心、国家实验室认证认可监督管理委员会认可的实验室、中国有色金属工业重金属加工材质检站、河南省铜镁材料和加工技术工程研究中心、中铝集团高性能铜板带箔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接插件用铜及铜合金异型带材生产技术成熟，产品质量稳定、性能满足用户使用要求，具有较好的技术基础和能力。</w:t>
      </w:r>
    </w:p>
    <w:p w14:paraId="7C118D26">
      <w:pPr>
        <w:pStyle w:val="61"/>
        <w:pageBreakBefore w:val="0"/>
        <w:numPr>
          <w:ilvl w:val="0"/>
          <w:numId w:val="0"/>
        </w:numPr>
        <w:kinsoku/>
        <w:wordWrap/>
        <w:overflowPunct/>
        <w:topLinePunct w:val="0"/>
        <w:bidi w:val="0"/>
        <w:spacing w:before="156" w:beforeLines="50" w:after="156" w:afterLines="50" w:line="300" w:lineRule="auto"/>
        <w:ind w:firstLine="480" w:firstLineChars="200"/>
        <w:textAlignment w:val="auto"/>
        <w:rPr>
          <w:rFonts w:hint="eastAsia" w:ascii="Times New Roman" w:hAnsi="Times New Roman" w:eastAsia="宋体" w:cs="Times New Roman"/>
          <w:color w:val="auto"/>
          <w:spacing w:val="0"/>
          <w:kern w:val="2"/>
          <w:sz w:val="24"/>
          <w:szCs w:val="24"/>
          <w:lang w:val="en-US" w:eastAsia="zh-CN" w:bidi="ar-SA"/>
        </w:rPr>
      </w:pPr>
      <w:bookmarkStart w:id="5" w:name="_Toc462884345"/>
      <w:bookmarkStart w:id="6" w:name="_Toc464728901"/>
      <w:r>
        <w:rPr>
          <w:rFonts w:hint="eastAsia" w:ascii="Times New Roman" w:hAnsi="Times New Roman" w:eastAsia="宋体" w:cs="Times New Roman"/>
          <w:color w:val="auto"/>
          <w:spacing w:val="0"/>
          <w:kern w:val="2"/>
          <w:sz w:val="24"/>
          <w:szCs w:val="24"/>
          <w:lang w:val="en-US" w:eastAsia="zh-CN" w:bidi="ar-SA"/>
        </w:rPr>
        <w:t>该单位主要负责本规范的起草工作，成立编制组并根据委员会的工作安排组织编制组成员单位开展相关校准工作，组织各单位对规范的《讨论稿》进行认真讨论，并就提出的意见和建议进行反馈和修改，在编制组中发挥主要带头作用。</w:t>
      </w:r>
    </w:p>
    <w:p w14:paraId="6220CB61">
      <w:pPr>
        <w:pStyle w:val="61"/>
        <w:pageBreakBefore w:val="0"/>
        <w:numPr>
          <w:ilvl w:val="0"/>
          <w:numId w:val="0"/>
        </w:numPr>
        <w:kinsoku/>
        <w:wordWrap/>
        <w:overflowPunct/>
        <w:topLinePunct w:val="0"/>
        <w:bidi w:val="0"/>
        <w:spacing w:before="156" w:beforeLines="50" w:after="156" w:afterLines="50" w:line="300" w:lineRule="auto"/>
        <w:textAlignment w:val="auto"/>
        <w:rPr>
          <w:b w:val="0"/>
          <w:bCs w:val="0"/>
          <w:color w:val="auto"/>
          <w:sz w:val="24"/>
          <w:szCs w:val="24"/>
        </w:rPr>
      </w:pPr>
      <w:r>
        <w:rPr>
          <w:rFonts w:hint="eastAsia"/>
          <w:b w:val="0"/>
          <w:bCs w:val="0"/>
          <w:color w:val="auto"/>
          <w:sz w:val="24"/>
          <w:szCs w:val="24"/>
        </w:rPr>
        <w:t>3.3成员单位简介</w:t>
      </w:r>
      <w:bookmarkEnd w:id="5"/>
      <w:bookmarkEnd w:id="6"/>
    </w:p>
    <w:p w14:paraId="13CD49DB">
      <w:pPr>
        <w:pStyle w:val="60"/>
        <w:pageBreakBefore w:val="0"/>
        <w:numPr>
          <w:ilvl w:val="0"/>
          <w:numId w:val="0"/>
        </w:numPr>
        <w:kinsoku/>
        <w:wordWrap/>
        <w:overflowPunct/>
        <w:topLinePunct w:val="0"/>
        <w:bidi w:val="0"/>
        <w:spacing w:before="156" w:beforeLines="50" w:after="156" w:afterLines="50" w:line="300" w:lineRule="auto"/>
        <w:contextualSpacing/>
        <w:textAlignment w:val="auto"/>
        <w:rPr>
          <w:rFonts w:hint="eastAsia"/>
          <w:b w:val="0"/>
          <w:bCs w:val="0"/>
          <w:sz w:val="24"/>
          <w:szCs w:val="24"/>
          <w:lang w:val="en-US" w:eastAsia="zh-CN"/>
        </w:rPr>
      </w:pPr>
      <w:r>
        <w:rPr>
          <w:rFonts w:hint="eastAsia" w:ascii="黑体" w:hAnsi="黑体" w:eastAsia="黑体" w:cs="黑体"/>
          <w:b w:val="0"/>
          <w:bCs w:val="0"/>
          <w:sz w:val="24"/>
          <w:szCs w:val="24"/>
          <w:lang w:val="en-US" w:eastAsia="zh-CN"/>
        </w:rPr>
        <w:t>3.3.</w:t>
      </w:r>
      <w:r>
        <w:rPr>
          <w:rFonts w:hint="eastAsia" w:cs="黑体"/>
          <w:b w:val="0"/>
          <w:bCs w:val="0"/>
          <w:sz w:val="24"/>
          <w:szCs w:val="24"/>
          <w:lang w:val="en-US" w:eastAsia="zh-CN"/>
        </w:rPr>
        <w:t>1</w:t>
      </w:r>
      <w:r>
        <w:rPr>
          <w:rFonts w:hint="eastAsia" w:ascii="Times New Roman"/>
          <w:b w:val="0"/>
          <w:bCs w:val="0"/>
          <w:sz w:val="24"/>
          <w:szCs w:val="24"/>
          <w:lang w:val="en-US" w:eastAsia="zh-CN"/>
        </w:rPr>
        <w:t xml:space="preserve"> </w:t>
      </w:r>
      <w:r>
        <w:rPr>
          <w:rFonts w:hint="eastAsia"/>
          <w:sz w:val="24"/>
          <w:szCs w:val="24"/>
          <w:lang w:eastAsia="zh-CN"/>
        </w:rPr>
        <w:t>中铝材料应用研究院有限公司</w:t>
      </w:r>
    </w:p>
    <w:p w14:paraId="381DEED0">
      <w:pPr>
        <w:pageBreakBefore w:val="0"/>
        <w:kinsoku/>
        <w:wordWrap/>
        <w:overflowPunct/>
        <w:topLinePunct w:val="0"/>
        <w:bidi w:val="0"/>
        <w:spacing w:line="300" w:lineRule="auto"/>
        <w:ind w:firstLine="480" w:firstLineChars="200"/>
        <w:contextualSpacing/>
        <w:jc w:val="left"/>
        <w:textAlignment w:val="auto"/>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中铝材料应用研究院有限公司（以下简称中铝材料院）是中国铝业公司下属科研企业，前身为成立于2010年5月的中铝科学技术研究院，是中央组织部、国务院国资委在北京市昌平区未来科学城规划的15家中央企业重要科研、创新基地之一。中铝材料院以有色金属材料研发及其应用产品研制为主业，研发方向涉及航空航天用铝合金板材、汽车轻量化用铝合金、锂电池用铝合金电池壳、电子信息用铜合金引线框架，轨道交通用铜合金材料及其应用产品研制等多个方面。目前各类在研项目包括国家“863”项目、国家重点研发计划项目，以及北京市科技创新引导专项、中铝公司科技发展基金等多个项目。为提升科技创新水平，中铝材料院引进国家级专家3人，形成了以专家为核心的科研创新队伍。聘任中国工程院院士，启动运行了院士专家工作站，引进多名高校知名教授及业内有重要影响的科技专家。目前</w:t>
      </w:r>
      <w:r>
        <w:rPr>
          <w:rFonts w:hint="eastAsia"/>
          <w:color w:val="000000" w:themeColor="text1"/>
          <w:sz w:val="24"/>
          <w:szCs w:val="24"/>
          <w:lang w:val="en-US" w:eastAsia="zh-CN"/>
          <w14:textFill>
            <w14:solidFill>
              <w14:schemeClr w14:val="tx1"/>
            </w14:solidFill>
          </w14:textFill>
        </w:rPr>
        <w:t>中铝</w:t>
      </w:r>
      <w:r>
        <w:rPr>
          <w:rFonts w:hint="eastAsia" w:ascii="Times New Roman" w:hAnsi="Times New Roman"/>
          <w:color w:val="000000" w:themeColor="text1"/>
          <w:sz w:val="24"/>
          <w:szCs w:val="24"/>
          <w14:textFill>
            <w14:solidFill>
              <w14:schemeClr w14:val="tx1"/>
            </w14:solidFill>
          </w14:textFill>
        </w:rPr>
        <w:t>材料院科研人才比例达78%，全日制大学本科及以上学历达100%，硕士研究生占50%，博士研究生占36%。</w:t>
      </w:r>
    </w:p>
    <w:p w14:paraId="65A8ED72">
      <w:pPr>
        <w:pageBreakBefore w:val="0"/>
        <w:kinsoku/>
        <w:wordWrap/>
        <w:overflowPunct/>
        <w:topLinePunct w:val="0"/>
        <w:bidi w:val="0"/>
        <w:spacing w:line="300" w:lineRule="auto"/>
        <w:ind w:firstLine="480" w:firstLineChars="200"/>
        <w:contextualSpacing w:val="0"/>
        <w:jc w:val="left"/>
        <w:textAlignment w:val="auto"/>
        <w:rPr>
          <w:rFonts w:hint="eastAsia"/>
          <w:b w:val="0"/>
          <w:bCs w:val="0"/>
          <w:color w:val="auto"/>
          <w:sz w:val="24"/>
          <w:szCs w:val="24"/>
        </w:rPr>
      </w:pPr>
      <w:r>
        <w:rPr>
          <w:rFonts w:hint="eastAsia"/>
          <w:b w:val="0"/>
          <w:bCs w:val="0"/>
          <w:color w:val="000000" w:themeColor="text1"/>
          <w:sz w:val="24"/>
          <w:szCs w:val="24"/>
          <w:lang w:val="en-US" w:eastAsia="zh-CN"/>
          <w14:textFill>
            <w14:solidFill>
              <w14:schemeClr w14:val="tx1"/>
            </w14:solidFill>
          </w14:textFill>
        </w:rPr>
        <w:t>该</w:t>
      </w:r>
      <w:r>
        <w:rPr>
          <w:rFonts w:hint="eastAsia"/>
          <w:b w:val="0"/>
          <w:bCs w:val="0"/>
          <w:color w:val="000000" w:themeColor="text1"/>
          <w:sz w:val="24"/>
          <w:szCs w:val="24"/>
          <w14:textFill>
            <w14:solidFill>
              <w14:schemeClr w14:val="tx1"/>
            </w14:solidFill>
          </w14:textFill>
        </w:rPr>
        <w:t>单位积极</w:t>
      </w:r>
      <w:r>
        <w:rPr>
          <w:rFonts w:hint="eastAsia"/>
          <w:b w:val="0"/>
          <w:bCs w:val="0"/>
          <w:color w:val="000000" w:themeColor="text1"/>
          <w:sz w:val="24"/>
          <w:szCs w:val="24"/>
          <w:lang w:val="en-US" w:eastAsia="zh-CN"/>
          <w14:textFill>
            <w14:solidFill>
              <w14:schemeClr w14:val="tx1"/>
            </w14:solidFill>
          </w14:textFill>
        </w:rPr>
        <w:t>参与</w:t>
      </w:r>
      <w:r>
        <w:rPr>
          <w:rFonts w:hint="eastAsia"/>
          <w:b w:val="0"/>
          <w:bCs w:val="0"/>
          <w:color w:val="000000" w:themeColor="text1"/>
          <w:sz w:val="24"/>
          <w:szCs w:val="24"/>
          <w14:textFill>
            <w14:solidFill>
              <w14:schemeClr w14:val="tx1"/>
            </w14:solidFill>
          </w14:textFill>
        </w:rPr>
        <w:t>编制组</w:t>
      </w:r>
      <w:r>
        <w:rPr>
          <w:rFonts w:hint="eastAsia"/>
          <w:b w:val="0"/>
          <w:bCs w:val="0"/>
          <w:color w:val="000000" w:themeColor="text1"/>
          <w:sz w:val="24"/>
          <w:szCs w:val="24"/>
          <w:lang w:val="en-US" w:eastAsia="zh-CN"/>
          <w14:textFill>
            <w14:solidFill>
              <w14:schemeClr w14:val="tx1"/>
            </w14:solidFill>
          </w14:textFill>
        </w:rPr>
        <w:t>的</w:t>
      </w:r>
      <w:r>
        <w:rPr>
          <w:rFonts w:hint="eastAsia"/>
          <w:b w:val="0"/>
          <w:bCs w:val="0"/>
          <w:color w:val="000000" w:themeColor="text1"/>
          <w:sz w:val="24"/>
          <w:szCs w:val="24"/>
          <w14:textFill>
            <w14:solidFill>
              <w14:schemeClr w14:val="tx1"/>
            </w14:solidFill>
          </w14:textFill>
        </w:rPr>
        <w:t>各</w:t>
      </w:r>
      <w:r>
        <w:rPr>
          <w:rFonts w:hint="eastAsia"/>
          <w:b w:val="0"/>
          <w:bCs w:val="0"/>
          <w:color w:val="000000" w:themeColor="text1"/>
          <w:sz w:val="24"/>
          <w:szCs w:val="24"/>
          <w:lang w:val="en-US" w:eastAsia="zh-CN"/>
          <w14:textFill>
            <w14:solidFill>
              <w14:schemeClr w14:val="tx1"/>
            </w14:solidFill>
          </w14:textFill>
        </w:rPr>
        <w:t>项</w:t>
      </w:r>
      <w:r>
        <w:rPr>
          <w:rFonts w:hint="eastAsia"/>
          <w:b w:val="0"/>
          <w:bCs w:val="0"/>
          <w:color w:val="000000" w:themeColor="text1"/>
          <w:sz w:val="24"/>
          <w:szCs w:val="24"/>
          <w14:textFill>
            <w14:solidFill>
              <w14:schemeClr w14:val="tx1"/>
            </w14:solidFill>
          </w14:textFill>
        </w:rPr>
        <w:t>工作会议，</w:t>
      </w:r>
      <w:r>
        <w:rPr>
          <w:rFonts w:hint="eastAsia"/>
          <w:b w:val="0"/>
          <w:bCs w:val="0"/>
          <w:color w:val="000000" w:themeColor="text1"/>
          <w:sz w:val="24"/>
          <w:szCs w:val="24"/>
          <w:lang w:val="en-US" w:eastAsia="zh-CN"/>
          <w14:textFill>
            <w14:solidFill>
              <w14:schemeClr w14:val="tx1"/>
            </w14:solidFill>
          </w14:textFill>
        </w:rPr>
        <w:t>对规范的技术指标、校准项目提出了有效建议，是该规范的验证单位，</w:t>
      </w:r>
      <w:r>
        <w:rPr>
          <w:rFonts w:hint="eastAsia"/>
          <w:b w:val="0"/>
          <w:bCs w:val="0"/>
          <w:color w:val="000000" w:themeColor="text1"/>
          <w:sz w:val="24"/>
          <w:szCs w:val="24"/>
          <w14:textFill>
            <w14:solidFill>
              <w14:schemeClr w14:val="tx1"/>
            </w14:solidFill>
          </w14:textFill>
        </w:rPr>
        <w:t>在编制组中发挥了</w:t>
      </w:r>
      <w:r>
        <w:rPr>
          <w:rFonts w:hint="eastAsia"/>
          <w:b w:val="0"/>
          <w:bCs w:val="0"/>
          <w:color w:val="000000" w:themeColor="text1"/>
          <w:sz w:val="24"/>
          <w:szCs w:val="24"/>
          <w:lang w:val="en-US" w:eastAsia="zh-CN"/>
          <w14:textFill>
            <w14:solidFill>
              <w14:schemeClr w14:val="tx1"/>
            </w14:solidFill>
          </w14:textFill>
        </w:rPr>
        <w:t>主要</w:t>
      </w:r>
      <w:r>
        <w:rPr>
          <w:rFonts w:hint="eastAsia"/>
          <w:b w:val="0"/>
          <w:bCs w:val="0"/>
          <w:color w:val="000000" w:themeColor="text1"/>
          <w:sz w:val="24"/>
          <w:szCs w:val="24"/>
          <w14:textFill>
            <w14:solidFill>
              <w14:schemeClr w14:val="tx1"/>
            </w14:solidFill>
          </w14:textFill>
        </w:rPr>
        <w:t>作用。</w:t>
      </w:r>
    </w:p>
    <w:p w14:paraId="0E19BB5F">
      <w:pPr>
        <w:pStyle w:val="60"/>
        <w:pageBreakBefore w:val="0"/>
        <w:numPr>
          <w:ilvl w:val="0"/>
          <w:numId w:val="0"/>
        </w:numPr>
        <w:kinsoku/>
        <w:wordWrap/>
        <w:overflowPunct/>
        <w:topLinePunct w:val="0"/>
        <w:bidi w:val="0"/>
        <w:spacing w:before="156" w:beforeLines="50" w:after="156" w:afterLines="50" w:line="300" w:lineRule="auto"/>
        <w:contextualSpacing/>
        <w:textAlignment w:val="auto"/>
        <w:rPr>
          <w:rFonts w:hint="eastAsia"/>
          <w:b w:val="0"/>
          <w:bCs w:val="0"/>
          <w:sz w:val="24"/>
          <w:szCs w:val="24"/>
          <w:lang w:eastAsia="zh-CN"/>
        </w:rPr>
      </w:pPr>
      <w:r>
        <w:rPr>
          <w:rFonts w:hint="eastAsia"/>
          <w:b w:val="0"/>
          <w:bCs w:val="0"/>
          <w:sz w:val="24"/>
          <w:szCs w:val="24"/>
        </w:rPr>
        <w:t>3.3.</w:t>
      </w:r>
      <w:r>
        <w:rPr>
          <w:rFonts w:hint="eastAsia"/>
          <w:b w:val="0"/>
          <w:bCs w:val="0"/>
          <w:sz w:val="24"/>
          <w:szCs w:val="24"/>
          <w:lang w:val="en-US" w:eastAsia="zh-CN"/>
        </w:rPr>
        <w:t>2</w:t>
      </w:r>
      <w:r>
        <w:rPr>
          <w:rFonts w:hint="eastAsia" w:ascii="Times New Roman"/>
          <w:b w:val="0"/>
          <w:bCs w:val="0"/>
          <w:sz w:val="24"/>
          <w:szCs w:val="24"/>
        </w:rPr>
        <w:t xml:space="preserve">  </w:t>
      </w:r>
      <w:r>
        <w:rPr>
          <w:rFonts w:hint="eastAsia"/>
          <w:b w:val="0"/>
          <w:bCs w:val="0"/>
          <w:sz w:val="24"/>
          <w:szCs w:val="24"/>
          <w:highlight w:val="none"/>
          <w:lang w:val="en-US" w:eastAsia="zh-CN"/>
        </w:rPr>
        <w:t>国标（北京）检验认证有限公司</w:t>
      </w:r>
    </w:p>
    <w:p w14:paraId="74BFC0B5">
      <w:pPr>
        <w:pageBreakBefore w:val="0"/>
        <w:kinsoku/>
        <w:wordWrap/>
        <w:overflowPunct/>
        <w:topLinePunct w:val="0"/>
        <w:bidi w:val="0"/>
        <w:spacing w:line="300" w:lineRule="auto"/>
        <w:ind w:firstLine="480" w:firstLineChars="200"/>
        <w:textAlignment w:val="auto"/>
        <w:rPr>
          <w:rFonts w:hint="eastAsia"/>
          <w:b w:val="0"/>
          <w:bCs w:val="0"/>
          <w:color w:val="0000FF"/>
          <w:sz w:val="24"/>
          <w:szCs w:val="24"/>
          <w:lang w:eastAsia="zh-CN"/>
        </w:rPr>
      </w:pPr>
      <w:r>
        <w:rPr>
          <w:rFonts w:hint="eastAsia"/>
          <w:b w:val="0"/>
          <w:bCs w:val="0"/>
          <w:color w:val="000000" w:themeColor="text1"/>
          <w:sz w:val="24"/>
          <w:szCs w:val="24"/>
          <w:lang w:val="en-US" w:eastAsia="zh-CN"/>
          <w14:textFill>
            <w14:solidFill>
              <w14:schemeClr w14:val="tx1"/>
            </w14:solidFill>
          </w14:textFill>
        </w:rPr>
        <w:t xml:space="preserve"> </w:t>
      </w:r>
      <w:r>
        <w:rPr>
          <w:rFonts w:hint="eastAsia"/>
          <w:sz w:val="24"/>
          <w:szCs w:val="24"/>
          <w:lang w:eastAsia="zh-CN"/>
        </w:rPr>
        <w:t>国标（北京）检验认证有限公司是我国有色行业的材料研究、材料检测和仪器校准的权威机构，公司运行着国家新材料测试评价平台有色金属材料行业中心、国家有色金属及电子材料分析测试中心、国家有色金属质量检验检测中心、北京市有色金属新材料产业计量测试中心。中心拥有雄厚的技术力量，先进的仪器，齐全的校准测试方法，在国内外科技期刊上发表论文1200余篇，撰写论著22部。起草国际标准7项、国家/行业标准720余项；主编校准规范8项，参编校准规范13项，共计21项。</w:t>
      </w:r>
    </w:p>
    <w:p w14:paraId="226C92B3">
      <w:pPr>
        <w:pStyle w:val="60"/>
        <w:pageBreakBefore w:val="0"/>
        <w:numPr>
          <w:ilvl w:val="3"/>
          <w:numId w:val="0"/>
        </w:numPr>
        <w:kinsoku/>
        <w:wordWrap/>
        <w:overflowPunct/>
        <w:topLinePunct w:val="0"/>
        <w:bidi w:val="0"/>
        <w:spacing w:before="156" w:beforeLines="50" w:after="156" w:afterLines="50" w:line="300" w:lineRule="auto"/>
        <w:ind w:left="2" w:leftChars="0" w:firstLine="480" w:firstLineChars="200"/>
        <w:contextualSpacing/>
        <w:textAlignment w:val="auto"/>
        <w:rPr>
          <w:rFonts w:hint="eastAsia" w:ascii="Times New Roman" w:hAnsi="Times New Roman" w:eastAsia="宋体" w:cs="Times New Roman"/>
          <w:color w:val="auto"/>
          <w:spacing w:val="0"/>
          <w:kern w:val="2"/>
          <w:sz w:val="24"/>
          <w:szCs w:val="24"/>
          <w:lang w:val="en-US" w:eastAsia="zh-CN" w:bidi="ar-SA"/>
        </w:rPr>
      </w:pPr>
      <w:r>
        <w:rPr>
          <w:rFonts w:hint="eastAsia" w:ascii="Times New Roman" w:hAnsi="Times New Roman" w:eastAsia="宋体" w:cs="Times New Roman"/>
          <w:color w:val="auto"/>
          <w:spacing w:val="0"/>
          <w:kern w:val="2"/>
          <w:sz w:val="24"/>
          <w:szCs w:val="24"/>
          <w:lang w:val="en-US" w:eastAsia="zh-CN" w:bidi="ar-SA"/>
        </w:rPr>
        <w:t>该单位积极参与编制组的各项工作会议，对规范的技术指标、校准项目提出了有效建议，是该规范的验证单位，在编制组中发挥了主要作用。</w:t>
      </w:r>
    </w:p>
    <w:p w14:paraId="1915EDFA">
      <w:pPr>
        <w:pStyle w:val="60"/>
        <w:pageBreakBefore w:val="0"/>
        <w:numPr>
          <w:ilvl w:val="0"/>
          <w:numId w:val="0"/>
        </w:numPr>
        <w:kinsoku/>
        <w:wordWrap/>
        <w:overflowPunct/>
        <w:topLinePunct w:val="0"/>
        <w:bidi w:val="0"/>
        <w:spacing w:before="156" w:beforeLines="50" w:after="156" w:afterLines="50" w:line="300" w:lineRule="auto"/>
        <w:contextualSpacing/>
        <w:textAlignment w:val="auto"/>
        <w:rPr>
          <w:rFonts w:hint="eastAsia"/>
          <w:b w:val="0"/>
          <w:bCs w:val="0"/>
          <w:sz w:val="24"/>
          <w:szCs w:val="24"/>
          <w:lang w:val="en-US" w:eastAsia="zh-CN"/>
        </w:rPr>
      </w:pPr>
      <w:r>
        <w:rPr>
          <w:rFonts w:hint="eastAsia"/>
          <w:b w:val="0"/>
          <w:bCs w:val="0"/>
          <w:sz w:val="24"/>
          <w:szCs w:val="24"/>
          <w:lang w:val="en-US" w:eastAsia="zh-CN"/>
        </w:rPr>
        <w:t>3.3.3 辽宁盛达计量检测技术有限公司</w:t>
      </w:r>
    </w:p>
    <w:p w14:paraId="2A5C593D">
      <w:pPr>
        <w:pStyle w:val="60"/>
        <w:pageBreakBefore w:val="0"/>
        <w:numPr>
          <w:ilvl w:val="0"/>
          <w:numId w:val="0"/>
        </w:numPr>
        <w:kinsoku/>
        <w:wordWrap/>
        <w:overflowPunct/>
        <w:topLinePunct w:val="0"/>
        <w:bidi w:val="0"/>
        <w:spacing w:before="156" w:beforeLines="50" w:after="156" w:afterLines="50" w:line="300" w:lineRule="auto"/>
        <w:contextualSpacing/>
        <w:textAlignment w:val="auto"/>
        <w:rPr>
          <w:rFonts w:hint="eastAsia" w:ascii="Times New Roman" w:hAnsi="Times New Roman" w:eastAsia="宋体" w:cs="Times New Roman"/>
          <w:color w:val="auto"/>
          <w:spacing w:val="0"/>
          <w:kern w:val="2"/>
          <w:sz w:val="24"/>
          <w:szCs w:val="24"/>
          <w:lang w:val="en-US" w:eastAsia="zh-CN" w:bidi="ar-SA"/>
        </w:rPr>
      </w:pPr>
      <w:r>
        <w:rPr>
          <w:rFonts w:hint="eastAsia"/>
          <w:b w:val="0"/>
          <w:bCs w:val="0"/>
          <w:sz w:val="24"/>
          <w:szCs w:val="24"/>
          <w:lang w:val="en-US" w:eastAsia="zh-CN"/>
        </w:rPr>
        <w:t xml:space="preserve">   </w:t>
      </w:r>
      <w:r>
        <w:rPr>
          <w:rFonts w:hint="eastAsia" w:ascii="Times New Roman" w:hAnsi="Times New Roman" w:eastAsia="宋体" w:cs="Times New Roman"/>
          <w:color w:val="auto"/>
          <w:spacing w:val="0"/>
          <w:kern w:val="2"/>
          <w:sz w:val="24"/>
          <w:szCs w:val="24"/>
          <w:lang w:val="en-US" w:eastAsia="zh-CN" w:bidi="ar-SA"/>
        </w:rPr>
        <w:t>辽宁盛达计量检测技术有限公司位于大连经济技术开发区双D港，成立于2018年，专注于计量校准、检测服务及计量技术研发。公司拥有一支经验丰富且持证上岗的专业技术团队，秉持“独立公正、科学严谨、准确高效、服务至诚”的质量方针，已发展为集仪器销售、维修、检测于一体的综合型技术企业，服务于众多高端制造业客户。作为行业新锐，公司已通过“国家高新技术企业”认定，拥有板式橡胶支座变形检测装置及扭矩检定仪在内的16项专利技术，体现了较强的技术实力与创新能力。公司实验室配备国内外先进的计量标准装置，建立了完善的质量管理体系，确保服务流程规范、数据可靠。除持有的校准资质外，公司在复杂工况下的现场校准方面积累了丰富经验，曾受邀为国防军工、地质地矿、钢铁企业、化学化工等多家权威机构提供技术指导与校准服务。自成立以来，公司持续为客户提供计量器具检定校准服务，交付及时，被多家企业评定为合格供应商。未来，公司将深度融入“数字辽宁”建设，着力打造“互联网+计量”智能化服务平台，依托大数据分析为客户提供预防性维护建议。通过持续推进技术创新与服务优化，辽宁盛达计量检测技术有限公司致力于成为客户在质量控制与计量管理领域值得信赖的合作伙伴。</w:t>
      </w:r>
    </w:p>
    <w:p w14:paraId="053B8928">
      <w:pPr>
        <w:pStyle w:val="59"/>
        <w:pageBreakBefore w:val="0"/>
        <w:kinsoku/>
        <w:wordWrap/>
        <w:overflowPunct/>
        <w:topLinePunct w:val="0"/>
        <w:bidi w:val="0"/>
        <w:spacing w:line="300" w:lineRule="auto"/>
        <w:textAlignment w:val="auto"/>
        <w:rPr>
          <w:rFonts w:hint="eastAsia"/>
          <w:b w:val="0"/>
          <w:bCs w:val="0"/>
          <w:color w:val="000000" w:themeColor="text1"/>
          <w:sz w:val="24"/>
          <w:szCs w:val="24"/>
          <w14:textFill>
            <w14:solidFill>
              <w14:schemeClr w14:val="tx1"/>
            </w14:solidFill>
          </w14:textFill>
        </w:rPr>
      </w:pPr>
      <w:r>
        <w:rPr>
          <w:rFonts w:hint="eastAsia" w:ascii="Times New Roman" w:hAnsi="Times New Roman" w:eastAsia="宋体" w:cs="Times New Roman"/>
          <w:color w:val="auto"/>
          <w:spacing w:val="0"/>
          <w:kern w:val="2"/>
          <w:sz w:val="24"/>
          <w:szCs w:val="24"/>
          <w:lang w:val="en-US" w:eastAsia="zh-CN" w:bidi="ar-SA"/>
        </w:rPr>
        <w:t>该单位积极参与编制组的各项工作会议，对规范的技术指标、校准项目提出了有效建议，是该规范的验证单位，在编制组中发挥了主要作用。</w:t>
      </w:r>
    </w:p>
    <w:p w14:paraId="1AC3CC21">
      <w:pPr>
        <w:pageBreakBefore w:val="0"/>
        <w:kinsoku/>
        <w:wordWrap/>
        <w:overflowPunct/>
        <w:topLinePunct w:val="0"/>
        <w:bidi w:val="0"/>
        <w:spacing w:line="300" w:lineRule="auto"/>
        <w:contextualSpacing/>
        <w:jc w:val="left"/>
        <w:textAlignment w:val="auto"/>
        <w:rPr>
          <w:rFonts w:hint="eastAsia" w:ascii="黑体" w:hAnsi="黑体" w:eastAsia="黑体" w:cs="Times New Roman"/>
          <w:b w:val="0"/>
          <w:bCs w:val="0"/>
          <w:color w:val="000000" w:themeColor="text1"/>
          <w:spacing w:val="-6"/>
          <w:kern w:val="0"/>
          <w:sz w:val="24"/>
          <w:szCs w:val="24"/>
          <w:lang w:val="en-US" w:eastAsia="zh-CN" w:bidi="ar-SA"/>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 xml:space="preserve">3.3.4 </w:t>
      </w:r>
      <w:r>
        <w:rPr>
          <w:rFonts w:hint="eastAsia" w:ascii="黑体" w:hAnsi="黑体" w:eastAsia="黑体" w:cs="Times New Roman"/>
          <w:b w:val="0"/>
          <w:bCs w:val="0"/>
          <w:color w:val="000000" w:themeColor="text1"/>
          <w:spacing w:val="-6"/>
          <w:kern w:val="0"/>
          <w:sz w:val="24"/>
          <w:szCs w:val="24"/>
          <w:lang w:val="en-US" w:eastAsia="zh-CN" w:bidi="ar-SA"/>
          <w14:textFill>
            <w14:solidFill>
              <w14:schemeClr w14:val="tx1"/>
            </w14:solidFill>
          </w14:textFill>
        </w:rPr>
        <w:t>宝鸡钛业股份有限公司</w:t>
      </w:r>
    </w:p>
    <w:p w14:paraId="21560543">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宝鸡钛业股份有限公司是我国规模最大、体系最完整的钛及钛合金研发制造企业，拥有钛、装备设计制造、新产业等三大板块，控股宝钛股份（600456）、宝色股份（300402）两大上市公司，钛材产量世界第一，综合实力居全球钛行业前三位，荣获我国工业领域最高奖项“中国工业大奖”，属行业唯一。自1965年建企以来，宝钛集团矢志不渝践行兴钛强国的初心使命，不断创造着新的历史。构建了从海绵钛制备，到熔炼、加工、深加工及装备制造的全产业链，使我国成为全球第四个拥有完整钛工业体系的国家，引领宝鸡建成全球规模最大的钛产业集群。主导制定钛标准110多项，占我国该领域标准的90%以上。2022年以来，代表我国主导制定的4项钛国际标准发布实施，填补国际空白，同时实现我国钛领域国际标准制定零的突破。全面支撑了我国航空、航天、海洋和民用等多领域用钛需要，产品远销50多个国家和地区，是波音、空客等国际知名公司的合作伙伴。取得重大科技成果700多项，攻克多项“卡脖子”技术难题，特别是主导制造的深潜器钛合金载人球舱，突破技术难关，实现关键部件国产，达到国际先进水平，受到党和国家领导人充分肯定。当前，宝钛集团正围绕建设世界一流专业领军企业的新“两步走”战略及“1345”发展行动纲领，着力发展新质生产力，加快构建现代化产业体系，助力我国早日建成世界钛业强国</w:t>
      </w:r>
    </w:p>
    <w:p w14:paraId="58CD4841">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该单位积极参与编制组的各项工作会议，对规范的校准方法提出了有效建议，在编制组中发挥了主要作用。</w:t>
      </w:r>
    </w:p>
    <w:p w14:paraId="4528FA1F">
      <w:pPr>
        <w:pStyle w:val="60"/>
        <w:pageBreakBefore w:val="0"/>
        <w:numPr>
          <w:ilvl w:val="0"/>
          <w:numId w:val="0"/>
        </w:numPr>
        <w:kinsoku/>
        <w:wordWrap/>
        <w:overflowPunct/>
        <w:topLinePunct w:val="0"/>
        <w:bidi w:val="0"/>
        <w:spacing w:before="156" w:beforeLines="50" w:after="156" w:afterLines="50" w:line="300" w:lineRule="auto"/>
        <w:contextualSpacing/>
        <w:textAlignment w:val="auto"/>
        <w:rPr>
          <w:rFonts w:hint="eastAsia"/>
          <w:b w:val="0"/>
          <w:bCs w:val="0"/>
          <w:sz w:val="24"/>
          <w:szCs w:val="24"/>
          <w:lang w:val="en-US" w:eastAsia="zh-CN"/>
        </w:rPr>
      </w:pPr>
      <w:r>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t>3.3.</w:t>
      </w:r>
      <w:r>
        <w:rPr>
          <w:rFonts w:hint="eastAsia" w:cs="Times New Roman"/>
          <w:b w:val="0"/>
          <w:bCs w:val="0"/>
          <w:color w:val="000000" w:themeColor="text1"/>
          <w:kern w:val="0"/>
          <w:sz w:val="24"/>
          <w:szCs w:val="24"/>
          <w:highlight w:val="none"/>
          <w:lang w:val="en-US" w:eastAsia="zh-CN"/>
          <w14:textFill>
            <w14:solidFill>
              <w14:schemeClr w14:val="tx1"/>
            </w14:solidFill>
          </w14:textFill>
        </w:rPr>
        <w:t>5</w:t>
      </w:r>
      <w:r>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t xml:space="preserve"> </w:t>
      </w:r>
      <w:r>
        <w:rPr>
          <w:rFonts w:hint="eastAsia"/>
          <w:b w:val="0"/>
          <w:bCs w:val="0"/>
          <w:sz w:val="24"/>
          <w:szCs w:val="24"/>
          <w:lang w:val="en-US" w:eastAsia="zh-CN"/>
        </w:rPr>
        <w:t>有色金属技术经济研究院有限责任公司</w:t>
      </w:r>
    </w:p>
    <w:p w14:paraId="27C534EE">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色金属技术经济研究院有限责任公司成立于1983年3月，是中央所属242家转制科研院所之一，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w:t>
      </w:r>
    </w:p>
    <w:p w14:paraId="1C1F827C">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色金属行业计量技术委员会是有色金属技术经济研究院有限责任公司下属机构，负责有色金属金属行业计量技术规范制修订工作。该机构旨在充分发挥有色金属行业生产、科研、教学、质量检验和计量器具生产诸方面计量专家的作用，更好地开展有色金属行业的量值溯源、规范制修订、能力验证和提高计量标准建设与完善计量技术及其管理体系等工作。</w:t>
      </w:r>
    </w:p>
    <w:p w14:paraId="606954B6">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t>
      </w:r>
    </w:p>
    <w:p w14:paraId="384423DD">
      <w:pPr>
        <w:pStyle w:val="60"/>
        <w:pageBreakBefore w:val="0"/>
        <w:numPr>
          <w:ilvl w:val="0"/>
          <w:numId w:val="0"/>
        </w:numPr>
        <w:kinsoku/>
        <w:wordWrap/>
        <w:overflowPunct/>
        <w:topLinePunct w:val="0"/>
        <w:bidi w:val="0"/>
        <w:spacing w:before="156" w:beforeLines="50" w:after="156" w:afterLines="50" w:line="300" w:lineRule="auto"/>
        <w:ind w:firstLine="480" w:firstLineChars="200"/>
        <w:contextualSpacing/>
        <w:jc w:val="left"/>
        <w:textAlignment w:val="auto"/>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该单位负责组织编制组的各项工作会议，对规范的技术指标、校准项目等内容提出了，有效建议，在编制组中发挥了主要作用。</w:t>
      </w:r>
    </w:p>
    <w:p w14:paraId="782C7175">
      <w:pPr>
        <w:pageBreakBefore w:val="0"/>
        <w:numPr>
          <w:ilvl w:val="0"/>
          <w:numId w:val="0"/>
        </w:numPr>
        <w:kinsoku/>
        <w:wordWrap/>
        <w:overflowPunct/>
        <w:topLinePunct w:val="0"/>
        <w:bidi w:val="0"/>
        <w:spacing w:beforeLines="50" w:afterLines="50" w:line="300" w:lineRule="auto"/>
        <w:contextualSpacing/>
        <w:jc w:val="both"/>
        <w:textAlignment w:val="auto"/>
        <w:outlineLvl w:val="3"/>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pPr>
      <w:r>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t>3.3.6 西安汉唐分析检测有限公司</w:t>
      </w:r>
    </w:p>
    <w:p w14:paraId="116FC98C">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西安汉唐分析检测有限公司是西北有色金属研究院</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集团</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控股子公司，属国有企业，主要从事有色</w:t>
      </w:r>
    </w:p>
    <w:p w14:paraId="1A16151D">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产品的检测、可靠性评价、失效分析、质量评估、腐蚀性能及表面测试与表征、规范起草、检测方法的</w:t>
      </w:r>
    </w:p>
    <w:p w14:paraId="74F729D8">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稀有金属</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14:paraId="625A5D04">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该单位积极参与编制组的各项工作会议，对规范的技术指标、校准项目内容提出了有效建议，是该规范的验证单位（附验证报告），在编制组中发挥了主要作用。</w:t>
      </w:r>
    </w:p>
    <w:p w14:paraId="6734C9F0">
      <w:pPr>
        <w:pageBreakBefore w:val="0"/>
        <w:numPr>
          <w:ilvl w:val="0"/>
          <w:numId w:val="0"/>
        </w:numPr>
        <w:kinsoku/>
        <w:wordWrap/>
        <w:overflowPunct/>
        <w:topLinePunct w:val="0"/>
        <w:bidi w:val="0"/>
        <w:spacing w:beforeLines="50" w:afterLines="50" w:line="300" w:lineRule="auto"/>
        <w:contextualSpacing/>
        <w:jc w:val="both"/>
        <w:textAlignment w:val="auto"/>
        <w:outlineLvl w:val="3"/>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pPr>
      <w:r>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t>3.3.7 北京科技大学</w:t>
      </w:r>
    </w:p>
    <w:p w14:paraId="367049C6">
      <w:pPr>
        <w:pageBreakBefore w:val="0"/>
        <w:numPr>
          <w:ilvl w:val="0"/>
          <w:numId w:val="0"/>
        </w:numPr>
        <w:kinsoku/>
        <w:wordWrap/>
        <w:overflowPunct/>
        <w:topLinePunct w:val="0"/>
        <w:bidi w:val="0"/>
        <w:spacing w:beforeLines="50" w:afterLines="50" w:line="300" w:lineRule="auto"/>
        <w:ind w:firstLine="480" w:firstLineChars="200"/>
        <w:contextualSpacing/>
        <w:jc w:val="both"/>
        <w:textAlignment w:val="auto"/>
        <w:outlineLvl w:val="3"/>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pPr>
      <w:r>
        <w:rPr>
          <w:rFonts w:ascii="宋体" w:hAnsi="宋体" w:eastAsia="宋体" w:cs="宋体"/>
          <w:sz w:val="24"/>
          <w:szCs w:val="24"/>
        </w:rPr>
        <w:t>国内冶金材料领域顶尖高校，在有色金属材料分析、表面表征、计量测试技术方面学术积淀深厚，科研实力强。参与本规范</w:t>
      </w:r>
      <w:r>
        <w:rPr>
          <w:rStyle w:val="45"/>
          <w:rFonts w:ascii="宋体" w:hAnsi="宋体" w:eastAsia="宋体" w:cs="宋体"/>
          <w:b/>
          <w:bCs/>
          <w:color w:val="000000"/>
          <w:sz w:val="24"/>
          <w:szCs w:val="24"/>
        </w:rPr>
        <w:t>理论论证、技术指标合理性研讨、方法科学性审核</w:t>
      </w:r>
      <w:r>
        <w:rPr>
          <w:rFonts w:ascii="宋体" w:hAnsi="宋体" w:eastAsia="宋体" w:cs="宋体"/>
          <w:sz w:val="24"/>
          <w:szCs w:val="24"/>
        </w:rPr>
        <w:t>。</w:t>
      </w:r>
    </w:p>
    <w:p w14:paraId="7CE4FCE6">
      <w:pPr>
        <w:pageBreakBefore w:val="0"/>
        <w:numPr>
          <w:ilvl w:val="0"/>
          <w:numId w:val="0"/>
        </w:numPr>
        <w:kinsoku/>
        <w:wordWrap/>
        <w:overflowPunct/>
        <w:topLinePunct w:val="0"/>
        <w:bidi w:val="0"/>
        <w:spacing w:beforeLines="50" w:afterLines="50" w:line="300" w:lineRule="auto"/>
        <w:contextualSpacing/>
        <w:jc w:val="both"/>
        <w:textAlignment w:val="auto"/>
        <w:outlineLvl w:val="3"/>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pPr>
      <w:r>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t>3.3.8 国合通用（青岛）测试评价有限公司</w:t>
      </w:r>
    </w:p>
    <w:p w14:paraId="51E05A24">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国合通用（青岛）测试评价有限公司隶属于国务院国资委央企有研科技集团有限公司，是承担国家新材料测试评价平台</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主中心项目国合通用测试评价认证股份公司的全资子公司，于2018年5月在青岛市注册成立，占地面积约1.5万㎡。 国合通用（青岛）测试评价有限公司设有“材料检测实验室”、“化学分析实验室</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工业油品检测分析室”、“产品样品加工中心”，并建立金属材料腐蚀环境数据共享服务平台，可提供铝及铝合金、钢铁材料、镍及镍合金、钛及钛合金、工业用油、有机挥发物VOC、食品及环境等方面的检测评价服务。</w:t>
      </w:r>
    </w:p>
    <w:p w14:paraId="0CF67894">
      <w:pPr>
        <w:pageBreakBefore w:val="0"/>
        <w:kinsoku/>
        <w:wordWrap/>
        <w:overflowPunct/>
        <w:topLinePunct w:val="0"/>
        <w:bidi w:val="0"/>
        <w:spacing w:line="300" w:lineRule="auto"/>
        <w:ind w:left="0" w:leftChars="0"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该单位积极参与编制组的各项工作会议，对规范的校准方法提出了有效建议，在编制组中发挥了主要作用。</w:t>
      </w:r>
    </w:p>
    <w:p w14:paraId="5EA9C3E8">
      <w:pPr>
        <w:pageBreakBefore w:val="0"/>
        <w:numPr>
          <w:ilvl w:val="0"/>
          <w:numId w:val="0"/>
        </w:numPr>
        <w:kinsoku/>
        <w:wordWrap/>
        <w:overflowPunct/>
        <w:topLinePunct w:val="0"/>
        <w:bidi w:val="0"/>
        <w:spacing w:beforeLines="50" w:afterLines="50" w:line="300" w:lineRule="auto"/>
        <w:contextualSpacing/>
        <w:jc w:val="both"/>
        <w:textAlignment w:val="auto"/>
        <w:outlineLvl w:val="3"/>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pPr>
      <w:r>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t>3.3.9 中国科学院宁波材料技术与工程研究所</w:t>
      </w:r>
    </w:p>
    <w:p w14:paraId="650728D4">
      <w:pPr>
        <w:pageBreakBefore w:val="0"/>
        <w:numPr>
          <w:ilvl w:val="0"/>
          <w:numId w:val="0"/>
        </w:numPr>
        <w:kinsoku/>
        <w:wordWrap/>
        <w:overflowPunct/>
        <w:topLinePunct w:val="0"/>
        <w:bidi w:val="0"/>
        <w:spacing w:beforeLines="50" w:afterLines="50" w:line="300" w:lineRule="auto"/>
        <w:ind w:firstLine="480" w:firstLineChars="200"/>
        <w:contextualSpacing/>
        <w:jc w:val="both"/>
        <w:textAlignment w:val="auto"/>
        <w:outlineLvl w:val="3"/>
        <w:rPr>
          <w:rFonts w:ascii="宋体" w:hAnsi="宋体" w:eastAsia="宋体" w:cs="宋体"/>
          <w:sz w:val="24"/>
          <w:szCs w:val="24"/>
        </w:rPr>
      </w:pPr>
      <w:r>
        <w:rPr>
          <w:rFonts w:ascii="宋体" w:hAnsi="宋体" w:eastAsia="宋体" w:cs="宋体"/>
          <w:sz w:val="24"/>
          <w:szCs w:val="24"/>
        </w:rPr>
        <w:t>中科院下属新材料领域重点科研机构，在先进金属材料、表面工程、精密测试技术方面成果突出。参与本规范</w:t>
      </w:r>
      <w:r>
        <w:rPr>
          <w:rStyle w:val="45"/>
          <w:rFonts w:ascii="宋体" w:hAnsi="宋体" w:eastAsia="宋体" w:cs="宋体"/>
          <w:b/>
          <w:bCs/>
          <w:color w:val="000000"/>
          <w:sz w:val="24"/>
          <w:szCs w:val="24"/>
        </w:rPr>
        <w:t>技术指标研讨、方法审核</w:t>
      </w:r>
      <w:r>
        <w:rPr>
          <w:rFonts w:ascii="宋体" w:hAnsi="宋体" w:eastAsia="宋体" w:cs="宋体"/>
          <w:sz w:val="24"/>
          <w:szCs w:val="24"/>
        </w:rPr>
        <w:t>。</w:t>
      </w:r>
    </w:p>
    <w:p w14:paraId="5B74D4BE">
      <w:pPr>
        <w:pStyle w:val="60"/>
        <w:numPr>
          <w:ilvl w:val="0"/>
          <w:numId w:val="0"/>
        </w:numPr>
        <w:spacing w:before="156" w:beforeLines="50" w:after="156" w:afterLines="50"/>
        <w:contextualSpacing/>
        <w:jc w:val="left"/>
        <w:rPr>
          <w:rFonts w:hint="eastAsia" w:ascii="黑体" w:hAnsi="黑体" w:eastAsia="黑体" w:cs="Times New Roman"/>
          <w:b w:val="0"/>
          <w:bCs w:val="0"/>
          <w:sz w:val="24"/>
          <w:szCs w:val="24"/>
          <w:highlight w:val="none"/>
          <w:lang w:val="en-US" w:eastAsia="zh-CN"/>
        </w:rPr>
      </w:pPr>
      <w:r>
        <w:rPr>
          <w:rFonts w:hint="eastAsia" w:ascii="黑体" w:hAnsi="黑体" w:eastAsia="黑体" w:cs="Times New Roman"/>
          <w:b w:val="0"/>
          <w:bCs w:val="0"/>
          <w:color w:val="000000" w:themeColor="text1"/>
          <w:spacing w:val="-6"/>
          <w:kern w:val="0"/>
          <w:sz w:val="24"/>
          <w:szCs w:val="24"/>
          <w:highlight w:val="none"/>
          <w:lang w:val="en-US" w:eastAsia="zh-CN" w:bidi="ar-SA"/>
          <w14:textFill>
            <w14:solidFill>
              <w14:schemeClr w14:val="tx1"/>
            </w14:solidFill>
          </w14:textFill>
        </w:rPr>
        <w:t xml:space="preserve">3.3.10 </w:t>
      </w:r>
      <w:bookmarkStart w:id="7" w:name="_Toc462884347"/>
      <w:bookmarkStart w:id="8" w:name="_Toc464728903"/>
      <w:r>
        <w:rPr>
          <w:rFonts w:hint="eastAsia" w:ascii="黑体" w:hAnsi="黑体" w:eastAsia="黑体" w:cs="Times New Roman"/>
          <w:b w:val="0"/>
          <w:bCs w:val="0"/>
          <w:sz w:val="24"/>
          <w:szCs w:val="24"/>
          <w:highlight w:val="none"/>
          <w:lang w:val="en-US" w:eastAsia="zh-CN"/>
        </w:rPr>
        <w:t>西南铝业(集团)有限责任公司</w:t>
      </w:r>
    </w:p>
    <w:p w14:paraId="0DC9099A">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西</w:t>
      </w:r>
      <w:r>
        <w:rPr>
          <w:rFonts w:hint="default" w:ascii="Times New Roman" w:hAnsi="Times New Roman" w:cs="Times New Roman" w:eastAsiaTheme="minorEastAsia"/>
          <w:kern w:val="0"/>
          <w:sz w:val="24"/>
          <w:szCs w:val="24"/>
        </w:rPr>
        <w:t>南</w:t>
      </w:r>
      <w:r>
        <w:rPr>
          <w:rFonts w:hint="default" w:ascii="Times New Roman" w:hAnsi="Times New Roman" w:cs="Times New Roman" w:eastAsiaTheme="minorEastAsia"/>
          <w:color w:val="000000"/>
          <w:kern w:val="0"/>
          <w:sz w:val="24"/>
          <w:szCs w:val="24"/>
        </w:rPr>
        <w:t>铝业（集团）有限责任公司</w:t>
      </w:r>
      <w:r>
        <w:rPr>
          <w:rFonts w:hint="default" w:ascii="Times New Roman" w:hAnsi="Times New Roman" w:cs="Times New Roman" w:eastAsiaTheme="minorEastAsia"/>
          <w:sz w:val="24"/>
          <w:szCs w:val="24"/>
        </w:rPr>
        <w:t>（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津贴专家30余人，建有院士工作站，拥有国家级企业技术中心。西南铝建有校准实验室与检测实验室，均通过CNAS认可，具备对廉金属热电偶、工业贵金属热电偶、开展热电偶的CNAS校准能力。西南铝累计申请专利722件，其中授权发明专利249件、授权实用新型专利473件，主持和参与国家、行业标准277项。</w:t>
      </w:r>
    </w:p>
    <w:p w14:paraId="249FB79A">
      <w:pPr>
        <w:pStyle w:val="60"/>
        <w:pageBreakBefore w:val="0"/>
        <w:numPr>
          <w:ilvl w:val="0"/>
          <w:numId w:val="0"/>
        </w:numPr>
        <w:kinsoku/>
        <w:wordWrap/>
        <w:overflowPunct/>
        <w:topLinePunct w:val="0"/>
        <w:bidi w:val="0"/>
        <w:spacing w:before="156" w:beforeLines="50" w:after="156" w:afterLines="50" w:line="300" w:lineRule="auto"/>
        <w:ind w:leftChars="0"/>
        <w:textAlignment w:val="auto"/>
        <w:rPr>
          <w:rFonts w:hint="default" w:eastAsiaTheme="minorEastAsia"/>
          <w:sz w:val="24"/>
          <w:szCs w:val="24"/>
        </w:rPr>
      </w:pPr>
      <w:r>
        <w:rPr>
          <w:rFonts w:hint="default" w:eastAsiaTheme="minorEastAsia"/>
          <w:b w:val="0"/>
          <w:bCs w:val="0"/>
          <w:sz w:val="24"/>
          <w:szCs w:val="24"/>
          <w:lang w:val="en-US" w:eastAsia="zh-CN"/>
        </w:rPr>
        <w:t>该</w:t>
      </w:r>
      <w:r>
        <w:rPr>
          <w:rFonts w:hint="default" w:eastAsiaTheme="minorEastAsia"/>
          <w:b w:val="0"/>
          <w:bCs w:val="0"/>
          <w:sz w:val="24"/>
          <w:szCs w:val="24"/>
        </w:rPr>
        <w:t>单位积极</w:t>
      </w:r>
      <w:r>
        <w:rPr>
          <w:rFonts w:hint="default" w:eastAsiaTheme="minorEastAsia"/>
          <w:b w:val="0"/>
          <w:bCs w:val="0"/>
          <w:sz w:val="24"/>
          <w:szCs w:val="24"/>
          <w:lang w:val="en-US" w:eastAsia="zh-CN"/>
        </w:rPr>
        <w:t>参与</w:t>
      </w:r>
      <w:r>
        <w:rPr>
          <w:rFonts w:hint="default" w:eastAsiaTheme="minorEastAsia"/>
          <w:b w:val="0"/>
          <w:bCs w:val="0"/>
          <w:sz w:val="24"/>
          <w:szCs w:val="24"/>
        </w:rPr>
        <w:t>编制组</w:t>
      </w:r>
      <w:r>
        <w:rPr>
          <w:rFonts w:hint="default" w:eastAsiaTheme="minorEastAsia"/>
          <w:b w:val="0"/>
          <w:bCs w:val="0"/>
          <w:sz w:val="24"/>
          <w:szCs w:val="24"/>
          <w:lang w:val="en-US" w:eastAsia="zh-CN"/>
        </w:rPr>
        <w:t>的</w:t>
      </w:r>
      <w:r>
        <w:rPr>
          <w:rFonts w:hint="default" w:eastAsiaTheme="minorEastAsia"/>
          <w:b w:val="0"/>
          <w:bCs w:val="0"/>
          <w:sz w:val="24"/>
          <w:szCs w:val="24"/>
        </w:rPr>
        <w:t>各</w:t>
      </w:r>
      <w:r>
        <w:rPr>
          <w:rFonts w:hint="default" w:eastAsiaTheme="minorEastAsia"/>
          <w:b w:val="0"/>
          <w:bCs w:val="0"/>
          <w:sz w:val="24"/>
          <w:szCs w:val="24"/>
          <w:lang w:val="en-US" w:eastAsia="zh-CN"/>
        </w:rPr>
        <w:t>项</w:t>
      </w:r>
      <w:r>
        <w:rPr>
          <w:rFonts w:hint="default" w:eastAsiaTheme="minorEastAsia"/>
          <w:b w:val="0"/>
          <w:bCs w:val="0"/>
          <w:sz w:val="24"/>
          <w:szCs w:val="24"/>
        </w:rPr>
        <w:t>工作会议，</w:t>
      </w:r>
      <w:r>
        <w:rPr>
          <w:rFonts w:hint="default" w:eastAsiaTheme="minorEastAsia"/>
          <w:b w:val="0"/>
          <w:bCs w:val="0"/>
          <w:sz w:val="24"/>
          <w:szCs w:val="24"/>
          <w:lang w:val="en-US" w:eastAsia="zh-CN"/>
        </w:rPr>
        <w:t>对规范的技术指标、校准项目等内容提出了有效建议，</w:t>
      </w:r>
      <w:r>
        <w:rPr>
          <w:rFonts w:hint="default" w:eastAsiaTheme="minorEastAsia"/>
          <w:b w:val="0"/>
          <w:bCs w:val="0"/>
          <w:sz w:val="24"/>
          <w:szCs w:val="24"/>
        </w:rPr>
        <w:t>在编制组中发挥了</w:t>
      </w:r>
      <w:r>
        <w:rPr>
          <w:rFonts w:hint="default" w:eastAsiaTheme="minorEastAsia"/>
          <w:b w:val="0"/>
          <w:bCs w:val="0"/>
          <w:sz w:val="24"/>
          <w:szCs w:val="24"/>
          <w:lang w:val="en-US" w:eastAsia="zh-CN"/>
        </w:rPr>
        <w:t>主要</w:t>
      </w:r>
      <w:r>
        <w:rPr>
          <w:rFonts w:hint="default" w:eastAsiaTheme="minorEastAsia"/>
          <w:b w:val="0"/>
          <w:bCs w:val="0"/>
          <w:sz w:val="24"/>
          <w:szCs w:val="24"/>
        </w:rPr>
        <w:t>作用</w:t>
      </w:r>
      <w:r>
        <w:rPr>
          <w:rFonts w:hint="default" w:eastAsiaTheme="minorEastAsia"/>
          <w:sz w:val="24"/>
          <w:szCs w:val="24"/>
        </w:rPr>
        <w:t>。</w:t>
      </w:r>
    </w:p>
    <w:p w14:paraId="1CA26D8A">
      <w:pPr>
        <w:pStyle w:val="60"/>
        <w:pageBreakBefore w:val="0"/>
        <w:numPr>
          <w:ilvl w:val="0"/>
          <w:numId w:val="0"/>
        </w:numPr>
        <w:kinsoku/>
        <w:wordWrap/>
        <w:overflowPunct/>
        <w:topLinePunct w:val="0"/>
        <w:bidi w:val="0"/>
        <w:spacing w:before="156" w:beforeLines="50" w:after="156" w:afterLines="50" w:line="300" w:lineRule="auto"/>
        <w:ind w:leftChars="0"/>
        <w:textAlignment w:val="auto"/>
        <w:rPr>
          <w:rFonts w:hint="eastAsia" w:ascii="黑体" w:hAnsi="Times New Roman" w:eastAsia="黑体" w:cs="Times New Roman"/>
          <w:color w:val="auto"/>
          <w:spacing w:val="-4"/>
          <w:sz w:val="24"/>
          <w:szCs w:val="24"/>
        </w:rPr>
      </w:pPr>
      <w:r>
        <w:rPr>
          <w:rFonts w:hint="default" w:hAnsi="Times New Roman" w:eastAsia="黑体"/>
          <w:b w:val="0"/>
          <w:bCs w:val="0"/>
          <w:color w:val="auto"/>
          <w:spacing w:val="-4"/>
          <w:sz w:val="24"/>
          <w:szCs w:val="24"/>
        </w:rPr>
        <w:t>3.</w:t>
      </w:r>
      <w:r>
        <w:rPr>
          <w:rFonts w:hint="default" w:hAnsi="Times New Roman" w:eastAsia="黑体"/>
          <w:b w:val="0"/>
          <w:bCs w:val="0"/>
          <w:color w:val="auto"/>
          <w:spacing w:val="-4"/>
          <w:sz w:val="24"/>
          <w:szCs w:val="24"/>
          <w:lang w:val="en-US" w:eastAsia="zh-CN"/>
        </w:rPr>
        <w:t>4</w:t>
      </w:r>
      <w:r>
        <w:rPr>
          <w:rFonts w:hint="default" w:ascii="黑体" w:hAnsi="Times New Roman" w:eastAsia="黑体" w:cs="Times New Roman"/>
          <w:color w:val="auto"/>
          <w:spacing w:val="-4"/>
          <w:sz w:val="24"/>
          <w:szCs w:val="24"/>
          <w:lang w:eastAsia="zh-CN"/>
        </w:rPr>
        <w:t>各单位分工情况</w:t>
      </w:r>
    </w:p>
    <w:p w14:paraId="35305676">
      <w:pPr>
        <w:pageBreakBefore w:val="0"/>
        <w:kinsoku/>
        <w:wordWrap/>
        <w:overflowPunct/>
        <w:topLinePunct w:val="0"/>
        <w:bidi w:val="0"/>
        <w:spacing w:line="300" w:lineRule="auto"/>
        <w:ind w:firstLine="480" w:firstLineChars="200"/>
        <w:contextualSpacing/>
        <w:jc w:val="both"/>
        <w:textAlignment w:val="auto"/>
        <w:rPr>
          <w:rFonts w:hint="default" w:ascii="Times New Roman" w:hAnsi="Times New Roman" w:cs="Times New Roman" w:eastAsiaTheme="minorEastAsia"/>
          <w:b w:val="0"/>
          <w:bCs w:val="0"/>
          <w:color w:val="auto"/>
          <w:kern w:val="2"/>
          <w:sz w:val="24"/>
          <w:szCs w:val="24"/>
          <w:highlight w:val="none"/>
          <w:lang w:val="en-US" w:eastAsia="zh-CN"/>
        </w:rPr>
      </w:pPr>
      <w:r>
        <w:rPr>
          <w:rFonts w:hint="default" w:ascii="Times New Roman" w:hAnsi="Times New Roman" w:cs="Times New Roman" w:eastAsiaTheme="minorEastAsia"/>
          <w:sz w:val="24"/>
          <w:szCs w:val="24"/>
          <w:lang w:val="en-US" w:eastAsia="zh-CN"/>
        </w:rPr>
        <w:t>编制组依据各单位情况，对整个规范的起草进行了分工。</w:t>
      </w:r>
      <w:r>
        <w:rPr>
          <w:rFonts w:hint="eastAsia" w:ascii="Times New Roman" w:hAnsi="Times New Roman" w:cs="Times New Roman" w:eastAsiaTheme="minorEastAsia"/>
          <w:sz w:val="24"/>
          <w:szCs w:val="24"/>
          <w:lang w:val="en-US" w:eastAsia="zh-CN"/>
        </w:rPr>
        <w:t>中铝洛阳铜加工有限公司</w:t>
      </w:r>
      <w:r>
        <w:rPr>
          <w:rFonts w:hint="default" w:ascii="Times New Roman" w:hAnsi="Times New Roman" w:cs="Times New Roman" w:eastAsiaTheme="minorEastAsia"/>
          <w:sz w:val="24"/>
          <w:szCs w:val="24"/>
          <w:lang w:val="en-US" w:eastAsia="zh-CN"/>
        </w:rPr>
        <w:t>负责资料的调研、收集，完成分析方法研究</w:t>
      </w:r>
      <w:r>
        <w:rPr>
          <w:rFonts w:hint="default" w:ascii="Times New Roman" w:hAnsi="Times New Roman" w:cs="Times New Roman" w:eastAsiaTheme="minorEastAsia"/>
          <w:b w:val="0"/>
          <w:bCs w:val="0"/>
          <w:color w:val="auto"/>
          <w:kern w:val="2"/>
          <w:sz w:val="24"/>
          <w:szCs w:val="24"/>
          <w:highlight w:val="none"/>
          <w:lang w:val="en-US" w:eastAsia="zh-CN"/>
        </w:rPr>
        <w:t>工作，撰写标准文稿、编制说明和研究报告。</w:t>
      </w:r>
      <w:r>
        <w:rPr>
          <w:rFonts w:hint="eastAsia" w:cs="Times New Roman" w:eastAsiaTheme="minorEastAsia"/>
          <w:b w:val="0"/>
          <w:bCs w:val="0"/>
          <w:color w:val="auto"/>
          <w:kern w:val="2"/>
          <w:sz w:val="24"/>
          <w:szCs w:val="24"/>
          <w:highlight w:val="none"/>
          <w:lang w:val="en-US" w:eastAsia="zh-CN"/>
        </w:rPr>
        <w:t>中铝材料应用研究院有限公司、国标（北京）检验认证有限公司、辽宁盛达计量检测技术有限公司、宝鸡钛业股份有限公司</w:t>
      </w:r>
      <w:r>
        <w:rPr>
          <w:rFonts w:hint="default" w:ascii="Times New Roman" w:hAnsi="Times New Roman" w:cs="Times New Roman" w:eastAsiaTheme="minorEastAsia"/>
          <w:sz w:val="24"/>
          <w:szCs w:val="24"/>
          <w:lang w:val="en-US" w:eastAsia="zh-CN"/>
        </w:rPr>
        <w:t>对规范内容提出具体修改意见</w:t>
      </w:r>
      <w:r>
        <w:rPr>
          <w:rFonts w:hint="eastAsia" w:cs="Times New Roman" w:eastAsiaTheme="minorEastAsia"/>
          <w:sz w:val="24"/>
          <w:szCs w:val="24"/>
          <w:lang w:val="en-US" w:eastAsia="zh-CN"/>
        </w:rPr>
        <w:t>，并</w:t>
      </w:r>
      <w:r>
        <w:rPr>
          <w:rFonts w:hint="default" w:ascii="Times New Roman" w:hAnsi="Times New Roman" w:cs="Times New Roman" w:eastAsiaTheme="minorEastAsia"/>
          <w:b w:val="0"/>
          <w:bCs w:val="0"/>
          <w:color w:val="auto"/>
          <w:kern w:val="2"/>
          <w:sz w:val="24"/>
          <w:szCs w:val="24"/>
          <w:highlight w:val="none"/>
          <w:lang w:val="en-US" w:eastAsia="zh-CN"/>
        </w:rPr>
        <w:t>提供对规范方法的验证工作及完成相应验证报告，并对标准文稿等提出相应修改意见，</w:t>
      </w:r>
      <w:r>
        <w:rPr>
          <w:rFonts w:hint="eastAsia" w:cs="Times New Roman" w:eastAsiaTheme="minorEastAsia"/>
          <w:b w:val="0"/>
          <w:bCs w:val="0"/>
          <w:color w:val="auto"/>
          <w:kern w:val="2"/>
          <w:sz w:val="24"/>
          <w:szCs w:val="24"/>
          <w:highlight w:val="none"/>
          <w:lang w:val="en-US" w:eastAsia="zh-CN"/>
        </w:rPr>
        <w:t>有色金属技术经济研究院有限责任公司、西安汉唐分析检测有限公司、北京科技大学、国合通用（青岛）测试评价有限公司、中国科学院宁波材料技术与工程研究所</w:t>
      </w:r>
      <w:r>
        <w:rPr>
          <w:rFonts w:hint="default" w:ascii="Times New Roman" w:hAnsi="Times New Roman" w:cs="Times New Roman" w:eastAsiaTheme="minorEastAsia"/>
          <w:b w:val="0"/>
          <w:bCs w:val="0"/>
          <w:color w:val="auto"/>
          <w:kern w:val="2"/>
          <w:sz w:val="24"/>
          <w:szCs w:val="24"/>
          <w:highlight w:val="none"/>
          <w:lang w:val="en-US" w:eastAsia="zh-CN"/>
        </w:rPr>
        <w:t>对标准文稿等提出相应修改意见，分工见表1。</w:t>
      </w:r>
    </w:p>
    <w:p w14:paraId="2995A873">
      <w:pPr>
        <w:pStyle w:val="60"/>
        <w:keepNext w:val="0"/>
        <w:keepLines w:val="0"/>
        <w:pageBreakBefore w:val="0"/>
        <w:widowControl/>
        <w:numPr>
          <w:ilvl w:val="0"/>
          <w:numId w:val="0"/>
        </w:numPr>
        <w:kinsoku/>
        <w:wordWrap/>
        <w:overflowPunct/>
        <w:topLinePunct w:val="0"/>
        <w:autoSpaceDE/>
        <w:autoSpaceDN/>
        <w:bidi w:val="0"/>
        <w:adjustRightInd/>
        <w:snapToGrid/>
        <w:spacing w:beforeLines="0" w:afterLines="0" w:line="300" w:lineRule="auto"/>
        <w:jc w:val="center"/>
        <w:textAlignment w:val="auto"/>
        <w:rPr>
          <w:rFonts w:hint="eastAsia" w:ascii="黑体" w:hAnsi="黑体" w:eastAsia="黑体" w:cs="Times New Roman"/>
          <w:kern w:val="0"/>
          <w:sz w:val="24"/>
          <w:szCs w:val="24"/>
          <w:highlight w:val="none"/>
          <w:lang w:val="en-US" w:eastAsia="zh-CN" w:bidi="ar-SA"/>
        </w:rPr>
      </w:pPr>
      <w:r>
        <w:rPr>
          <w:rFonts w:hint="eastAsia" w:ascii="黑体" w:hAnsi="黑体" w:eastAsia="黑体" w:cs="Times New Roman"/>
          <w:kern w:val="0"/>
          <w:sz w:val="24"/>
          <w:szCs w:val="24"/>
          <w:highlight w:val="none"/>
          <w:lang w:val="en-US" w:eastAsia="zh-CN" w:bidi="ar-SA"/>
        </w:rPr>
        <w:t>表1 各单位分工表</w:t>
      </w:r>
    </w:p>
    <w:tbl>
      <w:tblPr>
        <w:tblStyle w:val="42"/>
        <w:tblpPr w:leftFromText="180" w:rightFromText="180" w:vertAnchor="text" w:horzAnchor="page" w:tblpXSpec="center" w:tblpY="269"/>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0"/>
        <w:gridCol w:w="5671"/>
      </w:tblGrid>
      <w:tr w14:paraId="0B86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37" w:type="pct"/>
            <w:vAlign w:val="center"/>
          </w:tcPr>
          <w:p w14:paraId="5089854C">
            <w:pPr>
              <w:pageBreakBefore w:val="0"/>
              <w:kinsoku/>
              <w:wordWrap/>
              <w:overflowPunct/>
              <w:topLinePunct w:val="0"/>
              <w:bidi w:val="0"/>
              <w:spacing w:line="300" w:lineRule="auto"/>
              <w:jc w:val="center"/>
              <w:textAlignment w:val="auto"/>
              <w:rPr>
                <w:szCs w:val="21"/>
              </w:rPr>
            </w:pPr>
            <w:r>
              <w:rPr>
                <w:rFonts w:hint="eastAsia"/>
                <w:szCs w:val="21"/>
              </w:rPr>
              <w:t>单位</w:t>
            </w:r>
          </w:p>
        </w:tc>
        <w:tc>
          <w:tcPr>
            <w:tcW w:w="2962" w:type="pct"/>
            <w:vAlign w:val="center"/>
          </w:tcPr>
          <w:p w14:paraId="46CB97AA">
            <w:pPr>
              <w:pageBreakBefore w:val="0"/>
              <w:kinsoku/>
              <w:wordWrap/>
              <w:overflowPunct/>
              <w:topLinePunct w:val="0"/>
              <w:bidi w:val="0"/>
              <w:spacing w:line="300" w:lineRule="auto"/>
              <w:jc w:val="center"/>
              <w:textAlignment w:val="auto"/>
              <w:rPr>
                <w:szCs w:val="21"/>
              </w:rPr>
            </w:pPr>
            <w:r>
              <w:rPr>
                <w:rFonts w:hint="eastAsia"/>
                <w:szCs w:val="21"/>
              </w:rPr>
              <w:t>工作分工</w:t>
            </w:r>
          </w:p>
        </w:tc>
      </w:tr>
      <w:tr w14:paraId="51FB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36742CB8">
            <w:pPr>
              <w:pageBreakBefore w:val="0"/>
              <w:kinsoku/>
              <w:wordWrap/>
              <w:overflowPunct/>
              <w:topLinePunct w:val="0"/>
              <w:bidi w:val="0"/>
              <w:spacing w:line="300" w:lineRule="auto"/>
              <w:jc w:val="center"/>
              <w:textAlignment w:val="auto"/>
              <w:rPr>
                <w:szCs w:val="21"/>
              </w:rPr>
            </w:pPr>
            <w:r>
              <w:rPr>
                <w:rFonts w:hint="eastAsia" w:ascii="宋体" w:hAnsi="宋体" w:cs="宋体"/>
                <w:szCs w:val="21"/>
                <w:lang w:val="en-US" w:eastAsia="zh-CN"/>
              </w:rPr>
              <w:t>中铝洛阳铜加工有限公司</w:t>
            </w:r>
          </w:p>
        </w:tc>
        <w:tc>
          <w:tcPr>
            <w:tcW w:w="2962" w:type="pct"/>
            <w:vAlign w:val="center"/>
          </w:tcPr>
          <w:p w14:paraId="21E464CA">
            <w:pPr>
              <w:pageBreakBefore w:val="0"/>
              <w:kinsoku/>
              <w:wordWrap/>
              <w:overflowPunct/>
              <w:topLinePunct w:val="0"/>
              <w:bidi w:val="0"/>
              <w:spacing w:line="300" w:lineRule="auto"/>
              <w:jc w:val="center"/>
              <w:textAlignment w:val="auto"/>
              <w:rPr>
                <w:szCs w:val="21"/>
              </w:rPr>
            </w:pPr>
            <w:r>
              <w:rPr>
                <w:rFonts w:hint="eastAsia"/>
                <w:szCs w:val="21"/>
              </w:rPr>
              <w:t>规范起草编制，试验方案编订，实验数据分析，编制说明的撰写工作，会议纪要整理及规范的完善。</w:t>
            </w:r>
          </w:p>
        </w:tc>
      </w:tr>
      <w:tr w14:paraId="2EA0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32B76EF6">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中铝材料应用研究院有限公司、</w:t>
            </w:r>
          </w:p>
        </w:tc>
        <w:tc>
          <w:tcPr>
            <w:tcW w:w="2962" w:type="pct"/>
            <w:vAlign w:val="center"/>
          </w:tcPr>
          <w:p w14:paraId="4228B479">
            <w:pPr>
              <w:pageBreakBefore w:val="0"/>
              <w:kinsoku/>
              <w:wordWrap/>
              <w:overflowPunct/>
              <w:topLinePunct w:val="0"/>
              <w:bidi w:val="0"/>
              <w:spacing w:line="300" w:lineRule="auto"/>
              <w:jc w:val="center"/>
              <w:textAlignment w:val="auto"/>
              <w:rPr>
                <w:color w:val="FF0000"/>
                <w:szCs w:val="21"/>
              </w:rPr>
            </w:pPr>
            <w:r>
              <w:rPr>
                <w:rFonts w:hint="eastAsia"/>
                <w:szCs w:val="21"/>
              </w:rPr>
              <w:t>内容审阅并提出修改意见</w:t>
            </w:r>
          </w:p>
        </w:tc>
      </w:tr>
      <w:tr w14:paraId="3D4B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37" w:type="pct"/>
            <w:vAlign w:val="center"/>
          </w:tcPr>
          <w:p w14:paraId="5BDDCBE1">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国标（北京）检验认证有限公司</w:t>
            </w:r>
          </w:p>
        </w:tc>
        <w:tc>
          <w:tcPr>
            <w:tcW w:w="2962" w:type="pct"/>
            <w:vAlign w:val="center"/>
          </w:tcPr>
          <w:p w14:paraId="66E3694D">
            <w:pPr>
              <w:pageBreakBefore w:val="0"/>
              <w:kinsoku/>
              <w:wordWrap/>
              <w:overflowPunct/>
              <w:topLinePunct w:val="0"/>
              <w:bidi w:val="0"/>
              <w:spacing w:line="300" w:lineRule="auto"/>
              <w:jc w:val="center"/>
              <w:textAlignment w:val="auto"/>
              <w:rPr>
                <w:color w:val="FF0000"/>
                <w:szCs w:val="21"/>
              </w:rPr>
            </w:pPr>
            <w:r>
              <w:rPr>
                <w:rFonts w:hint="eastAsia"/>
                <w:szCs w:val="21"/>
              </w:rPr>
              <w:t>内容审阅并提出修改意见</w:t>
            </w:r>
          </w:p>
        </w:tc>
      </w:tr>
      <w:tr w14:paraId="5D2A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19FC9500">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辽宁盛达计量检测技术有限公司</w:t>
            </w:r>
          </w:p>
        </w:tc>
        <w:tc>
          <w:tcPr>
            <w:tcW w:w="2962" w:type="pct"/>
            <w:vAlign w:val="center"/>
          </w:tcPr>
          <w:p w14:paraId="09ECD168">
            <w:pPr>
              <w:pageBreakBefore w:val="0"/>
              <w:kinsoku/>
              <w:wordWrap/>
              <w:overflowPunct/>
              <w:topLinePunct w:val="0"/>
              <w:bidi w:val="0"/>
              <w:spacing w:line="300" w:lineRule="auto"/>
              <w:jc w:val="center"/>
              <w:textAlignment w:val="auto"/>
              <w:rPr>
                <w:szCs w:val="21"/>
              </w:rPr>
            </w:pPr>
            <w:r>
              <w:rPr>
                <w:rFonts w:hint="eastAsia"/>
                <w:szCs w:val="21"/>
              </w:rPr>
              <w:t>内容审阅并提出修改意见</w:t>
            </w:r>
          </w:p>
        </w:tc>
      </w:tr>
      <w:tr w14:paraId="30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39647D25">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宝鸡钛业股份有限公司</w:t>
            </w:r>
          </w:p>
        </w:tc>
        <w:tc>
          <w:tcPr>
            <w:tcW w:w="2962" w:type="pct"/>
            <w:vAlign w:val="center"/>
          </w:tcPr>
          <w:p w14:paraId="5F21D9AB">
            <w:pPr>
              <w:pageBreakBefore w:val="0"/>
              <w:kinsoku/>
              <w:wordWrap/>
              <w:overflowPunct/>
              <w:topLinePunct w:val="0"/>
              <w:bidi w:val="0"/>
              <w:spacing w:line="300" w:lineRule="auto"/>
              <w:jc w:val="center"/>
              <w:textAlignment w:val="auto"/>
              <w:rPr>
                <w:color w:val="FF0000"/>
                <w:szCs w:val="21"/>
                <w:highlight w:val="yellow"/>
              </w:rPr>
            </w:pPr>
            <w:r>
              <w:rPr>
                <w:rFonts w:hint="eastAsia"/>
                <w:szCs w:val="21"/>
              </w:rPr>
              <w:t>内容审阅并提出修改意见</w:t>
            </w:r>
          </w:p>
        </w:tc>
      </w:tr>
      <w:tr w14:paraId="016C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46318AC9">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有色金属技术经济研究院有限责任公司</w:t>
            </w:r>
          </w:p>
        </w:tc>
        <w:tc>
          <w:tcPr>
            <w:tcW w:w="2962" w:type="pct"/>
            <w:vAlign w:val="center"/>
          </w:tcPr>
          <w:p w14:paraId="75A621D3">
            <w:pPr>
              <w:pageBreakBefore w:val="0"/>
              <w:kinsoku/>
              <w:wordWrap/>
              <w:overflowPunct/>
              <w:topLinePunct w:val="0"/>
              <w:bidi w:val="0"/>
              <w:spacing w:line="300" w:lineRule="auto"/>
              <w:jc w:val="center"/>
              <w:textAlignment w:val="auto"/>
              <w:rPr>
                <w:szCs w:val="21"/>
              </w:rPr>
            </w:pPr>
            <w:r>
              <w:rPr>
                <w:rFonts w:hint="eastAsia"/>
                <w:szCs w:val="21"/>
              </w:rPr>
              <w:t>实验方案讨论，内容审阅并提出修改意见</w:t>
            </w:r>
          </w:p>
        </w:tc>
      </w:tr>
      <w:tr w14:paraId="41F3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3CCC8784">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西安汉唐分析检测有限公司</w:t>
            </w:r>
          </w:p>
        </w:tc>
        <w:tc>
          <w:tcPr>
            <w:tcW w:w="2962" w:type="pct"/>
            <w:vAlign w:val="center"/>
          </w:tcPr>
          <w:p w14:paraId="0D77A4A1">
            <w:pPr>
              <w:pageBreakBefore w:val="0"/>
              <w:kinsoku/>
              <w:wordWrap/>
              <w:overflowPunct/>
              <w:topLinePunct w:val="0"/>
              <w:bidi w:val="0"/>
              <w:spacing w:line="300" w:lineRule="auto"/>
              <w:jc w:val="center"/>
              <w:textAlignment w:val="auto"/>
              <w:rPr>
                <w:color w:val="FF0000"/>
                <w:szCs w:val="21"/>
              </w:rPr>
            </w:pPr>
            <w:r>
              <w:rPr>
                <w:rFonts w:hint="eastAsia"/>
                <w:szCs w:val="21"/>
              </w:rPr>
              <w:t>实验方案讨论，内容审阅并提出修改意见</w:t>
            </w:r>
          </w:p>
        </w:tc>
      </w:tr>
      <w:tr w14:paraId="728E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338ECD64">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北京科技大学</w:t>
            </w:r>
          </w:p>
        </w:tc>
        <w:tc>
          <w:tcPr>
            <w:tcW w:w="2962" w:type="pct"/>
            <w:vAlign w:val="center"/>
          </w:tcPr>
          <w:p w14:paraId="086A56BD">
            <w:pPr>
              <w:pageBreakBefore w:val="0"/>
              <w:kinsoku/>
              <w:wordWrap/>
              <w:overflowPunct/>
              <w:topLinePunct w:val="0"/>
              <w:bidi w:val="0"/>
              <w:spacing w:line="300" w:lineRule="auto"/>
              <w:jc w:val="center"/>
              <w:textAlignment w:val="auto"/>
              <w:rPr>
                <w:szCs w:val="21"/>
              </w:rPr>
            </w:pPr>
            <w:r>
              <w:rPr>
                <w:rFonts w:hint="eastAsia"/>
                <w:szCs w:val="21"/>
              </w:rPr>
              <w:t>实验方案讨论，内容审阅并提出修改意见</w:t>
            </w:r>
          </w:p>
        </w:tc>
      </w:tr>
      <w:tr w14:paraId="6553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579C3B97">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国合通用（青岛）测试评价有限公司</w:t>
            </w:r>
          </w:p>
        </w:tc>
        <w:tc>
          <w:tcPr>
            <w:tcW w:w="2962" w:type="pct"/>
            <w:vAlign w:val="center"/>
          </w:tcPr>
          <w:p w14:paraId="1FA70412">
            <w:pPr>
              <w:pageBreakBefore w:val="0"/>
              <w:kinsoku/>
              <w:wordWrap/>
              <w:overflowPunct/>
              <w:topLinePunct w:val="0"/>
              <w:bidi w:val="0"/>
              <w:spacing w:line="300" w:lineRule="auto"/>
              <w:jc w:val="center"/>
              <w:textAlignment w:val="auto"/>
              <w:rPr>
                <w:szCs w:val="21"/>
              </w:rPr>
            </w:pPr>
            <w:r>
              <w:rPr>
                <w:rFonts w:hint="eastAsia"/>
                <w:szCs w:val="21"/>
              </w:rPr>
              <w:t>内容审阅并提出修改意见</w:t>
            </w:r>
          </w:p>
        </w:tc>
      </w:tr>
      <w:tr w14:paraId="5DB8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45ECE95D">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中国科学院宁波材料技术与工程研究所</w:t>
            </w:r>
          </w:p>
        </w:tc>
        <w:tc>
          <w:tcPr>
            <w:tcW w:w="2962" w:type="pct"/>
            <w:vAlign w:val="center"/>
          </w:tcPr>
          <w:p w14:paraId="61FAB6BE">
            <w:pPr>
              <w:pageBreakBefore w:val="0"/>
              <w:kinsoku/>
              <w:wordWrap/>
              <w:overflowPunct/>
              <w:topLinePunct w:val="0"/>
              <w:bidi w:val="0"/>
              <w:spacing w:line="300" w:lineRule="auto"/>
              <w:jc w:val="center"/>
              <w:textAlignment w:val="auto"/>
              <w:rPr>
                <w:rFonts w:hint="eastAsia"/>
                <w:szCs w:val="21"/>
              </w:rPr>
            </w:pPr>
            <w:r>
              <w:rPr>
                <w:rFonts w:hint="eastAsia"/>
                <w:szCs w:val="21"/>
              </w:rPr>
              <w:t>内容审阅并提出修改意见</w:t>
            </w:r>
          </w:p>
        </w:tc>
      </w:tr>
      <w:tr w14:paraId="2DC0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vAlign w:val="center"/>
          </w:tcPr>
          <w:p w14:paraId="303DF853">
            <w:pPr>
              <w:pageBreakBefore w:val="0"/>
              <w:kinsoku/>
              <w:wordWrap/>
              <w:overflowPunct/>
              <w:topLinePunct w:val="0"/>
              <w:bidi w:val="0"/>
              <w:spacing w:line="300" w:lineRule="auto"/>
              <w:jc w:val="center"/>
              <w:textAlignment w:val="auto"/>
              <w:rPr>
                <w:rFonts w:hint="eastAsia" w:ascii="宋体" w:hAnsi="宋体" w:cs="宋体"/>
                <w:szCs w:val="21"/>
                <w:lang w:val="en-US" w:eastAsia="zh-CN"/>
              </w:rPr>
            </w:pPr>
            <w:bookmarkStart w:id="9" w:name="_Toc462884357"/>
            <w:bookmarkStart w:id="10" w:name="_Toc464728913"/>
            <w:r>
              <w:rPr>
                <w:rFonts w:hint="eastAsia" w:ascii="宋体" w:hAnsi="宋体" w:cs="宋体"/>
                <w:szCs w:val="21"/>
                <w:lang w:val="en-US" w:eastAsia="zh-CN"/>
              </w:rPr>
              <w:t>西南铝业(集团)有限责任公司</w:t>
            </w:r>
          </w:p>
        </w:tc>
        <w:tc>
          <w:tcPr>
            <w:tcW w:w="2962" w:type="pct"/>
            <w:vAlign w:val="center"/>
          </w:tcPr>
          <w:p w14:paraId="64D86774">
            <w:pPr>
              <w:pageBreakBefore w:val="0"/>
              <w:kinsoku/>
              <w:wordWrap/>
              <w:overflowPunct/>
              <w:topLinePunct w:val="0"/>
              <w:bidi w:val="0"/>
              <w:spacing w:line="300" w:lineRule="auto"/>
              <w:jc w:val="center"/>
              <w:textAlignment w:val="auto"/>
              <w:rPr>
                <w:rFonts w:hint="eastAsia"/>
                <w:szCs w:val="21"/>
              </w:rPr>
            </w:pPr>
            <w:r>
              <w:rPr>
                <w:rFonts w:hint="eastAsia"/>
                <w:szCs w:val="21"/>
              </w:rPr>
              <w:t>内容审阅并提出修改意见</w:t>
            </w:r>
          </w:p>
        </w:tc>
      </w:tr>
      <w:bookmarkEnd w:id="7"/>
      <w:bookmarkEnd w:id="8"/>
    </w:tbl>
    <w:p w14:paraId="3126F503">
      <w:pPr>
        <w:pStyle w:val="4"/>
        <w:pageBreakBefore w:val="0"/>
        <w:numPr>
          <w:ilvl w:val="0"/>
          <w:numId w:val="11"/>
        </w:numPr>
        <w:kinsoku/>
        <w:wordWrap/>
        <w:overflowPunct/>
        <w:topLinePunct w:val="0"/>
        <w:bidi w:val="0"/>
        <w:spacing w:before="156" w:after="156" w:line="300" w:lineRule="auto"/>
        <w:textAlignment w:val="auto"/>
        <w:rPr>
          <w:rFonts w:hint="eastAsia"/>
          <w:b w:val="0"/>
          <w:bCs w:val="0"/>
          <w:sz w:val="24"/>
          <w:szCs w:val="24"/>
        </w:rPr>
      </w:pPr>
      <w:r>
        <w:rPr>
          <w:rFonts w:hint="eastAsia"/>
          <w:b w:val="0"/>
          <w:bCs w:val="0"/>
          <w:sz w:val="24"/>
          <w:szCs w:val="24"/>
        </w:rPr>
        <w:t>主要工作过程</w:t>
      </w:r>
      <w:bookmarkEnd w:id="9"/>
      <w:bookmarkEnd w:id="10"/>
    </w:p>
    <w:p w14:paraId="13F9A9F6">
      <w:pPr>
        <w:pStyle w:val="59"/>
        <w:pageBreakBefore w:val="0"/>
        <w:kinsoku/>
        <w:wordWrap/>
        <w:overflowPunct/>
        <w:topLinePunct w:val="0"/>
        <w:bidi w:val="0"/>
        <w:spacing w:line="300" w:lineRule="auto"/>
        <w:ind w:left="0" w:leftChars="0" w:firstLine="0" w:firstLineChars="0"/>
        <w:textAlignment w:val="auto"/>
        <w:rPr>
          <w:rFonts w:hint="default"/>
          <w:sz w:val="24"/>
          <w:szCs w:val="24"/>
          <w:lang w:val="en-US" w:eastAsia="zh-CN"/>
        </w:rPr>
      </w:pPr>
      <w:bookmarkStart w:id="11" w:name="_Hlk134448643"/>
      <w:r>
        <w:rPr>
          <w:rFonts w:hint="default" w:ascii="黑体" w:hAnsi="Times New Roman" w:eastAsia="黑体" w:cs="Times New Roman"/>
          <w:color w:val="auto"/>
          <w:spacing w:val="-4"/>
          <w:sz w:val="24"/>
          <w:szCs w:val="24"/>
          <w:lang w:val="en-US" w:eastAsia="zh-CN" w:bidi="ar-SA"/>
        </w:rPr>
        <w:t>4.1 预研阶段</w:t>
      </w:r>
    </w:p>
    <w:p w14:paraId="2D0D8A0B">
      <w:pPr>
        <w:pageBreakBefore w:val="0"/>
        <w:kinsoku/>
        <w:wordWrap/>
        <w:overflowPunct/>
        <w:topLinePunct w:val="0"/>
        <w:bidi w:val="0"/>
        <w:spacing w:line="300" w:lineRule="auto"/>
        <w:ind w:firstLine="480" w:firstLineChars="200"/>
        <w:contextualSpacing/>
        <w:jc w:val="both"/>
        <w:textAlignment w:val="auto"/>
        <w:rPr>
          <w:rFonts w:hint="eastAsia" w:cs="Times New Roman" w:eastAsiaTheme="minorEastAsia"/>
          <w:b w:val="0"/>
          <w:bCs w:val="0"/>
          <w:color w:val="auto"/>
          <w:kern w:val="2"/>
          <w:sz w:val="24"/>
          <w:szCs w:val="24"/>
          <w:highlight w:val="none"/>
          <w:lang w:val="en-US" w:eastAsia="zh-CN"/>
        </w:rPr>
      </w:pPr>
      <w:r>
        <w:rPr>
          <w:rFonts w:hint="eastAsia" w:cs="Times New Roman" w:eastAsiaTheme="minorEastAsia"/>
          <w:b w:val="0"/>
          <w:bCs w:val="0"/>
          <w:color w:val="auto"/>
          <w:kern w:val="2"/>
          <w:sz w:val="24"/>
          <w:szCs w:val="24"/>
          <w:highlight w:val="none"/>
          <w:lang w:val="en-US" w:eastAsia="zh-CN"/>
        </w:rPr>
        <w:t>中铝洛阳铜加工有限公司于2025年8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14:paraId="5F3D34BE">
      <w:pPr>
        <w:pageBreakBefore w:val="0"/>
        <w:kinsoku/>
        <w:wordWrap/>
        <w:overflowPunct/>
        <w:topLinePunct w:val="0"/>
        <w:bidi w:val="0"/>
        <w:spacing w:line="300" w:lineRule="auto"/>
        <w:ind w:firstLine="480" w:firstLineChars="200"/>
        <w:contextualSpacing/>
        <w:jc w:val="both"/>
        <w:textAlignment w:val="auto"/>
        <w:rPr>
          <w:rFonts w:hint="eastAsia" w:cs="Times New Roman" w:eastAsiaTheme="minorEastAsia"/>
          <w:b w:val="0"/>
          <w:bCs w:val="0"/>
          <w:color w:val="auto"/>
          <w:kern w:val="2"/>
          <w:sz w:val="24"/>
          <w:szCs w:val="24"/>
          <w:highlight w:val="none"/>
          <w:lang w:val="en-US" w:eastAsia="zh-CN"/>
        </w:rPr>
      </w:pPr>
      <w:r>
        <w:rPr>
          <w:rFonts w:hint="eastAsia" w:cs="Times New Roman" w:eastAsiaTheme="minorEastAsia"/>
          <w:b w:val="0"/>
          <w:bCs w:val="0"/>
          <w:color w:val="auto"/>
          <w:kern w:val="2"/>
          <w:sz w:val="24"/>
          <w:szCs w:val="24"/>
          <w:highlight w:val="none"/>
          <w:lang w:val="en-US" w:eastAsia="zh-CN"/>
        </w:rPr>
        <w:t>1）2025年9月成立了计量规范编制组，明确了编制组成员各自的工作内容和任务。</w:t>
      </w:r>
    </w:p>
    <w:p w14:paraId="045BECD7">
      <w:pPr>
        <w:pageBreakBefore w:val="0"/>
        <w:kinsoku/>
        <w:wordWrap/>
        <w:overflowPunct/>
        <w:topLinePunct w:val="0"/>
        <w:bidi w:val="0"/>
        <w:spacing w:line="300" w:lineRule="auto"/>
        <w:ind w:firstLine="480" w:firstLineChars="200"/>
        <w:contextualSpacing/>
        <w:jc w:val="both"/>
        <w:textAlignment w:val="auto"/>
        <w:rPr>
          <w:rFonts w:hint="eastAsia" w:cs="Times New Roman" w:eastAsiaTheme="minorEastAsia"/>
          <w:b w:val="0"/>
          <w:bCs w:val="0"/>
          <w:color w:val="auto"/>
          <w:kern w:val="2"/>
          <w:sz w:val="24"/>
          <w:szCs w:val="24"/>
          <w:highlight w:val="none"/>
          <w:lang w:val="en-US" w:eastAsia="zh-CN"/>
        </w:rPr>
      </w:pPr>
      <w:r>
        <w:rPr>
          <w:rFonts w:hint="eastAsia" w:cs="Times New Roman" w:eastAsiaTheme="minorEastAsia"/>
          <w:b w:val="0"/>
          <w:bCs w:val="0"/>
          <w:color w:val="auto"/>
          <w:kern w:val="2"/>
          <w:sz w:val="24"/>
          <w:szCs w:val="24"/>
          <w:highlight w:val="none"/>
          <w:lang w:val="en-US" w:eastAsia="zh-CN"/>
        </w:rPr>
        <w:t>2）2025年11月～2026年3月，编制组成员对</w:t>
      </w:r>
      <w:r>
        <w:rPr>
          <w:rFonts w:hint="eastAsia" w:hAnsi="宋体"/>
          <w:b w:val="0"/>
          <w:bCs w:val="0"/>
          <w:sz w:val="24"/>
          <w:szCs w:val="24"/>
        </w:rPr>
        <w:t>《有色金属材料分析用辉光放电发射光谱仪校准规范》</w:t>
      </w:r>
      <w:r>
        <w:rPr>
          <w:rFonts w:hint="eastAsia" w:cs="Times New Roman" w:eastAsiaTheme="minorEastAsia"/>
          <w:b w:val="0"/>
          <w:bCs w:val="0"/>
          <w:color w:val="auto"/>
          <w:kern w:val="2"/>
          <w:sz w:val="24"/>
          <w:szCs w:val="24"/>
          <w:highlight w:val="none"/>
          <w:lang w:val="en-US" w:eastAsia="zh-CN"/>
        </w:rPr>
        <w:t>中的计量特性及校准方法进行了讨论，确定了校准项目和方法，在2026年5月形成了计量规范讨论稿。</w:t>
      </w:r>
    </w:p>
    <w:p w14:paraId="22CF4DBF">
      <w:pPr>
        <w:pStyle w:val="59"/>
        <w:pageBreakBefore w:val="0"/>
        <w:kinsoku/>
        <w:wordWrap/>
        <w:overflowPunct/>
        <w:topLinePunct w:val="0"/>
        <w:bidi w:val="0"/>
        <w:spacing w:line="300" w:lineRule="auto"/>
        <w:ind w:left="0" w:leftChars="0" w:firstLine="0" w:firstLineChars="0"/>
        <w:textAlignment w:val="auto"/>
        <w:rPr>
          <w:rFonts w:hint="default" w:ascii="黑体" w:hAnsi="Times New Roman" w:eastAsia="黑体" w:cs="Times New Roman"/>
          <w:color w:val="auto"/>
          <w:spacing w:val="-4"/>
          <w:sz w:val="24"/>
          <w:szCs w:val="24"/>
          <w:lang w:val="en-US" w:eastAsia="zh-CN" w:bidi="ar-SA"/>
        </w:rPr>
      </w:pPr>
      <w:r>
        <w:rPr>
          <w:rFonts w:hint="eastAsia" w:ascii="黑体" w:hAnsi="Times New Roman" w:eastAsia="黑体" w:cs="Times New Roman"/>
          <w:color w:val="auto"/>
          <w:spacing w:val="-4"/>
          <w:sz w:val="24"/>
          <w:szCs w:val="24"/>
          <w:lang w:val="en-US" w:eastAsia="zh-CN" w:bidi="ar-SA"/>
        </w:rPr>
        <w:t>4.1.1 规范内容的确认</w:t>
      </w:r>
    </w:p>
    <w:p w14:paraId="099B7F01">
      <w:pPr>
        <w:pStyle w:val="59"/>
        <w:pageBreakBefore w:val="0"/>
        <w:kinsoku/>
        <w:wordWrap/>
        <w:overflowPunct/>
        <w:topLinePunct w:val="0"/>
        <w:bidi w:val="0"/>
        <w:spacing w:line="300" w:lineRule="auto"/>
        <w:ind w:firstLine="420"/>
        <w:textAlignment w:val="auto"/>
        <w:rPr>
          <w:rFonts w:hint="eastAsia"/>
          <w:sz w:val="24"/>
          <w:szCs w:val="24"/>
          <w:lang w:val="en-US" w:eastAsia="zh-CN"/>
        </w:rPr>
      </w:pPr>
      <w:r>
        <w:rPr>
          <w:rFonts w:hint="eastAsia"/>
          <w:sz w:val="24"/>
          <w:szCs w:val="24"/>
          <w:lang w:val="en-US" w:eastAsia="zh-CN"/>
        </w:rPr>
        <w:t>通过调研，国内市场设备主要有日本HORIBA的GD Profiler 2型</w:t>
      </w:r>
      <w:r>
        <w:rPr>
          <w:rFonts w:ascii="宋体" w:hAnsi="宋体" w:eastAsia="宋体" w:cs="宋体"/>
          <w:sz w:val="24"/>
          <w:szCs w:val="24"/>
        </w:rPr>
        <w:t>射频辉光放电发射光谱仪</w:t>
      </w:r>
      <w:r>
        <w:rPr>
          <w:rFonts w:hint="eastAsia"/>
          <w:sz w:val="24"/>
          <w:szCs w:val="24"/>
          <w:lang w:val="en-US" w:eastAsia="zh-CN"/>
        </w:rPr>
        <w:t>、</w:t>
      </w:r>
      <w:r>
        <w:rPr>
          <w:rFonts w:ascii="宋体" w:hAnsi="宋体" w:eastAsia="宋体" w:cs="宋体"/>
          <w:sz w:val="24"/>
          <w:szCs w:val="24"/>
        </w:rPr>
        <w:t>美国LECO</w:t>
      </w:r>
      <w:r>
        <w:rPr>
          <w:rFonts w:hint="eastAsia" w:ascii="宋体" w:hAnsi="宋体" w:eastAsia="宋体" w:cs="宋体"/>
          <w:sz w:val="24"/>
          <w:szCs w:val="24"/>
          <w:lang w:val="en-US" w:eastAsia="zh-CN"/>
        </w:rPr>
        <w:t xml:space="preserve"> </w:t>
      </w:r>
      <w:r>
        <w:rPr>
          <w:rFonts w:ascii="宋体" w:hAnsi="宋体" w:eastAsia="宋体" w:cs="宋体"/>
          <w:sz w:val="24"/>
          <w:szCs w:val="24"/>
        </w:rPr>
        <w:t>GDS950</w:t>
      </w:r>
      <w:r>
        <w:rPr>
          <w:rFonts w:hint="eastAsia"/>
          <w:sz w:val="24"/>
          <w:szCs w:val="24"/>
          <w:lang w:val="en-US" w:eastAsia="zh-CN"/>
        </w:rPr>
        <w:t>型</w:t>
      </w:r>
      <w:r>
        <w:rPr>
          <w:rFonts w:ascii="宋体" w:hAnsi="宋体" w:eastAsia="宋体" w:cs="宋体"/>
          <w:sz w:val="24"/>
          <w:szCs w:val="24"/>
        </w:rPr>
        <w:t>辉光放电发射光谱仪</w:t>
      </w:r>
      <w:r>
        <w:rPr>
          <w:rFonts w:hint="eastAsia"/>
          <w:sz w:val="24"/>
          <w:szCs w:val="24"/>
          <w:lang w:val="en-US" w:eastAsia="zh-CN"/>
        </w:rPr>
        <w:t>、上海精谱JP-GD500</w:t>
      </w:r>
      <w:r>
        <w:rPr>
          <w:rFonts w:ascii="宋体" w:hAnsi="宋体" w:eastAsia="宋体" w:cs="宋体"/>
          <w:sz w:val="24"/>
          <w:szCs w:val="24"/>
        </w:rPr>
        <w:t>辉光放电发射光谱仪</w:t>
      </w:r>
      <w:r>
        <w:rPr>
          <w:rFonts w:hint="eastAsia" w:cs="宋体"/>
          <w:sz w:val="24"/>
          <w:szCs w:val="24"/>
          <w:lang w:eastAsia="zh-CN"/>
        </w:rPr>
        <w:t>，</w:t>
      </w:r>
      <w:r>
        <w:rPr>
          <w:rFonts w:ascii="宋体" w:hAnsi="宋体" w:eastAsia="宋体" w:cs="宋体"/>
          <w:sz w:val="24"/>
          <w:szCs w:val="24"/>
        </w:rPr>
        <w:t>北京钢研纳克GD-OES 1000（金属材料</w:t>
      </w:r>
      <w:r>
        <w:rPr>
          <w:rFonts w:hint="eastAsia" w:ascii="宋体" w:hAnsi="宋体" w:eastAsia="宋体" w:cs="宋体"/>
          <w:sz w:val="24"/>
          <w:szCs w:val="24"/>
          <w:lang w:val="en-US" w:eastAsia="zh-CN"/>
        </w:rPr>
        <w:t>/</w:t>
      </w:r>
      <w:r>
        <w:rPr>
          <w:rFonts w:ascii="宋体" w:hAnsi="宋体" w:eastAsia="宋体" w:cs="宋体"/>
          <w:sz w:val="24"/>
          <w:szCs w:val="24"/>
        </w:rPr>
        <w:t>镀层检测）辉光放电发射光谱仪</w:t>
      </w:r>
      <w:r>
        <w:rPr>
          <w:rFonts w:hint="eastAsia"/>
          <w:sz w:val="24"/>
          <w:szCs w:val="24"/>
          <w:lang w:val="en-US" w:eastAsia="zh-CN"/>
        </w:rPr>
        <w:t>等，对规范的校准项目及参数进行了调研。经调研发现，目前有色金属材料分析用</w:t>
      </w:r>
      <w:r>
        <w:rPr>
          <w:rFonts w:ascii="宋体" w:hAnsi="宋体" w:eastAsia="宋体" w:cs="宋体"/>
          <w:sz w:val="24"/>
          <w:szCs w:val="24"/>
        </w:rPr>
        <w:t>辉光放电发射光谱仪</w:t>
      </w:r>
      <w:r>
        <w:rPr>
          <w:rFonts w:hint="eastAsia"/>
          <w:sz w:val="24"/>
          <w:szCs w:val="24"/>
          <w:lang w:val="en-US" w:eastAsia="zh-CN"/>
        </w:rPr>
        <w:t>校准参数多为检出限、重复性、稳定性及深度测量重复性等，所以确认以上几项参数为主要校准项目。</w:t>
      </w:r>
    </w:p>
    <w:p w14:paraId="70F20D6B">
      <w:pPr>
        <w:pStyle w:val="59"/>
        <w:pageBreakBefore w:val="0"/>
        <w:kinsoku/>
        <w:wordWrap/>
        <w:overflowPunct/>
        <w:topLinePunct w:val="0"/>
        <w:bidi w:val="0"/>
        <w:spacing w:line="300" w:lineRule="auto"/>
        <w:ind w:left="0" w:leftChars="0" w:firstLine="0" w:firstLineChars="0"/>
        <w:textAlignment w:val="auto"/>
        <w:rPr>
          <w:rFonts w:hint="default" w:ascii="黑体" w:hAnsi="Times New Roman" w:eastAsia="黑体" w:cs="Times New Roman"/>
          <w:color w:val="auto"/>
          <w:spacing w:val="-4"/>
          <w:sz w:val="24"/>
          <w:szCs w:val="24"/>
          <w:lang w:val="en-US" w:eastAsia="zh-CN" w:bidi="ar-SA"/>
        </w:rPr>
      </w:pPr>
      <w:r>
        <w:rPr>
          <w:rFonts w:hint="eastAsia" w:ascii="黑体" w:hAnsi="Times New Roman" w:eastAsia="黑体" w:cs="Times New Roman"/>
          <w:color w:val="auto"/>
          <w:spacing w:val="-4"/>
          <w:sz w:val="24"/>
          <w:szCs w:val="24"/>
          <w:lang w:val="en-US" w:eastAsia="zh-CN" w:bidi="ar-SA"/>
        </w:rPr>
        <w:t>4.1.2 技术指标的确认</w:t>
      </w:r>
    </w:p>
    <w:p w14:paraId="29F5D2DD">
      <w:pPr>
        <w:pStyle w:val="59"/>
        <w:pageBreakBefore w:val="0"/>
        <w:kinsoku/>
        <w:wordWrap/>
        <w:overflowPunct/>
        <w:topLinePunct w:val="0"/>
        <w:bidi w:val="0"/>
        <w:spacing w:line="300" w:lineRule="auto"/>
        <w:ind w:firstLine="420"/>
        <w:textAlignment w:val="auto"/>
        <w:rPr>
          <w:rFonts w:hint="eastAsia"/>
          <w:sz w:val="24"/>
          <w:szCs w:val="24"/>
          <w:lang w:val="en-US" w:eastAsia="zh-CN"/>
        </w:rPr>
      </w:pPr>
      <w:r>
        <w:rPr>
          <w:rFonts w:hint="eastAsia"/>
          <w:sz w:val="24"/>
          <w:szCs w:val="24"/>
          <w:lang w:val="en-US" w:eastAsia="zh-CN"/>
        </w:rPr>
        <w:t>通过参考JJG 768对</w:t>
      </w:r>
      <w:r>
        <w:rPr>
          <w:rFonts w:hint="default"/>
          <w:sz w:val="24"/>
          <w:szCs w:val="24"/>
          <w:lang w:val="en-US" w:eastAsia="zh-CN"/>
        </w:rPr>
        <w:t>主要技术指标</w:t>
      </w:r>
      <w:r>
        <w:rPr>
          <w:rFonts w:hint="eastAsia"/>
          <w:sz w:val="24"/>
          <w:szCs w:val="24"/>
          <w:lang w:val="en-US" w:eastAsia="zh-CN"/>
        </w:rPr>
        <w:t>进行查询，并与设备使用实验室进行技术讨论，初步确认了校准项目的测量范围和误差范围。</w:t>
      </w:r>
    </w:p>
    <w:p w14:paraId="55DA51DA">
      <w:pPr>
        <w:pStyle w:val="59"/>
        <w:pageBreakBefore w:val="0"/>
        <w:kinsoku/>
        <w:wordWrap/>
        <w:overflowPunct/>
        <w:topLinePunct w:val="0"/>
        <w:bidi w:val="0"/>
        <w:spacing w:line="300" w:lineRule="auto"/>
        <w:ind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4.2 立项阶段</w:t>
      </w:r>
    </w:p>
    <w:p w14:paraId="428E584D">
      <w:pPr>
        <w:pStyle w:val="59"/>
        <w:pageBreakBefore w:val="0"/>
        <w:kinsoku/>
        <w:wordWrap/>
        <w:overflowPunct/>
        <w:topLinePunct w:val="0"/>
        <w:bidi w:val="0"/>
        <w:spacing w:line="300" w:lineRule="auto"/>
        <w:ind w:firstLine="420"/>
        <w:textAlignment w:val="auto"/>
        <w:rPr>
          <w:rFonts w:hint="default"/>
          <w:sz w:val="24"/>
          <w:szCs w:val="24"/>
          <w:highlight w:val="none"/>
          <w:lang w:val="en-US" w:eastAsia="zh-CN"/>
        </w:rPr>
      </w:pPr>
      <w:r>
        <w:rPr>
          <w:rFonts w:hint="default"/>
          <w:sz w:val="24"/>
          <w:szCs w:val="24"/>
          <w:highlight w:val="none"/>
          <w:lang w:val="en-US" w:eastAsia="zh-CN"/>
        </w:rPr>
        <w:t>预研工作完成后，由中铝洛阳铜加工有限公司提交项目申请书等材料，根据工信部《工业和信息化部办公厅关于印发2025年行业计量技术规范制修订计划的通知》（工厅科</w:t>
      </w:r>
      <w:r>
        <w:rPr>
          <w:rFonts w:hint="eastAsia"/>
          <w:sz w:val="24"/>
          <w:szCs w:val="24"/>
          <w:highlight w:val="none"/>
          <w:lang w:val="en-US" w:eastAsia="zh-CN"/>
        </w:rPr>
        <w:t>〔2025〕299号</w:t>
      </w:r>
      <w:r>
        <w:rPr>
          <w:rFonts w:hint="default"/>
          <w:sz w:val="24"/>
          <w:szCs w:val="24"/>
          <w:highlight w:val="none"/>
          <w:lang w:val="en-US" w:eastAsia="zh-CN"/>
        </w:rPr>
        <w:t>）</w:t>
      </w:r>
      <w:r>
        <w:rPr>
          <w:rFonts w:hint="eastAsia"/>
          <w:sz w:val="24"/>
          <w:szCs w:val="24"/>
          <w:highlight w:val="none"/>
          <w:lang w:val="en-US" w:eastAsia="zh-CN"/>
        </w:rPr>
        <w:t>，</w:t>
      </w:r>
      <w:r>
        <w:rPr>
          <w:rFonts w:hint="default"/>
          <w:sz w:val="24"/>
          <w:szCs w:val="24"/>
          <w:highlight w:val="none"/>
          <w:lang w:val="en-US" w:eastAsia="zh-CN"/>
        </w:rPr>
        <w:t>其申报号为：JJFZ（有色金属）004-2025</w:t>
      </w:r>
      <w:r>
        <w:rPr>
          <w:rFonts w:hint="eastAsia"/>
          <w:sz w:val="24"/>
          <w:szCs w:val="24"/>
          <w:highlight w:val="none"/>
          <w:lang w:val="en-US" w:eastAsia="zh-CN"/>
        </w:rPr>
        <w:t>，</w:t>
      </w:r>
      <w:r>
        <w:rPr>
          <w:rFonts w:hint="default"/>
          <w:sz w:val="24"/>
          <w:szCs w:val="24"/>
          <w:highlight w:val="none"/>
          <w:lang w:val="en-US" w:eastAsia="zh-CN"/>
        </w:rPr>
        <w:t>计划完成年限为202</w:t>
      </w:r>
      <w:r>
        <w:rPr>
          <w:rFonts w:hint="eastAsia"/>
          <w:sz w:val="24"/>
          <w:szCs w:val="24"/>
          <w:highlight w:val="none"/>
          <w:lang w:val="en-US" w:eastAsia="zh-CN"/>
        </w:rPr>
        <w:t>7</w:t>
      </w:r>
      <w:r>
        <w:rPr>
          <w:rFonts w:hint="default"/>
          <w:sz w:val="24"/>
          <w:szCs w:val="24"/>
          <w:highlight w:val="none"/>
          <w:lang w:val="en-US" w:eastAsia="zh-CN"/>
        </w:rPr>
        <w:t>年。</w:t>
      </w:r>
    </w:p>
    <w:bookmarkEnd w:id="11"/>
    <w:p w14:paraId="35C3C864">
      <w:pPr>
        <w:pStyle w:val="2"/>
        <w:pageBreakBefore w:val="0"/>
        <w:kinsoku/>
        <w:wordWrap/>
        <w:overflowPunct/>
        <w:topLinePunct w:val="0"/>
        <w:bidi w:val="0"/>
        <w:spacing w:before="156" w:after="156" w:line="300" w:lineRule="auto"/>
        <w:textAlignment w:val="auto"/>
        <w:rPr>
          <w:b w:val="0"/>
          <w:bCs w:val="0"/>
        </w:rPr>
      </w:pPr>
      <w:r>
        <w:rPr>
          <w:rFonts w:hint="eastAsia"/>
          <w:b w:val="0"/>
          <w:bCs w:val="0"/>
        </w:rPr>
        <w:t>二、编制原则和依据</w:t>
      </w:r>
    </w:p>
    <w:p w14:paraId="3F1A852F">
      <w:pPr>
        <w:pStyle w:val="3"/>
        <w:pageBreakBefore w:val="0"/>
        <w:kinsoku/>
        <w:wordWrap/>
        <w:overflowPunct/>
        <w:topLinePunct w:val="0"/>
        <w:bidi w:val="0"/>
        <w:spacing w:before="156" w:after="156" w:line="300" w:lineRule="auto"/>
        <w:textAlignment w:val="auto"/>
        <w:rPr>
          <w:b w:val="0"/>
          <w:bCs w:val="0"/>
        </w:rPr>
      </w:pPr>
      <w:bookmarkStart w:id="12" w:name="_Toc464728925"/>
      <w:r>
        <w:rPr>
          <w:rFonts w:hint="eastAsia"/>
          <w:b w:val="0"/>
          <w:bCs w:val="0"/>
        </w:rPr>
        <w:t>（一）编制原则</w:t>
      </w:r>
      <w:bookmarkEnd w:id="12"/>
    </w:p>
    <w:p w14:paraId="01663872">
      <w:pPr>
        <w:pageBreakBefore w:val="0"/>
        <w:kinsoku/>
        <w:wordWrap/>
        <w:overflowPunct/>
        <w:topLinePunct w:val="0"/>
        <w:bidi w:val="0"/>
        <w:spacing w:line="300" w:lineRule="auto"/>
        <w:ind w:firstLine="480" w:firstLineChars="200"/>
        <w:textAlignment w:val="auto"/>
        <w:rPr>
          <w:rFonts w:hint="eastAsia" w:ascii="Times New Roman" w:hAnsi="Times New Roman" w:eastAsia="宋体" w:cs="Times New Roman"/>
          <w:sz w:val="24"/>
          <w:szCs w:val="24"/>
          <w:lang w:eastAsia="zh-CN"/>
        </w:rPr>
      </w:pPr>
      <w:bookmarkStart w:id="13" w:name="_Toc464728926"/>
      <w:r>
        <w:rPr>
          <w:rFonts w:hint="eastAsia" w:ascii="Times New Roman" w:hAnsi="Times New Roman" w:cs="Times New Roman"/>
          <w:sz w:val="24"/>
          <w:szCs w:val="24"/>
        </w:rPr>
        <w:t>JJF</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1071</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《国家计量校准规范编写规则》</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JJF</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0</w:t>
      </w:r>
      <w:r>
        <w:rPr>
          <w:rFonts w:hint="eastAsia" w:ascii="Times New Roman" w:hAnsi="Times New Roman" w:cs="Times New Roman"/>
          <w:sz w:val="24"/>
          <w:szCs w:val="24"/>
        </w:rPr>
        <w:t>01《通用计量术语及定义》和JJF</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1059.1《测量不确定度评定与表示》</w:t>
      </w:r>
      <w:r>
        <w:rPr>
          <w:rFonts w:hint="eastAsia" w:ascii="Times New Roman" w:hAnsi="Times New Roman" w:cs="Times New Roman"/>
          <w:sz w:val="24"/>
          <w:szCs w:val="24"/>
          <w:lang w:val="en-US" w:eastAsia="zh-CN"/>
        </w:rPr>
        <w:t>共同构成支撑校准规范制修订工作的基础性系列规范</w:t>
      </w:r>
      <w:r>
        <w:rPr>
          <w:rFonts w:hint="eastAsia" w:ascii="Times New Roman" w:hAnsi="Times New Roman" w:cs="Times New Roman"/>
          <w:sz w:val="24"/>
          <w:szCs w:val="24"/>
          <w:lang w:eastAsia="zh-CN"/>
        </w:rPr>
        <w:t>。</w:t>
      </w:r>
    </w:p>
    <w:p w14:paraId="10B86985">
      <w:pPr>
        <w:pageBreakBefore w:val="0"/>
        <w:kinsoku/>
        <w:wordWrap/>
        <w:overflowPunct/>
        <w:topLinePunct w:val="0"/>
        <w:bidi w:val="0"/>
        <w:spacing w:line="300" w:lineRule="auto"/>
        <w:ind w:firstLine="480" w:firstLineChars="200"/>
        <w:textAlignment w:val="auto"/>
        <w:rPr>
          <w:rFonts w:hint="eastAsia"/>
          <w:b w:val="0"/>
          <w:bCs w:val="0"/>
          <w:sz w:val="24"/>
          <w:szCs w:val="24"/>
        </w:rPr>
      </w:pPr>
      <w:r>
        <w:rPr>
          <w:rFonts w:hint="eastAsia"/>
          <w:b w:val="0"/>
          <w:bCs w:val="0"/>
          <w:sz w:val="24"/>
          <w:szCs w:val="24"/>
        </w:rPr>
        <w:t xml:space="preserve">本规范参考了GB/T19502-2004《表面化学分析辉光放电发射光谱方法通则》、GB/T19502 </w:t>
      </w:r>
      <w:r>
        <w:rPr>
          <w:rFonts w:hint="eastAsia"/>
          <w:b w:val="0"/>
          <w:bCs w:val="0"/>
          <w:sz w:val="24"/>
          <w:szCs w:val="24"/>
          <w:lang w:eastAsia="zh-CN"/>
        </w:rPr>
        <w:t>《</w:t>
      </w:r>
      <w:r>
        <w:rPr>
          <w:rFonts w:hint="eastAsia"/>
          <w:b w:val="0"/>
          <w:bCs w:val="0"/>
          <w:sz w:val="24"/>
          <w:szCs w:val="24"/>
        </w:rPr>
        <w:t>表面化学分析辉光放电发射光谱方法通则</w:t>
      </w:r>
      <w:r>
        <w:rPr>
          <w:rFonts w:hint="eastAsia"/>
          <w:b w:val="0"/>
          <w:bCs w:val="0"/>
          <w:sz w:val="24"/>
          <w:szCs w:val="24"/>
          <w:lang w:eastAsia="zh-CN"/>
        </w:rPr>
        <w:t>》、</w:t>
      </w:r>
      <w:r>
        <w:rPr>
          <w:rFonts w:hint="eastAsia"/>
          <w:b w:val="0"/>
          <w:bCs w:val="0"/>
          <w:sz w:val="24"/>
          <w:szCs w:val="24"/>
        </w:rPr>
        <w:t xml:space="preserve">JJG 768 </w:t>
      </w:r>
      <w:r>
        <w:rPr>
          <w:rFonts w:hint="eastAsia"/>
          <w:b w:val="0"/>
          <w:bCs w:val="0"/>
          <w:sz w:val="24"/>
          <w:szCs w:val="24"/>
          <w:lang w:eastAsia="zh-CN"/>
        </w:rPr>
        <w:t>《</w:t>
      </w:r>
      <w:r>
        <w:rPr>
          <w:rFonts w:hint="eastAsia"/>
          <w:b w:val="0"/>
          <w:bCs w:val="0"/>
          <w:sz w:val="24"/>
          <w:szCs w:val="24"/>
        </w:rPr>
        <w:t>发射光谱仪检定规程</w:t>
      </w:r>
      <w:r>
        <w:rPr>
          <w:rFonts w:hint="eastAsia"/>
          <w:b w:val="0"/>
          <w:bCs w:val="0"/>
          <w:sz w:val="24"/>
          <w:szCs w:val="24"/>
          <w:lang w:eastAsia="zh-CN"/>
        </w:rPr>
        <w:t>》、</w:t>
      </w:r>
      <w:r>
        <w:rPr>
          <w:rFonts w:hint="eastAsia"/>
          <w:b w:val="0"/>
          <w:bCs w:val="0"/>
          <w:sz w:val="24"/>
          <w:szCs w:val="24"/>
        </w:rPr>
        <w:t xml:space="preserve">JJF(京)157-2024 </w:t>
      </w:r>
      <w:r>
        <w:rPr>
          <w:rFonts w:hint="eastAsia"/>
          <w:b w:val="0"/>
          <w:bCs w:val="0"/>
          <w:sz w:val="24"/>
          <w:szCs w:val="24"/>
          <w:lang w:eastAsia="zh-CN"/>
        </w:rPr>
        <w:t>《</w:t>
      </w:r>
      <w:r>
        <w:rPr>
          <w:rFonts w:hint="eastAsia"/>
          <w:b w:val="0"/>
          <w:bCs w:val="0"/>
          <w:sz w:val="24"/>
          <w:szCs w:val="24"/>
        </w:rPr>
        <w:t>辉光放电光谱仪校准规范</w:t>
      </w:r>
      <w:r>
        <w:rPr>
          <w:rFonts w:hint="eastAsia"/>
          <w:b w:val="0"/>
          <w:bCs w:val="0"/>
          <w:sz w:val="24"/>
          <w:szCs w:val="24"/>
          <w:lang w:eastAsia="zh-CN"/>
        </w:rPr>
        <w:t>》</w:t>
      </w:r>
      <w:r>
        <w:rPr>
          <w:rFonts w:hint="eastAsia"/>
          <w:b w:val="0"/>
          <w:bCs w:val="0"/>
          <w:sz w:val="24"/>
          <w:szCs w:val="24"/>
          <w:lang w:val="en-US" w:eastAsia="zh-CN"/>
        </w:rPr>
        <w:t>等</w:t>
      </w:r>
      <w:r>
        <w:rPr>
          <w:rFonts w:hint="eastAsia"/>
          <w:b w:val="0"/>
          <w:bCs w:val="0"/>
          <w:sz w:val="24"/>
          <w:szCs w:val="24"/>
        </w:rPr>
        <w:t>相关内容。提出了对</w:t>
      </w:r>
      <w:r>
        <w:rPr>
          <w:rFonts w:hint="eastAsia" w:hAnsi="宋体"/>
          <w:b w:val="0"/>
          <w:bCs w:val="0"/>
          <w:sz w:val="24"/>
          <w:szCs w:val="24"/>
        </w:rPr>
        <w:t>有色金属材料分析用辉光放电发射光谱仪</w:t>
      </w:r>
      <w:r>
        <w:rPr>
          <w:rFonts w:hint="eastAsia"/>
          <w:b w:val="0"/>
          <w:bCs w:val="0"/>
          <w:sz w:val="24"/>
          <w:szCs w:val="24"/>
        </w:rPr>
        <w:t>计量特性的要求，制定了基本原则和编制依据，可对</w:t>
      </w:r>
      <w:r>
        <w:rPr>
          <w:rFonts w:hint="eastAsia" w:hAnsi="宋体"/>
          <w:b w:val="0"/>
          <w:bCs w:val="0"/>
          <w:sz w:val="24"/>
          <w:szCs w:val="24"/>
        </w:rPr>
        <w:t>有色金属材料分析用辉光放电发射光谱仪</w:t>
      </w:r>
      <w:r>
        <w:rPr>
          <w:rFonts w:hint="eastAsia"/>
          <w:b w:val="0"/>
          <w:bCs w:val="0"/>
          <w:sz w:val="24"/>
          <w:szCs w:val="24"/>
        </w:rPr>
        <w:t>进行校准，解决了目前没有</w:t>
      </w:r>
      <w:r>
        <w:rPr>
          <w:rFonts w:hint="eastAsia" w:hAnsi="宋体"/>
          <w:b w:val="0"/>
          <w:bCs w:val="0"/>
          <w:sz w:val="24"/>
          <w:szCs w:val="24"/>
        </w:rPr>
        <w:t>有色金属材料分析用辉光放电发射光谱仪</w:t>
      </w:r>
      <w:r>
        <w:rPr>
          <w:rFonts w:hint="eastAsia"/>
          <w:b w:val="0"/>
          <w:bCs w:val="0"/>
          <w:sz w:val="24"/>
          <w:szCs w:val="24"/>
        </w:rPr>
        <w:t>校准方法的难题。</w:t>
      </w:r>
    </w:p>
    <w:p w14:paraId="77D1E9FD">
      <w:pPr>
        <w:pageBreakBefore w:val="0"/>
        <w:kinsoku/>
        <w:wordWrap/>
        <w:overflowPunct/>
        <w:topLinePunct w:val="0"/>
        <w:bidi w:val="0"/>
        <w:spacing w:line="300" w:lineRule="auto"/>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基本的编制原则为：</w:t>
      </w:r>
    </w:p>
    <w:p w14:paraId="6A1C3032">
      <w:pPr>
        <w:pageBreakBefore w:val="0"/>
        <w:kinsoku/>
        <w:wordWrap/>
        <w:overflowPunct/>
        <w:topLinePunct w:val="0"/>
        <w:bidi w:val="0"/>
        <w:spacing w:line="300" w:lineRule="auto"/>
        <w:ind w:firstLine="480"/>
        <w:textAlignment w:val="auto"/>
        <w:rPr>
          <w:rFonts w:hint="eastAsia" w:ascii="Times New Roman" w:hAnsi="Times New Roman" w:eastAsia="宋体" w:cs="Times New Roman"/>
          <w:b w:val="0"/>
          <w:bCs w:val="0"/>
          <w:kern w:val="2"/>
          <w:sz w:val="24"/>
          <w:szCs w:val="24"/>
          <w:lang w:val="en-US" w:eastAsia="zh-CN" w:bidi="ar-SA"/>
        </w:rPr>
      </w:pPr>
      <w:r>
        <w:rPr>
          <w:rFonts w:hint="eastAsia" w:cs="Times New Roman"/>
          <w:b w:val="0"/>
          <w:bCs w:val="0"/>
          <w:kern w:val="2"/>
          <w:sz w:val="24"/>
          <w:szCs w:val="24"/>
          <w:lang w:val="en-US" w:eastAsia="zh-CN" w:bidi="ar-SA"/>
        </w:rPr>
        <w:t>1.</w:t>
      </w:r>
      <w:r>
        <w:rPr>
          <w:rFonts w:hint="eastAsia" w:ascii="Times New Roman" w:hAnsi="Times New Roman" w:eastAsia="宋体" w:cs="Times New Roman"/>
          <w:b w:val="0"/>
          <w:bCs w:val="0"/>
          <w:kern w:val="2"/>
          <w:sz w:val="24"/>
          <w:szCs w:val="24"/>
          <w:lang w:val="en-US" w:eastAsia="zh-CN" w:bidi="ar-SA"/>
        </w:rPr>
        <w:t>保证有色行业的特殊性和适用性。</w:t>
      </w:r>
    </w:p>
    <w:p w14:paraId="580B2D0C">
      <w:pPr>
        <w:pageBreakBefore w:val="0"/>
        <w:kinsoku/>
        <w:wordWrap/>
        <w:overflowPunct/>
        <w:topLinePunct w:val="0"/>
        <w:bidi w:val="0"/>
        <w:spacing w:line="300" w:lineRule="auto"/>
        <w:ind w:firstLine="480"/>
        <w:textAlignment w:val="auto"/>
        <w:rPr>
          <w:rFonts w:hint="eastAsia" w:ascii="Times New Roman" w:hAnsi="Times New Roman" w:eastAsia="宋体" w:cs="Times New Roman"/>
          <w:b w:val="0"/>
          <w:bCs w:val="0"/>
          <w:kern w:val="2"/>
          <w:sz w:val="24"/>
          <w:szCs w:val="24"/>
          <w:lang w:val="en-US" w:eastAsia="zh-CN" w:bidi="ar-SA"/>
        </w:rPr>
      </w:pPr>
      <w:r>
        <w:rPr>
          <w:rFonts w:hint="eastAsia" w:cs="Times New Roman"/>
          <w:b w:val="0"/>
          <w:bCs w:val="0"/>
          <w:kern w:val="2"/>
          <w:sz w:val="24"/>
          <w:szCs w:val="24"/>
          <w:lang w:val="en-US" w:eastAsia="zh-CN" w:bidi="ar-SA"/>
        </w:rPr>
        <w:t>2.</w:t>
      </w:r>
      <w:r>
        <w:rPr>
          <w:rFonts w:hint="eastAsia" w:ascii="Times New Roman" w:hAnsi="Times New Roman" w:eastAsia="宋体" w:cs="Times New Roman"/>
          <w:b w:val="0"/>
          <w:bCs w:val="0"/>
          <w:kern w:val="2"/>
          <w:sz w:val="24"/>
          <w:szCs w:val="24"/>
          <w:lang w:val="en-US" w:eastAsia="zh-CN" w:bidi="ar-SA"/>
        </w:rPr>
        <w:t>保证校准规范的规范性。</w:t>
      </w:r>
    </w:p>
    <w:p w14:paraId="03528464">
      <w:pPr>
        <w:pageBreakBefore w:val="0"/>
        <w:kinsoku/>
        <w:wordWrap/>
        <w:overflowPunct/>
        <w:topLinePunct w:val="0"/>
        <w:bidi w:val="0"/>
        <w:spacing w:line="300" w:lineRule="auto"/>
        <w:ind w:firstLine="480"/>
        <w:textAlignment w:val="auto"/>
        <w:rPr>
          <w:rFonts w:hint="eastAsia" w:ascii="Times New Roman" w:hAnsi="Times New Roman" w:eastAsia="宋体" w:cs="Times New Roman"/>
          <w:b w:val="0"/>
          <w:bCs w:val="0"/>
          <w:kern w:val="2"/>
          <w:sz w:val="24"/>
          <w:szCs w:val="24"/>
          <w:lang w:val="en-US" w:eastAsia="zh-CN" w:bidi="ar-SA"/>
        </w:rPr>
      </w:pPr>
      <w:r>
        <w:rPr>
          <w:rFonts w:hint="eastAsia" w:cs="Times New Roman"/>
          <w:b w:val="0"/>
          <w:bCs w:val="0"/>
          <w:kern w:val="2"/>
          <w:sz w:val="24"/>
          <w:szCs w:val="24"/>
          <w:lang w:val="en-US" w:eastAsia="zh-CN" w:bidi="ar-SA"/>
        </w:rPr>
        <w:t>3.</w:t>
      </w:r>
      <w:r>
        <w:rPr>
          <w:rFonts w:hint="eastAsia" w:ascii="Times New Roman" w:hAnsi="Times New Roman" w:eastAsia="宋体" w:cs="Times New Roman"/>
          <w:b w:val="0"/>
          <w:bCs w:val="0"/>
          <w:kern w:val="2"/>
          <w:sz w:val="24"/>
          <w:szCs w:val="24"/>
          <w:lang w:val="en-US" w:eastAsia="zh-CN" w:bidi="ar-SA"/>
        </w:rPr>
        <w:t>保证校准规范的可操作性。</w:t>
      </w:r>
    </w:p>
    <w:p w14:paraId="30DE95D9">
      <w:pPr>
        <w:pStyle w:val="3"/>
        <w:pageBreakBefore w:val="0"/>
        <w:kinsoku/>
        <w:wordWrap/>
        <w:overflowPunct/>
        <w:topLinePunct w:val="0"/>
        <w:bidi w:val="0"/>
        <w:spacing w:before="156" w:after="156" w:line="300" w:lineRule="auto"/>
        <w:textAlignment w:val="auto"/>
        <w:rPr>
          <w:rFonts w:ascii="宋体" w:hAnsi="宋体"/>
          <w:b w:val="0"/>
          <w:bCs w:val="0"/>
        </w:rPr>
      </w:pPr>
      <w:r>
        <w:rPr>
          <w:rFonts w:hint="eastAsia"/>
          <w:b w:val="0"/>
          <w:bCs w:val="0"/>
        </w:rPr>
        <w:t>（二）确定主要内</w:t>
      </w:r>
      <w:bookmarkEnd w:id="13"/>
      <w:r>
        <w:rPr>
          <w:rFonts w:hint="eastAsia"/>
          <w:b w:val="0"/>
          <w:bCs w:val="0"/>
        </w:rPr>
        <w:t>容</w:t>
      </w:r>
    </w:p>
    <w:p w14:paraId="3099D9D4">
      <w:pPr>
        <w:pStyle w:val="4"/>
        <w:pageBreakBefore w:val="0"/>
        <w:kinsoku/>
        <w:wordWrap/>
        <w:overflowPunct/>
        <w:topLinePunct w:val="0"/>
        <w:bidi w:val="0"/>
        <w:spacing w:before="156" w:after="156" w:line="300" w:lineRule="auto"/>
        <w:textAlignment w:val="auto"/>
        <w:rPr>
          <w:b w:val="0"/>
          <w:bCs w:val="0"/>
          <w:sz w:val="24"/>
          <w:szCs w:val="24"/>
        </w:rPr>
      </w:pPr>
      <w:bookmarkStart w:id="14" w:name="_Toc500258929"/>
      <w:bookmarkStart w:id="15" w:name="_Toc193860027"/>
      <w:bookmarkStart w:id="16" w:name="_Toc23837_WPSOffice_Level1"/>
      <w:bookmarkStart w:id="17" w:name="_Toc193860177"/>
      <w:bookmarkStart w:id="18" w:name="_Toc193860208"/>
      <w:bookmarkStart w:id="19" w:name="_Toc464728964"/>
      <w:r>
        <w:rPr>
          <w:rFonts w:hint="eastAsia"/>
          <w:b w:val="0"/>
          <w:bCs w:val="0"/>
          <w:sz w:val="24"/>
          <w:szCs w:val="24"/>
        </w:rPr>
        <w:t>1范围</w:t>
      </w:r>
      <w:bookmarkEnd w:id="14"/>
      <w:bookmarkEnd w:id="15"/>
      <w:bookmarkEnd w:id="16"/>
      <w:bookmarkEnd w:id="17"/>
      <w:bookmarkEnd w:id="18"/>
    </w:p>
    <w:p w14:paraId="35A4A0B9">
      <w:pPr>
        <w:pageBreakBefore w:val="0"/>
        <w:kinsoku/>
        <w:wordWrap/>
        <w:overflowPunct/>
        <w:topLinePunct w:val="0"/>
        <w:bidi w:val="0"/>
        <w:spacing w:line="300" w:lineRule="auto"/>
        <w:ind w:firstLine="480" w:firstLineChars="200"/>
        <w:textAlignment w:val="auto"/>
        <w:rPr>
          <w:rFonts w:hint="default" w:eastAsiaTheme="minorEastAsia"/>
          <w:b w:val="0"/>
          <w:bCs w:val="0"/>
          <w:kern w:val="0"/>
          <w:sz w:val="24"/>
          <w:szCs w:val="24"/>
        </w:rPr>
      </w:pPr>
      <w:r>
        <w:rPr>
          <w:b w:val="0"/>
          <w:bCs w:val="0"/>
          <w:color w:val="000000" w:themeColor="text1"/>
          <w:sz w:val="24"/>
          <w:szCs w:val="24"/>
          <w14:textFill>
            <w14:solidFill>
              <w14:schemeClr w14:val="tx1"/>
            </w14:solidFill>
          </w14:textFill>
        </w:rPr>
        <w:t>本规范</w:t>
      </w:r>
      <w:r>
        <w:rPr>
          <w:b w:val="0"/>
          <w:bCs w:val="0"/>
          <w:sz w:val="24"/>
          <w:szCs w:val="24"/>
        </w:rPr>
        <w:t>适用于</w:t>
      </w:r>
      <w:r>
        <w:rPr>
          <w:rFonts w:hint="eastAsia" w:hAnsi="宋体"/>
          <w:b w:val="0"/>
          <w:bCs w:val="0"/>
          <w:sz w:val="24"/>
          <w:szCs w:val="24"/>
        </w:rPr>
        <w:t>有色金属材料分析用火花放电原子发射光谱仪</w:t>
      </w:r>
      <w:r>
        <w:rPr>
          <w:b w:val="0"/>
          <w:bCs w:val="0"/>
          <w:sz w:val="24"/>
          <w:szCs w:val="24"/>
        </w:rPr>
        <w:t>的校准</w:t>
      </w:r>
      <w:r>
        <w:rPr>
          <w:rFonts w:hint="eastAsia" w:eastAsiaTheme="minorEastAsia"/>
          <w:b w:val="0"/>
          <w:bCs w:val="0"/>
          <w:kern w:val="0"/>
          <w:sz w:val="24"/>
          <w:szCs w:val="24"/>
        </w:rPr>
        <w:t>。</w:t>
      </w:r>
      <w:r>
        <w:rPr>
          <w:rFonts w:hint="eastAsia" w:eastAsiaTheme="minorEastAsia"/>
          <w:b w:val="0"/>
          <w:bCs w:val="0"/>
          <w:kern w:val="0"/>
          <w:sz w:val="24"/>
          <w:szCs w:val="24"/>
          <w:lang w:val="en-US" w:eastAsia="zh-CN"/>
        </w:rPr>
        <w:t>该设备是检测</w:t>
      </w:r>
      <w:r>
        <w:rPr>
          <w:rFonts w:hint="eastAsia" w:ascii="Times New Roman" w:cs="Times New Roman"/>
          <w:sz w:val="24"/>
          <w:szCs w:val="24"/>
          <w:lang w:val="en-US" w:eastAsia="zh-CN"/>
        </w:rPr>
        <w:t>铝、铜、铅、锌、镍、钴、钛等</w:t>
      </w:r>
      <w:r>
        <w:rPr>
          <w:rFonts w:hint="eastAsia" w:eastAsiaTheme="minorEastAsia"/>
          <w:b w:val="0"/>
          <w:bCs w:val="0"/>
          <w:kern w:val="0"/>
          <w:sz w:val="24"/>
          <w:szCs w:val="24"/>
          <w:lang w:val="en-US" w:eastAsia="zh-CN"/>
        </w:rPr>
        <w:t>有色金属材料成分分析的主要设备之一。</w:t>
      </w:r>
    </w:p>
    <w:p w14:paraId="152DB701">
      <w:pPr>
        <w:pStyle w:val="4"/>
        <w:pageBreakBefore w:val="0"/>
        <w:kinsoku/>
        <w:wordWrap/>
        <w:overflowPunct/>
        <w:topLinePunct w:val="0"/>
        <w:bidi w:val="0"/>
        <w:spacing w:before="156" w:after="156" w:line="300" w:lineRule="auto"/>
        <w:textAlignment w:val="auto"/>
        <w:rPr>
          <w:b w:val="0"/>
          <w:bCs w:val="0"/>
          <w:sz w:val="24"/>
          <w:szCs w:val="24"/>
        </w:rPr>
      </w:pPr>
      <w:bookmarkStart w:id="20" w:name="_Toc193860028"/>
      <w:bookmarkStart w:id="21" w:name="_Toc193860209"/>
      <w:bookmarkStart w:id="22" w:name="_Toc193860178"/>
      <w:bookmarkStart w:id="23" w:name="_Toc500258930"/>
      <w:bookmarkStart w:id="24" w:name="_Toc7848_WPSOffice_Level1"/>
      <w:r>
        <w:rPr>
          <w:rFonts w:hint="eastAsia"/>
          <w:b w:val="0"/>
          <w:bCs w:val="0"/>
          <w:sz w:val="24"/>
          <w:szCs w:val="24"/>
        </w:rPr>
        <w:t>2 引用文</w:t>
      </w:r>
      <w:bookmarkEnd w:id="20"/>
      <w:bookmarkEnd w:id="21"/>
      <w:bookmarkEnd w:id="22"/>
      <w:r>
        <w:rPr>
          <w:rFonts w:hint="eastAsia"/>
          <w:b w:val="0"/>
          <w:bCs w:val="0"/>
          <w:sz w:val="24"/>
          <w:szCs w:val="24"/>
        </w:rPr>
        <w:t>件</w:t>
      </w:r>
      <w:bookmarkEnd w:id="23"/>
      <w:bookmarkEnd w:id="24"/>
    </w:p>
    <w:p w14:paraId="71E33098">
      <w:pPr>
        <w:pageBreakBefore w:val="0"/>
        <w:kinsoku/>
        <w:wordWrap/>
        <w:overflowPunct/>
        <w:topLinePunct w:val="0"/>
        <w:bidi w:val="0"/>
        <w:spacing w:line="300" w:lineRule="auto"/>
        <w:ind w:firstLine="480" w:firstLineChars="200"/>
        <w:textAlignment w:val="auto"/>
        <w:rPr>
          <w:rFonts w:hint="default" w:eastAsia="宋体"/>
          <w:b w:val="0"/>
          <w:bCs w:val="0"/>
          <w:kern w:val="2"/>
          <w:sz w:val="24"/>
          <w:szCs w:val="24"/>
          <w:highlight w:val="none"/>
          <w:lang w:val="en-US"/>
        </w:rPr>
      </w:pPr>
      <w:r>
        <w:rPr>
          <w:rFonts w:hint="default" w:eastAsia="宋体"/>
          <w:b w:val="0"/>
          <w:bCs w:val="0"/>
          <w:kern w:val="2"/>
          <w:sz w:val="24"/>
          <w:szCs w:val="24"/>
          <w:highlight w:val="none"/>
        </w:rPr>
        <w:t>本规范</w:t>
      </w:r>
      <w:r>
        <w:rPr>
          <w:rFonts w:hint="default" w:eastAsia="宋体"/>
          <w:b w:val="0"/>
          <w:bCs w:val="0"/>
          <w:kern w:val="2"/>
          <w:sz w:val="24"/>
          <w:szCs w:val="24"/>
          <w:highlight w:val="none"/>
          <w:lang w:val="en-US" w:eastAsia="zh-CN"/>
        </w:rPr>
        <w:t>中检出限、</w:t>
      </w:r>
      <w:r>
        <w:rPr>
          <w:rFonts w:hint="eastAsia" w:ascii="Times New Roman" w:cs="Times New Roman"/>
          <w:sz w:val="24"/>
          <w:szCs w:val="24"/>
          <w:lang w:val="en-US" w:eastAsia="zh-CN"/>
        </w:rPr>
        <w:t>示值误差</w:t>
      </w:r>
      <w:r>
        <w:rPr>
          <w:rFonts w:hint="eastAsia" w:cs="Times New Roman"/>
          <w:sz w:val="24"/>
          <w:szCs w:val="24"/>
          <w:lang w:val="en-US" w:eastAsia="zh-CN"/>
        </w:rPr>
        <w:t>、</w:t>
      </w:r>
      <w:r>
        <w:rPr>
          <w:rFonts w:hint="default" w:eastAsia="宋体"/>
          <w:b w:val="0"/>
          <w:bCs w:val="0"/>
          <w:kern w:val="2"/>
          <w:sz w:val="24"/>
          <w:szCs w:val="24"/>
          <w:highlight w:val="none"/>
          <w:lang w:val="en-US" w:eastAsia="zh-CN"/>
        </w:rPr>
        <w:t>重复性、稳定性等</w:t>
      </w:r>
      <w:r>
        <w:rPr>
          <w:rFonts w:hint="default" w:eastAsia="宋体"/>
          <w:b w:val="0"/>
          <w:bCs w:val="0"/>
          <w:kern w:val="2"/>
          <w:sz w:val="24"/>
          <w:szCs w:val="24"/>
          <w:highlight w:val="none"/>
        </w:rPr>
        <w:t>计量特性参数引自</w:t>
      </w:r>
      <w:r>
        <w:rPr>
          <w:rFonts w:hint="default" w:ascii="Times New Roman" w:hAnsi="Times New Roman" w:eastAsia="宋体" w:cs="Times New Roman"/>
          <w:b w:val="0"/>
          <w:bCs w:val="0"/>
          <w:kern w:val="2"/>
          <w:sz w:val="24"/>
          <w:szCs w:val="24"/>
          <w:lang w:val="en-US" w:eastAsia="zh-CN" w:bidi="ar-SA"/>
        </w:rPr>
        <w:t>JJG 768《发射光谱仪》</w:t>
      </w:r>
      <w:r>
        <w:rPr>
          <w:rFonts w:hint="default" w:ascii="Times New Roman" w:hAnsi="Times New Roman" w:cs="Times New Roman"/>
          <w:b w:val="0"/>
          <w:bCs w:val="0"/>
          <w:kern w:val="2"/>
          <w:sz w:val="24"/>
          <w:szCs w:val="24"/>
          <w:lang w:val="en-US" w:eastAsia="zh-CN" w:bidi="ar-SA"/>
        </w:rPr>
        <w:t>，计量参数具体指标来自实验室间验证数据。</w:t>
      </w:r>
    </w:p>
    <w:p w14:paraId="6EB93489">
      <w:pPr>
        <w:pStyle w:val="4"/>
        <w:pageBreakBefore w:val="0"/>
        <w:kinsoku/>
        <w:wordWrap/>
        <w:overflowPunct/>
        <w:topLinePunct w:val="0"/>
        <w:bidi w:val="0"/>
        <w:spacing w:before="156" w:after="156" w:line="300" w:lineRule="auto"/>
        <w:textAlignment w:val="auto"/>
        <w:rPr>
          <w:b w:val="0"/>
          <w:bCs w:val="0"/>
          <w:sz w:val="24"/>
          <w:szCs w:val="24"/>
        </w:rPr>
      </w:pPr>
      <w:bookmarkStart w:id="25" w:name="_Toc193860180"/>
      <w:bookmarkStart w:id="26" w:name="_Toc193860211"/>
      <w:bookmarkStart w:id="27" w:name="_Toc193860030"/>
      <w:bookmarkStart w:id="28" w:name="_Toc193618952"/>
      <w:bookmarkStart w:id="29" w:name="_Toc193619055"/>
      <w:bookmarkStart w:id="30" w:name="_Toc13054_WPSOffice_Level1"/>
      <w:bookmarkStart w:id="31" w:name="_Toc193619097"/>
      <w:bookmarkStart w:id="32" w:name="_Toc500258937"/>
      <w:r>
        <w:rPr>
          <w:rFonts w:hint="eastAsia"/>
          <w:b w:val="0"/>
          <w:bCs w:val="0"/>
          <w:sz w:val="24"/>
          <w:szCs w:val="24"/>
        </w:rPr>
        <w:t>3 概述</w:t>
      </w:r>
      <w:bookmarkEnd w:id="25"/>
      <w:bookmarkEnd w:id="26"/>
      <w:bookmarkEnd w:id="27"/>
      <w:bookmarkEnd w:id="28"/>
      <w:bookmarkEnd w:id="29"/>
      <w:bookmarkEnd w:id="30"/>
      <w:bookmarkEnd w:id="31"/>
      <w:bookmarkEnd w:id="32"/>
    </w:p>
    <w:p w14:paraId="012AF372">
      <w:pPr>
        <w:pStyle w:val="59"/>
        <w:keepNext w:val="0"/>
        <w:keepLines w:val="0"/>
        <w:pageBreakBefore w:val="0"/>
        <w:widowControl/>
        <w:kinsoku/>
        <w:wordWrap/>
        <w:overflowPunct/>
        <w:topLinePunct w:val="0"/>
        <w:autoSpaceDE w:val="0"/>
        <w:autoSpaceDN w:val="0"/>
        <w:bidi w:val="0"/>
        <w:adjustRightInd/>
        <w:snapToGrid/>
        <w:spacing w:line="300" w:lineRule="auto"/>
        <w:ind w:left="0" w:leftChars="0" w:firstLine="480" w:firstLineChars="200"/>
        <w:textAlignment w:val="auto"/>
        <w:rPr>
          <w:rFonts w:hint="eastAsia" w:ascii="Times New Roman" w:hAnsi="Times New Roman" w:eastAsia="宋体" w:cs="Times New Roman"/>
          <w:b w:val="0"/>
          <w:bCs w:val="0"/>
          <w:kern w:val="2"/>
          <w:sz w:val="24"/>
          <w:szCs w:val="24"/>
          <w:lang w:val="en-US" w:eastAsia="zh-CN" w:bidi="ar-SA"/>
        </w:rPr>
      </w:pPr>
      <w:r>
        <w:rPr>
          <w:rFonts w:hint="eastAsia"/>
          <w:b w:val="0"/>
          <w:bCs w:val="0"/>
          <w:sz w:val="24"/>
          <w:szCs w:val="24"/>
          <w:lang w:val="en-US" w:eastAsia="zh-CN"/>
        </w:rPr>
        <w:t>本部分介绍了</w:t>
      </w:r>
      <w:r>
        <w:rPr>
          <w:rFonts w:hint="eastAsia" w:hAnsi="宋体"/>
          <w:b w:val="0"/>
          <w:bCs w:val="0"/>
          <w:sz w:val="24"/>
          <w:szCs w:val="24"/>
        </w:rPr>
        <w:t>有色金属材料分析用辉光放电原子发射光谱仪（GD-OES）（以下简称光谱仪），其原理是将表面平整的样品作为阴极，当直流或射频辉光放电光源产生的辉光照射到样品时产生阴极溅射，被溅射的原子扩散到等离子体中，通过碰撞激发发射出元素特征谱线，测量其强度的大小或通过计算强度与时间的函数，从而实现元素定量分析或表面化学深度分析（或深度剖析）。其中，实现元素定量分析时，通过已知元素含量的标准物质建立的元素特征谱线强度与浓度的工作曲线，确定样品中的元素含量；进行表面化学分析</w:t>
      </w:r>
      <w:r>
        <w:rPr>
          <w:rFonts w:hint="eastAsia"/>
          <w:b w:val="0"/>
          <w:bCs w:val="0"/>
          <w:sz w:val="24"/>
          <w:szCs w:val="24"/>
          <w:lang w:eastAsia="zh-CN"/>
        </w:rPr>
        <w:t>（</w:t>
      </w:r>
      <w:r>
        <w:rPr>
          <w:rFonts w:hint="eastAsia" w:hAnsi="宋体"/>
          <w:b w:val="0"/>
          <w:bCs w:val="0"/>
          <w:sz w:val="24"/>
          <w:szCs w:val="24"/>
        </w:rPr>
        <w:t>或深度剖析）时，通过已知含量和溅射速率的标准物质建立的工作曲线得到溅射深度对时间的函数，实现元素深度分析和深度测量。仪器结构包括激发系统、光学系统、测光系统和控制系统组成</w:t>
      </w:r>
      <w:r>
        <w:rPr>
          <w:rFonts w:hint="eastAsia"/>
          <w:b w:val="0"/>
          <w:bCs w:val="0"/>
          <w:sz w:val="24"/>
          <w:szCs w:val="24"/>
          <w:lang w:eastAsia="zh-CN"/>
        </w:rPr>
        <w:t>。</w:t>
      </w:r>
    </w:p>
    <w:p w14:paraId="1A0386FE">
      <w:pPr>
        <w:pStyle w:val="4"/>
        <w:pageBreakBefore w:val="0"/>
        <w:kinsoku/>
        <w:wordWrap/>
        <w:overflowPunct/>
        <w:topLinePunct w:val="0"/>
        <w:bidi w:val="0"/>
        <w:spacing w:before="156" w:after="156" w:line="300" w:lineRule="auto"/>
        <w:textAlignment w:val="auto"/>
        <w:rPr>
          <w:b w:val="0"/>
          <w:bCs w:val="0"/>
          <w:sz w:val="24"/>
          <w:szCs w:val="24"/>
        </w:rPr>
      </w:pPr>
      <w:bookmarkStart w:id="33" w:name="_Toc19851_WPSOffice_Level1"/>
      <w:bookmarkStart w:id="34" w:name="_Toc500258938"/>
      <w:bookmarkStart w:id="35" w:name="_Toc193860181"/>
      <w:bookmarkStart w:id="36" w:name="_Toc193619056"/>
      <w:bookmarkStart w:id="37" w:name="_Toc193618953"/>
      <w:bookmarkStart w:id="38" w:name="_Toc193860212"/>
      <w:bookmarkStart w:id="39" w:name="_Toc193860031"/>
      <w:bookmarkStart w:id="40" w:name="_Toc193619098"/>
      <w:r>
        <w:rPr>
          <w:rFonts w:hint="eastAsia"/>
          <w:b w:val="0"/>
          <w:bCs w:val="0"/>
          <w:sz w:val="24"/>
          <w:szCs w:val="24"/>
        </w:rPr>
        <w:t>4计量特性</w:t>
      </w:r>
      <w:bookmarkEnd w:id="33"/>
      <w:bookmarkEnd w:id="34"/>
      <w:bookmarkEnd w:id="35"/>
      <w:bookmarkEnd w:id="36"/>
      <w:bookmarkEnd w:id="37"/>
      <w:bookmarkEnd w:id="38"/>
      <w:bookmarkEnd w:id="39"/>
      <w:bookmarkEnd w:id="40"/>
      <w:bookmarkStart w:id="41" w:name="_Toc25829_WPSOffice_Level1"/>
    </w:p>
    <w:p w14:paraId="7EE074E6">
      <w:pPr>
        <w:pageBreakBefore w:val="0"/>
        <w:kinsoku/>
        <w:wordWrap/>
        <w:overflowPunct/>
        <w:topLinePunct w:val="0"/>
        <w:bidi w:val="0"/>
        <w:spacing w:line="300" w:lineRule="auto"/>
        <w:ind w:firstLine="480" w:firstLineChars="200"/>
        <w:textAlignment w:val="auto"/>
        <w:rPr>
          <w:rFonts w:hint="eastAsia"/>
          <w:b w:val="0"/>
          <w:bCs w:val="0"/>
          <w:sz w:val="24"/>
          <w:szCs w:val="24"/>
          <w:lang w:val="en-US" w:eastAsia="zh-CN"/>
        </w:rPr>
      </w:pPr>
      <w:r>
        <w:rPr>
          <w:rFonts w:hint="eastAsia" w:cstheme="majorBidi"/>
          <w:b w:val="0"/>
          <w:bCs w:val="0"/>
          <w:kern w:val="44"/>
          <w:sz w:val="24"/>
          <w:szCs w:val="24"/>
          <w:lang w:val="en-US" w:eastAsia="zh-CN"/>
        </w:rPr>
        <w:t>根据实际使用情况，并与</w:t>
      </w:r>
      <w:r>
        <w:rPr>
          <w:rFonts w:hint="eastAsia"/>
          <w:sz w:val="24"/>
          <w:szCs w:val="24"/>
        </w:rPr>
        <w:t>中铝材料应用研究院有限公司</w:t>
      </w:r>
      <w:r>
        <w:rPr>
          <w:rFonts w:hint="eastAsia"/>
          <w:sz w:val="24"/>
          <w:szCs w:val="24"/>
          <w:lang w:eastAsia="zh-CN"/>
        </w:rPr>
        <w:t>、</w:t>
      </w:r>
      <w:r>
        <w:rPr>
          <w:rFonts w:hint="eastAsia"/>
          <w:sz w:val="24"/>
          <w:szCs w:val="24"/>
        </w:rPr>
        <w:t>国标（北京）检验认证有限公司</w:t>
      </w:r>
      <w:r>
        <w:rPr>
          <w:rFonts w:hint="eastAsia"/>
          <w:sz w:val="24"/>
          <w:szCs w:val="24"/>
          <w:lang w:eastAsia="zh-CN"/>
        </w:rPr>
        <w:t>、</w:t>
      </w:r>
      <w:r>
        <w:rPr>
          <w:rFonts w:hint="eastAsia"/>
          <w:sz w:val="24"/>
          <w:szCs w:val="24"/>
        </w:rPr>
        <w:t>辽宁盛达计量检测技术有限公司</w:t>
      </w:r>
      <w:r>
        <w:rPr>
          <w:rFonts w:hint="eastAsia"/>
          <w:sz w:val="24"/>
          <w:szCs w:val="24"/>
          <w:lang w:eastAsia="zh-CN"/>
        </w:rPr>
        <w:t>、</w:t>
      </w:r>
      <w:r>
        <w:rPr>
          <w:rFonts w:hint="eastAsia"/>
          <w:sz w:val="24"/>
          <w:szCs w:val="24"/>
        </w:rPr>
        <w:t>宝鸡钛业股份有限公司</w:t>
      </w:r>
      <w:r>
        <w:rPr>
          <w:rFonts w:hint="eastAsia" w:cstheme="majorBidi"/>
          <w:b w:val="0"/>
          <w:bCs w:val="0"/>
          <w:kern w:val="44"/>
          <w:sz w:val="24"/>
          <w:szCs w:val="24"/>
          <w:lang w:val="en-US" w:eastAsia="zh-CN"/>
        </w:rPr>
        <w:t>等单位沟通，结合实验数据，确定了有色金属材料分析用</w:t>
      </w:r>
      <w:r>
        <w:rPr>
          <w:rFonts w:hint="eastAsia" w:hAnsi="宋体"/>
          <w:b w:val="0"/>
          <w:bCs w:val="0"/>
          <w:sz w:val="24"/>
          <w:szCs w:val="24"/>
        </w:rPr>
        <w:t>辉光放电原子发射光谱仪</w:t>
      </w:r>
      <w:r>
        <w:rPr>
          <w:rFonts w:hint="eastAsia"/>
          <w:b w:val="0"/>
          <w:bCs w:val="0"/>
          <w:sz w:val="24"/>
          <w:szCs w:val="24"/>
          <w:lang w:val="en-US" w:eastAsia="zh-CN"/>
        </w:rPr>
        <w:t>的计量特性主要有四个：</w:t>
      </w:r>
    </w:p>
    <w:p w14:paraId="480276BD">
      <w:pPr>
        <w:pageBreakBefore w:val="0"/>
        <w:kinsoku/>
        <w:wordWrap/>
        <w:overflowPunct/>
        <w:topLinePunct w:val="0"/>
        <w:bidi w:val="0"/>
        <w:spacing w:line="300" w:lineRule="auto"/>
        <w:textAlignment w:val="auto"/>
        <w:rPr>
          <w:rFonts w:hint="eastAsia" w:ascii="黑体" w:hAnsi="黑体" w:eastAsia="黑体" w:cs="黑体"/>
          <w:b w:val="0"/>
          <w:bCs w:val="0"/>
          <w:kern w:val="44"/>
          <w:lang w:val="en-US" w:eastAsia="zh-CN"/>
        </w:rPr>
      </w:pPr>
      <w:r>
        <w:rPr>
          <w:rFonts w:hint="eastAsia" w:ascii="黑体" w:hAnsi="黑体" w:eastAsia="黑体" w:cs="黑体"/>
          <w:b w:val="0"/>
          <w:bCs w:val="0"/>
          <w:kern w:val="44"/>
        </w:rPr>
        <w:t xml:space="preserve">4.1 </w:t>
      </w:r>
      <w:r>
        <w:rPr>
          <w:rFonts w:hint="eastAsia" w:ascii="黑体" w:hAnsi="黑体" w:eastAsia="黑体" w:cs="黑体"/>
          <w:b w:val="0"/>
          <w:bCs w:val="0"/>
          <w:kern w:val="44"/>
          <w:lang w:val="en-US" w:eastAsia="zh-CN"/>
        </w:rPr>
        <w:t>检出限</w:t>
      </w:r>
    </w:p>
    <w:p w14:paraId="522E0A86">
      <w:pPr>
        <w:pageBreakBefore w:val="0"/>
        <w:kinsoku/>
        <w:wordWrap/>
        <w:overflowPunct/>
        <w:topLinePunct w:val="0"/>
        <w:bidi w:val="0"/>
        <w:spacing w:line="300" w:lineRule="auto"/>
        <w:ind w:firstLine="480"/>
        <w:textAlignment w:val="auto"/>
        <w:rPr>
          <w:rFonts w:hint="eastAsia" w:cstheme="majorBidi"/>
          <w:b w:val="0"/>
          <w:bCs w:val="0"/>
          <w:kern w:val="44"/>
          <w:sz w:val="24"/>
          <w:szCs w:val="24"/>
          <w:highlight w:val="none"/>
          <w:lang w:val="en-US" w:eastAsia="zh-CN"/>
        </w:rPr>
      </w:pPr>
      <w:r>
        <w:rPr>
          <w:rFonts w:hint="eastAsia" w:cstheme="majorBidi"/>
          <w:b w:val="0"/>
          <w:bCs w:val="0"/>
          <w:kern w:val="44"/>
          <w:sz w:val="24"/>
          <w:szCs w:val="24"/>
          <w:highlight w:val="none"/>
          <w:lang w:val="en-US" w:eastAsia="zh-CN"/>
        </w:rPr>
        <w:t>确定这些计量特性的技术要求为：</w:t>
      </w:r>
    </w:p>
    <w:p w14:paraId="45CEE2A6">
      <w:pPr>
        <w:keepNext w:val="0"/>
        <w:keepLines w:val="0"/>
        <w:pageBreakBefore w:val="0"/>
        <w:widowControl w:val="0"/>
        <w:numPr>
          <w:ilvl w:val="0"/>
          <w:numId w:val="12"/>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计量特性</w:t>
      </w:r>
      <w:r>
        <w:rPr>
          <w:rFonts w:hint="eastAsia" w:ascii="宋体" w:hAnsi="宋体" w:cs="宋体"/>
          <w:sz w:val="24"/>
          <w:szCs w:val="24"/>
          <w:u w:val="none"/>
          <w:lang w:val="en-US" w:eastAsia="zh-CN"/>
        </w:rPr>
        <w:t>，见表2。</w:t>
      </w:r>
    </w:p>
    <w:p w14:paraId="7C4B7642">
      <w:pPr>
        <w:pStyle w:val="59"/>
        <w:ind w:left="0" w:leftChars="0" w:firstLine="0" w:firstLine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表2 计量特性</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2364"/>
        <w:gridCol w:w="2364"/>
        <w:gridCol w:w="1954"/>
      </w:tblGrid>
      <w:tr w14:paraId="0D77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Align w:val="center"/>
          </w:tcPr>
          <w:p w14:paraId="2A36E009">
            <w:pPr>
              <w:pStyle w:val="59"/>
              <w:widowControl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校准项目</w:t>
            </w:r>
          </w:p>
        </w:tc>
        <w:tc>
          <w:tcPr>
            <w:tcW w:w="2364" w:type="dxa"/>
            <w:vAlign w:val="center"/>
          </w:tcPr>
          <w:p w14:paraId="67709CE2">
            <w:pPr>
              <w:pStyle w:val="59"/>
              <w:widowControl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元素</w:t>
            </w:r>
          </w:p>
        </w:tc>
        <w:tc>
          <w:tcPr>
            <w:tcW w:w="2364" w:type="dxa"/>
            <w:vAlign w:val="center"/>
          </w:tcPr>
          <w:p w14:paraId="12C27281">
            <w:pPr>
              <w:pStyle w:val="59"/>
              <w:widowControl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测量范围</w:t>
            </w:r>
          </w:p>
        </w:tc>
        <w:tc>
          <w:tcPr>
            <w:tcW w:w="1954" w:type="dxa"/>
            <w:vAlign w:val="center"/>
          </w:tcPr>
          <w:p w14:paraId="2B4B19BE">
            <w:pPr>
              <w:pStyle w:val="59"/>
              <w:widowControl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计量特性</w:t>
            </w:r>
          </w:p>
        </w:tc>
      </w:tr>
      <w:tr w14:paraId="7F35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Merge w:val="restart"/>
            <w:vAlign w:val="center"/>
          </w:tcPr>
          <w:p w14:paraId="67724A5F">
            <w:pPr>
              <w:pStyle w:val="59"/>
              <w:widowControl w:val="0"/>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检出限</w:t>
            </w:r>
          </w:p>
        </w:tc>
        <w:tc>
          <w:tcPr>
            <w:tcW w:w="2364" w:type="dxa"/>
            <w:vAlign w:val="center"/>
          </w:tcPr>
          <w:p w14:paraId="063E93B6">
            <w:pPr>
              <w:pStyle w:val="59"/>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highlight w:val="none"/>
                <w:u w:val="none"/>
                <w:lang w:val="en-US" w:eastAsia="zh-CN"/>
              </w:rPr>
            </w:pPr>
            <w:r>
              <w:rPr>
                <w:rFonts w:hint="eastAsia" w:ascii="Times New Roman" w:cs="Times New Roman"/>
                <w:sz w:val="21"/>
                <w:szCs w:val="21"/>
                <w:highlight w:val="none"/>
                <w:u w:val="none"/>
                <w:lang w:val="en-US" w:eastAsia="zh-CN"/>
              </w:rPr>
              <w:t>基体元素：Cu、Al、Zn等</w:t>
            </w:r>
          </w:p>
        </w:tc>
        <w:tc>
          <w:tcPr>
            <w:tcW w:w="2364" w:type="dxa"/>
            <w:vAlign w:val="center"/>
          </w:tcPr>
          <w:p w14:paraId="6EB23315">
            <w:pPr>
              <w:pStyle w:val="59"/>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rPr>
            </w:pPr>
            <w:r>
              <w:rPr>
                <w:rFonts w:hint="eastAsia" w:ascii="Times New Roman" w:cs="Times New Roman"/>
                <w:sz w:val="21"/>
                <w:szCs w:val="21"/>
                <w:highlight w:val="none"/>
                <w:vertAlign w:val="baseline"/>
                <w:lang w:val="en-US" w:eastAsia="zh-CN"/>
              </w:rPr>
              <w:t>-</w:t>
            </w:r>
          </w:p>
        </w:tc>
        <w:tc>
          <w:tcPr>
            <w:tcW w:w="1954" w:type="dxa"/>
            <w:vAlign w:val="center"/>
          </w:tcPr>
          <w:p w14:paraId="4F325175">
            <w:pPr>
              <w:pStyle w:val="59"/>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rPr>
            </w:pPr>
            <w:r>
              <w:rPr>
                <w:rFonts w:hint="default" w:ascii="宋体" w:hAnsi="宋体" w:eastAsia="宋体" w:cs="宋体"/>
                <w:sz w:val="24"/>
                <w:szCs w:val="24"/>
                <w:lang w:val="en-US" w:eastAsia="zh-CN"/>
              </w:rPr>
              <w:t>≤</w:t>
            </w:r>
            <w:r>
              <w:rPr>
                <w:rFonts w:hint="default" w:ascii="Times New Roman" w:hAnsi="Times New Roman" w:eastAsia="宋体" w:cs="Times New Roman"/>
                <w:sz w:val="21"/>
                <w:szCs w:val="21"/>
                <w:highlight w:val="none"/>
                <w:u w:val="none"/>
                <w:lang w:val="en-US" w:eastAsia="zh-CN"/>
              </w:rPr>
              <w:t>0.01%</w:t>
            </w:r>
          </w:p>
        </w:tc>
      </w:tr>
      <w:tr w14:paraId="0AB9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Merge w:val="continue"/>
            <w:vAlign w:val="center"/>
          </w:tcPr>
          <w:p w14:paraId="5AA99709">
            <w:pPr>
              <w:pStyle w:val="59"/>
              <w:widowControl w:val="0"/>
              <w:ind w:left="0" w:leftChars="0" w:firstLine="0" w:firstLineChars="0"/>
              <w:jc w:val="center"/>
              <w:rPr>
                <w:rFonts w:hint="eastAsia" w:ascii="宋体" w:hAnsi="宋体" w:eastAsia="宋体" w:cs="宋体"/>
                <w:sz w:val="21"/>
                <w:szCs w:val="21"/>
                <w:highlight w:val="none"/>
                <w:vertAlign w:val="baseline"/>
                <w:lang w:val="en-US" w:eastAsia="zh-CN"/>
              </w:rPr>
            </w:pPr>
          </w:p>
        </w:tc>
        <w:tc>
          <w:tcPr>
            <w:tcW w:w="2364" w:type="dxa"/>
            <w:vAlign w:val="center"/>
          </w:tcPr>
          <w:p w14:paraId="4BB1A626">
            <w:pPr>
              <w:pStyle w:val="59"/>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eastAsia" w:ascii="Times New Roman" w:eastAsia="宋体" w:cs="Times New Roman"/>
                <w:sz w:val="21"/>
                <w:szCs w:val="21"/>
                <w:highlight w:val="none"/>
                <w:u w:val="none"/>
                <w:lang w:val="en-US" w:eastAsia="zh-CN"/>
              </w:rPr>
            </w:pPr>
            <w:r>
              <w:rPr>
                <w:rFonts w:ascii="宋体" w:hAnsi="宋体" w:eastAsia="宋体" w:cs="宋体"/>
                <w:sz w:val="24"/>
                <w:szCs w:val="24"/>
              </w:rPr>
              <w:t>杂质元素</w:t>
            </w:r>
            <w:r>
              <w:rPr>
                <w:rFonts w:hint="eastAsia" w:ascii="宋体" w:hAnsi="宋体" w:eastAsia="宋体" w:cs="宋体"/>
                <w:sz w:val="24"/>
                <w:szCs w:val="24"/>
                <w:lang w:eastAsia="zh-CN"/>
              </w:rPr>
              <w:t>：</w:t>
            </w:r>
            <w:r>
              <w:rPr>
                <w:rFonts w:hint="default" w:ascii="Times New Roman" w:hAnsi="Times New Roman" w:eastAsia="宋体" w:cs="Times New Roman"/>
                <w:sz w:val="21"/>
                <w:szCs w:val="21"/>
                <w:highlight w:val="none"/>
                <w:u w:val="none"/>
                <w:lang w:val="en-US" w:eastAsia="zh-CN"/>
              </w:rPr>
              <w:t>Pb、Fe、Ni、Sn、Zn、Al、Si</w:t>
            </w:r>
            <w:r>
              <w:rPr>
                <w:rFonts w:hint="eastAsia" w:ascii="Times New Roman" w:cs="Times New Roman"/>
                <w:sz w:val="21"/>
                <w:szCs w:val="21"/>
                <w:highlight w:val="none"/>
                <w:u w:val="none"/>
                <w:lang w:val="en-US" w:eastAsia="zh-CN"/>
              </w:rPr>
              <w:t>等</w:t>
            </w:r>
          </w:p>
        </w:tc>
        <w:tc>
          <w:tcPr>
            <w:tcW w:w="2364" w:type="dxa"/>
            <w:shd w:val="clear" w:color="auto" w:fill="auto"/>
            <w:vAlign w:val="center"/>
          </w:tcPr>
          <w:p w14:paraId="6E4E3A89">
            <w:pPr>
              <w:pStyle w:val="59"/>
              <w:widowControl w:val="0"/>
              <w:ind w:left="0" w:leftChars="0" w:firstLine="0" w:firstLineChars="0"/>
              <w:jc w:val="center"/>
              <w:rPr>
                <w:rFonts w:hint="eastAsia" w:ascii="Times New Roman" w:hAnsi="Times New Roman" w:eastAsia="宋体" w:cs="Times New Roman"/>
                <w:sz w:val="21"/>
                <w:szCs w:val="21"/>
                <w:highlight w:val="none"/>
                <w:vertAlign w:val="baseline"/>
                <w:lang w:val="en-US" w:eastAsia="zh-CN" w:bidi="ar-SA"/>
              </w:rPr>
            </w:pPr>
            <w:r>
              <w:rPr>
                <w:rFonts w:hint="eastAsia" w:hAnsi="宋体" w:cs="宋体"/>
                <w:sz w:val="21"/>
                <w:szCs w:val="21"/>
                <w:highlight w:val="none"/>
                <w:u w:val="none"/>
                <w:lang w:val="en-US" w:eastAsia="zh-CN"/>
              </w:rPr>
              <w:t>-</w:t>
            </w:r>
          </w:p>
        </w:tc>
        <w:tc>
          <w:tcPr>
            <w:tcW w:w="1954" w:type="dxa"/>
            <w:shd w:val="clear" w:color="auto" w:fill="auto"/>
            <w:vAlign w:val="center"/>
          </w:tcPr>
          <w:p w14:paraId="72FE6257">
            <w:pPr>
              <w:pStyle w:val="59"/>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bidi="ar-SA"/>
              </w:rPr>
            </w:pPr>
            <w:r>
              <w:rPr>
                <w:rFonts w:hint="default" w:ascii="宋体" w:hAnsi="宋体" w:eastAsia="宋体" w:cs="宋体"/>
                <w:sz w:val="21"/>
                <w:szCs w:val="21"/>
                <w:highlight w:val="none"/>
                <w:u w:val="none"/>
                <w:lang w:val="en-US" w:eastAsia="zh-CN"/>
              </w:rPr>
              <w:t>≤</w:t>
            </w:r>
            <w:r>
              <w:rPr>
                <w:rFonts w:hint="default" w:ascii="Times New Roman" w:hAnsi="Times New Roman" w:eastAsia="宋体" w:cs="Times New Roman"/>
                <w:sz w:val="21"/>
                <w:szCs w:val="21"/>
                <w:highlight w:val="none"/>
                <w:u w:val="none"/>
                <w:lang w:val="en-US" w:eastAsia="zh-CN"/>
              </w:rPr>
              <w:t>0.002%</w:t>
            </w:r>
          </w:p>
        </w:tc>
      </w:tr>
      <w:tr w14:paraId="3D3B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Merge w:val="continue"/>
            <w:vAlign w:val="center"/>
          </w:tcPr>
          <w:p w14:paraId="19AAFB20">
            <w:pPr>
              <w:pStyle w:val="59"/>
              <w:widowControl w:val="0"/>
              <w:ind w:left="0" w:leftChars="0" w:firstLine="0" w:firstLineChars="0"/>
              <w:jc w:val="center"/>
              <w:rPr>
                <w:rFonts w:hint="eastAsia" w:ascii="宋体" w:hAnsi="宋体" w:eastAsia="宋体" w:cs="宋体"/>
                <w:sz w:val="21"/>
                <w:szCs w:val="21"/>
                <w:highlight w:val="none"/>
                <w:vertAlign w:val="baseline"/>
                <w:lang w:val="en-US" w:eastAsia="zh-CN"/>
              </w:rPr>
            </w:pPr>
          </w:p>
        </w:tc>
        <w:tc>
          <w:tcPr>
            <w:tcW w:w="2364" w:type="dxa"/>
            <w:shd w:val="clear" w:color="auto" w:fill="auto"/>
            <w:vAlign w:val="center"/>
          </w:tcPr>
          <w:p w14:paraId="5A73A2E4">
            <w:pPr>
              <w:pStyle w:val="59"/>
              <w:keepNext w:val="0"/>
              <w:keepLines w:val="0"/>
              <w:pageBreakBefore w:val="0"/>
              <w:widowControl w:val="0"/>
              <w:kinsoku/>
              <w:wordWrap/>
              <w:overflowPunct/>
              <w:topLinePunct w:val="0"/>
              <w:autoSpaceDE w:val="0"/>
              <w:autoSpaceDN w:val="0"/>
              <w:bidi w:val="0"/>
              <w:adjustRightInd/>
              <w:snapToGrid w:val="0"/>
              <w:ind w:left="0" w:leftChars="0" w:firstLine="0" w:firstLineChars="0"/>
              <w:jc w:val="both"/>
              <w:textAlignment w:val="auto"/>
              <w:rPr>
                <w:rFonts w:hint="default" w:ascii="宋体" w:hAnsi="宋体" w:eastAsia="宋体" w:cs="宋体"/>
                <w:sz w:val="24"/>
                <w:szCs w:val="24"/>
                <w:lang w:val="en-US" w:eastAsia="zh-CN"/>
              </w:rPr>
            </w:pPr>
            <w:r>
              <w:rPr>
                <w:rFonts w:ascii="宋体" w:hAnsi="宋体" w:eastAsia="宋体" w:cs="宋体"/>
                <w:sz w:val="24"/>
                <w:szCs w:val="24"/>
              </w:rPr>
              <w:t>痕量</w:t>
            </w:r>
            <w:r>
              <w:rPr>
                <w:rFonts w:hint="eastAsia" w:ascii="宋体" w:hAnsi="宋体" w:eastAsia="宋体" w:cs="宋体"/>
                <w:sz w:val="24"/>
                <w:szCs w:val="24"/>
                <w:lang w:val="en-US" w:eastAsia="zh-CN"/>
              </w:rPr>
              <w:t>元素</w:t>
            </w:r>
            <w:r>
              <w:rPr>
                <w:rFonts w:hint="eastAsia" w:hAnsi="宋体" w:cs="宋体"/>
                <w:sz w:val="24"/>
                <w:szCs w:val="24"/>
                <w:lang w:val="en-US" w:eastAsia="zh-CN"/>
              </w:rPr>
              <w:t>：</w:t>
            </w:r>
            <w:r>
              <w:rPr>
                <w:rFonts w:hint="default" w:ascii="Times New Roman" w:hAnsi="Times New Roman" w:eastAsia="宋体" w:cs="Times New Roman"/>
                <w:sz w:val="21"/>
                <w:szCs w:val="21"/>
                <w:highlight w:val="none"/>
                <w:u w:val="none"/>
                <w:lang w:val="en-US" w:eastAsia="zh-CN"/>
              </w:rPr>
              <w:t>P、S</w:t>
            </w:r>
            <w:r>
              <w:rPr>
                <w:rFonts w:hint="eastAsia" w:ascii="Times New Roman" w:cs="Times New Roman"/>
                <w:sz w:val="21"/>
                <w:szCs w:val="21"/>
                <w:highlight w:val="none"/>
                <w:u w:val="none"/>
                <w:lang w:val="en-US" w:eastAsia="zh-CN"/>
              </w:rPr>
              <w:t>、B等</w:t>
            </w:r>
          </w:p>
        </w:tc>
        <w:tc>
          <w:tcPr>
            <w:tcW w:w="2364" w:type="dxa"/>
            <w:shd w:val="clear" w:color="auto" w:fill="auto"/>
            <w:vAlign w:val="center"/>
          </w:tcPr>
          <w:p w14:paraId="5F5C36D6">
            <w:pPr>
              <w:pStyle w:val="59"/>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bidi="ar-SA"/>
              </w:rPr>
            </w:pPr>
            <w:r>
              <w:rPr>
                <w:rFonts w:hint="eastAsia" w:ascii="Times New Roman" w:cs="Times New Roman"/>
                <w:sz w:val="21"/>
                <w:szCs w:val="21"/>
                <w:highlight w:val="none"/>
                <w:vertAlign w:val="baseline"/>
                <w:lang w:val="en-US" w:eastAsia="zh-CN" w:bidi="ar-SA"/>
              </w:rPr>
              <w:t>-</w:t>
            </w:r>
          </w:p>
        </w:tc>
        <w:tc>
          <w:tcPr>
            <w:tcW w:w="1954" w:type="dxa"/>
            <w:shd w:val="clear" w:color="auto" w:fill="auto"/>
            <w:vAlign w:val="center"/>
          </w:tcPr>
          <w:p w14:paraId="61F25FC3">
            <w:pPr>
              <w:pStyle w:val="59"/>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bidi="ar-SA"/>
              </w:rPr>
            </w:pPr>
            <w:r>
              <w:rPr>
                <w:rFonts w:hint="default" w:ascii="宋体" w:hAnsi="宋体" w:eastAsia="宋体" w:cs="宋体"/>
                <w:sz w:val="21"/>
                <w:szCs w:val="21"/>
                <w:highlight w:val="none"/>
                <w:u w:val="none"/>
                <w:lang w:val="en-US" w:eastAsia="zh-CN"/>
              </w:rPr>
              <w:t>≤</w:t>
            </w:r>
            <w:r>
              <w:rPr>
                <w:rFonts w:hint="default" w:ascii="Times New Roman" w:hAnsi="Times New Roman" w:eastAsia="宋体" w:cs="Times New Roman"/>
                <w:sz w:val="21"/>
                <w:szCs w:val="21"/>
                <w:highlight w:val="none"/>
                <w:u w:val="none"/>
                <w:lang w:val="en-US" w:eastAsia="zh-CN"/>
              </w:rPr>
              <w:t>0</w:t>
            </w:r>
            <w:r>
              <w:rPr>
                <w:rFonts w:hint="default" w:ascii="Times New Roman" w:hAnsi="Times New Roman" w:eastAsia="宋体" w:cs="Times New Roman"/>
                <w:sz w:val="21"/>
                <w:szCs w:val="21"/>
                <w:highlight w:val="none"/>
                <w:vertAlign w:val="baseline"/>
                <w:lang w:val="en-US" w:eastAsia="zh-CN" w:bidi="ar-SA"/>
              </w:rPr>
              <w:t>.0005%</w:t>
            </w:r>
          </w:p>
        </w:tc>
      </w:tr>
      <w:tr w14:paraId="01B5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Align w:val="center"/>
          </w:tcPr>
          <w:p w14:paraId="71424D83">
            <w:pPr>
              <w:pStyle w:val="59"/>
              <w:widowControl w:val="0"/>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示值误差</w:t>
            </w:r>
          </w:p>
        </w:tc>
        <w:tc>
          <w:tcPr>
            <w:tcW w:w="2364" w:type="dxa"/>
            <w:shd w:val="clear" w:color="auto" w:fill="auto"/>
            <w:vAlign w:val="center"/>
          </w:tcPr>
          <w:p w14:paraId="49D3E3B5">
            <w:pPr>
              <w:pStyle w:val="59"/>
              <w:widowControl w:val="0"/>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代表性元素</w:t>
            </w:r>
          </w:p>
        </w:tc>
        <w:tc>
          <w:tcPr>
            <w:tcW w:w="2364" w:type="dxa"/>
            <w:shd w:val="clear" w:color="auto" w:fill="auto"/>
            <w:vAlign w:val="center"/>
          </w:tcPr>
          <w:p w14:paraId="15791E49">
            <w:pPr>
              <w:pStyle w:val="59"/>
              <w:widowControl w:val="0"/>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1954" w:type="dxa"/>
            <w:shd w:val="clear" w:color="auto" w:fill="auto"/>
            <w:vAlign w:val="center"/>
          </w:tcPr>
          <w:p w14:paraId="37B3D3CE">
            <w:pPr>
              <w:pStyle w:val="59"/>
              <w:widowControl w:val="0"/>
              <w:ind w:left="0" w:leftChars="0" w:firstLine="0" w:firstLineChars="0"/>
              <w:jc w:val="center"/>
              <w:rPr>
                <w:rFonts w:hint="default" w:ascii="宋体" w:hAnsi="宋体" w:eastAsia="宋体" w:cs="宋体"/>
                <w:sz w:val="21"/>
                <w:szCs w:val="21"/>
                <w:highlight w:val="none"/>
                <w:vertAlign w:val="baseline"/>
                <w:lang w:val="en-US" w:eastAsia="zh-CN"/>
              </w:rPr>
            </w:pPr>
            <w:r>
              <w:rPr>
                <w:rFonts w:hint="default" w:ascii="宋体" w:hAnsi="宋体" w:eastAsia="宋体" w:cs="宋体"/>
                <w:sz w:val="21"/>
                <w:szCs w:val="21"/>
                <w:highlight w:val="none"/>
                <w:vertAlign w:val="baseline"/>
                <w:lang w:val="en-US" w:eastAsia="zh-CN"/>
              </w:rPr>
              <w:sym w:font="Symbol" w:char="00B1"/>
            </w:r>
            <w:r>
              <w:rPr>
                <w:rFonts w:hint="eastAsia" w:ascii="宋体" w:hAnsi="宋体" w:eastAsia="宋体" w:cs="宋体"/>
                <w:sz w:val="21"/>
                <w:szCs w:val="21"/>
                <w:highlight w:val="none"/>
                <w:vertAlign w:val="baseline"/>
                <w:lang w:val="en-US" w:eastAsia="zh-CN"/>
              </w:rPr>
              <w:t>15%</w:t>
            </w:r>
          </w:p>
        </w:tc>
      </w:tr>
      <w:tr w14:paraId="2C01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Merge w:val="restart"/>
            <w:vAlign w:val="center"/>
          </w:tcPr>
          <w:p w14:paraId="6E1732FA">
            <w:pPr>
              <w:pStyle w:val="59"/>
              <w:widowControl w:val="0"/>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重复性</w:t>
            </w:r>
          </w:p>
        </w:tc>
        <w:tc>
          <w:tcPr>
            <w:tcW w:w="2364" w:type="dxa"/>
            <w:vAlign w:val="center"/>
          </w:tcPr>
          <w:p w14:paraId="08DDC1B9">
            <w:pPr>
              <w:pStyle w:val="59"/>
              <w:widowControl w:val="0"/>
              <w:ind w:left="0" w:leftChars="0" w:firstLine="0" w:firstLineChars="0"/>
              <w:jc w:val="center"/>
              <w:rPr>
                <w:rFonts w:hint="default" w:ascii="宋体" w:hAnsi="宋体" w:eastAsia="宋体" w:cs="宋体"/>
                <w:sz w:val="21"/>
                <w:szCs w:val="21"/>
                <w:highlight w:val="none"/>
                <w:vertAlign w:val="baseline"/>
                <w:lang w:val="en-US" w:eastAsia="zh-CN"/>
              </w:rPr>
            </w:pPr>
            <w:r>
              <w:rPr>
                <w:rFonts w:hint="default" w:ascii="宋体" w:hAnsi="宋体" w:eastAsia="宋体" w:cs="宋体"/>
                <w:sz w:val="21"/>
                <w:szCs w:val="21"/>
                <w:highlight w:val="none"/>
                <w:vertAlign w:val="baseline"/>
                <w:lang w:val="en-US" w:eastAsia="zh-CN"/>
              </w:rPr>
              <w:t>主量元素</w:t>
            </w:r>
          </w:p>
        </w:tc>
        <w:tc>
          <w:tcPr>
            <w:tcW w:w="2364" w:type="dxa"/>
            <w:vAlign w:val="center"/>
          </w:tcPr>
          <w:p w14:paraId="28A761B8">
            <w:pPr>
              <w:pStyle w:val="59"/>
              <w:widowControl w:val="0"/>
              <w:ind w:left="0" w:leftChars="0" w:firstLine="0" w:firstLineChars="0"/>
              <w:jc w:val="center"/>
              <w:rPr>
                <w:rFonts w:hint="default" w:ascii="宋体" w:hAnsi="宋体" w:eastAsia="宋体" w:cs="宋体"/>
                <w:sz w:val="21"/>
                <w:szCs w:val="21"/>
                <w:highlight w:val="none"/>
                <w:vertAlign w:val="baseline"/>
                <w:lang w:val="en-US" w:eastAsia="zh-CN"/>
              </w:rPr>
            </w:pPr>
            <w:r>
              <w:rPr>
                <w:rFonts w:hint="default" w:ascii="宋体" w:hAnsi="宋体" w:eastAsia="宋体" w:cs="宋体"/>
                <w:sz w:val="21"/>
                <w:szCs w:val="21"/>
                <w:highlight w:val="none"/>
                <w:vertAlign w:val="baseline"/>
                <w:lang w:val="en-US" w:eastAsia="zh-CN"/>
              </w:rPr>
              <w:t>&gt;1</w:t>
            </w:r>
            <w:r>
              <w:rPr>
                <w:rFonts w:hint="eastAsia" w:ascii="宋体" w:hAnsi="宋体" w:eastAsia="宋体" w:cs="宋体"/>
                <w:sz w:val="21"/>
                <w:szCs w:val="21"/>
                <w:highlight w:val="none"/>
                <w:vertAlign w:val="baseline"/>
                <w:lang w:val="en-US" w:eastAsia="zh-CN"/>
              </w:rPr>
              <w:t>.0%</w:t>
            </w:r>
          </w:p>
        </w:tc>
        <w:tc>
          <w:tcPr>
            <w:tcW w:w="1954" w:type="dxa"/>
            <w:vAlign w:val="center"/>
          </w:tcPr>
          <w:p w14:paraId="49047F88">
            <w:pPr>
              <w:pStyle w:val="59"/>
              <w:widowControl w:val="0"/>
              <w:ind w:left="0" w:leftChars="0" w:firstLine="0" w:firstLineChars="0"/>
              <w:jc w:val="center"/>
              <w:rPr>
                <w:rFonts w:hint="default" w:ascii="宋体" w:hAnsi="宋体" w:eastAsia="宋体" w:cs="宋体"/>
                <w:sz w:val="21"/>
                <w:szCs w:val="21"/>
                <w:highlight w:val="none"/>
                <w:vertAlign w:val="baseline"/>
                <w:lang w:val="en-US" w:eastAsia="zh-CN"/>
              </w:rPr>
            </w:pPr>
            <w:r>
              <w:rPr>
                <w:rFonts w:hint="default" w:ascii="宋体" w:hAnsi="宋体" w:eastAsia="宋体" w:cs="宋体"/>
                <w:sz w:val="21"/>
                <w:szCs w:val="21"/>
                <w:highlight w:val="none"/>
                <w:vertAlign w:val="baseline"/>
                <w:lang w:val="en-US" w:eastAsia="zh-CN"/>
              </w:rPr>
              <w:t>≤2%</w:t>
            </w:r>
          </w:p>
        </w:tc>
      </w:tr>
      <w:tr w14:paraId="1A16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Merge w:val="continue"/>
            <w:vAlign w:val="center"/>
          </w:tcPr>
          <w:p w14:paraId="6847A06A">
            <w:pPr>
              <w:pStyle w:val="59"/>
              <w:widowControl w:val="0"/>
              <w:ind w:left="0" w:leftChars="0" w:firstLine="0" w:firstLineChars="0"/>
              <w:jc w:val="center"/>
              <w:rPr>
                <w:rFonts w:hint="eastAsia" w:ascii="宋体" w:hAnsi="宋体" w:eastAsia="宋体" w:cs="宋体"/>
                <w:sz w:val="21"/>
                <w:szCs w:val="21"/>
                <w:highlight w:val="none"/>
                <w:vertAlign w:val="baseline"/>
                <w:lang w:val="en-US" w:eastAsia="zh-CN"/>
              </w:rPr>
            </w:pPr>
          </w:p>
        </w:tc>
        <w:tc>
          <w:tcPr>
            <w:tcW w:w="2364" w:type="dxa"/>
            <w:vAlign w:val="center"/>
          </w:tcPr>
          <w:p w14:paraId="3C2A51A8">
            <w:pPr>
              <w:pStyle w:val="59"/>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sz w:val="21"/>
                <w:szCs w:val="21"/>
                <w:highlight w:val="none"/>
                <w:u w:val="none"/>
                <w:lang w:val="en-US" w:eastAsia="zh-CN"/>
              </w:rPr>
              <w:t>中量元素</w:t>
            </w:r>
          </w:p>
        </w:tc>
        <w:tc>
          <w:tcPr>
            <w:tcW w:w="2364" w:type="dxa"/>
            <w:vAlign w:val="center"/>
          </w:tcPr>
          <w:p w14:paraId="4800177E">
            <w:pPr>
              <w:pStyle w:val="59"/>
              <w:widowControl w:val="0"/>
              <w:ind w:left="0" w:leftChars="0" w:firstLine="0" w:firstLineChars="0"/>
              <w:jc w:val="center"/>
              <w:rPr>
                <w:rFonts w:hint="eastAsia" w:ascii="Times New Roman" w:hAnsi="Times New Roman" w:eastAsia="宋体" w:cs="Times New Roman"/>
                <w:sz w:val="21"/>
                <w:szCs w:val="21"/>
                <w:highlight w:val="none"/>
                <w:u w:val="none"/>
                <w:lang w:val="en-US" w:eastAsia="zh-CN"/>
              </w:rPr>
            </w:pPr>
            <w:r>
              <w:rPr>
                <w:rFonts w:hint="eastAsia" w:ascii="Times New Roman" w:hAnsi="Times New Roman" w:eastAsia="宋体" w:cs="Times New Roman"/>
                <w:sz w:val="21"/>
                <w:szCs w:val="21"/>
                <w:highlight w:val="none"/>
                <w:vertAlign w:val="baseline"/>
                <w:lang w:val="en-US" w:eastAsia="zh-CN"/>
              </w:rPr>
              <w:t>(0.1</w:t>
            </w:r>
            <w:r>
              <w:rPr>
                <w:rFonts w:hint="default" w:ascii="Times New Roman" w:hAnsi="Times New Roman" w:eastAsia="宋体" w:cs="Times New Roman"/>
                <w:sz w:val="21"/>
                <w:szCs w:val="21"/>
                <w:highlight w:val="none"/>
                <w:vertAlign w:val="baseline"/>
                <w:lang w:val="en-US" w:eastAsia="zh-CN"/>
              </w:rPr>
              <w:t>%～</w:t>
            </w:r>
            <w:r>
              <w:rPr>
                <w:rFonts w:hint="eastAsia" w:ascii="Times New Roman" w:hAnsi="Times New Roman" w:eastAsia="宋体" w:cs="Times New Roman"/>
                <w:sz w:val="21"/>
                <w:szCs w:val="21"/>
                <w:highlight w:val="none"/>
                <w:vertAlign w:val="baseline"/>
                <w:lang w:val="en-US" w:eastAsia="zh-CN"/>
              </w:rPr>
              <w:t>1.0)</w:t>
            </w:r>
            <w:r>
              <w:rPr>
                <w:rFonts w:hint="default" w:ascii="Times New Roman" w:hAnsi="Times New Roman" w:eastAsia="宋体" w:cs="Times New Roman"/>
                <w:sz w:val="21"/>
                <w:szCs w:val="21"/>
                <w:highlight w:val="none"/>
                <w:vertAlign w:val="baseline"/>
                <w:lang w:val="en-US" w:eastAsia="zh-CN"/>
              </w:rPr>
              <w:t>%</w:t>
            </w:r>
          </w:p>
        </w:tc>
        <w:tc>
          <w:tcPr>
            <w:tcW w:w="1954" w:type="dxa"/>
            <w:vAlign w:val="center"/>
          </w:tcPr>
          <w:p w14:paraId="36B26451">
            <w:pPr>
              <w:widowControl w:val="0"/>
              <w:ind w:left="0" w:leftChars="0" w:firstLine="0" w:firstLineChars="0"/>
              <w:jc w:val="center"/>
              <w:rPr>
                <w:rFonts w:hint="default" w:ascii="宋体" w:hAnsi="宋体" w:eastAsia="宋体" w:cs="宋体"/>
                <w:sz w:val="21"/>
                <w:szCs w:val="21"/>
                <w:highlight w:val="none"/>
                <w:u w:val="none"/>
                <w:lang w:val="en-US" w:eastAsia="zh-CN"/>
              </w:rPr>
            </w:pPr>
            <w:r>
              <w:rPr>
                <w:rFonts w:hint="default" w:ascii="宋体" w:hAnsi="宋体" w:eastAsia="宋体" w:cs="宋体"/>
                <w:sz w:val="21"/>
                <w:szCs w:val="21"/>
                <w:highlight w:val="none"/>
                <w:u w:val="none"/>
                <w:lang w:val="en-US" w:eastAsia="zh-CN"/>
              </w:rPr>
              <w:t>≤</w:t>
            </w:r>
            <w:r>
              <w:rPr>
                <w:rFonts w:hint="eastAsia" w:ascii="宋体" w:hAnsi="宋体" w:cs="宋体"/>
                <w:sz w:val="21"/>
                <w:szCs w:val="21"/>
                <w:highlight w:val="none"/>
                <w:u w:val="none"/>
                <w:lang w:val="en-US" w:eastAsia="zh-CN"/>
              </w:rPr>
              <w:t>3</w:t>
            </w:r>
            <w:r>
              <w:rPr>
                <w:rFonts w:hint="default" w:ascii="Times New Roman" w:hAnsi="Times New Roman" w:eastAsia="宋体" w:cs="Times New Roman"/>
                <w:sz w:val="21"/>
                <w:szCs w:val="21"/>
                <w:highlight w:val="none"/>
                <w:u w:val="none"/>
                <w:lang w:val="en-US" w:eastAsia="zh-CN"/>
              </w:rPr>
              <w:t>%</w:t>
            </w:r>
          </w:p>
        </w:tc>
      </w:tr>
      <w:tr w14:paraId="133C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Merge w:val="continue"/>
            <w:vAlign w:val="center"/>
          </w:tcPr>
          <w:p w14:paraId="67BCBEDF">
            <w:pPr>
              <w:pStyle w:val="59"/>
              <w:widowControl w:val="0"/>
              <w:ind w:left="0" w:leftChars="0" w:firstLine="0" w:firstLineChars="0"/>
              <w:jc w:val="center"/>
              <w:rPr>
                <w:rFonts w:hint="eastAsia" w:ascii="宋体" w:hAnsi="宋体" w:eastAsia="宋体" w:cs="宋体"/>
                <w:sz w:val="21"/>
                <w:szCs w:val="21"/>
                <w:highlight w:val="none"/>
                <w:vertAlign w:val="baseline"/>
                <w:lang w:val="en-US" w:eastAsia="zh-CN"/>
              </w:rPr>
            </w:pPr>
          </w:p>
        </w:tc>
        <w:tc>
          <w:tcPr>
            <w:tcW w:w="2364" w:type="dxa"/>
            <w:vAlign w:val="center"/>
          </w:tcPr>
          <w:p w14:paraId="27D6B79E">
            <w:pPr>
              <w:pStyle w:val="59"/>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highlight w:val="none"/>
                <w:u w:val="none"/>
                <w:lang w:val="en-US" w:eastAsia="zh-CN"/>
              </w:rPr>
            </w:pPr>
            <w:r>
              <w:rPr>
                <w:rFonts w:hint="eastAsia" w:ascii="Times New Roman" w:hAnsi="Times New Roman" w:eastAsia="宋体" w:cs="Times New Roman"/>
                <w:sz w:val="21"/>
                <w:szCs w:val="21"/>
                <w:highlight w:val="none"/>
                <w:u w:val="none"/>
                <w:lang w:val="en-US" w:eastAsia="zh-CN"/>
              </w:rPr>
              <w:t>微量</w:t>
            </w:r>
          </w:p>
        </w:tc>
        <w:tc>
          <w:tcPr>
            <w:tcW w:w="2364" w:type="dxa"/>
            <w:vAlign w:val="center"/>
          </w:tcPr>
          <w:p w14:paraId="48B9C1D1">
            <w:pPr>
              <w:pStyle w:val="59"/>
              <w:widowControl w:val="0"/>
              <w:ind w:left="0" w:leftChars="0" w:firstLine="0" w:firstLineChars="0"/>
              <w:jc w:val="center"/>
              <w:rPr>
                <w:rFonts w:hint="eastAsia" w:ascii="Times New Roman" w:hAnsi="Times New Roman" w:eastAsia="宋体" w:cs="Times New Roman"/>
                <w:sz w:val="21"/>
                <w:szCs w:val="21"/>
                <w:highlight w:val="none"/>
                <w:u w:val="none"/>
                <w:lang w:val="en-US" w:eastAsia="zh-CN"/>
              </w:rPr>
            </w:pPr>
            <w:r>
              <w:rPr>
                <w:rFonts w:hint="eastAsia" w:ascii="Times New Roman" w:hAnsi="Times New Roman" w:eastAsia="宋体" w:cs="Times New Roman"/>
                <w:sz w:val="21"/>
                <w:szCs w:val="21"/>
                <w:highlight w:val="none"/>
                <w:vertAlign w:val="baseline"/>
                <w:lang w:val="en-US" w:eastAsia="zh-CN"/>
              </w:rPr>
              <w:t>（</w:t>
            </w:r>
            <w:r>
              <w:rPr>
                <w:rFonts w:hint="default" w:ascii="Times New Roman" w:hAnsi="Times New Roman" w:eastAsia="宋体" w:cs="Times New Roman"/>
                <w:sz w:val="21"/>
                <w:szCs w:val="21"/>
                <w:highlight w:val="none"/>
                <w:vertAlign w:val="baseline"/>
                <w:lang w:val="en-US" w:eastAsia="zh-CN"/>
              </w:rPr>
              <w:t>0.01</w:t>
            </w:r>
            <w:r>
              <w:rPr>
                <w:rFonts w:hint="default" w:ascii="Times New Roman" w:hAnsi="Times New Roman" w:eastAsia="宋体" w:cs="Times New Roman"/>
                <w:sz w:val="21"/>
                <w:szCs w:val="21"/>
                <w:highlight w:val="none"/>
                <w:u w:val="none"/>
                <w:lang w:val="en-US" w:eastAsia="zh-CN"/>
              </w:rPr>
              <w:t>～</w:t>
            </w:r>
            <w:r>
              <w:rPr>
                <w:rFonts w:hint="default" w:ascii="Times New Roman" w:hAnsi="Times New Roman" w:eastAsia="宋体" w:cs="Times New Roman"/>
                <w:sz w:val="21"/>
                <w:szCs w:val="21"/>
                <w:highlight w:val="none"/>
                <w:vertAlign w:val="baseline"/>
                <w:lang w:val="en-US" w:eastAsia="zh-CN"/>
              </w:rPr>
              <w:t>0.1</w:t>
            </w:r>
            <w:r>
              <w:rPr>
                <w:rFonts w:hint="eastAsia" w:ascii="Times New Roman" w:hAnsi="Times New Roman" w:eastAsia="宋体" w:cs="Times New Roman"/>
                <w:sz w:val="21"/>
                <w:szCs w:val="21"/>
                <w:highlight w:val="none"/>
                <w:vertAlign w:val="baseline"/>
                <w:lang w:val="en-US" w:eastAsia="zh-CN"/>
              </w:rPr>
              <w:t>）%</w:t>
            </w:r>
          </w:p>
        </w:tc>
        <w:tc>
          <w:tcPr>
            <w:tcW w:w="1954" w:type="dxa"/>
            <w:vAlign w:val="center"/>
          </w:tcPr>
          <w:p w14:paraId="577785E5">
            <w:pPr>
              <w:widowControl w:val="0"/>
              <w:ind w:left="0" w:leftChars="0" w:firstLine="0" w:firstLineChars="0"/>
              <w:jc w:val="center"/>
              <w:rPr>
                <w:rFonts w:hint="default" w:ascii="宋体" w:hAnsi="宋体" w:eastAsia="宋体" w:cs="宋体"/>
                <w:sz w:val="21"/>
                <w:szCs w:val="21"/>
                <w:highlight w:val="none"/>
                <w:u w:val="none"/>
                <w:lang w:val="en-US" w:eastAsia="zh-CN"/>
              </w:rPr>
            </w:pPr>
            <w:r>
              <w:rPr>
                <w:rFonts w:hint="default" w:ascii="宋体" w:hAnsi="宋体" w:eastAsia="宋体" w:cs="宋体"/>
                <w:sz w:val="21"/>
                <w:szCs w:val="21"/>
                <w:highlight w:val="none"/>
                <w:u w:val="none"/>
                <w:lang w:val="en-US" w:eastAsia="zh-CN"/>
              </w:rPr>
              <w:t>≤</w:t>
            </w:r>
            <w:r>
              <w:rPr>
                <w:rFonts w:hint="eastAsia" w:ascii="宋体" w:hAnsi="宋体" w:cs="宋体"/>
                <w:sz w:val="21"/>
                <w:szCs w:val="21"/>
                <w:highlight w:val="none"/>
                <w:u w:val="none"/>
                <w:lang w:val="en-US" w:eastAsia="zh-CN"/>
              </w:rPr>
              <w:t>5</w:t>
            </w:r>
            <w:r>
              <w:rPr>
                <w:rFonts w:hint="default" w:ascii="Times New Roman" w:hAnsi="Times New Roman" w:eastAsia="宋体" w:cs="Times New Roman"/>
                <w:sz w:val="21"/>
                <w:szCs w:val="21"/>
                <w:highlight w:val="none"/>
                <w:u w:val="none"/>
                <w:lang w:val="en-US" w:eastAsia="zh-CN"/>
              </w:rPr>
              <w:t>%</w:t>
            </w:r>
          </w:p>
        </w:tc>
      </w:tr>
      <w:tr w14:paraId="212E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Merge w:val="continue"/>
            <w:vAlign w:val="center"/>
          </w:tcPr>
          <w:p w14:paraId="1696BFCB">
            <w:pPr>
              <w:pStyle w:val="59"/>
              <w:widowControl w:val="0"/>
              <w:jc w:val="center"/>
              <w:rPr>
                <w:rFonts w:hint="eastAsia" w:ascii="宋体" w:hAnsi="宋体" w:eastAsia="宋体" w:cs="宋体"/>
                <w:sz w:val="21"/>
                <w:szCs w:val="21"/>
                <w:highlight w:val="none"/>
                <w:vertAlign w:val="baseline"/>
                <w:lang w:val="en-US" w:eastAsia="zh-CN"/>
              </w:rPr>
            </w:pPr>
          </w:p>
        </w:tc>
        <w:tc>
          <w:tcPr>
            <w:tcW w:w="2364" w:type="dxa"/>
            <w:vAlign w:val="center"/>
          </w:tcPr>
          <w:p w14:paraId="63EC26D5">
            <w:pPr>
              <w:pStyle w:val="59"/>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sz w:val="21"/>
                <w:szCs w:val="21"/>
                <w:highlight w:val="none"/>
                <w:u w:val="none"/>
                <w:lang w:val="en-US" w:eastAsia="zh-CN"/>
              </w:rPr>
              <w:t>痕量</w:t>
            </w:r>
          </w:p>
        </w:tc>
        <w:tc>
          <w:tcPr>
            <w:tcW w:w="2364" w:type="dxa"/>
            <w:vAlign w:val="center"/>
          </w:tcPr>
          <w:p w14:paraId="36734E99">
            <w:pPr>
              <w:pStyle w:val="59"/>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rPr>
            </w:pPr>
            <w:r>
              <w:rPr>
                <w:rFonts w:hint="default" w:ascii="宋体" w:hAnsi="宋体" w:eastAsia="宋体" w:cs="宋体"/>
                <w:sz w:val="21"/>
                <w:szCs w:val="21"/>
                <w:highlight w:val="none"/>
                <w:u w:val="none"/>
                <w:lang w:val="en-US" w:eastAsia="zh-CN"/>
              </w:rPr>
              <w:t>≤</w:t>
            </w:r>
            <w:r>
              <w:rPr>
                <w:rFonts w:hint="default" w:ascii="Times New Roman" w:hAnsi="Times New Roman" w:eastAsia="宋体" w:cs="Times New Roman"/>
                <w:sz w:val="21"/>
                <w:szCs w:val="21"/>
                <w:highlight w:val="none"/>
                <w:vertAlign w:val="baseline"/>
                <w:lang w:val="en-US" w:eastAsia="zh-CN"/>
              </w:rPr>
              <w:t>0.01</w:t>
            </w:r>
            <w:r>
              <w:rPr>
                <w:rFonts w:hint="eastAsia" w:ascii="Times New Roman" w:hAnsi="Times New Roman" w:eastAsia="宋体" w:cs="Times New Roman"/>
                <w:sz w:val="21"/>
                <w:szCs w:val="21"/>
                <w:highlight w:val="none"/>
                <w:vertAlign w:val="baseline"/>
                <w:lang w:val="en-US" w:eastAsia="zh-CN"/>
              </w:rPr>
              <w:t>%</w:t>
            </w:r>
          </w:p>
        </w:tc>
        <w:tc>
          <w:tcPr>
            <w:tcW w:w="1954" w:type="dxa"/>
            <w:vAlign w:val="center"/>
          </w:tcPr>
          <w:p w14:paraId="015CDED0">
            <w:pPr>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rPr>
            </w:pPr>
            <w:r>
              <w:rPr>
                <w:rFonts w:hint="default" w:ascii="宋体" w:hAnsi="宋体" w:eastAsia="宋体" w:cs="宋体"/>
                <w:sz w:val="21"/>
                <w:szCs w:val="21"/>
                <w:highlight w:val="none"/>
                <w:u w:val="none"/>
                <w:lang w:val="en-US" w:eastAsia="zh-CN"/>
              </w:rPr>
              <w:t>≤</w:t>
            </w:r>
            <w:r>
              <w:rPr>
                <w:rFonts w:hint="eastAsia" w:cs="Times New Roman"/>
                <w:sz w:val="21"/>
                <w:szCs w:val="21"/>
                <w:highlight w:val="none"/>
                <w:u w:val="none"/>
                <w:lang w:val="en-US" w:eastAsia="zh-CN"/>
              </w:rPr>
              <w:t>10</w:t>
            </w:r>
            <w:r>
              <w:rPr>
                <w:rFonts w:hint="default" w:ascii="Times New Roman" w:hAnsi="Times New Roman" w:eastAsia="宋体" w:cs="Times New Roman"/>
                <w:sz w:val="21"/>
                <w:szCs w:val="21"/>
                <w:highlight w:val="none"/>
                <w:u w:val="none"/>
                <w:lang w:val="en-US" w:eastAsia="zh-CN"/>
              </w:rPr>
              <w:t>%</w:t>
            </w:r>
          </w:p>
        </w:tc>
      </w:tr>
      <w:tr w14:paraId="2CFC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Merge w:val="restart"/>
            <w:vAlign w:val="center"/>
          </w:tcPr>
          <w:p w14:paraId="5E0715E4">
            <w:pPr>
              <w:pStyle w:val="59"/>
              <w:widowControl w:val="0"/>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稳定性</w:t>
            </w:r>
          </w:p>
        </w:tc>
        <w:tc>
          <w:tcPr>
            <w:tcW w:w="2364" w:type="dxa"/>
            <w:vAlign w:val="center"/>
          </w:tcPr>
          <w:p w14:paraId="018D7258">
            <w:pPr>
              <w:pStyle w:val="59"/>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sz w:val="21"/>
                <w:szCs w:val="21"/>
                <w:highlight w:val="none"/>
                <w:u w:val="none"/>
                <w:lang w:val="en-US" w:eastAsia="zh-CN"/>
              </w:rPr>
              <w:t>主/中量</w:t>
            </w:r>
          </w:p>
        </w:tc>
        <w:tc>
          <w:tcPr>
            <w:tcW w:w="2364" w:type="dxa"/>
            <w:vAlign w:val="center"/>
          </w:tcPr>
          <w:p w14:paraId="5340A1DA">
            <w:pPr>
              <w:pStyle w:val="59"/>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u w:val="none"/>
                <w:lang w:val="en-US" w:eastAsia="zh-CN"/>
              </w:rPr>
              <w:t>&gt;</w:t>
            </w:r>
            <w:r>
              <w:rPr>
                <w:rFonts w:hint="eastAsia" w:ascii="Times New Roman" w:cs="Times New Roman"/>
                <w:sz w:val="21"/>
                <w:szCs w:val="21"/>
                <w:highlight w:val="none"/>
                <w:u w:val="none"/>
                <w:lang w:val="en-US" w:eastAsia="zh-CN"/>
              </w:rPr>
              <w:t>0.1%</w:t>
            </w:r>
          </w:p>
        </w:tc>
        <w:tc>
          <w:tcPr>
            <w:tcW w:w="1954" w:type="dxa"/>
            <w:vAlign w:val="center"/>
          </w:tcPr>
          <w:p w14:paraId="0CBA0BE6">
            <w:pPr>
              <w:pStyle w:val="59"/>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rPr>
            </w:pPr>
            <w:r>
              <w:rPr>
                <w:rFonts w:hint="default" w:ascii="宋体" w:hAnsi="宋体" w:eastAsia="宋体" w:cs="宋体"/>
                <w:sz w:val="21"/>
                <w:szCs w:val="21"/>
                <w:highlight w:val="none"/>
                <w:u w:val="none"/>
                <w:lang w:val="en-US" w:eastAsia="zh-CN"/>
              </w:rPr>
              <w:t>≤</w:t>
            </w:r>
            <w:r>
              <w:rPr>
                <w:rFonts w:hint="default" w:ascii="Times New Roman" w:hAnsi="Times New Roman" w:eastAsia="宋体" w:cs="Times New Roman"/>
                <w:sz w:val="21"/>
                <w:szCs w:val="21"/>
                <w:highlight w:val="none"/>
                <w:u w:val="none"/>
                <w:lang w:val="en-US" w:eastAsia="zh-CN"/>
              </w:rPr>
              <w:t>3%</w:t>
            </w:r>
          </w:p>
        </w:tc>
      </w:tr>
      <w:tr w14:paraId="757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Merge w:val="continue"/>
            <w:vAlign w:val="center"/>
          </w:tcPr>
          <w:p w14:paraId="7B469A9D">
            <w:pPr>
              <w:pStyle w:val="59"/>
              <w:widowControl w:val="0"/>
              <w:jc w:val="center"/>
              <w:rPr>
                <w:rFonts w:hint="eastAsia" w:ascii="宋体" w:hAnsi="宋体" w:eastAsia="宋体" w:cs="宋体"/>
                <w:sz w:val="21"/>
                <w:szCs w:val="21"/>
                <w:highlight w:val="none"/>
                <w:vertAlign w:val="baseline"/>
                <w:lang w:val="en-US" w:eastAsia="zh-CN"/>
              </w:rPr>
            </w:pPr>
          </w:p>
        </w:tc>
        <w:tc>
          <w:tcPr>
            <w:tcW w:w="2364" w:type="dxa"/>
            <w:vAlign w:val="center"/>
          </w:tcPr>
          <w:p w14:paraId="31498CCF">
            <w:pPr>
              <w:pStyle w:val="59"/>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highlight w:val="none"/>
                <w:u w:val="none"/>
                <w:lang w:val="en-US" w:eastAsia="zh-CN"/>
              </w:rPr>
            </w:pPr>
            <w:r>
              <w:rPr>
                <w:rFonts w:hint="eastAsia" w:ascii="Times New Roman" w:hAnsi="Times New Roman" w:eastAsia="宋体" w:cs="Times New Roman"/>
                <w:sz w:val="21"/>
                <w:szCs w:val="21"/>
                <w:highlight w:val="none"/>
                <w:u w:val="none"/>
                <w:lang w:val="en-US" w:eastAsia="zh-CN"/>
              </w:rPr>
              <w:t>微量</w:t>
            </w:r>
          </w:p>
        </w:tc>
        <w:tc>
          <w:tcPr>
            <w:tcW w:w="2364" w:type="dxa"/>
            <w:vAlign w:val="center"/>
          </w:tcPr>
          <w:p w14:paraId="2440F4E3">
            <w:pPr>
              <w:pStyle w:val="59"/>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rPr>
            </w:pPr>
            <w:r>
              <w:rPr>
                <w:rFonts w:hint="eastAsia" w:ascii="Times New Roman" w:hAnsi="Times New Roman" w:eastAsia="宋体" w:cs="Times New Roman"/>
                <w:sz w:val="21"/>
                <w:szCs w:val="21"/>
                <w:highlight w:val="none"/>
                <w:vertAlign w:val="baseline"/>
                <w:lang w:val="en-US" w:eastAsia="zh-CN"/>
              </w:rPr>
              <w:t>（</w:t>
            </w:r>
            <w:r>
              <w:rPr>
                <w:rFonts w:hint="default" w:ascii="Times New Roman" w:hAnsi="Times New Roman" w:eastAsia="宋体" w:cs="Times New Roman"/>
                <w:sz w:val="21"/>
                <w:szCs w:val="21"/>
                <w:highlight w:val="none"/>
                <w:vertAlign w:val="baseline"/>
                <w:lang w:val="en-US" w:eastAsia="zh-CN"/>
              </w:rPr>
              <w:t>0.01</w:t>
            </w:r>
            <w:r>
              <w:rPr>
                <w:rFonts w:hint="default" w:ascii="Times New Roman" w:hAnsi="Times New Roman" w:eastAsia="宋体" w:cs="Times New Roman"/>
                <w:sz w:val="21"/>
                <w:szCs w:val="21"/>
                <w:highlight w:val="none"/>
                <w:u w:val="none"/>
                <w:lang w:val="en-US" w:eastAsia="zh-CN"/>
              </w:rPr>
              <w:t>～</w:t>
            </w:r>
            <w:r>
              <w:rPr>
                <w:rFonts w:hint="default" w:ascii="Times New Roman" w:hAnsi="Times New Roman" w:eastAsia="宋体" w:cs="Times New Roman"/>
                <w:sz w:val="21"/>
                <w:szCs w:val="21"/>
                <w:highlight w:val="none"/>
                <w:vertAlign w:val="baseline"/>
                <w:lang w:val="en-US" w:eastAsia="zh-CN"/>
              </w:rPr>
              <w:t>0.1</w:t>
            </w:r>
            <w:r>
              <w:rPr>
                <w:rFonts w:hint="eastAsia" w:ascii="Times New Roman" w:hAnsi="Times New Roman" w:eastAsia="宋体" w:cs="Times New Roman"/>
                <w:sz w:val="21"/>
                <w:szCs w:val="21"/>
                <w:highlight w:val="none"/>
                <w:vertAlign w:val="baseline"/>
                <w:lang w:val="en-US" w:eastAsia="zh-CN"/>
              </w:rPr>
              <w:t>）%</w:t>
            </w:r>
          </w:p>
        </w:tc>
        <w:tc>
          <w:tcPr>
            <w:tcW w:w="1954" w:type="dxa"/>
            <w:vAlign w:val="center"/>
          </w:tcPr>
          <w:p w14:paraId="0F0E5D8C">
            <w:pPr>
              <w:pStyle w:val="59"/>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rPr>
            </w:pPr>
            <w:r>
              <w:rPr>
                <w:rFonts w:hint="default" w:ascii="宋体" w:hAnsi="宋体" w:eastAsia="宋体" w:cs="宋体"/>
                <w:sz w:val="21"/>
                <w:szCs w:val="21"/>
                <w:highlight w:val="none"/>
                <w:u w:val="none"/>
                <w:lang w:val="en-US" w:eastAsia="zh-CN"/>
              </w:rPr>
              <w:t>≤</w:t>
            </w:r>
            <w:r>
              <w:rPr>
                <w:rFonts w:hint="eastAsia" w:hAnsi="宋体" w:cs="宋体"/>
                <w:sz w:val="21"/>
                <w:szCs w:val="21"/>
                <w:highlight w:val="none"/>
                <w:u w:val="none"/>
                <w:lang w:val="en-US" w:eastAsia="zh-CN"/>
              </w:rPr>
              <w:t>5</w:t>
            </w:r>
            <w:r>
              <w:rPr>
                <w:rFonts w:hint="default" w:ascii="Times New Roman" w:hAnsi="Times New Roman" w:eastAsia="宋体" w:cs="Times New Roman"/>
                <w:sz w:val="21"/>
                <w:szCs w:val="21"/>
                <w:highlight w:val="none"/>
                <w:vertAlign w:val="baseline"/>
                <w:lang w:val="en-US" w:eastAsia="zh-CN"/>
              </w:rPr>
              <w:t>%</w:t>
            </w:r>
          </w:p>
        </w:tc>
      </w:tr>
      <w:tr w14:paraId="5720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Merge w:val="continue"/>
            <w:vAlign w:val="center"/>
          </w:tcPr>
          <w:p w14:paraId="544E697B">
            <w:pPr>
              <w:pStyle w:val="59"/>
              <w:widowControl w:val="0"/>
              <w:jc w:val="center"/>
              <w:rPr>
                <w:rFonts w:hint="eastAsia" w:ascii="宋体" w:hAnsi="宋体" w:eastAsia="宋体" w:cs="宋体"/>
                <w:sz w:val="21"/>
                <w:szCs w:val="21"/>
                <w:highlight w:val="none"/>
                <w:vertAlign w:val="baseline"/>
                <w:lang w:val="en-US" w:eastAsia="zh-CN"/>
              </w:rPr>
            </w:pPr>
          </w:p>
        </w:tc>
        <w:tc>
          <w:tcPr>
            <w:tcW w:w="2364" w:type="dxa"/>
            <w:vAlign w:val="center"/>
          </w:tcPr>
          <w:p w14:paraId="350FD0C3">
            <w:pPr>
              <w:pStyle w:val="59"/>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sz w:val="21"/>
                <w:szCs w:val="21"/>
                <w:highlight w:val="none"/>
                <w:u w:val="none"/>
                <w:lang w:val="en-US" w:eastAsia="zh-CN"/>
              </w:rPr>
              <w:t>痕量</w:t>
            </w:r>
          </w:p>
        </w:tc>
        <w:tc>
          <w:tcPr>
            <w:tcW w:w="2364" w:type="dxa"/>
            <w:vAlign w:val="center"/>
          </w:tcPr>
          <w:p w14:paraId="71353CBA">
            <w:pPr>
              <w:pStyle w:val="59"/>
              <w:widowControl w:val="0"/>
              <w:ind w:left="0" w:leftChars="0" w:firstLine="0" w:firstLineChars="0"/>
              <w:jc w:val="center"/>
              <w:rPr>
                <w:rFonts w:hint="eastAsia" w:ascii="Times New Roman" w:hAnsi="Times New Roman" w:cs="Times New Roman"/>
                <w:sz w:val="21"/>
                <w:szCs w:val="21"/>
                <w:highlight w:val="none"/>
                <w:u w:val="none"/>
                <w:lang w:val="en-US" w:eastAsia="zh-CN"/>
              </w:rPr>
            </w:pPr>
            <w:r>
              <w:rPr>
                <w:rFonts w:hint="default" w:ascii="宋体" w:hAnsi="宋体" w:eastAsia="宋体" w:cs="宋体"/>
                <w:sz w:val="21"/>
                <w:szCs w:val="21"/>
                <w:highlight w:val="none"/>
                <w:u w:val="none"/>
                <w:lang w:val="en-US" w:eastAsia="zh-CN"/>
              </w:rPr>
              <w:t>≤</w:t>
            </w:r>
            <w:r>
              <w:rPr>
                <w:rFonts w:hint="default" w:ascii="Times New Roman" w:hAnsi="Times New Roman" w:eastAsia="宋体" w:cs="Times New Roman"/>
                <w:sz w:val="21"/>
                <w:szCs w:val="21"/>
                <w:highlight w:val="none"/>
                <w:vertAlign w:val="baseline"/>
                <w:lang w:val="en-US" w:eastAsia="zh-CN"/>
              </w:rPr>
              <w:t>0.01</w:t>
            </w:r>
            <w:r>
              <w:rPr>
                <w:rFonts w:hint="eastAsia" w:ascii="Times New Roman" w:hAnsi="Times New Roman" w:eastAsia="宋体" w:cs="Times New Roman"/>
                <w:sz w:val="21"/>
                <w:szCs w:val="21"/>
                <w:highlight w:val="none"/>
                <w:vertAlign w:val="baseline"/>
                <w:lang w:val="en-US" w:eastAsia="zh-CN"/>
              </w:rPr>
              <w:t>%</w:t>
            </w:r>
          </w:p>
        </w:tc>
        <w:tc>
          <w:tcPr>
            <w:tcW w:w="1954" w:type="dxa"/>
            <w:vAlign w:val="center"/>
          </w:tcPr>
          <w:p w14:paraId="2DFB1899">
            <w:pPr>
              <w:widowControl w:val="0"/>
              <w:ind w:left="0" w:leftChars="0" w:firstLine="0" w:firstLineChars="0"/>
              <w:jc w:val="center"/>
              <w:rPr>
                <w:rFonts w:hint="default" w:ascii="宋体" w:hAnsi="宋体" w:eastAsia="宋体" w:cs="宋体"/>
                <w:sz w:val="21"/>
                <w:szCs w:val="21"/>
                <w:highlight w:val="none"/>
                <w:u w:val="none"/>
                <w:lang w:val="en-US" w:eastAsia="zh-CN"/>
              </w:rPr>
            </w:pPr>
            <w:r>
              <w:rPr>
                <w:rFonts w:hint="default" w:ascii="宋体" w:hAnsi="宋体" w:eastAsia="宋体" w:cs="宋体"/>
                <w:sz w:val="21"/>
                <w:szCs w:val="21"/>
                <w:highlight w:val="none"/>
                <w:u w:val="none"/>
                <w:lang w:val="en-US" w:eastAsia="zh-CN"/>
              </w:rPr>
              <w:t>≤</w:t>
            </w:r>
            <w:r>
              <w:rPr>
                <w:rFonts w:hint="eastAsia" w:cs="Times New Roman"/>
                <w:sz w:val="21"/>
                <w:szCs w:val="21"/>
                <w:highlight w:val="none"/>
                <w:u w:val="none"/>
                <w:lang w:val="en-US" w:eastAsia="zh-CN"/>
              </w:rPr>
              <w:t>8</w:t>
            </w:r>
            <w:r>
              <w:rPr>
                <w:rFonts w:hint="default" w:ascii="Times New Roman" w:hAnsi="Times New Roman" w:eastAsia="宋体" w:cs="Times New Roman"/>
                <w:sz w:val="21"/>
                <w:szCs w:val="21"/>
                <w:highlight w:val="none"/>
                <w:u w:val="none"/>
                <w:lang w:val="en-US" w:eastAsia="zh-CN"/>
              </w:rPr>
              <w:t>%</w:t>
            </w:r>
          </w:p>
        </w:tc>
      </w:tr>
      <w:tr w14:paraId="058B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0" w:type="dxa"/>
            <w:vAlign w:val="center"/>
          </w:tcPr>
          <w:p w14:paraId="15262DD9">
            <w:pPr>
              <w:pStyle w:val="59"/>
              <w:widowControl w:val="0"/>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深度测量重复性</w:t>
            </w:r>
          </w:p>
        </w:tc>
        <w:tc>
          <w:tcPr>
            <w:tcW w:w="2364" w:type="dxa"/>
            <w:vAlign w:val="center"/>
          </w:tcPr>
          <w:p w14:paraId="38B79D35">
            <w:pPr>
              <w:pStyle w:val="59"/>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sz w:val="21"/>
                <w:szCs w:val="21"/>
                <w:highlight w:val="none"/>
                <w:u w:val="none"/>
                <w:lang w:val="en-US" w:eastAsia="zh-CN"/>
              </w:rPr>
              <w:t>深度范围</w:t>
            </w:r>
          </w:p>
        </w:tc>
        <w:tc>
          <w:tcPr>
            <w:tcW w:w="2364" w:type="dxa"/>
            <w:vAlign w:val="center"/>
          </w:tcPr>
          <w:p w14:paraId="72CCEB03">
            <w:pPr>
              <w:pStyle w:val="59"/>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rPr>
            </w:pPr>
            <w:r>
              <w:rPr>
                <w:rFonts w:hint="default" w:ascii="宋体" w:hAnsi="宋体" w:eastAsia="宋体" w:cs="宋体"/>
                <w:sz w:val="21"/>
                <w:szCs w:val="21"/>
                <w:highlight w:val="none"/>
                <w:u w:val="none"/>
                <w:lang w:val="en-US" w:eastAsia="zh-CN"/>
              </w:rPr>
              <w:t>≤</w:t>
            </w:r>
            <w:r>
              <w:rPr>
                <w:rFonts w:hint="default" w:ascii="Times New Roman" w:hAnsi="Times New Roman" w:eastAsia="宋体" w:cs="Times New Roman"/>
                <w:sz w:val="21"/>
                <w:szCs w:val="21"/>
                <w:highlight w:val="none"/>
                <w:u w:val="none"/>
                <w:lang w:val="en-US" w:eastAsia="zh-CN"/>
              </w:rPr>
              <w:t>20μm</w:t>
            </w:r>
          </w:p>
        </w:tc>
        <w:tc>
          <w:tcPr>
            <w:tcW w:w="1954" w:type="dxa"/>
            <w:vAlign w:val="center"/>
          </w:tcPr>
          <w:p w14:paraId="237DC1DA">
            <w:pPr>
              <w:pStyle w:val="59"/>
              <w:widowControl w:val="0"/>
              <w:ind w:left="0" w:leftChars="0" w:firstLine="0" w:firstLineChars="0"/>
              <w:jc w:val="center"/>
              <w:rPr>
                <w:rFonts w:hint="default" w:ascii="Times New Roman" w:hAnsi="Times New Roman" w:eastAsia="宋体" w:cs="Times New Roman"/>
                <w:sz w:val="21"/>
                <w:szCs w:val="21"/>
                <w:highlight w:val="none"/>
                <w:vertAlign w:val="baseline"/>
                <w:lang w:val="en-US" w:eastAsia="zh-CN"/>
              </w:rPr>
            </w:pPr>
            <w:r>
              <w:rPr>
                <w:rFonts w:hint="default" w:ascii="宋体" w:hAnsi="宋体" w:eastAsia="宋体" w:cs="宋体"/>
                <w:sz w:val="21"/>
                <w:szCs w:val="21"/>
                <w:highlight w:val="none"/>
                <w:u w:val="none"/>
                <w:lang w:val="en-US" w:eastAsia="zh-CN"/>
              </w:rPr>
              <w:t>≤</w:t>
            </w:r>
            <w:r>
              <w:rPr>
                <w:rFonts w:hint="eastAsia" w:hAnsi="宋体" w:cs="宋体"/>
                <w:sz w:val="21"/>
                <w:szCs w:val="21"/>
                <w:highlight w:val="none"/>
                <w:u w:val="none"/>
                <w:lang w:val="en-US" w:eastAsia="zh-CN"/>
              </w:rPr>
              <w:t>3</w:t>
            </w:r>
            <w:r>
              <w:rPr>
                <w:rFonts w:hint="default" w:ascii="Times New Roman" w:hAnsi="Times New Roman" w:eastAsia="宋体" w:cs="Times New Roman"/>
                <w:sz w:val="21"/>
                <w:szCs w:val="21"/>
                <w:highlight w:val="none"/>
                <w:vertAlign w:val="baseline"/>
                <w:lang w:val="en-US" w:eastAsia="zh-CN"/>
              </w:rPr>
              <w:t>%</w:t>
            </w:r>
          </w:p>
        </w:tc>
      </w:tr>
    </w:tbl>
    <w:p w14:paraId="7FBBAFE7">
      <w:pPr>
        <w:pStyle w:val="17"/>
        <w:pageBreakBefore w:val="0"/>
        <w:numPr>
          <w:ilvl w:val="0"/>
          <w:numId w:val="0"/>
        </w:numPr>
        <w:kinsoku/>
        <w:wordWrap/>
        <w:overflowPunct/>
        <w:topLinePunct w:val="0"/>
        <w:bidi w:val="0"/>
        <w:spacing w:line="300" w:lineRule="auto"/>
        <w:ind w:leftChars="200"/>
        <w:textAlignment w:val="auto"/>
        <w:rPr>
          <w:rFonts w:hint="eastAsia" w:ascii="宋体" w:hAnsi="宋体" w:eastAsia="宋体" w:cs="宋体"/>
          <w:sz w:val="24"/>
          <w:szCs w:val="24"/>
          <w:u w:val="none"/>
          <w:lang w:val="en-US" w:eastAsia="zh-CN"/>
        </w:rPr>
      </w:pPr>
    </w:p>
    <w:p w14:paraId="13E3F55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3.计量技术规范的计量项目。</w:t>
      </w:r>
    </w:p>
    <w:p w14:paraId="5EC0D7F9">
      <w:pPr>
        <w:keepNext w:val="0"/>
        <w:keepLines w:val="0"/>
        <w:pageBreakBefore w:val="0"/>
        <w:widowControl w:val="0"/>
        <w:numPr>
          <w:ilvl w:val="0"/>
          <w:numId w:val="13"/>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sz w:val="24"/>
          <w:szCs w:val="24"/>
          <w:u w:val="none"/>
          <w:lang w:val="en-US" w:eastAsia="zh-CN"/>
        </w:rPr>
      </w:pPr>
      <w:r>
        <w:rPr>
          <w:rFonts w:hint="eastAsia"/>
          <w:lang w:val="en-US" w:eastAsia="zh-CN"/>
        </w:rPr>
        <w:t xml:space="preserve"> </w:t>
      </w:r>
      <w:r>
        <w:rPr>
          <w:rFonts w:hint="eastAsia" w:ascii="宋体" w:hAnsi="宋体" w:eastAsia="宋体" w:cs="宋体"/>
          <w:sz w:val="24"/>
          <w:szCs w:val="24"/>
          <w:u w:val="none"/>
          <w:lang w:val="en-US" w:eastAsia="zh-CN"/>
        </w:rPr>
        <w:t>重复性；</w:t>
      </w:r>
    </w:p>
    <w:p w14:paraId="3A605455">
      <w:pPr>
        <w:keepNext w:val="0"/>
        <w:keepLines w:val="0"/>
        <w:pageBreakBefore w:val="0"/>
        <w:widowControl w:val="0"/>
        <w:numPr>
          <w:ilvl w:val="0"/>
          <w:numId w:val="13"/>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示值误差；</w:t>
      </w:r>
    </w:p>
    <w:p w14:paraId="4A5F92C5">
      <w:pPr>
        <w:keepNext w:val="0"/>
        <w:keepLines w:val="0"/>
        <w:pageBreakBefore w:val="0"/>
        <w:widowControl w:val="0"/>
        <w:numPr>
          <w:ilvl w:val="0"/>
          <w:numId w:val="13"/>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稳定性；</w:t>
      </w:r>
    </w:p>
    <w:p w14:paraId="22D16AE6">
      <w:pPr>
        <w:keepNext w:val="0"/>
        <w:keepLines w:val="0"/>
        <w:pageBreakBefore w:val="0"/>
        <w:widowControl w:val="0"/>
        <w:numPr>
          <w:ilvl w:val="0"/>
          <w:numId w:val="13"/>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检出限；</w:t>
      </w:r>
    </w:p>
    <w:p w14:paraId="4B676765">
      <w:pPr>
        <w:pStyle w:val="17"/>
        <w:pageBreakBefore w:val="0"/>
        <w:numPr>
          <w:ilvl w:val="0"/>
          <w:numId w:val="13"/>
        </w:numPr>
        <w:kinsoku/>
        <w:wordWrap/>
        <w:overflowPunct/>
        <w:topLinePunct w:val="0"/>
        <w:bidi w:val="0"/>
        <w:spacing w:line="30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深度测量重复性。</w:t>
      </w:r>
    </w:p>
    <w:bookmarkEnd w:id="41"/>
    <w:p w14:paraId="09F6154F">
      <w:pPr>
        <w:pStyle w:val="20"/>
        <w:keepNext w:val="0"/>
        <w:keepLines w:val="0"/>
        <w:pageBreakBefore w:val="0"/>
        <w:kinsoku/>
        <w:wordWrap/>
        <w:overflowPunct/>
        <w:topLinePunct w:val="0"/>
        <w:bidi w:val="0"/>
        <w:adjustRightInd/>
        <w:snapToGrid/>
        <w:spacing w:line="300" w:lineRule="auto"/>
        <w:ind w:left="0"/>
        <w:textAlignment w:val="auto"/>
        <w:outlineLvl w:val="0"/>
        <w:rPr>
          <w:rFonts w:hint="eastAsia" w:ascii="黑体" w:hAnsi="黑体" w:eastAsia="黑体" w:cs="黑体"/>
          <w:b/>
          <w:lang w:val="en-US" w:eastAsia="zh-CN"/>
        </w:rPr>
      </w:pPr>
      <w:bookmarkStart w:id="42" w:name="_Toc19024"/>
      <w:bookmarkStart w:id="43" w:name="_Toc2818"/>
      <w:bookmarkStart w:id="44" w:name="_Toc8411"/>
      <w:bookmarkStart w:id="45" w:name="_Toc7235"/>
      <w:bookmarkStart w:id="46" w:name="_Toc18151"/>
      <w:bookmarkStart w:id="47" w:name="_Toc2455"/>
      <w:bookmarkStart w:id="48" w:name="_Toc20048"/>
      <w:bookmarkStart w:id="49" w:name="_Toc161838412"/>
      <w:bookmarkStart w:id="50" w:name="_Toc193860214"/>
      <w:bookmarkStart w:id="51" w:name="_Toc500258942"/>
      <w:bookmarkStart w:id="52" w:name="_Toc193860183"/>
      <w:bookmarkStart w:id="53" w:name="_Toc193860033"/>
      <w:bookmarkStart w:id="54" w:name="_Toc533963949"/>
      <w:r>
        <w:rPr>
          <w:rFonts w:hint="eastAsia" w:ascii="黑体" w:hAnsi="黑体" w:eastAsia="黑体" w:cs="黑体"/>
          <w:b w:val="0"/>
          <w:bCs w:val="0"/>
          <w:sz w:val="24"/>
        </w:rPr>
        <w:t>5 校准条件</w:t>
      </w:r>
      <w:bookmarkEnd w:id="42"/>
      <w:bookmarkEnd w:id="43"/>
      <w:bookmarkEnd w:id="44"/>
      <w:bookmarkEnd w:id="45"/>
      <w:bookmarkEnd w:id="46"/>
      <w:bookmarkEnd w:id="47"/>
      <w:bookmarkEnd w:id="48"/>
    </w:p>
    <w:p w14:paraId="19B6D13C">
      <w:pPr>
        <w:keepNext w:val="0"/>
        <w:keepLines w:val="0"/>
        <w:pageBreakBefore w:val="0"/>
        <w:widowControl w:val="0"/>
        <w:kinsoku/>
        <w:wordWrap/>
        <w:overflowPunct/>
        <w:topLinePunct w:val="0"/>
        <w:autoSpaceDE/>
        <w:autoSpaceDN/>
        <w:bidi w:val="0"/>
        <w:adjustRightInd/>
        <w:snapToGrid/>
        <w:spacing w:line="300" w:lineRule="auto"/>
        <w:textAlignment w:val="auto"/>
        <w:outlineLvl w:val="1"/>
        <w:rPr>
          <w:rFonts w:hint="eastAsia" w:cs="Times New Roman"/>
          <w:sz w:val="24"/>
          <w:lang w:val="en-US" w:eastAsia="zh-CN"/>
        </w:rPr>
      </w:pPr>
      <w:bookmarkStart w:id="55" w:name="_Toc14367"/>
      <w:bookmarkStart w:id="56" w:name="_Toc23784661"/>
      <w:bookmarkStart w:id="57" w:name="_Toc6038"/>
      <w:bookmarkStart w:id="58" w:name="_Toc21015"/>
      <w:bookmarkStart w:id="59" w:name="_Toc12670"/>
      <w:bookmarkStart w:id="60" w:name="_Toc19869"/>
      <w:bookmarkStart w:id="61" w:name="_Toc27738"/>
      <w:bookmarkStart w:id="62" w:name="_Toc23785559"/>
      <w:bookmarkStart w:id="63" w:name="_Toc24517"/>
      <w:bookmarkStart w:id="64" w:name="_Toc2162"/>
      <w:bookmarkStart w:id="65" w:name="_Toc24356"/>
      <w:bookmarkStart w:id="66" w:name="_Toc23784562"/>
      <w:bookmarkStart w:id="67" w:name="_Toc23785235"/>
      <w:r>
        <w:rPr>
          <w:rFonts w:hint="eastAsia"/>
          <w:sz w:val="24"/>
        </w:rPr>
        <w:t>5</w:t>
      </w:r>
      <w:r>
        <w:rPr>
          <w:sz w:val="24"/>
        </w:rPr>
        <w:t>.1 环境条件</w:t>
      </w:r>
      <w:bookmarkEnd w:id="55"/>
    </w:p>
    <w:p w14:paraId="7DA2F854">
      <w:pPr>
        <w:pageBreakBefore w:val="0"/>
        <w:kinsoku/>
        <w:wordWrap/>
        <w:overflowPunct/>
        <w:topLinePunct w:val="0"/>
        <w:bidi w:val="0"/>
        <w:spacing w:line="300" w:lineRule="auto"/>
        <w:textAlignment w:val="auto"/>
        <w:rPr>
          <w:rFonts w:hint="eastAsia" w:ascii="Times New Roman" w:hAnsi="Times New Roman" w:eastAsiaTheme="minorEastAsia"/>
          <w:sz w:val="24"/>
        </w:rPr>
      </w:pPr>
      <w:r>
        <w:rPr>
          <w:rFonts w:hint="eastAsia" w:ascii="Times New Roman" w:hAnsi="Times New Roman" w:eastAsiaTheme="minorEastAsia"/>
          <w:sz w:val="24"/>
        </w:rPr>
        <w:t>5.1.1环境温度（18～28）℃，温度变化率不超过1℃/h，相对湿度≤70%。</w:t>
      </w:r>
    </w:p>
    <w:p w14:paraId="25E48633">
      <w:pPr>
        <w:pageBreakBefore w:val="0"/>
        <w:kinsoku/>
        <w:wordWrap/>
        <w:overflowPunct/>
        <w:topLinePunct w:val="0"/>
        <w:bidi w:val="0"/>
        <w:spacing w:line="300" w:lineRule="auto"/>
        <w:textAlignment w:val="auto"/>
        <w:rPr>
          <w:rFonts w:hint="eastAsia" w:ascii="Times New Roman" w:hAnsi="Times New Roman" w:eastAsiaTheme="minorEastAsia"/>
          <w:sz w:val="24"/>
        </w:rPr>
      </w:pPr>
      <w:r>
        <w:rPr>
          <w:rFonts w:hint="eastAsia" w:ascii="Times New Roman" w:hAnsi="Times New Roman" w:eastAsiaTheme="minorEastAsia"/>
          <w:sz w:val="24"/>
        </w:rPr>
        <w:t>5.1.2校准环境周围不应有腐蚀性介质、强电磁干扰及强烈机械振动。</w:t>
      </w:r>
    </w:p>
    <w:p w14:paraId="3F706B83">
      <w:pPr>
        <w:pageBreakBefore w:val="0"/>
        <w:kinsoku/>
        <w:wordWrap/>
        <w:overflowPunct/>
        <w:topLinePunct w:val="0"/>
        <w:bidi w:val="0"/>
        <w:spacing w:line="300" w:lineRule="auto"/>
        <w:textAlignment w:val="auto"/>
        <w:rPr>
          <w:rFonts w:hint="eastAsia" w:ascii="Times New Roman" w:hAnsi="Times New Roman" w:eastAsiaTheme="minorEastAsia"/>
          <w:sz w:val="24"/>
        </w:rPr>
      </w:pPr>
      <w:r>
        <w:rPr>
          <w:rFonts w:hint="eastAsia" w:ascii="Times New Roman" w:hAnsi="Times New Roman" w:eastAsiaTheme="minorEastAsia"/>
          <w:sz w:val="24"/>
        </w:rPr>
        <w:t>5.2 测量标准</w:t>
      </w:r>
    </w:p>
    <w:p w14:paraId="58B8C4B8">
      <w:pPr>
        <w:pageBreakBefore w:val="0"/>
        <w:kinsoku/>
        <w:wordWrap/>
        <w:overflowPunct/>
        <w:topLinePunct w:val="0"/>
        <w:bidi w:val="0"/>
        <w:spacing w:line="300" w:lineRule="auto"/>
        <w:textAlignment w:val="auto"/>
        <w:rPr>
          <w:rFonts w:hint="eastAsia" w:ascii="Times New Roman" w:hAnsi="Times New Roman" w:eastAsiaTheme="minorEastAsia"/>
          <w:sz w:val="24"/>
        </w:rPr>
      </w:pPr>
      <w:r>
        <w:rPr>
          <w:rFonts w:hint="eastAsia" w:ascii="Times New Roman" w:hAnsi="Times New Roman" w:eastAsiaTheme="minorEastAsia"/>
          <w:sz w:val="24"/>
        </w:rPr>
        <w:t>5.2.1 测量标准及技术依据见表</w:t>
      </w:r>
      <w:r>
        <w:rPr>
          <w:rFonts w:hint="eastAsia" w:eastAsiaTheme="minorEastAsia"/>
          <w:sz w:val="24"/>
          <w:lang w:val="en-US" w:eastAsia="zh-CN"/>
        </w:rPr>
        <w:t>3</w:t>
      </w:r>
      <w:r>
        <w:rPr>
          <w:rFonts w:hint="eastAsia" w:ascii="Times New Roman" w:hAnsi="Times New Roman" w:eastAsiaTheme="minorEastAsia"/>
          <w:sz w:val="24"/>
        </w:rPr>
        <w:t>。</w:t>
      </w:r>
    </w:p>
    <w:p w14:paraId="5729A9ED">
      <w:pPr>
        <w:pStyle w:val="59"/>
        <w:ind w:left="0" w:leftChars="0" w:firstLine="0" w:firstLineChars="0"/>
        <w:jc w:val="center"/>
        <w:rPr>
          <w:rFonts w:hint="eastAsia" w:ascii="黑体" w:hAnsi="黑体" w:eastAsia="黑体" w:cs="黑体"/>
          <w:sz w:val="24"/>
          <w:lang w:val="en-US" w:eastAsia="zh-CN"/>
        </w:rPr>
      </w:pPr>
      <w:r>
        <w:rPr>
          <w:rFonts w:hint="eastAsia" w:ascii="黑体" w:hAnsi="黑体" w:eastAsia="黑体" w:cs="黑体"/>
          <w:sz w:val="24"/>
          <w:szCs w:val="24"/>
          <w:lang w:val="en-US" w:eastAsia="zh-CN"/>
        </w:rPr>
        <w:t>表3 测量标准及技术依据</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100"/>
        <w:gridCol w:w="5172"/>
        <w:gridCol w:w="1175"/>
      </w:tblGrid>
      <w:tr w14:paraId="5BBF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84" w:type="dxa"/>
            <w:vAlign w:val="center"/>
          </w:tcPr>
          <w:p w14:paraId="66758CEC">
            <w:pPr>
              <w:pStyle w:val="39"/>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序号</w:t>
            </w:r>
          </w:p>
        </w:tc>
        <w:tc>
          <w:tcPr>
            <w:tcW w:w="2100" w:type="dxa"/>
            <w:vAlign w:val="center"/>
          </w:tcPr>
          <w:p w14:paraId="76B96950">
            <w:pPr>
              <w:pStyle w:val="39"/>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测量标准</w:t>
            </w:r>
          </w:p>
        </w:tc>
        <w:tc>
          <w:tcPr>
            <w:tcW w:w="5172" w:type="dxa"/>
            <w:vAlign w:val="center"/>
          </w:tcPr>
          <w:p w14:paraId="767CF467">
            <w:pPr>
              <w:pStyle w:val="39"/>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技术依据</w:t>
            </w:r>
          </w:p>
        </w:tc>
        <w:tc>
          <w:tcPr>
            <w:tcW w:w="1175" w:type="dxa"/>
            <w:vAlign w:val="center"/>
          </w:tcPr>
          <w:p w14:paraId="44B2518D">
            <w:pPr>
              <w:pStyle w:val="39"/>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用途</w:t>
            </w:r>
          </w:p>
        </w:tc>
      </w:tr>
      <w:tr w14:paraId="5555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84" w:type="dxa"/>
            <w:vAlign w:val="center"/>
          </w:tcPr>
          <w:p w14:paraId="319E5FC0">
            <w:pPr>
              <w:pStyle w:val="59"/>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outlineLvl w:val="0"/>
              <w:rPr>
                <w:rFonts w:hint="default" w:ascii="Times New Roman" w:hAnsi="Times New Roman" w:eastAsia="宋体" w:cs="Times New Roman"/>
                <w:b w:val="0"/>
                <w:bCs w:val="0"/>
                <w:kern w:val="2"/>
                <w:sz w:val="21"/>
                <w:szCs w:val="21"/>
                <w:lang w:val="en-US" w:eastAsia="zh-CN" w:bidi="ar-SA"/>
              </w:rPr>
            </w:pPr>
            <w:r>
              <w:rPr>
                <w:rFonts w:hint="eastAsia" w:ascii="Times New Roman" w:cs="Times New Roman"/>
                <w:b w:val="0"/>
                <w:bCs w:val="0"/>
                <w:kern w:val="2"/>
                <w:sz w:val="21"/>
                <w:szCs w:val="21"/>
                <w:lang w:val="en-US" w:eastAsia="zh-CN" w:bidi="ar-SA"/>
              </w:rPr>
              <w:t>1</w:t>
            </w:r>
          </w:p>
        </w:tc>
        <w:tc>
          <w:tcPr>
            <w:tcW w:w="2100" w:type="dxa"/>
            <w:vAlign w:val="center"/>
          </w:tcPr>
          <w:p w14:paraId="5D5D643F">
            <w:pPr>
              <w:pStyle w:val="59"/>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outlineLvl w:val="0"/>
              <w:rPr>
                <w:rFonts w:hint="eastAsia" w:ascii="Times New Roman"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纯</w:t>
            </w:r>
            <w:r>
              <w:rPr>
                <w:rFonts w:hint="eastAsia" w:ascii="Times New Roman" w:cs="Times New Roman"/>
                <w:b w:val="0"/>
                <w:bCs w:val="0"/>
                <w:kern w:val="2"/>
                <w:sz w:val="21"/>
                <w:szCs w:val="21"/>
                <w:lang w:val="en-US" w:eastAsia="zh-CN" w:bidi="ar-SA"/>
              </w:rPr>
              <w:t>XXX标准物质</w:t>
            </w:r>
          </w:p>
          <w:p w14:paraId="69EDC277">
            <w:pPr>
              <w:pStyle w:val="59"/>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outlineLvl w:val="0"/>
              <w:rPr>
                <w:rStyle w:val="324"/>
                <w:rFonts w:hint="default" w:ascii="Times New Roman" w:hAnsi="Times New Roman" w:eastAsia="黑体" w:cs="Times New Roman"/>
                <w:b w:val="0"/>
                <w:bCs w:val="0"/>
                <w:kern w:val="2"/>
                <w:sz w:val="21"/>
                <w:szCs w:val="21"/>
                <w:vertAlign w:val="baseline"/>
                <w:lang w:val="en-US" w:eastAsia="zh-CN"/>
              </w:rPr>
            </w:pPr>
            <w:r>
              <w:rPr>
                <w:rFonts w:hint="eastAsia" w:ascii="Times New Roman" w:cs="Times New Roman"/>
                <w:b w:val="0"/>
                <w:bCs w:val="0"/>
                <w:kern w:val="2"/>
                <w:sz w:val="21"/>
                <w:szCs w:val="21"/>
                <w:lang w:val="en-US" w:eastAsia="zh-CN" w:bidi="ar-SA"/>
              </w:rPr>
              <w:t>或标准样品</w:t>
            </w:r>
          </w:p>
        </w:tc>
        <w:tc>
          <w:tcPr>
            <w:tcW w:w="5172" w:type="dxa"/>
            <w:vAlign w:val="center"/>
          </w:tcPr>
          <w:p w14:paraId="33C1A0F1">
            <w:pPr>
              <w:pStyle w:val="39"/>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outlineLvl w:val="9"/>
              <w:rPr>
                <w:rStyle w:val="324"/>
                <w:rFonts w:hint="default" w:ascii="Times New Roman" w:hAnsi="Times New Roman" w:eastAsia="黑体" w:cs="Times New Roman"/>
                <w:b w:val="0"/>
                <w:bCs w:val="0"/>
                <w:kern w:val="2"/>
                <w:sz w:val="21"/>
                <w:szCs w:val="21"/>
                <w:highlight w:val="none"/>
                <w:vertAlign w:val="baseline"/>
                <w:lang w:val="en-US" w:eastAsia="zh-CN"/>
              </w:rPr>
            </w:pPr>
            <w:r>
              <w:rPr>
                <w:rFonts w:hint="default" w:ascii="Times New Roman" w:hAnsi="Times New Roman" w:eastAsia="宋体" w:cs="Times New Roman"/>
                <w:b w:val="0"/>
                <w:bCs w:val="0"/>
                <w:sz w:val="21"/>
                <w:szCs w:val="21"/>
                <w:highlight w:val="none"/>
                <w:lang w:val="en-US" w:eastAsia="zh-CN"/>
              </w:rPr>
              <w:t>有色金属光谱分析用有证标准物质或标准样品，其中元素扩展不确定度</w:t>
            </w:r>
            <w:r>
              <w:rPr>
                <w:rFonts w:hint="eastAsia" w:ascii="Times New Roman" w:hAnsi="Times New Roman" w:cs="Times New Roman"/>
                <w:b w:val="0"/>
                <w:bCs w:val="0"/>
                <w:i/>
                <w:iCs/>
                <w:sz w:val="21"/>
                <w:szCs w:val="21"/>
                <w:highlight w:val="none"/>
                <w:lang w:val="en-US" w:eastAsia="zh-CN"/>
              </w:rPr>
              <w:t>U</w:t>
            </w:r>
            <w:r>
              <w:rPr>
                <w:rFonts w:hint="default" w:ascii="Times New Roman" w:hAnsi="Times New Roman" w:eastAsia="宋体" w:cs="Times New Roman"/>
                <w:b w:val="0"/>
                <w:bCs w:val="0"/>
                <w:sz w:val="21"/>
                <w:szCs w:val="21"/>
                <w:highlight w:val="none"/>
                <w:lang w:val="en-US" w:eastAsia="zh-CN"/>
              </w:rPr>
              <w:t>不大于0.0002%(</w:t>
            </w:r>
            <w:r>
              <w:rPr>
                <w:rFonts w:hint="default" w:ascii="Times New Roman" w:hAnsi="Times New Roman" w:eastAsia="宋体" w:cs="Times New Roman"/>
                <w:b w:val="0"/>
                <w:bCs w:val="0"/>
                <w:i/>
                <w:iCs/>
                <w:sz w:val="21"/>
                <w:szCs w:val="21"/>
                <w:highlight w:val="none"/>
                <w:lang w:val="en-US" w:eastAsia="zh-CN"/>
              </w:rPr>
              <w:t>k</w:t>
            </w:r>
            <w:r>
              <w:rPr>
                <w:rFonts w:hint="default" w:ascii="Times New Roman" w:hAnsi="Times New Roman" w:eastAsia="宋体" w:cs="Times New Roman"/>
                <w:b w:val="0"/>
                <w:bCs w:val="0"/>
                <w:sz w:val="21"/>
                <w:szCs w:val="21"/>
                <w:highlight w:val="none"/>
                <w:lang w:val="en-US" w:eastAsia="zh-CN"/>
              </w:rPr>
              <w:t>=2)</w:t>
            </w:r>
          </w:p>
        </w:tc>
        <w:tc>
          <w:tcPr>
            <w:tcW w:w="1175" w:type="dxa"/>
            <w:shd w:val="clear" w:color="auto" w:fill="auto"/>
            <w:vAlign w:val="center"/>
          </w:tcPr>
          <w:p w14:paraId="628C60CA">
            <w:pPr>
              <w:pStyle w:val="39"/>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730C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884" w:type="dxa"/>
            <w:vAlign w:val="center"/>
          </w:tcPr>
          <w:p w14:paraId="21308CCB">
            <w:pPr>
              <w:pStyle w:val="39"/>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2</w:t>
            </w:r>
          </w:p>
        </w:tc>
        <w:tc>
          <w:tcPr>
            <w:tcW w:w="2100" w:type="dxa"/>
            <w:vAlign w:val="center"/>
          </w:tcPr>
          <w:p w14:paraId="214027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XXX合金</w:t>
            </w:r>
            <w:r>
              <w:rPr>
                <w:rFonts w:hint="eastAsia" w:ascii="Times New Roman" w:hAnsi="Times New Roman" w:eastAsia="宋体" w:cs="Times New Roman"/>
                <w:b w:val="0"/>
                <w:bCs w:val="0"/>
                <w:kern w:val="2"/>
                <w:sz w:val="21"/>
                <w:szCs w:val="21"/>
                <w:lang w:val="en-US" w:eastAsia="zh-CN" w:bidi="ar-SA"/>
              </w:rPr>
              <w:t>标准物质</w:t>
            </w:r>
          </w:p>
          <w:p w14:paraId="253498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2"/>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或标准样品</w:t>
            </w:r>
          </w:p>
        </w:tc>
        <w:tc>
          <w:tcPr>
            <w:tcW w:w="5172" w:type="dxa"/>
            <w:vAlign w:val="center"/>
          </w:tcPr>
          <w:p w14:paraId="4D573495">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2"/>
              <w:rPr>
                <w:rFonts w:hint="default"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有色金属光谱分析用有证标准物质或标准样品，其中元素扩展不确定度</w:t>
            </w:r>
            <w:r>
              <w:rPr>
                <w:rFonts w:hint="eastAsia" w:ascii="Times New Roman" w:hAnsi="Times New Roman" w:cs="Times New Roman"/>
                <w:b w:val="0"/>
                <w:bCs w:val="0"/>
                <w:i/>
                <w:iCs/>
                <w:sz w:val="21"/>
                <w:szCs w:val="21"/>
                <w:highlight w:val="none"/>
                <w:lang w:val="en-US" w:eastAsia="zh-CN"/>
              </w:rPr>
              <w:t>U</w:t>
            </w:r>
            <w:r>
              <w:rPr>
                <w:rFonts w:hint="eastAsia" w:ascii="Times New Roman" w:hAnsi="Times New Roman" w:eastAsia="宋体" w:cs="Times New Roman"/>
                <w:b w:val="0"/>
                <w:bCs w:val="0"/>
                <w:kern w:val="2"/>
                <w:sz w:val="21"/>
                <w:szCs w:val="21"/>
                <w:highlight w:val="none"/>
                <w:lang w:val="en-US" w:eastAsia="zh-CN" w:bidi="ar-SA"/>
              </w:rPr>
              <w:t>不大于0.001%(</w:t>
            </w:r>
            <w:r>
              <w:rPr>
                <w:rFonts w:hint="eastAsia" w:ascii="Times New Roman" w:hAnsi="Times New Roman" w:eastAsia="宋体" w:cs="Times New Roman"/>
                <w:b w:val="0"/>
                <w:bCs w:val="0"/>
                <w:i/>
                <w:iCs/>
                <w:kern w:val="2"/>
                <w:sz w:val="21"/>
                <w:szCs w:val="21"/>
                <w:highlight w:val="none"/>
                <w:lang w:val="en-US" w:eastAsia="zh-CN" w:bidi="ar-SA"/>
              </w:rPr>
              <w:t>k</w:t>
            </w:r>
            <w:r>
              <w:rPr>
                <w:rFonts w:hint="eastAsia" w:ascii="Times New Roman" w:hAnsi="Times New Roman" w:eastAsia="宋体" w:cs="Times New Roman"/>
                <w:b w:val="0"/>
                <w:bCs w:val="0"/>
                <w:kern w:val="2"/>
                <w:sz w:val="21"/>
                <w:szCs w:val="21"/>
                <w:highlight w:val="none"/>
                <w:lang w:val="en-US" w:eastAsia="zh-CN" w:bidi="ar-SA"/>
              </w:rPr>
              <w:t>=2)</w:t>
            </w:r>
          </w:p>
        </w:tc>
        <w:tc>
          <w:tcPr>
            <w:tcW w:w="1175" w:type="dxa"/>
            <w:vAlign w:val="center"/>
          </w:tcPr>
          <w:p w14:paraId="06E7E997">
            <w:pPr>
              <w:pStyle w:val="39"/>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示值误差</w:t>
            </w:r>
            <w:r>
              <w:rPr>
                <w:rFonts w:hint="default" w:ascii="Times New Roman" w:hAnsi="Times New Roman" w:eastAsia="宋体" w:cs="Times New Roman"/>
                <w:b w:val="0"/>
                <w:bCs w:val="0"/>
                <w:sz w:val="21"/>
                <w:szCs w:val="21"/>
                <w:lang w:val="en-US" w:eastAsia="zh-CN"/>
              </w:rPr>
              <w:t>重复性</w:t>
            </w:r>
          </w:p>
          <w:p w14:paraId="35DBE6AD">
            <w:pPr>
              <w:pStyle w:val="39"/>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稳定性</w:t>
            </w:r>
          </w:p>
        </w:tc>
      </w:tr>
      <w:tr w14:paraId="6C1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exact"/>
          <w:jc w:val="center"/>
        </w:trPr>
        <w:tc>
          <w:tcPr>
            <w:tcW w:w="884" w:type="dxa"/>
            <w:vAlign w:val="center"/>
          </w:tcPr>
          <w:p w14:paraId="08BDC3B8">
            <w:pPr>
              <w:pStyle w:val="39"/>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3</w:t>
            </w:r>
          </w:p>
        </w:tc>
        <w:tc>
          <w:tcPr>
            <w:tcW w:w="2100" w:type="dxa"/>
            <w:vAlign w:val="center"/>
          </w:tcPr>
          <w:p w14:paraId="49239899">
            <w:pPr>
              <w:pStyle w:val="39"/>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厚度片</w:t>
            </w:r>
          </w:p>
        </w:tc>
        <w:tc>
          <w:tcPr>
            <w:tcW w:w="5172" w:type="dxa"/>
            <w:vAlign w:val="center"/>
          </w:tcPr>
          <w:p w14:paraId="26EB9E26">
            <w:pPr>
              <w:pStyle w:val="39"/>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outlineLvl w:val="9"/>
              <w:rPr>
                <w:rFonts w:hint="default" w:ascii="Times New Roman" w:hAnsi="Times New Roman" w:cs="Times New Roman"/>
                <w:b w:val="0"/>
                <w:bCs w:val="0"/>
                <w:sz w:val="21"/>
                <w:szCs w:val="21"/>
                <w:highlight w:val="none"/>
                <w:lang w:val="en-US" w:eastAsia="zh-CN"/>
              </w:rPr>
            </w:pPr>
            <w:r>
              <w:rPr>
                <w:rFonts w:hint="eastAsia" w:ascii="Times New Roman" w:hAnsi="Times New Roman" w:cs="Times New Roman"/>
                <w:b w:val="0"/>
                <w:bCs w:val="0"/>
                <w:sz w:val="21"/>
                <w:szCs w:val="21"/>
                <w:highlight w:val="none"/>
                <w:lang w:val="en-US" w:eastAsia="zh-CN"/>
              </w:rPr>
              <w:t>铜基镀镍厚度片（或其他基体厚度片），</w:t>
            </w:r>
            <w:r>
              <w:rPr>
                <w:rFonts w:hint="eastAsia" w:ascii="Times New Roman" w:hAnsi="Times New Roman" w:eastAsia="宋体" w:cs="Times New Roman"/>
                <w:b w:val="0"/>
                <w:bCs w:val="0"/>
                <w:kern w:val="2"/>
                <w:sz w:val="21"/>
                <w:szCs w:val="21"/>
                <w:highlight w:val="none"/>
                <w:lang w:val="en-US" w:eastAsia="zh-CN" w:bidi="ar-SA"/>
              </w:rPr>
              <w:t>厚度</w:t>
            </w:r>
            <w:r>
              <w:rPr>
                <w:rFonts w:hint="default" w:ascii="宋体" w:hAnsi="宋体" w:eastAsia="宋体" w:cs="宋体"/>
                <w:sz w:val="21"/>
                <w:szCs w:val="21"/>
                <w:highlight w:val="none"/>
                <w:u w:val="none"/>
                <w:lang w:val="en-US" w:eastAsia="zh-CN"/>
              </w:rPr>
              <w:t>≤</w:t>
            </w:r>
            <w:r>
              <w:rPr>
                <w:rFonts w:hint="default" w:ascii="Times New Roman" w:hAnsi="Times New Roman" w:eastAsia="宋体" w:cs="Times New Roman"/>
                <w:b w:val="0"/>
                <w:bCs w:val="0"/>
                <w:kern w:val="2"/>
                <w:sz w:val="21"/>
                <w:szCs w:val="21"/>
                <w:highlight w:val="none"/>
                <w:lang w:val="en-US" w:eastAsia="zh-CN" w:bidi="ar-SA"/>
              </w:rPr>
              <w:t>20μm</w:t>
            </w:r>
            <w:r>
              <w:rPr>
                <w:rFonts w:hint="eastAsia" w:ascii="Times New Roman" w:hAnsi="Times New Roman" w:cs="Times New Roman"/>
                <w:b w:val="0"/>
                <w:bCs w:val="0"/>
                <w:kern w:val="2"/>
                <w:sz w:val="21"/>
                <w:szCs w:val="21"/>
                <w:highlight w:val="none"/>
                <w:lang w:val="en-US" w:eastAsia="zh-CN" w:bidi="ar-SA"/>
              </w:rPr>
              <w:t>；或镀层厚度均匀的</w:t>
            </w:r>
            <w:r>
              <w:rPr>
                <w:rFonts w:hint="eastAsia" w:ascii="Times New Roman" w:hAnsi="Times New Roman" w:cs="Times New Roman"/>
                <w:b w:val="0"/>
                <w:bCs w:val="0"/>
                <w:sz w:val="21"/>
                <w:szCs w:val="21"/>
                <w:highlight w:val="none"/>
                <w:lang w:val="en-US" w:eastAsia="zh-CN"/>
              </w:rPr>
              <w:t>铜基镀镍样品（或其他基体含镀层样品）</w:t>
            </w:r>
          </w:p>
        </w:tc>
        <w:tc>
          <w:tcPr>
            <w:tcW w:w="1175" w:type="dxa"/>
            <w:vAlign w:val="center"/>
          </w:tcPr>
          <w:p w14:paraId="0F1B6B63">
            <w:pPr>
              <w:pStyle w:val="39"/>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深度测量</w:t>
            </w:r>
          </w:p>
          <w:p w14:paraId="465A4C93">
            <w:pPr>
              <w:pStyle w:val="39"/>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重复性</w:t>
            </w:r>
          </w:p>
        </w:tc>
      </w:tr>
    </w:tbl>
    <w:p w14:paraId="7E14A86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cs="宋体"/>
          <w:b w:val="0"/>
          <w:bCs w:val="0"/>
          <w:color w:val="auto"/>
          <w:sz w:val="24"/>
          <w:szCs w:val="24"/>
          <w:lang w:val="en-US" w:eastAsia="zh-CN"/>
        </w:rPr>
      </w:pPr>
      <w:r>
        <w:rPr>
          <w:rFonts w:hint="eastAsia"/>
          <w:color w:val="auto"/>
          <w:sz w:val="24"/>
          <w:highlight w:val="none"/>
          <w:lang w:val="en-US" w:eastAsia="zh-CN"/>
        </w:rPr>
        <w:t xml:space="preserve">5.2.2 </w:t>
      </w:r>
      <w:r>
        <w:rPr>
          <w:rFonts w:hint="eastAsia" w:cs="Times New Roman"/>
          <w:sz w:val="24"/>
          <w:szCs w:val="24"/>
          <w:highlight w:val="none"/>
          <w:lang w:val="en-US" w:eastAsia="zh-CN"/>
        </w:rPr>
        <w:t>校准辉光放电原子发射光谱仪时，针对Cu、Al、Zn等有色金属基体材料，优先选用表4所列推荐的标准物质或标准样品开展校准工作。若无适配样品，亦可选取基体组成相近的标准物质或标准样品，严格依照本规程规定的各项技术指标与校准要求实施校准，校准所用标样不受表4所列范围限制。</w:t>
      </w:r>
    </w:p>
    <w:p w14:paraId="2B431269">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2"/>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表4 校准用标准物质（标准样品）</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3449"/>
        <w:gridCol w:w="761"/>
        <w:gridCol w:w="2519"/>
      </w:tblGrid>
      <w:tr w14:paraId="1E0E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vAlign w:val="center"/>
          </w:tcPr>
          <w:p w14:paraId="3457279A">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标准物质名称</w:t>
            </w:r>
          </w:p>
        </w:tc>
        <w:tc>
          <w:tcPr>
            <w:tcW w:w="3484" w:type="dxa"/>
            <w:vAlign w:val="center"/>
          </w:tcPr>
          <w:p w14:paraId="5FF475B8">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编号</w:t>
            </w:r>
          </w:p>
        </w:tc>
        <w:tc>
          <w:tcPr>
            <w:tcW w:w="791" w:type="dxa"/>
            <w:vAlign w:val="center"/>
          </w:tcPr>
          <w:p w14:paraId="53E1D943">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测量</w:t>
            </w:r>
          </w:p>
          <w:p w14:paraId="510AC594">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基体</w:t>
            </w:r>
          </w:p>
        </w:tc>
        <w:tc>
          <w:tcPr>
            <w:tcW w:w="2711" w:type="dxa"/>
            <w:vAlign w:val="center"/>
          </w:tcPr>
          <w:p w14:paraId="5380FAE5">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用途</w:t>
            </w:r>
          </w:p>
        </w:tc>
      </w:tr>
      <w:tr w14:paraId="300D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vAlign w:val="center"/>
          </w:tcPr>
          <w:p w14:paraId="26107424">
            <w:pPr>
              <w:pStyle w:val="59"/>
              <w:keepNext w:val="0"/>
              <w:keepLines w:val="0"/>
              <w:pageBreakBefore w:val="0"/>
              <w:widowControl w:val="0"/>
              <w:kinsoku/>
              <w:wordWrap/>
              <w:overflowPunct/>
              <w:topLinePunct w:val="0"/>
              <w:bidi w:val="0"/>
              <w:adjustRightInd/>
              <w:snapToGrid/>
              <w:spacing w:line="300" w:lineRule="auto"/>
              <w:ind w:left="0" w:leftChars="0" w:firstLine="0" w:firstLineChars="0"/>
              <w:jc w:val="center"/>
              <w:textAlignment w:val="auto"/>
              <w:outlineLvl w:val="0"/>
              <w:rPr>
                <w:rStyle w:val="324"/>
                <w:rFonts w:hint="default" w:ascii="Times New Roman" w:hAnsi="Times New Roman" w:eastAsia="黑体" w:cs="Times New Roman"/>
                <w:b w:val="0"/>
                <w:bCs w:val="0"/>
                <w:kern w:val="2"/>
                <w:sz w:val="21"/>
                <w:szCs w:val="21"/>
                <w:vertAlign w:val="baseline"/>
                <w:lang w:val="en-US" w:eastAsia="zh-CN"/>
              </w:rPr>
            </w:pPr>
            <w:r>
              <w:rPr>
                <w:rFonts w:hint="eastAsia" w:ascii="Times New Roman" w:cs="Times New Roman"/>
                <w:b w:val="0"/>
                <w:bCs w:val="0"/>
                <w:sz w:val="21"/>
                <w:szCs w:val="21"/>
                <w:lang w:val="en-US" w:eastAsia="zh-CN"/>
              </w:rPr>
              <w:t>纯铜TU00成分标准样品（块状）</w:t>
            </w:r>
          </w:p>
        </w:tc>
        <w:tc>
          <w:tcPr>
            <w:tcW w:w="3484" w:type="dxa"/>
            <w:vAlign w:val="center"/>
          </w:tcPr>
          <w:p w14:paraId="769845EB">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Style w:val="324"/>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GSB 04-3762 -2020</w:t>
            </w:r>
          </w:p>
        </w:tc>
        <w:tc>
          <w:tcPr>
            <w:tcW w:w="791" w:type="dxa"/>
            <w:shd w:val="clear" w:color="auto" w:fill="auto"/>
            <w:vAlign w:val="center"/>
          </w:tcPr>
          <w:p w14:paraId="47F9D932">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Cu</w:t>
            </w:r>
          </w:p>
        </w:tc>
        <w:tc>
          <w:tcPr>
            <w:tcW w:w="2711" w:type="dxa"/>
            <w:shd w:val="clear" w:color="auto" w:fill="auto"/>
            <w:vAlign w:val="center"/>
          </w:tcPr>
          <w:p w14:paraId="088E4937">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713A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vAlign w:val="center"/>
          </w:tcPr>
          <w:p w14:paraId="15ABE609">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Style w:val="324"/>
                <w:rFonts w:hint="default" w:ascii="Times New Roman" w:hAnsi="Times New Roman" w:eastAsia="黑体" w:cs="Times New Roman"/>
                <w:b w:val="0"/>
                <w:bCs w:val="0"/>
                <w:kern w:val="2"/>
                <w:sz w:val="21"/>
                <w:szCs w:val="21"/>
                <w:vertAlign w:val="baseline"/>
                <w:lang w:val="en-US" w:eastAsia="zh-CN"/>
              </w:rPr>
            </w:pPr>
            <w:r>
              <w:rPr>
                <w:rFonts w:hint="eastAsia" w:ascii="Times New Roman" w:cs="Times New Roman"/>
                <w:b w:val="0"/>
                <w:bCs w:val="0"/>
                <w:sz w:val="21"/>
                <w:szCs w:val="21"/>
                <w:lang w:val="en-US" w:eastAsia="zh-CN"/>
              </w:rPr>
              <w:t>纯铜T3成分标准样品（块状）</w:t>
            </w:r>
          </w:p>
        </w:tc>
        <w:tc>
          <w:tcPr>
            <w:tcW w:w="3484" w:type="dxa"/>
            <w:vAlign w:val="center"/>
          </w:tcPr>
          <w:p w14:paraId="22FB700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Style w:val="324"/>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GSB 04-376</w:t>
            </w:r>
            <w:r>
              <w:rPr>
                <w:rFonts w:hint="eastAsia" w:ascii="Times New Roman" w:hAnsi="Times New Roman" w:cs="Times New Roman"/>
                <w:b w:val="0"/>
                <w:bCs w:val="0"/>
                <w:sz w:val="21"/>
                <w:szCs w:val="21"/>
                <w:lang w:val="en-US" w:eastAsia="zh-CN"/>
              </w:rPr>
              <w:t>5</w:t>
            </w:r>
            <w:r>
              <w:rPr>
                <w:rFonts w:hint="default" w:ascii="Times New Roman" w:hAnsi="Times New Roman" w:eastAsia="宋体" w:cs="Times New Roman"/>
                <w:b w:val="0"/>
                <w:bCs w:val="0"/>
                <w:sz w:val="21"/>
                <w:szCs w:val="21"/>
                <w:lang w:val="en-US" w:eastAsia="zh-CN"/>
              </w:rPr>
              <w:t xml:space="preserve"> -2020</w:t>
            </w:r>
          </w:p>
        </w:tc>
        <w:tc>
          <w:tcPr>
            <w:tcW w:w="791" w:type="dxa"/>
            <w:vAlign w:val="center"/>
          </w:tcPr>
          <w:p w14:paraId="2A047E7D">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Style w:val="324"/>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Cu</w:t>
            </w:r>
          </w:p>
        </w:tc>
        <w:tc>
          <w:tcPr>
            <w:tcW w:w="2711" w:type="dxa"/>
            <w:vAlign w:val="center"/>
          </w:tcPr>
          <w:p w14:paraId="097B04D2">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示值误差、</w:t>
            </w:r>
            <w:r>
              <w:rPr>
                <w:rFonts w:hint="default" w:ascii="Times New Roman" w:hAnsi="Times New Roman" w:eastAsia="宋体" w:cs="Times New Roman"/>
                <w:b w:val="0"/>
                <w:bCs w:val="0"/>
                <w:sz w:val="21"/>
                <w:szCs w:val="21"/>
                <w:lang w:val="en-US" w:eastAsia="zh-CN"/>
              </w:rPr>
              <w:t>重复性、</w:t>
            </w:r>
          </w:p>
          <w:p w14:paraId="39859BEC">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稳定性</w:t>
            </w:r>
          </w:p>
        </w:tc>
      </w:tr>
      <w:tr w14:paraId="6709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vAlign w:val="center"/>
          </w:tcPr>
          <w:p w14:paraId="00F315F6">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铝及铝合金光谱分析标准物质</w:t>
            </w:r>
          </w:p>
        </w:tc>
        <w:tc>
          <w:tcPr>
            <w:tcW w:w="3484" w:type="dxa"/>
            <w:vAlign w:val="center"/>
          </w:tcPr>
          <w:p w14:paraId="3A17486E">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 W(E)020044</w:t>
            </w:r>
          </w:p>
        </w:tc>
        <w:tc>
          <w:tcPr>
            <w:tcW w:w="791" w:type="dxa"/>
            <w:vAlign w:val="center"/>
          </w:tcPr>
          <w:p w14:paraId="0DF99C4B">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Al</w:t>
            </w:r>
          </w:p>
        </w:tc>
        <w:tc>
          <w:tcPr>
            <w:tcW w:w="2711" w:type="dxa"/>
            <w:vAlign w:val="center"/>
          </w:tcPr>
          <w:p w14:paraId="6C789156">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765F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vAlign w:val="center"/>
          </w:tcPr>
          <w:p w14:paraId="48A4ABC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铝及铝合金光谱分析标准物质</w:t>
            </w:r>
          </w:p>
        </w:tc>
        <w:tc>
          <w:tcPr>
            <w:tcW w:w="3484" w:type="dxa"/>
            <w:vAlign w:val="center"/>
          </w:tcPr>
          <w:p w14:paraId="55745F1D">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020057~GBW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020063</w:t>
            </w:r>
          </w:p>
        </w:tc>
        <w:tc>
          <w:tcPr>
            <w:tcW w:w="791" w:type="dxa"/>
            <w:vAlign w:val="center"/>
          </w:tcPr>
          <w:p w14:paraId="076701A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Al</w:t>
            </w:r>
          </w:p>
        </w:tc>
        <w:tc>
          <w:tcPr>
            <w:tcW w:w="2711" w:type="dxa"/>
            <w:vAlign w:val="center"/>
          </w:tcPr>
          <w:p w14:paraId="588DA799">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示值误差、</w:t>
            </w:r>
            <w:r>
              <w:rPr>
                <w:rFonts w:hint="default" w:ascii="Times New Roman" w:hAnsi="Times New Roman" w:eastAsia="宋体" w:cs="Times New Roman"/>
                <w:b w:val="0"/>
                <w:bCs w:val="0"/>
                <w:sz w:val="21"/>
                <w:szCs w:val="21"/>
                <w:lang w:val="en-US" w:eastAsia="zh-CN"/>
              </w:rPr>
              <w:t>重复性、</w:t>
            </w:r>
          </w:p>
          <w:p w14:paraId="47CE8E5A">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稳定性</w:t>
            </w:r>
          </w:p>
        </w:tc>
      </w:tr>
      <w:tr w14:paraId="2B4D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vAlign w:val="center"/>
          </w:tcPr>
          <w:p w14:paraId="4815C6C3">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及</w:t>
            </w: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合金光谱分析标准物质</w:t>
            </w:r>
          </w:p>
        </w:tc>
        <w:tc>
          <w:tcPr>
            <w:tcW w:w="3484" w:type="dxa"/>
            <w:vAlign w:val="center"/>
          </w:tcPr>
          <w:p w14:paraId="4C1B2FD5">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020285</w:t>
            </w: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020289</w:t>
            </w:r>
          </w:p>
        </w:tc>
        <w:tc>
          <w:tcPr>
            <w:tcW w:w="791" w:type="dxa"/>
            <w:vAlign w:val="center"/>
          </w:tcPr>
          <w:p w14:paraId="65AFE14F">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Zn</w:t>
            </w:r>
          </w:p>
        </w:tc>
        <w:tc>
          <w:tcPr>
            <w:tcW w:w="2711" w:type="dxa"/>
            <w:vAlign w:val="center"/>
          </w:tcPr>
          <w:p w14:paraId="461762E4">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219D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vAlign w:val="center"/>
          </w:tcPr>
          <w:p w14:paraId="35BA738D">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及</w:t>
            </w: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合金光谱分析标准物质</w:t>
            </w:r>
          </w:p>
        </w:tc>
        <w:tc>
          <w:tcPr>
            <w:tcW w:w="3484" w:type="dxa"/>
            <w:vAlign w:val="center"/>
          </w:tcPr>
          <w:p w14:paraId="77E72D7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020323~</w:t>
            </w: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020326</w:t>
            </w:r>
          </w:p>
        </w:tc>
        <w:tc>
          <w:tcPr>
            <w:tcW w:w="791" w:type="dxa"/>
            <w:vAlign w:val="center"/>
          </w:tcPr>
          <w:p w14:paraId="4DAA1383">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Zn</w:t>
            </w:r>
          </w:p>
        </w:tc>
        <w:tc>
          <w:tcPr>
            <w:tcW w:w="2711" w:type="dxa"/>
            <w:vAlign w:val="center"/>
          </w:tcPr>
          <w:p w14:paraId="492D7279">
            <w:pPr>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示值误差、</w:t>
            </w:r>
            <w:r>
              <w:rPr>
                <w:rFonts w:hint="default" w:ascii="Times New Roman" w:hAnsi="Times New Roman" w:eastAsia="宋体" w:cs="Times New Roman"/>
                <w:b w:val="0"/>
                <w:bCs w:val="0"/>
                <w:sz w:val="21"/>
                <w:szCs w:val="21"/>
                <w:lang w:val="en-US" w:eastAsia="zh-CN"/>
              </w:rPr>
              <w:t>重复性、</w:t>
            </w:r>
          </w:p>
          <w:p w14:paraId="526C41EE">
            <w:pPr>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稳定性</w:t>
            </w:r>
          </w:p>
        </w:tc>
      </w:tr>
      <w:tr w14:paraId="3DAD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vAlign w:val="center"/>
          </w:tcPr>
          <w:p w14:paraId="2D52E865">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钛</w:t>
            </w:r>
            <w:r>
              <w:rPr>
                <w:rFonts w:hint="default" w:ascii="Times New Roman" w:hAnsi="Times New Roman" w:eastAsia="宋体" w:cs="Times New Roman"/>
                <w:b w:val="0"/>
                <w:bCs w:val="0"/>
                <w:sz w:val="21"/>
                <w:szCs w:val="21"/>
                <w:lang w:val="en-US" w:eastAsia="zh-CN"/>
              </w:rPr>
              <w:t>及</w:t>
            </w:r>
            <w:r>
              <w:rPr>
                <w:rFonts w:hint="eastAsia" w:ascii="Times New Roman" w:hAnsi="Times New Roman" w:eastAsia="宋体" w:cs="Times New Roman"/>
                <w:b w:val="0"/>
                <w:bCs w:val="0"/>
                <w:sz w:val="21"/>
                <w:szCs w:val="21"/>
                <w:lang w:val="en-US" w:eastAsia="zh-CN"/>
              </w:rPr>
              <w:t>钛</w:t>
            </w:r>
            <w:r>
              <w:rPr>
                <w:rFonts w:hint="default" w:ascii="Times New Roman" w:hAnsi="Times New Roman" w:eastAsia="宋体" w:cs="Times New Roman"/>
                <w:b w:val="0"/>
                <w:bCs w:val="0"/>
                <w:sz w:val="21"/>
                <w:szCs w:val="21"/>
                <w:lang w:val="en-US" w:eastAsia="zh-CN"/>
              </w:rPr>
              <w:t>合金光谱分析标准物质</w:t>
            </w:r>
          </w:p>
        </w:tc>
        <w:tc>
          <w:tcPr>
            <w:tcW w:w="3484" w:type="dxa"/>
            <w:vAlign w:val="center"/>
          </w:tcPr>
          <w:p w14:paraId="5166B8E1">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020178</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GBW</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02017</w:t>
            </w:r>
            <w:r>
              <w:rPr>
                <w:rFonts w:hint="eastAsia" w:ascii="Times New Roman" w:hAnsi="Times New Roman" w:eastAsia="宋体" w:cs="Times New Roman"/>
                <w:b w:val="0"/>
                <w:bCs w:val="0"/>
                <w:sz w:val="21"/>
                <w:szCs w:val="21"/>
                <w:lang w:val="en-US" w:eastAsia="zh-CN"/>
              </w:rPr>
              <w:t>9</w:t>
            </w:r>
          </w:p>
        </w:tc>
        <w:tc>
          <w:tcPr>
            <w:tcW w:w="791" w:type="dxa"/>
            <w:vAlign w:val="center"/>
          </w:tcPr>
          <w:p w14:paraId="1BD92A86">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Ti</w:t>
            </w:r>
          </w:p>
        </w:tc>
        <w:tc>
          <w:tcPr>
            <w:tcW w:w="2711" w:type="dxa"/>
            <w:vAlign w:val="center"/>
          </w:tcPr>
          <w:p w14:paraId="55B7F93E">
            <w:pPr>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示值误差、</w:t>
            </w:r>
            <w:r>
              <w:rPr>
                <w:rFonts w:hint="default" w:ascii="Times New Roman" w:hAnsi="Times New Roman" w:eastAsia="宋体" w:cs="Times New Roman"/>
                <w:b w:val="0"/>
                <w:bCs w:val="0"/>
                <w:sz w:val="21"/>
                <w:szCs w:val="21"/>
                <w:lang w:val="en-US" w:eastAsia="zh-CN"/>
              </w:rPr>
              <w:t>重复性、</w:t>
            </w:r>
          </w:p>
          <w:p w14:paraId="5F758FB2">
            <w:pPr>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稳定性</w:t>
            </w:r>
          </w:p>
        </w:tc>
      </w:tr>
      <w:tr w14:paraId="0A71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shd w:val="clear" w:color="auto" w:fill="auto"/>
            <w:vAlign w:val="center"/>
          </w:tcPr>
          <w:p w14:paraId="16638665">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铅锭光谱与化学标准样品</w:t>
            </w:r>
          </w:p>
        </w:tc>
        <w:tc>
          <w:tcPr>
            <w:tcW w:w="3484" w:type="dxa"/>
            <w:shd w:val="clear" w:color="auto" w:fill="auto"/>
            <w:vAlign w:val="center"/>
          </w:tcPr>
          <w:p w14:paraId="2C11C66C">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GSB 04-3287-2016</w:t>
            </w:r>
          </w:p>
        </w:tc>
        <w:tc>
          <w:tcPr>
            <w:tcW w:w="791" w:type="dxa"/>
            <w:shd w:val="clear" w:color="auto" w:fill="auto"/>
            <w:vAlign w:val="center"/>
          </w:tcPr>
          <w:p w14:paraId="450DD53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Pb</w:t>
            </w:r>
          </w:p>
        </w:tc>
        <w:tc>
          <w:tcPr>
            <w:tcW w:w="2711" w:type="dxa"/>
            <w:shd w:val="clear" w:color="auto" w:fill="auto"/>
            <w:vAlign w:val="center"/>
          </w:tcPr>
          <w:p w14:paraId="36BF9F17">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检出限</w:t>
            </w:r>
          </w:p>
        </w:tc>
      </w:tr>
      <w:tr w14:paraId="0E3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shd w:val="clear" w:color="auto" w:fill="auto"/>
            <w:vAlign w:val="center"/>
          </w:tcPr>
          <w:p w14:paraId="2384C8B3">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无铅锡基焊料光谱标准样品</w:t>
            </w:r>
          </w:p>
        </w:tc>
        <w:tc>
          <w:tcPr>
            <w:tcW w:w="3484" w:type="dxa"/>
            <w:shd w:val="clear" w:color="auto" w:fill="auto"/>
            <w:vAlign w:val="center"/>
          </w:tcPr>
          <w:p w14:paraId="33E525A4">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GSB</w:t>
            </w:r>
            <w:r>
              <w:rPr>
                <w:rFonts w:hint="eastAsia" w:ascii="Times New Roman" w:hAnsi="Times New Roman"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04-3225-2014</w:t>
            </w:r>
          </w:p>
        </w:tc>
        <w:tc>
          <w:tcPr>
            <w:tcW w:w="791" w:type="dxa"/>
            <w:shd w:val="clear" w:color="auto" w:fill="auto"/>
            <w:vAlign w:val="center"/>
          </w:tcPr>
          <w:p w14:paraId="770D7F42">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Pb</w:t>
            </w:r>
          </w:p>
        </w:tc>
        <w:tc>
          <w:tcPr>
            <w:tcW w:w="2711" w:type="dxa"/>
            <w:shd w:val="clear" w:color="auto" w:fill="auto"/>
            <w:vAlign w:val="center"/>
          </w:tcPr>
          <w:p w14:paraId="1DD08A1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示值误差、</w:t>
            </w:r>
            <w:r>
              <w:rPr>
                <w:rFonts w:hint="default" w:ascii="Times New Roman" w:hAnsi="Times New Roman" w:eastAsia="宋体" w:cs="Times New Roman"/>
                <w:b w:val="0"/>
                <w:bCs w:val="0"/>
                <w:sz w:val="21"/>
                <w:szCs w:val="21"/>
                <w:lang w:val="en-US" w:eastAsia="zh-CN"/>
              </w:rPr>
              <w:t>重复性、</w:t>
            </w:r>
          </w:p>
          <w:p w14:paraId="2C6AA5B2">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稳定性</w:t>
            </w:r>
          </w:p>
        </w:tc>
      </w:tr>
      <w:tr w14:paraId="68AA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shd w:val="clear" w:color="auto" w:fill="auto"/>
            <w:vAlign w:val="center"/>
          </w:tcPr>
          <w:p w14:paraId="412043CF">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镍光谱标准样品</w:t>
            </w:r>
          </w:p>
        </w:tc>
        <w:tc>
          <w:tcPr>
            <w:tcW w:w="3484" w:type="dxa"/>
            <w:shd w:val="clear" w:color="auto" w:fill="auto"/>
            <w:vAlign w:val="center"/>
          </w:tcPr>
          <w:p w14:paraId="0252588E">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YSS</w:t>
            </w:r>
            <w:r>
              <w:rPr>
                <w:rFonts w:hint="eastAsia" w:ascii="Times New Roman" w:hAnsi="Times New Roman"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095-2018</w:t>
            </w:r>
          </w:p>
        </w:tc>
        <w:tc>
          <w:tcPr>
            <w:tcW w:w="791" w:type="dxa"/>
            <w:shd w:val="clear" w:color="auto" w:fill="auto"/>
            <w:vAlign w:val="center"/>
          </w:tcPr>
          <w:p w14:paraId="2D902610">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Ni</w:t>
            </w:r>
          </w:p>
        </w:tc>
        <w:tc>
          <w:tcPr>
            <w:tcW w:w="2711" w:type="dxa"/>
            <w:shd w:val="clear" w:color="auto" w:fill="auto"/>
            <w:vAlign w:val="center"/>
          </w:tcPr>
          <w:p w14:paraId="033B894F">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r>
              <w:rPr>
                <w:rFonts w:hint="eastAsia" w:ascii="Times New Roman" w:hAnsi="Times New Roman" w:cs="Times New Roman"/>
                <w:b w:val="0"/>
                <w:bCs w:val="0"/>
                <w:sz w:val="21"/>
                <w:szCs w:val="21"/>
                <w:lang w:val="en-US" w:eastAsia="zh-CN"/>
              </w:rPr>
              <w:t>示值误差、</w:t>
            </w:r>
          </w:p>
          <w:p w14:paraId="19A65E92">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重复性、稳定性</w:t>
            </w:r>
          </w:p>
        </w:tc>
      </w:tr>
      <w:tr w14:paraId="442C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shd w:val="clear" w:color="auto" w:fill="auto"/>
            <w:vAlign w:val="center"/>
          </w:tcPr>
          <w:p w14:paraId="4CA39EA4">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钴光谱标准样品</w:t>
            </w:r>
          </w:p>
        </w:tc>
        <w:tc>
          <w:tcPr>
            <w:tcW w:w="3484" w:type="dxa"/>
            <w:shd w:val="clear" w:color="auto" w:fill="auto"/>
            <w:vAlign w:val="center"/>
          </w:tcPr>
          <w:p w14:paraId="4D729DF8">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YSS</w:t>
            </w:r>
            <w:r>
              <w:rPr>
                <w:rFonts w:hint="eastAsia" w:ascii="Times New Roman" w:hAnsi="Times New Roman"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094-2018</w:t>
            </w:r>
          </w:p>
        </w:tc>
        <w:tc>
          <w:tcPr>
            <w:tcW w:w="791" w:type="dxa"/>
            <w:shd w:val="clear" w:color="auto" w:fill="auto"/>
            <w:vAlign w:val="center"/>
          </w:tcPr>
          <w:p w14:paraId="79E54A88">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Co</w:t>
            </w:r>
          </w:p>
        </w:tc>
        <w:tc>
          <w:tcPr>
            <w:tcW w:w="2711" w:type="dxa"/>
            <w:shd w:val="clear" w:color="auto" w:fill="auto"/>
            <w:vAlign w:val="center"/>
          </w:tcPr>
          <w:p w14:paraId="5BB0C0BD">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r>
              <w:rPr>
                <w:rFonts w:hint="eastAsia" w:ascii="Times New Roman" w:hAnsi="Times New Roman" w:cs="Times New Roman"/>
                <w:b w:val="0"/>
                <w:bCs w:val="0"/>
                <w:sz w:val="21"/>
                <w:szCs w:val="21"/>
                <w:lang w:val="en-US" w:eastAsia="zh-CN"/>
              </w:rPr>
              <w:t>示值误差、</w:t>
            </w:r>
          </w:p>
          <w:p w14:paraId="3E3D2B1C">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重复性、稳定性</w:t>
            </w:r>
          </w:p>
        </w:tc>
      </w:tr>
      <w:tr w14:paraId="61FF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60" w:type="dxa"/>
            <w:shd w:val="clear" w:color="auto" w:fill="auto"/>
            <w:vAlign w:val="center"/>
          </w:tcPr>
          <w:p w14:paraId="10681AED">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厚度片</w:t>
            </w:r>
          </w:p>
        </w:tc>
        <w:tc>
          <w:tcPr>
            <w:tcW w:w="3484" w:type="dxa"/>
            <w:shd w:val="clear" w:color="auto" w:fill="auto"/>
            <w:vAlign w:val="center"/>
          </w:tcPr>
          <w:p w14:paraId="549FA706">
            <w:pPr>
              <w:pStyle w:val="39"/>
              <w:keepNext w:val="0"/>
              <w:keepLines w:val="0"/>
              <w:pageBreakBefore w:val="0"/>
              <w:widowControl w:val="0"/>
              <w:kinsoku/>
              <w:wordWrap/>
              <w:overflowPunct/>
              <w:topLinePunct w:val="0"/>
              <w:autoSpaceDE/>
              <w:autoSpaceDN/>
              <w:bidi w:val="0"/>
              <w:adjustRightInd/>
              <w:snapToGrid/>
              <w:spacing w:before="0" w:after="0" w:line="300" w:lineRule="auto"/>
              <w:jc w:val="left"/>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铜基镀镍厚度片（或其他基体厚度片），厚度</w:t>
            </w:r>
            <w:r>
              <w:rPr>
                <w:rFonts w:hint="default" w:ascii="Times New Roman" w:hAnsi="Times New Roman" w:eastAsia="宋体" w:cs="Times New Roman"/>
                <w:b w:val="0"/>
                <w:bCs w:val="0"/>
                <w:sz w:val="21"/>
                <w:szCs w:val="21"/>
                <w:lang w:val="en-US" w:eastAsia="zh-CN"/>
              </w:rPr>
              <w:t>≤20μm</w:t>
            </w:r>
            <w:r>
              <w:rPr>
                <w:rFonts w:hint="eastAsia" w:ascii="Times New Roman" w:hAnsi="Times New Roman" w:eastAsia="宋体" w:cs="Times New Roman"/>
                <w:b w:val="0"/>
                <w:bCs w:val="0"/>
                <w:sz w:val="21"/>
                <w:szCs w:val="21"/>
                <w:lang w:val="en-US" w:eastAsia="zh-CN"/>
              </w:rPr>
              <w:t>；或镀层厚度均匀的铜基镀镍样品（或其他基体含镀层样品）</w:t>
            </w:r>
          </w:p>
        </w:tc>
        <w:tc>
          <w:tcPr>
            <w:tcW w:w="791" w:type="dxa"/>
            <w:shd w:val="clear" w:color="auto" w:fill="auto"/>
            <w:vAlign w:val="center"/>
          </w:tcPr>
          <w:p w14:paraId="400E5F48">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eastAsia" w:ascii="Times New Roman" w:hAnsi="Times New Roman" w:eastAsia="宋体" w:cs="Times New Roman"/>
                <w:b w:val="0"/>
                <w:bCs w:val="0"/>
                <w:sz w:val="21"/>
                <w:szCs w:val="21"/>
                <w:lang w:val="en-US" w:eastAsia="zh-CN"/>
              </w:rPr>
            </w:pPr>
          </w:p>
        </w:tc>
        <w:tc>
          <w:tcPr>
            <w:tcW w:w="2711" w:type="dxa"/>
            <w:shd w:val="clear" w:color="auto" w:fill="auto"/>
            <w:vAlign w:val="center"/>
          </w:tcPr>
          <w:p w14:paraId="0C371EA5">
            <w:pPr>
              <w:pStyle w:val="39"/>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深度测量重复性</w:t>
            </w:r>
          </w:p>
        </w:tc>
      </w:tr>
      <w:bookmarkEnd w:id="49"/>
      <w:bookmarkEnd w:id="50"/>
      <w:bookmarkEnd w:id="51"/>
      <w:bookmarkEnd w:id="52"/>
      <w:bookmarkEnd w:id="53"/>
      <w:bookmarkEnd w:id="54"/>
      <w:bookmarkEnd w:id="56"/>
      <w:bookmarkEnd w:id="57"/>
      <w:bookmarkEnd w:id="58"/>
      <w:bookmarkEnd w:id="59"/>
      <w:bookmarkEnd w:id="60"/>
      <w:bookmarkEnd w:id="61"/>
      <w:bookmarkEnd w:id="62"/>
      <w:bookmarkEnd w:id="63"/>
      <w:bookmarkEnd w:id="64"/>
      <w:bookmarkEnd w:id="65"/>
      <w:bookmarkEnd w:id="66"/>
      <w:bookmarkEnd w:id="67"/>
    </w:tbl>
    <w:p w14:paraId="5F89E97E">
      <w:pPr>
        <w:keepNext w:val="0"/>
        <w:keepLines w:val="0"/>
        <w:pageBreakBefore w:val="0"/>
        <w:kinsoku/>
        <w:wordWrap/>
        <w:overflowPunct/>
        <w:topLinePunct w:val="0"/>
        <w:bidi w:val="0"/>
        <w:adjustRightInd/>
        <w:snapToGrid/>
        <w:spacing w:line="300" w:lineRule="auto"/>
        <w:textAlignment w:val="auto"/>
        <w:outlineLvl w:val="0"/>
        <w:rPr>
          <w:rFonts w:hint="eastAsia" w:ascii="黑体" w:hAnsi="黑体" w:eastAsia="黑体" w:cs="黑体"/>
          <w:sz w:val="24"/>
        </w:rPr>
      </w:pPr>
      <w:bookmarkStart w:id="68" w:name="_Toc1818"/>
      <w:bookmarkStart w:id="69" w:name="_Toc12797"/>
      <w:bookmarkStart w:id="70" w:name="_Toc7975"/>
      <w:bookmarkStart w:id="71" w:name="_Toc23968"/>
      <w:bookmarkStart w:id="72" w:name="_Toc21005"/>
      <w:bookmarkStart w:id="73" w:name="_Toc19080"/>
      <w:bookmarkStart w:id="74" w:name="_Toc7085"/>
      <w:bookmarkStart w:id="75" w:name="_Toc1970"/>
      <w:r>
        <w:rPr>
          <w:rFonts w:hint="eastAsia" w:ascii="黑体" w:hAnsi="黑体" w:eastAsia="黑体" w:cs="黑体"/>
          <w:b w:val="0"/>
          <w:bCs/>
          <w:kern w:val="0"/>
          <w:sz w:val="24"/>
        </w:rPr>
        <w:t xml:space="preserve">6 </w:t>
      </w:r>
      <w:r>
        <w:rPr>
          <w:rStyle w:val="324"/>
          <w:rFonts w:hint="eastAsia" w:ascii="黑体" w:hAnsi="黑体" w:eastAsia="黑体" w:cs="黑体"/>
          <w:b w:val="0"/>
          <w:bCs/>
          <w:sz w:val="24"/>
        </w:rPr>
        <w:t>校准项目和校准方法</w:t>
      </w:r>
      <w:bookmarkEnd w:id="68"/>
      <w:bookmarkEnd w:id="69"/>
      <w:bookmarkEnd w:id="70"/>
      <w:bookmarkEnd w:id="71"/>
      <w:bookmarkEnd w:id="72"/>
      <w:bookmarkEnd w:id="73"/>
      <w:bookmarkEnd w:id="74"/>
      <w:bookmarkEnd w:id="75"/>
    </w:p>
    <w:p w14:paraId="05906529">
      <w:pPr>
        <w:pStyle w:val="59"/>
        <w:keepNext w:val="0"/>
        <w:keepLines w:val="0"/>
        <w:pageBreakBefore w:val="0"/>
        <w:kinsoku/>
        <w:wordWrap/>
        <w:overflowPunct/>
        <w:topLinePunct w:val="0"/>
        <w:bidi w:val="0"/>
        <w:adjustRightInd/>
        <w:snapToGrid/>
        <w:spacing w:line="300" w:lineRule="auto"/>
        <w:ind w:firstLine="0" w:firstLineChars="0"/>
        <w:textAlignment w:val="auto"/>
        <w:outlineLvl w:val="1"/>
        <w:rPr>
          <w:rFonts w:hint="eastAsia" w:ascii="Times New Roman"/>
          <w:sz w:val="24"/>
          <w:szCs w:val="24"/>
        </w:rPr>
      </w:pPr>
      <w:bookmarkStart w:id="76" w:name="_Toc14936"/>
      <w:bookmarkStart w:id="77" w:name="_Toc21548"/>
      <w:bookmarkStart w:id="78" w:name="_Toc10967"/>
      <w:bookmarkStart w:id="79" w:name="_Toc23104"/>
      <w:bookmarkStart w:id="80" w:name="_Toc15625"/>
      <w:r>
        <w:rPr>
          <w:rFonts w:hint="eastAsia" w:ascii="Times New Roman"/>
          <w:sz w:val="24"/>
          <w:szCs w:val="24"/>
        </w:rPr>
        <w:t>6.1 校准项目</w:t>
      </w:r>
      <w:bookmarkEnd w:id="76"/>
    </w:p>
    <w:p w14:paraId="22F43A64">
      <w:pPr>
        <w:pStyle w:val="59"/>
        <w:keepNext w:val="0"/>
        <w:keepLines w:val="0"/>
        <w:pageBreakBefore w:val="0"/>
        <w:widowControl/>
        <w:kinsoku/>
        <w:wordWrap/>
        <w:overflowPunct/>
        <w:topLinePunct w:val="0"/>
        <w:autoSpaceDE w:val="0"/>
        <w:autoSpaceDN w:val="0"/>
        <w:bidi w:val="0"/>
        <w:adjustRightInd/>
        <w:snapToGrid/>
        <w:spacing w:line="300" w:lineRule="auto"/>
        <w:ind w:firstLine="480" w:firstLineChars="200"/>
        <w:textAlignment w:val="auto"/>
        <w:outlineLvl w:val="9"/>
        <w:rPr>
          <w:rFonts w:hint="eastAsia" w:ascii="Times New Roman"/>
          <w:sz w:val="24"/>
          <w:szCs w:val="24"/>
          <w:lang w:val="en-US" w:eastAsia="zh-CN"/>
        </w:rPr>
      </w:pPr>
      <w:r>
        <w:rPr>
          <w:rFonts w:hint="eastAsia" w:ascii="Times New Roman"/>
          <w:sz w:val="24"/>
          <w:szCs w:val="24"/>
          <w:lang w:val="en-US" w:eastAsia="zh-CN"/>
        </w:rPr>
        <w:t>检出限、示值误差、</w:t>
      </w:r>
      <w:bookmarkStart w:id="102" w:name="_GoBack"/>
      <w:bookmarkEnd w:id="102"/>
      <w:r>
        <w:rPr>
          <w:rFonts w:hint="eastAsia" w:ascii="Times New Roman"/>
          <w:sz w:val="24"/>
          <w:szCs w:val="24"/>
          <w:lang w:val="en-US" w:eastAsia="zh-CN"/>
        </w:rPr>
        <w:t>重复性和稳定性、深度测量重复性。</w:t>
      </w:r>
    </w:p>
    <w:p w14:paraId="30D06FB6">
      <w:pPr>
        <w:pStyle w:val="59"/>
        <w:keepNext w:val="0"/>
        <w:keepLines w:val="0"/>
        <w:pageBreakBefore w:val="0"/>
        <w:widowControl/>
        <w:kinsoku/>
        <w:wordWrap/>
        <w:overflowPunct/>
        <w:topLinePunct w:val="0"/>
        <w:autoSpaceDE w:val="0"/>
        <w:autoSpaceDN w:val="0"/>
        <w:bidi w:val="0"/>
        <w:adjustRightInd w:val="0"/>
        <w:snapToGrid w:val="0"/>
        <w:spacing w:line="300" w:lineRule="auto"/>
        <w:ind w:firstLine="0" w:firstLineChars="0"/>
        <w:textAlignment w:val="auto"/>
        <w:outlineLvl w:val="1"/>
        <w:rPr>
          <w:rFonts w:ascii="Times New Roman"/>
          <w:sz w:val="24"/>
          <w:szCs w:val="24"/>
        </w:rPr>
      </w:pPr>
      <w:bookmarkStart w:id="81" w:name="_Toc11682"/>
      <w:r>
        <w:rPr>
          <w:rFonts w:hint="eastAsia" w:ascii="Times New Roman"/>
          <w:sz w:val="24"/>
          <w:szCs w:val="24"/>
        </w:rPr>
        <w:t>6</w:t>
      </w:r>
      <w:r>
        <w:rPr>
          <w:rFonts w:ascii="Times New Roman"/>
          <w:sz w:val="24"/>
          <w:szCs w:val="24"/>
        </w:rPr>
        <w:t>.</w:t>
      </w:r>
      <w:r>
        <w:rPr>
          <w:rFonts w:hint="eastAsia" w:ascii="Times New Roman"/>
          <w:sz w:val="24"/>
          <w:szCs w:val="24"/>
        </w:rPr>
        <w:t>2</w:t>
      </w:r>
      <w:r>
        <w:rPr>
          <w:rFonts w:ascii="Times New Roman"/>
          <w:sz w:val="24"/>
          <w:szCs w:val="24"/>
        </w:rPr>
        <w:t xml:space="preserve"> 校准方法</w:t>
      </w:r>
      <w:bookmarkEnd w:id="81"/>
    </w:p>
    <w:p w14:paraId="089988AE">
      <w:pPr>
        <w:pStyle w:val="59"/>
        <w:keepNext w:val="0"/>
        <w:keepLines w:val="0"/>
        <w:pageBreakBefore w:val="0"/>
        <w:widowControl/>
        <w:kinsoku/>
        <w:wordWrap/>
        <w:overflowPunct/>
        <w:topLinePunct w:val="0"/>
        <w:autoSpaceDE w:val="0"/>
        <w:autoSpaceDN w:val="0"/>
        <w:bidi w:val="0"/>
        <w:adjustRightInd w:val="0"/>
        <w:snapToGrid w:val="0"/>
        <w:spacing w:line="300" w:lineRule="auto"/>
        <w:ind w:firstLine="0" w:firstLineChars="0"/>
        <w:textAlignment w:val="auto"/>
        <w:outlineLvl w:val="2"/>
        <w:rPr>
          <w:rFonts w:hint="default" w:ascii="Times New Roman"/>
          <w:sz w:val="24"/>
          <w:szCs w:val="24"/>
          <w:lang w:val="en-US" w:eastAsia="zh-CN"/>
        </w:rPr>
      </w:pPr>
      <w:r>
        <w:rPr>
          <w:rFonts w:hint="eastAsia" w:ascii="Times New Roman"/>
          <w:sz w:val="24"/>
          <w:szCs w:val="24"/>
          <w:lang w:val="en-US" w:eastAsia="zh-CN"/>
        </w:rPr>
        <w:t>6.2.1 校准前准备</w:t>
      </w:r>
    </w:p>
    <w:bookmarkEnd w:id="77"/>
    <w:bookmarkEnd w:id="78"/>
    <w:bookmarkEnd w:id="79"/>
    <w:bookmarkEnd w:id="80"/>
    <w:p w14:paraId="680B1394">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outlineLvl w:val="1"/>
        <w:rPr>
          <w:rFonts w:hint="eastAsia" w:ascii="Times New Roman"/>
          <w:sz w:val="24"/>
          <w:szCs w:val="24"/>
          <w:highlight w:val="none"/>
        </w:rPr>
      </w:pPr>
      <w:bookmarkStart w:id="82" w:name="_Toc29525"/>
      <w:bookmarkStart w:id="83" w:name="_Toc28313"/>
      <w:bookmarkStart w:id="84" w:name="_Toc12337"/>
      <w:bookmarkStart w:id="85" w:name="_Toc30955"/>
      <w:r>
        <w:rPr>
          <w:rFonts w:hint="eastAsia" w:asciiTheme="minorEastAsia" w:hAnsiTheme="minorEastAsia" w:eastAsiaTheme="minorEastAsia"/>
          <w:sz w:val="24"/>
          <w:highlight w:val="none"/>
        </w:rPr>
        <w:t>目视检查仪器外观</w:t>
      </w:r>
      <w:r>
        <w:rPr>
          <w:rFonts w:hint="default" w:ascii="Times New Roman"/>
          <w:sz w:val="24"/>
          <w:szCs w:val="24"/>
          <w:highlight w:val="none"/>
          <w:lang w:val="en-US" w:eastAsia="zh-CN"/>
        </w:rPr>
        <w:t>和铭牌</w:t>
      </w:r>
      <w:r>
        <w:rPr>
          <w:rFonts w:hint="eastAsia" w:asciiTheme="minorEastAsia" w:hAnsiTheme="minorEastAsia" w:eastAsiaTheme="minorEastAsia"/>
          <w:sz w:val="24"/>
          <w:highlight w:val="none"/>
          <w:lang w:eastAsia="zh-CN"/>
        </w:rPr>
        <w:t>，</w:t>
      </w:r>
      <w:r>
        <w:rPr>
          <w:rFonts w:hint="eastAsia" w:ascii="Times New Roman"/>
          <w:sz w:val="24"/>
          <w:szCs w:val="24"/>
          <w:highlight w:val="none"/>
          <w:lang w:val="en-US" w:eastAsia="zh-CN"/>
        </w:rPr>
        <w:t>应有仪器名称、型号、制造厂商、出厂编号与出厂日期；</w:t>
      </w:r>
      <w:r>
        <w:rPr>
          <w:rFonts w:hint="default" w:ascii="Times New Roman"/>
          <w:sz w:val="24"/>
          <w:szCs w:val="24"/>
          <w:highlight w:val="none"/>
          <w:lang w:val="en-US" w:eastAsia="zh-CN"/>
        </w:rPr>
        <w:t>接通电源检查设备</w:t>
      </w:r>
      <w:r>
        <w:rPr>
          <w:rFonts w:hint="eastAsia" w:ascii="Times New Roman"/>
          <w:sz w:val="24"/>
          <w:szCs w:val="24"/>
          <w:highlight w:val="none"/>
          <w:lang w:val="en-US" w:eastAsia="zh-CN"/>
        </w:rPr>
        <w:t>（</w:t>
      </w:r>
      <w:r>
        <w:rPr>
          <w:rFonts w:hint="default" w:ascii="Times New Roman"/>
          <w:sz w:val="24"/>
          <w:szCs w:val="24"/>
          <w:highlight w:val="none"/>
          <w:lang w:val="en-US" w:eastAsia="zh-CN"/>
        </w:rPr>
        <w:t>含附件</w:t>
      </w:r>
      <w:r>
        <w:rPr>
          <w:rFonts w:hint="eastAsia" w:ascii="Times New Roman"/>
          <w:sz w:val="24"/>
          <w:szCs w:val="24"/>
          <w:highlight w:val="none"/>
          <w:lang w:val="en-US" w:eastAsia="zh-CN"/>
        </w:rPr>
        <w:t>）、</w:t>
      </w:r>
      <w:r>
        <w:rPr>
          <w:rFonts w:hint="default" w:ascii="Times New Roman"/>
          <w:sz w:val="24"/>
          <w:szCs w:val="24"/>
          <w:highlight w:val="none"/>
          <w:lang w:val="en-US" w:eastAsia="zh-CN"/>
        </w:rPr>
        <w:t>测试软件</w:t>
      </w:r>
      <w:r>
        <w:rPr>
          <w:rFonts w:hint="eastAsia" w:ascii="Times New Roman"/>
          <w:sz w:val="24"/>
          <w:szCs w:val="24"/>
          <w:highlight w:val="none"/>
          <w:lang w:val="en-US" w:eastAsia="zh-CN"/>
        </w:rPr>
        <w:t>、</w:t>
      </w:r>
      <w:r>
        <w:rPr>
          <w:rFonts w:hint="default" w:ascii="Times New Roman"/>
          <w:sz w:val="24"/>
          <w:szCs w:val="24"/>
          <w:highlight w:val="none"/>
          <w:lang w:val="en-US" w:eastAsia="zh-CN"/>
        </w:rPr>
        <w:t>压力表、气路密闭性等运行正常</w:t>
      </w:r>
      <w:r>
        <w:rPr>
          <w:rFonts w:hint="eastAsia" w:ascii="Times New Roman"/>
          <w:sz w:val="24"/>
          <w:szCs w:val="24"/>
          <w:highlight w:val="none"/>
          <w:lang w:val="en-US" w:eastAsia="zh-CN"/>
        </w:rPr>
        <w:t>后，</w:t>
      </w:r>
      <w:r>
        <w:rPr>
          <w:rFonts w:hint="eastAsia" w:ascii="Times New Roman"/>
          <w:sz w:val="24"/>
          <w:szCs w:val="24"/>
          <w:highlight w:val="none"/>
        </w:rPr>
        <w:t>按仪器说明书要求</w:t>
      </w:r>
      <w:r>
        <w:rPr>
          <w:rFonts w:hint="eastAsia" w:ascii="Times New Roman" w:cs="Times New Roman"/>
          <w:sz w:val="24"/>
          <w:szCs w:val="24"/>
          <w:highlight w:val="none"/>
          <w:lang w:val="en-US" w:eastAsia="zh-CN"/>
        </w:rPr>
        <w:t>开机，一般保证通电时间2小时以上，使测光系统工作稳定</w:t>
      </w:r>
      <w:r>
        <w:rPr>
          <w:rFonts w:hint="eastAsia" w:ascii="Times New Roman"/>
          <w:sz w:val="24"/>
          <w:szCs w:val="24"/>
          <w:highlight w:val="none"/>
        </w:rPr>
        <w:t>，仪器参数设置见</w:t>
      </w:r>
      <w:r>
        <w:rPr>
          <w:rFonts w:hint="eastAsia" w:ascii="Times New Roman"/>
          <w:sz w:val="24"/>
          <w:szCs w:val="24"/>
          <w:highlight w:val="none"/>
          <w:lang w:val="en-US" w:eastAsia="zh-CN"/>
        </w:rPr>
        <w:t>表5</w:t>
      </w:r>
      <w:r>
        <w:rPr>
          <w:rFonts w:hint="eastAsia" w:ascii="Times New Roman"/>
          <w:sz w:val="24"/>
          <w:szCs w:val="24"/>
          <w:highlight w:val="none"/>
        </w:rPr>
        <w:t>。</w:t>
      </w:r>
    </w:p>
    <w:p w14:paraId="03F4EB15">
      <w:pPr>
        <w:jc w:val="center"/>
        <w:rPr>
          <w:rFonts w:hint="eastAsia" w:ascii="黑体" w:hAnsi="黑体" w:eastAsia="黑体" w:cs="黑体"/>
          <w:sz w:val="24"/>
          <w:highlight w:val="yellow"/>
          <w:lang w:val="en-US" w:eastAsia="zh-CN"/>
        </w:rPr>
      </w:pPr>
      <w:r>
        <w:rPr>
          <w:rFonts w:hint="eastAsia" w:ascii="黑体" w:hAnsi="黑体" w:eastAsia="黑体" w:cs="黑体"/>
          <w:sz w:val="24"/>
          <w:lang w:val="en-US" w:eastAsia="zh-CN"/>
        </w:rPr>
        <w:t xml:space="preserve">表5 </w:t>
      </w:r>
      <w:r>
        <w:rPr>
          <w:rFonts w:hint="eastAsia" w:ascii="黑体" w:hAnsi="黑体" w:eastAsia="黑体" w:cs="黑体"/>
          <w:sz w:val="24"/>
        </w:rPr>
        <w:t>有色金属材料分析用辉光放电光谱仪推荐测量条件</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9"/>
        <w:gridCol w:w="1589"/>
        <w:gridCol w:w="3895"/>
      </w:tblGrid>
      <w:tr w14:paraId="140E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4728" w:type="dxa"/>
            <w:gridSpan w:val="2"/>
            <w:vAlign w:val="center"/>
          </w:tcPr>
          <w:p w14:paraId="299C8A34">
            <w:pPr>
              <w:jc w:val="center"/>
              <w:rPr>
                <w:rFonts w:hint="default" w:ascii="Times New Roman" w:hAnsi="Times New Roman" w:cs="Times New Roman"/>
                <w:sz w:val="24"/>
                <w:vertAlign w:val="baseline"/>
              </w:rPr>
            </w:pPr>
            <w:r>
              <w:rPr>
                <w:rFonts w:hint="default" w:ascii="Times New Roman" w:hAnsi="Times New Roman" w:cs="Times New Roman"/>
                <w:sz w:val="24"/>
                <w:vertAlign w:val="baseline"/>
              </w:rPr>
              <w:t>测量参数</w:t>
            </w:r>
          </w:p>
        </w:tc>
        <w:tc>
          <w:tcPr>
            <w:tcW w:w="3895" w:type="dxa"/>
            <w:vAlign w:val="center"/>
          </w:tcPr>
          <w:p w14:paraId="0C8098EF">
            <w:pPr>
              <w:jc w:val="center"/>
              <w:rPr>
                <w:rFonts w:hint="default" w:ascii="Times New Roman" w:hAnsi="Times New Roman" w:cs="Times New Roman"/>
                <w:sz w:val="24"/>
                <w:vertAlign w:val="baseline"/>
              </w:rPr>
            </w:pPr>
            <w:r>
              <w:rPr>
                <w:rFonts w:hint="default" w:ascii="Times New Roman" w:hAnsi="Times New Roman" w:cs="Times New Roman"/>
                <w:sz w:val="24"/>
                <w:vertAlign w:val="baseline"/>
              </w:rPr>
              <w:t>测量条件</w:t>
            </w:r>
          </w:p>
        </w:tc>
      </w:tr>
      <w:tr w14:paraId="7CB3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4728" w:type="dxa"/>
            <w:gridSpan w:val="2"/>
            <w:vAlign w:val="center"/>
          </w:tcPr>
          <w:p w14:paraId="177A14D7">
            <w:pPr>
              <w:jc w:val="center"/>
              <w:rPr>
                <w:rFonts w:hint="default" w:ascii="Times New Roman" w:hAnsi="Times New Roman" w:cs="Times New Roman"/>
                <w:sz w:val="24"/>
                <w:highlight w:val="none"/>
                <w:vertAlign w:val="baseline"/>
              </w:rPr>
            </w:pPr>
            <w:r>
              <w:rPr>
                <w:rFonts w:hint="default" w:ascii="Times New Roman" w:hAnsi="Times New Roman" w:cs="Times New Roman"/>
                <w:sz w:val="24"/>
                <w:highlight w:val="none"/>
                <w:vertAlign w:val="baseline"/>
              </w:rPr>
              <w:t>激发电压</w:t>
            </w:r>
            <w:r>
              <w:rPr>
                <w:rFonts w:hint="default" w:ascii="Times New Roman" w:hAnsi="Times New Roman" w:eastAsia="宋体" w:cs="Times New Roman"/>
                <w:sz w:val="24"/>
                <w:highlight w:val="none"/>
                <w:vertAlign w:val="baseline"/>
                <w:lang w:eastAsia="zh-CN"/>
              </w:rPr>
              <w:t>/</w:t>
            </w:r>
            <w:r>
              <w:rPr>
                <w:rFonts w:hint="default" w:ascii="Times New Roman" w:hAnsi="Times New Roman" w:cs="Times New Roman"/>
                <w:sz w:val="24"/>
                <w:highlight w:val="none"/>
                <w:vertAlign w:val="baseline"/>
              </w:rPr>
              <w:t>V</w:t>
            </w:r>
          </w:p>
        </w:tc>
        <w:tc>
          <w:tcPr>
            <w:tcW w:w="3895" w:type="dxa"/>
            <w:vAlign w:val="center"/>
          </w:tcPr>
          <w:p w14:paraId="4E771FA5">
            <w:pPr>
              <w:jc w:val="center"/>
              <w:rPr>
                <w:rFonts w:hint="default" w:ascii="Times New Roman" w:hAnsi="Times New Roman" w:eastAsia="宋体" w:cs="Times New Roman"/>
                <w:sz w:val="24"/>
                <w:vertAlign w:val="baseline"/>
                <w:lang w:val="en-US" w:eastAsia="zh-CN"/>
              </w:rPr>
            </w:pPr>
            <w:r>
              <w:rPr>
                <w:rFonts w:hint="default" w:ascii="Times New Roman" w:hAnsi="Times New Roman" w:cs="Times New Roman"/>
                <w:sz w:val="24"/>
                <w:vertAlign w:val="baseline"/>
              </w:rPr>
              <w:t>600~1300</w:t>
            </w:r>
          </w:p>
        </w:tc>
      </w:tr>
      <w:tr w14:paraId="3C48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3139" w:type="dxa"/>
            <w:vMerge w:val="restart"/>
            <w:vAlign w:val="center"/>
          </w:tcPr>
          <w:p w14:paraId="56AB5666">
            <w:pPr>
              <w:jc w:val="center"/>
              <w:rPr>
                <w:rFonts w:hint="default" w:ascii="Times New Roman" w:hAnsi="Times New Roman" w:eastAsia="宋体" w:cs="Times New Roman"/>
                <w:sz w:val="24"/>
                <w:highlight w:val="none"/>
                <w:vertAlign w:val="baseline"/>
                <w:lang w:eastAsia="zh-CN"/>
              </w:rPr>
            </w:pPr>
            <w:r>
              <w:rPr>
                <w:rFonts w:hint="default" w:ascii="Times New Roman" w:hAnsi="Times New Roman" w:cs="Times New Roman"/>
                <w:sz w:val="24"/>
                <w:highlight w:val="none"/>
                <w:vertAlign w:val="baseline"/>
              </w:rPr>
              <w:t>激发电流（按阳极内径）</w:t>
            </w:r>
            <w:r>
              <w:rPr>
                <w:rFonts w:hint="default" w:ascii="Times New Roman" w:hAnsi="Times New Roman" w:eastAsia="宋体" w:cs="Times New Roman"/>
                <w:sz w:val="24"/>
                <w:highlight w:val="none"/>
                <w:vertAlign w:val="baseline"/>
                <w:lang w:eastAsia="zh-CN"/>
              </w:rPr>
              <w:t>/</w:t>
            </w:r>
            <w:r>
              <w:rPr>
                <w:rFonts w:hint="default" w:ascii="Times New Roman" w:hAnsi="Times New Roman" w:cs="Times New Roman"/>
                <w:sz w:val="24"/>
                <w:highlight w:val="none"/>
                <w:vertAlign w:val="baseline"/>
              </w:rPr>
              <w:t>mA</w:t>
            </w:r>
          </w:p>
        </w:tc>
        <w:tc>
          <w:tcPr>
            <w:tcW w:w="1589" w:type="dxa"/>
            <w:vAlign w:val="center"/>
          </w:tcPr>
          <w:p w14:paraId="35E11DC2">
            <w:pPr>
              <w:keepNext w:val="0"/>
              <w:keepLines w:val="0"/>
              <w:widowControl/>
              <w:suppressLineNumbers w:val="0"/>
              <w:jc w:val="left"/>
              <w:rPr>
                <w:rFonts w:hint="default" w:ascii="Times New Roman" w:hAnsi="Times New Roman"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Φ2.0</w:t>
            </w:r>
            <w:r>
              <w:rPr>
                <w:rFonts w:hint="default" w:ascii="Times New Roman" w:hAnsi="Times New Roman" w:cs="Times New Roman"/>
                <w:color w:val="000000"/>
                <w:kern w:val="0"/>
                <w:sz w:val="24"/>
                <w:szCs w:val="24"/>
                <w:lang w:val="en-US" w:eastAsia="zh-CN" w:bidi="ar"/>
              </w:rPr>
              <w:t>mm</w:t>
            </w:r>
          </w:p>
          <w:p w14:paraId="41E79A42">
            <w:pPr>
              <w:keepNext w:val="0"/>
              <w:keepLines w:val="0"/>
              <w:widowControl/>
              <w:suppressLineNumbers w:val="0"/>
              <w:jc w:val="left"/>
              <w:rPr>
                <w:rFonts w:hint="default" w:ascii="Times New Roman" w:hAnsi="Times New Roman" w:cs="Times New Roman"/>
                <w:sz w:val="24"/>
                <w:highlight w:val="none"/>
                <w:vertAlign w:val="baseline"/>
                <w:lang w:val="en-US"/>
              </w:rPr>
            </w:pPr>
            <w:r>
              <w:rPr>
                <w:rFonts w:hint="default" w:ascii="Times New Roman" w:hAnsi="Times New Roman" w:eastAsia="宋体" w:cs="Times New Roman"/>
                <w:color w:val="000000"/>
                <w:kern w:val="0"/>
                <w:sz w:val="24"/>
                <w:szCs w:val="24"/>
                <w:lang w:val="en-US" w:eastAsia="zh-CN" w:bidi="ar"/>
              </w:rPr>
              <w:t>Φ2.5mm</w:t>
            </w:r>
          </w:p>
        </w:tc>
        <w:tc>
          <w:tcPr>
            <w:tcW w:w="3895" w:type="dxa"/>
            <w:vAlign w:val="center"/>
          </w:tcPr>
          <w:p w14:paraId="37DECA40">
            <w:pPr>
              <w:jc w:val="center"/>
              <w:rPr>
                <w:rFonts w:hint="default" w:ascii="Times New Roman" w:hAnsi="Times New Roman" w:eastAsia="宋体" w:cs="Times New Roman"/>
                <w:sz w:val="24"/>
                <w:vertAlign w:val="baseline"/>
                <w:lang w:val="en-US" w:eastAsia="zh-CN"/>
              </w:rPr>
            </w:pPr>
            <w:r>
              <w:rPr>
                <w:rFonts w:hint="default" w:ascii="Times New Roman" w:hAnsi="Times New Roman" w:cs="Times New Roman"/>
                <w:sz w:val="24"/>
                <w:vertAlign w:val="baseline"/>
              </w:rPr>
              <w:t>5~</w:t>
            </w:r>
            <w:r>
              <w:rPr>
                <w:rFonts w:hint="default" w:ascii="Times New Roman" w:hAnsi="Times New Roman" w:cs="Times New Roman"/>
                <w:sz w:val="24"/>
                <w:vertAlign w:val="baseline"/>
                <w:lang w:val="en-US" w:eastAsia="zh-CN"/>
              </w:rPr>
              <w:t>20</w:t>
            </w:r>
          </w:p>
        </w:tc>
      </w:tr>
      <w:tr w14:paraId="78EE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3139" w:type="dxa"/>
            <w:vMerge w:val="continue"/>
            <w:vAlign w:val="center"/>
          </w:tcPr>
          <w:p w14:paraId="644F0195">
            <w:pPr>
              <w:jc w:val="center"/>
              <w:rPr>
                <w:rFonts w:hint="default" w:ascii="Times New Roman" w:hAnsi="Times New Roman" w:cs="Times New Roman"/>
                <w:sz w:val="24"/>
                <w:highlight w:val="none"/>
                <w:vertAlign w:val="baseline"/>
              </w:rPr>
            </w:pPr>
          </w:p>
        </w:tc>
        <w:tc>
          <w:tcPr>
            <w:tcW w:w="1589" w:type="dxa"/>
            <w:vAlign w:val="center"/>
          </w:tcPr>
          <w:p w14:paraId="7414A27E">
            <w:pPr>
              <w:jc w:val="both"/>
              <w:rPr>
                <w:rFonts w:hint="default" w:ascii="Times New Roman" w:hAnsi="Times New Roman" w:cs="Times New Roman"/>
                <w:sz w:val="24"/>
                <w:highlight w:val="none"/>
                <w:vertAlign w:val="baseline"/>
              </w:rPr>
            </w:pPr>
            <w:r>
              <w:rPr>
                <w:rFonts w:hint="default" w:ascii="Times New Roman" w:hAnsi="Times New Roman" w:eastAsia="宋体" w:cs="Times New Roman"/>
                <w:color w:val="000000"/>
                <w:kern w:val="0"/>
                <w:sz w:val="24"/>
                <w:szCs w:val="24"/>
                <w:lang w:val="en-US" w:eastAsia="zh-CN" w:bidi="ar"/>
              </w:rPr>
              <w:t>Φ</w:t>
            </w:r>
            <w:r>
              <w:rPr>
                <w:rFonts w:hint="default" w:ascii="Times New Roman" w:hAnsi="Times New Roman" w:cs="Times New Roman"/>
                <w:color w:val="000000"/>
                <w:kern w:val="0"/>
                <w:sz w:val="24"/>
                <w:szCs w:val="24"/>
                <w:lang w:val="en-US" w:eastAsia="zh-CN" w:bidi="ar"/>
              </w:rPr>
              <w:t>4.0</w:t>
            </w:r>
            <w:r>
              <w:rPr>
                <w:rFonts w:hint="default" w:ascii="Times New Roman" w:hAnsi="Times New Roman" w:eastAsia="宋体" w:cs="Times New Roman"/>
                <w:color w:val="000000"/>
                <w:kern w:val="0"/>
                <w:sz w:val="24"/>
                <w:szCs w:val="24"/>
                <w:lang w:val="en-US" w:eastAsia="zh-CN" w:bidi="ar"/>
              </w:rPr>
              <w:t>mm</w:t>
            </w:r>
          </w:p>
        </w:tc>
        <w:tc>
          <w:tcPr>
            <w:tcW w:w="3895" w:type="dxa"/>
            <w:vAlign w:val="center"/>
          </w:tcPr>
          <w:p w14:paraId="1B6DBAAA">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eastAsia="zh-CN"/>
              </w:rPr>
              <w:t>20</w:t>
            </w:r>
            <w:r>
              <w:rPr>
                <w:rFonts w:hint="default" w:ascii="Times New Roman" w:hAnsi="Times New Roman" w:cs="Times New Roman"/>
                <w:sz w:val="24"/>
                <w:vertAlign w:val="baseline"/>
              </w:rPr>
              <w:t>~</w:t>
            </w:r>
            <w:r>
              <w:rPr>
                <w:rFonts w:hint="default" w:ascii="Times New Roman" w:hAnsi="Times New Roman" w:cs="Times New Roman"/>
                <w:sz w:val="24"/>
                <w:vertAlign w:val="baseline"/>
                <w:lang w:val="en-US" w:eastAsia="zh-CN"/>
              </w:rPr>
              <w:t>40</w:t>
            </w:r>
          </w:p>
        </w:tc>
      </w:tr>
      <w:tr w14:paraId="7258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3139" w:type="dxa"/>
            <w:vMerge w:val="continue"/>
            <w:vAlign w:val="center"/>
          </w:tcPr>
          <w:p w14:paraId="0B2EE428">
            <w:pPr>
              <w:jc w:val="center"/>
              <w:rPr>
                <w:rFonts w:hint="default" w:ascii="Times New Roman" w:hAnsi="Times New Roman" w:cs="Times New Roman"/>
                <w:sz w:val="24"/>
                <w:highlight w:val="none"/>
                <w:vertAlign w:val="baseline"/>
              </w:rPr>
            </w:pPr>
          </w:p>
        </w:tc>
        <w:tc>
          <w:tcPr>
            <w:tcW w:w="1589" w:type="dxa"/>
            <w:vAlign w:val="center"/>
          </w:tcPr>
          <w:p w14:paraId="115D6132">
            <w:pPr>
              <w:jc w:val="both"/>
              <w:rPr>
                <w:rFonts w:hint="default" w:ascii="Times New Roman" w:hAnsi="Times New Roman"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Φ</w:t>
            </w:r>
            <w:r>
              <w:rPr>
                <w:rFonts w:hint="default" w:ascii="Times New Roman" w:hAnsi="Times New Roman" w:cs="Times New Roman"/>
                <w:color w:val="000000"/>
                <w:kern w:val="0"/>
                <w:sz w:val="24"/>
                <w:szCs w:val="24"/>
                <w:lang w:val="en-US" w:eastAsia="zh-CN" w:bidi="ar"/>
              </w:rPr>
              <w:t>7.0mm</w:t>
            </w:r>
          </w:p>
          <w:p w14:paraId="582645BA">
            <w:pPr>
              <w:jc w:val="both"/>
              <w:rPr>
                <w:rFonts w:hint="default" w:ascii="Times New Roman" w:hAnsi="Times New Roman" w:cs="Times New Roman"/>
                <w:sz w:val="24"/>
                <w:highlight w:val="none"/>
                <w:vertAlign w:val="baseline"/>
              </w:rPr>
            </w:pPr>
            <w:r>
              <w:rPr>
                <w:rFonts w:hint="default" w:ascii="Times New Roman" w:hAnsi="Times New Roman" w:eastAsia="宋体" w:cs="Times New Roman"/>
                <w:color w:val="000000"/>
                <w:kern w:val="0"/>
                <w:sz w:val="24"/>
                <w:szCs w:val="24"/>
                <w:lang w:val="en-US" w:eastAsia="zh-CN" w:bidi="ar"/>
              </w:rPr>
              <w:t>Φ</w:t>
            </w:r>
            <w:r>
              <w:rPr>
                <w:rFonts w:hint="eastAsia" w:ascii="Times New Roman" w:hAnsi="Times New Roman" w:cs="Times New Roman"/>
                <w:color w:val="000000"/>
                <w:kern w:val="0"/>
                <w:sz w:val="24"/>
                <w:szCs w:val="24"/>
                <w:lang w:val="en-US" w:eastAsia="zh-CN" w:bidi="ar"/>
              </w:rPr>
              <w:t>8</w:t>
            </w:r>
            <w:r>
              <w:rPr>
                <w:rFonts w:hint="default" w:ascii="Times New Roman" w:hAnsi="Times New Roman" w:cs="Times New Roman"/>
                <w:color w:val="000000"/>
                <w:kern w:val="0"/>
                <w:sz w:val="24"/>
                <w:szCs w:val="24"/>
                <w:lang w:val="en-US" w:eastAsia="zh-CN" w:bidi="ar"/>
              </w:rPr>
              <w:t>.0mm</w:t>
            </w:r>
          </w:p>
        </w:tc>
        <w:tc>
          <w:tcPr>
            <w:tcW w:w="3895" w:type="dxa"/>
            <w:vAlign w:val="center"/>
          </w:tcPr>
          <w:p w14:paraId="4FACBC8F">
            <w:pPr>
              <w:jc w:val="center"/>
              <w:rPr>
                <w:rFonts w:hint="default" w:ascii="Times New Roman" w:hAnsi="Times New Roman" w:cs="Times New Roman"/>
                <w:sz w:val="24"/>
                <w:vertAlign w:val="baseline"/>
                <w:lang w:val="en-US"/>
              </w:rPr>
            </w:pPr>
            <w:r>
              <w:rPr>
                <w:rFonts w:hint="default" w:ascii="Times New Roman" w:hAnsi="Times New Roman" w:cs="Times New Roman"/>
                <w:sz w:val="24"/>
                <w:vertAlign w:val="baseline"/>
                <w:lang w:val="en-US" w:eastAsia="zh-CN"/>
              </w:rPr>
              <w:t>40</w:t>
            </w:r>
            <w:r>
              <w:rPr>
                <w:rFonts w:hint="default" w:ascii="Times New Roman" w:hAnsi="Times New Roman" w:cs="Times New Roman"/>
                <w:sz w:val="24"/>
                <w:vertAlign w:val="baseline"/>
              </w:rPr>
              <w:t>~</w:t>
            </w:r>
            <w:r>
              <w:rPr>
                <w:rFonts w:hint="default" w:ascii="Times New Roman" w:hAnsi="Times New Roman" w:cs="Times New Roman"/>
                <w:sz w:val="24"/>
                <w:vertAlign w:val="baseline"/>
                <w:lang w:val="en-US" w:eastAsia="zh-CN"/>
              </w:rPr>
              <w:t>100</w:t>
            </w:r>
          </w:p>
        </w:tc>
      </w:tr>
      <w:tr w14:paraId="6892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4728" w:type="dxa"/>
            <w:gridSpan w:val="2"/>
            <w:vAlign w:val="center"/>
          </w:tcPr>
          <w:p w14:paraId="68C02516">
            <w:pPr>
              <w:jc w:val="center"/>
              <w:rPr>
                <w:rFonts w:hint="default" w:ascii="Times New Roman" w:hAnsi="Times New Roman" w:eastAsia="宋体" w:cs="Times New Roman"/>
                <w:sz w:val="24"/>
                <w:highlight w:val="none"/>
                <w:vertAlign w:val="baseline"/>
                <w:lang w:eastAsia="zh-CN"/>
              </w:rPr>
            </w:pPr>
            <w:r>
              <w:rPr>
                <w:rFonts w:hint="default" w:ascii="Times New Roman" w:hAnsi="Times New Roman" w:cs="Times New Roman"/>
                <w:sz w:val="24"/>
                <w:highlight w:val="none"/>
                <w:vertAlign w:val="baseline"/>
              </w:rPr>
              <w:t>预溅射时间</w:t>
            </w:r>
            <w:r>
              <w:rPr>
                <w:rFonts w:hint="default" w:ascii="Times New Roman" w:hAnsi="Times New Roman" w:eastAsia="宋体" w:cs="Times New Roman"/>
                <w:sz w:val="24"/>
                <w:highlight w:val="none"/>
                <w:vertAlign w:val="baseline"/>
                <w:lang w:eastAsia="zh-CN"/>
              </w:rPr>
              <w:t>/</w:t>
            </w:r>
            <w:r>
              <w:rPr>
                <w:rFonts w:hint="default" w:ascii="Times New Roman" w:hAnsi="Times New Roman" w:cs="Times New Roman"/>
                <w:sz w:val="24"/>
                <w:highlight w:val="none"/>
                <w:vertAlign w:val="baseline"/>
                <w:lang w:val="en-US" w:eastAsia="zh-CN"/>
              </w:rPr>
              <w:t>s</w:t>
            </w:r>
          </w:p>
        </w:tc>
        <w:tc>
          <w:tcPr>
            <w:tcW w:w="3895" w:type="dxa"/>
            <w:vAlign w:val="center"/>
          </w:tcPr>
          <w:p w14:paraId="18F2DC9C">
            <w:pPr>
              <w:jc w:val="center"/>
              <w:rPr>
                <w:rFonts w:hint="default" w:ascii="Times New Roman" w:hAnsi="Times New Roman" w:cs="Times New Roman"/>
                <w:sz w:val="24"/>
                <w:vertAlign w:val="baseline"/>
              </w:rPr>
            </w:pPr>
            <w:r>
              <w:rPr>
                <w:rFonts w:hint="default" w:ascii="Times New Roman" w:hAnsi="Times New Roman" w:cs="Times New Roman"/>
                <w:sz w:val="24"/>
                <w:vertAlign w:val="baseline"/>
              </w:rPr>
              <w:t>40~90</w:t>
            </w:r>
          </w:p>
        </w:tc>
      </w:tr>
      <w:tr w14:paraId="69A7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4728" w:type="dxa"/>
            <w:gridSpan w:val="2"/>
            <w:vAlign w:val="center"/>
          </w:tcPr>
          <w:p w14:paraId="3CCEEBDE">
            <w:pPr>
              <w:jc w:val="center"/>
              <w:rPr>
                <w:rFonts w:hint="default" w:ascii="Times New Roman" w:hAnsi="Times New Roman" w:cs="Times New Roman"/>
                <w:sz w:val="24"/>
                <w:highlight w:val="none"/>
                <w:vertAlign w:val="baseline"/>
              </w:rPr>
            </w:pPr>
            <w:r>
              <w:rPr>
                <w:rFonts w:hint="default" w:ascii="Times New Roman" w:hAnsi="Times New Roman" w:cs="Times New Roman"/>
                <w:sz w:val="24"/>
                <w:highlight w:val="none"/>
                <w:vertAlign w:val="baseline"/>
              </w:rPr>
              <w:t>积分时间</w:t>
            </w:r>
            <w:r>
              <w:rPr>
                <w:rFonts w:hint="default" w:ascii="Times New Roman" w:hAnsi="Times New Roman" w:eastAsia="宋体" w:cs="Times New Roman"/>
                <w:sz w:val="24"/>
                <w:highlight w:val="none"/>
                <w:vertAlign w:val="baseline"/>
                <w:lang w:eastAsia="zh-CN"/>
              </w:rPr>
              <w:t>/</w:t>
            </w:r>
            <w:r>
              <w:rPr>
                <w:rFonts w:hint="default" w:ascii="Times New Roman" w:hAnsi="Times New Roman" w:cs="Times New Roman"/>
                <w:sz w:val="24"/>
                <w:highlight w:val="none"/>
                <w:vertAlign w:val="baseline"/>
              </w:rPr>
              <w:t>s</w:t>
            </w:r>
          </w:p>
        </w:tc>
        <w:tc>
          <w:tcPr>
            <w:tcW w:w="3895" w:type="dxa"/>
            <w:vAlign w:val="center"/>
          </w:tcPr>
          <w:p w14:paraId="1637801C">
            <w:pPr>
              <w:jc w:val="center"/>
              <w:rPr>
                <w:rFonts w:hint="default" w:ascii="Times New Roman" w:hAnsi="Times New Roman" w:eastAsia="宋体" w:cs="Times New Roman"/>
                <w:sz w:val="24"/>
                <w:vertAlign w:val="baseline"/>
                <w:lang w:val="en-US" w:eastAsia="zh-CN"/>
              </w:rPr>
            </w:pPr>
            <w:r>
              <w:rPr>
                <w:rFonts w:hint="default" w:ascii="Times New Roman" w:hAnsi="Times New Roman" w:cs="Times New Roman"/>
                <w:sz w:val="24"/>
                <w:vertAlign w:val="baseline"/>
              </w:rPr>
              <w:t>5~</w:t>
            </w:r>
            <w:r>
              <w:rPr>
                <w:rFonts w:hint="default" w:ascii="Times New Roman" w:hAnsi="Times New Roman" w:cs="Times New Roman"/>
                <w:sz w:val="24"/>
                <w:vertAlign w:val="baseline"/>
                <w:lang w:val="en-US" w:eastAsia="zh-CN"/>
              </w:rPr>
              <w:t>20</w:t>
            </w:r>
          </w:p>
        </w:tc>
      </w:tr>
    </w:tbl>
    <w:p w14:paraId="5AAE0B79">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outlineLvl w:val="1"/>
        <w:rPr>
          <w:rFonts w:hint="default" w:ascii="Times New Roman"/>
          <w:sz w:val="24"/>
          <w:szCs w:val="24"/>
          <w:highlight w:val="none"/>
          <w:lang w:val="en-US" w:eastAsia="zh-CN"/>
        </w:rPr>
      </w:pPr>
    </w:p>
    <w:bookmarkEnd w:id="82"/>
    <w:bookmarkEnd w:id="83"/>
    <w:bookmarkEnd w:id="84"/>
    <w:bookmarkEnd w:id="85"/>
    <w:p w14:paraId="68A22580">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0" w:firstLineChars="0"/>
        <w:jc w:val="both"/>
        <w:textAlignment w:val="auto"/>
        <w:outlineLvl w:val="2"/>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6.2.2 检出限</w:t>
      </w:r>
    </w:p>
    <w:p w14:paraId="44C56A6E">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2"/>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在仪器正常工作条件下，调取相应基体工作程序，按表1范围选择高纯</w:t>
      </w:r>
      <w:r>
        <w:rPr>
          <w:rFonts w:hint="default" w:ascii="Times New Roman" w:cs="Times New Roman"/>
          <w:sz w:val="24"/>
          <w:szCs w:val="24"/>
          <w:highlight w:val="none"/>
          <w:lang w:val="en-US" w:eastAsia="zh-CN"/>
        </w:rPr>
        <w:t>光谱分析标准物质</w:t>
      </w:r>
      <w:r>
        <w:rPr>
          <w:rFonts w:hint="eastAsia" w:ascii="Times New Roman" w:cs="Times New Roman"/>
          <w:sz w:val="24"/>
          <w:szCs w:val="24"/>
          <w:highlight w:val="none"/>
          <w:lang w:val="en-US" w:eastAsia="zh-CN"/>
        </w:rPr>
        <w:t>或标准样品，</w:t>
      </w:r>
      <w:r>
        <w:rPr>
          <w:rFonts w:hint="default" w:ascii="Times New Roman" w:cs="Times New Roman"/>
          <w:sz w:val="24"/>
          <w:szCs w:val="24"/>
          <w:highlight w:val="none"/>
          <w:lang w:val="en-US" w:eastAsia="zh-CN"/>
        </w:rPr>
        <w:t>连续</w:t>
      </w:r>
      <w:r>
        <w:rPr>
          <w:rFonts w:hint="eastAsia" w:ascii="Times New Roman" w:cs="Times New Roman"/>
          <w:sz w:val="24"/>
          <w:szCs w:val="24"/>
          <w:highlight w:val="none"/>
          <w:lang w:val="en-US" w:eastAsia="zh-CN"/>
        </w:rPr>
        <w:t>溅射</w:t>
      </w:r>
      <w:r>
        <w:rPr>
          <w:rFonts w:hint="default" w:ascii="Times New Roman" w:cs="Times New Roman"/>
          <w:sz w:val="24"/>
          <w:szCs w:val="24"/>
          <w:highlight w:val="none"/>
          <w:lang w:val="en-US" w:eastAsia="zh-CN"/>
        </w:rPr>
        <w:t>10次，</w:t>
      </w:r>
      <w:r>
        <w:rPr>
          <w:rFonts w:hint="eastAsia" w:ascii="Times New Roman" w:hAnsi="Times New Roman" w:cs="宋体"/>
          <w:color w:val="auto"/>
          <w:kern w:val="0"/>
          <w:sz w:val="24"/>
          <w:lang w:val="en-US" w:eastAsia="zh-CN"/>
        </w:rPr>
        <w:t>根据</w:t>
      </w:r>
      <w:r>
        <w:rPr>
          <w:rFonts w:hint="eastAsia" w:ascii="Times New Roman" w:cs="宋体"/>
          <w:color w:val="auto"/>
          <w:kern w:val="0"/>
          <w:sz w:val="24"/>
          <w:lang w:val="en-US" w:eastAsia="zh-CN"/>
        </w:rPr>
        <w:t>校准需要选择代表性元素</w:t>
      </w:r>
      <w:r>
        <w:rPr>
          <w:rFonts w:hint="eastAsia" w:ascii="Times New Roman" w:hAnsi="Times New Roman" w:cs="宋体"/>
          <w:color w:val="auto"/>
          <w:kern w:val="0"/>
          <w:sz w:val="24"/>
          <w:lang w:val="en-US" w:eastAsia="zh-CN"/>
        </w:rPr>
        <w:t>，</w:t>
      </w:r>
      <w:r>
        <w:rPr>
          <w:rFonts w:hint="eastAsia" w:ascii="Times New Roman" w:cs="Times New Roman"/>
          <w:sz w:val="24"/>
          <w:szCs w:val="24"/>
          <w:highlight w:val="none"/>
          <w:lang w:val="en-US" w:eastAsia="zh-CN"/>
        </w:rPr>
        <w:t>按式（1）和式（2），分别计算</w:t>
      </w:r>
      <w:r>
        <w:rPr>
          <w:rFonts w:hint="default" w:ascii="Times New Roman" w:cs="Times New Roman"/>
          <w:sz w:val="24"/>
          <w:szCs w:val="24"/>
          <w:highlight w:val="none"/>
          <w:lang w:val="en-US" w:eastAsia="zh-CN"/>
        </w:rPr>
        <w:t>标准偏差</w:t>
      </w:r>
      <w:r>
        <w:rPr>
          <w:rFonts w:hint="eastAsia" w:ascii="Times New Roman" w:cs="Times New Roman"/>
          <w:sz w:val="24"/>
          <w:szCs w:val="24"/>
          <w:highlight w:val="none"/>
          <w:lang w:val="en-US" w:eastAsia="zh-CN"/>
        </w:rPr>
        <w:t>及</w:t>
      </w:r>
      <w:r>
        <w:rPr>
          <w:rFonts w:hint="default" w:ascii="Times New Roman" w:cs="Times New Roman"/>
          <w:sz w:val="24"/>
          <w:szCs w:val="24"/>
          <w:highlight w:val="none"/>
          <w:lang w:val="en-US" w:eastAsia="zh-CN"/>
        </w:rPr>
        <w:t>检出限。</w:t>
      </w:r>
    </w:p>
    <w:p w14:paraId="2B97BEC1">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default" w:ascii="Times New Roman" w:cs="Times New Roman"/>
          <w:sz w:val="24"/>
          <w:szCs w:val="24"/>
          <w:highlight w:val="none"/>
          <w:lang w:val="en-US" w:eastAsia="zh-CN"/>
        </w:rPr>
      </w:pPr>
    </w:p>
    <w:p w14:paraId="6A280495">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0" w:firstLineChars="0"/>
        <w:jc w:val="center"/>
        <w:textAlignment w:val="auto"/>
        <w:rPr>
          <w:rFonts w:hint="eastAsia" w:ascii="Times New Roman" w:hAnsi="Times New Roman" w:cs="Times New Roman"/>
          <w:i w:val="0"/>
          <w:iCs/>
          <w:sz w:val="24"/>
          <w:szCs w:val="24"/>
          <w:highlight w:val="none"/>
          <w:lang w:val="en-US" w:eastAsia="zh-CN" w:bidi="ar-SA"/>
        </w:rPr>
      </w:pPr>
      <w:r>
        <w:rPr>
          <w:rFonts w:hint="eastAsia" w:hAnsi="Cambria Math"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eastAsia" w:hAnsi="Cambria Math" w:cs="Times New Roman"/>
          <w:i w:val="0"/>
          <w:iCs/>
          <w:position w:val="-26"/>
          <w:sz w:val="24"/>
          <w:szCs w:val="24"/>
          <w:highlight w:val="none"/>
          <w:lang w:val="en-US" w:eastAsia="zh-CN" w:bidi="ar-SA"/>
        </w:rPr>
        <w:object>
          <v:shape id="_x0000_i1025" o:spt="75" type="#_x0000_t75" style="height:40pt;width:95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hAnsi="Cambria Math" w:cs="Times New Roman"/>
          <w:i w:val="0"/>
          <w:iCs/>
          <w:sz w:val="24"/>
          <w:szCs w:val="24"/>
          <w:highlight w:val="none"/>
          <w:lang w:val="en-US" w:eastAsia="zh-CN" w:bidi="ar-SA"/>
        </w:rPr>
        <w:t xml:space="preserve">                      </w:t>
      </w:r>
      <w:r>
        <w:rPr>
          <w:rFonts w:hint="eastAsia" w:ascii="Times New Roman" w:cs="Times New Roman"/>
          <w:sz w:val="24"/>
          <w:szCs w:val="24"/>
          <w:highlight w:val="none"/>
          <w:lang w:val="en-US" w:eastAsia="zh-CN"/>
        </w:rPr>
        <w:t>(1)</w:t>
      </w:r>
    </w:p>
    <w:p w14:paraId="0EF73343">
      <w:pPr>
        <w:pStyle w:val="59"/>
        <w:keepNext w:val="0"/>
        <w:keepLines w:val="0"/>
        <w:pageBreakBefore w:val="0"/>
        <w:widowControl/>
        <w:kinsoku/>
        <w:wordWrap/>
        <w:overflowPunct/>
        <w:topLinePunct w:val="0"/>
        <w:autoSpaceDE w:val="0"/>
        <w:autoSpaceDN w:val="0"/>
        <w:bidi w:val="0"/>
        <w:adjustRightInd/>
        <w:snapToGrid/>
        <w:spacing w:line="30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6ACB98B3">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s</w:t>
      </w:r>
      <w:r>
        <w:t>——</w:t>
      </w:r>
      <w:r>
        <w:rPr>
          <w:rFonts w:hint="eastAsia" w:ascii="Times New Roman" w:cs="Times New Roman"/>
          <w:sz w:val="24"/>
          <w:szCs w:val="24"/>
          <w:highlight w:val="none"/>
          <w:lang w:val="en-US" w:eastAsia="zh-CN"/>
        </w:rPr>
        <w:t>标准偏差</w:t>
      </w:r>
      <w:r>
        <w:rPr>
          <w:rFonts w:hint="eastAsia" w:ascii="Times New Roman" w:hAnsi="Times New Roman" w:eastAsia="宋体" w:cs="Times New Roman"/>
          <w:i w:val="0"/>
          <w:iCs w:val="0"/>
          <w:sz w:val="24"/>
          <w:szCs w:val="24"/>
          <w:highlight w:val="none"/>
          <w:lang w:val="en-US" w:eastAsia="zh-CN"/>
        </w:rPr>
        <w:t>；</w:t>
      </w:r>
    </w:p>
    <w:p w14:paraId="1C22EAD0">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vertAlign w:val="baseline"/>
          <w:lang w:val="en-US" w:eastAsia="zh-CN"/>
        </w:rPr>
        <w:t>x</w:t>
      </w:r>
      <w:r>
        <w:rPr>
          <w:rFonts w:hint="eastAsia" w:ascii="Times New Roman" w:cs="Times New Roman"/>
          <w:i/>
          <w:iCs/>
          <w:sz w:val="24"/>
          <w:szCs w:val="24"/>
          <w:vertAlign w:val="subscript"/>
          <w:lang w:val="en-US" w:eastAsia="zh-CN"/>
        </w:rPr>
        <w:t>i</w:t>
      </w:r>
      <w:r>
        <w:t>——</w:t>
      </w:r>
      <w:r>
        <w:rPr>
          <w:rFonts w:hint="eastAsia"/>
          <w:sz w:val="24"/>
          <w:szCs w:val="24"/>
          <w:lang w:val="en-US" w:eastAsia="zh-CN"/>
        </w:rPr>
        <w:t>单次测量值</w:t>
      </w:r>
      <w:r>
        <w:rPr>
          <w:rFonts w:hint="eastAsia" w:ascii="Times New Roman" w:hAnsi="Times New Roman" w:eastAsia="宋体" w:cs="Times New Roman"/>
          <w:i w:val="0"/>
          <w:iCs w:val="0"/>
          <w:sz w:val="24"/>
          <w:szCs w:val="24"/>
          <w:highlight w:val="none"/>
          <w:lang w:val="en-US" w:eastAsia="zh-CN"/>
        </w:rPr>
        <w:t>；</w:t>
      </w:r>
    </w:p>
    <w:p w14:paraId="6136E319">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20" w:firstLineChars="200"/>
        <w:jc w:val="both"/>
        <w:textAlignment w:val="auto"/>
        <w:rPr>
          <w:rFonts w:hint="eastAsia" w:ascii="Times New Roman" w:cs="Times New Roman"/>
          <w:sz w:val="24"/>
          <w:szCs w:val="24"/>
          <w:highlight w:val="none"/>
          <w:lang w:val="en-US" w:eastAsia="zh-CN"/>
        </w:rPr>
      </w:pPr>
      <w:r>
        <w:rPr>
          <w:rFonts w:hint="eastAsia"/>
          <w:i/>
          <w:iCs/>
          <w:lang w:val="en-US" w:eastAsia="zh-CN"/>
        </w:rPr>
        <w:sym w:font="Symbol" w:char="0060"/>
      </w:r>
      <w:r>
        <w:rPr>
          <w:rFonts w:hint="default" w:ascii="Times New Roman" w:hAnsi="Times New Roman" w:cs="Times New Roman"/>
          <w:i/>
          <w:iCs/>
          <w:lang w:val="en-US" w:eastAsia="zh-CN"/>
        </w:rPr>
        <w:t>x</w:t>
      </w:r>
      <w:r>
        <w:t>——</w:t>
      </w:r>
      <w:r>
        <w:rPr>
          <w:rFonts w:hint="eastAsia" w:ascii="Times New Roman" w:cs="Times New Roman"/>
          <w:sz w:val="24"/>
          <w:szCs w:val="24"/>
          <w:highlight w:val="none"/>
          <w:lang w:val="en-US" w:eastAsia="zh-CN"/>
        </w:rPr>
        <w:t>10次测量平均值；</w:t>
      </w:r>
    </w:p>
    <w:p w14:paraId="6DAB0D6D">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eastAsia" w:ascii="Times New Roman" w:cs="Times New Roman"/>
          <w:sz w:val="24"/>
          <w:szCs w:val="24"/>
          <w:highlight w:val="none"/>
          <w:lang w:val="en-US" w:eastAsia="zh-CN"/>
        </w:rPr>
      </w:pPr>
      <w:r>
        <w:rPr>
          <w:rFonts w:hint="eastAsia" w:ascii="Times New Roman" w:cs="Times New Roman"/>
          <w:i/>
          <w:iCs/>
          <w:sz w:val="24"/>
          <w:szCs w:val="24"/>
          <w:highlight w:val="none"/>
          <w:lang w:val="en-US" w:eastAsia="zh-CN"/>
        </w:rPr>
        <w:t>n</w:t>
      </w:r>
      <w:r>
        <w:t>——</w:t>
      </w:r>
      <w:r>
        <w:rPr>
          <w:rFonts w:hint="eastAsia"/>
          <w:sz w:val="24"/>
          <w:szCs w:val="24"/>
          <w:lang w:val="en-US" w:eastAsia="zh-CN"/>
        </w:rPr>
        <w:t>测量次数，</w:t>
      </w:r>
      <w:r>
        <w:rPr>
          <w:rFonts w:hint="default" w:ascii="Times New Roman" w:hAnsi="Times New Roman" w:cs="Times New Roman"/>
          <w:i/>
          <w:iCs/>
          <w:sz w:val="24"/>
          <w:szCs w:val="24"/>
          <w:lang w:val="en-US" w:eastAsia="zh-CN"/>
        </w:rPr>
        <w:t>n</w:t>
      </w:r>
      <w:r>
        <w:rPr>
          <w:rFonts w:hint="default" w:ascii="Times New Roman" w:hAnsi="Times New Roman" w:cs="Times New Roman"/>
          <w:sz w:val="24"/>
          <w:szCs w:val="24"/>
          <w:lang w:val="en-US" w:eastAsia="zh-CN"/>
        </w:rPr>
        <w:t>=10</w:t>
      </w:r>
      <w:r>
        <w:rPr>
          <w:rFonts w:hint="eastAsia" w:ascii="Times New Roman" w:cs="Times New Roman"/>
          <w:sz w:val="24"/>
          <w:szCs w:val="24"/>
          <w:highlight w:val="none"/>
          <w:lang w:val="en-US" w:eastAsia="zh-CN"/>
        </w:rPr>
        <w:t>。</w:t>
      </w:r>
    </w:p>
    <w:p w14:paraId="47CBABC3">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0" w:firstLineChars="0"/>
        <w:jc w:val="center"/>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 xml:space="preserve">                                    </w:t>
      </w:r>
      <w:r>
        <w:rPr>
          <w:rFonts w:hint="eastAsia" w:ascii="Times New Roman" w:cs="Times New Roman"/>
          <w:i/>
          <w:iCs/>
          <w:sz w:val="24"/>
          <w:szCs w:val="24"/>
          <w:highlight w:val="none"/>
          <w:lang w:val="en-US" w:eastAsia="zh-CN"/>
        </w:rPr>
        <w:t xml:space="preserve"> </w:t>
      </w:r>
      <w:r>
        <w:rPr>
          <w:rFonts w:hint="eastAsia" w:ascii="Times New Roman" w:cs="Times New Roman"/>
          <w:i/>
          <w:iCs/>
          <w:position w:val="-6"/>
          <w:sz w:val="24"/>
          <w:szCs w:val="24"/>
          <w:highlight w:val="none"/>
          <w:lang w:val="en-US" w:eastAsia="zh-CN"/>
        </w:rPr>
        <w:object>
          <v:shape id="_x0000_i1026" o:spt="75" type="#_x0000_t75" style="height:13.95pt;width:42pt;" o:ole="t" filled="f" o:preferrelative="t" stroked="f" coordsize="21600,21600">
            <v:path/>
            <v:fill on="f" focussize="0,0"/>
            <v:stroke on="f"/>
            <v:imagedata r:id="rId10" o:title=""/>
            <o:lock v:ext="edit" aspectratio="t"/>
            <w10:wrap type="none"/>
            <w10:anchorlock/>
          </v:shape>
          <o:OLEObject Type="Embed" ProgID="Equation.KSEE3" ShapeID="_x0000_i1026" DrawAspect="Content" ObjectID="_1468075726" r:id="rId9">
            <o:LockedField>false</o:LockedField>
          </o:OLEObject>
        </w:object>
      </w:r>
      <w:r>
        <w:rPr>
          <w:rFonts w:hint="eastAsia" w:ascii="Times New Roman" w:cs="Times New Roman"/>
          <w:i/>
          <w:iCs/>
          <w:sz w:val="24"/>
          <w:szCs w:val="24"/>
          <w:highlight w:val="none"/>
          <w:lang w:val="en-US" w:eastAsia="zh-CN"/>
        </w:rPr>
        <w:t xml:space="preserve">                              </w:t>
      </w:r>
      <w:r>
        <w:rPr>
          <w:rFonts w:hint="eastAsia" w:ascii="Times New Roman" w:cs="Times New Roman"/>
          <w:sz w:val="24"/>
          <w:szCs w:val="24"/>
          <w:highlight w:val="none"/>
          <w:lang w:val="en-US" w:eastAsia="zh-CN"/>
        </w:rPr>
        <w:t>(2)</w:t>
      </w:r>
    </w:p>
    <w:p w14:paraId="431C532B">
      <w:pPr>
        <w:pStyle w:val="59"/>
        <w:keepNext w:val="0"/>
        <w:keepLines w:val="0"/>
        <w:pageBreakBefore w:val="0"/>
        <w:widowControl/>
        <w:kinsoku/>
        <w:wordWrap/>
        <w:overflowPunct/>
        <w:topLinePunct w:val="0"/>
        <w:autoSpaceDE w:val="0"/>
        <w:autoSpaceDN w:val="0"/>
        <w:bidi w:val="0"/>
        <w:adjustRightInd/>
        <w:snapToGrid/>
        <w:spacing w:line="30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494B3A21">
      <w:pPr>
        <w:pStyle w:val="59"/>
        <w:keepNext w:val="0"/>
        <w:keepLines w:val="0"/>
        <w:pageBreakBefore w:val="0"/>
        <w:widowControl/>
        <w:kinsoku/>
        <w:wordWrap/>
        <w:overflowPunct/>
        <w:topLinePunct w:val="0"/>
        <w:autoSpaceDE w:val="0"/>
        <w:autoSpaceDN w:val="0"/>
        <w:bidi w:val="0"/>
        <w:adjustRightInd w:val="0"/>
        <w:snapToGrid w:val="0"/>
        <w:spacing w:line="30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DL</w:t>
      </w:r>
      <w:r>
        <w:t>——</w:t>
      </w:r>
      <w:r>
        <w:rPr>
          <w:rFonts w:hint="eastAsia"/>
          <w:sz w:val="24"/>
          <w:szCs w:val="24"/>
          <w:lang w:val="en-US" w:eastAsia="zh-CN"/>
        </w:rPr>
        <w:t>检出限</w:t>
      </w:r>
      <w:r>
        <w:rPr>
          <w:rFonts w:hint="eastAsia" w:ascii="Times New Roman" w:hAnsi="Times New Roman" w:eastAsia="宋体" w:cs="Times New Roman"/>
          <w:i w:val="0"/>
          <w:iCs w:val="0"/>
          <w:sz w:val="24"/>
          <w:szCs w:val="24"/>
          <w:highlight w:val="none"/>
          <w:lang w:val="en-US" w:eastAsia="zh-CN"/>
        </w:rPr>
        <w:t>；</w:t>
      </w:r>
    </w:p>
    <w:p w14:paraId="256839AB">
      <w:pPr>
        <w:pStyle w:val="59"/>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default" w:ascii="Times New Roman" w:hAnsi="Times New Roman" w:eastAsia="宋体" w:cs="Times New Roman"/>
          <w:sz w:val="24"/>
          <w:szCs w:val="24"/>
          <w:lang w:val="en-US" w:eastAsia="zh-CN"/>
        </w:rPr>
      </w:pPr>
      <w:bookmarkStart w:id="86" w:name="_Toc16674"/>
      <w:bookmarkStart w:id="87" w:name="_Toc13965"/>
      <w:bookmarkStart w:id="88" w:name="_Toc26159"/>
      <w:bookmarkStart w:id="89" w:name="_Toc25583"/>
      <w:bookmarkStart w:id="90" w:name="_Toc8332"/>
      <w:bookmarkStart w:id="91" w:name="_Toc9263"/>
      <w:bookmarkStart w:id="92" w:name="_Toc28571"/>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.2.</w:t>
      </w:r>
      <w:r>
        <w:rPr>
          <w:rFonts w:hint="eastAsia" w:ascii="Times New Roman" w:cs="Times New Roman"/>
          <w:sz w:val="24"/>
          <w:szCs w:val="24"/>
          <w:lang w:val="en-US" w:eastAsia="zh-CN"/>
        </w:rPr>
        <w:t>3</w:t>
      </w:r>
      <w:r>
        <w:rPr>
          <w:rFonts w:hint="default" w:ascii="Times New Roman" w:hAnsi="Times New Roman" w:eastAsia="宋体" w:cs="Times New Roman"/>
          <w:sz w:val="24"/>
          <w:szCs w:val="24"/>
          <w:lang w:val="en-US" w:eastAsia="zh-CN"/>
        </w:rPr>
        <w:t xml:space="preserve"> </w:t>
      </w:r>
      <w:bookmarkEnd w:id="86"/>
      <w:r>
        <w:rPr>
          <w:rFonts w:hint="eastAsia" w:ascii="Times New Roman" w:cs="Times New Roman"/>
          <w:sz w:val="24"/>
          <w:szCs w:val="24"/>
          <w:lang w:val="en-US" w:eastAsia="zh-CN"/>
        </w:rPr>
        <w:t>示值误差</w:t>
      </w:r>
    </w:p>
    <w:p w14:paraId="4DF94261">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sz w:val="24"/>
          <w:szCs w:val="24"/>
          <w:highlight w:val="yellow"/>
        </w:rPr>
      </w:pPr>
      <w:r>
        <w:rPr>
          <w:rFonts w:hint="eastAsia" w:ascii="Times New Roman" w:hAnsi="Times New Roman" w:eastAsia="宋体" w:cs="Times New Roman"/>
          <w:sz w:val="24"/>
          <w:szCs w:val="24"/>
          <w:highlight w:val="none"/>
          <w:lang w:val="en-US" w:eastAsia="zh-CN"/>
        </w:rPr>
        <w:t>按照光谱仪常用使用范围，选用</w:t>
      </w:r>
      <w:r>
        <w:rPr>
          <w:rFonts w:hint="eastAsia" w:ascii="Times New Roman" w:cs="Times New Roman"/>
          <w:sz w:val="24"/>
          <w:szCs w:val="24"/>
          <w:highlight w:val="none"/>
          <w:lang w:val="en-US" w:eastAsia="zh-CN"/>
        </w:rPr>
        <w:t>附录A</w:t>
      </w:r>
      <w:r>
        <w:rPr>
          <w:rFonts w:hint="eastAsia" w:ascii="Times New Roman" w:hAnsi="Times New Roman" w:eastAsia="宋体" w:cs="Times New Roman"/>
          <w:sz w:val="24"/>
          <w:szCs w:val="24"/>
          <w:highlight w:val="none"/>
          <w:lang w:val="en-US" w:eastAsia="zh-CN"/>
        </w:rPr>
        <w:t>中</w:t>
      </w:r>
      <w:r>
        <w:rPr>
          <w:rFonts w:hint="eastAsia" w:ascii="Times New Roman" w:cs="Times New Roman"/>
          <w:sz w:val="24"/>
          <w:szCs w:val="24"/>
          <w:highlight w:val="none"/>
          <w:lang w:val="en-US" w:eastAsia="zh-CN"/>
        </w:rPr>
        <w:t>具有代表性</w:t>
      </w:r>
      <w:r>
        <w:rPr>
          <w:rFonts w:hint="eastAsia" w:ascii="Times New Roman" w:hAnsi="Times New Roman" w:eastAsia="宋体" w:cs="Times New Roman"/>
          <w:sz w:val="24"/>
          <w:szCs w:val="24"/>
          <w:highlight w:val="none"/>
          <w:lang w:val="en-US" w:eastAsia="zh-CN"/>
        </w:rPr>
        <w:t>的标准物质</w:t>
      </w:r>
      <w:r>
        <w:rPr>
          <w:rFonts w:hint="eastAsia" w:ascii="Times New Roman" w:cs="Times New Roman"/>
          <w:sz w:val="24"/>
          <w:szCs w:val="24"/>
          <w:highlight w:val="none"/>
          <w:lang w:val="en-US" w:eastAsia="zh-CN"/>
        </w:rPr>
        <w:t>或标准样品</w:t>
      </w:r>
      <w:r>
        <w:rPr>
          <w:rFonts w:hint="eastAsia" w:ascii="Times New Roman" w:hAnsi="Times New Roman" w:eastAsia="宋体" w:cs="Times New Roman"/>
          <w:sz w:val="24"/>
          <w:szCs w:val="24"/>
          <w:highlight w:val="none"/>
          <w:lang w:val="en-US" w:eastAsia="zh-CN"/>
        </w:rPr>
        <w:t>，</w:t>
      </w:r>
      <w:r>
        <w:rPr>
          <w:rFonts w:hint="eastAsia" w:ascii="E-BZ" w:hAnsi="E-BZ" w:cs="宋体"/>
          <w:color w:val="auto"/>
          <w:kern w:val="0"/>
          <w:sz w:val="24"/>
          <w:lang w:val="en-US" w:eastAsia="zh-CN"/>
        </w:rPr>
        <w:t>根据其所含元素情况，选择</w:t>
      </w:r>
      <w:r>
        <w:rPr>
          <w:rFonts w:hint="eastAsia" w:ascii="E-BZ" w:hAnsi="E-BZ" w:cs="宋体"/>
          <w:color w:val="auto"/>
          <w:kern w:val="0"/>
          <w:sz w:val="24"/>
          <w:highlight w:val="none"/>
          <w:lang w:val="en-US" w:eastAsia="zh-CN"/>
        </w:rPr>
        <w:t>有代表性的</w:t>
      </w:r>
      <w:r>
        <w:rPr>
          <w:rFonts w:hint="eastAsia" w:ascii="E-BZ" w:hAnsi="E-BZ" w:cs="宋体"/>
          <w:color w:val="auto"/>
          <w:kern w:val="0"/>
          <w:sz w:val="24"/>
          <w:lang w:val="en-US" w:eastAsia="zh-CN"/>
        </w:rPr>
        <w:t>元素，</w:t>
      </w:r>
      <w:r>
        <w:rPr>
          <w:rFonts w:hint="eastAsia" w:ascii="Times New Roman" w:hAnsi="Times New Roman" w:eastAsia="宋体" w:cs="Times New Roman"/>
          <w:sz w:val="24"/>
          <w:szCs w:val="24"/>
          <w:highlight w:val="none"/>
          <w:lang w:val="en-US" w:eastAsia="zh-CN"/>
        </w:rPr>
        <w:t>重复</w:t>
      </w:r>
      <w:r>
        <w:rPr>
          <w:rFonts w:hint="eastAsia" w:ascii="Times New Roman" w:cs="Times New Roman"/>
          <w:sz w:val="24"/>
          <w:szCs w:val="24"/>
          <w:highlight w:val="none"/>
          <w:lang w:val="en-US" w:eastAsia="zh-CN"/>
        </w:rPr>
        <w:t>测量</w:t>
      </w:r>
      <w:r>
        <w:rPr>
          <w:rFonts w:hint="eastAsia" w:ascii="Times New Roman" w:hAnsi="Times New Roman" w:eastAsia="宋体" w:cs="Times New Roman"/>
          <w:sz w:val="24"/>
          <w:szCs w:val="24"/>
          <w:highlight w:val="none"/>
          <w:lang w:val="en-US" w:eastAsia="zh-CN"/>
        </w:rPr>
        <w:t>3次，求平均值，按</w:t>
      </w:r>
      <w:r>
        <w:rPr>
          <w:rFonts w:hint="eastAsia" w:ascii="Times New Roman" w:cs="Times New Roman"/>
          <w:sz w:val="24"/>
          <w:szCs w:val="24"/>
          <w:highlight w:val="none"/>
          <w:lang w:val="en-US" w:eastAsia="zh-CN"/>
        </w:rPr>
        <w:t>公</w:t>
      </w:r>
      <w:r>
        <w:rPr>
          <w:rFonts w:hint="eastAsia" w:ascii="Times New Roman" w:hAnsi="Times New Roman" w:eastAsia="宋体" w:cs="Times New Roman"/>
          <w:sz w:val="24"/>
          <w:szCs w:val="24"/>
          <w:highlight w:val="none"/>
          <w:lang w:val="en-US" w:eastAsia="zh-CN"/>
        </w:rPr>
        <w:t>式(</w:t>
      </w:r>
      <w:r>
        <w:rPr>
          <w:rFonts w:hint="eastAsia" w:ascii="Times New Roman" w:cs="Times New Roman"/>
          <w:sz w:val="24"/>
          <w:szCs w:val="24"/>
          <w:highlight w:val="none"/>
          <w:lang w:val="en-US" w:eastAsia="zh-CN"/>
        </w:rPr>
        <w:t>3</w:t>
      </w:r>
      <w:r>
        <w:rPr>
          <w:rFonts w:hint="eastAsia" w:ascii="Times New Roman" w:hAnsi="Times New Roman" w:eastAsia="宋体" w:cs="Times New Roman"/>
          <w:sz w:val="24"/>
          <w:szCs w:val="24"/>
          <w:highlight w:val="none"/>
          <w:lang w:val="en-US" w:eastAsia="zh-CN"/>
        </w:rPr>
        <w:t>)计算各</w:t>
      </w:r>
      <w:r>
        <w:rPr>
          <w:rFonts w:hint="eastAsia" w:ascii="Times New Roman" w:cs="Times New Roman"/>
          <w:sz w:val="24"/>
          <w:szCs w:val="24"/>
          <w:highlight w:val="none"/>
          <w:lang w:val="en-US" w:eastAsia="zh-CN"/>
        </w:rPr>
        <w:t>元素的</w:t>
      </w:r>
      <w:r>
        <w:rPr>
          <w:rFonts w:hint="eastAsia" w:ascii="Times New Roman" w:hAnsi="Times New Roman" w:eastAsia="宋体" w:cs="Times New Roman"/>
          <w:sz w:val="24"/>
          <w:szCs w:val="24"/>
          <w:highlight w:val="none"/>
          <w:lang w:val="en-US" w:eastAsia="zh-CN"/>
        </w:rPr>
        <w:t>示值误差。</w:t>
      </w:r>
    </w:p>
    <w:p w14:paraId="5348CE31">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9"/>
        <w:rPr>
          <w:rFonts w:hint="eastAsia" w:hAnsi="宋体" w:eastAsia="宋体" w:cs="宋体"/>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position w:val="-34"/>
          <w:sz w:val="24"/>
          <w:szCs w:val="24"/>
          <w:highlight w:val="none"/>
          <w:lang w:val="en-US" w:eastAsia="zh-CN"/>
        </w:rPr>
        <w:object>
          <v:shape id="_x0000_i1027" o:spt="75" type="#_x0000_t75" style="height:41pt;width:103.95pt;" o:ole="t" filled="f" o:preferrelative="t" stroked="f" coordsize="21600,21600">
            <v:path/>
            <v:fill on="f" focussize="0,0"/>
            <v:stroke on="f"/>
            <v:imagedata r:id="rId12" o:title=""/>
            <o:lock v:ext="edit" aspectratio="t"/>
            <w10:wrap type="none"/>
            <w10:anchorlock/>
          </v:shape>
          <o:OLEObject Type="Embed" ProgID="Equation.KSEE3" ShapeID="_x0000_i1027" DrawAspect="Content" ObjectID="_1468075727" r:id="rId11">
            <o:LockedField>false</o:LockedField>
          </o:OLEObject>
        </w:object>
      </w:r>
      <w:r>
        <w:rPr>
          <w:rFonts w:hint="eastAsia" w:ascii="Times New Roman" w:hAnsi="Times New Roman" w:eastAsia="宋体" w:cs="Times New Roman"/>
          <w:sz w:val="24"/>
          <w:szCs w:val="24"/>
          <w:highlight w:val="none"/>
          <w:lang w:val="en-US" w:eastAsia="zh-CN"/>
        </w:rPr>
        <w:t xml:space="preserve">  </w:t>
      </w:r>
      <w:r>
        <w:rPr>
          <w:rFonts w:hint="eastAsia" w:ascii="Times New Roman" w:cs="Times New Roman"/>
          <w:sz w:val="24"/>
          <w:szCs w:val="24"/>
          <w:highlight w:val="none"/>
          <w:lang w:val="en-US" w:eastAsia="zh-CN"/>
        </w:rPr>
        <w:t xml:space="preserve">                    (3)</w:t>
      </w:r>
      <w:r>
        <w:rPr>
          <w:rFonts w:hint="eastAsia" w:ascii="Times New Roman" w:hAnsi="Times New Roman" w:eastAsia="宋体" w:cs="Times New Roman"/>
          <w:sz w:val="24"/>
          <w:szCs w:val="24"/>
          <w:highlight w:val="none"/>
          <w:lang w:val="en-US" w:eastAsia="zh-CN"/>
        </w:rPr>
        <w:t xml:space="preserve"> </w:t>
      </w:r>
      <w:r>
        <w:rPr>
          <w:rFonts w:hint="eastAsia" w:hAnsi="宋体" w:eastAsia="宋体" w:cs="宋体"/>
          <w:sz w:val="24"/>
          <w:szCs w:val="24"/>
          <w:highlight w:val="none"/>
          <w:lang w:val="en-US" w:eastAsia="zh-CN"/>
        </w:rPr>
        <w:t xml:space="preserve">                           </w:t>
      </w:r>
    </w:p>
    <w:p w14:paraId="395ED6B4">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64D2B506">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default" w:hAnsi="宋体" w:eastAsia="宋体" w:cs="宋体"/>
          <w:sz w:val="24"/>
          <w:szCs w:val="24"/>
          <w:highlight w:val="none"/>
          <w:lang w:val="en-US" w:eastAsia="zh-CN"/>
        </w:rPr>
      </w:pPr>
      <w:r>
        <w:rPr>
          <w:rFonts w:hint="default" w:ascii="Times New Roman" w:hAnsi="Times New Roman" w:eastAsia="宋体" w:cs="Times New Roman"/>
          <w:i/>
          <w:iCs/>
          <w:sz w:val="24"/>
          <w:szCs w:val="24"/>
        </w:rPr>
        <w:t>Δ</w:t>
      </w:r>
      <w:r>
        <w:rPr>
          <w:rFonts w:hint="eastAsia" w:ascii="Times New Roman" w:cs="Times New Roman"/>
          <w:i/>
          <w:iCs/>
          <w:highlight w:val="none"/>
          <w:vertAlign w:val="baseline"/>
          <w:lang w:val="en-US" w:eastAsia="zh-CN"/>
        </w:rPr>
        <w:t>x</w:t>
      </w:r>
      <w:r>
        <w:rPr>
          <w:rFonts w:hint="eastAsia" w:ascii="Times New Roman" w:cs="Times New Roman"/>
          <w:i/>
          <w:iCs/>
          <w:highlight w:val="none"/>
          <w:vertAlign w:val="subscript"/>
          <w:lang w:val="en-US" w:eastAsia="zh-CN"/>
        </w:rPr>
        <w:t>i</w:t>
      </w:r>
      <w:r>
        <w:t>——</w:t>
      </w:r>
      <w:r>
        <w:rPr>
          <w:rFonts w:hint="eastAsia" w:ascii="Times New Roman"/>
          <w:sz w:val="24"/>
          <w:szCs w:val="24"/>
          <w:highlight w:val="none"/>
          <w:lang w:val="en-US" w:eastAsia="zh-CN"/>
        </w:rPr>
        <w:t>各元素的</w:t>
      </w:r>
      <w:r>
        <w:rPr>
          <w:rFonts w:hint="eastAsia" w:ascii="Times New Roman" w:hAnsi="Times New Roman" w:eastAsia="宋体" w:cs="Times New Roman"/>
          <w:sz w:val="24"/>
          <w:szCs w:val="24"/>
          <w:highlight w:val="none"/>
          <w:lang w:val="en-US" w:eastAsia="zh-CN"/>
        </w:rPr>
        <w:t>示值误差</w:t>
      </w:r>
      <w:r>
        <w:rPr>
          <w:rFonts w:hint="eastAsia" w:ascii="Times New Roman" w:hAnsi="Times New Roman" w:eastAsia="宋体" w:cs="Times New Roman"/>
          <w:i w:val="0"/>
          <w:iCs w:val="0"/>
          <w:sz w:val="24"/>
          <w:szCs w:val="24"/>
          <w:highlight w:val="none"/>
          <w:lang w:val="en-US" w:eastAsia="zh-CN"/>
        </w:rPr>
        <w:t>；</w:t>
      </w:r>
    </w:p>
    <w:p w14:paraId="56A6AB11">
      <w:pPr>
        <w:pStyle w:val="59"/>
        <w:keepNext w:val="0"/>
        <w:keepLines w:val="0"/>
        <w:pageBreakBefore w:val="0"/>
        <w:widowControl/>
        <w:kinsoku/>
        <w:wordWrap/>
        <w:overflowPunct/>
        <w:topLinePunct w:val="0"/>
        <w:autoSpaceDE w:val="0"/>
        <w:autoSpaceDN w:val="0"/>
        <w:bidi w:val="0"/>
        <w:adjustRightInd/>
        <w:snapToGrid/>
        <w:spacing w:line="360" w:lineRule="auto"/>
        <w:jc w:val="left"/>
        <w:textAlignment w:val="auto"/>
        <w:outlineLvl w:val="9"/>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highlight w:val="none"/>
          <w:vertAlign w:val="baseline"/>
          <w:lang w:val="en-US" w:eastAsia="zh-CN"/>
        </w:rPr>
        <w:sym w:font="Symbol" w:char="0060"/>
      </w:r>
      <w:r>
        <w:rPr>
          <w:rFonts w:hint="eastAsia" w:ascii="Times New Roman" w:cs="Times New Roman"/>
          <w:i/>
          <w:iCs/>
          <w:highlight w:val="none"/>
          <w:vertAlign w:val="baseline"/>
          <w:lang w:val="en-US" w:eastAsia="zh-CN"/>
        </w:rPr>
        <w:t>x</w:t>
      </w:r>
      <w:r>
        <w:rPr>
          <w:rFonts w:hint="eastAsia" w:ascii="Times New Roman" w:cs="Times New Roman"/>
          <w:i/>
          <w:iCs/>
          <w:highlight w:val="none"/>
          <w:vertAlign w:val="subscript"/>
          <w:lang w:val="en-US" w:eastAsia="zh-CN"/>
        </w:rPr>
        <w:t>i</w:t>
      </w:r>
      <w:r>
        <w:rPr>
          <w:rFonts w:hint="eastAsia" w:ascii="Times New Roman" w:hAnsi="Times New Roman" w:eastAsia="宋体" w:cs="Times New Roman"/>
          <w:i/>
          <w:iCs/>
          <w:highlight w:val="none"/>
          <w:lang w:val="en-US" w:eastAsia="zh-CN"/>
        </w:rPr>
        <w:t xml:space="preserve"> </w:t>
      </w:r>
      <w:r>
        <w:t>——</w:t>
      </w:r>
      <w:r>
        <w:rPr>
          <w:rFonts w:hint="eastAsia" w:ascii="Times New Roman" w:cs="Times New Roman"/>
          <w:sz w:val="24"/>
          <w:szCs w:val="24"/>
          <w:highlight w:val="none"/>
          <w:lang w:val="en-US" w:eastAsia="zh-CN"/>
        </w:rPr>
        <w:t>3次测量平均值，%</w:t>
      </w:r>
      <w:r>
        <w:rPr>
          <w:rFonts w:hint="eastAsia" w:ascii="Times New Roman" w:hAnsi="Times New Roman" w:eastAsia="宋体" w:cs="Times New Roman"/>
          <w:i w:val="0"/>
          <w:iCs w:val="0"/>
          <w:sz w:val="24"/>
          <w:szCs w:val="24"/>
          <w:highlight w:val="none"/>
          <w:lang w:val="en-US" w:eastAsia="zh-CN"/>
        </w:rPr>
        <w:t>；</w:t>
      </w:r>
    </w:p>
    <w:p w14:paraId="037CDC7A">
      <w:pPr>
        <w:pStyle w:val="59"/>
        <w:keepNext w:val="0"/>
        <w:keepLines w:val="0"/>
        <w:pageBreakBefore w:val="0"/>
        <w:widowControl/>
        <w:kinsoku/>
        <w:wordWrap/>
        <w:overflowPunct/>
        <w:topLinePunct w:val="0"/>
        <w:autoSpaceDE w:val="0"/>
        <w:autoSpaceDN w:val="0"/>
        <w:bidi w:val="0"/>
        <w:adjustRightInd/>
        <w:snapToGrid/>
        <w:spacing w:line="360" w:lineRule="auto"/>
        <w:jc w:val="left"/>
        <w:textAlignment w:val="auto"/>
        <w:outlineLvl w:val="9"/>
        <w:rPr>
          <w:rFonts w:hint="eastAsia" w:ascii="Times New Roman" w:cs="Times New Roman"/>
          <w:i w:val="0"/>
          <w:iCs w:val="0"/>
          <w:sz w:val="24"/>
          <w:szCs w:val="24"/>
          <w:highlight w:val="none"/>
          <w:lang w:val="en-US" w:eastAsia="zh-CN"/>
        </w:rPr>
      </w:pPr>
      <w:r>
        <w:rPr>
          <w:rFonts w:hint="eastAsia" w:ascii="Times New Roman" w:cs="Times New Roman"/>
          <w:i/>
          <w:iCs/>
          <w:highlight w:val="none"/>
          <w:vertAlign w:val="baseline"/>
          <w:lang w:val="en-US" w:eastAsia="zh-CN"/>
        </w:rPr>
        <w:t>x</w:t>
      </w:r>
      <w:r>
        <w:rPr>
          <w:rFonts w:hint="eastAsia" w:ascii="Times New Roman" w:cs="Times New Roman"/>
          <w:i/>
          <w:iCs/>
          <w:highlight w:val="none"/>
          <w:vertAlign w:val="subscript"/>
          <w:lang w:val="en-US" w:eastAsia="zh-CN"/>
        </w:rPr>
        <w:t>s</w:t>
      </w:r>
      <w:r>
        <w:t>——</w:t>
      </w:r>
      <w:r>
        <w:rPr>
          <w:rFonts w:hint="eastAsia"/>
          <w:sz w:val="24"/>
          <w:szCs w:val="24"/>
          <w:lang w:val="en-US" w:eastAsia="zh-CN"/>
        </w:rPr>
        <w:t>标准值</w:t>
      </w:r>
      <w:r>
        <w:rPr>
          <w:rFonts w:hint="eastAsia" w:ascii="Times New Roman" w:cs="Times New Roman"/>
          <w:sz w:val="24"/>
          <w:szCs w:val="24"/>
          <w:highlight w:val="none"/>
          <w:lang w:val="en-US" w:eastAsia="zh-CN"/>
        </w:rPr>
        <w:t>，%。</w:t>
      </w:r>
      <w:r>
        <w:rPr>
          <w:rFonts w:hint="eastAsia" w:hAnsi="宋体" w:eastAsia="宋体" w:cs="宋体"/>
          <w:sz w:val="24"/>
          <w:szCs w:val="24"/>
          <w:highlight w:val="none"/>
          <w:lang w:val="en-US" w:eastAsia="zh-CN"/>
        </w:rPr>
        <w:t xml:space="preserve">    </w:t>
      </w:r>
    </w:p>
    <w:p w14:paraId="326CB661">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2"/>
        <w:rPr>
          <w:rFonts w:hint="eastAsia"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6.2.4 重复性</w:t>
      </w:r>
    </w:p>
    <w:p w14:paraId="5A81BB68">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2"/>
        <w:rPr>
          <w:rFonts w:hint="default" w:ascii="Times New Roman" w:cs="Times New Roman"/>
          <w:i w:val="0"/>
          <w:iCs w:val="0"/>
          <w:sz w:val="24"/>
          <w:szCs w:val="24"/>
          <w:highlight w:val="none"/>
          <w:lang w:val="en-US" w:eastAsia="zh-CN"/>
        </w:rPr>
      </w:pPr>
      <w:r>
        <w:rPr>
          <w:rFonts w:hint="eastAsia" w:ascii="Times New Roman" w:cs="Times New Roman"/>
          <w:sz w:val="24"/>
          <w:szCs w:val="24"/>
          <w:highlight w:val="none"/>
          <w:lang w:val="en-US" w:eastAsia="zh-CN"/>
        </w:rPr>
        <w:t>在仪器正常工作条件下，调取相应基体工作程序，按表1范围选择有代表性元素及含量范围</w:t>
      </w:r>
      <w:r>
        <w:rPr>
          <w:rFonts w:hint="eastAsia" w:ascii="Times New Roman" w:eastAsiaTheme="minorEastAsia"/>
          <w:sz w:val="24"/>
          <w:highlight w:val="none"/>
          <w:lang w:val="en-US" w:eastAsia="zh-CN"/>
        </w:rPr>
        <w:t>的</w:t>
      </w:r>
      <w:r>
        <w:rPr>
          <w:rFonts w:hint="default" w:ascii="Times New Roman" w:cs="Times New Roman"/>
          <w:sz w:val="24"/>
          <w:szCs w:val="24"/>
          <w:highlight w:val="none"/>
          <w:lang w:val="en-US" w:eastAsia="zh-CN"/>
        </w:rPr>
        <w:t>光谱分析标准物质</w:t>
      </w:r>
      <w:r>
        <w:rPr>
          <w:rFonts w:hint="eastAsia" w:ascii="Times New Roman" w:cs="Times New Roman"/>
          <w:sz w:val="24"/>
          <w:szCs w:val="24"/>
          <w:highlight w:val="none"/>
          <w:lang w:val="en-US" w:eastAsia="zh-CN"/>
        </w:rPr>
        <w:t>或标准样品，</w:t>
      </w:r>
      <w:r>
        <w:rPr>
          <w:rFonts w:hint="default" w:ascii="Times New Roman" w:cs="Times New Roman"/>
          <w:sz w:val="24"/>
          <w:szCs w:val="24"/>
          <w:highlight w:val="none"/>
          <w:lang w:val="en-US" w:eastAsia="zh-CN"/>
        </w:rPr>
        <w:t>连续</w:t>
      </w:r>
      <w:r>
        <w:rPr>
          <w:rFonts w:hint="eastAsia" w:ascii="Times New Roman" w:cs="Times New Roman"/>
          <w:sz w:val="24"/>
          <w:szCs w:val="24"/>
          <w:highlight w:val="none"/>
          <w:lang w:val="en-US" w:eastAsia="zh-CN"/>
        </w:rPr>
        <w:t>溅射</w:t>
      </w:r>
      <w:r>
        <w:rPr>
          <w:rFonts w:hint="default" w:ascii="Times New Roman" w:cs="Times New Roman"/>
          <w:sz w:val="24"/>
          <w:szCs w:val="24"/>
          <w:highlight w:val="none"/>
          <w:lang w:val="en-US" w:eastAsia="zh-CN"/>
        </w:rPr>
        <w:t>10次，</w:t>
      </w:r>
      <w:r>
        <w:rPr>
          <w:rFonts w:hint="eastAsia" w:ascii="Times New Roman" w:cs="Times New Roman"/>
          <w:i w:val="0"/>
          <w:iCs w:val="0"/>
          <w:sz w:val="24"/>
          <w:szCs w:val="24"/>
          <w:highlight w:val="none"/>
          <w:lang w:val="en-US" w:eastAsia="zh-CN"/>
        </w:rPr>
        <w:t>记录各代表性元素测量值或辉光信号值</w:t>
      </w:r>
      <w:r>
        <w:rPr>
          <w:rFonts w:hint="default" w:ascii="Times New Roman" w:cs="Times New Roman"/>
          <w:i w:val="0"/>
          <w:iCs w:val="0"/>
          <w:sz w:val="24"/>
          <w:szCs w:val="24"/>
          <w:highlight w:val="none"/>
          <w:lang w:val="en-US" w:eastAsia="zh-CN"/>
        </w:rPr>
        <w:t>，</w:t>
      </w:r>
      <w:r>
        <w:rPr>
          <w:rFonts w:hint="eastAsia" w:ascii="Times New Roman" w:cs="Times New Roman"/>
          <w:i w:val="0"/>
          <w:iCs w:val="0"/>
          <w:sz w:val="24"/>
          <w:szCs w:val="24"/>
          <w:highlight w:val="none"/>
          <w:lang w:val="en-US" w:eastAsia="zh-CN"/>
        </w:rPr>
        <w:t>按式</w:t>
      </w:r>
      <w:r>
        <w:rPr>
          <w:rFonts w:hint="default" w:ascii="Times New Roman" w:hAnsi="Times New Roman" w:cs="Times New Roman"/>
          <w:i w:val="0"/>
          <w:iCs w:val="0"/>
          <w:sz w:val="24"/>
          <w:szCs w:val="24"/>
          <w:highlight w:val="none"/>
          <w:lang w:val="en-US" w:eastAsia="zh-CN"/>
        </w:rPr>
        <w:t>（</w:t>
      </w:r>
      <w:r>
        <w:rPr>
          <w:rFonts w:hint="eastAsia" w:ascii="Times New Roman" w:cs="Times New Roman"/>
          <w:i w:val="0"/>
          <w:iCs w:val="0"/>
          <w:sz w:val="24"/>
          <w:szCs w:val="24"/>
          <w:highlight w:val="none"/>
          <w:lang w:val="en-US" w:eastAsia="zh-CN"/>
        </w:rPr>
        <w:t>4</w:t>
      </w:r>
      <w:r>
        <w:rPr>
          <w:rFonts w:hint="default" w:ascii="Times New Roman" w:hAnsi="Times New Roman" w:cs="Times New Roman"/>
          <w:i w:val="0"/>
          <w:iCs w:val="0"/>
          <w:sz w:val="24"/>
          <w:szCs w:val="24"/>
          <w:highlight w:val="none"/>
          <w:lang w:val="en-US" w:eastAsia="zh-CN"/>
        </w:rPr>
        <w:t>）</w:t>
      </w:r>
      <w:r>
        <w:rPr>
          <w:rFonts w:hint="default" w:ascii="Times New Roman" w:cs="Times New Roman"/>
          <w:i w:val="0"/>
          <w:iCs w:val="0"/>
          <w:sz w:val="24"/>
          <w:szCs w:val="24"/>
          <w:highlight w:val="none"/>
          <w:lang w:val="en-US" w:eastAsia="zh-CN"/>
        </w:rPr>
        <w:t>计算相对标准偏差为重复性。</w:t>
      </w:r>
    </w:p>
    <w:p w14:paraId="149D752D">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val="0"/>
          <w:sz w:val="24"/>
          <w:szCs w:val="24"/>
          <w:highlight w:val="none"/>
          <w:lang w:val="en-US" w:eastAsia="zh-CN" w:bidi="ar-SA"/>
        </w:rPr>
        <w:t xml:space="preserve">                             </w:t>
      </w:r>
      <w:r>
        <w:rPr>
          <w:rFonts w:hint="eastAsia" w:ascii="Times New Roman" w:cs="Times New Roman"/>
          <w:i w:val="0"/>
          <w:position w:val="-26"/>
          <w:sz w:val="24"/>
          <w:szCs w:val="24"/>
          <w:highlight w:val="none"/>
          <w:lang w:val="en-US" w:eastAsia="zh-CN" w:bidi="ar-SA"/>
        </w:rPr>
        <w:object>
          <v:shape id="_x0000_i1028" o:spt="75" type="#_x0000_t75" style="height:40pt;width:159pt;" o:ole="t" filled="f" o:preferrelative="t" stroked="f" coordsize="21600,21600">
            <v:path/>
            <v:fill on="f" focussize="0,0"/>
            <v:stroke on="f"/>
            <v:imagedata r:id="rId14" o:title=""/>
            <o:lock v:ext="edit" aspectratio="t"/>
            <w10:wrap type="none"/>
            <w10:anchorlock/>
          </v:shape>
          <o:OLEObject Type="Embed" ProgID="Equation.KSEE3" ShapeID="_x0000_i1028" DrawAspect="Content" ObjectID="_1468075728" r:id="rId13">
            <o:LockedField>false</o:LockedField>
          </o:OLEObject>
        </w:object>
      </w:r>
      <w:r>
        <w:rPr>
          <w:rFonts w:hint="eastAsia" w:ascii="Times New Roman"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4</w:t>
      </w:r>
      <w:r>
        <w:rPr>
          <w:rFonts w:hint="default" w:ascii="Times New Roman" w:hAnsi="Times New Roman" w:cs="Times New Roman"/>
          <w:i w:val="0"/>
          <w:iCs/>
          <w:sz w:val="24"/>
          <w:szCs w:val="24"/>
          <w:highlight w:val="none"/>
          <w:lang w:val="en-US" w:eastAsia="zh-CN" w:bidi="ar-SA"/>
        </w:rPr>
        <w:t>)</w:t>
      </w:r>
    </w:p>
    <w:p w14:paraId="15691A38">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73BA832D">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default" w:ascii="Times New Roman" w:hAnsi="Times New Roman" w:cs="Times New Roman"/>
          <w:lang w:val="en-US" w:eastAsia="zh-CN"/>
        </w:rPr>
        <w:t>RSD</w:t>
      </w:r>
      <w:r>
        <w:t>——</w:t>
      </w:r>
      <w:r>
        <w:rPr>
          <w:rFonts w:hint="eastAsia"/>
          <w:sz w:val="24"/>
          <w:szCs w:val="24"/>
          <w:lang w:val="en-US" w:eastAsia="zh-CN"/>
        </w:rPr>
        <w:t>测量重复性</w:t>
      </w:r>
      <w:r>
        <w:rPr>
          <w:rFonts w:hint="eastAsia" w:ascii="Times New Roman" w:hAnsi="Times New Roman" w:eastAsia="宋体" w:cs="Times New Roman"/>
          <w:i w:val="0"/>
          <w:iCs w:val="0"/>
          <w:sz w:val="24"/>
          <w:szCs w:val="24"/>
          <w:highlight w:val="none"/>
          <w:lang w:val="en-US" w:eastAsia="zh-CN"/>
        </w:rPr>
        <w:t>；</w:t>
      </w:r>
    </w:p>
    <w:p w14:paraId="09FC3FB4">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highlight w:val="none"/>
          <w:lang w:val="en-US" w:eastAsia="zh-CN"/>
        </w:rPr>
      </w:pPr>
      <w:r>
        <w:rPr>
          <w:rFonts w:hint="eastAsia" w:ascii="Times New Roman" w:cs="Times New Roman"/>
          <w:i/>
          <w:iCs/>
          <w:sz w:val="24"/>
          <w:szCs w:val="24"/>
          <w:highlight w:val="none"/>
          <w:vertAlign w:val="baseline"/>
          <w:lang w:val="en-US" w:eastAsia="zh-CN"/>
        </w:rPr>
        <w:t>x</w:t>
      </w:r>
      <w:r>
        <w:rPr>
          <w:rFonts w:hint="eastAsia" w:ascii="Times New Roman" w:cs="Times New Roman"/>
          <w:i/>
          <w:iCs/>
          <w:sz w:val="24"/>
          <w:szCs w:val="24"/>
          <w:highlight w:val="none"/>
          <w:vertAlign w:val="subscript"/>
          <w:lang w:val="en-US" w:eastAsia="zh-CN"/>
        </w:rPr>
        <w:t>i</w:t>
      </w:r>
      <w:r>
        <w:rPr>
          <w:highlight w:val="none"/>
        </w:rPr>
        <w:t>——</w:t>
      </w:r>
      <w:r>
        <w:rPr>
          <w:rFonts w:hint="eastAsia"/>
          <w:sz w:val="24"/>
          <w:szCs w:val="24"/>
          <w:highlight w:val="none"/>
          <w:lang w:val="en-US" w:eastAsia="zh-CN"/>
        </w:rPr>
        <w:t>单次测量值，</w:t>
      </w:r>
      <w:r>
        <w:rPr>
          <w:rFonts w:hint="default" w:ascii="Times New Roman" w:hAnsi="Times New Roman" w:cs="Times New Roman"/>
          <w:sz w:val="24"/>
          <w:szCs w:val="24"/>
          <w:highlight w:val="none"/>
          <w:lang w:val="en-US" w:eastAsia="zh-CN"/>
        </w:rPr>
        <w:t>%，或辉光信号强度</w:t>
      </w:r>
      <w:r>
        <w:rPr>
          <w:rFonts w:hint="eastAsia" w:asci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cps；</w:t>
      </w:r>
    </w:p>
    <w:p w14:paraId="16544E8B">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cs="Times New Roman"/>
          <w:sz w:val="24"/>
          <w:szCs w:val="24"/>
          <w:highlight w:val="none"/>
          <w:lang w:val="en-US" w:eastAsia="zh-CN"/>
        </w:rPr>
      </w:pPr>
      <w:r>
        <w:rPr>
          <w:rFonts w:hint="default" w:ascii="Times New Roman" w:hAnsi="Times New Roman" w:cs="Times New Roman"/>
          <w:i/>
          <w:iCs/>
          <w:highlight w:val="none"/>
          <w:lang w:val="en-US" w:eastAsia="zh-CN"/>
        </w:rPr>
        <w:sym w:font="Symbol" w:char="0060"/>
      </w:r>
      <w:r>
        <w:rPr>
          <w:rFonts w:hint="default" w:ascii="Times New Roman" w:hAnsi="Times New Roman" w:cs="Times New Roman"/>
          <w:i/>
          <w:iCs/>
          <w:highlight w:val="none"/>
          <w:lang w:val="en-US" w:eastAsia="zh-CN"/>
        </w:rPr>
        <w:t>x</w:t>
      </w:r>
      <w:r>
        <w:rPr>
          <w:rFonts w:hint="default" w:ascii="Times New Roman" w:hAnsi="Times New Roman" w:cs="Times New Roman"/>
          <w:highlight w:val="none"/>
        </w:rPr>
        <w:t>——</w:t>
      </w:r>
      <w:r>
        <w:rPr>
          <w:rFonts w:hint="default" w:ascii="Times New Roman" w:hAnsi="Times New Roman" w:cs="Times New Roman"/>
          <w:sz w:val="24"/>
          <w:szCs w:val="24"/>
          <w:highlight w:val="none"/>
          <w:lang w:val="en-US" w:eastAsia="zh-CN"/>
        </w:rPr>
        <w:t>测量平均值，%，</w:t>
      </w:r>
      <w:r>
        <w:rPr>
          <w:rFonts w:hint="eastAsia"/>
          <w:sz w:val="24"/>
          <w:szCs w:val="24"/>
          <w:highlight w:val="none"/>
          <w:lang w:val="en-US" w:eastAsia="zh-CN"/>
        </w:rPr>
        <w:t>或辉光信号强度，</w:t>
      </w:r>
      <w:r>
        <w:rPr>
          <w:rFonts w:hint="default" w:ascii="Times New Roman" w:hAnsi="Times New Roman" w:cs="Times New Roman"/>
          <w:sz w:val="24"/>
          <w:szCs w:val="24"/>
          <w:highlight w:val="none"/>
          <w:lang w:val="en-US" w:eastAsia="zh-CN"/>
        </w:rPr>
        <w:t>cps；</w:t>
      </w:r>
    </w:p>
    <w:p w14:paraId="7A37B3D3">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iCs/>
          <w:sz w:val="24"/>
          <w:szCs w:val="24"/>
          <w:highlight w:val="none"/>
          <w:lang w:val="en-US" w:eastAsia="zh-CN"/>
        </w:rPr>
        <w:t>n</w:t>
      </w:r>
      <w:r>
        <w:t>——</w:t>
      </w:r>
      <w:r>
        <w:rPr>
          <w:rFonts w:hint="eastAsia"/>
          <w:sz w:val="24"/>
          <w:szCs w:val="24"/>
          <w:lang w:val="en-US" w:eastAsia="zh-CN"/>
        </w:rPr>
        <w:t>测量次数，</w:t>
      </w:r>
      <w:r>
        <w:rPr>
          <w:rFonts w:hint="default" w:ascii="Times New Roman" w:hAnsi="Times New Roman" w:cs="Times New Roman"/>
          <w:i/>
          <w:iCs/>
          <w:sz w:val="24"/>
          <w:szCs w:val="24"/>
          <w:lang w:val="en-US" w:eastAsia="zh-CN"/>
        </w:rPr>
        <w:t>n</w:t>
      </w:r>
      <w:r>
        <w:rPr>
          <w:rFonts w:hint="default" w:ascii="Times New Roman" w:hAnsi="Times New Roman" w:cs="Times New Roman"/>
          <w:sz w:val="24"/>
          <w:szCs w:val="24"/>
          <w:lang w:val="en-US" w:eastAsia="zh-CN"/>
        </w:rPr>
        <w:t>=10</w:t>
      </w:r>
      <w:r>
        <w:rPr>
          <w:rFonts w:hint="eastAsia" w:ascii="Times New Roman" w:cs="Times New Roman"/>
          <w:sz w:val="24"/>
          <w:szCs w:val="24"/>
          <w:highlight w:val="none"/>
          <w:lang w:val="en-US" w:eastAsia="zh-CN"/>
        </w:rPr>
        <w:t>。</w:t>
      </w:r>
    </w:p>
    <w:p w14:paraId="79BDD152">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2"/>
        <w:rPr>
          <w:rFonts w:hint="eastAsia"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6.2.5 稳定性</w:t>
      </w:r>
    </w:p>
    <w:p w14:paraId="4CC220CB">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cs="Times New Roman"/>
          <w:i w:val="0"/>
          <w:iCs w:val="0"/>
          <w:sz w:val="24"/>
          <w:szCs w:val="24"/>
          <w:highlight w:val="none"/>
          <w:lang w:val="en-US" w:eastAsia="zh-CN"/>
        </w:rPr>
      </w:pPr>
      <w:r>
        <w:rPr>
          <w:rFonts w:hint="eastAsia" w:ascii="Times New Roman" w:cs="Times New Roman"/>
          <w:sz w:val="24"/>
          <w:szCs w:val="24"/>
          <w:highlight w:val="none"/>
          <w:lang w:val="en-US" w:eastAsia="zh-CN"/>
        </w:rPr>
        <w:t>在仪器正常工作条件下，调取相应基体工作程序，按表1范围选择有代表性元素及含量范围</w:t>
      </w:r>
      <w:r>
        <w:rPr>
          <w:rFonts w:hint="eastAsia" w:ascii="Times New Roman" w:eastAsiaTheme="minorEastAsia"/>
          <w:sz w:val="24"/>
          <w:highlight w:val="none"/>
          <w:lang w:val="en-US" w:eastAsia="zh-CN"/>
        </w:rPr>
        <w:t>的</w:t>
      </w:r>
      <w:r>
        <w:rPr>
          <w:rFonts w:hint="default" w:ascii="Times New Roman" w:cs="Times New Roman"/>
          <w:sz w:val="24"/>
          <w:szCs w:val="24"/>
          <w:highlight w:val="none"/>
          <w:lang w:val="en-US" w:eastAsia="zh-CN"/>
        </w:rPr>
        <w:t>光谱分析标准物质</w:t>
      </w:r>
      <w:r>
        <w:rPr>
          <w:rFonts w:hint="eastAsia" w:ascii="Times New Roman" w:cs="Times New Roman"/>
          <w:sz w:val="24"/>
          <w:szCs w:val="24"/>
          <w:highlight w:val="none"/>
          <w:lang w:val="en-US" w:eastAsia="zh-CN"/>
        </w:rPr>
        <w:t>或标准样品，在不少于2h内，间隔15min以上，</w:t>
      </w:r>
      <w:r>
        <w:rPr>
          <w:rFonts w:hint="eastAsia" w:ascii="Times New Roman" w:cs="Times New Roman"/>
          <w:i w:val="0"/>
          <w:iCs w:val="0"/>
          <w:sz w:val="24"/>
          <w:szCs w:val="24"/>
          <w:highlight w:val="none"/>
          <w:lang w:val="en-US" w:eastAsia="zh-CN"/>
        </w:rPr>
        <w:t>在样品同一分析面的不同位置</w:t>
      </w:r>
      <w:r>
        <w:rPr>
          <w:rFonts w:hint="eastAsia" w:ascii="Times New Roman" w:cs="Times New Roman"/>
          <w:sz w:val="24"/>
          <w:szCs w:val="24"/>
          <w:highlight w:val="none"/>
          <w:lang w:val="en-US" w:eastAsia="zh-CN"/>
        </w:rPr>
        <w:t>重复6次</w:t>
      </w:r>
      <w:r>
        <w:rPr>
          <w:rFonts w:hint="eastAsia" w:ascii="Times New Roman" w:cs="Times New Roman"/>
          <w:i w:val="0"/>
          <w:iCs w:val="0"/>
          <w:sz w:val="24"/>
          <w:szCs w:val="24"/>
          <w:highlight w:val="none"/>
          <w:lang w:val="en-US" w:eastAsia="zh-CN"/>
        </w:rPr>
        <w:t>溅射</w:t>
      </w:r>
      <w:r>
        <w:rPr>
          <w:rFonts w:hint="eastAsia" w:ascii="Times New Roman" w:cs="Times New Roman"/>
          <w:sz w:val="24"/>
          <w:szCs w:val="24"/>
          <w:highlight w:val="none"/>
          <w:lang w:val="en-US" w:eastAsia="zh-CN"/>
        </w:rPr>
        <w:t>测量。</w:t>
      </w:r>
      <w:r>
        <w:rPr>
          <w:rFonts w:hint="eastAsia" w:ascii="Times New Roman" w:cs="Times New Roman"/>
          <w:i w:val="0"/>
          <w:iCs w:val="0"/>
          <w:sz w:val="24"/>
          <w:szCs w:val="24"/>
          <w:highlight w:val="none"/>
          <w:lang w:val="en-US" w:eastAsia="zh-CN"/>
        </w:rPr>
        <w:t>记录各元素测量值或辉光信号值</w:t>
      </w:r>
      <w:r>
        <w:rPr>
          <w:rFonts w:hint="default" w:ascii="Times New Roman" w:cs="Times New Roman"/>
          <w:i w:val="0"/>
          <w:iCs w:val="0"/>
          <w:sz w:val="24"/>
          <w:szCs w:val="24"/>
          <w:highlight w:val="none"/>
          <w:lang w:val="en-US" w:eastAsia="zh-CN"/>
        </w:rPr>
        <w:t>，</w:t>
      </w:r>
      <w:r>
        <w:rPr>
          <w:rFonts w:hint="eastAsia" w:ascii="Times New Roman" w:cs="Times New Roman"/>
          <w:i w:val="0"/>
          <w:iCs w:val="0"/>
          <w:sz w:val="24"/>
          <w:szCs w:val="24"/>
          <w:highlight w:val="none"/>
          <w:lang w:val="en-US" w:eastAsia="zh-CN"/>
        </w:rPr>
        <w:t>按</w:t>
      </w:r>
      <w:r>
        <w:rPr>
          <w:rFonts w:hint="default" w:ascii="Times New Roman" w:cs="Times New Roman"/>
          <w:i w:val="0"/>
          <w:iCs w:val="0"/>
          <w:sz w:val="24"/>
          <w:szCs w:val="24"/>
          <w:highlight w:val="none"/>
          <w:lang w:val="en-US" w:eastAsia="zh-CN"/>
        </w:rPr>
        <w:t>式</w:t>
      </w:r>
      <w:r>
        <w:rPr>
          <w:rFonts w:hint="default" w:ascii="Times New Roman" w:hAnsi="Times New Roman" w:eastAsia="宋体" w:cs="Times New Roman"/>
          <w:i w:val="0"/>
          <w:iCs w:val="0"/>
          <w:sz w:val="24"/>
          <w:szCs w:val="24"/>
          <w:highlight w:val="none"/>
          <w:lang w:val="en-US" w:eastAsia="zh-CN" w:bidi="ar-SA"/>
        </w:rPr>
        <w:t>（</w:t>
      </w:r>
      <w:r>
        <w:rPr>
          <w:rFonts w:hint="eastAsia" w:ascii="Times New Roman" w:cs="Times New Roman"/>
          <w:i w:val="0"/>
          <w:iCs w:val="0"/>
          <w:sz w:val="24"/>
          <w:szCs w:val="24"/>
          <w:highlight w:val="none"/>
          <w:lang w:val="en-US" w:eastAsia="zh-CN" w:bidi="ar-SA"/>
        </w:rPr>
        <w:t>4</w:t>
      </w:r>
      <w:r>
        <w:rPr>
          <w:rFonts w:hint="default" w:ascii="Times New Roman" w:hAnsi="Times New Roman" w:eastAsia="宋体" w:cs="Times New Roman"/>
          <w:i w:val="0"/>
          <w:iCs w:val="0"/>
          <w:sz w:val="24"/>
          <w:szCs w:val="24"/>
          <w:highlight w:val="none"/>
          <w:lang w:val="en-US" w:eastAsia="zh-CN" w:bidi="ar-SA"/>
        </w:rPr>
        <w:t>）</w:t>
      </w:r>
      <w:r>
        <w:rPr>
          <w:rFonts w:hint="default" w:ascii="Times New Roman" w:cs="Times New Roman"/>
          <w:i w:val="0"/>
          <w:iCs w:val="0"/>
          <w:sz w:val="24"/>
          <w:szCs w:val="24"/>
          <w:highlight w:val="none"/>
          <w:lang w:val="en-US" w:eastAsia="zh-CN"/>
        </w:rPr>
        <w:t>计算测量值的相对标准偏差</w:t>
      </w:r>
      <w:r>
        <w:rPr>
          <w:rFonts w:hint="eastAsia" w:ascii="Times New Roman" w:cs="Times New Roman"/>
          <w:i w:val="0"/>
          <w:iCs w:val="0"/>
          <w:sz w:val="24"/>
          <w:szCs w:val="24"/>
          <w:highlight w:val="none"/>
          <w:lang w:val="en-US" w:eastAsia="zh-CN"/>
        </w:rPr>
        <w:t>即</w:t>
      </w:r>
      <w:r>
        <w:rPr>
          <w:rFonts w:hint="default" w:ascii="Times New Roman" w:cs="Times New Roman"/>
          <w:i w:val="0"/>
          <w:iCs w:val="0"/>
          <w:sz w:val="24"/>
          <w:szCs w:val="24"/>
          <w:highlight w:val="none"/>
          <w:lang w:val="en-US" w:eastAsia="zh-CN"/>
        </w:rPr>
        <w:t>为稳定性。</w:t>
      </w:r>
    </w:p>
    <w:p w14:paraId="5ED1AA4B">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auto"/>
        <w:rPr>
          <w:rFonts w:hint="default" w:ascii="Times New Roman" w:cs="Times New Roman"/>
          <w:i w:val="0"/>
          <w:iCs w:val="0"/>
          <w:sz w:val="24"/>
          <w:szCs w:val="24"/>
          <w:highlight w:val="none"/>
          <w:lang w:val="en-US" w:eastAsia="zh-CN"/>
        </w:rPr>
      </w:pPr>
      <w:r>
        <w:rPr>
          <w:rFonts w:hint="default" w:ascii="Times New Roman" w:cs="Times New Roman"/>
          <w:i w:val="0"/>
          <w:iCs w:val="0"/>
          <w:sz w:val="24"/>
          <w:szCs w:val="24"/>
          <w:highlight w:val="none"/>
          <w:lang w:val="en-US" w:eastAsia="zh-CN"/>
        </w:rPr>
        <w:t>6.</w:t>
      </w:r>
      <w:r>
        <w:rPr>
          <w:rFonts w:hint="eastAsia" w:ascii="Times New Roman" w:cs="Times New Roman"/>
          <w:i w:val="0"/>
          <w:iCs w:val="0"/>
          <w:sz w:val="24"/>
          <w:szCs w:val="24"/>
          <w:highlight w:val="none"/>
          <w:lang w:val="en-US" w:eastAsia="zh-CN"/>
        </w:rPr>
        <w:t xml:space="preserve">2.6 </w:t>
      </w:r>
      <w:r>
        <w:rPr>
          <w:rFonts w:hint="default" w:ascii="Times New Roman" w:cs="Times New Roman"/>
          <w:i w:val="0"/>
          <w:iCs w:val="0"/>
          <w:sz w:val="24"/>
          <w:szCs w:val="24"/>
          <w:highlight w:val="none"/>
          <w:lang w:val="en-US" w:eastAsia="zh-CN"/>
        </w:rPr>
        <w:t>深度测量重复性</w:t>
      </w:r>
    </w:p>
    <w:p w14:paraId="71EA5BFC">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cs="Times New Roman"/>
          <w:i w:val="0"/>
          <w:iCs w:val="0"/>
          <w:sz w:val="24"/>
          <w:szCs w:val="24"/>
          <w:highlight w:val="none"/>
          <w:lang w:val="en-US" w:eastAsia="zh-CN"/>
        </w:rPr>
      </w:pPr>
      <w:r>
        <w:rPr>
          <w:rFonts w:hint="eastAsia" w:ascii="Times New Roman" w:cs="Times New Roman"/>
          <w:sz w:val="24"/>
          <w:szCs w:val="24"/>
          <w:highlight w:val="none"/>
          <w:lang w:val="en-US" w:eastAsia="zh-CN"/>
        </w:rPr>
        <w:t>在仪器正常工作条件下，</w:t>
      </w:r>
      <w:r>
        <w:rPr>
          <w:rFonts w:hint="eastAsia" w:ascii="Times New Roman"/>
          <w:sz w:val="24"/>
          <w:szCs w:val="24"/>
          <w:highlight w:val="none"/>
          <w:lang w:val="en-US" w:eastAsia="zh-CN"/>
        </w:rPr>
        <w:t>光谱仪调整至深度测量模式，</w:t>
      </w:r>
      <w:r>
        <w:rPr>
          <w:rFonts w:hint="eastAsia" w:ascii="Times New Roman" w:cs="Times New Roman"/>
          <w:sz w:val="24"/>
          <w:szCs w:val="24"/>
          <w:highlight w:val="none"/>
          <w:lang w:val="en-US" w:eastAsia="zh-CN"/>
        </w:rPr>
        <w:t>调取相应基体工作程序，</w:t>
      </w:r>
      <w:r>
        <w:rPr>
          <w:rFonts w:hint="eastAsia" w:ascii="Times New Roman"/>
          <w:sz w:val="24"/>
          <w:szCs w:val="24"/>
          <w:highlight w:val="none"/>
          <w:lang w:val="en-US" w:eastAsia="zh-CN"/>
        </w:rPr>
        <w:t>选择相应基体厚度片，</w:t>
      </w:r>
      <w:r>
        <w:rPr>
          <w:rFonts w:hint="eastAsia" w:ascii="Times New Roman" w:cs="Times New Roman"/>
          <w:i w:val="0"/>
          <w:iCs w:val="0"/>
          <w:sz w:val="24"/>
          <w:szCs w:val="24"/>
          <w:highlight w:val="none"/>
          <w:lang w:val="en-US" w:eastAsia="zh-CN"/>
        </w:rPr>
        <w:t>在样品同一分析面的不同位置</w:t>
      </w:r>
      <w:r>
        <w:rPr>
          <w:rFonts w:hint="eastAsia" w:ascii="Times New Roman" w:cs="Times New Roman"/>
          <w:sz w:val="24"/>
          <w:szCs w:val="24"/>
          <w:highlight w:val="none"/>
          <w:lang w:val="en-US" w:eastAsia="zh-CN"/>
        </w:rPr>
        <w:t>重复7次</w:t>
      </w:r>
      <w:r>
        <w:rPr>
          <w:rFonts w:hint="eastAsia" w:ascii="Times New Roman" w:cs="Times New Roman"/>
          <w:i w:val="0"/>
          <w:iCs w:val="0"/>
          <w:sz w:val="24"/>
          <w:szCs w:val="24"/>
          <w:highlight w:val="none"/>
          <w:lang w:val="en-US" w:eastAsia="zh-CN"/>
        </w:rPr>
        <w:t>溅射</w:t>
      </w:r>
      <w:r>
        <w:rPr>
          <w:rFonts w:hint="eastAsia" w:ascii="Times New Roman" w:cs="Times New Roman"/>
          <w:sz w:val="24"/>
          <w:szCs w:val="24"/>
          <w:highlight w:val="none"/>
          <w:lang w:val="en-US" w:eastAsia="zh-CN"/>
        </w:rPr>
        <w:t>测量。</w:t>
      </w:r>
      <w:r>
        <w:rPr>
          <w:rFonts w:hint="eastAsia" w:ascii="Times New Roman"/>
          <w:sz w:val="24"/>
          <w:szCs w:val="24"/>
          <w:highlight w:val="none"/>
          <w:lang w:val="en-US" w:eastAsia="zh-CN"/>
        </w:rPr>
        <w:t>，按式</w:t>
      </w:r>
      <w:r>
        <w:rPr>
          <w:rFonts w:hint="default" w:ascii="Times New Roman" w:hAnsi="Times New Roman" w:cs="Times New Roman"/>
          <w:i w:val="0"/>
          <w:iCs w:val="0"/>
          <w:sz w:val="24"/>
          <w:szCs w:val="24"/>
          <w:highlight w:val="none"/>
          <w:lang w:val="en-US" w:eastAsia="zh-CN"/>
        </w:rPr>
        <w:t>（</w:t>
      </w:r>
      <w:r>
        <w:rPr>
          <w:rFonts w:hint="eastAsia" w:ascii="Times New Roman" w:cs="Times New Roman"/>
          <w:i w:val="0"/>
          <w:iCs w:val="0"/>
          <w:sz w:val="24"/>
          <w:szCs w:val="24"/>
          <w:highlight w:val="none"/>
          <w:lang w:val="en-US" w:eastAsia="zh-CN"/>
        </w:rPr>
        <w:t>5</w:t>
      </w:r>
      <w:r>
        <w:rPr>
          <w:rFonts w:hint="default" w:ascii="Times New Roman" w:hAnsi="Times New Roman" w:cs="Times New Roman"/>
          <w:i w:val="0"/>
          <w:iCs w:val="0"/>
          <w:sz w:val="24"/>
          <w:szCs w:val="24"/>
          <w:highlight w:val="none"/>
          <w:lang w:val="en-US" w:eastAsia="zh-CN"/>
        </w:rPr>
        <w:t>）</w:t>
      </w:r>
      <w:r>
        <w:rPr>
          <w:rFonts w:hint="eastAsia" w:ascii="Times New Roman"/>
          <w:sz w:val="24"/>
          <w:szCs w:val="24"/>
          <w:highlight w:val="none"/>
          <w:lang w:val="en-US" w:eastAsia="zh-CN"/>
        </w:rPr>
        <w:t>计算相对标准偏差即为厚度测量重复性。</w:t>
      </w:r>
    </w:p>
    <w:p w14:paraId="205FD858">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val="0"/>
          <w:sz w:val="24"/>
          <w:szCs w:val="24"/>
          <w:highlight w:val="none"/>
          <w:lang w:val="en-US" w:eastAsia="zh-CN" w:bidi="ar-SA"/>
        </w:rPr>
        <w:t xml:space="preserve">                             </w:t>
      </w:r>
      <w:r>
        <w:rPr>
          <w:rFonts w:hint="eastAsia" w:ascii="Times New Roman" w:cs="Times New Roman"/>
          <w:i/>
          <w:iCs/>
          <w:position w:val="-30"/>
          <w:sz w:val="24"/>
          <w:szCs w:val="24"/>
          <w:highlight w:val="none"/>
          <w:lang w:val="en-US" w:eastAsia="zh-CN" w:bidi="ar-SA"/>
        </w:rPr>
        <w:object>
          <v:shape id="_x0000_i1029" o:spt="75" type="#_x0000_t75" style="height:42pt;width:167pt;" o:ole="t" filled="f" o:preferrelative="t" stroked="f" coordsize="21600,21600">
            <v:path/>
            <v:fill on="f" focussize="0,0"/>
            <v:stroke on="f"/>
            <v:imagedata r:id="rId16" o:title=""/>
            <o:lock v:ext="edit" aspectratio="t"/>
            <w10:wrap type="none"/>
            <w10:anchorlock/>
          </v:shape>
          <o:OLEObject Type="Embed" ProgID="Equation.KSEE3" ShapeID="_x0000_i1029" DrawAspect="Content" ObjectID="_1468075729" r:id="rId15">
            <o:LockedField>false</o:LockedField>
          </o:OLEObject>
        </w:object>
      </w:r>
      <w:r>
        <w:rPr>
          <w:rFonts w:hint="eastAsia" w:ascii="Times New Roman"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5</w:t>
      </w:r>
      <w:r>
        <w:rPr>
          <w:rFonts w:hint="default" w:ascii="Times New Roman" w:hAnsi="Times New Roman" w:cs="Times New Roman"/>
          <w:i w:val="0"/>
          <w:iCs/>
          <w:sz w:val="24"/>
          <w:szCs w:val="24"/>
          <w:highlight w:val="none"/>
          <w:lang w:val="en-US" w:eastAsia="zh-CN" w:bidi="ar-SA"/>
        </w:rPr>
        <w:t>)</w:t>
      </w:r>
    </w:p>
    <w:p w14:paraId="1677BAE1">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43DF585B">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position w:val="-14"/>
          <w:sz w:val="21"/>
          <w:vertAlign w:val="subscript"/>
          <w:lang w:val="en-US" w:eastAsia="zh-CN"/>
        </w:rPr>
        <w:object>
          <v:shape id="_x0000_i1030" o:spt="75" type="#_x0000_t75" style="height:19pt;width:30pt;" o:ole="t" filled="f" o:preferrelative="t" stroked="f" coordsize="21600,21600">
            <v:path/>
            <v:fill on="f" focussize="0,0"/>
            <v:stroke on="f"/>
            <v:imagedata r:id="rId18" o:title=""/>
            <o:lock v:ext="edit" aspectratio="t"/>
            <w10:wrap type="none"/>
            <w10:anchorlock/>
          </v:shape>
          <o:OLEObject Type="Embed" ProgID="Equation.KSEE3" ShapeID="_x0000_i1030" DrawAspect="Content" ObjectID="_1468075730" r:id="rId17">
            <o:LockedField>false</o:LockedField>
          </o:OLEObject>
        </w:object>
      </w:r>
      <w:r>
        <w:t>——</w:t>
      </w:r>
      <w:r>
        <w:rPr>
          <w:rFonts w:hint="eastAsia"/>
          <w:sz w:val="24"/>
          <w:szCs w:val="24"/>
          <w:lang w:val="en-US" w:eastAsia="zh-CN"/>
        </w:rPr>
        <w:t>厚度测量重复性</w:t>
      </w:r>
      <w:r>
        <w:rPr>
          <w:rFonts w:hint="eastAsia" w:ascii="Times New Roman" w:cs="Times New Roman"/>
          <w:sz w:val="24"/>
          <w:szCs w:val="24"/>
          <w:highlight w:val="none"/>
          <w:lang w:val="en-US" w:eastAsia="zh-CN"/>
        </w:rPr>
        <w:t>，%</w:t>
      </w:r>
      <w:r>
        <w:rPr>
          <w:rFonts w:hint="eastAsia" w:ascii="Times New Roman" w:hAnsi="Times New Roman" w:eastAsia="宋体" w:cs="Times New Roman"/>
          <w:i w:val="0"/>
          <w:iCs w:val="0"/>
          <w:sz w:val="24"/>
          <w:szCs w:val="24"/>
          <w:highlight w:val="none"/>
          <w:lang w:val="en-US" w:eastAsia="zh-CN"/>
        </w:rPr>
        <w:t>；</w:t>
      </w:r>
    </w:p>
    <w:p w14:paraId="71B682EF">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position w:val="-12"/>
        </w:rPr>
        <w:object>
          <v:shape id="_x0000_i1031" o:spt="75" type="#_x0000_t75" style="height:18pt;width:13pt;" o:ole="t" filled="f" o:preferrelative="t" stroked="f" coordsize="21600,21600">
            <v:path/>
            <v:fill on="f" focussize="0,0"/>
            <v:stroke on="f"/>
            <v:imagedata r:id="rId20" o:title=""/>
            <o:lock v:ext="edit" aspectratio="t"/>
            <w10:wrap type="none"/>
            <w10:anchorlock/>
          </v:shape>
          <o:OLEObject Type="Embed" ProgID="Equation.KSEE3" ShapeID="_x0000_i1031" DrawAspect="Content" ObjectID="_1468075731" r:id="rId19">
            <o:LockedField>false</o:LockedField>
          </o:OLEObject>
        </w:object>
      </w:r>
      <w:r>
        <w:t>——</w:t>
      </w:r>
      <w:r>
        <w:rPr>
          <w:rFonts w:hint="eastAsia"/>
          <w:lang w:val="en-US" w:eastAsia="zh-CN"/>
        </w:rPr>
        <w:t>厚度</w:t>
      </w:r>
      <w:r>
        <w:rPr>
          <w:rFonts w:hint="eastAsia"/>
          <w:sz w:val="24"/>
          <w:szCs w:val="24"/>
          <w:lang w:val="en-US" w:eastAsia="zh-CN"/>
        </w:rPr>
        <w:t>单次测量值，</w:t>
      </w:r>
      <w:r>
        <w:rPr>
          <w:rFonts w:hint="default" w:ascii="Times New Roman" w:hAnsi="Times New Roman" w:cs="Times New Roman"/>
          <w:sz w:val="24"/>
          <w:szCs w:val="24"/>
          <w:lang w:val="en-US" w:eastAsia="zh-CN"/>
        </w:rPr>
        <w:t>μm</w:t>
      </w:r>
      <w:r>
        <w:rPr>
          <w:rFonts w:hint="eastAsia" w:ascii="Times New Roman" w:hAnsi="Times New Roman" w:eastAsia="宋体" w:cs="Times New Roman"/>
          <w:i w:val="0"/>
          <w:iCs w:val="0"/>
          <w:sz w:val="24"/>
          <w:szCs w:val="24"/>
          <w:highlight w:val="none"/>
          <w:lang w:val="en-US" w:eastAsia="zh-CN"/>
        </w:rPr>
        <w:t>；</w:t>
      </w:r>
    </w:p>
    <w:p w14:paraId="66612C7A">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cs="Times New Roman"/>
          <w:sz w:val="24"/>
          <w:szCs w:val="24"/>
          <w:highlight w:val="none"/>
          <w:lang w:val="en-US" w:eastAsia="zh-CN"/>
        </w:rPr>
      </w:pPr>
      <w:r>
        <w:rPr>
          <w:rFonts w:hint="eastAsia" w:ascii="Times New Roman" w:hAnsi="Times New Roman" w:eastAsia="宋体" w:cs="Times New Roman"/>
          <w:i w:val="0"/>
          <w:iCs w:val="0"/>
          <w:position w:val="-10"/>
          <w:sz w:val="24"/>
          <w:szCs w:val="24"/>
          <w:highlight w:val="none"/>
          <w:lang w:val="en-US" w:eastAsia="zh-CN"/>
        </w:rPr>
        <w:object>
          <v:shape id="_x0000_i1032" o:spt="75" type="#_x0000_t75" style="height:19pt;width:11pt;" o:ole="t" filled="f" o:preferrelative="t" stroked="f" coordsize="21600,21600">
            <v:path/>
            <v:fill on="f" focussize="0,0"/>
            <v:stroke on="f"/>
            <v:imagedata r:id="rId22" o:title=""/>
            <o:lock v:ext="edit" aspectratio="t"/>
            <w10:wrap type="none"/>
            <w10:anchorlock/>
          </v:shape>
          <o:OLEObject Type="Embed" ProgID="Equation.KSEE3" ShapeID="_x0000_i1032" DrawAspect="Content" ObjectID="_1468075732" r:id="rId21">
            <o:LockedField>false</o:LockedField>
          </o:OLEObject>
        </w:object>
      </w:r>
      <w:r>
        <w:t>——</w:t>
      </w:r>
      <w:r>
        <w:rPr>
          <w:rFonts w:hint="eastAsia"/>
          <w:sz w:val="24"/>
          <w:szCs w:val="24"/>
          <w:lang w:val="en-US" w:eastAsia="zh-CN"/>
        </w:rPr>
        <w:t xml:space="preserve">厚度 </w:t>
      </w:r>
      <w:r>
        <w:rPr>
          <w:rFonts w:hint="default" w:ascii="Times New Roman" w:hAnsi="Times New Roman" w:cs="Times New Roman"/>
          <w:sz w:val="24"/>
          <w:szCs w:val="24"/>
          <w:lang w:val="en-US" w:eastAsia="zh-CN"/>
        </w:rPr>
        <w:t>7 次测量的平均值值，μm</w:t>
      </w:r>
      <w:r>
        <w:rPr>
          <w:rFonts w:hint="default" w:ascii="Times New Roman" w:hAnsi="Times New Roman" w:eastAsia="宋体" w:cs="Times New Roman"/>
          <w:i w:val="0"/>
          <w:iCs w:val="0"/>
          <w:sz w:val="24"/>
          <w:szCs w:val="24"/>
          <w:highlight w:val="none"/>
          <w:lang w:val="en-US" w:eastAsia="zh-CN"/>
        </w:rPr>
        <w:t>；</w:t>
      </w:r>
    </w:p>
    <w:p w14:paraId="0FDD3C6C">
      <w:pPr>
        <w:pStyle w:val="59"/>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cs="Times New Roman"/>
          <w:i w:val="0"/>
          <w:iCs w:val="0"/>
          <w:sz w:val="24"/>
          <w:szCs w:val="24"/>
          <w:highlight w:val="none"/>
          <w:lang w:val="en-US" w:eastAsia="zh-CN"/>
        </w:rPr>
      </w:pPr>
      <w:r>
        <w:rPr>
          <w:rFonts w:hint="default" w:ascii="Times New Roman" w:hAnsi="Times New Roman" w:cs="Times New Roman"/>
          <w:i/>
          <w:iCs/>
          <w:sz w:val="24"/>
          <w:szCs w:val="24"/>
          <w:highlight w:val="none"/>
          <w:lang w:val="en-US" w:eastAsia="zh-CN"/>
        </w:rPr>
        <w:t>n</w:t>
      </w:r>
      <w:r>
        <w:rPr>
          <w:rFonts w:hint="default" w:ascii="Times New Roman" w:hAnsi="Times New Roman" w:cs="Times New Roman"/>
        </w:rPr>
        <w:t>——</w:t>
      </w:r>
      <w:r>
        <w:rPr>
          <w:rFonts w:hint="default" w:ascii="Times New Roman" w:hAnsi="Times New Roman" w:cs="Times New Roman"/>
          <w:sz w:val="24"/>
          <w:szCs w:val="24"/>
          <w:lang w:val="en-US" w:eastAsia="zh-CN"/>
        </w:rPr>
        <w:t>厚度测量次数，</w:t>
      </w:r>
      <w:r>
        <w:rPr>
          <w:rFonts w:hint="default" w:ascii="Times New Roman" w:hAnsi="Times New Roman" w:cs="Times New Roman"/>
          <w:i/>
          <w:iCs/>
          <w:sz w:val="24"/>
          <w:szCs w:val="24"/>
          <w:lang w:val="en-US" w:eastAsia="zh-CN"/>
        </w:rPr>
        <w:t>n</w:t>
      </w:r>
      <w:r>
        <w:rPr>
          <w:rFonts w:hint="default" w:ascii="Times New Roman" w:hAnsi="Times New Roman" w:cs="Times New Roman"/>
          <w:sz w:val="24"/>
          <w:szCs w:val="24"/>
          <w:lang w:val="en-US" w:eastAsia="zh-CN"/>
        </w:rPr>
        <w:t xml:space="preserve"> =7</w:t>
      </w:r>
      <w:r>
        <w:rPr>
          <w:rFonts w:hint="eastAsia"/>
          <w:sz w:val="24"/>
          <w:szCs w:val="24"/>
          <w:lang w:val="en-US" w:eastAsia="zh-CN"/>
        </w:rPr>
        <w:t>。</w:t>
      </w:r>
    </w:p>
    <w:p w14:paraId="56042ACF">
      <w:pPr>
        <w:pStyle w:val="59"/>
        <w:keepNext w:val="0"/>
        <w:keepLines w:val="0"/>
        <w:pageBreakBefore w:val="0"/>
        <w:kinsoku/>
        <w:wordWrap/>
        <w:overflowPunct/>
        <w:topLinePunct w:val="0"/>
        <w:bidi w:val="0"/>
        <w:adjustRightInd/>
        <w:snapToGrid/>
        <w:spacing w:line="300" w:lineRule="auto"/>
        <w:ind w:firstLine="0" w:firstLineChars="0"/>
        <w:textAlignment w:val="auto"/>
        <w:outlineLvl w:val="0"/>
        <w:rPr>
          <w:rStyle w:val="324"/>
          <w:rFonts w:hint="eastAsia" w:ascii="黑体" w:hAnsi="黑体" w:eastAsia="黑体" w:cs="黑体"/>
          <w:b w:val="0"/>
          <w:bCs w:val="0"/>
          <w:kern w:val="2"/>
          <w:sz w:val="24"/>
          <w:szCs w:val="24"/>
        </w:rPr>
      </w:pPr>
      <w:r>
        <w:rPr>
          <w:rStyle w:val="324"/>
          <w:rFonts w:hint="eastAsia" w:ascii="黑体" w:hAnsi="黑体" w:eastAsia="黑体" w:cs="黑体"/>
          <w:b w:val="0"/>
          <w:bCs w:val="0"/>
          <w:kern w:val="2"/>
          <w:sz w:val="24"/>
          <w:szCs w:val="24"/>
        </w:rPr>
        <w:t>7 校准结果表达</w:t>
      </w:r>
      <w:bookmarkEnd w:id="87"/>
      <w:bookmarkEnd w:id="88"/>
      <w:bookmarkEnd w:id="89"/>
      <w:bookmarkEnd w:id="90"/>
      <w:bookmarkEnd w:id="91"/>
      <w:bookmarkEnd w:id="92"/>
    </w:p>
    <w:p w14:paraId="3AF559C4">
      <w:pPr>
        <w:pStyle w:val="59"/>
        <w:keepNext w:val="0"/>
        <w:keepLines w:val="0"/>
        <w:pageBreakBefore w:val="0"/>
        <w:widowControl/>
        <w:kinsoku/>
        <w:wordWrap/>
        <w:overflowPunct/>
        <w:topLinePunct w:val="0"/>
        <w:autoSpaceDE w:val="0"/>
        <w:autoSpaceDN w:val="0"/>
        <w:bidi w:val="0"/>
        <w:adjustRightInd/>
        <w:snapToGrid/>
        <w:spacing w:line="300" w:lineRule="auto"/>
        <w:ind w:firstLine="480" w:firstLineChars="200"/>
        <w:textAlignment w:val="auto"/>
        <w:outlineLvl w:val="9"/>
        <w:rPr>
          <w:rFonts w:ascii="Times New Roman"/>
          <w:sz w:val="24"/>
          <w:szCs w:val="24"/>
        </w:rPr>
      </w:pPr>
      <w:r>
        <w:rPr>
          <w:rFonts w:hint="eastAsia" w:ascii="Times New Roman"/>
          <w:sz w:val="24"/>
          <w:szCs w:val="24"/>
        </w:rPr>
        <w:t>校准结果应在校准证书上反映</w:t>
      </w:r>
      <w:r>
        <w:rPr>
          <w:rFonts w:hint="eastAsia" w:ascii="Times New Roman"/>
          <w:sz w:val="24"/>
          <w:szCs w:val="24"/>
          <w:lang w:eastAsia="zh-CN"/>
        </w:rPr>
        <w:t>。</w:t>
      </w:r>
      <w:r>
        <w:rPr>
          <w:rFonts w:hint="eastAsia" w:ascii="Times New Roman"/>
          <w:sz w:val="24"/>
          <w:szCs w:val="24"/>
        </w:rPr>
        <w:t>校准证书</w:t>
      </w:r>
      <w:r>
        <w:rPr>
          <w:rFonts w:hint="eastAsia" w:ascii="Times New Roman"/>
          <w:sz w:val="24"/>
          <w:szCs w:val="24"/>
          <w:lang w:val="en-US" w:eastAsia="zh-CN"/>
        </w:rPr>
        <w:t>应</w:t>
      </w:r>
      <w:r>
        <w:rPr>
          <w:rFonts w:hint="eastAsia" w:ascii="Times New Roman"/>
          <w:sz w:val="24"/>
          <w:szCs w:val="24"/>
        </w:rPr>
        <w:t>至少包括以下信息：</w:t>
      </w:r>
    </w:p>
    <w:p w14:paraId="60453F86">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a）</w:t>
      </w:r>
      <w:r>
        <w:rPr>
          <w:rFonts w:ascii="Times New Roman"/>
          <w:sz w:val="24"/>
          <w:szCs w:val="24"/>
        </w:rPr>
        <w:t>标题</w:t>
      </w:r>
      <w:r>
        <w:rPr>
          <w:rFonts w:hint="eastAsia" w:ascii="Times New Roman"/>
          <w:sz w:val="24"/>
          <w:szCs w:val="24"/>
          <w:lang w:eastAsia="zh-CN"/>
        </w:rPr>
        <w:t>：“</w:t>
      </w:r>
      <w:r>
        <w:rPr>
          <w:rFonts w:ascii="Times New Roman"/>
          <w:sz w:val="24"/>
          <w:szCs w:val="24"/>
        </w:rPr>
        <w:t>校准证书</w:t>
      </w:r>
      <w:r>
        <w:rPr>
          <w:rFonts w:hint="eastAsia" w:ascii="Times New Roman"/>
          <w:sz w:val="24"/>
          <w:szCs w:val="24"/>
          <w:lang w:eastAsia="zh-CN"/>
        </w:rPr>
        <w:t>”</w:t>
      </w:r>
      <w:r>
        <w:rPr>
          <w:rFonts w:hint="eastAsia" w:ascii="Times New Roman"/>
          <w:sz w:val="24"/>
          <w:szCs w:val="24"/>
        </w:rPr>
        <w:t>；</w:t>
      </w:r>
    </w:p>
    <w:p w14:paraId="299EC160">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b）</w:t>
      </w:r>
      <w:r>
        <w:rPr>
          <w:rFonts w:ascii="Times New Roman"/>
          <w:sz w:val="24"/>
          <w:szCs w:val="24"/>
        </w:rPr>
        <w:t>实验室的名称和地址</w:t>
      </w:r>
      <w:r>
        <w:rPr>
          <w:rFonts w:hint="eastAsia" w:ascii="Times New Roman"/>
          <w:sz w:val="24"/>
          <w:szCs w:val="24"/>
        </w:rPr>
        <w:t>；</w:t>
      </w:r>
    </w:p>
    <w:p w14:paraId="5ECFB24A">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c）实施校准活动的地点，包括客户设施、实验室固定设施以外的地点；</w:t>
      </w:r>
    </w:p>
    <w:p w14:paraId="4A02E93E">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d）</w:t>
      </w:r>
      <w:r>
        <w:rPr>
          <w:rFonts w:ascii="Times New Roman"/>
          <w:sz w:val="24"/>
          <w:szCs w:val="24"/>
        </w:rPr>
        <w:t>证书的唯一性标识（如编号），每页及总页数的标识</w:t>
      </w:r>
      <w:r>
        <w:rPr>
          <w:rFonts w:hint="eastAsia" w:ascii="Times New Roman"/>
          <w:sz w:val="24"/>
          <w:szCs w:val="24"/>
        </w:rPr>
        <w:t>；</w:t>
      </w:r>
    </w:p>
    <w:p w14:paraId="296BE8F8">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e）客户的</w:t>
      </w:r>
      <w:r>
        <w:rPr>
          <w:rFonts w:ascii="Times New Roman"/>
          <w:sz w:val="24"/>
          <w:szCs w:val="24"/>
        </w:rPr>
        <w:t>名称和</w:t>
      </w:r>
      <w:r>
        <w:rPr>
          <w:rFonts w:hint="eastAsia" w:ascii="Times New Roman"/>
          <w:sz w:val="24"/>
          <w:szCs w:val="24"/>
        </w:rPr>
        <w:t>联络信息；</w:t>
      </w:r>
    </w:p>
    <w:p w14:paraId="36D86C2E">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f）</w:t>
      </w:r>
      <w:r>
        <w:rPr>
          <w:rFonts w:ascii="Times New Roman"/>
          <w:sz w:val="24"/>
          <w:szCs w:val="24"/>
        </w:rPr>
        <w:t>被校</w:t>
      </w:r>
      <w:r>
        <w:rPr>
          <w:rFonts w:hint="eastAsia" w:ascii="Times New Roman"/>
          <w:sz w:val="24"/>
          <w:szCs w:val="24"/>
          <w:lang w:val="en-US" w:eastAsia="zh-CN"/>
        </w:rPr>
        <w:t>仪器</w:t>
      </w:r>
      <w:r>
        <w:rPr>
          <w:rFonts w:ascii="Times New Roman"/>
          <w:sz w:val="24"/>
          <w:szCs w:val="24"/>
        </w:rPr>
        <w:t>的</w:t>
      </w:r>
      <w:r>
        <w:rPr>
          <w:rFonts w:hint="eastAsia" w:ascii="Times New Roman"/>
          <w:sz w:val="24"/>
          <w:szCs w:val="24"/>
          <w:lang w:val="en-US" w:eastAsia="zh-CN"/>
        </w:rPr>
        <w:t>制造单位、名称、型号及编号或其他</w:t>
      </w:r>
      <w:r>
        <w:rPr>
          <w:rFonts w:ascii="Times New Roman"/>
          <w:sz w:val="24"/>
          <w:szCs w:val="24"/>
        </w:rPr>
        <w:t>标识</w:t>
      </w:r>
      <w:r>
        <w:rPr>
          <w:rFonts w:hint="eastAsia" w:ascii="Times New Roman"/>
          <w:sz w:val="24"/>
          <w:szCs w:val="24"/>
        </w:rPr>
        <w:t>；</w:t>
      </w:r>
    </w:p>
    <w:p w14:paraId="7E36AEF4">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g）</w:t>
      </w:r>
      <w:r>
        <w:rPr>
          <w:rFonts w:ascii="Times New Roman"/>
          <w:sz w:val="24"/>
          <w:szCs w:val="24"/>
        </w:rPr>
        <w:t>进行校准</w:t>
      </w:r>
      <w:r>
        <w:rPr>
          <w:rFonts w:hint="eastAsia" w:ascii="Times New Roman"/>
          <w:sz w:val="24"/>
          <w:szCs w:val="24"/>
        </w:rPr>
        <w:t>活动</w:t>
      </w:r>
      <w:r>
        <w:rPr>
          <w:rFonts w:ascii="Times New Roman"/>
          <w:sz w:val="24"/>
          <w:szCs w:val="24"/>
        </w:rPr>
        <w:t>的日期，如果与校准结果的有效性和应用有关时，应说明被</w:t>
      </w:r>
      <w:r>
        <w:rPr>
          <w:rFonts w:hint="eastAsia" w:ascii="Times New Roman"/>
          <w:sz w:val="24"/>
          <w:szCs w:val="24"/>
          <w:lang w:eastAsia="zh-CN"/>
        </w:rPr>
        <w:t>校准</w:t>
      </w:r>
      <w:r>
        <w:rPr>
          <w:rFonts w:ascii="Times New Roman"/>
          <w:sz w:val="24"/>
          <w:szCs w:val="24"/>
        </w:rPr>
        <w:t>对象的接</w:t>
      </w:r>
      <w:r>
        <w:rPr>
          <w:rFonts w:hint="eastAsia" w:ascii="Times New Roman"/>
          <w:sz w:val="24"/>
          <w:szCs w:val="24"/>
        </w:rPr>
        <w:t>收</w:t>
      </w:r>
      <w:r>
        <w:rPr>
          <w:rFonts w:ascii="Times New Roman"/>
          <w:sz w:val="24"/>
          <w:szCs w:val="24"/>
        </w:rPr>
        <w:t>日期</w:t>
      </w:r>
      <w:r>
        <w:rPr>
          <w:rFonts w:hint="eastAsia" w:ascii="Times New Roman"/>
          <w:sz w:val="24"/>
          <w:szCs w:val="24"/>
        </w:rPr>
        <w:t>和证书发布日期；</w:t>
      </w:r>
    </w:p>
    <w:p w14:paraId="037366A8">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h）</w:t>
      </w:r>
      <w:r>
        <w:rPr>
          <w:rFonts w:ascii="Times New Roman"/>
          <w:sz w:val="24"/>
          <w:szCs w:val="24"/>
        </w:rPr>
        <w:t>校准所依据的技术规范的标识，包括名称及代号</w:t>
      </w:r>
      <w:r>
        <w:rPr>
          <w:rFonts w:hint="eastAsia" w:ascii="Times New Roman"/>
          <w:sz w:val="24"/>
          <w:szCs w:val="24"/>
        </w:rPr>
        <w:t>；</w:t>
      </w:r>
    </w:p>
    <w:p w14:paraId="5ECF8307">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i）</w:t>
      </w:r>
      <w:r>
        <w:rPr>
          <w:rFonts w:ascii="Times New Roman"/>
          <w:sz w:val="24"/>
          <w:szCs w:val="24"/>
        </w:rPr>
        <w:t>本次校准所用的测量标准和溯源性及有效性说明</w:t>
      </w:r>
      <w:r>
        <w:rPr>
          <w:rFonts w:hint="eastAsia" w:ascii="Times New Roman"/>
          <w:sz w:val="24"/>
          <w:szCs w:val="24"/>
        </w:rPr>
        <w:t>；</w:t>
      </w:r>
    </w:p>
    <w:p w14:paraId="6D85BEF6">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j）</w:t>
      </w:r>
      <w:r>
        <w:rPr>
          <w:rFonts w:ascii="Times New Roman"/>
          <w:sz w:val="24"/>
          <w:szCs w:val="24"/>
        </w:rPr>
        <w:t>校准环境的描述</w:t>
      </w:r>
      <w:r>
        <w:rPr>
          <w:rFonts w:hint="eastAsia" w:ascii="Times New Roman"/>
          <w:sz w:val="24"/>
          <w:szCs w:val="24"/>
        </w:rPr>
        <w:t>；</w:t>
      </w:r>
    </w:p>
    <w:p w14:paraId="785EE4AC">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ascii="Times New Roman"/>
          <w:sz w:val="24"/>
          <w:szCs w:val="24"/>
        </w:rPr>
      </w:pPr>
      <w:r>
        <w:rPr>
          <w:rFonts w:hint="eastAsia" w:ascii="Times New Roman"/>
          <w:sz w:val="24"/>
          <w:szCs w:val="24"/>
        </w:rPr>
        <w:t>k）</w:t>
      </w:r>
      <w:r>
        <w:rPr>
          <w:rFonts w:ascii="Times New Roman"/>
          <w:sz w:val="24"/>
          <w:szCs w:val="24"/>
        </w:rPr>
        <w:t>校准结果及其测量不确定度的说明（给出整个测量范围校准结果测量不确定度的最大值）</w:t>
      </w:r>
      <w:r>
        <w:rPr>
          <w:rFonts w:hint="eastAsia" w:ascii="Times New Roman"/>
          <w:sz w:val="24"/>
          <w:szCs w:val="24"/>
        </w:rPr>
        <w:t>；</w:t>
      </w:r>
    </w:p>
    <w:p w14:paraId="601F6BF5">
      <w:pPr>
        <w:pStyle w:val="59"/>
        <w:keepNext w:val="0"/>
        <w:keepLines w:val="0"/>
        <w:pageBreakBefore w:val="0"/>
        <w:widowControl/>
        <w:kinsoku/>
        <w:wordWrap/>
        <w:overflowPunct/>
        <w:topLinePunct w:val="0"/>
        <w:autoSpaceDE w:val="0"/>
        <w:autoSpaceDN w:val="0"/>
        <w:bidi w:val="0"/>
        <w:adjustRightInd/>
        <w:snapToGrid/>
        <w:spacing w:line="300" w:lineRule="auto"/>
        <w:ind w:firstLine="480"/>
        <w:textAlignment w:val="auto"/>
        <w:outlineLvl w:val="9"/>
        <w:rPr>
          <w:rFonts w:hint="eastAsia" w:ascii="Times New Roman"/>
          <w:sz w:val="24"/>
          <w:szCs w:val="24"/>
          <w:lang w:val="en-US" w:eastAsia="zh-CN"/>
        </w:rPr>
      </w:pPr>
      <w:r>
        <w:rPr>
          <w:rFonts w:hint="eastAsia" w:ascii="Times New Roman"/>
          <w:sz w:val="24"/>
          <w:szCs w:val="24"/>
        </w:rPr>
        <w:t>l）</w:t>
      </w:r>
      <w:r>
        <w:rPr>
          <w:rFonts w:hint="eastAsia" w:ascii="Times New Roman"/>
          <w:sz w:val="24"/>
          <w:szCs w:val="24"/>
          <w:lang w:val="en-US" w:eastAsia="zh-CN"/>
        </w:rPr>
        <w:t>对校准规范偏离的说明；</w:t>
      </w:r>
    </w:p>
    <w:p w14:paraId="166AE213">
      <w:pPr>
        <w:pStyle w:val="59"/>
        <w:keepNext w:val="0"/>
        <w:keepLines w:val="0"/>
        <w:pageBreakBefore w:val="0"/>
        <w:kinsoku/>
        <w:wordWrap/>
        <w:overflowPunct/>
        <w:topLinePunct w:val="0"/>
        <w:bidi w:val="0"/>
        <w:adjustRightInd/>
        <w:snapToGrid/>
        <w:spacing w:line="300" w:lineRule="auto"/>
        <w:ind w:firstLine="480"/>
        <w:textAlignment w:val="auto"/>
        <w:rPr>
          <w:rFonts w:hint="eastAsia" w:ascii="Times New Roman"/>
          <w:sz w:val="24"/>
          <w:szCs w:val="24"/>
        </w:rPr>
      </w:pPr>
      <w:r>
        <w:rPr>
          <w:rFonts w:hint="eastAsia" w:ascii="Times New Roman"/>
          <w:sz w:val="24"/>
          <w:szCs w:val="24"/>
        </w:rPr>
        <w:t>m）</w:t>
      </w:r>
      <w:r>
        <w:rPr>
          <w:rFonts w:ascii="Times New Roman"/>
          <w:sz w:val="24"/>
          <w:szCs w:val="24"/>
        </w:rPr>
        <w:t>校准证书校准人</w:t>
      </w:r>
      <w:r>
        <w:rPr>
          <w:rFonts w:hint="eastAsia" w:ascii="Times New Roman"/>
          <w:sz w:val="24"/>
          <w:szCs w:val="24"/>
          <w:lang w:eastAsia="zh-CN"/>
        </w:rPr>
        <w:t>、</w:t>
      </w:r>
      <w:r>
        <w:rPr>
          <w:rFonts w:hint="eastAsia" w:ascii="Times New Roman"/>
          <w:sz w:val="24"/>
          <w:szCs w:val="24"/>
        </w:rPr>
        <w:t>核验人</w:t>
      </w:r>
      <w:r>
        <w:rPr>
          <w:rFonts w:hint="eastAsia" w:ascii="Times New Roman"/>
          <w:sz w:val="24"/>
          <w:szCs w:val="24"/>
          <w:lang w:val="en-US" w:eastAsia="zh-CN"/>
        </w:rPr>
        <w:t>及</w:t>
      </w:r>
      <w:r>
        <w:rPr>
          <w:rFonts w:ascii="Times New Roman"/>
          <w:sz w:val="24"/>
          <w:szCs w:val="24"/>
        </w:rPr>
        <w:t>签发人的签名、职务或等效标识，以及签发日期</w:t>
      </w:r>
      <w:r>
        <w:rPr>
          <w:rFonts w:hint="eastAsia" w:ascii="Times New Roman"/>
          <w:sz w:val="24"/>
          <w:szCs w:val="24"/>
        </w:rPr>
        <w:t>；</w:t>
      </w:r>
    </w:p>
    <w:p w14:paraId="289035D4">
      <w:pPr>
        <w:pStyle w:val="59"/>
        <w:keepNext w:val="0"/>
        <w:keepLines w:val="0"/>
        <w:pageBreakBefore w:val="0"/>
        <w:kinsoku/>
        <w:wordWrap/>
        <w:overflowPunct/>
        <w:topLinePunct w:val="0"/>
        <w:bidi w:val="0"/>
        <w:adjustRightInd/>
        <w:snapToGrid/>
        <w:spacing w:line="300" w:lineRule="auto"/>
        <w:ind w:firstLine="480"/>
        <w:textAlignment w:val="auto"/>
        <w:rPr>
          <w:rFonts w:ascii="Times New Roman"/>
          <w:sz w:val="24"/>
          <w:szCs w:val="24"/>
        </w:rPr>
      </w:pPr>
      <w:r>
        <w:rPr>
          <w:rFonts w:hint="eastAsia" w:ascii="Times New Roman"/>
          <w:sz w:val="24"/>
          <w:szCs w:val="24"/>
          <w:lang w:val="en-US" w:eastAsia="zh-CN"/>
        </w:rPr>
        <w:t>n</w:t>
      </w:r>
      <w:r>
        <w:rPr>
          <w:rFonts w:hint="eastAsia" w:ascii="Times New Roman"/>
          <w:sz w:val="24"/>
          <w:szCs w:val="24"/>
        </w:rPr>
        <w:t>）</w:t>
      </w:r>
      <w:r>
        <w:rPr>
          <w:rFonts w:ascii="Times New Roman"/>
          <w:sz w:val="24"/>
          <w:szCs w:val="24"/>
        </w:rPr>
        <w:t>校准</w:t>
      </w:r>
      <w:r>
        <w:rPr>
          <w:rFonts w:hint="eastAsia" w:ascii="Times New Roman"/>
          <w:sz w:val="24"/>
          <w:szCs w:val="24"/>
          <w:lang w:val="en-US" w:eastAsia="zh-CN"/>
        </w:rPr>
        <w:t>结果</w:t>
      </w:r>
      <w:r>
        <w:rPr>
          <w:rFonts w:ascii="Times New Roman"/>
          <w:sz w:val="24"/>
          <w:szCs w:val="24"/>
        </w:rPr>
        <w:t>仅对被校对象有效</w:t>
      </w:r>
      <w:r>
        <w:rPr>
          <w:rFonts w:hint="eastAsia" w:ascii="Times New Roman"/>
          <w:sz w:val="24"/>
          <w:szCs w:val="24"/>
          <w:lang w:val="en-US" w:eastAsia="zh-CN"/>
        </w:rPr>
        <w:t>的</w:t>
      </w:r>
      <w:r>
        <w:rPr>
          <w:rFonts w:ascii="Times New Roman"/>
          <w:sz w:val="24"/>
          <w:szCs w:val="24"/>
        </w:rPr>
        <w:t>声明</w:t>
      </w:r>
      <w:r>
        <w:rPr>
          <w:rFonts w:hint="eastAsia" w:ascii="Times New Roman"/>
          <w:sz w:val="24"/>
          <w:szCs w:val="24"/>
          <w:lang w:eastAsia="zh-CN"/>
        </w:rPr>
        <w:t>；</w:t>
      </w:r>
    </w:p>
    <w:p w14:paraId="575337F3">
      <w:pPr>
        <w:pStyle w:val="59"/>
        <w:keepNext w:val="0"/>
        <w:keepLines w:val="0"/>
        <w:pageBreakBefore w:val="0"/>
        <w:kinsoku/>
        <w:wordWrap/>
        <w:overflowPunct/>
        <w:topLinePunct w:val="0"/>
        <w:bidi w:val="0"/>
        <w:adjustRightInd/>
        <w:snapToGrid/>
        <w:spacing w:line="300" w:lineRule="auto"/>
        <w:ind w:firstLine="480"/>
        <w:textAlignment w:val="auto"/>
        <w:rPr>
          <w:rFonts w:hint="eastAsia" w:ascii="Times New Roman" w:eastAsia="宋体"/>
          <w:sz w:val="24"/>
          <w:szCs w:val="24"/>
          <w:lang w:eastAsia="zh-CN"/>
        </w:rPr>
      </w:pPr>
      <w:r>
        <w:rPr>
          <w:rFonts w:hint="eastAsia" w:ascii="Times New Roman"/>
          <w:sz w:val="24"/>
          <w:szCs w:val="24"/>
          <w:lang w:val="en-US" w:eastAsia="zh-CN"/>
        </w:rPr>
        <w:t>o</w:t>
      </w:r>
      <w:r>
        <w:rPr>
          <w:rFonts w:hint="eastAsia" w:ascii="Times New Roman"/>
          <w:sz w:val="24"/>
          <w:szCs w:val="24"/>
        </w:rPr>
        <w:t>）</w:t>
      </w:r>
      <w:r>
        <w:rPr>
          <w:rFonts w:ascii="Times New Roman"/>
          <w:sz w:val="24"/>
          <w:szCs w:val="24"/>
        </w:rPr>
        <w:t>未经</w:t>
      </w:r>
      <w:r>
        <w:rPr>
          <w:rFonts w:hint="eastAsia" w:ascii="Times New Roman"/>
          <w:sz w:val="24"/>
          <w:szCs w:val="24"/>
        </w:rPr>
        <w:t>校准</w:t>
      </w:r>
      <w:r>
        <w:rPr>
          <w:rFonts w:ascii="Times New Roman"/>
          <w:sz w:val="24"/>
          <w:szCs w:val="24"/>
        </w:rPr>
        <w:t>实验室书面批准，不得部分复制</w:t>
      </w:r>
      <w:r>
        <w:rPr>
          <w:rFonts w:hint="eastAsia" w:ascii="Times New Roman"/>
          <w:sz w:val="24"/>
          <w:szCs w:val="24"/>
        </w:rPr>
        <w:t>校准</w:t>
      </w:r>
      <w:r>
        <w:rPr>
          <w:rFonts w:ascii="Times New Roman"/>
          <w:sz w:val="24"/>
          <w:szCs w:val="24"/>
        </w:rPr>
        <w:t>证书</w:t>
      </w:r>
      <w:r>
        <w:rPr>
          <w:rFonts w:hint="eastAsia" w:ascii="Times New Roman"/>
          <w:sz w:val="24"/>
          <w:szCs w:val="24"/>
        </w:rPr>
        <w:t>的声明</w:t>
      </w:r>
      <w:r>
        <w:rPr>
          <w:rFonts w:hint="eastAsia" w:ascii="Times New Roman"/>
          <w:sz w:val="24"/>
          <w:szCs w:val="24"/>
          <w:lang w:eastAsia="zh-CN"/>
        </w:rPr>
        <w:t>。</w:t>
      </w:r>
    </w:p>
    <w:p w14:paraId="11E98840">
      <w:pPr>
        <w:pStyle w:val="59"/>
        <w:keepNext w:val="0"/>
        <w:keepLines w:val="0"/>
        <w:pageBreakBefore w:val="0"/>
        <w:kinsoku/>
        <w:wordWrap/>
        <w:overflowPunct/>
        <w:topLinePunct w:val="0"/>
        <w:bidi w:val="0"/>
        <w:adjustRightInd/>
        <w:snapToGrid/>
        <w:spacing w:line="300" w:lineRule="auto"/>
        <w:ind w:firstLine="480"/>
        <w:textAlignment w:val="auto"/>
        <w:rPr>
          <w:rFonts w:ascii="Times New Roman"/>
          <w:sz w:val="24"/>
          <w:szCs w:val="24"/>
        </w:rPr>
      </w:pPr>
      <w:r>
        <w:rPr>
          <w:rFonts w:hint="eastAsia" w:ascii="Times New Roman"/>
          <w:sz w:val="24"/>
          <w:szCs w:val="24"/>
        </w:rPr>
        <w:t>校准原始记录参考格式见附录A，校准证书</w:t>
      </w:r>
      <w:r>
        <w:rPr>
          <w:rFonts w:hint="eastAsia" w:ascii="Times New Roman"/>
          <w:sz w:val="24"/>
          <w:szCs w:val="24"/>
          <w:lang w:val="en-US" w:eastAsia="zh-CN"/>
        </w:rPr>
        <w:t>内页</w:t>
      </w:r>
      <w:r>
        <w:rPr>
          <w:rFonts w:hint="eastAsia" w:ascii="Times New Roman"/>
          <w:sz w:val="24"/>
          <w:szCs w:val="24"/>
        </w:rPr>
        <w:t>参考格式见附录B。</w:t>
      </w:r>
    </w:p>
    <w:p w14:paraId="3E608712">
      <w:pPr>
        <w:pStyle w:val="59"/>
        <w:keepNext w:val="0"/>
        <w:keepLines w:val="0"/>
        <w:pageBreakBefore w:val="0"/>
        <w:kinsoku/>
        <w:wordWrap/>
        <w:overflowPunct/>
        <w:topLinePunct w:val="0"/>
        <w:bidi w:val="0"/>
        <w:adjustRightInd/>
        <w:snapToGrid/>
        <w:spacing w:line="300" w:lineRule="auto"/>
        <w:ind w:firstLine="0" w:firstLineChars="0"/>
        <w:textAlignment w:val="auto"/>
        <w:outlineLvl w:val="0"/>
        <w:rPr>
          <w:rFonts w:hint="eastAsia" w:ascii="黑体" w:hAnsi="黑体" w:eastAsia="黑体" w:cs="黑体"/>
          <w:sz w:val="24"/>
          <w:szCs w:val="24"/>
        </w:rPr>
      </w:pPr>
      <w:bookmarkStart w:id="93" w:name="_Toc18838"/>
      <w:bookmarkStart w:id="94" w:name="_Toc18447"/>
      <w:bookmarkStart w:id="95" w:name="_Toc11130"/>
      <w:bookmarkStart w:id="96" w:name="_Toc7966"/>
      <w:bookmarkStart w:id="97" w:name="_Toc15252"/>
      <w:bookmarkStart w:id="98" w:name="_Toc1835"/>
      <w:bookmarkStart w:id="99" w:name="_Toc14162"/>
      <w:r>
        <w:rPr>
          <w:rFonts w:hint="eastAsia" w:ascii="黑体" w:hAnsi="黑体" w:eastAsia="黑体" w:cs="黑体"/>
          <w:b w:val="0"/>
          <w:bCs w:val="0"/>
          <w:sz w:val="24"/>
          <w:szCs w:val="24"/>
        </w:rPr>
        <w:t xml:space="preserve">8 </w:t>
      </w:r>
      <w:r>
        <w:rPr>
          <w:rStyle w:val="325"/>
          <w:rFonts w:hint="eastAsia" w:ascii="黑体" w:hAnsi="黑体" w:eastAsia="黑体" w:cs="黑体"/>
          <w:b w:val="0"/>
          <w:bCs w:val="0"/>
          <w:sz w:val="24"/>
          <w:szCs w:val="24"/>
        </w:rPr>
        <w:t>复校时间间隔</w:t>
      </w:r>
      <w:bookmarkEnd w:id="93"/>
      <w:bookmarkEnd w:id="94"/>
      <w:bookmarkEnd w:id="95"/>
      <w:bookmarkEnd w:id="96"/>
      <w:bookmarkEnd w:id="97"/>
      <w:bookmarkEnd w:id="98"/>
      <w:bookmarkEnd w:id="99"/>
    </w:p>
    <w:p w14:paraId="674BFA1E">
      <w:pPr>
        <w:pStyle w:val="4"/>
        <w:pageBreakBefore w:val="0"/>
        <w:kinsoku/>
        <w:wordWrap/>
        <w:overflowPunct/>
        <w:topLinePunct w:val="0"/>
        <w:bidi w:val="0"/>
        <w:spacing w:before="156" w:after="156" w:line="300" w:lineRule="auto"/>
        <w:ind w:firstLine="480" w:firstLineChars="20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仪器</w:t>
      </w:r>
      <w:r>
        <w:rPr>
          <w:rFonts w:hint="eastAsia" w:ascii="宋体" w:hAnsi="宋体" w:eastAsia="宋体" w:cs="宋体"/>
          <w:b w:val="0"/>
          <w:bCs w:val="0"/>
          <w:sz w:val="24"/>
          <w:szCs w:val="24"/>
        </w:rPr>
        <w:t>复校时间间隔</w:t>
      </w:r>
      <w:r>
        <w:rPr>
          <w:rFonts w:hint="eastAsia" w:ascii="宋体" w:hAnsi="宋体" w:cs="宋体"/>
          <w:b w:val="0"/>
          <w:bCs w:val="0"/>
          <w:sz w:val="24"/>
          <w:szCs w:val="24"/>
          <w:lang w:val="en-US" w:eastAsia="zh-CN"/>
        </w:rPr>
        <w:t>建议为</w:t>
      </w:r>
      <w:r>
        <w:rPr>
          <w:rFonts w:hint="eastAsia" w:ascii="Times New Roman" w:hAnsi="Times New Roman" w:cs="Times New Roman"/>
          <w:b w:val="0"/>
          <w:bCs w:val="0"/>
          <w:sz w:val="24"/>
          <w:szCs w:val="24"/>
          <w:lang w:val="en-US" w:eastAsia="zh-CN"/>
        </w:rPr>
        <w:t>12个月</w:t>
      </w:r>
      <w:r>
        <w:rPr>
          <w:rFonts w:hint="default" w:ascii="Times New Roman" w:hAnsi="Times New Roman" w:eastAsia="宋体" w:cs="Times New Roman"/>
          <w:b w:val="0"/>
          <w:bCs w:val="0"/>
          <w:sz w:val="24"/>
          <w:szCs w:val="24"/>
        </w:rPr>
        <w:t>，使用</w:t>
      </w:r>
      <w:r>
        <w:rPr>
          <w:rFonts w:hint="eastAsia" w:ascii="宋体" w:hAnsi="宋体" w:eastAsia="宋体" w:cs="宋体"/>
          <w:b w:val="0"/>
          <w:bCs w:val="0"/>
          <w:sz w:val="24"/>
          <w:szCs w:val="24"/>
        </w:rPr>
        <w:t>单位也可根据实际使用情况选择复校的时间间隔。</w:t>
      </w:r>
    </w:p>
    <w:p w14:paraId="07668B45">
      <w:pPr>
        <w:pStyle w:val="4"/>
        <w:pageBreakBefore w:val="0"/>
        <w:kinsoku/>
        <w:wordWrap/>
        <w:overflowPunct/>
        <w:topLinePunct w:val="0"/>
        <w:bidi w:val="0"/>
        <w:spacing w:before="156" w:after="156" w:line="300" w:lineRule="auto"/>
        <w:textAlignment w:val="auto"/>
        <w:rPr>
          <w:b w:val="0"/>
          <w:bCs w:val="0"/>
          <w:sz w:val="24"/>
          <w:szCs w:val="24"/>
        </w:rPr>
      </w:pPr>
      <w:r>
        <w:rPr>
          <w:rFonts w:hint="eastAsia"/>
          <w:b w:val="0"/>
          <w:bCs w:val="0"/>
          <w:sz w:val="24"/>
          <w:szCs w:val="24"/>
        </w:rPr>
        <w:t>9附录</w:t>
      </w:r>
    </w:p>
    <w:p w14:paraId="2E83D7CB">
      <w:pPr>
        <w:pStyle w:val="59"/>
        <w:pageBreakBefore w:val="0"/>
        <w:kinsoku/>
        <w:wordWrap/>
        <w:overflowPunct/>
        <w:topLinePunct w:val="0"/>
        <w:bidi w:val="0"/>
        <w:spacing w:line="300" w:lineRule="auto"/>
        <w:ind w:firstLine="420"/>
        <w:textAlignment w:val="auto"/>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附录主要包含校准原始记录参考格式、校准证书内页参考格式、示值误差测量不确定度评定示例。</w:t>
      </w:r>
    </w:p>
    <w:p w14:paraId="23184B3A">
      <w:pPr>
        <w:pageBreakBefore w:val="0"/>
        <w:kinsoku/>
        <w:wordWrap/>
        <w:overflowPunct/>
        <w:topLinePunct w:val="0"/>
        <w:bidi w:val="0"/>
        <w:adjustRightInd w:val="0"/>
        <w:snapToGrid w:val="0"/>
        <w:spacing w:line="300" w:lineRule="auto"/>
        <w:ind w:firstLine="480" w:firstLineChars="200"/>
        <w:textAlignment w:val="auto"/>
        <w:rPr>
          <w:b w:val="0"/>
          <w:bCs w:val="0"/>
          <w:sz w:val="24"/>
          <w:szCs w:val="24"/>
        </w:rPr>
      </w:pPr>
      <w:r>
        <w:rPr>
          <w:rFonts w:hint="eastAsia"/>
          <w:b w:val="0"/>
          <w:bCs w:val="0"/>
          <w:sz w:val="24"/>
          <w:szCs w:val="24"/>
          <w:lang w:val="en-US" w:eastAsia="zh-CN"/>
        </w:rPr>
        <w:t>本规范</w:t>
      </w:r>
      <w:r>
        <w:rPr>
          <w:rFonts w:hint="eastAsia"/>
          <w:b w:val="0"/>
          <w:bCs w:val="0"/>
          <w:sz w:val="24"/>
          <w:szCs w:val="24"/>
        </w:rPr>
        <w:t>设置了</w:t>
      </w:r>
      <w:r>
        <w:rPr>
          <w:rFonts w:hint="eastAsia"/>
          <w:b w:val="0"/>
          <w:bCs w:val="0"/>
          <w:sz w:val="24"/>
          <w:szCs w:val="24"/>
          <w:lang w:val="en-US" w:eastAsia="zh-CN"/>
        </w:rPr>
        <w:t>5</w:t>
      </w:r>
      <w:r>
        <w:rPr>
          <w:rFonts w:hint="eastAsia"/>
          <w:b w:val="0"/>
          <w:bCs w:val="0"/>
          <w:sz w:val="24"/>
          <w:szCs w:val="24"/>
        </w:rPr>
        <w:t>个附录，便于校准时参考和规范化。</w:t>
      </w:r>
    </w:p>
    <w:p w14:paraId="40772815">
      <w:pPr>
        <w:pageBreakBefore w:val="0"/>
        <w:kinsoku/>
        <w:wordWrap/>
        <w:overflowPunct/>
        <w:topLinePunct w:val="0"/>
        <w:bidi w:val="0"/>
        <w:adjustRightInd w:val="0"/>
        <w:snapToGrid w:val="0"/>
        <w:spacing w:line="300" w:lineRule="auto"/>
        <w:ind w:firstLine="480" w:firstLineChars="200"/>
        <w:textAlignment w:val="auto"/>
        <w:rPr>
          <w:rFonts w:hint="eastAsia"/>
          <w:b w:val="0"/>
          <w:bCs w:val="0"/>
          <w:sz w:val="24"/>
          <w:szCs w:val="24"/>
        </w:rPr>
      </w:pPr>
      <w:r>
        <w:rPr>
          <w:rFonts w:hint="eastAsia"/>
          <w:b w:val="0"/>
          <w:bCs w:val="0"/>
          <w:sz w:val="24"/>
          <w:szCs w:val="24"/>
        </w:rPr>
        <w:t>附录A 有色金属材料分析用辉光放电光谱仪校准推荐用校准用标准物质（或标准样品）</w:t>
      </w:r>
    </w:p>
    <w:p w14:paraId="4A83E3E7">
      <w:pPr>
        <w:pageBreakBefore w:val="0"/>
        <w:kinsoku/>
        <w:wordWrap/>
        <w:overflowPunct/>
        <w:topLinePunct w:val="0"/>
        <w:bidi w:val="0"/>
        <w:adjustRightInd w:val="0"/>
        <w:snapToGrid w:val="0"/>
        <w:spacing w:line="300" w:lineRule="auto"/>
        <w:ind w:firstLine="480" w:firstLineChars="200"/>
        <w:textAlignment w:val="auto"/>
        <w:rPr>
          <w:b w:val="0"/>
          <w:bCs w:val="0"/>
          <w:sz w:val="24"/>
          <w:szCs w:val="24"/>
        </w:rPr>
      </w:pPr>
      <w:r>
        <w:rPr>
          <w:rFonts w:hint="eastAsia" w:ascii="Times New Roman" w:hAnsi="Times New Roman" w:eastAsia="宋体" w:cs="Times New Roman"/>
          <w:b w:val="0"/>
          <w:bCs w:val="0"/>
          <w:kern w:val="2"/>
          <w:sz w:val="24"/>
          <w:szCs w:val="24"/>
          <w:lang w:val="en-US" w:eastAsia="zh-CN" w:bidi="ar-SA"/>
        </w:rPr>
        <w:t>附录B</w:t>
      </w:r>
      <w:r>
        <w:rPr>
          <w:rFonts w:hint="eastAsia"/>
          <w:b w:val="0"/>
          <w:bCs w:val="0"/>
          <w:sz w:val="24"/>
          <w:szCs w:val="24"/>
        </w:rPr>
        <w:t>有色金属材料分析用辉光放电光谱仪推荐测量条件</w:t>
      </w:r>
    </w:p>
    <w:p w14:paraId="0A8963F5">
      <w:pPr>
        <w:pStyle w:val="23"/>
        <w:keepNext w:val="0"/>
        <w:keepLines w:val="0"/>
        <w:pageBreakBefore w:val="0"/>
        <w:widowControl w:val="0"/>
        <w:tabs>
          <w:tab w:val="right" w:leader="dot" w:pos="9355"/>
        </w:tabs>
        <w:kinsoku/>
        <w:wordWrap/>
        <w:overflowPunct/>
        <w:topLinePunct w:val="0"/>
        <w:autoSpaceDE/>
        <w:autoSpaceDN/>
        <w:bidi w:val="0"/>
        <w:snapToGrid w:val="0"/>
        <w:spacing w:before="0" w:line="300" w:lineRule="auto"/>
        <w:ind w:firstLine="480" w:firstLineChars="200"/>
        <w:textAlignment w:val="auto"/>
        <w:rPr>
          <w:b w:val="0"/>
          <w:bCs w:val="0"/>
          <w:sz w:val="24"/>
          <w:szCs w:val="24"/>
        </w:rPr>
      </w:pPr>
      <w:r>
        <w:rPr>
          <w:rFonts w:hint="eastAsia"/>
          <w:b w:val="0"/>
          <w:bCs w:val="0"/>
          <w:sz w:val="24"/>
          <w:szCs w:val="24"/>
        </w:rPr>
        <w:t>附录C 有色金属材料分析用辉光放电光谱仪</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_Toc2361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校准</w:t>
      </w:r>
      <w:r>
        <w:rPr>
          <w:rFonts w:hint="eastAsia" w:ascii="宋体" w:hAnsi="宋体" w:cs="宋体"/>
          <w:b w:val="0"/>
          <w:bCs/>
          <w:sz w:val="24"/>
          <w:szCs w:val="24"/>
          <w:lang w:val="en-US" w:eastAsia="zh-CN"/>
        </w:rPr>
        <w:t>原始记录</w:t>
      </w:r>
      <w:r>
        <w:rPr>
          <w:rFonts w:hint="eastAsia" w:ascii="宋体" w:hAnsi="宋体" w:eastAsia="宋体" w:cs="宋体"/>
          <w:b w:val="0"/>
          <w:bCs/>
          <w:sz w:val="24"/>
          <w:szCs w:val="24"/>
          <w:lang w:val="en-US" w:eastAsia="zh-CN"/>
        </w:rPr>
        <w:t>格式</w:t>
      </w:r>
      <w:r>
        <w:rPr>
          <w:rFonts w:hint="eastAsia" w:ascii="宋体" w:hAnsi="宋体" w:eastAsia="宋体" w:cs="宋体"/>
          <w:b w:val="0"/>
          <w:bCs/>
          <w:sz w:val="24"/>
          <w:szCs w:val="24"/>
        </w:rPr>
        <w:fldChar w:fldCharType="end"/>
      </w:r>
    </w:p>
    <w:p w14:paraId="3C5E1556">
      <w:pPr>
        <w:pageBreakBefore w:val="0"/>
        <w:kinsoku/>
        <w:wordWrap/>
        <w:overflowPunct/>
        <w:topLinePunct w:val="0"/>
        <w:bidi w:val="0"/>
        <w:adjustRightInd w:val="0"/>
        <w:snapToGrid w:val="0"/>
        <w:spacing w:line="300" w:lineRule="auto"/>
        <w:ind w:firstLine="480" w:firstLineChars="200"/>
        <w:textAlignment w:val="auto"/>
        <w:rPr>
          <w:rFonts w:hint="eastAsia"/>
          <w:b w:val="0"/>
          <w:bCs w:val="0"/>
          <w:sz w:val="24"/>
          <w:szCs w:val="24"/>
        </w:rPr>
      </w:pPr>
      <w:r>
        <w:rPr>
          <w:rFonts w:hint="eastAsia"/>
          <w:b w:val="0"/>
          <w:bCs w:val="0"/>
          <w:sz w:val="24"/>
          <w:szCs w:val="24"/>
        </w:rPr>
        <w:t>附录</w:t>
      </w:r>
      <w:r>
        <w:rPr>
          <w:rFonts w:hint="eastAsia"/>
          <w:b w:val="0"/>
          <w:bCs w:val="0"/>
          <w:sz w:val="24"/>
          <w:szCs w:val="24"/>
          <w:lang w:val="en-US" w:eastAsia="zh-CN"/>
        </w:rPr>
        <w:t>D</w:t>
      </w:r>
      <w:r>
        <w:rPr>
          <w:rFonts w:hint="eastAsia"/>
          <w:b w:val="0"/>
          <w:bCs w:val="0"/>
          <w:sz w:val="24"/>
          <w:szCs w:val="24"/>
        </w:rPr>
        <w:t>有色金属材料分析用辉光放电光谱仪校准证书内页参考格式</w:t>
      </w:r>
    </w:p>
    <w:p w14:paraId="5A6357B8">
      <w:pPr>
        <w:pageBreakBefore w:val="0"/>
        <w:kinsoku/>
        <w:wordWrap/>
        <w:overflowPunct/>
        <w:topLinePunct w:val="0"/>
        <w:bidi w:val="0"/>
        <w:adjustRightInd w:val="0"/>
        <w:snapToGrid w:val="0"/>
        <w:spacing w:line="300" w:lineRule="auto"/>
        <w:ind w:firstLine="480" w:firstLineChars="200"/>
        <w:textAlignment w:val="auto"/>
        <w:rPr>
          <w:rFonts w:hint="eastAsia"/>
          <w:b w:val="0"/>
          <w:bCs w:val="0"/>
          <w:sz w:val="24"/>
          <w:szCs w:val="24"/>
        </w:rPr>
      </w:pPr>
      <w:r>
        <w:rPr>
          <w:rFonts w:hint="eastAsia"/>
          <w:b w:val="0"/>
          <w:bCs w:val="0"/>
          <w:sz w:val="24"/>
          <w:szCs w:val="24"/>
        </w:rPr>
        <w:t>附录</w:t>
      </w:r>
      <w:r>
        <w:rPr>
          <w:rFonts w:hint="eastAsia"/>
          <w:b w:val="0"/>
          <w:bCs w:val="0"/>
          <w:sz w:val="24"/>
          <w:szCs w:val="24"/>
          <w:lang w:val="en-US" w:eastAsia="zh-CN"/>
        </w:rPr>
        <w:t>E</w:t>
      </w:r>
      <w:r>
        <w:rPr>
          <w:rFonts w:hint="eastAsia"/>
          <w:b w:val="0"/>
          <w:bCs w:val="0"/>
          <w:sz w:val="24"/>
          <w:szCs w:val="24"/>
        </w:rPr>
        <w:t>有色金属材料分析用辉光放电光谱仪</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_Toc7520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检出限校准结果不确定度评定示例</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end"/>
      </w:r>
    </w:p>
    <w:bookmarkEnd w:id="1"/>
    <w:bookmarkEnd w:id="19"/>
    <w:p w14:paraId="40719D3B">
      <w:pPr>
        <w:pStyle w:val="2"/>
        <w:pageBreakBefore w:val="0"/>
        <w:numPr>
          <w:ilvl w:val="0"/>
          <w:numId w:val="14"/>
        </w:numPr>
        <w:kinsoku/>
        <w:wordWrap/>
        <w:overflowPunct/>
        <w:topLinePunct w:val="0"/>
        <w:bidi w:val="0"/>
        <w:spacing w:before="156" w:after="156" w:line="300" w:lineRule="auto"/>
        <w:textAlignment w:val="auto"/>
        <w:rPr>
          <w:rFonts w:hint="eastAsia" w:ascii="黑体" w:hAnsi="黑体" w:cs="黑体"/>
          <w:b w:val="0"/>
          <w:bCs w:val="0"/>
          <w:szCs w:val="28"/>
        </w:rPr>
      </w:pPr>
      <w:bookmarkStart w:id="100" w:name="_Toc464728965"/>
      <w:r>
        <w:rPr>
          <w:rFonts w:hint="eastAsia" w:ascii="黑体" w:hAnsi="黑体" w:cs="黑体"/>
          <w:b w:val="0"/>
          <w:bCs w:val="0"/>
          <w:szCs w:val="28"/>
        </w:rPr>
        <w:t>实践检测情况</w:t>
      </w:r>
    </w:p>
    <w:p w14:paraId="61A9C19D">
      <w:pPr>
        <w:pageBreakBefore w:val="0"/>
        <w:kinsoku/>
        <w:wordWrap/>
        <w:overflowPunct/>
        <w:topLinePunct w:val="0"/>
        <w:bidi w:val="0"/>
        <w:adjustRightInd w:val="0"/>
        <w:spacing w:line="300" w:lineRule="auto"/>
        <w:ind w:firstLine="480" w:firstLineChars="200"/>
        <w:textAlignment w:val="auto"/>
        <w:rPr>
          <w:rFonts w:hint="eastAsia"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宝鸡钛业股份有限公司进行了全计量特性的校准，并进行了测量不确定度的评定。</w:t>
      </w:r>
    </w:p>
    <w:p w14:paraId="4875946D">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四、规范水平分析</w:t>
      </w:r>
    </w:p>
    <w:p w14:paraId="61CC051E">
      <w:pPr>
        <w:pageBreakBefore w:val="0"/>
        <w:kinsoku/>
        <w:wordWrap/>
        <w:overflowPunct/>
        <w:topLinePunct w:val="0"/>
        <w:bidi w:val="0"/>
        <w:adjustRightInd w:val="0"/>
        <w:spacing w:line="300" w:lineRule="auto"/>
        <w:ind w:firstLine="480" w:firstLineChars="200"/>
        <w:textAlignment w:val="auto"/>
        <w:rPr>
          <w:rFonts w:hint="eastAsia"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本规范的制定填补了有色金属行业辉光放电光谱仪计量技术规范的空白，属于国内首创，水平达到国内领先。</w:t>
      </w:r>
    </w:p>
    <w:p w14:paraId="6AED42D6">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五、与有关的现行法律、法规和强制性国家标准的关系</w:t>
      </w:r>
    </w:p>
    <w:p w14:paraId="2B29FE02">
      <w:pPr>
        <w:pageBreakBefore w:val="0"/>
        <w:kinsoku/>
        <w:wordWrap/>
        <w:overflowPunct/>
        <w:topLinePunct w:val="0"/>
        <w:bidi w:val="0"/>
        <w:adjustRightInd w:val="0"/>
        <w:spacing w:line="300" w:lineRule="auto"/>
        <w:ind w:firstLine="480" w:firstLineChars="200"/>
        <w:textAlignment w:val="auto"/>
        <w:rPr>
          <w:rFonts w:hint="eastAsia"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14:paraId="05026CB8">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六、规范中涉及的专利或知识产权说明</w:t>
      </w:r>
    </w:p>
    <w:p w14:paraId="49118817">
      <w:pPr>
        <w:pStyle w:val="59"/>
        <w:pageBreakBefore w:val="0"/>
        <w:kinsoku/>
        <w:wordWrap/>
        <w:overflowPunct/>
        <w:topLinePunct w:val="0"/>
        <w:bidi w:val="0"/>
        <w:spacing w:line="300" w:lineRule="auto"/>
        <w:ind w:firstLineChars="0"/>
        <w:contextualSpacing/>
        <w:textAlignment w:val="auto"/>
        <w:rPr>
          <w:rFonts w:hint="eastAsia" w:cs="宋体"/>
          <w:szCs w:val="21"/>
        </w:rPr>
      </w:pPr>
      <w:r>
        <w:rPr>
          <w:rFonts w:hint="eastAsia" w:cs="宋体"/>
          <w:szCs w:val="21"/>
        </w:rPr>
        <w:t>无。</w:t>
      </w:r>
    </w:p>
    <w:p w14:paraId="409EAB81">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七、重大分歧意见的处理经过和依据</w:t>
      </w:r>
    </w:p>
    <w:p w14:paraId="222642D7">
      <w:pPr>
        <w:pStyle w:val="59"/>
        <w:pageBreakBefore w:val="0"/>
        <w:kinsoku/>
        <w:wordWrap/>
        <w:overflowPunct/>
        <w:topLinePunct w:val="0"/>
        <w:bidi w:val="0"/>
        <w:spacing w:line="300" w:lineRule="auto"/>
        <w:ind w:firstLine="420"/>
        <w:contextualSpacing/>
        <w:textAlignment w:val="auto"/>
        <w:rPr>
          <w:rFonts w:hint="eastAsia" w:cs="宋体"/>
          <w:szCs w:val="21"/>
        </w:rPr>
      </w:pPr>
      <w:r>
        <w:rPr>
          <w:rFonts w:hint="eastAsia" w:cs="宋体"/>
          <w:szCs w:val="21"/>
        </w:rPr>
        <w:t>无。</w:t>
      </w:r>
    </w:p>
    <w:p w14:paraId="30DEF6D1">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八、规范作为国家（或行业）计量技术规范的建议</w:t>
      </w:r>
    </w:p>
    <w:p w14:paraId="74AF790E">
      <w:pPr>
        <w:pageBreakBefore w:val="0"/>
        <w:kinsoku/>
        <w:wordWrap/>
        <w:overflowPunct/>
        <w:topLinePunct w:val="0"/>
        <w:bidi w:val="0"/>
        <w:adjustRightInd w:val="0"/>
        <w:spacing w:line="300" w:lineRule="auto"/>
        <w:ind w:firstLine="480" w:firstLineChars="200"/>
        <w:textAlignment w:val="auto"/>
        <w:rPr>
          <w:rFonts w:hint="eastAsia"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建议本规范作为行业计量技术规范，供行业企业参考使用。必要时可根据实际需要，结合其他行业使用要求，申报国家计量技术规范，以满足校准需要。</w:t>
      </w:r>
    </w:p>
    <w:p w14:paraId="0AC3F2B8">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九、贯彻规范的要求和措施建议</w:t>
      </w:r>
    </w:p>
    <w:p w14:paraId="1A432E39">
      <w:pPr>
        <w:pStyle w:val="59"/>
        <w:keepNext w:val="0"/>
        <w:keepLines w:val="0"/>
        <w:pageBreakBefore w:val="0"/>
        <w:widowControl/>
        <w:kinsoku/>
        <w:wordWrap/>
        <w:overflowPunct/>
        <w:topLinePunct w:val="0"/>
        <w:autoSpaceDE w:val="0"/>
        <w:autoSpaceDN w:val="0"/>
        <w:bidi w:val="0"/>
        <w:adjustRightInd w:val="0"/>
        <w:snapToGrid w:val="0"/>
        <w:spacing w:line="300" w:lineRule="auto"/>
        <w:ind w:firstLine="420"/>
        <w:contextualSpacing/>
        <w:textAlignment w:val="auto"/>
        <w:rPr>
          <w:rFonts w:hint="eastAsia"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本规范发布后，中国有色金属行业协会和有色金属行业计量技术委员会应加强本规范的宣传力度，以促进我国企业的技术进步和产品质量上档次，提高我国产品在国际国内市场的竞争能力。</w:t>
      </w:r>
    </w:p>
    <w:p w14:paraId="1E510F16">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十、废止现行有关规范的建议</w:t>
      </w:r>
    </w:p>
    <w:p w14:paraId="26BC7252">
      <w:pPr>
        <w:pStyle w:val="59"/>
        <w:pageBreakBefore w:val="0"/>
        <w:kinsoku/>
        <w:wordWrap/>
        <w:overflowPunct/>
        <w:topLinePunct w:val="0"/>
        <w:bidi w:val="0"/>
        <w:spacing w:line="300" w:lineRule="auto"/>
        <w:ind w:firstLine="420"/>
        <w:contextualSpacing/>
        <w:textAlignment w:val="auto"/>
        <w:rPr>
          <w:rFonts w:hint="eastAsia"/>
          <w:szCs w:val="21"/>
        </w:rPr>
      </w:pPr>
      <w:r>
        <w:rPr>
          <w:rFonts w:hint="eastAsia"/>
          <w:szCs w:val="21"/>
        </w:rPr>
        <w:t>无。</w:t>
      </w:r>
    </w:p>
    <w:p w14:paraId="267A7787">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十一、预期效果</w:t>
      </w:r>
    </w:p>
    <w:p w14:paraId="5736A8AE">
      <w:pPr>
        <w:pStyle w:val="59"/>
        <w:pageBreakBefore w:val="0"/>
        <w:kinsoku/>
        <w:wordWrap/>
        <w:overflowPunct/>
        <w:topLinePunct w:val="0"/>
        <w:bidi w:val="0"/>
        <w:spacing w:line="300" w:lineRule="auto"/>
        <w:ind w:firstLine="420"/>
        <w:contextualSpacing/>
        <w:textAlignment w:val="auto"/>
        <w:rPr>
          <w:rFonts w:hint="eastAsia" w:ascii="Times New Roman" w:hAnsi="Times New Roman" w:cs="Times New Roman"/>
          <w:b w:val="0"/>
          <w:bCs w:val="0"/>
          <w:sz w:val="24"/>
          <w:szCs w:val="24"/>
        </w:rPr>
      </w:pPr>
      <w:r>
        <w:rPr>
          <w:rFonts w:hint="eastAsia" w:cs="Times New Roman"/>
          <w:b w:val="0"/>
          <w:bCs w:val="0"/>
          <w:sz w:val="24"/>
          <w:szCs w:val="24"/>
          <w:lang w:val="en-US" w:eastAsia="zh-CN"/>
        </w:rPr>
        <w:t>本</w:t>
      </w:r>
      <w:r>
        <w:rPr>
          <w:rFonts w:hint="eastAsia" w:cs="Times New Roman"/>
          <w:b w:val="0"/>
          <w:bCs w:val="0"/>
          <w:sz w:val="24"/>
          <w:szCs w:val="24"/>
        </w:rPr>
        <w:t>规范</w:t>
      </w:r>
      <w:r>
        <w:rPr>
          <w:rFonts w:hint="eastAsia" w:cs="Times New Roman"/>
          <w:b w:val="0"/>
          <w:bCs w:val="0"/>
          <w:sz w:val="24"/>
          <w:szCs w:val="24"/>
          <w:lang w:val="en-US" w:eastAsia="zh-CN"/>
        </w:rPr>
        <w:t>发布后，能</w:t>
      </w:r>
      <w:r>
        <w:rPr>
          <w:rFonts w:hint="eastAsia" w:cs="Times New Roman"/>
          <w:b w:val="0"/>
          <w:bCs w:val="0"/>
          <w:sz w:val="24"/>
          <w:szCs w:val="24"/>
        </w:rPr>
        <w:t>解决有色金属材料分析用</w:t>
      </w:r>
      <w:r>
        <w:rPr>
          <w:rFonts w:hint="eastAsia" w:ascii="Times New Roman" w:hAnsi="Times New Roman" w:cs="Times New Roman" w:eastAsiaTheme="minorEastAsia"/>
          <w:b w:val="0"/>
          <w:bCs w:val="0"/>
          <w:kern w:val="2"/>
          <w:sz w:val="24"/>
          <w:szCs w:val="24"/>
          <w:lang w:val="en-US" w:eastAsia="zh-CN" w:bidi="ar-SA"/>
        </w:rPr>
        <w:t>辉光放电光谱仪</w:t>
      </w:r>
      <w:r>
        <w:rPr>
          <w:rFonts w:hint="eastAsia" w:cs="Times New Roman"/>
          <w:b w:val="0"/>
          <w:bCs w:val="0"/>
          <w:sz w:val="24"/>
          <w:szCs w:val="24"/>
        </w:rPr>
        <w:t>校准方法不统一、校准方法差异化、计量标准技术指标不明确、校准点的选择不统一、有色金属材料分析用</w:t>
      </w:r>
      <w:r>
        <w:rPr>
          <w:rFonts w:hint="eastAsia" w:ascii="Times New Roman" w:hAnsi="Times New Roman" w:cs="Times New Roman" w:eastAsiaTheme="minorEastAsia"/>
          <w:b w:val="0"/>
          <w:bCs w:val="0"/>
          <w:kern w:val="2"/>
          <w:sz w:val="24"/>
          <w:szCs w:val="24"/>
          <w:lang w:val="en-US" w:eastAsia="zh-CN" w:bidi="ar-SA"/>
        </w:rPr>
        <w:t>辉光放电光谱仪</w:t>
      </w:r>
      <w:r>
        <w:rPr>
          <w:rFonts w:hint="eastAsia" w:cs="Times New Roman"/>
          <w:b w:val="0"/>
          <w:bCs w:val="0"/>
          <w:sz w:val="24"/>
          <w:szCs w:val="24"/>
        </w:rPr>
        <w:t>的校准方法未规定等问题，弥补有色金属材料分析用</w:t>
      </w:r>
      <w:r>
        <w:rPr>
          <w:rFonts w:hint="eastAsia" w:ascii="Times New Roman" w:hAnsi="Times New Roman" w:cs="Times New Roman" w:eastAsiaTheme="minorEastAsia"/>
          <w:b w:val="0"/>
          <w:bCs w:val="0"/>
          <w:kern w:val="2"/>
          <w:sz w:val="24"/>
          <w:szCs w:val="24"/>
          <w:lang w:val="en-US" w:eastAsia="zh-CN" w:bidi="ar-SA"/>
        </w:rPr>
        <w:t>辉光放电光谱仪</w:t>
      </w:r>
      <w:r>
        <w:rPr>
          <w:rFonts w:hint="eastAsia" w:cs="Times New Roman"/>
          <w:b w:val="0"/>
          <w:bCs w:val="0"/>
          <w:sz w:val="24"/>
          <w:szCs w:val="24"/>
        </w:rPr>
        <w:t>校准的空白，为保证有色金属材料分析用</w:t>
      </w:r>
      <w:r>
        <w:rPr>
          <w:rFonts w:hint="eastAsia" w:ascii="Times New Roman" w:hAnsi="Times New Roman" w:cs="Times New Roman" w:eastAsiaTheme="minorEastAsia"/>
          <w:b w:val="0"/>
          <w:bCs w:val="0"/>
          <w:kern w:val="2"/>
          <w:sz w:val="24"/>
          <w:szCs w:val="24"/>
          <w:lang w:val="en-US" w:eastAsia="zh-CN" w:bidi="ar-SA"/>
        </w:rPr>
        <w:t>辉光放电光谱仪</w:t>
      </w:r>
      <w:r>
        <w:rPr>
          <w:rFonts w:hint="eastAsia" w:cs="Times New Roman"/>
          <w:b w:val="0"/>
          <w:bCs w:val="0"/>
          <w:sz w:val="24"/>
          <w:szCs w:val="24"/>
        </w:rPr>
        <w:t>测试结果的准确可靠提供保证，有利于</w:t>
      </w:r>
      <w:r>
        <w:rPr>
          <w:rFonts w:hint="eastAsia" w:cs="Times New Roman"/>
          <w:b w:val="0"/>
          <w:bCs w:val="0"/>
          <w:sz w:val="24"/>
          <w:szCs w:val="24"/>
          <w:lang w:val="en-US" w:eastAsia="zh-CN"/>
        </w:rPr>
        <w:t>有色金属</w:t>
      </w:r>
      <w:r>
        <w:rPr>
          <w:rFonts w:hint="eastAsia" w:cs="Times New Roman"/>
          <w:b w:val="0"/>
          <w:bCs w:val="0"/>
          <w:sz w:val="24"/>
          <w:szCs w:val="24"/>
        </w:rPr>
        <w:t>加工企业产品质量提升和设备运行使用稳定性的提高，为我国高端装备制造</w:t>
      </w:r>
      <w:r>
        <w:rPr>
          <w:rFonts w:hint="eastAsia" w:cs="Times New Roman"/>
          <w:b w:val="0"/>
          <w:bCs w:val="0"/>
          <w:sz w:val="24"/>
          <w:szCs w:val="24"/>
          <w:lang w:eastAsia="zh-CN"/>
        </w:rPr>
        <w:t>、</w:t>
      </w:r>
      <w:r>
        <w:rPr>
          <w:rFonts w:hint="eastAsia" w:cs="Times New Roman"/>
          <w:b w:val="0"/>
          <w:bCs w:val="0"/>
          <w:sz w:val="24"/>
          <w:szCs w:val="24"/>
        </w:rPr>
        <w:t>原材料及航空工业制造能力和水平起着重要的助推作用。</w:t>
      </w:r>
    </w:p>
    <w:p w14:paraId="4398978A">
      <w:pPr>
        <w:pStyle w:val="2"/>
        <w:pageBreakBefore w:val="0"/>
        <w:kinsoku/>
        <w:wordWrap/>
        <w:overflowPunct/>
        <w:topLinePunct w:val="0"/>
        <w:bidi w:val="0"/>
        <w:spacing w:before="156" w:after="156" w:line="300" w:lineRule="auto"/>
        <w:textAlignment w:val="auto"/>
        <w:rPr>
          <w:rFonts w:hint="eastAsia" w:ascii="黑体" w:hAnsi="黑体" w:cs="黑体"/>
          <w:b w:val="0"/>
          <w:bCs w:val="0"/>
          <w:szCs w:val="28"/>
        </w:rPr>
      </w:pPr>
      <w:r>
        <w:rPr>
          <w:rFonts w:hint="eastAsia" w:ascii="黑体" w:hAnsi="黑体" w:cs="黑体"/>
          <w:b w:val="0"/>
          <w:bCs w:val="0"/>
          <w:szCs w:val="28"/>
        </w:rPr>
        <w:t>十一、其他应予说明的事项</w:t>
      </w:r>
    </w:p>
    <w:p w14:paraId="4FFA5BEE">
      <w:pPr>
        <w:pStyle w:val="59"/>
        <w:pageBreakBefore w:val="0"/>
        <w:kinsoku/>
        <w:wordWrap/>
        <w:overflowPunct/>
        <w:topLinePunct w:val="0"/>
        <w:bidi w:val="0"/>
        <w:spacing w:line="300" w:lineRule="auto"/>
        <w:ind w:firstLineChars="0"/>
        <w:contextualSpacing/>
        <w:textAlignment w:val="auto"/>
        <w:rPr>
          <w:rFonts w:ascii="Times New Roman" w:hAnsi="Times New Roman" w:eastAsia="黑体"/>
          <w:szCs w:val="21"/>
        </w:rPr>
      </w:pPr>
      <w:r>
        <w:rPr>
          <w:rFonts w:hint="eastAsia"/>
          <w:szCs w:val="21"/>
        </w:rPr>
        <w:t>无。</w:t>
      </w:r>
      <w:r>
        <w:rPr>
          <w:rFonts w:ascii="Times New Roman" w:hAnsi="Times New Roman" w:eastAsia="黑体"/>
          <w:szCs w:val="21"/>
        </w:rPr>
        <w:t xml:space="preserve"> </w:t>
      </w:r>
    </w:p>
    <w:p w14:paraId="2FDF4C14">
      <w:pPr>
        <w:pStyle w:val="59"/>
        <w:pageBreakBefore w:val="0"/>
        <w:kinsoku/>
        <w:wordWrap/>
        <w:overflowPunct/>
        <w:topLinePunct w:val="0"/>
        <w:bidi w:val="0"/>
        <w:spacing w:line="300" w:lineRule="auto"/>
        <w:ind w:firstLineChars="0"/>
        <w:contextualSpacing/>
        <w:textAlignment w:val="auto"/>
        <w:rPr>
          <w:rFonts w:ascii="Times New Roman" w:hAnsi="Times New Roman" w:eastAsia="黑体"/>
          <w:szCs w:val="21"/>
        </w:rPr>
      </w:pPr>
    </w:p>
    <w:p w14:paraId="50D3B6D8">
      <w:pPr>
        <w:pStyle w:val="59"/>
        <w:pageBreakBefore w:val="0"/>
        <w:kinsoku/>
        <w:wordWrap/>
        <w:overflowPunct/>
        <w:topLinePunct w:val="0"/>
        <w:bidi w:val="0"/>
        <w:spacing w:line="300" w:lineRule="auto"/>
        <w:ind w:firstLineChars="0"/>
        <w:contextualSpacing/>
        <w:textAlignment w:val="auto"/>
        <w:rPr>
          <w:rFonts w:ascii="Times New Roman" w:hAnsi="Times New Roman" w:eastAsia="黑体"/>
          <w:szCs w:val="21"/>
        </w:rPr>
      </w:pPr>
    </w:p>
    <w:p w14:paraId="3F3E9B96">
      <w:pPr>
        <w:pStyle w:val="59"/>
        <w:pageBreakBefore w:val="0"/>
        <w:kinsoku/>
        <w:wordWrap/>
        <w:overflowPunct/>
        <w:topLinePunct w:val="0"/>
        <w:bidi w:val="0"/>
        <w:spacing w:line="300" w:lineRule="auto"/>
        <w:ind w:firstLineChars="0"/>
        <w:contextualSpacing/>
        <w:textAlignment w:val="auto"/>
        <w:rPr>
          <w:rFonts w:ascii="Times New Roman" w:hAnsi="Times New Roman" w:eastAsia="黑体"/>
          <w:szCs w:val="21"/>
        </w:rPr>
      </w:pPr>
    </w:p>
    <w:p w14:paraId="6D0F92BB">
      <w:pPr>
        <w:pStyle w:val="59"/>
        <w:pageBreakBefore w:val="0"/>
        <w:kinsoku/>
        <w:wordWrap/>
        <w:overflowPunct/>
        <w:topLinePunct w:val="0"/>
        <w:bidi w:val="0"/>
        <w:spacing w:line="300" w:lineRule="auto"/>
        <w:ind w:firstLineChars="0"/>
        <w:contextualSpacing/>
        <w:textAlignment w:val="auto"/>
        <w:rPr>
          <w:rFonts w:hint="eastAsia" w:ascii="Times New Roman" w:hAnsi="Times New Roman" w:eastAsia="黑体"/>
          <w:szCs w:val="21"/>
        </w:rPr>
      </w:pPr>
    </w:p>
    <w:p w14:paraId="52A58849">
      <w:pPr>
        <w:pStyle w:val="59"/>
        <w:pageBreakBefore w:val="0"/>
        <w:kinsoku/>
        <w:wordWrap/>
        <w:overflowPunct/>
        <w:topLinePunct w:val="0"/>
        <w:bidi w:val="0"/>
        <w:spacing w:line="300" w:lineRule="auto"/>
        <w:ind w:firstLineChars="0"/>
        <w:contextualSpacing/>
        <w:jc w:val="right"/>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w:t>
      </w:r>
      <w:r>
        <w:rPr>
          <w:rFonts w:hint="eastAsia" w:ascii="Times New Roman" w:hAnsi="Times New Roman" w:cs="Times New Roman" w:eastAsiaTheme="minorEastAsia"/>
          <w:b w:val="0"/>
          <w:bCs w:val="0"/>
          <w:kern w:val="2"/>
          <w:sz w:val="24"/>
          <w:szCs w:val="24"/>
          <w:lang w:val="en-US" w:eastAsia="zh-CN" w:bidi="ar-SA"/>
        </w:rPr>
        <w:t>辉光放电光谱仪</w:t>
      </w:r>
      <w:r>
        <w:rPr>
          <w:rFonts w:hint="eastAsia" w:asciiTheme="minorEastAsia" w:hAnsiTheme="minorEastAsia" w:eastAsiaTheme="minorEastAsia" w:cstheme="minorEastAsia"/>
          <w:sz w:val="24"/>
          <w:szCs w:val="24"/>
        </w:rPr>
        <w:t>》编制组</w:t>
      </w:r>
      <w:r>
        <w:rPr>
          <w:rFonts w:hint="eastAsia" w:asciiTheme="minorEastAsia" w:hAnsiTheme="minorEastAsia" w:eastAsiaTheme="minorEastAsia" w:cstheme="minorEastAsia"/>
          <w:color w:val="FF0000"/>
          <w:sz w:val="24"/>
          <w:szCs w:val="24"/>
        </w:rPr>
        <w:t xml:space="preserve">  </w:t>
      </w:r>
    </w:p>
    <w:p w14:paraId="62FF3414">
      <w:pPr>
        <w:pStyle w:val="59"/>
        <w:pageBreakBefore w:val="0"/>
        <w:kinsoku/>
        <w:wordWrap/>
        <w:overflowPunct/>
        <w:topLinePunct w:val="0"/>
        <w:bidi w:val="0"/>
        <w:spacing w:line="300" w:lineRule="auto"/>
        <w:ind w:firstLineChars="0"/>
        <w:contextualSpacing/>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sz w:val="24"/>
          <w:szCs w:val="24"/>
        </w:rPr>
        <w:t xml:space="preserve"> 2026年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Cs w:val="21"/>
        </w:rPr>
        <w:t xml:space="preserve"> </w:t>
      </w:r>
      <w:bookmarkEnd w:id="100"/>
    </w:p>
    <w:p w14:paraId="783DD184">
      <w:pPr>
        <w:pStyle w:val="59"/>
        <w:pageBreakBefore w:val="0"/>
        <w:kinsoku/>
        <w:wordWrap/>
        <w:overflowPunct/>
        <w:topLinePunct w:val="0"/>
        <w:bidi w:val="0"/>
        <w:spacing w:line="300" w:lineRule="auto"/>
        <w:ind w:firstLineChars="0"/>
        <w:contextualSpacing/>
        <w:jc w:val="center"/>
        <w:textAlignment w:val="auto"/>
        <w:rPr>
          <w:rFonts w:hint="eastAsia" w:asciiTheme="minorEastAsia" w:hAnsiTheme="minorEastAsia" w:eastAsiaTheme="minorEastAsia" w:cstheme="minorEastAsia"/>
          <w:szCs w:val="21"/>
        </w:rPr>
      </w:pPr>
    </w:p>
    <w:p w14:paraId="5D900ABC">
      <w:pPr>
        <w:pStyle w:val="59"/>
        <w:pageBreakBefore w:val="0"/>
        <w:kinsoku/>
        <w:wordWrap/>
        <w:overflowPunct/>
        <w:topLinePunct w:val="0"/>
        <w:bidi w:val="0"/>
        <w:spacing w:line="300" w:lineRule="auto"/>
        <w:ind w:firstLineChars="0"/>
        <w:contextualSpacing/>
        <w:jc w:val="center"/>
        <w:textAlignment w:val="auto"/>
        <w:rPr>
          <w:rFonts w:hint="eastAsia" w:asciiTheme="minorEastAsia" w:hAnsiTheme="minorEastAsia" w:eastAsiaTheme="minorEastAsia" w:cstheme="minorEastAsia"/>
          <w:szCs w:val="21"/>
        </w:rPr>
      </w:pPr>
    </w:p>
    <w:p w14:paraId="069131C6">
      <w:pPr>
        <w:pStyle w:val="59"/>
        <w:pageBreakBefore w:val="0"/>
        <w:kinsoku/>
        <w:wordWrap/>
        <w:overflowPunct/>
        <w:topLinePunct w:val="0"/>
        <w:bidi w:val="0"/>
        <w:spacing w:line="300" w:lineRule="auto"/>
        <w:ind w:firstLineChars="0"/>
        <w:contextualSpacing/>
        <w:jc w:val="center"/>
        <w:textAlignment w:val="auto"/>
        <w:rPr>
          <w:rFonts w:hint="eastAsia" w:asciiTheme="minorEastAsia" w:hAnsiTheme="minorEastAsia" w:eastAsiaTheme="minorEastAsia" w:cstheme="minorEastAsia"/>
          <w:szCs w:val="21"/>
        </w:rPr>
      </w:pP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 w:name="E-BZ">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03B6">
    <w:pPr>
      <w:pStyle w:val="74"/>
      <w:jc w:val="center"/>
      <w:rPr>
        <w:rStyle w:val="46"/>
      </w:rPr>
    </w:pPr>
    <w:r>
      <w:fldChar w:fldCharType="begin"/>
    </w:r>
    <w:r>
      <w:rPr>
        <w:rStyle w:val="46"/>
      </w:rPr>
      <w:instrText xml:space="preserve">PAGE  </w:instrText>
    </w:r>
    <w:r>
      <w:fldChar w:fldCharType="separate"/>
    </w:r>
    <w:r>
      <w:rPr>
        <w:rStyle w:val="46"/>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3C842">
    <w:pPr>
      <w:pStyle w:val="30"/>
      <w:jc w:val="both"/>
    </w:pPr>
  </w:p>
  <w:p w14:paraId="4A90730C">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1B392">
    <w:pPr>
      <w:pStyle w:val="6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9EA53"/>
    <w:multiLevelType w:val="singleLevel"/>
    <w:tmpl w:val="9E39EA53"/>
    <w:lvl w:ilvl="0" w:tentative="0">
      <w:start w:val="4"/>
      <w:numFmt w:val="decimal"/>
      <w:lvlText w:val="%1."/>
      <w:lvlJc w:val="left"/>
      <w:pPr>
        <w:tabs>
          <w:tab w:val="left" w:pos="312"/>
        </w:tabs>
      </w:pPr>
    </w:lvl>
  </w:abstractNum>
  <w:abstractNum w:abstractNumId="1">
    <w:nsid w:val="B0F722A4"/>
    <w:multiLevelType w:val="singleLevel"/>
    <w:tmpl w:val="B0F722A4"/>
    <w:lvl w:ilvl="0" w:tentative="0">
      <w:start w:val="3"/>
      <w:numFmt w:val="chineseCounting"/>
      <w:suff w:val="nothing"/>
      <w:lvlText w:val="%1、"/>
      <w:lvlJc w:val="left"/>
      <w:rPr>
        <w:rFonts w:hint="eastAsia"/>
        <w:b w:val="0"/>
        <w:bCs w:val="0"/>
        <w:sz w:val="28"/>
        <w:szCs w:val="28"/>
      </w:rPr>
    </w:lvl>
  </w:abstractNum>
  <w:abstractNum w:abstractNumId="2">
    <w:nsid w:val="00000007"/>
    <w:multiLevelType w:val="multilevel"/>
    <w:tmpl w:val="00000007"/>
    <w:lvl w:ilvl="0" w:tentative="0">
      <w:start w:val="1"/>
      <w:numFmt w:val="none"/>
      <w:pStyle w:val="8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multilevel"/>
    <w:tmpl w:val="0000000C"/>
    <w:lvl w:ilvl="0" w:tentative="0">
      <w:start w:val="1"/>
      <w:numFmt w:val="none"/>
      <w:pStyle w:val="109"/>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1"/>
      <w:numFmt w:val="none"/>
      <w:pStyle w:val="9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9"/>
      <w:suff w:val="nothing"/>
      <w:lvlText w:val="%1%2.%3　"/>
      <w:lvlJc w:val="left"/>
      <w:pPr>
        <w:ind w:left="0"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117"/>
      <w:suff w:val="nothing"/>
      <w:lvlText w:val="%1%2.%3.%4.%5　"/>
      <w:lvlJc w:val="left"/>
      <w:pPr>
        <w:ind w:left="0" w:firstLine="0"/>
      </w:pPr>
      <w:rPr>
        <w:rFonts w:hint="eastAsia" w:ascii="黑体" w:hAnsi="Times New Roman" w:eastAsia="黑体"/>
        <w:b w:val="0"/>
        <w:i w:val="0"/>
        <w:sz w:val="21"/>
      </w:rPr>
    </w:lvl>
    <w:lvl w:ilvl="5" w:tentative="0">
      <w:start w:val="1"/>
      <w:numFmt w:val="decimal"/>
      <w:pStyle w:val="111"/>
      <w:suff w:val="nothing"/>
      <w:lvlText w:val="%1%2.%3.%4.%5.%6　"/>
      <w:lvlJc w:val="left"/>
      <w:pPr>
        <w:ind w:left="0" w:firstLine="0"/>
      </w:pPr>
      <w:rPr>
        <w:rFonts w:hint="eastAsia" w:ascii="黑体" w:hAnsi="Times New Roman" w:eastAsia="黑体"/>
        <w:b w:val="0"/>
        <w:i w:val="0"/>
        <w:sz w:val="21"/>
      </w:rPr>
    </w:lvl>
    <w:lvl w:ilvl="6" w:tentative="0">
      <w:start w:val="1"/>
      <w:numFmt w:val="decimal"/>
      <w:pStyle w:val="8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4"/>
    <w:multiLevelType w:val="multilevel"/>
    <w:tmpl w:val="00000014"/>
    <w:lvl w:ilvl="0" w:tentative="0">
      <w:start w:val="1"/>
      <w:numFmt w:val="none"/>
      <w:pStyle w:val="1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5"/>
    <w:multiLevelType w:val="multilevel"/>
    <w:tmpl w:val="00000015"/>
    <w:lvl w:ilvl="0" w:tentative="0">
      <w:start w:val="1"/>
      <w:numFmt w:val="upperLetter"/>
      <w:pStyle w:val="66"/>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80"/>
      <w:lvlText w:val="（%2）"/>
      <w:lvlJc w:val="left"/>
      <w:pPr>
        <w:ind w:left="0" w:firstLine="0"/>
      </w:pPr>
      <w:rPr>
        <w:rFonts w:hint="default"/>
        <w:b w:val="0"/>
        <w:i w:val="0"/>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103"/>
      <w:suff w:val="nothing"/>
      <w:lvlText w:val="%1.%2.%3.%4　"/>
      <w:lvlJc w:val="left"/>
      <w:pPr>
        <w:ind w:left="0" w:firstLine="0"/>
      </w:pPr>
      <w:rPr>
        <w:rFonts w:hint="eastAsia" w:ascii="黑体" w:hAnsi="Times New Roman" w:eastAsia="黑体"/>
        <w:b w:val="0"/>
        <w:i w:val="0"/>
        <w:sz w:val="21"/>
      </w:rPr>
    </w:lvl>
    <w:lvl w:ilvl="4" w:tentative="0">
      <w:start w:val="1"/>
      <w:numFmt w:val="decimal"/>
      <w:pStyle w:val="102"/>
      <w:suff w:val="nothing"/>
      <w:lvlText w:val="%1.%2.%3.%4.%5　"/>
      <w:lvlJc w:val="left"/>
      <w:pPr>
        <w:ind w:left="0" w:firstLine="0"/>
      </w:pPr>
      <w:rPr>
        <w:rFonts w:hint="eastAsia" w:ascii="黑体" w:hAnsi="Times New Roman" w:eastAsia="黑体"/>
        <w:b w:val="0"/>
        <w:i w:val="0"/>
        <w:sz w:val="21"/>
      </w:rPr>
    </w:lvl>
    <w:lvl w:ilvl="5" w:tentative="0">
      <w:start w:val="1"/>
      <w:numFmt w:val="decimal"/>
      <w:pStyle w:val="101"/>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9"/>
    <w:multiLevelType w:val="multilevel"/>
    <w:tmpl w:val="00000019"/>
    <w:lvl w:ilvl="0" w:tentative="0">
      <w:start w:val="1"/>
      <w:numFmt w:val="decimal"/>
      <w:pStyle w:val="108"/>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9">
    <w:nsid w:val="00000022"/>
    <w:multiLevelType w:val="multilevel"/>
    <w:tmpl w:val="00000022"/>
    <w:lvl w:ilvl="0" w:tentative="0">
      <w:start w:val="1"/>
      <w:numFmt w:val="decimal"/>
      <w:pStyle w:val="91"/>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0000025"/>
    <w:multiLevelType w:val="multilevel"/>
    <w:tmpl w:val="00000025"/>
    <w:lvl w:ilvl="0" w:tentative="0">
      <w:start w:val="1"/>
      <w:numFmt w:val="none"/>
      <w:pStyle w:val="67"/>
      <w:suff w:val="nothing"/>
      <w:lvlText w:val="%1"/>
      <w:lvlJc w:val="left"/>
      <w:pPr>
        <w:ind w:left="0" w:firstLine="0"/>
      </w:pPr>
      <w:rPr>
        <w:rFonts w:hint="default" w:ascii="Times New Roman" w:hAnsi="Times New Roman"/>
        <w:b/>
        <w:i w:val="0"/>
        <w:sz w:val="21"/>
      </w:rPr>
    </w:lvl>
    <w:lvl w:ilvl="1" w:tentative="0">
      <w:start w:val="1"/>
      <w:numFmt w:val="decimal"/>
      <w:pStyle w:val="62"/>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1"/>
      <w:suff w:val="nothing"/>
      <w:lvlText w:val="%1%2.%3　"/>
      <w:lvlJc w:val="left"/>
      <w:pPr>
        <w:ind w:left="0" w:firstLine="0"/>
      </w:pPr>
      <w:rPr>
        <w:rFonts w:hint="eastAsia" w:ascii="黑体" w:hAnsi="Times New Roman" w:eastAsia="黑体"/>
        <w:b w:val="0"/>
        <w:i w:val="0"/>
        <w:sz w:val="21"/>
      </w:rPr>
    </w:lvl>
    <w:lvl w:ilvl="3" w:tentative="0">
      <w:start w:val="1"/>
      <w:numFmt w:val="decimal"/>
      <w:pStyle w:val="60"/>
      <w:suff w:val="nothing"/>
      <w:lvlText w:val="%1%2.%3.%4　"/>
      <w:lvlJc w:val="left"/>
      <w:pPr>
        <w:ind w:left="284"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8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0000027"/>
    <w:multiLevelType w:val="multilevel"/>
    <w:tmpl w:val="00000027"/>
    <w:lvl w:ilvl="0" w:tentative="0">
      <w:start w:val="1"/>
      <w:numFmt w:val="none"/>
      <w:pStyle w:val="7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72DDC45"/>
    <w:multiLevelType w:val="singleLevel"/>
    <w:tmpl w:val="172DDC45"/>
    <w:lvl w:ilvl="0" w:tentative="0">
      <w:start w:val="1"/>
      <w:numFmt w:val="decimal"/>
      <w:lvlText w:val="%1."/>
      <w:lvlJc w:val="left"/>
      <w:pPr>
        <w:tabs>
          <w:tab w:val="left" w:pos="312"/>
        </w:tabs>
      </w:pPr>
    </w:lvl>
  </w:abstractNum>
  <w:abstractNum w:abstractNumId="13">
    <w:nsid w:val="321D0A49"/>
    <w:multiLevelType w:val="singleLevel"/>
    <w:tmpl w:val="321D0A49"/>
    <w:lvl w:ilvl="0" w:tentative="0">
      <w:start w:val="1"/>
      <w:numFmt w:val="decimal"/>
      <w:suff w:val="nothing"/>
      <w:lvlText w:val="（%1）"/>
      <w:lvlJc w:val="left"/>
    </w:lvl>
  </w:abstractNum>
  <w:num w:numId="1">
    <w:abstractNumId w:val="10"/>
  </w:num>
  <w:num w:numId="2">
    <w:abstractNumId w:val="7"/>
  </w:num>
  <w:num w:numId="3">
    <w:abstractNumId w:val="11"/>
  </w:num>
  <w:num w:numId="4">
    <w:abstractNumId w:val="2"/>
  </w:num>
  <w:num w:numId="5">
    <w:abstractNumId w:val="5"/>
  </w:num>
  <w:num w:numId="6">
    <w:abstractNumId w:val="9"/>
  </w:num>
  <w:num w:numId="7">
    <w:abstractNumId w:val="4"/>
  </w:num>
  <w:num w:numId="8">
    <w:abstractNumId w:val="8"/>
  </w:num>
  <w:num w:numId="9">
    <w:abstractNumId w:val="3"/>
  </w:num>
  <w:num w:numId="10">
    <w:abstractNumId w:val="6"/>
  </w:num>
  <w:num w:numId="11">
    <w:abstractNumId w:val="0"/>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225687B"/>
    <w:rsid w:val="02F703B0"/>
    <w:rsid w:val="04731467"/>
    <w:rsid w:val="05F125DB"/>
    <w:rsid w:val="05FC2B85"/>
    <w:rsid w:val="06716757"/>
    <w:rsid w:val="07DC0ED5"/>
    <w:rsid w:val="0904785D"/>
    <w:rsid w:val="093A0DF0"/>
    <w:rsid w:val="09573966"/>
    <w:rsid w:val="0A781AE7"/>
    <w:rsid w:val="0CB9457A"/>
    <w:rsid w:val="0CCA0314"/>
    <w:rsid w:val="0D8022CA"/>
    <w:rsid w:val="0E6513CA"/>
    <w:rsid w:val="0E6C44E7"/>
    <w:rsid w:val="0E833DCE"/>
    <w:rsid w:val="0ECF1708"/>
    <w:rsid w:val="11471F43"/>
    <w:rsid w:val="12486EC1"/>
    <w:rsid w:val="13780831"/>
    <w:rsid w:val="13877F6B"/>
    <w:rsid w:val="13B1031D"/>
    <w:rsid w:val="14317D7D"/>
    <w:rsid w:val="1451679A"/>
    <w:rsid w:val="14FE0CE9"/>
    <w:rsid w:val="158E7867"/>
    <w:rsid w:val="16161288"/>
    <w:rsid w:val="165F37C1"/>
    <w:rsid w:val="16A67923"/>
    <w:rsid w:val="174C2AB4"/>
    <w:rsid w:val="17E64F25"/>
    <w:rsid w:val="18B6676F"/>
    <w:rsid w:val="197E2B40"/>
    <w:rsid w:val="1B167875"/>
    <w:rsid w:val="1BF8725D"/>
    <w:rsid w:val="1C0E1375"/>
    <w:rsid w:val="1C2F1FCD"/>
    <w:rsid w:val="1C803B53"/>
    <w:rsid w:val="1E713A82"/>
    <w:rsid w:val="1F5A1A25"/>
    <w:rsid w:val="1F714057"/>
    <w:rsid w:val="1FAB00D4"/>
    <w:rsid w:val="208E75B3"/>
    <w:rsid w:val="218A16C9"/>
    <w:rsid w:val="21BE3478"/>
    <w:rsid w:val="21D04080"/>
    <w:rsid w:val="22423DCF"/>
    <w:rsid w:val="225C10E7"/>
    <w:rsid w:val="230F0F67"/>
    <w:rsid w:val="23A74BBD"/>
    <w:rsid w:val="23D43A72"/>
    <w:rsid w:val="26275EBD"/>
    <w:rsid w:val="27557167"/>
    <w:rsid w:val="277C51D7"/>
    <w:rsid w:val="27BD3A55"/>
    <w:rsid w:val="287A29E1"/>
    <w:rsid w:val="28A00A66"/>
    <w:rsid w:val="29846CB3"/>
    <w:rsid w:val="29E46257"/>
    <w:rsid w:val="2A4110A1"/>
    <w:rsid w:val="2A636980"/>
    <w:rsid w:val="2AB85E2C"/>
    <w:rsid w:val="2B09268A"/>
    <w:rsid w:val="2C147130"/>
    <w:rsid w:val="2C281A12"/>
    <w:rsid w:val="2E0A7273"/>
    <w:rsid w:val="2E772BB0"/>
    <w:rsid w:val="2F656952"/>
    <w:rsid w:val="2FBE527A"/>
    <w:rsid w:val="31B57A58"/>
    <w:rsid w:val="325F3B1A"/>
    <w:rsid w:val="34745E77"/>
    <w:rsid w:val="34CD5E22"/>
    <w:rsid w:val="36AE69D8"/>
    <w:rsid w:val="38B6063A"/>
    <w:rsid w:val="39E61637"/>
    <w:rsid w:val="39E63C45"/>
    <w:rsid w:val="3A910669"/>
    <w:rsid w:val="3BFA1058"/>
    <w:rsid w:val="3BFE63B4"/>
    <w:rsid w:val="3EBA5BC3"/>
    <w:rsid w:val="3F9F7C29"/>
    <w:rsid w:val="3FE25D82"/>
    <w:rsid w:val="405D59F2"/>
    <w:rsid w:val="41C47CF4"/>
    <w:rsid w:val="41E81277"/>
    <w:rsid w:val="420E5348"/>
    <w:rsid w:val="4247603F"/>
    <w:rsid w:val="425F603B"/>
    <w:rsid w:val="4286740D"/>
    <w:rsid w:val="434902B9"/>
    <w:rsid w:val="43A67182"/>
    <w:rsid w:val="44100726"/>
    <w:rsid w:val="44347A9B"/>
    <w:rsid w:val="44CE02A0"/>
    <w:rsid w:val="456D3D97"/>
    <w:rsid w:val="45E87405"/>
    <w:rsid w:val="46474D73"/>
    <w:rsid w:val="465C4787"/>
    <w:rsid w:val="46C17B97"/>
    <w:rsid w:val="46E95045"/>
    <w:rsid w:val="473A498E"/>
    <w:rsid w:val="47552183"/>
    <w:rsid w:val="48211129"/>
    <w:rsid w:val="489B7043"/>
    <w:rsid w:val="48BE5C4B"/>
    <w:rsid w:val="49214E6F"/>
    <w:rsid w:val="49A26661"/>
    <w:rsid w:val="4AE6291D"/>
    <w:rsid w:val="4AEA403C"/>
    <w:rsid w:val="4B8C5809"/>
    <w:rsid w:val="4B933E1A"/>
    <w:rsid w:val="4CCA439B"/>
    <w:rsid w:val="4D432356"/>
    <w:rsid w:val="4E3430C7"/>
    <w:rsid w:val="4EDF53D3"/>
    <w:rsid w:val="4F025EB9"/>
    <w:rsid w:val="4F3C07E6"/>
    <w:rsid w:val="4F852040"/>
    <w:rsid w:val="4FA7278A"/>
    <w:rsid w:val="50011CA3"/>
    <w:rsid w:val="50C040DF"/>
    <w:rsid w:val="51051BD9"/>
    <w:rsid w:val="51442F7B"/>
    <w:rsid w:val="51B74CE3"/>
    <w:rsid w:val="524338B7"/>
    <w:rsid w:val="52A97DDB"/>
    <w:rsid w:val="52EB1E52"/>
    <w:rsid w:val="53036F3E"/>
    <w:rsid w:val="53FB7053"/>
    <w:rsid w:val="550F5041"/>
    <w:rsid w:val="55152B55"/>
    <w:rsid w:val="56154CA2"/>
    <w:rsid w:val="56A00E5A"/>
    <w:rsid w:val="57676F98"/>
    <w:rsid w:val="579905E2"/>
    <w:rsid w:val="590A235B"/>
    <w:rsid w:val="5A931503"/>
    <w:rsid w:val="5A971C98"/>
    <w:rsid w:val="5AA30A71"/>
    <w:rsid w:val="5AC42DA1"/>
    <w:rsid w:val="5AFA5C95"/>
    <w:rsid w:val="5B762465"/>
    <w:rsid w:val="5BBF1A9D"/>
    <w:rsid w:val="5CDE078E"/>
    <w:rsid w:val="5CE8108B"/>
    <w:rsid w:val="5DC655CC"/>
    <w:rsid w:val="5E6B5987"/>
    <w:rsid w:val="5F776EED"/>
    <w:rsid w:val="5FB915C9"/>
    <w:rsid w:val="5FBE2776"/>
    <w:rsid w:val="6040432E"/>
    <w:rsid w:val="605176D9"/>
    <w:rsid w:val="61690122"/>
    <w:rsid w:val="61F95193"/>
    <w:rsid w:val="628F5A13"/>
    <w:rsid w:val="63F828E6"/>
    <w:rsid w:val="64425C09"/>
    <w:rsid w:val="654D6460"/>
    <w:rsid w:val="65E148CE"/>
    <w:rsid w:val="6760797E"/>
    <w:rsid w:val="685F0A40"/>
    <w:rsid w:val="694979EA"/>
    <w:rsid w:val="694F496D"/>
    <w:rsid w:val="69BC4907"/>
    <w:rsid w:val="6AB57C02"/>
    <w:rsid w:val="6AE574EF"/>
    <w:rsid w:val="6AF7022D"/>
    <w:rsid w:val="6B27051F"/>
    <w:rsid w:val="6B753BDA"/>
    <w:rsid w:val="6B770841"/>
    <w:rsid w:val="6BC67FDC"/>
    <w:rsid w:val="6D281A14"/>
    <w:rsid w:val="6E8A0C2B"/>
    <w:rsid w:val="6E9A1846"/>
    <w:rsid w:val="6EF60757"/>
    <w:rsid w:val="6FCC7526"/>
    <w:rsid w:val="70757340"/>
    <w:rsid w:val="70A61265"/>
    <w:rsid w:val="70FA146A"/>
    <w:rsid w:val="710228B1"/>
    <w:rsid w:val="71BE203A"/>
    <w:rsid w:val="73A7009A"/>
    <w:rsid w:val="73B95B2E"/>
    <w:rsid w:val="74130018"/>
    <w:rsid w:val="74D35BFF"/>
    <w:rsid w:val="77CE2BEC"/>
    <w:rsid w:val="78504552"/>
    <w:rsid w:val="78931FA4"/>
    <w:rsid w:val="78CE2872"/>
    <w:rsid w:val="78DB44BD"/>
    <w:rsid w:val="795C2ECE"/>
    <w:rsid w:val="7AC757F1"/>
    <w:rsid w:val="7B207CB9"/>
    <w:rsid w:val="7D700DB4"/>
    <w:rsid w:val="7E9243B8"/>
    <w:rsid w:val="7EA82363"/>
    <w:rsid w:val="7F700A48"/>
    <w:rsid w:val="7F72061C"/>
    <w:rsid w:val="7FC3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4">
    <w:name w:val="Default Paragraph Font"/>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
    <w:next w:val="1"/>
    <w:link w:val="324"/>
    <w:autoRedefine/>
    <w:qFormat/>
    <w:uiPriority w:val="0"/>
  </w:style>
  <w:style w:type="paragraph" w:styleId="13">
    <w:name w:val="Normal Indent"/>
    <w:basedOn w:val="1"/>
    <w:qFormat/>
    <w:uiPriority w:val="0"/>
    <w:pPr>
      <w:ind w:firstLine="420"/>
    </w:pPr>
    <w:rPr>
      <w:szCs w:val="20"/>
    </w:rPr>
  </w:style>
  <w:style w:type="paragraph" w:styleId="14">
    <w:name w:val="caption"/>
    <w:basedOn w:val="1"/>
    <w:next w:val="1"/>
    <w:autoRedefine/>
    <w:qFormat/>
    <w:uiPriority w:val="0"/>
    <w:pPr>
      <w:spacing w:before="152" w:after="160"/>
    </w:pPr>
    <w:rPr>
      <w:rFonts w:ascii="Arial" w:hAnsi="Arial" w:eastAsia="黑体"/>
      <w:szCs w:val="20"/>
    </w:rPr>
  </w:style>
  <w:style w:type="paragraph" w:styleId="15">
    <w:name w:val="annotation text"/>
    <w:basedOn w:val="1"/>
    <w:link w:val="289"/>
    <w:autoRedefine/>
    <w:qFormat/>
    <w:uiPriority w:val="0"/>
    <w:pPr>
      <w:jc w:val="left"/>
    </w:pPr>
  </w:style>
  <w:style w:type="paragraph" w:styleId="16">
    <w:name w:val="Body Text"/>
    <w:basedOn w:val="1"/>
    <w:next w:val="17"/>
    <w:link w:val="284"/>
    <w:autoRedefine/>
    <w:qFormat/>
    <w:uiPriority w:val="0"/>
    <w:pPr>
      <w:spacing w:after="120"/>
    </w:pPr>
  </w:style>
  <w:style w:type="paragraph" w:styleId="17">
    <w:name w:val="List Paragraph"/>
    <w:basedOn w:val="1"/>
    <w:qFormat/>
    <w:uiPriority w:val="34"/>
    <w:pPr>
      <w:ind w:firstLine="420" w:firstLineChars="200"/>
    </w:pPr>
  </w:style>
  <w:style w:type="paragraph" w:styleId="18">
    <w:name w:val="Body Text Indent"/>
    <w:basedOn w:val="1"/>
    <w:link w:val="287"/>
    <w:autoRedefine/>
    <w:qFormat/>
    <w:uiPriority w:val="0"/>
    <w:pPr>
      <w:spacing w:line="360" w:lineRule="exact"/>
      <w:ind w:left="420" w:firstLine="480"/>
    </w:pPr>
    <w:rPr>
      <w:sz w:val="24"/>
      <w:szCs w:val="20"/>
    </w:rPr>
  </w:style>
  <w:style w:type="paragraph" w:styleId="19">
    <w:name w:val="HTML Address"/>
    <w:basedOn w:val="1"/>
    <w:autoRedefine/>
    <w:qFormat/>
    <w:uiPriority w:val="0"/>
    <w:rPr>
      <w:i/>
      <w:iCs/>
    </w:rPr>
  </w:style>
  <w:style w:type="paragraph" w:styleId="20">
    <w:name w:val="toc 5"/>
    <w:basedOn w:val="1"/>
    <w:next w:val="1"/>
    <w:autoRedefine/>
    <w:qFormat/>
    <w:uiPriority w:val="0"/>
  </w:style>
  <w:style w:type="paragraph" w:styleId="21">
    <w:name w:val="toc 3"/>
    <w:basedOn w:val="22"/>
    <w:next w:val="1"/>
    <w:autoRedefine/>
    <w:qFormat/>
    <w:uiPriority w:val="39"/>
  </w:style>
  <w:style w:type="paragraph" w:styleId="22">
    <w:name w:val="toc 2"/>
    <w:basedOn w:val="23"/>
    <w:next w:val="1"/>
    <w:autoRedefine/>
    <w:qFormat/>
    <w:uiPriority w:val="39"/>
  </w:style>
  <w:style w:type="paragraph" w:styleId="23">
    <w:name w:val="toc 1"/>
    <w:autoRedefine/>
    <w:qFormat/>
    <w:uiPriority w:val="39"/>
    <w:pPr>
      <w:jc w:val="both"/>
    </w:pPr>
    <w:rPr>
      <w:rFonts w:ascii="宋体" w:hAnsi="Times New Roman" w:eastAsia="宋体" w:cs="Times New Roman"/>
      <w:sz w:val="21"/>
      <w:lang w:val="en-US" w:eastAsia="zh-CN" w:bidi="ar-SA"/>
    </w:rPr>
  </w:style>
  <w:style w:type="paragraph" w:styleId="24">
    <w:name w:val="Plain Text"/>
    <w:basedOn w:val="1"/>
    <w:link w:val="281"/>
    <w:qFormat/>
    <w:uiPriority w:val="99"/>
    <w:rPr>
      <w:rFonts w:ascii="宋体" w:hAnsi="Courier New"/>
      <w:szCs w:val="21"/>
    </w:rPr>
  </w:style>
  <w:style w:type="paragraph" w:styleId="25">
    <w:name w:val="toc 8"/>
    <w:basedOn w:val="1"/>
    <w:next w:val="1"/>
    <w:link w:val="325"/>
    <w:autoRedefine/>
    <w:qFormat/>
    <w:uiPriority w:val="0"/>
  </w:style>
  <w:style w:type="paragraph" w:styleId="26">
    <w:name w:val="Date"/>
    <w:basedOn w:val="1"/>
    <w:next w:val="1"/>
    <w:link w:val="293"/>
    <w:autoRedefine/>
    <w:qFormat/>
    <w:uiPriority w:val="99"/>
    <w:pPr>
      <w:ind w:left="100" w:leftChars="2500"/>
    </w:pPr>
    <w:rPr>
      <w:sz w:val="24"/>
      <w:szCs w:val="20"/>
    </w:rPr>
  </w:style>
  <w:style w:type="paragraph" w:styleId="27">
    <w:name w:val="Body Text Indent 2"/>
    <w:basedOn w:val="1"/>
    <w:link w:val="292"/>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3"/>
    <w:qFormat/>
    <w:uiPriority w:val="0"/>
    <w:rPr>
      <w:sz w:val="18"/>
      <w:szCs w:val="18"/>
    </w:rPr>
  </w:style>
  <w:style w:type="paragraph" w:styleId="30">
    <w:name w:val="footer"/>
    <w:basedOn w:val="1"/>
    <w:link w:val="286"/>
    <w:qFormat/>
    <w:uiPriority w:val="0"/>
    <w:pPr>
      <w:tabs>
        <w:tab w:val="center" w:pos="4153"/>
        <w:tab w:val="right" w:pos="8306"/>
      </w:tabs>
      <w:snapToGrid w:val="0"/>
      <w:ind w:right="210" w:rightChars="100"/>
      <w:jc w:val="right"/>
    </w:pPr>
    <w:rPr>
      <w:sz w:val="18"/>
      <w:szCs w:val="18"/>
    </w:rPr>
  </w:style>
  <w:style w:type="paragraph" w:styleId="31">
    <w:name w:val="header"/>
    <w:basedOn w:val="1"/>
    <w:link w:val="29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4"/>
    <w:basedOn w:val="21"/>
    <w:next w:val="1"/>
    <w:autoRedefine/>
    <w:qFormat/>
    <w:uiPriority w:val="0"/>
  </w:style>
  <w:style w:type="paragraph" w:styleId="33">
    <w:name w:val="footnote text"/>
    <w:basedOn w:val="1"/>
    <w:link w:val="309"/>
    <w:autoRedefine/>
    <w:qFormat/>
    <w:uiPriority w:val="0"/>
    <w:pPr>
      <w:snapToGrid w:val="0"/>
      <w:jc w:val="left"/>
    </w:pPr>
    <w:rPr>
      <w:sz w:val="18"/>
      <w:szCs w:val="18"/>
    </w:rPr>
  </w:style>
  <w:style w:type="paragraph" w:styleId="34">
    <w:name w:val="Body Text Indent 3"/>
    <w:basedOn w:val="1"/>
    <w:qFormat/>
    <w:uiPriority w:val="0"/>
    <w:pPr>
      <w:widowControl/>
      <w:spacing w:line="360" w:lineRule="auto"/>
      <w:ind w:firstLine="420"/>
    </w:pPr>
    <w:rPr>
      <w:rFonts w:hAnsi="宋体"/>
      <w:sz w:val="18"/>
    </w:rPr>
  </w:style>
  <w:style w:type="paragraph" w:styleId="35">
    <w:name w:val="toc 9"/>
    <w:basedOn w:val="25"/>
    <w:next w:val="1"/>
    <w:qFormat/>
    <w:uiPriority w:val="0"/>
  </w:style>
  <w:style w:type="paragraph" w:styleId="36">
    <w:name w:val="Body Text 2"/>
    <w:basedOn w:val="1"/>
    <w:link w:val="323"/>
    <w:autoRedefine/>
    <w:qFormat/>
    <w:uiPriority w:val="99"/>
    <w:pPr>
      <w:spacing w:after="120" w:line="480" w:lineRule="auto"/>
    </w:pPr>
  </w:style>
  <w:style w:type="paragraph" w:styleId="37">
    <w:name w:val="HTML Preformatted"/>
    <w:basedOn w:val="1"/>
    <w:qFormat/>
    <w:uiPriority w:val="0"/>
    <w:rPr>
      <w:rFonts w:ascii="Courier New" w:hAnsi="Courier New" w:cs="Courier New"/>
      <w:sz w:val="20"/>
      <w:szCs w:val="20"/>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next w:val="1"/>
    <w:link w:val="308"/>
    <w:qFormat/>
    <w:uiPriority w:val="0"/>
    <w:pPr>
      <w:spacing w:before="240" w:after="60"/>
      <w:jc w:val="center"/>
      <w:outlineLvl w:val="0"/>
    </w:pPr>
    <w:rPr>
      <w:rFonts w:ascii="Arial" w:hAnsi="Arial" w:cs="Arial"/>
      <w:b/>
      <w:bCs/>
      <w:sz w:val="32"/>
      <w:szCs w:val="32"/>
    </w:rPr>
  </w:style>
  <w:style w:type="paragraph" w:styleId="40">
    <w:name w:val="annotation subject"/>
    <w:basedOn w:val="15"/>
    <w:next w:val="15"/>
    <w:link w:val="290"/>
    <w:qFormat/>
    <w:uiPriority w:val="0"/>
    <w:rPr>
      <w:b/>
      <w:bCs/>
    </w:rPr>
  </w:style>
  <w:style w:type="paragraph" w:styleId="41">
    <w:name w:val="Body Text First Indent"/>
    <w:basedOn w:val="16"/>
    <w:autoRedefine/>
    <w:qFormat/>
    <w:uiPriority w:val="0"/>
    <w:pPr>
      <w:ind w:firstLine="420"/>
    </w:pPr>
    <w:rPr>
      <w:szCs w:val="20"/>
    </w:rPr>
  </w:style>
  <w:style w:type="table" w:styleId="43">
    <w:name w:val="Table Grid"/>
    <w:basedOn w:val="4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qFormat/>
    <w:uiPriority w:val="0"/>
    <w:rPr>
      <w:rFonts w:ascii="Times New Roman" w:hAnsi="Times New Roman" w:eastAsia="宋体"/>
      <w:sz w:val="18"/>
    </w:rPr>
  </w:style>
  <w:style w:type="character" w:styleId="47">
    <w:name w:val="FollowedHyperlink"/>
    <w:unhideWhenUsed/>
    <w:qFormat/>
    <w:uiPriority w:val="0"/>
    <w:rPr>
      <w:color w:val="800080"/>
      <w:u w:val="single"/>
    </w:rPr>
  </w:style>
  <w:style w:type="character" w:styleId="48">
    <w:name w:val="HTML Definition"/>
    <w:qFormat/>
    <w:uiPriority w:val="0"/>
    <w:rPr>
      <w:i/>
      <w:iCs/>
    </w:rPr>
  </w:style>
  <w:style w:type="character" w:styleId="49">
    <w:name w:val="HTML Typewriter"/>
    <w:qFormat/>
    <w:uiPriority w:val="0"/>
    <w:rPr>
      <w:rFonts w:ascii="Courier New" w:hAnsi="Courier New"/>
      <w:sz w:val="20"/>
      <w:szCs w:val="20"/>
    </w:rPr>
  </w:style>
  <w:style w:type="character" w:styleId="50">
    <w:name w:val="HTML Acronym"/>
    <w:basedOn w:val="44"/>
    <w:qFormat/>
    <w:uiPriority w:val="0"/>
  </w:style>
  <w:style w:type="character" w:styleId="51">
    <w:name w:val="HTML Variable"/>
    <w:qFormat/>
    <w:uiPriority w:val="0"/>
    <w:rPr>
      <w:i/>
      <w:iCs/>
    </w:rPr>
  </w:style>
  <w:style w:type="character" w:styleId="52">
    <w:name w:val="Hyperlink"/>
    <w:basedOn w:val="44"/>
    <w:qFormat/>
    <w:uiPriority w:val="99"/>
    <w:rPr>
      <w:rFonts w:ascii="Times New Roman" w:hAnsi="Times New Roman" w:eastAsia="宋体"/>
      <w:color w:val="auto"/>
      <w:spacing w:val="0"/>
      <w:w w:val="100"/>
      <w:position w:val="0"/>
      <w:sz w:val="21"/>
      <w:u w:val="none"/>
    </w:rPr>
  </w:style>
  <w:style w:type="character" w:styleId="53">
    <w:name w:val="HTML Code"/>
    <w:qFormat/>
    <w:uiPriority w:val="0"/>
    <w:rPr>
      <w:rFonts w:ascii="Courier New" w:hAnsi="Courier New"/>
      <w:sz w:val="20"/>
      <w:szCs w:val="20"/>
    </w:rPr>
  </w:style>
  <w:style w:type="character" w:styleId="54">
    <w:name w:val="annotation reference"/>
    <w:qFormat/>
    <w:uiPriority w:val="0"/>
    <w:rPr>
      <w:sz w:val="21"/>
      <w:szCs w:val="21"/>
    </w:rPr>
  </w:style>
  <w:style w:type="character" w:styleId="55">
    <w:name w:val="HTML Cite"/>
    <w:qFormat/>
    <w:uiPriority w:val="0"/>
    <w:rPr>
      <w:i/>
      <w:iCs/>
    </w:rPr>
  </w:style>
  <w:style w:type="character" w:styleId="56">
    <w:name w:val="footnote reference"/>
    <w:qFormat/>
    <w:uiPriority w:val="0"/>
    <w:rPr>
      <w:vertAlign w:val="superscript"/>
    </w:rPr>
  </w:style>
  <w:style w:type="character" w:styleId="57">
    <w:name w:val="HTML Keyboard"/>
    <w:qFormat/>
    <w:uiPriority w:val="0"/>
    <w:rPr>
      <w:rFonts w:ascii="Courier New" w:hAnsi="Courier New"/>
      <w:sz w:val="20"/>
      <w:szCs w:val="20"/>
    </w:rPr>
  </w:style>
  <w:style w:type="character" w:styleId="58">
    <w:name w:val="HTML Sample"/>
    <w:qFormat/>
    <w:uiPriority w:val="0"/>
    <w:rPr>
      <w:rFonts w:ascii="Courier New" w:hAnsi="Courier New"/>
    </w:rPr>
  </w:style>
  <w:style w:type="paragraph" w:customStyle="1" w:styleId="59">
    <w:name w:val="段"/>
    <w:link w:val="276"/>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60">
    <w:name w:val="二级条标题"/>
    <w:basedOn w:val="61"/>
    <w:next w:val="59"/>
    <w:link w:val="278"/>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1">
    <w:name w:val="一级条标题"/>
    <w:basedOn w:val="62"/>
    <w:next w:val="59"/>
    <w:link w:val="280"/>
    <w:qFormat/>
    <w:uiPriority w:val="0"/>
    <w:pPr>
      <w:numPr>
        <w:ilvl w:val="2"/>
      </w:numPr>
      <w:spacing w:beforeLines="0" w:afterLines="0" w:line="300" w:lineRule="auto"/>
      <w:outlineLvl w:val="2"/>
    </w:pPr>
    <w:rPr>
      <w:color w:val="FF0000"/>
      <w:spacing w:val="-4"/>
      <w:szCs w:val="24"/>
    </w:rPr>
  </w:style>
  <w:style w:type="paragraph" w:customStyle="1" w:styleId="62">
    <w:name w:val="章标题"/>
    <w:next w:val="59"/>
    <w:link w:val="279"/>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4">
    <w:name w:val="封面标准号2"/>
    <w:basedOn w:val="65"/>
    <w:qFormat/>
    <w:uiPriority w:val="0"/>
    <w:pPr>
      <w:adjustRightInd w:val="0"/>
      <w:spacing w:before="357" w:line="280" w:lineRule="exact"/>
    </w:pPr>
  </w:style>
  <w:style w:type="paragraph" w:customStyle="1" w:styleId="6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6">
    <w:name w:val="附录标识"/>
    <w:basedOn w:val="67"/>
    <w:link w:val="301"/>
    <w:qFormat/>
    <w:uiPriority w:val="0"/>
    <w:pPr>
      <w:numPr>
        <w:ilvl w:val="0"/>
        <w:numId w:val="2"/>
      </w:numPr>
      <w:tabs>
        <w:tab w:val="left" w:pos="6405"/>
      </w:tabs>
      <w:spacing w:after="200"/>
    </w:pPr>
    <w:rPr>
      <w:sz w:val="21"/>
    </w:rPr>
  </w:style>
  <w:style w:type="paragraph" w:customStyle="1" w:styleId="6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9">
    <w:name w:val="发布部门"/>
    <w:next w:val="59"/>
    <w:qFormat/>
    <w:uiPriority w:val="0"/>
    <w:pPr>
      <w:jc w:val="center"/>
    </w:pPr>
    <w:rPr>
      <w:rFonts w:ascii="宋体" w:hAnsi="Times New Roman" w:eastAsia="宋体" w:cs="Times New Roman"/>
      <w:b/>
      <w:spacing w:val="20"/>
      <w:w w:val="135"/>
      <w:sz w:val="36"/>
      <w:lang w:val="en-US" w:eastAsia="zh-CN" w:bidi="ar-SA"/>
    </w:rPr>
  </w:style>
  <w:style w:type="paragraph" w:customStyle="1" w:styleId="7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1">
    <w:name w:val="四级条标题"/>
    <w:basedOn w:val="72"/>
    <w:next w:val="59"/>
    <w:qFormat/>
    <w:uiPriority w:val="0"/>
    <w:pPr>
      <w:numPr>
        <w:ilvl w:val="5"/>
      </w:numPr>
      <w:outlineLvl w:val="5"/>
    </w:pPr>
  </w:style>
  <w:style w:type="paragraph" w:customStyle="1" w:styleId="72">
    <w:name w:val="三级条标题"/>
    <w:basedOn w:val="60"/>
    <w:next w:val="59"/>
    <w:link w:val="282"/>
    <w:qFormat/>
    <w:uiPriority w:val="0"/>
    <w:pPr>
      <w:numPr>
        <w:ilvl w:val="4"/>
      </w:numPr>
      <w:outlineLvl w:val="4"/>
    </w:pPr>
  </w:style>
  <w:style w:type="paragraph" w:customStyle="1" w:styleId="73">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5">
    <w:name w:val="参考文献、索引标题"/>
    <w:basedOn w:val="67"/>
    <w:next w:val="1"/>
    <w:qFormat/>
    <w:uiPriority w:val="0"/>
    <w:pPr>
      <w:numPr>
        <w:numId w:val="0"/>
      </w:numPr>
      <w:spacing w:after="200"/>
    </w:pPr>
    <w:rPr>
      <w:sz w:val="21"/>
    </w:rPr>
  </w:style>
  <w:style w:type="paragraph" w:customStyle="1" w:styleId="7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实施日期"/>
    <w:basedOn w:val="78"/>
    <w:qFormat/>
    <w:uiPriority w:val="0"/>
    <w:pPr>
      <w:jc w:val="right"/>
    </w:pPr>
  </w:style>
  <w:style w:type="paragraph" w:customStyle="1" w:styleId="78">
    <w:name w:val="发布日期"/>
    <w:qFormat/>
    <w:uiPriority w:val="0"/>
    <w:rPr>
      <w:rFonts w:ascii="Times New Roman" w:hAnsi="Times New Roman" w:eastAsia="黑体" w:cs="Times New Roman"/>
      <w:sz w:val="28"/>
      <w:lang w:val="en-US" w:eastAsia="zh-CN" w:bidi="ar-SA"/>
    </w:rPr>
  </w:style>
  <w:style w:type="paragraph" w:customStyle="1" w:styleId="79">
    <w:name w:val="条文脚注"/>
    <w:basedOn w:val="33"/>
    <w:qFormat/>
    <w:uiPriority w:val="0"/>
    <w:pPr>
      <w:ind w:left="780" w:leftChars="200" w:hanging="360" w:hangingChars="200"/>
      <w:jc w:val="both"/>
    </w:pPr>
    <w:rPr>
      <w:rFonts w:ascii="宋体"/>
    </w:rPr>
  </w:style>
  <w:style w:type="paragraph" w:customStyle="1" w:styleId="80">
    <w:name w:val="附录章标题"/>
    <w:next w:val="59"/>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1">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3">
    <w:name w:val="图表脚注"/>
    <w:next w:val="59"/>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4">
    <w:name w:val="五级无标题条"/>
    <w:basedOn w:val="1"/>
    <w:qFormat/>
    <w:uiPriority w:val="0"/>
    <w:pPr>
      <w:numPr>
        <w:ilvl w:val="6"/>
        <w:numId w:val="5"/>
      </w:numPr>
    </w:pPr>
  </w:style>
  <w:style w:type="paragraph" w:customStyle="1" w:styleId="85">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6">
    <w:name w:val="Char"/>
    <w:basedOn w:val="1"/>
    <w:qFormat/>
    <w:uiPriority w:val="0"/>
    <w:pPr>
      <w:widowControl/>
      <w:spacing w:after="160" w:line="240" w:lineRule="exact"/>
      <w:jc w:val="left"/>
    </w:pPr>
  </w:style>
  <w:style w:type="paragraph" w:customStyle="1" w:styleId="87">
    <w:name w:val="无标题条"/>
    <w:next w:val="59"/>
    <w:qFormat/>
    <w:uiPriority w:val="0"/>
    <w:pPr>
      <w:jc w:val="both"/>
    </w:pPr>
    <w:rPr>
      <w:rFonts w:ascii="Times New Roman" w:hAnsi="Times New Roman" w:eastAsia="宋体" w:cs="Times New Roman"/>
      <w:sz w:val="21"/>
      <w:lang w:val="en-US" w:eastAsia="zh-CN" w:bidi="ar-SA"/>
    </w:rPr>
  </w:style>
  <w:style w:type="paragraph" w:customStyle="1" w:styleId="88">
    <w:name w:val="五级条标题"/>
    <w:basedOn w:val="71"/>
    <w:next w:val="59"/>
    <w:qFormat/>
    <w:uiPriority w:val="0"/>
    <w:pPr>
      <w:numPr>
        <w:ilvl w:val="6"/>
      </w:numPr>
      <w:outlineLvl w:val="6"/>
    </w:pPr>
  </w:style>
  <w:style w:type="paragraph" w:customStyle="1" w:styleId="89">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9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1">
    <w:name w:val="正文图标题"/>
    <w:next w:val="59"/>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2">
    <w:name w:val="注："/>
    <w:next w:val="59"/>
    <w:link w:val="285"/>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4">
    <w:name w:val="标准书眉_偶数页"/>
    <w:basedOn w:val="90"/>
    <w:next w:val="1"/>
    <w:qFormat/>
    <w:uiPriority w:val="0"/>
    <w:pPr>
      <w:jc w:val="left"/>
    </w:pPr>
  </w:style>
  <w:style w:type="paragraph" w:customStyle="1" w:styleId="95">
    <w:name w:val="二级无标题条"/>
    <w:basedOn w:val="1"/>
    <w:qFormat/>
    <w:uiPriority w:val="0"/>
    <w:pPr>
      <w:numPr>
        <w:ilvl w:val="3"/>
        <w:numId w:val="5"/>
      </w:numPr>
    </w:pPr>
  </w:style>
  <w:style w:type="paragraph" w:customStyle="1" w:styleId="96">
    <w:name w:val="附录表标题"/>
    <w:next w:val="59"/>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五级条标题"/>
    <w:basedOn w:val="101"/>
    <w:next w:val="59"/>
    <w:qFormat/>
    <w:uiPriority w:val="0"/>
    <w:pPr>
      <w:numPr>
        <w:ilvl w:val="6"/>
      </w:numPr>
      <w:outlineLvl w:val="6"/>
    </w:pPr>
  </w:style>
  <w:style w:type="paragraph" w:customStyle="1" w:styleId="101">
    <w:name w:val="附录四级条标题"/>
    <w:basedOn w:val="102"/>
    <w:next w:val="59"/>
    <w:qFormat/>
    <w:uiPriority w:val="0"/>
    <w:pPr>
      <w:numPr>
        <w:ilvl w:val="5"/>
      </w:numPr>
      <w:outlineLvl w:val="5"/>
    </w:pPr>
  </w:style>
  <w:style w:type="paragraph" w:customStyle="1" w:styleId="102">
    <w:name w:val="附录三级条标题"/>
    <w:basedOn w:val="103"/>
    <w:next w:val="59"/>
    <w:qFormat/>
    <w:uiPriority w:val="0"/>
    <w:pPr>
      <w:numPr>
        <w:ilvl w:val="4"/>
      </w:numPr>
      <w:outlineLvl w:val="4"/>
    </w:pPr>
  </w:style>
  <w:style w:type="paragraph" w:customStyle="1" w:styleId="103">
    <w:name w:val="附录二级条标题"/>
    <w:basedOn w:val="104"/>
    <w:next w:val="59"/>
    <w:qFormat/>
    <w:uiPriority w:val="0"/>
    <w:pPr>
      <w:numPr>
        <w:ilvl w:val="3"/>
      </w:numPr>
      <w:outlineLvl w:val="3"/>
    </w:pPr>
  </w:style>
  <w:style w:type="paragraph" w:customStyle="1" w:styleId="104">
    <w:name w:val="附录一级条标题"/>
    <w:basedOn w:val="80"/>
    <w:next w:val="59"/>
    <w:qFormat/>
    <w:uiPriority w:val="0"/>
    <w:pPr>
      <w:numPr>
        <w:ilvl w:val="2"/>
      </w:numPr>
      <w:autoSpaceDN w:val="0"/>
      <w:spacing w:beforeLines="0" w:afterLines="0"/>
      <w:outlineLvl w:val="2"/>
    </w:pPr>
  </w:style>
  <w:style w:type="paragraph" w:customStyle="1" w:styleId="10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6">
    <w:name w:val="附录图标题"/>
    <w:next w:val="59"/>
    <w:qFormat/>
    <w:uiPriority w:val="0"/>
    <w:pPr>
      <w:jc w:val="center"/>
    </w:pPr>
    <w:rPr>
      <w:rFonts w:ascii="黑体" w:hAnsi="Times New Roman" w:eastAsia="黑体" w:cs="Times New Roman"/>
      <w:sz w:val="21"/>
      <w:lang w:val="en-US" w:eastAsia="zh-CN" w:bidi="ar-SA"/>
    </w:rPr>
  </w:style>
  <w:style w:type="paragraph" w:customStyle="1" w:styleId="10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8">
    <w:name w:val="正文表标题"/>
    <w:next w:val="59"/>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9">
    <w:name w:val="示例"/>
    <w:next w:val="59"/>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10">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1">
    <w:name w:val="四级无标题条"/>
    <w:basedOn w:val="1"/>
    <w:qFormat/>
    <w:uiPriority w:val="0"/>
    <w:pPr>
      <w:numPr>
        <w:ilvl w:val="5"/>
        <w:numId w:val="5"/>
      </w:numPr>
    </w:pPr>
  </w:style>
  <w:style w:type="paragraph" w:customStyle="1" w:styleId="112">
    <w:name w:val="目次、标准名称标题"/>
    <w:basedOn w:val="67"/>
    <w:next w:val="59"/>
    <w:qFormat/>
    <w:uiPriority w:val="0"/>
    <w:pPr>
      <w:numPr>
        <w:numId w:val="0"/>
      </w:numPr>
      <w:spacing w:line="460" w:lineRule="exact"/>
    </w:pPr>
  </w:style>
  <w:style w:type="paragraph" w:customStyle="1" w:styleId="113">
    <w:name w:val="标准书眉一"/>
    <w:qFormat/>
    <w:uiPriority w:val="0"/>
    <w:pPr>
      <w:jc w:val="both"/>
    </w:pPr>
    <w:rPr>
      <w:rFonts w:ascii="Times New Roman" w:hAnsi="Times New Roman" w:eastAsia="宋体" w:cs="Times New Roman"/>
      <w:lang w:val="en-US" w:eastAsia="zh-CN" w:bidi="ar-SA"/>
    </w:rPr>
  </w:style>
  <w:style w:type="paragraph" w:customStyle="1" w:styleId="114">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5">
    <w:name w:val="其他发布部门"/>
    <w:basedOn w:val="69"/>
    <w:qFormat/>
    <w:uiPriority w:val="0"/>
    <w:pPr>
      <w:spacing w:line="0" w:lineRule="atLeast"/>
    </w:pPr>
    <w:rPr>
      <w:rFonts w:ascii="黑体" w:eastAsia="黑体"/>
      <w:b w:val="0"/>
    </w:rPr>
  </w:style>
  <w:style w:type="paragraph" w:customStyle="1" w:styleId="116">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7">
    <w:name w:val="三级无标题条"/>
    <w:basedOn w:val="1"/>
    <w:qFormat/>
    <w:uiPriority w:val="0"/>
    <w:pPr>
      <w:numPr>
        <w:ilvl w:val="4"/>
        <w:numId w:val="5"/>
      </w:numPr>
    </w:pPr>
  </w:style>
  <w:style w:type="paragraph" w:customStyle="1" w:styleId="11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9">
    <w:name w:val="一级无标题条"/>
    <w:basedOn w:val="1"/>
    <w:qFormat/>
    <w:uiPriority w:val="0"/>
    <w:pPr>
      <w:numPr>
        <w:ilvl w:val="2"/>
        <w:numId w:val="5"/>
      </w:numPr>
    </w:pPr>
  </w:style>
  <w:style w:type="paragraph" w:customStyle="1" w:styleId="120">
    <w:name w:val="封面标准代替信息"/>
    <w:basedOn w:val="64"/>
    <w:qFormat/>
    <w:uiPriority w:val="0"/>
    <w:pPr>
      <w:spacing w:before="57"/>
    </w:pPr>
    <w:rPr>
      <w:rFonts w:ascii="宋体"/>
      <w:sz w:val="21"/>
    </w:rPr>
  </w:style>
  <w:style w:type="paragraph" w:customStyle="1" w:styleId="121">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2">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font6"/>
    <w:basedOn w:val="1"/>
    <w:qFormat/>
    <w:uiPriority w:val="0"/>
    <w:pPr>
      <w:widowControl/>
      <w:spacing w:before="100" w:beforeAutospacing="1" w:after="100" w:afterAutospacing="1"/>
      <w:jc w:val="left"/>
    </w:pPr>
    <w:rPr>
      <w:b/>
      <w:bCs/>
      <w:kern w:val="0"/>
      <w:sz w:val="20"/>
      <w:szCs w:val="20"/>
    </w:rPr>
  </w:style>
  <w:style w:type="paragraph" w:customStyle="1" w:styleId="125">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9">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30">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5">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5">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7">
    <w:name w:val="c封面标准名称"/>
    <w:basedOn w:val="1"/>
    <w:qFormat/>
    <w:uiPriority w:val="0"/>
    <w:pPr>
      <w:adjustRightInd w:val="0"/>
      <w:jc w:val="center"/>
    </w:pPr>
    <w:rPr>
      <w:rFonts w:eastAsia="黑体"/>
      <w:kern w:val="0"/>
      <w:sz w:val="52"/>
      <w:szCs w:val="20"/>
    </w:rPr>
  </w:style>
  <w:style w:type="paragraph" w:customStyle="1" w:styleId="148">
    <w:name w:val="样式2"/>
    <w:basedOn w:val="72"/>
    <w:qFormat/>
    <w:uiPriority w:val="0"/>
    <w:pPr>
      <w:numPr>
        <w:numId w:val="0"/>
      </w:numPr>
      <w:spacing w:line="240" w:lineRule="auto"/>
      <w:ind w:left="454"/>
    </w:pPr>
    <w:rPr>
      <w:color w:val="auto"/>
      <w:spacing w:val="0"/>
      <w:szCs w:val="20"/>
    </w:rPr>
  </w:style>
  <w:style w:type="paragraph" w:customStyle="1" w:styleId="149">
    <w:name w:val="列出段落1"/>
    <w:basedOn w:val="1"/>
    <w:qFormat/>
    <w:uiPriority w:val="34"/>
    <w:pPr>
      <w:ind w:firstLine="420" w:firstLineChars="200"/>
    </w:pPr>
    <w:rPr>
      <w:rFonts w:ascii="Calibri" w:hAnsi="Calibri"/>
      <w:szCs w:val="22"/>
    </w:rPr>
  </w:style>
  <w:style w:type="paragraph" w:customStyle="1" w:styleId="150">
    <w:name w:val="图表脚注说明"/>
    <w:basedOn w:val="1"/>
    <w:qFormat/>
    <w:uiPriority w:val="0"/>
    <w:rPr>
      <w:rFonts w:ascii="宋体"/>
      <w:sz w:val="18"/>
      <w:szCs w:val="18"/>
    </w:rPr>
  </w:style>
  <w:style w:type="paragraph" w:customStyle="1" w:styleId="151">
    <w:name w:val="Char11"/>
    <w:basedOn w:val="1"/>
    <w:qFormat/>
    <w:uiPriority w:val="0"/>
    <w:pPr>
      <w:widowControl/>
      <w:spacing w:after="160" w:line="240" w:lineRule="exact"/>
      <w:jc w:val="left"/>
    </w:pPr>
  </w:style>
  <w:style w:type="paragraph" w:customStyle="1" w:styleId="152">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3">
    <w:name w:val="列出段落11"/>
    <w:basedOn w:val="1"/>
    <w:qFormat/>
    <w:uiPriority w:val="34"/>
    <w:pPr>
      <w:ind w:firstLine="420" w:firstLineChars="200"/>
    </w:pPr>
    <w:rPr>
      <w:sz w:val="24"/>
    </w:rPr>
  </w:style>
  <w:style w:type="paragraph" w:customStyle="1" w:styleId="154">
    <w:name w:val="Char1 Char Char Char"/>
    <w:basedOn w:val="1"/>
    <w:qFormat/>
    <w:uiPriority w:val="0"/>
    <w:rPr>
      <w:szCs w:val="20"/>
    </w:rPr>
  </w:style>
  <w:style w:type="paragraph" w:customStyle="1" w:styleId="155">
    <w:name w:val="Char1"/>
    <w:basedOn w:val="1"/>
    <w:qFormat/>
    <w:uiPriority w:val="0"/>
    <w:pPr>
      <w:widowControl/>
      <w:spacing w:after="160" w:line="240" w:lineRule="exact"/>
      <w:jc w:val="left"/>
    </w:pPr>
  </w:style>
  <w:style w:type="paragraph" w:customStyle="1" w:styleId="156">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7">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9">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6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1">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2">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3">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9">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0">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1">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2">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3">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4">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5">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7">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8">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0">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5">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7">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8">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9">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0">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1">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2">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3">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4">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5">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6">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8">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9">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1">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2">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3">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4">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5">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6">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7">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8">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9">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0">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1">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2">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3">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4">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5">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6">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7">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8">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9">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1">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2">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3">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4">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5">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6">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8">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9">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30">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1">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2">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3">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4">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5">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7">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8">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9">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0">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1">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2">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3">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4">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5">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6">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7">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8">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9">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0">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1">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2">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3">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4">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5">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6">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9">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60">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1">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3">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4">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6">
    <w:name w:val="Char2"/>
    <w:basedOn w:val="1"/>
    <w:qFormat/>
    <w:uiPriority w:val="0"/>
    <w:pPr>
      <w:widowControl/>
      <w:spacing w:after="160" w:line="240" w:lineRule="exact"/>
      <w:jc w:val="left"/>
    </w:pPr>
  </w:style>
  <w:style w:type="paragraph" w:customStyle="1" w:styleId="267">
    <w:name w:val="正文1"/>
    <w:qFormat/>
    <w:uiPriority w:val="0"/>
    <w:pPr>
      <w:jc w:val="both"/>
    </w:pPr>
    <w:rPr>
      <w:rFonts w:ascii="Calibri" w:hAnsi="Calibri" w:eastAsia="宋体" w:cs="Calibri"/>
      <w:kern w:val="2"/>
      <w:sz w:val="21"/>
      <w:szCs w:val="21"/>
      <w:lang w:val="en-US" w:eastAsia="zh-CN" w:bidi="ar-SA"/>
    </w:rPr>
  </w:style>
  <w:style w:type="paragraph" w:customStyle="1" w:styleId="268">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9">
    <w:name w:val="p0"/>
    <w:basedOn w:val="1"/>
    <w:autoRedefine/>
    <w:qFormat/>
    <w:uiPriority w:val="0"/>
    <w:pPr>
      <w:widowControl/>
      <w:jc w:val="left"/>
    </w:pPr>
    <w:rPr>
      <w:kern w:val="0"/>
      <w:szCs w:val="21"/>
    </w:rPr>
  </w:style>
  <w:style w:type="paragraph" w:customStyle="1" w:styleId="270">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1">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4">
    <w:name w:val="发布"/>
    <w:qFormat/>
    <w:uiPriority w:val="0"/>
    <w:rPr>
      <w:rFonts w:ascii="黑体" w:eastAsia="黑体"/>
      <w:spacing w:val="22"/>
      <w:w w:val="100"/>
      <w:position w:val="3"/>
      <w:sz w:val="28"/>
    </w:rPr>
  </w:style>
  <w:style w:type="character" w:customStyle="1" w:styleId="275">
    <w:name w:val="个人答复风格"/>
    <w:qFormat/>
    <w:uiPriority w:val="0"/>
    <w:rPr>
      <w:rFonts w:ascii="Arial" w:hAnsi="Arial" w:eastAsia="宋体" w:cs="Arial"/>
      <w:color w:val="auto"/>
      <w:sz w:val="20"/>
    </w:rPr>
  </w:style>
  <w:style w:type="character" w:customStyle="1" w:styleId="276">
    <w:name w:val="段 Char"/>
    <w:link w:val="59"/>
    <w:qFormat/>
    <w:uiPriority w:val="0"/>
    <w:rPr>
      <w:rFonts w:ascii="宋体" w:hAnsi="宋体" w:eastAsia="宋体"/>
      <w:sz w:val="21"/>
      <w:lang w:val="en-US" w:eastAsia="zh-CN" w:bidi="ar-SA"/>
    </w:rPr>
  </w:style>
  <w:style w:type="character" w:customStyle="1" w:styleId="277">
    <w:name w:val="个人撰写风格"/>
    <w:qFormat/>
    <w:uiPriority w:val="0"/>
    <w:rPr>
      <w:rFonts w:ascii="Arial" w:hAnsi="Arial" w:eastAsia="宋体" w:cs="Arial"/>
      <w:color w:val="auto"/>
      <w:sz w:val="20"/>
    </w:rPr>
  </w:style>
  <w:style w:type="character" w:customStyle="1" w:styleId="278">
    <w:name w:val="二级条标题 Char"/>
    <w:link w:val="60"/>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9">
    <w:name w:val="章标题 Char"/>
    <w:link w:val="62"/>
    <w:qFormat/>
    <w:uiPriority w:val="0"/>
    <w:rPr>
      <w:rFonts w:ascii="黑体" w:hAnsi="Times New Roman" w:eastAsia="黑体" w:cs="Times New Roman"/>
      <w:sz w:val="21"/>
    </w:rPr>
  </w:style>
  <w:style w:type="character" w:customStyle="1" w:styleId="280">
    <w:name w:val="一级条标题 Char"/>
    <w:link w:val="61"/>
    <w:qFormat/>
    <w:uiPriority w:val="0"/>
    <w:rPr>
      <w:rFonts w:ascii="黑体" w:hAnsi="Times New Roman" w:eastAsia="黑体" w:cs="Times New Roman"/>
      <w:color w:val="FF0000"/>
      <w:spacing w:val="-4"/>
      <w:sz w:val="21"/>
      <w:szCs w:val="24"/>
    </w:rPr>
  </w:style>
  <w:style w:type="character" w:customStyle="1" w:styleId="281">
    <w:name w:val="纯文本 Char"/>
    <w:link w:val="24"/>
    <w:qFormat/>
    <w:uiPriority w:val="99"/>
    <w:rPr>
      <w:rFonts w:ascii="宋体" w:hAnsi="Courier New" w:cs="Courier New"/>
      <w:kern w:val="2"/>
      <w:sz w:val="21"/>
      <w:szCs w:val="21"/>
    </w:rPr>
  </w:style>
  <w:style w:type="character" w:customStyle="1" w:styleId="282">
    <w:name w:val="三级条标题 Char"/>
    <w:link w:val="72"/>
    <w:qFormat/>
    <w:uiPriority w:val="0"/>
    <w:rPr>
      <w:rFonts w:ascii="黑体" w:eastAsia="黑体"/>
      <w:color w:val="FF0000"/>
      <w:spacing w:val="-4"/>
      <w:sz w:val="21"/>
      <w:szCs w:val="24"/>
    </w:rPr>
  </w:style>
  <w:style w:type="character" w:customStyle="1" w:styleId="283">
    <w:name w:val="批注框文本 Char"/>
    <w:link w:val="29"/>
    <w:qFormat/>
    <w:uiPriority w:val="0"/>
    <w:rPr>
      <w:kern w:val="2"/>
      <w:sz w:val="18"/>
      <w:szCs w:val="18"/>
    </w:rPr>
  </w:style>
  <w:style w:type="character" w:customStyle="1" w:styleId="284">
    <w:name w:val="正文文本 Char"/>
    <w:link w:val="16"/>
    <w:qFormat/>
    <w:uiPriority w:val="0"/>
    <w:rPr>
      <w:kern w:val="2"/>
      <w:sz w:val="21"/>
      <w:szCs w:val="24"/>
    </w:rPr>
  </w:style>
  <w:style w:type="character" w:customStyle="1" w:styleId="285">
    <w:name w:val="注： Char"/>
    <w:link w:val="92"/>
    <w:qFormat/>
    <w:uiPriority w:val="0"/>
    <w:rPr>
      <w:rFonts w:ascii="宋体"/>
      <w:sz w:val="18"/>
    </w:rPr>
  </w:style>
  <w:style w:type="character" w:customStyle="1" w:styleId="286">
    <w:name w:val="页脚 Char"/>
    <w:link w:val="30"/>
    <w:qFormat/>
    <w:uiPriority w:val="99"/>
    <w:rPr>
      <w:kern w:val="2"/>
      <w:sz w:val="18"/>
      <w:szCs w:val="18"/>
    </w:rPr>
  </w:style>
  <w:style w:type="character" w:customStyle="1" w:styleId="287">
    <w:name w:val="正文文本缩进 Char"/>
    <w:link w:val="18"/>
    <w:qFormat/>
    <w:uiPriority w:val="0"/>
    <w:rPr>
      <w:kern w:val="2"/>
      <w:sz w:val="24"/>
    </w:rPr>
  </w:style>
  <w:style w:type="character" w:customStyle="1" w:styleId="288">
    <w:name w:val="表中文字"/>
    <w:qFormat/>
    <w:uiPriority w:val="0"/>
    <w:rPr>
      <w:rFonts w:ascii="宋体" w:eastAsia="宋体"/>
      <w:sz w:val="18"/>
    </w:rPr>
  </w:style>
  <w:style w:type="character" w:customStyle="1" w:styleId="289">
    <w:name w:val="批注文字 Char"/>
    <w:link w:val="15"/>
    <w:qFormat/>
    <w:uiPriority w:val="0"/>
    <w:rPr>
      <w:kern w:val="2"/>
      <w:sz w:val="21"/>
      <w:szCs w:val="24"/>
    </w:rPr>
  </w:style>
  <w:style w:type="character" w:customStyle="1" w:styleId="290">
    <w:name w:val="批注主题 Char"/>
    <w:link w:val="40"/>
    <w:qFormat/>
    <w:uiPriority w:val="0"/>
    <w:rPr>
      <w:b/>
      <w:bCs/>
      <w:kern w:val="2"/>
      <w:sz w:val="21"/>
      <w:szCs w:val="24"/>
    </w:rPr>
  </w:style>
  <w:style w:type="character" w:customStyle="1" w:styleId="291">
    <w:name w:val="页眉 Char"/>
    <w:link w:val="31"/>
    <w:qFormat/>
    <w:uiPriority w:val="99"/>
    <w:rPr>
      <w:kern w:val="2"/>
      <w:sz w:val="18"/>
      <w:szCs w:val="18"/>
    </w:rPr>
  </w:style>
  <w:style w:type="character" w:customStyle="1" w:styleId="292">
    <w:name w:val="正文文本缩进 2 Char"/>
    <w:link w:val="27"/>
    <w:qFormat/>
    <w:uiPriority w:val="0"/>
    <w:rPr>
      <w:kern w:val="2"/>
      <w:sz w:val="21"/>
      <w:szCs w:val="24"/>
    </w:rPr>
  </w:style>
  <w:style w:type="character" w:customStyle="1" w:styleId="293">
    <w:name w:val="日期 Char"/>
    <w:link w:val="26"/>
    <w:qFormat/>
    <w:uiPriority w:val="99"/>
    <w:rPr>
      <w:kern w:val="2"/>
      <w:sz w:val="24"/>
    </w:rPr>
  </w:style>
  <w:style w:type="character" w:customStyle="1" w:styleId="294">
    <w:name w:val="访问过的超链接1"/>
    <w:qFormat/>
    <w:uiPriority w:val="99"/>
    <w:rPr>
      <w:color w:val="800080"/>
      <w:u w:val="single"/>
    </w:rPr>
  </w:style>
  <w:style w:type="character" w:customStyle="1" w:styleId="295">
    <w:name w:val="段 Char Char Char Char"/>
    <w:qFormat/>
    <w:uiPriority w:val="0"/>
    <w:rPr>
      <w:rFonts w:ascii="宋体"/>
      <w:sz w:val="21"/>
      <w:lang w:val="en-US" w:eastAsia="zh-CN" w:bidi="ar-SA"/>
    </w:rPr>
  </w:style>
  <w:style w:type="character" w:customStyle="1" w:styleId="296">
    <w:name w:val="章标题 Char Char"/>
    <w:qFormat/>
    <w:uiPriority w:val="0"/>
    <w:rPr>
      <w:rFonts w:ascii="黑体" w:eastAsia="黑体"/>
      <w:sz w:val="21"/>
      <w:lang w:val="en-US" w:eastAsia="zh-CN" w:bidi="ar-SA"/>
    </w:rPr>
  </w:style>
  <w:style w:type="character" w:customStyle="1" w:styleId="297">
    <w:name w:val="正文文本缩进 Char1"/>
    <w:qFormat/>
    <w:uiPriority w:val="0"/>
    <w:rPr>
      <w:kern w:val="2"/>
      <w:sz w:val="21"/>
      <w:szCs w:val="24"/>
    </w:rPr>
  </w:style>
  <w:style w:type="character" w:customStyle="1" w:styleId="298">
    <w:name w:val="font21"/>
    <w:qFormat/>
    <w:uiPriority w:val="0"/>
    <w:rPr>
      <w:rFonts w:hint="eastAsia" w:ascii="宋体" w:hAnsi="宋体" w:eastAsia="宋体" w:cs="宋体"/>
      <w:b/>
      <w:color w:val="FF0000"/>
      <w:sz w:val="21"/>
      <w:szCs w:val="21"/>
      <w:u w:val="none"/>
    </w:rPr>
  </w:style>
  <w:style w:type="character" w:customStyle="1" w:styleId="299">
    <w:name w:val="font41"/>
    <w:qFormat/>
    <w:uiPriority w:val="0"/>
    <w:rPr>
      <w:rFonts w:hint="eastAsia" w:ascii="宋体" w:hAnsi="宋体" w:eastAsia="宋体" w:cs="宋体"/>
      <w:b/>
      <w:color w:val="FF0000"/>
      <w:sz w:val="21"/>
      <w:szCs w:val="21"/>
      <w:u w:val="none"/>
    </w:rPr>
  </w:style>
  <w:style w:type="character" w:customStyle="1" w:styleId="300">
    <w:name w:val="font01"/>
    <w:qFormat/>
    <w:uiPriority w:val="0"/>
    <w:rPr>
      <w:rFonts w:hint="eastAsia" w:ascii="宋体" w:hAnsi="宋体" w:eastAsia="宋体"/>
      <w:color w:val="000000"/>
      <w:sz w:val="24"/>
      <w:szCs w:val="24"/>
      <w:u w:val="none"/>
    </w:rPr>
  </w:style>
  <w:style w:type="character" w:customStyle="1" w:styleId="301">
    <w:name w:val="附录标识 Char"/>
    <w:link w:val="66"/>
    <w:qFormat/>
    <w:uiPriority w:val="0"/>
    <w:rPr>
      <w:sz w:val="21"/>
    </w:rPr>
  </w:style>
  <w:style w:type="character" w:customStyle="1" w:styleId="302">
    <w:name w:val="font31"/>
    <w:qFormat/>
    <w:uiPriority w:val="0"/>
    <w:rPr>
      <w:rFonts w:hint="eastAsia" w:ascii="宋体" w:hAnsi="宋体" w:eastAsia="宋体" w:cs="宋体"/>
      <w:color w:val="000000"/>
      <w:sz w:val="22"/>
      <w:szCs w:val="22"/>
      <w:u w:val="none"/>
    </w:r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4"/>
    <w:autoRedefine/>
    <w:qFormat/>
    <w:uiPriority w:val="0"/>
    <w:rPr>
      <w:rFonts w:hint="eastAsia" w:ascii="宋体" w:hAnsi="宋体" w:eastAsia="宋体"/>
      <w:color w:val="000000"/>
      <w:sz w:val="24"/>
      <w:szCs w:val="24"/>
    </w:rPr>
  </w:style>
  <w:style w:type="character" w:customStyle="1" w:styleId="305">
    <w:name w:val="标题 1 Char"/>
    <w:basedOn w:val="44"/>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4"/>
    <w:link w:val="3"/>
    <w:autoRedefine/>
    <w:qFormat/>
    <w:uiPriority w:val="0"/>
    <w:rPr>
      <w:rFonts w:ascii="Arial" w:hAnsi="Arial" w:eastAsia="黑体" w:cs="Times New Roman"/>
      <w:b/>
      <w:bCs/>
      <w:kern w:val="2"/>
      <w:sz w:val="24"/>
      <w:szCs w:val="32"/>
    </w:rPr>
  </w:style>
  <w:style w:type="character" w:customStyle="1" w:styleId="307">
    <w:name w:val="标题 3 Char"/>
    <w:basedOn w:val="44"/>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9"/>
    <w:autoRedefine/>
    <w:qFormat/>
    <w:uiPriority w:val="0"/>
    <w:rPr>
      <w:rFonts w:ascii="Arial" w:hAnsi="Arial" w:eastAsia="宋体" w:cs="Arial"/>
      <w:b/>
      <w:bCs/>
      <w:kern w:val="2"/>
      <w:sz w:val="32"/>
      <w:szCs w:val="32"/>
    </w:rPr>
  </w:style>
  <w:style w:type="character" w:customStyle="1" w:styleId="309">
    <w:name w:val="脚注文本 Char"/>
    <w:link w:val="33"/>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4"/>
    <w:autoRedefine/>
    <w:semiHidden/>
    <w:qFormat/>
    <w:uiPriority w:val="99"/>
    <w:rPr>
      <w:rFonts w:ascii="Calibri" w:hAnsi="Calibri" w:eastAsia="宋体" w:cs="Times New Roman"/>
      <w:sz w:val="18"/>
      <w:szCs w:val="18"/>
    </w:rPr>
  </w:style>
  <w:style w:type="character" w:customStyle="1" w:styleId="312">
    <w:name w:val="脚注文本 Char1"/>
    <w:basedOn w:val="44"/>
    <w:autoRedefine/>
    <w:semiHidden/>
    <w:qFormat/>
    <w:uiPriority w:val="99"/>
    <w:rPr>
      <w:rFonts w:ascii="Calibri" w:hAnsi="Calibri" w:eastAsia="宋体" w:cs="Times New Roman"/>
      <w:sz w:val="18"/>
      <w:szCs w:val="18"/>
    </w:rPr>
  </w:style>
  <w:style w:type="character" w:customStyle="1" w:styleId="313">
    <w:name w:val="标题 Char1"/>
    <w:basedOn w:val="44"/>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18"/>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2"/>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4"/>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4"/>
    <w:link w:val="36"/>
    <w:autoRedefine/>
    <w:qFormat/>
    <w:uiPriority w:val="99"/>
    <w:rPr>
      <w:rFonts w:ascii="Times New Roman" w:hAnsi="Times New Roman" w:eastAsia="宋体" w:cs="Times New Roman"/>
      <w:kern w:val="2"/>
      <w:sz w:val="21"/>
      <w:szCs w:val="24"/>
    </w:rPr>
  </w:style>
  <w:style w:type="character" w:customStyle="1" w:styleId="324">
    <w:name w:val="TOC 6 字符"/>
    <w:link w:val="12"/>
    <w:qFormat/>
    <w:uiPriority w:val="0"/>
  </w:style>
  <w:style w:type="character" w:customStyle="1" w:styleId="325">
    <w:name w:val="TOC 8 字符"/>
    <w:link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5ab07c30-44e9-4c50-990e-0b8486e6c35a</errorID>
      <errorWord>(</errorWord>
      <group>L1_Format</group>
      <groupName>格式问题</groupName>
      <ability>L2_HalfPunc_CN</ability>
      <abilityName>全半角检查</abilityName>
      <candidateList>
        <item>（</item>
      </candidateList>
      <explain>文本全半角错误。</explain>
      <paraID>40014D57</paraID>
      <start>155</start>
      <end>156</end>
      <status>ignored</status>
      <modifiedWord/>
      <trackRevisions>false</trackRevisions>
    </reviewItem>
    <reviewItem>
      <errorID>9ff277cb-fa28-422d-9fe6-137ed47a1cb1</errorID>
      <errorWord>)</errorWord>
      <group>L1_Format</group>
      <groupName>格式问题</groupName>
      <ability>L2_HalfPunc_CN</ability>
      <abilityName>全半角检查</abilityName>
      <candidateList>
        <item>）</item>
      </candidateList>
      <explain>文本全半角错误。</explain>
      <paraID>40014D57</paraID>
      <start>158</start>
      <end>159</end>
      <status>ignored</status>
      <modifiedWord/>
      <trackRevisions>false</trackRevisions>
    </reviewItem>
    <reviewItem>
      <errorID>f637fe41-af2c-4ef2-98d4-53f5a3a79bc7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51E05A24</paraID>
      <start>134</start>
      <end>137</end>
      <status>unmodified</status>
      <modifiedWord/>
      <trackRevisions>false</trackRevisions>
    </reviewItem>
    <reviewItem>
      <errorID>e24e0421-d5ca-4799-907a-c0693d4b29cc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51E05A24</paraID>
      <start>155</start>
      <end>158</end>
      <status>unmodified</status>
      <modifiedWord/>
      <trackRevisions>false</trackRevisions>
    </reviewItem>
    <reviewItem>
      <errorID>0bbfbc5c-426a-4511-9e0a-f0eebf8780c4</errorID>
      <errorWord>中科院</errorWord>
      <group>L1_Knowledge</group>
      <groupName>知识性问题</groupName>
      <ability>L2_Knowledge</ability>
      <abilityName>其他知识</abilityName>
      <candidateList>
        <item>中国科学院</item>
      </candidateList>
      <explain/>
      <paraID>650728D4</paraID>
      <start>0</start>
      <end>3</end>
      <status>unmodified</status>
      <modifiedWord/>
      <trackRevisions>false</trackRevisions>
    </reviewItem>
    <reviewItem>
      <errorID>457c0735-f85a-493a-8151-dd8671b6e742</errorID>
      <errorWord>(</errorWord>
      <group>L1_Format</group>
      <groupName>格式问题</groupName>
      <ability>L2_HalfPunc_CN</ability>
      <abilityName>全半角检查</abilityName>
      <candidateList>
        <item>（</item>
      </candidateList>
      <explain>文本全半角错误。</explain>
      <paraID>5B74D4BE</paraID>
      <start>11</start>
      <end>12</end>
      <status>unmodified</status>
      <modifiedWord/>
      <trackRevisions>false</trackRevisions>
    </reviewItem>
    <reviewItem>
      <errorID>71c8533f-4988-42f0-b820-c95833fb3e18</errorID>
      <errorWord>)</errorWord>
      <group>L1_Format</group>
      <groupName>格式问题</groupName>
      <ability>L2_HalfPunc_CN</ability>
      <abilityName>全半角检查</abilityName>
      <candidateList>
        <item>）</item>
      </candidateList>
      <explain>文本全半角错误。</explain>
      <paraID>5B74D4BE</paraID>
      <start>14</start>
      <end>15</end>
      <status>unmodified</status>
      <modifiedWord/>
      <trackRevisions>false</trackRevisions>
    </reviewItem>
    <reviewItem>
      <errorID>bcd00387-1888-4635-99d9-dbade95ecd5d</errorID>
      <errorWord>国务院政府津贴</errorWord>
      <group>L1_Political</group>
      <groupName>政治性问题</groupName>
      <ability>L2_Keyword</ability>
      <abilityName>固定表述</abilityName>
      <candidateList>
        <item>国务院政府特殊津贴</item>
      </candidateList>
      <explain>词汇“国务院政府特殊津贴”在特定场景下为固定表述形式，请确认此处的“国务院政府津贴”是否存在不当。</explain>
      <paraID> DC9099A</paraID>
      <start>161</start>
      <end>168</end>
      <status>unmodified</status>
      <modifiedWord/>
      <trackRevisions>false</trackRevisions>
    </reviewItem>
    <reviewItem>
      <errorID>687dc819-112b-44e9-ac87-1695cb02255d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45BECD7</paraID>
      <start>10</start>
      <end>11</end>
      <status>unmodified</status>
      <modifiedWord/>
      <trackRevisions>false</trackRevisions>
    </reviewItem>
    <reviewItem>
      <errorID>73e944ed-cd88-4857-b301-a30b004d29d0</errorID>
      <errorWord>(</errorWord>
      <group>L1_Format</group>
      <groupName>格式问题</groupName>
      <ability>L2_HalfPunc_CN</ability>
      <abilityName>全半角检查</abilityName>
      <candidateList>
        <item>（</item>
      </candidateList>
      <explain>文本全半角错误。</explain>
      <paraID>10B86985</paraID>
      <start>95</start>
      <end>96</end>
      <status>unmodified</status>
      <modifiedWord/>
      <trackRevisions>false</trackRevisions>
    </reviewItem>
    <reviewItem>
      <errorID>2dbf3a35-92fc-4c54-9972-a0f0cda45df0</errorID>
      <errorWord>)</errorWord>
      <group>L1_Format</group>
      <groupName>格式问题</groupName>
      <ability>L2_HalfPunc_CN</ability>
      <abilityName>全半角检查</abilityName>
      <candidateList>
        <item>）</item>
      </candidateList>
      <explain>文本全半角错误。</explain>
      <paraID>10B86985</paraID>
      <start>97</start>
      <end>98</end>
      <status>unmodified</status>
      <modifiedWord/>
      <trackRevisions>false</trackRevisions>
    </reviewItem>
    <reviewItem>
      <errorID>fd47c805-45dc-4b71-b6bb-bc8289ed7e1b</errorID>
      <errorWord>&gt;</errorWord>
      <group>L1_Punc</group>
      <groupName>标点问题</groupName>
      <ability>L2_Punc_CN</ability>
      <abilityName>标点符号检查</abilityName>
      <candidateList/>
      <explain/>
      <paraID>28A761B8</paraID>
      <start>0</start>
      <end>1</end>
      <status>unmodified</status>
      <modifiedWord/>
      <trackRevisions>false</trackRevisions>
    </reviewItem>
    <reviewItem>
      <errorID>cd3c22d5-10ea-486a-9f9c-a848056939e8</errorID>
      <errorWord>&gt;</errorWord>
      <group>L1_Punc</group>
      <groupName>标点问题</groupName>
      <ability>L2_Punc_CN</ability>
      <abilityName>标点符号检查</abilityName>
      <candidateList/>
      <explain/>
      <paraID>5340A1DA</paraID>
      <start>0</start>
      <end>1</end>
      <status>unmodified</status>
      <modifiedWord/>
      <trackRevisions>false</trackRevisions>
    </reviewItem>
    <reviewItem>
      <errorID>cffb0f74-c82e-4ae4-b079-cf808cfd7964</errorID>
      <errorWord>（</errorWord>
      <group>L1_Format</group>
      <groupName>格式问题</groupName>
      <ability>L2_HalfPunc_CN</ability>
      <abilityName>全半角检查</abilityName>
      <candidateList>
        <item>(</item>
      </candidateList>
      <explain>文本全半角错误。</explain>
      <paraID>2440F4E3</paraID>
      <start>0</start>
      <end>1</end>
      <status>unmodified</status>
      <modifiedWord/>
      <trackRevisions>false</trackRevisions>
    </reviewItem>
    <reviewItem>
      <errorID>44413806-2fcd-417e-ad56-325888a0781e</errorID>
      <errorWord>～</errorWord>
      <group>L1_Format</group>
      <groupName>格式问题</groupName>
      <ability>L2_HalfPunc_CN</ability>
      <abilityName>全半角检查</abilityName>
      <candidateList>
        <item>~</item>
      </candidateList>
      <explain>文本全半角错误。</explain>
      <paraID>2440F4E3</paraID>
      <start>5</start>
      <end>6</end>
      <status>unmodified</status>
      <modifiedWord/>
      <trackRevisions>false</trackRevisions>
    </reviewItem>
    <reviewItem>
      <errorID>b046d7f3-25c3-4768-b60b-0f848be72f05</errorID>
      <errorWord>）</errorWord>
      <group>L1_Format</group>
      <groupName>格式问题</groupName>
      <ability>L2_HalfPunc_CN</ability>
      <abilityName>全半角检查</abilityName>
      <candidateList>
        <item>)</item>
      </candidateList>
      <explain>文本全半角错误。</explain>
      <paraID>2440F4E3</paraID>
      <start>9</start>
      <end>10</end>
      <status>unmodified</status>
      <modifiedWord/>
      <trackRevisions>false</trackRevisions>
    </reviewItem>
    <reviewItem>
      <errorID>f5095138-d8f7-4938-8599-f32a87d33c2a</errorID>
      <errorWord>。，</errorWord>
      <group>L1_Punc</group>
      <groupName>标点问题</groupName>
      <ability>L2_Punc_CN</ability>
      <abilityName>标点符号检查</abilityName>
      <candidateList>
        <item>。</item>
      </candidateList>
      <explain/>
      <paraID>127CAF42</paraID>
      <start>66</start>
      <end>68</end>
      <status>unmodified</status>
      <modifiedWord/>
      <trackRevisions>false</trackRevisions>
    </reviewItem>
    <reviewItem>
      <errorID>69fbb391-a40e-46c9-83c9-f00b835bc3fd</errorID>
      <errorWord>值值</errorWord>
      <group>L1_Word</group>
      <groupName>字词问题</groupName>
      <ability>L2_Typo</ability>
      <abilityName>字词错误</abilityName>
      <candidateList>
        <item>值</item>
      </candidateList>
      <explain/>
      <paraID>34A46B4F</paraID>
      <start>39</start>
      <end>41</end>
      <status>unmodified</status>
      <modifiedWord/>
      <trackRevisions>false</trackRevisions>
    </reviewItem>
    <reviewItem>
      <errorID>1db62f94-279c-4ced-b91a-3fb37e99dfcd</errorID>
      <errorWord>法律、法规</errorWord>
      <group>L1_Word</group>
      <groupName>字词问题</groupName>
      <ability>L2_Typo</ability>
      <abilityName>字词错误</abilityName>
      <candidateList>
        <item>法律法规</item>
      </candidateList>
      <explain/>
      <paraID>6AED42D6</paraID>
      <start>8</start>
      <end>13</end>
      <status>unmodified</status>
      <modifiedWord/>
      <trackRevisions>false</trackRevisions>
    </reviewItem>
    <reviewItem>
      <errorID>e0a5cf8e-388e-4ef7-9686-623871029802</errorID>
      <errorWord>法律、法规</errorWord>
      <group>L1_Word</group>
      <groupName>字词问题</groupName>
      <ability>L2_Typo</ability>
      <abilityName>字词错误</abilityName>
      <candidateList>
        <item>法律法规</item>
      </candidateList>
      <explain/>
      <paraID>2B29FE02</paraID>
      <start>62</start>
      <end>67</end>
      <status>unmodified</status>
      <modifiedWord/>
      <trackRevisions>false</trackRevisions>
    </reviewItem>
    <reviewItem>
      <errorID>3a82fda4-6aa7-45e3-9980-04b6b156d348</errorID>
      <errorWord>加强</errorWord>
      <group>L1_Grammar</group>
      <groupName>语法问题</groupName>
      <ability>L2_Grammar</ability>
      <abilityName>语法错误</abilityName>
      <candidateList>
        <item>加大</item>
      </candidateList>
      <explain>“加强～力度”搭配不当，建议修改为“加大～力度”。</explain>
      <paraID>1A432E39</paraID>
      <start>32</start>
      <end>34</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0828b-85f8-44f4-b506-83dc3b943e6d}">
  <ds:schemaRefs/>
</ds:datastoreItem>
</file>

<file path=customXml/itemProps3.xml><?xml version="1.0" encoding="utf-8"?>
<ds:datastoreItem xmlns:ds="http://schemas.openxmlformats.org/officeDocument/2006/customXml" ds:itemID="{67856207-3DD0-4153-9C8F-0D63332378C2}">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17</Pages>
  <Words>8851</Words>
  <Characters>9445</Characters>
  <Lines>40</Lines>
  <Paragraphs>11</Paragraphs>
  <TotalTime>2</TotalTime>
  <ScaleCrop>false</ScaleCrop>
  <LinksUpToDate>false</LinksUpToDate>
  <CharactersWithSpaces>9502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刘光辉</cp:lastModifiedBy>
  <cp:lastPrinted>2016-10-20T04:13:00Z</cp:lastPrinted>
  <dcterms:modified xsi:type="dcterms:W3CDTF">2026-05-29T01:28:39Z</dcterms:modified>
  <dc:title>标准名称</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225F1F69762840538011A3F46BFF5C9C_13</vt:lpwstr>
  </property>
  <property fmtid="{D5CDD505-2E9C-101B-9397-08002B2CF9AE}" pid="4" name="KSOTemplateDocerSaveRecord">
    <vt:lpwstr>eyJoZGlkIjoiNzc2M2IwZGYzN2Q0MDhlMjczMDVmNmNjNGM1MjdjOTkiLCJ1c2VySWQiOiI0NTU4OTU5NjUifQ==</vt:lpwstr>
  </property>
</Properties>
</file>