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0" w:type="auto"/>
        <w:tblInd w:w="0" w:type="dxa"/>
        <w:tblLayout w:type="autofit"/>
        <w:tblCellMar>
          <w:top w:w="0" w:type="dxa"/>
          <w:left w:w="0" w:type="dxa"/>
          <w:bottom w:w="0" w:type="dxa"/>
          <w:right w:w="0" w:type="dxa"/>
        </w:tblCellMar>
      </w:tblPr>
      <w:tblGrid>
        <w:gridCol w:w="509"/>
        <w:gridCol w:w="8845"/>
      </w:tblGrid>
      <w:tr w14:paraId="04A48D40">
        <w:tblPrEx>
          <w:tblCellMar>
            <w:top w:w="0" w:type="dxa"/>
            <w:left w:w="0" w:type="dxa"/>
            <w:bottom w:w="0" w:type="dxa"/>
            <w:right w:w="0" w:type="dxa"/>
          </w:tblCellMar>
        </w:tblPrEx>
        <w:tc>
          <w:tcPr>
            <w:tcW w:w="509" w:type="dxa"/>
            <w:shd w:val="clear" w:color="auto" w:fill="auto"/>
          </w:tcPr>
          <w:p w14:paraId="6F5CB50B">
            <w:pPr>
              <w:pStyle w:val="18"/>
              <w:framePr w:wrap="notBeside" w:vAnchor="page" w:hAnchor="page" w:x="1372" w:y="568"/>
              <w:tabs>
                <w:tab w:val="clear" w:pos="4153"/>
                <w:tab w:val="clear" w:pos="8306"/>
              </w:tabs>
              <w:spacing w:line="240" w:lineRule="auto"/>
              <w:jc w:val="left"/>
              <w:rPr>
                <w:rFonts w:ascii="黑体" w:hAnsi="黑体" w:eastAsia="黑体"/>
                <w:color w:val="000000"/>
                <w:sz w:val="21"/>
                <w:szCs w:val="21"/>
              </w:rPr>
            </w:pPr>
            <w:bookmarkStart w:id="0" w:name="_Hlk230277803"/>
            <w:bookmarkEnd w:id="0"/>
            <w:r>
              <w:rPr>
                <w:rFonts w:ascii="Times New Roman" w:hAnsi="Times New Roman" w:eastAsia="黑体"/>
                <w:color w:val="000000"/>
                <w:sz w:val="21"/>
                <w:szCs w:val="21"/>
              </w:rPr>
              <w:t>ICS</w:t>
            </w:r>
            <w:r>
              <w:rPr>
                <w:rFonts w:ascii="黑体" w:hAnsi="黑体" w:eastAsia="黑体"/>
                <w:color w:val="000000"/>
                <w:sz w:val="21"/>
                <w:szCs w:val="21"/>
              </w:rPr>
              <w:t xml:space="preserve">  </w:t>
            </w:r>
          </w:p>
        </w:tc>
        <w:tc>
          <w:tcPr>
            <w:tcW w:w="8855" w:type="dxa"/>
            <w:shd w:val="clear" w:color="auto" w:fill="auto"/>
          </w:tcPr>
          <w:p w14:paraId="529A4DB9">
            <w:pPr>
              <w:pStyle w:val="18"/>
              <w:framePr w:wrap="notBeside" w:vAnchor="page" w:hAnchor="page" w:x="1372" w:y="568"/>
              <w:tabs>
                <w:tab w:val="clear" w:pos="4153"/>
                <w:tab w:val="clear" w:pos="8306"/>
              </w:tabs>
              <w:spacing w:line="240" w:lineRule="auto"/>
              <w:ind w:left="3"/>
              <w:jc w:val="both"/>
              <w:rPr>
                <w:rFonts w:ascii="黑体" w:hAnsi="黑体" w:eastAsia="黑体"/>
                <w:color w:val="000000"/>
                <w:sz w:val="21"/>
                <w:szCs w:val="21"/>
              </w:rPr>
            </w:pPr>
            <w:r>
              <w:rPr>
                <w:rFonts w:ascii="黑体" w:hAnsi="黑体" w:eastAsia="黑体"/>
                <w:color w:val="000000"/>
                <w:sz w:val="21"/>
                <w:szCs w:val="21"/>
              </w:rPr>
              <w:fldChar w:fldCharType="begin">
                <w:ffData>
                  <w:name w:val="ICS"/>
                  <w:enabled/>
                  <w:calcOnExit w:val="0"/>
                  <w:textInput>
                    <w:default w:val="77.040"/>
                  </w:textInput>
                </w:ffData>
              </w:fldChar>
            </w:r>
            <w:bookmarkStart w:id="1" w:name="ICS"/>
            <w:r>
              <w:rPr>
                <w:rFonts w:ascii="黑体" w:hAnsi="黑体" w:eastAsia="黑体"/>
                <w:color w:val="000000"/>
                <w:sz w:val="21"/>
                <w:szCs w:val="21"/>
              </w:rPr>
              <w:instrText xml:space="preserve"> FORMTEXT </w:instrText>
            </w:r>
            <w:r>
              <w:rPr>
                <w:rFonts w:ascii="黑体" w:hAnsi="黑体" w:eastAsia="黑体"/>
                <w:color w:val="000000"/>
                <w:sz w:val="21"/>
                <w:szCs w:val="21"/>
              </w:rPr>
              <w:fldChar w:fldCharType="separate"/>
            </w:r>
            <w:r>
              <w:rPr>
                <w:rFonts w:ascii="黑体" w:hAnsi="黑体" w:eastAsia="黑体"/>
                <w:color w:val="000000"/>
                <w:sz w:val="21"/>
                <w:szCs w:val="21"/>
              </w:rPr>
              <w:t>77.040</w:t>
            </w:r>
            <w:r>
              <w:rPr>
                <w:rFonts w:ascii="黑体" w:hAnsi="黑体" w:eastAsia="黑体"/>
                <w:color w:val="000000"/>
                <w:sz w:val="21"/>
                <w:szCs w:val="21"/>
              </w:rPr>
              <w:fldChar w:fldCharType="end"/>
            </w:r>
            <w:bookmarkEnd w:id="1"/>
          </w:p>
        </w:tc>
      </w:tr>
      <w:tr w14:paraId="2D765B15">
        <w:tblPrEx>
          <w:tblCellMar>
            <w:top w:w="0" w:type="dxa"/>
            <w:left w:w="0" w:type="dxa"/>
            <w:bottom w:w="0" w:type="dxa"/>
            <w:right w:w="0" w:type="dxa"/>
          </w:tblCellMar>
        </w:tblPrEx>
        <w:tc>
          <w:tcPr>
            <w:tcW w:w="509" w:type="dxa"/>
            <w:shd w:val="clear" w:color="auto" w:fill="auto"/>
          </w:tcPr>
          <w:p w14:paraId="37CB77F6">
            <w:pPr>
              <w:pStyle w:val="18"/>
              <w:framePr w:wrap="notBeside" w:vAnchor="page" w:hAnchor="page" w:x="1372" w:y="568"/>
              <w:tabs>
                <w:tab w:val="clear" w:pos="4153"/>
                <w:tab w:val="clear" w:pos="8306"/>
              </w:tabs>
              <w:spacing w:before="40" w:line="240" w:lineRule="auto"/>
              <w:jc w:val="left"/>
              <w:rPr>
                <w:rFonts w:ascii="黑体" w:hAnsi="黑体" w:eastAsia="黑体"/>
                <w:color w:val="000000"/>
                <w:sz w:val="21"/>
                <w:szCs w:val="21"/>
              </w:rPr>
            </w:pPr>
            <w:r>
              <w:rPr>
                <w:rFonts w:ascii="Times New Roman" w:hAnsi="Times New Roman" w:eastAsia="黑体"/>
                <w:color w:val="000000"/>
                <w:sz w:val="21"/>
                <w:szCs w:val="21"/>
              </w:rPr>
              <w:t xml:space="preserve">CCS </w:t>
            </w:r>
            <w:r>
              <w:rPr>
                <w:rFonts w:ascii="黑体" w:hAnsi="黑体" w:eastAsia="黑体"/>
                <w:color w:val="000000"/>
                <w:sz w:val="21"/>
                <w:szCs w:val="21"/>
              </w:rPr>
              <w:t xml:space="preserve"> </w:t>
            </w:r>
          </w:p>
        </w:tc>
        <w:tc>
          <w:tcPr>
            <w:tcW w:w="8855" w:type="dxa"/>
            <w:shd w:val="clear" w:color="auto" w:fill="auto"/>
          </w:tcPr>
          <w:p w14:paraId="13C5FC8D">
            <w:pPr>
              <w:pStyle w:val="18"/>
              <w:framePr w:wrap="notBeside" w:vAnchor="page" w:hAnchor="page" w:x="1372" w:y="568"/>
              <w:tabs>
                <w:tab w:val="clear" w:pos="4153"/>
                <w:tab w:val="clear" w:pos="8306"/>
              </w:tabs>
              <w:spacing w:before="40" w:line="240" w:lineRule="auto"/>
              <w:jc w:val="left"/>
              <w:rPr>
                <w:rFonts w:ascii="黑体" w:hAnsi="黑体" w:eastAsia="黑体"/>
                <w:color w:val="000000"/>
                <w:sz w:val="21"/>
                <w:szCs w:val="21"/>
              </w:rPr>
            </w:pPr>
            <w:r>
              <w:rPr>
                <w:rFonts w:ascii="黑体" w:hAnsi="黑体" w:eastAsia="黑体"/>
                <w:color w:val="000000"/>
                <w:sz w:val="21"/>
                <w:szCs w:val="21"/>
              </w:rPr>
              <w:fldChar w:fldCharType="begin">
                <w:ffData>
                  <w:name w:val="CSDN"/>
                  <w:enabled/>
                  <w:calcOnExit w:val="0"/>
                  <w:textInput>
                    <w:default w:val="H 21"/>
                  </w:textInput>
                </w:ffData>
              </w:fldChar>
            </w:r>
            <w:bookmarkStart w:id="2" w:name="CSDN"/>
            <w:r>
              <w:rPr>
                <w:rFonts w:ascii="黑体" w:hAnsi="黑体" w:eastAsia="黑体"/>
                <w:color w:val="000000"/>
                <w:sz w:val="21"/>
                <w:szCs w:val="21"/>
              </w:rPr>
              <w:instrText xml:space="preserve"> FORMTEXT </w:instrText>
            </w:r>
            <w:r>
              <w:rPr>
                <w:rFonts w:ascii="黑体" w:hAnsi="黑体" w:eastAsia="黑体"/>
                <w:color w:val="000000"/>
                <w:sz w:val="21"/>
                <w:szCs w:val="21"/>
              </w:rPr>
              <w:fldChar w:fldCharType="separate"/>
            </w:r>
            <w:r>
              <w:rPr>
                <w:rFonts w:ascii="黑体" w:hAnsi="黑体" w:eastAsia="黑体"/>
                <w:color w:val="000000"/>
                <w:sz w:val="21"/>
                <w:szCs w:val="21"/>
              </w:rPr>
              <w:t>H 21</w:t>
            </w:r>
            <w:r>
              <w:rPr>
                <w:rFonts w:ascii="黑体" w:hAnsi="黑体" w:eastAsia="黑体"/>
                <w:color w:val="000000"/>
                <w:sz w:val="21"/>
                <w:szCs w:val="21"/>
              </w:rPr>
              <w:fldChar w:fldCharType="end"/>
            </w:r>
            <w:bookmarkEnd w:id="2"/>
          </w:p>
        </w:tc>
      </w:tr>
    </w:tbl>
    <w:p w14:paraId="3090EE66">
      <w:pPr>
        <w:pStyle w:val="50"/>
        <w:framePr w:w="9639" w:h="624" w:hRule="exact" w:hSpace="181" w:vSpace="181" w:wrap="around" w:hAnchor="page" w:x="1305" w:y="2269"/>
        <w:rPr>
          <w:color w:val="000000"/>
        </w:rPr>
      </w:pPr>
      <w:bookmarkStart w:id="3" w:name="_Hlk26473981"/>
      <w:r>
        <w:rPr>
          <w:rFonts w:hint="eastAsia"/>
          <w:color w:val="000000"/>
        </w:rPr>
        <w:t>中华人民共和国国家标准</w:t>
      </w:r>
    </w:p>
    <w:bookmarkEnd w:id="3"/>
    <w:p w14:paraId="43169A9E">
      <w:pPr>
        <w:pStyle w:val="195"/>
        <w:rPr>
          <w:color w:val="000000"/>
          <w:lang w:val="fr-FR"/>
        </w:rPr>
      </w:pPr>
      <w:r>
        <w:rPr>
          <w:color w:val="000000"/>
        </w:rPr>
        <w:fldChar w:fldCharType="begin">
          <w:ffData>
            <w:name w:val="文字1"/>
            <w:enabled/>
            <w:calcOnExit w:val="0"/>
            <w:textInput>
              <w:default w:val="GB/T"/>
            </w:textInput>
          </w:ffData>
        </w:fldChar>
      </w:r>
      <w:bookmarkStart w:id="4" w:name="文字1"/>
      <w:r>
        <w:rPr>
          <w:color w:val="000000"/>
          <w:lang w:val="fr-FR"/>
        </w:rPr>
        <w:instrText xml:space="preserve"> FORMTEXT </w:instrText>
      </w:r>
      <w:r>
        <w:rPr>
          <w:color w:val="000000"/>
        </w:rPr>
        <w:fldChar w:fldCharType="separate"/>
      </w:r>
      <w:r>
        <w:rPr>
          <w:color w:val="000000"/>
          <w:lang w:val="fr-FR"/>
        </w:rPr>
        <w:t>GB/T</w:t>
      </w:r>
      <w:r>
        <w:rPr>
          <w:color w:val="000000"/>
        </w:rPr>
        <w:fldChar w:fldCharType="end"/>
      </w:r>
      <w:bookmarkEnd w:id="4"/>
      <w:r>
        <w:rPr>
          <w:color w:val="000000"/>
          <w:lang w:val="fr-FR"/>
        </w:rPr>
        <w:t xml:space="preserve"> </w:t>
      </w:r>
      <w:r>
        <w:rPr>
          <w:color w:val="000000"/>
        </w:rPr>
        <w:t>8760</w:t>
      </w:r>
      <w:r>
        <w:rPr>
          <w:rFonts w:hAnsi="黑体"/>
          <w:color w:val="000000"/>
          <w:lang w:val="fr-FR"/>
        </w:rPr>
        <w:t>—</w:t>
      </w:r>
      <w:r>
        <w:rPr>
          <w:color w:val="000000"/>
        </w:rPr>
        <w:t>2026</w:t>
      </w:r>
    </w:p>
    <w:p w14:paraId="553677E3">
      <w:pPr>
        <w:pStyle w:val="196"/>
        <w:rPr>
          <w:rFonts w:hAnsi="黑体"/>
          <w:color w:val="000000"/>
        </w:rPr>
      </w:pPr>
      <w:r>
        <w:rPr>
          <w:rFonts w:hAnsi="黑体"/>
          <w:color w:val="000000"/>
        </w:rPr>
        <w:fldChar w:fldCharType="begin">
          <w:ffData>
            <w:name w:val="OSTD_CODE"/>
            <w:enabled/>
            <w:calcOnExit w:val="0"/>
            <w:textInput>
              <w:default w:val="GB/T 8760-2020"/>
            </w:textInput>
          </w:ffData>
        </w:fldChar>
      </w:r>
      <w:bookmarkStart w:id="5" w:name="OSTD_CODE"/>
      <w:r>
        <w:rPr>
          <w:rFonts w:hAnsi="黑体"/>
          <w:color w:val="000000"/>
        </w:rPr>
        <w:instrText xml:space="preserve"> FORMTEXT </w:instrText>
      </w:r>
      <w:r>
        <w:rPr>
          <w:rFonts w:hAnsi="黑体"/>
          <w:color w:val="000000"/>
        </w:rPr>
        <w:fldChar w:fldCharType="separate"/>
      </w:r>
      <w:r>
        <w:rPr>
          <w:rFonts w:hAnsi="黑体"/>
          <w:color w:val="000000"/>
        </w:rPr>
        <w:t>GB/T 8760-2020</w:t>
      </w:r>
      <w:r>
        <w:rPr>
          <w:rFonts w:hAnsi="黑体"/>
          <w:color w:val="000000"/>
        </w:rPr>
        <w:fldChar w:fldCharType="end"/>
      </w:r>
      <w:bookmarkEnd w:id="5"/>
    </w:p>
    <w:p w14:paraId="25A22D29">
      <w:pPr>
        <w:spacing w:line="240" w:lineRule="auto"/>
        <w:ind w:left="8080"/>
        <w:rPr>
          <w:rFonts w:ascii="黑体" w:hAnsi="黑体" w:eastAsia="黑体"/>
          <w:color w:val="000000"/>
          <w:kern w:val="0"/>
          <w:sz w:val="52"/>
          <w:szCs w:val="20"/>
        </w:rPr>
      </w:pPr>
      <w:r>
        <w:rPr>
          <w:color w:val="00000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2700020</wp:posOffset>
                </wp:positionV>
                <wp:extent cx="6120130" cy="0"/>
                <wp:effectExtent l="0" t="0" r="33020" b="1905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pt;height:0pt;width:481.9pt;mso-position-horizontal-relative:page;mso-position-vertical-relative:page;z-index:251660288;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3+&#10;I8zYAAAADAEAAA8AAAAAAAAAAQAgAAAAIgAAAGRycy9kb3ducmV2LnhtbFBLAQIUABQAAAAIAIdO&#10;4kANPiPe6gEAALoDAAAOAAAAAAAAAAEAIAAAACcBAABkcnMvZTJvRG9jLnhtbFBLBQYAAAAABgAG&#10;AFkBAACDBQAAAAA=&#10;">
                <v:fill on="f" focussize="0,0"/>
                <v:stroke color="#000000" joinstyle="round"/>
                <v:imagedata o:title=""/>
                <o:lock v:ext="edit" aspectratio="f"/>
              </v:line>
            </w:pict>
          </mc:Fallback>
        </mc:AlternateContent>
      </w:r>
      <w:r>
        <w:rPr>
          <w:color w:val="000000"/>
        </w:rPr>
        <w:drawing>
          <wp:anchor distT="0" distB="0" distL="114300" distR="114300" simplePos="0" relativeHeight="251659264"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3"/>
                    <a:srcRect/>
                    <a:stretch>
                      <a:fillRect/>
                    </a:stretch>
                  </pic:blipFill>
                  <pic:spPr>
                    <a:xfrm>
                      <a:off x="0" y="0"/>
                      <a:ext cx="1447165" cy="732790"/>
                    </a:xfrm>
                    <a:prstGeom prst="rect">
                      <a:avLst/>
                    </a:prstGeom>
                    <a:noFill/>
                    <a:ln>
                      <a:noFill/>
                    </a:ln>
                  </pic:spPr>
                </pic:pic>
              </a:graphicData>
            </a:graphic>
          </wp:anchor>
        </w:drawing>
      </w:r>
    </w:p>
    <w:p w14:paraId="59AB54BC">
      <w:pPr>
        <w:pStyle w:val="50"/>
        <w:framePr w:w="9639" w:h="6976" w:hRule="exact" w:hSpace="0" w:vSpace="0" w:wrap="around" w:hAnchor="page" w:y="6408"/>
        <w:jc w:val="center"/>
        <w:rPr>
          <w:rFonts w:ascii="黑体" w:hAnsi="黑体" w:eastAsia="黑体"/>
          <w:b w:val="0"/>
          <w:bCs w:val="0"/>
          <w:color w:val="000000"/>
          <w:w w:val="100"/>
        </w:rPr>
      </w:pPr>
    </w:p>
    <w:p w14:paraId="1CDE9E25">
      <w:pPr>
        <w:pStyle w:val="197"/>
        <w:framePr w:h="6974" w:hRule="exact" w:wrap="around" w:x="1419" w:anchorLock="1"/>
        <w:rPr>
          <w:color w:val="000000"/>
        </w:rPr>
      </w:pPr>
      <w:r>
        <w:rPr>
          <w:color w:val="000000"/>
        </w:rPr>
        <w:fldChar w:fldCharType="begin">
          <w:ffData>
            <w:name w:val="CSTD_NAME"/>
            <w:enabled/>
            <w:calcOnExit w:val="0"/>
            <w:textInput>
              <w:default w:val="点击此处添加标准名称"/>
            </w:textInput>
          </w:ffData>
        </w:fldChar>
      </w:r>
      <w:bookmarkStart w:id="6" w:name="CSTD_NAME"/>
      <w:r>
        <w:rPr>
          <w:color w:val="000000"/>
        </w:rPr>
        <w:instrText xml:space="preserve"> FORMTEXT </w:instrText>
      </w:r>
      <w:r>
        <w:rPr>
          <w:color w:val="000000"/>
        </w:rPr>
        <w:fldChar w:fldCharType="separate"/>
      </w:r>
      <w:r>
        <w:rPr>
          <w:rFonts w:hint="eastAsia"/>
          <w:color w:val="000000"/>
        </w:rPr>
        <w:t>砷化镓单晶位错密度的测试方法</w:t>
      </w:r>
      <w:r>
        <w:rPr>
          <w:color w:val="000000"/>
        </w:rPr>
        <w:fldChar w:fldCharType="end"/>
      </w:r>
      <w:bookmarkEnd w:id="6"/>
    </w:p>
    <w:p w14:paraId="2365AFDC">
      <w:pPr>
        <w:framePr w:w="9639" w:h="6974" w:hRule="exact" w:wrap="around" w:vAnchor="page" w:hAnchor="page" w:x="1419" w:y="6408" w:anchorLock="1"/>
        <w:ind w:left="-1418"/>
        <w:rPr>
          <w:color w:val="000000"/>
        </w:rPr>
      </w:pPr>
    </w:p>
    <w:p w14:paraId="0F184A2A">
      <w:pPr>
        <w:pStyle w:val="125"/>
        <w:framePr w:w="9639" w:h="6974" w:hRule="exact" w:wrap="around" w:vAnchor="page" w:hAnchor="page" w:x="1419" w:y="6408" w:anchorLock="1"/>
        <w:textAlignment w:val="bottom"/>
        <w:rPr>
          <w:rFonts w:ascii="黑体" w:hAnsi="黑体" w:eastAsia="黑体"/>
          <w:color w:val="000000"/>
          <w:szCs w:val="28"/>
        </w:rPr>
      </w:pPr>
      <w:r>
        <w:rPr>
          <w:rFonts w:eastAsia="黑体"/>
          <w:color w:val="000000"/>
          <w:szCs w:val="28"/>
        </w:rPr>
        <w:fldChar w:fldCharType="begin">
          <w:ffData>
            <w:name w:val="ESTD_NAME"/>
            <w:enabled/>
            <w:calcOnExit w:val="0"/>
            <w:textInput>
              <w:default w:val="点击此处添加标准名称的英文译名"/>
            </w:textInput>
          </w:ffData>
        </w:fldChar>
      </w:r>
      <w:bookmarkStart w:id="7" w:name="ESTD_NAME"/>
      <w:r>
        <w:rPr>
          <w:rFonts w:eastAsia="黑体"/>
          <w:color w:val="000000"/>
          <w:szCs w:val="28"/>
        </w:rPr>
        <w:instrText xml:space="preserve"> FORMTEXT </w:instrText>
      </w:r>
      <w:r>
        <w:rPr>
          <w:rFonts w:eastAsia="黑体"/>
          <w:color w:val="000000"/>
          <w:szCs w:val="28"/>
        </w:rPr>
        <w:fldChar w:fldCharType="separate"/>
      </w:r>
      <w:r>
        <w:rPr>
          <w:rFonts w:eastAsia="黑体"/>
          <w:color w:val="000000"/>
          <w:szCs w:val="28"/>
        </w:rPr>
        <w:t>Test method for dislocation density of monocrystal gallium arsenide</w:t>
      </w:r>
      <w:r>
        <w:rPr>
          <w:rFonts w:ascii="黑体" w:hAnsi="黑体" w:eastAsia="黑体"/>
          <w:color w:val="000000"/>
          <w:szCs w:val="28"/>
        </w:rPr>
        <w:fldChar w:fldCharType="end"/>
      </w:r>
      <w:bookmarkEnd w:id="7"/>
    </w:p>
    <w:p w14:paraId="31E1EC6C">
      <w:pPr>
        <w:framePr w:w="9639" w:h="6974" w:hRule="exact" w:wrap="around" w:vAnchor="page" w:hAnchor="page" w:x="1419" w:y="6408" w:anchorLock="1"/>
        <w:spacing w:line="760" w:lineRule="exact"/>
        <w:ind w:left="-1418"/>
        <w:rPr>
          <w:color w:val="000000"/>
        </w:rPr>
      </w:pPr>
    </w:p>
    <w:p w14:paraId="4337C9CB">
      <w:pPr>
        <w:pStyle w:val="125"/>
        <w:framePr w:w="9639" w:h="6974" w:hRule="exact" w:wrap="around" w:vAnchor="page" w:hAnchor="page" w:x="1419" w:y="6408" w:anchorLock="1"/>
        <w:textAlignment w:val="bottom"/>
        <w:rPr>
          <w:rFonts w:eastAsia="黑体"/>
          <w:color w:val="000000"/>
          <w:szCs w:val="28"/>
        </w:rPr>
      </w:pPr>
    </w:p>
    <w:p w14:paraId="4E45536D">
      <w:pPr>
        <w:pStyle w:val="125"/>
        <w:framePr w:w="9639" w:h="6974" w:hRule="exact" w:wrap="around" w:vAnchor="page" w:hAnchor="page" w:x="1419" w:y="6408" w:anchorLock="1"/>
        <w:spacing w:before="440" w:after="160"/>
        <w:textAlignment w:val="bottom"/>
        <w:rPr>
          <w:color w:val="000000"/>
          <w:sz w:val="24"/>
          <w:szCs w:val="28"/>
        </w:rPr>
      </w:pPr>
      <w:r>
        <w:rPr>
          <w:color w:val="000000"/>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8" w:name="下拉1"/>
      <w:r>
        <w:rPr>
          <w:color w:val="000000"/>
          <w:sz w:val="24"/>
          <w:szCs w:val="28"/>
        </w:rPr>
        <w:instrText xml:space="preserve"> FORMDROPDOWN </w:instrText>
      </w:r>
      <w:r>
        <w:rPr>
          <w:color w:val="000000"/>
          <w:sz w:val="24"/>
          <w:szCs w:val="28"/>
        </w:rPr>
        <w:fldChar w:fldCharType="separate"/>
      </w:r>
      <w:r>
        <w:rPr>
          <w:color w:val="000000"/>
          <w:sz w:val="24"/>
          <w:szCs w:val="28"/>
        </w:rPr>
        <w:fldChar w:fldCharType="end"/>
      </w:r>
      <w:bookmarkEnd w:id="8"/>
    </w:p>
    <w:p w14:paraId="549E5EE7">
      <w:pPr>
        <w:pStyle w:val="125"/>
        <w:framePr w:w="9639" w:h="6974" w:hRule="exact" w:wrap="around" w:vAnchor="page" w:hAnchor="page" w:x="1419" w:y="6408" w:anchorLock="1"/>
        <w:spacing w:before="180" w:line="240" w:lineRule="atLeast"/>
        <w:textAlignment w:val="bottom"/>
        <w:rPr>
          <w:color w:val="000000"/>
          <w:sz w:val="21"/>
          <w:szCs w:val="28"/>
        </w:rPr>
      </w:pPr>
    </w:p>
    <w:p w14:paraId="5AABA9BF">
      <w:pPr>
        <w:pStyle w:val="125"/>
        <w:framePr w:w="9639" w:h="6974" w:hRule="exact" w:wrap="around" w:vAnchor="page" w:hAnchor="page" w:x="1419" w:y="6408" w:anchorLock="1"/>
        <w:spacing w:before="720" w:beforeLines="300" w:after="72" w:afterLines="30" w:line="240" w:lineRule="auto"/>
        <w:textAlignment w:val="bottom"/>
        <w:rPr>
          <w:b/>
          <w:color w:val="000000"/>
          <w:sz w:val="21"/>
          <w:szCs w:val="28"/>
        </w:rPr>
      </w:pPr>
      <w:r>
        <w:rPr>
          <w:b/>
          <w:color w:val="000000"/>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9" w:name="下拉2"/>
      <w:r>
        <w:rPr>
          <w:b/>
          <w:color w:val="000000"/>
          <w:sz w:val="21"/>
          <w:szCs w:val="28"/>
        </w:rPr>
        <w:instrText xml:space="preserve"> FORMDROPDOWN </w:instrText>
      </w:r>
      <w:r>
        <w:rPr>
          <w:b/>
          <w:color w:val="000000"/>
          <w:sz w:val="21"/>
          <w:szCs w:val="28"/>
        </w:rPr>
        <w:fldChar w:fldCharType="separate"/>
      </w:r>
      <w:r>
        <w:rPr>
          <w:b/>
          <w:color w:val="000000"/>
          <w:sz w:val="21"/>
          <w:szCs w:val="28"/>
        </w:rPr>
        <w:fldChar w:fldCharType="end"/>
      </w:r>
      <w:bookmarkEnd w:id="9"/>
    </w:p>
    <w:p w14:paraId="069BD876">
      <w:pPr>
        <w:pStyle w:val="193"/>
        <w:framePr w:wrap="around" w:y="14176"/>
        <w:rPr>
          <w:color w:val="000000"/>
        </w:rPr>
      </w:pPr>
      <w:r>
        <w:rPr>
          <w:rFonts w:ascii="黑体"/>
          <w:color w:val="000000"/>
        </w:rPr>
        <w:fldChar w:fldCharType="begin">
          <w:ffData>
            <w:name w:val="PLSH_DATE_Y"/>
            <w:enabled/>
            <w:calcOnExit w:val="0"/>
            <w:textInput>
              <w:default w:val="XXXX"/>
              <w:maxLength w:val="4"/>
            </w:textInput>
          </w:ffData>
        </w:fldChar>
      </w:r>
      <w:bookmarkStart w:id="10" w:name="PLSH_DATE_Y"/>
      <w:r>
        <w:rPr>
          <w:rFonts w:ascii="黑体"/>
          <w:color w:val="000000"/>
        </w:rPr>
        <w:instrText xml:space="preserve"> FORMTEXT </w:instrText>
      </w:r>
      <w:r>
        <w:rPr>
          <w:rFonts w:ascii="黑体"/>
          <w:color w:val="000000"/>
        </w:rPr>
        <w:fldChar w:fldCharType="separate"/>
      </w:r>
      <w:r>
        <w:rPr>
          <w:rFonts w:ascii="黑体"/>
          <w:color w:val="000000"/>
        </w:rPr>
        <w:t>XXXX</w:t>
      </w:r>
      <w:r>
        <w:rPr>
          <w:rFonts w:ascii="黑体"/>
          <w:color w:val="000000"/>
        </w:rPr>
        <w:fldChar w:fldCharType="end"/>
      </w:r>
      <w:bookmarkEnd w:id="10"/>
      <w:r>
        <w:rPr>
          <w:color w:val="000000"/>
        </w:rPr>
        <w:t xml:space="preserve"> </w:t>
      </w:r>
      <w:r>
        <w:rPr>
          <w:rFonts w:ascii="黑体"/>
          <w:color w:val="000000"/>
        </w:rPr>
        <w:t>-</w:t>
      </w:r>
      <w:r>
        <w:rPr>
          <w:color w:val="000000"/>
        </w:rPr>
        <w:t xml:space="preserve"> </w:t>
      </w:r>
      <w:r>
        <w:rPr>
          <w:rFonts w:ascii="黑体"/>
          <w:color w:val="000000"/>
        </w:rPr>
        <w:fldChar w:fldCharType="begin">
          <w:ffData>
            <w:name w:val="PLSH_DATE_M"/>
            <w:enabled/>
            <w:calcOnExit w:val="0"/>
            <w:textInput>
              <w:default w:val="XX"/>
              <w:maxLength w:val="2"/>
            </w:textInput>
          </w:ffData>
        </w:fldChar>
      </w:r>
      <w:bookmarkStart w:id="11" w:name="PLSH_DATE_M"/>
      <w:r>
        <w:rPr>
          <w:rFonts w:ascii="黑体"/>
          <w:color w:val="000000"/>
        </w:rPr>
        <w:instrText xml:space="preserve"> FORMTEXT </w:instrText>
      </w:r>
      <w:r>
        <w:rPr>
          <w:rFonts w:ascii="黑体"/>
          <w:color w:val="000000"/>
        </w:rPr>
        <w:fldChar w:fldCharType="separate"/>
      </w:r>
      <w:r>
        <w:rPr>
          <w:rFonts w:ascii="黑体"/>
          <w:color w:val="000000"/>
        </w:rPr>
        <w:t>XX</w:t>
      </w:r>
      <w:r>
        <w:rPr>
          <w:rFonts w:ascii="黑体"/>
          <w:color w:val="000000"/>
        </w:rPr>
        <w:fldChar w:fldCharType="end"/>
      </w:r>
      <w:bookmarkEnd w:id="11"/>
      <w:r>
        <w:rPr>
          <w:color w:val="000000"/>
        </w:rPr>
        <w:t xml:space="preserve"> </w:t>
      </w:r>
      <w:r>
        <w:rPr>
          <w:rFonts w:ascii="黑体"/>
          <w:color w:val="000000"/>
        </w:rPr>
        <w:t>-</w:t>
      </w:r>
      <w:r>
        <w:rPr>
          <w:color w:val="000000"/>
        </w:rPr>
        <w:t xml:space="preserve"> </w:t>
      </w:r>
      <w:r>
        <w:rPr>
          <w:rFonts w:ascii="黑体"/>
          <w:color w:val="000000"/>
        </w:rPr>
        <w:fldChar w:fldCharType="begin">
          <w:ffData>
            <w:name w:val="PLSH_DATE_D"/>
            <w:enabled/>
            <w:calcOnExit w:val="0"/>
            <w:textInput>
              <w:default w:val="XX"/>
              <w:maxLength w:val="2"/>
            </w:textInput>
          </w:ffData>
        </w:fldChar>
      </w:r>
      <w:bookmarkStart w:id="12" w:name="PLSH_DATE_D"/>
      <w:r>
        <w:rPr>
          <w:rFonts w:ascii="黑体"/>
          <w:color w:val="000000"/>
        </w:rPr>
        <w:instrText xml:space="preserve"> FORMTEXT </w:instrText>
      </w:r>
      <w:r>
        <w:rPr>
          <w:rFonts w:ascii="黑体"/>
          <w:color w:val="000000"/>
        </w:rPr>
        <w:fldChar w:fldCharType="separate"/>
      </w:r>
      <w:r>
        <w:rPr>
          <w:rFonts w:ascii="黑体"/>
          <w:color w:val="000000"/>
        </w:rPr>
        <w:t>XX</w:t>
      </w:r>
      <w:r>
        <w:rPr>
          <w:rFonts w:ascii="黑体"/>
          <w:color w:val="000000"/>
        </w:rPr>
        <w:fldChar w:fldCharType="end"/>
      </w:r>
      <w:bookmarkEnd w:id="12"/>
      <w:r>
        <w:rPr>
          <w:rFonts w:hint="eastAsia"/>
          <w:color w:val="000000"/>
        </w:rPr>
        <w:t>发布</w:t>
      </w:r>
    </w:p>
    <w:p w14:paraId="23CBD2B4">
      <w:pPr>
        <w:pStyle w:val="194"/>
        <w:framePr w:wrap="around" w:y="14176"/>
        <w:rPr>
          <w:color w:val="000000"/>
        </w:rPr>
      </w:pPr>
      <w:r>
        <w:rPr>
          <w:rFonts w:ascii="黑体"/>
          <w:color w:val="000000"/>
        </w:rPr>
        <w:fldChar w:fldCharType="begin">
          <w:ffData>
            <w:name w:val="CROT_DATE_Y"/>
            <w:enabled/>
            <w:calcOnExit w:val="0"/>
            <w:textInput>
              <w:default w:val="XXXX"/>
              <w:maxLength w:val="4"/>
            </w:textInput>
          </w:ffData>
        </w:fldChar>
      </w:r>
      <w:bookmarkStart w:id="13" w:name="CROT_DATE_Y"/>
      <w:r>
        <w:rPr>
          <w:rFonts w:ascii="黑体"/>
          <w:color w:val="000000"/>
        </w:rPr>
        <w:instrText xml:space="preserve"> FORMTEXT </w:instrText>
      </w:r>
      <w:r>
        <w:rPr>
          <w:rFonts w:ascii="黑体"/>
          <w:color w:val="000000"/>
        </w:rPr>
        <w:fldChar w:fldCharType="separate"/>
      </w:r>
      <w:r>
        <w:rPr>
          <w:rFonts w:ascii="黑体"/>
          <w:color w:val="000000"/>
        </w:rPr>
        <w:t>XXXX</w:t>
      </w:r>
      <w:r>
        <w:rPr>
          <w:rFonts w:ascii="黑体"/>
          <w:color w:val="000000"/>
        </w:rPr>
        <w:fldChar w:fldCharType="end"/>
      </w:r>
      <w:bookmarkEnd w:id="13"/>
      <w:r>
        <w:rPr>
          <w:color w:val="000000"/>
        </w:rPr>
        <w:t xml:space="preserve"> </w:t>
      </w:r>
      <w:r>
        <w:rPr>
          <w:rFonts w:ascii="黑体"/>
          <w:color w:val="000000"/>
        </w:rPr>
        <w:t>-</w:t>
      </w:r>
      <w:r>
        <w:rPr>
          <w:color w:val="000000"/>
        </w:rPr>
        <w:t xml:space="preserve"> </w:t>
      </w:r>
      <w:r>
        <w:rPr>
          <w:rFonts w:ascii="黑体"/>
          <w:color w:val="000000"/>
        </w:rPr>
        <w:fldChar w:fldCharType="begin">
          <w:ffData>
            <w:name w:val="CROT_DATE_M"/>
            <w:enabled/>
            <w:calcOnExit w:val="0"/>
            <w:textInput>
              <w:default w:val="XX"/>
              <w:maxLength w:val="2"/>
            </w:textInput>
          </w:ffData>
        </w:fldChar>
      </w:r>
      <w:bookmarkStart w:id="14" w:name="CROT_DATE_M"/>
      <w:r>
        <w:rPr>
          <w:rFonts w:ascii="黑体"/>
          <w:color w:val="000000"/>
        </w:rPr>
        <w:instrText xml:space="preserve"> FORMTEXT </w:instrText>
      </w:r>
      <w:r>
        <w:rPr>
          <w:rFonts w:ascii="黑体"/>
          <w:color w:val="000000"/>
        </w:rPr>
        <w:fldChar w:fldCharType="separate"/>
      </w:r>
      <w:r>
        <w:rPr>
          <w:rFonts w:ascii="黑体"/>
          <w:color w:val="000000"/>
        </w:rPr>
        <w:t>XX</w:t>
      </w:r>
      <w:r>
        <w:rPr>
          <w:rFonts w:ascii="黑体"/>
          <w:color w:val="000000"/>
        </w:rPr>
        <w:fldChar w:fldCharType="end"/>
      </w:r>
      <w:bookmarkEnd w:id="14"/>
      <w:r>
        <w:rPr>
          <w:color w:val="000000"/>
        </w:rPr>
        <w:t xml:space="preserve"> </w:t>
      </w:r>
      <w:r>
        <w:rPr>
          <w:rFonts w:ascii="黑体"/>
          <w:color w:val="000000"/>
        </w:rPr>
        <w:t>-</w:t>
      </w:r>
      <w:r>
        <w:rPr>
          <w:color w:val="000000"/>
        </w:rPr>
        <w:t xml:space="preserve"> </w:t>
      </w:r>
      <w:r>
        <w:rPr>
          <w:rFonts w:ascii="黑体"/>
          <w:color w:val="000000"/>
        </w:rPr>
        <w:fldChar w:fldCharType="begin">
          <w:ffData>
            <w:name w:val="CROT_DATE_D"/>
            <w:enabled/>
            <w:calcOnExit w:val="0"/>
            <w:textInput>
              <w:default w:val="XX"/>
              <w:maxLength w:val="2"/>
            </w:textInput>
          </w:ffData>
        </w:fldChar>
      </w:r>
      <w:bookmarkStart w:id="15" w:name="CROT_DATE_D"/>
      <w:r>
        <w:rPr>
          <w:rFonts w:ascii="黑体"/>
          <w:color w:val="000000"/>
        </w:rPr>
        <w:instrText xml:space="preserve"> FORMTEXT </w:instrText>
      </w:r>
      <w:r>
        <w:rPr>
          <w:rFonts w:ascii="黑体"/>
          <w:color w:val="000000"/>
        </w:rPr>
        <w:fldChar w:fldCharType="separate"/>
      </w:r>
      <w:r>
        <w:rPr>
          <w:rFonts w:ascii="黑体"/>
          <w:color w:val="000000"/>
        </w:rPr>
        <w:t>XX</w:t>
      </w:r>
      <w:r>
        <w:rPr>
          <w:rFonts w:ascii="黑体"/>
          <w:color w:val="000000"/>
        </w:rPr>
        <w:fldChar w:fldCharType="end"/>
      </w:r>
      <w:bookmarkEnd w:id="15"/>
      <w:r>
        <w:rPr>
          <w:rFonts w:hint="eastAsia"/>
          <w:color w:val="000000"/>
        </w:rPr>
        <w:t>实施</w:t>
      </w:r>
    </w:p>
    <w:p w14:paraId="5D5F00D5">
      <w:pPr>
        <w:rPr>
          <w:rFonts w:ascii="宋体" w:hAnsi="宋体"/>
          <w:color w:val="000000"/>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color w:val="000000"/>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7620" b="698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4"/>
                    <a:srcRect/>
                    <a:stretch>
                      <a:fillRect/>
                    </a:stretch>
                  </pic:blipFill>
                  <pic:spPr>
                    <a:xfrm>
                      <a:off x="0" y="0"/>
                      <a:ext cx="2868930" cy="545465"/>
                    </a:xfrm>
                    <a:prstGeom prst="rect">
                      <a:avLst/>
                    </a:prstGeom>
                    <a:noFill/>
                    <a:ln>
                      <a:noFill/>
                    </a:ln>
                  </pic:spPr>
                </pic:pic>
              </a:graphicData>
            </a:graphic>
          </wp:anchor>
        </w:drawing>
      </w:r>
      <w:r>
        <w:rPr>
          <w:color w:val="000000"/>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9252585</wp:posOffset>
                </wp:positionV>
                <wp:extent cx="6120130" cy="0"/>
                <wp:effectExtent l="0" t="0" r="33020" b="19050"/>
                <wp:wrapNone/>
                <wp:docPr id="9"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接连接符 5" o:spid="_x0000_s1026" o:spt="20" style="position:absolute;left:0pt;margin-left:70.85pt;margin-top:728.55pt;height:0pt;width:481.9pt;mso-position-horizontal-relative:page;mso-position-vertical-relative:page;z-index:251661312;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nRi9cA&#10;AAAOAQAADwAAAAAAAAABACAAAAAiAAAAZHJzL2Rvd25yZXYueG1sUEsBAhQAFAAAAAgAh07iQOs9&#10;SS7nAQAAuAMAAA4AAAAAAAAAAQAgAAAAJgEAAGRycy9lMm9Eb2MueG1sUEsFBgAAAAAGAAYAWQEA&#10;AH8FAAAAAA==&#10;">
                <v:fill on="f" focussize="0,0"/>
                <v:stroke color="#000000" joinstyle="round"/>
                <v:imagedata o:title=""/>
                <o:lock v:ext="edit" aspectratio="f"/>
                <w10:anchorlock/>
              </v:line>
            </w:pict>
          </mc:Fallback>
        </mc:AlternateContent>
      </w:r>
      <w:r>
        <w:rPr>
          <w:rFonts w:hint="eastAsia" w:ascii="宋体" w:hAnsi="宋体"/>
          <w:color w:val="000000"/>
          <w:sz w:val="28"/>
          <w:szCs w:val="28"/>
        </w:rPr>
        <w:t>`</w:t>
      </w:r>
    </w:p>
    <w:p w14:paraId="4D98DB13">
      <w:pPr>
        <w:pStyle w:val="56"/>
        <w:ind w:firstLine="210" w:firstLineChars="100"/>
        <w:rPr>
          <w:rFonts w:ascii="黑体" w:hAnsi="黑体" w:eastAsia="黑体"/>
          <w:color w:val="000000"/>
          <w:sz w:val="28"/>
        </w:rPr>
      </w:pPr>
      <w:bookmarkStart w:id="16" w:name="BookMark2"/>
      <w:r>
        <w:rPr>
          <w:rFonts w:hint="eastAsia"/>
          <w:color w:val="000000"/>
        </w:rPr>
        <w:t xml:space="preserve"> </w:t>
      </w:r>
      <w:r>
        <w:rPr>
          <w:color w:val="000000"/>
        </w:rPr>
        <w:t xml:space="preserve">                                    </w:t>
      </w:r>
      <w:r>
        <w:rPr>
          <w:rFonts w:ascii="黑体" w:hAnsi="黑体" w:eastAsia="黑体"/>
          <w:color w:val="000000"/>
          <w:sz w:val="28"/>
        </w:rPr>
        <w:t>前</w:t>
      </w:r>
      <w:r>
        <w:rPr>
          <w:rFonts w:hint="eastAsia" w:ascii="黑体" w:hAnsi="黑体" w:eastAsia="黑体"/>
          <w:color w:val="000000"/>
          <w:sz w:val="28"/>
        </w:rPr>
        <w:t xml:space="preserve"> </w:t>
      </w:r>
      <w:r>
        <w:rPr>
          <w:rFonts w:ascii="黑体" w:hAnsi="黑体" w:eastAsia="黑体"/>
          <w:color w:val="000000"/>
          <w:sz w:val="28"/>
        </w:rPr>
        <w:t xml:space="preserve"> 言</w:t>
      </w:r>
    </w:p>
    <w:p w14:paraId="7C1956B8">
      <w:pPr>
        <w:pStyle w:val="56"/>
        <w:ind w:firstLine="420"/>
        <w:rPr>
          <w:color w:val="000000"/>
        </w:rPr>
      </w:pPr>
      <w:r>
        <w:rPr>
          <w:color w:val="000000"/>
        </w:rPr>
        <w:t>本</w:t>
      </w:r>
      <w:r>
        <w:rPr>
          <w:rFonts w:hint="eastAsia"/>
          <w:color w:val="000000"/>
          <w:lang w:val="en-US" w:eastAsia="zh-CN"/>
        </w:rPr>
        <w:t>文件</w:t>
      </w:r>
      <w:r>
        <w:rPr>
          <w:color w:val="000000"/>
        </w:rPr>
        <w:t>按照</w:t>
      </w:r>
      <w:r>
        <w:rPr>
          <w:rFonts w:hint="eastAsia"/>
          <w:color w:val="000000"/>
        </w:rPr>
        <w:t xml:space="preserve"> G</w:t>
      </w:r>
      <w:r>
        <w:rPr>
          <w:color w:val="000000"/>
        </w:rPr>
        <w:t>B/</w:t>
      </w:r>
      <w:r>
        <w:rPr>
          <w:rFonts w:hint="eastAsia"/>
          <w:color w:val="000000"/>
        </w:rPr>
        <w:t>T 1.1—2020《标准化工作导则  第1部分：标准化文件的结构和起草规则》的规定起草。</w:t>
      </w:r>
    </w:p>
    <w:p w14:paraId="7320C37B">
      <w:pPr>
        <w:pStyle w:val="56"/>
        <w:ind w:firstLine="420"/>
        <w:rPr>
          <w:color w:val="000000"/>
        </w:rPr>
      </w:pPr>
      <w:r>
        <w:rPr>
          <w:color w:val="000000"/>
        </w:rPr>
        <w:t>本</w:t>
      </w:r>
      <w:r>
        <w:rPr>
          <w:rFonts w:hint="eastAsia"/>
          <w:color w:val="000000"/>
          <w:lang w:val="en-US" w:eastAsia="zh-CN"/>
        </w:rPr>
        <w:t>文件</w:t>
      </w:r>
      <w:r>
        <w:rPr>
          <w:color w:val="000000"/>
        </w:rPr>
        <w:t>代替GB/T8760 - 2020《砷化镓单晶位错密度的测量方法》。与GB/T 8760 - 2020相比，除编辑性修改外主要技术变化如下：</w:t>
      </w:r>
    </w:p>
    <w:p w14:paraId="4AF84297">
      <w:pPr>
        <w:pStyle w:val="56"/>
        <w:ind w:firstLine="420"/>
        <w:rPr>
          <w:color w:val="000000"/>
        </w:rPr>
      </w:pPr>
      <w:r>
        <w:rPr>
          <w:rFonts w:hint="eastAsia" w:hAnsi="宋体"/>
          <w:color w:val="000000"/>
        </w:rPr>
        <w:t>——</w:t>
      </w:r>
      <w:r>
        <w:rPr>
          <w:color w:val="000000"/>
        </w:rPr>
        <w:t>修改了标准范围中的规定内容和适用范围</w:t>
      </w:r>
      <w:r>
        <w:rPr>
          <w:rFonts w:hint="eastAsia"/>
          <w:color w:val="000000"/>
        </w:rPr>
        <w:t>。（见第1章，2</w:t>
      </w:r>
      <w:r>
        <w:rPr>
          <w:color w:val="000000"/>
        </w:rPr>
        <w:t>020版的第</w:t>
      </w:r>
      <w:r>
        <w:rPr>
          <w:rFonts w:hint="eastAsia"/>
          <w:color w:val="000000"/>
        </w:rPr>
        <w:t>1章）；</w:t>
      </w:r>
    </w:p>
    <w:p w14:paraId="311F6CE7">
      <w:pPr>
        <w:pStyle w:val="56"/>
        <w:ind w:firstLine="420"/>
        <w:rPr>
          <w:color w:val="000000"/>
        </w:rPr>
      </w:pPr>
      <w:r>
        <w:rPr>
          <w:rFonts w:hint="eastAsia" w:hAnsi="宋体"/>
          <w:color w:val="000000"/>
        </w:rPr>
        <w:t>——</w:t>
      </w:r>
      <w:r>
        <w:rPr>
          <w:color w:val="000000"/>
        </w:rPr>
        <w:t>增加显微目视计数法标题，并优化其方法原理内容，</w:t>
      </w:r>
      <w:r>
        <w:rPr>
          <w:rFonts w:hint="eastAsia"/>
          <w:color w:val="000000"/>
        </w:rPr>
        <w:t>新增显微图像自动分析法标题及</w:t>
      </w:r>
      <w:r>
        <w:rPr>
          <w:color w:val="000000"/>
        </w:rPr>
        <w:t>方法原理</w:t>
      </w:r>
      <w:r>
        <w:rPr>
          <w:rFonts w:hint="eastAsia"/>
          <w:color w:val="000000"/>
        </w:rPr>
        <w:t>。（见4</w:t>
      </w:r>
      <w:r>
        <w:rPr>
          <w:color w:val="000000"/>
        </w:rPr>
        <w:t>.1</w:t>
      </w:r>
      <w:r>
        <w:rPr>
          <w:rFonts w:hint="eastAsia"/>
          <w:color w:val="000000"/>
        </w:rPr>
        <w:t>、4</w:t>
      </w:r>
      <w:r>
        <w:rPr>
          <w:color w:val="000000"/>
        </w:rPr>
        <w:t>.2</w:t>
      </w:r>
      <w:r>
        <w:rPr>
          <w:rFonts w:hint="eastAsia"/>
          <w:color w:val="000000"/>
        </w:rPr>
        <w:t>，2</w:t>
      </w:r>
      <w:r>
        <w:rPr>
          <w:color w:val="000000"/>
        </w:rPr>
        <w:t>020版的第4</w:t>
      </w:r>
      <w:r>
        <w:rPr>
          <w:rFonts w:hint="eastAsia"/>
          <w:color w:val="000000"/>
        </w:rPr>
        <w:t>章）</w:t>
      </w:r>
    </w:p>
    <w:p w14:paraId="79317696">
      <w:pPr>
        <w:pStyle w:val="56"/>
        <w:ind w:firstLine="420"/>
        <w:rPr>
          <w:color w:val="000000"/>
        </w:rPr>
      </w:pPr>
      <w:r>
        <w:rPr>
          <w:rFonts w:hint="eastAsia" w:hAnsi="宋体"/>
          <w:color w:val="000000"/>
        </w:rPr>
        <w:t>——</w:t>
      </w:r>
      <w:r>
        <w:rPr>
          <w:rFonts w:hint="eastAsia"/>
          <w:color w:val="000000"/>
        </w:rPr>
        <w:t>删除了硫酸（H</w:t>
      </w:r>
      <w:r>
        <w:rPr>
          <w:color w:val="000000"/>
          <w:vertAlign w:val="subscript"/>
        </w:rPr>
        <w:t>2</w:t>
      </w:r>
      <w:r>
        <w:rPr>
          <w:color w:val="000000"/>
        </w:rPr>
        <w:t>SO</w:t>
      </w:r>
      <w:r>
        <w:rPr>
          <w:color w:val="000000"/>
          <w:vertAlign w:val="subscript"/>
        </w:rPr>
        <w:t>4</w:t>
      </w:r>
      <w:r>
        <w:rPr>
          <w:rFonts w:hint="eastAsia"/>
          <w:color w:val="000000"/>
        </w:rPr>
        <w:t>）,增加氢氧化铵（</w:t>
      </w:r>
      <w:r>
        <w:rPr>
          <w:color w:val="000000"/>
        </w:rPr>
        <w:t>NH</w:t>
      </w:r>
      <w:r>
        <w:rPr>
          <w:color w:val="000000"/>
          <w:vertAlign w:val="subscript"/>
        </w:rPr>
        <w:t>3</w:t>
      </w:r>
      <w:r>
        <w:rPr>
          <w:color w:val="000000"/>
        </w:rPr>
        <w:t>.H</w:t>
      </w:r>
      <w:r>
        <w:rPr>
          <w:color w:val="000000"/>
          <w:vertAlign w:val="subscript"/>
        </w:rPr>
        <w:t>2</w:t>
      </w:r>
      <w:r>
        <w:rPr>
          <w:color w:val="000000"/>
        </w:rPr>
        <w:t>O</w:t>
      </w:r>
      <w:r>
        <w:rPr>
          <w:rFonts w:hint="eastAsia"/>
          <w:color w:val="000000"/>
        </w:rPr>
        <w:t>）。（见第</w:t>
      </w:r>
      <w:r>
        <w:rPr>
          <w:color w:val="000000"/>
        </w:rPr>
        <w:t>5</w:t>
      </w:r>
      <w:r>
        <w:rPr>
          <w:rFonts w:hint="eastAsia"/>
          <w:color w:val="000000"/>
        </w:rPr>
        <w:t>章,</w:t>
      </w:r>
      <w:r>
        <w:rPr>
          <w:color w:val="000000"/>
        </w:rPr>
        <w:t>5.2</w:t>
      </w:r>
      <w:r>
        <w:rPr>
          <w:rFonts w:hint="eastAsia"/>
          <w:color w:val="000000"/>
        </w:rPr>
        <w:t>，2</w:t>
      </w:r>
      <w:r>
        <w:rPr>
          <w:color w:val="000000"/>
        </w:rPr>
        <w:t>020版的</w:t>
      </w:r>
      <w:r>
        <w:rPr>
          <w:rFonts w:hint="eastAsia"/>
          <w:color w:val="000000"/>
        </w:rPr>
        <w:t>5</w:t>
      </w:r>
      <w:r>
        <w:rPr>
          <w:color w:val="000000"/>
        </w:rPr>
        <w:t>.2</w:t>
      </w:r>
      <w:r>
        <w:rPr>
          <w:rFonts w:hint="eastAsia"/>
          <w:color w:val="000000"/>
        </w:rPr>
        <w:t>）</w:t>
      </w:r>
    </w:p>
    <w:p w14:paraId="0401A1DA">
      <w:pPr>
        <w:pStyle w:val="56"/>
        <w:ind w:firstLine="420"/>
        <w:rPr>
          <w:color w:val="000000"/>
        </w:rPr>
      </w:pPr>
      <w:r>
        <w:rPr>
          <w:rFonts w:hint="eastAsia" w:hAnsi="宋体"/>
          <w:color w:val="000000"/>
        </w:rPr>
        <w:t>——修改了抛光液化学品和配比要求。（</w:t>
      </w:r>
      <w:r>
        <w:rPr>
          <w:color w:val="000000"/>
        </w:rPr>
        <w:t>5.4</w:t>
      </w:r>
      <w:r>
        <w:rPr>
          <w:rFonts w:hint="eastAsia"/>
          <w:color w:val="000000"/>
        </w:rPr>
        <w:t>，2</w:t>
      </w:r>
      <w:r>
        <w:rPr>
          <w:color w:val="000000"/>
        </w:rPr>
        <w:t>020版的</w:t>
      </w:r>
      <w:r>
        <w:rPr>
          <w:rFonts w:hint="eastAsia"/>
          <w:color w:val="000000"/>
        </w:rPr>
        <w:t>5</w:t>
      </w:r>
      <w:r>
        <w:rPr>
          <w:color w:val="000000"/>
        </w:rPr>
        <w:t>.4</w:t>
      </w:r>
      <w:r>
        <w:rPr>
          <w:rFonts w:hint="eastAsia"/>
          <w:color w:val="000000"/>
        </w:rPr>
        <w:t>）</w:t>
      </w:r>
    </w:p>
    <w:p w14:paraId="1DA1AFCA">
      <w:pPr>
        <w:pStyle w:val="56"/>
        <w:ind w:firstLine="420"/>
        <w:rPr>
          <w:color w:val="000000"/>
        </w:rPr>
      </w:pPr>
      <w:r>
        <w:rPr>
          <w:rFonts w:hint="eastAsia" w:hAnsi="宋体"/>
          <w:color w:val="000000"/>
        </w:rPr>
        <w:t>——</w:t>
      </w:r>
      <w:r>
        <w:rPr>
          <w:color w:val="000000"/>
        </w:rPr>
        <w:t>整合优化金刚砂或氧化铝材料的表述</w:t>
      </w:r>
      <w:r>
        <w:rPr>
          <w:rFonts w:hint="eastAsia"/>
          <w:color w:val="000000"/>
        </w:rPr>
        <w:t>。（见5</w:t>
      </w:r>
      <w:r>
        <w:rPr>
          <w:color w:val="000000"/>
        </w:rPr>
        <w:t>.5</w:t>
      </w:r>
      <w:r>
        <w:rPr>
          <w:rFonts w:hint="eastAsia"/>
          <w:color w:val="000000"/>
        </w:rPr>
        <w:t>）</w:t>
      </w:r>
    </w:p>
    <w:p w14:paraId="5EE19200">
      <w:pPr>
        <w:pStyle w:val="56"/>
        <w:ind w:firstLine="420"/>
        <w:rPr>
          <w:color w:val="000000"/>
        </w:rPr>
      </w:pPr>
      <w:r>
        <w:rPr>
          <w:rFonts w:hint="eastAsia" w:hAnsi="宋体"/>
          <w:color w:val="000000"/>
        </w:rPr>
        <w:t>——</w:t>
      </w:r>
      <w:r>
        <w:rPr>
          <w:color w:val="000000"/>
        </w:rPr>
        <w:t>优化铂坩埚</w:t>
      </w:r>
      <w:r>
        <w:rPr>
          <w:rFonts w:hint="eastAsia"/>
          <w:color w:val="000000"/>
        </w:rPr>
        <w:t>、</w:t>
      </w:r>
      <w:r>
        <w:rPr>
          <w:color w:val="000000"/>
        </w:rPr>
        <w:t>银坩埚并补充镍坩埚</w:t>
      </w:r>
      <w:r>
        <w:rPr>
          <w:rFonts w:hint="eastAsia"/>
          <w:color w:val="000000"/>
        </w:rPr>
        <w:t>，</w:t>
      </w:r>
      <w:r>
        <w:rPr>
          <w:color w:val="000000"/>
        </w:rPr>
        <w:t>优化表述为耐腐蚀坩埚</w:t>
      </w:r>
      <w:r>
        <w:rPr>
          <w:rFonts w:hint="eastAsia"/>
          <w:color w:val="000000"/>
        </w:rPr>
        <w:t>。（见5</w:t>
      </w:r>
      <w:r>
        <w:rPr>
          <w:color w:val="000000"/>
        </w:rPr>
        <w:t>.6</w:t>
      </w:r>
      <w:r>
        <w:rPr>
          <w:rFonts w:hint="eastAsia"/>
          <w:color w:val="000000"/>
        </w:rPr>
        <w:t>）</w:t>
      </w:r>
    </w:p>
    <w:p w14:paraId="0EAAFDFE">
      <w:pPr>
        <w:pStyle w:val="56"/>
        <w:ind w:firstLine="420"/>
        <w:rPr>
          <w:color w:val="000000"/>
        </w:rPr>
      </w:pPr>
      <w:r>
        <w:rPr>
          <w:rFonts w:hint="eastAsia" w:hAnsi="宋体"/>
          <w:color w:val="000000"/>
        </w:rPr>
        <w:t>——</w:t>
      </w:r>
      <w:r>
        <w:rPr>
          <w:rFonts w:hint="eastAsia"/>
          <w:color w:val="000000"/>
        </w:rPr>
        <w:t>仪器</w:t>
      </w:r>
      <w:r>
        <w:rPr>
          <w:color w:val="000000"/>
        </w:rPr>
        <w:t>设备章节增加</w:t>
      </w:r>
      <w:r>
        <w:rPr>
          <w:rFonts w:hint="eastAsia"/>
          <w:color w:val="000000"/>
        </w:rPr>
        <w:t>显微</w:t>
      </w:r>
      <w:r>
        <w:rPr>
          <w:color w:val="000000"/>
        </w:rPr>
        <w:t>图像（EPD）扫描仪及其要求</w:t>
      </w:r>
      <w:r>
        <w:rPr>
          <w:rFonts w:hint="eastAsia"/>
          <w:color w:val="000000"/>
        </w:rPr>
        <w:t>。（见</w:t>
      </w:r>
      <w:r>
        <w:rPr>
          <w:color w:val="000000"/>
        </w:rPr>
        <w:t>6.3</w:t>
      </w:r>
      <w:r>
        <w:rPr>
          <w:rFonts w:hint="eastAsia"/>
          <w:color w:val="000000"/>
        </w:rPr>
        <w:t>）</w:t>
      </w:r>
    </w:p>
    <w:p w14:paraId="200797B5">
      <w:pPr>
        <w:pStyle w:val="56"/>
        <w:ind w:firstLine="420"/>
        <w:rPr>
          <w:color w:val="000000"/>
        </w:rPr>
      </w:pPr>
      <w:r>
        <w:rPr>
          <w:rFonts w:hint="eastAsia"/>
          <w:color w:val="000000"/>
        </w:rPr>
        <w:t>——修改了腐蚀表述内容，修改了</w:t>
      </w:r>
      <w:r>
        <w:rPr>
          <w:color w:val="000000"/>
        </w:rPr>
        <w:t>(100)面晶片腐蚀时间</w:t>
      </w:r>
      <w:r>
        <w:rPr>
          <w:rFonts w:hint="eastAsia"/>
          <w:color w:val="000000"/>
        </w:rPr>
        <w:t>，</w:t>
      </w:r>
      <w:r>
        <w:rPr>
          <w:color w:val="000000"/>
        </w:rPr>
        <w:t>(111)Ga面晶片</w:t>
      </w:r>
      <w:r>
        <w:rPr>
          <w:rFonts w:hint="eastAsia"/>
          <w:color w:val="000000"/>
        </w:rPr>
        <w:t>和</w:t>
      </w:r>
      <w:r>
        <w:rPr>
          <w:color w:val="000000"/>
        </w:rPr>
        <w:t>(111)As面晶片</w:t>
      </w:r>
      <w:r>
        <w:rPr>
          <w:rFonts w:hint="eastAsia"/>
          <w:color w:val="000000"/>
        </w:rPr>
        <w:t>整合成</w:t>
      </w:r>
      <w:r>
        <w:rPr>
          <w:color w:val="000000"/>
        </w:rPr>
        <w:t>(111)面晶片。</w:t>
      </w:r>
      <w:r>
        <w:rPr>
          <w:rFonts w:hint="eastAsia"/>
          <w:color w:val="000000"/>
        </w:rPr>
        <w:t>（见7</w:t>
      </w:r>
      <w:r>
        <w:rPr>
          <w:color w:val="000000"/>
        </w:rPr>
        <w:t>.4</w:t>
      </w:r>
      <w:r>
        <w:rPr>
          <w:rFonts w:hint="eastAsia"/>
          <w:color w:val="000000"/>
        </w:rPr>
        <w:t>，2</w:t>
      </w:r>
      <w:r>
        <w:rPr>
          <w:color w:val="000000"/>
        </w:rPr>
        <w:t>020版的</w:t>
      </w:r>
      <w:r>
        <w:rPr>
          <w:rFonts w:hint="eastAsia"/>
          <w:color w:val="000000"/>
        </w:rPr>
        <w:t>7</w:t>
      </w:r>
      <w:r>
        <w:rPr>
          <w:color w:val="000000"/>
        </w:rPr>
        <w:t>.4</w:t>
      </w:r>
      <w:r>
        <w:rPr>
          <w:rFonts w:hint="eastAsia"/>
          <w:color w:val="000000"/>
        </w:rPr>
        <w:t>）</w:t>
      </w:r>
    </w:p>
    <w:p w14:paraId="50DEB3A4">
      <w:pPr>
        <w:pStyle w:val="56"/>
        <w:ind w:firstLine="420"/>
        <w:rPr>
          <w:color w:val="000000"/>
        </w:rPr>
      </w:pPr>
      <w:r>
        <w:rPr>
          <w:rFonts w:hint="eastAsia" w:hAnsi="宋体"/>
          <w:color w:val="000000"/>
        </w:rPr>
        <w:t>——</w:t>
      </w:r>
      <w:r>
        <w:rPr>
          <w:rFonts w:hint="eastAsia"/>
          <w:color w:val="000000"/>
        </w:rPr>
        <w:t>增加修改清洁处理所需的水浴温度及优化其表述内容。（见7</w:t>
      </w:r>
      <w:r>
        <w:rPr>
          <w:color w:val="000000"/>
        </w:rPr>
        <w:t>.5</w:t>
      </w:r>
      <w:r>
        <w:rPr>
          <w:rFonts w:hint="eastAsia"/>
          <w:color w:val="000000"/>
        </w:rPr>
        <w:t>，2</w:t>
      </w:r>
      <w:r>
        <w:rPr>
          <w:color w:val="000000"/>
        </w:rPr>
        <w:t>020版的</w:t>
      </w:r>
      <w:r>
        <w:rPr>
          <w:rFonts w:hint="eastAsia"/>
          <w:color w:val="000000"/>
        </w:rPr>
        <w:t>7</w:t>
      </w:r>
      <w:r>
        <w:rPr>
          <w:color w:val="000000"/>
        </w:rPr>
        <w:t>.5</w:t>
      </w:r>
      <w:r>
        <w:rPr>
          <w:rFonts w:hint="eastAsia"/>
          <w:color w:val="000000"/>
        </w:rPr>
        <w:t>）</w:t>
      </w:r>
    </w:p>
    <w:p w14:paraId="6244B649">
      <w:pPr>
        <w:pStyle w:val="56"/>
        <w:ind w:firstLine="420"/>
        <w:rPr>
          <w:color w:val="000000"/>
        </w:rPr>
      </w:pPr>
      <w:r>
        <w:rPr>
          <w:rFonts w:hint="eastAsia"/>
          <w:color w:val="000000"/>
        </w:rPr>
        <w:t>——修改了估算位错密度N</w:t>
      </w:r>
      <w:r>
        <w:rPr>
          <w:color w:val="000000"/>
          <w:vertAlign w:val="subscript"/>
        </w:rPr>
        <w:t>d</w:t>
      </w:r>
      <w:r>
        <w:rPr>
          <w:rFonts w:hint="eastAsia"/>
          <w:color w:val="000000"/>
        </w:rPr>
        <w:t>的单位。（见</w:t>
      </w:r>
      <w:r>
        <w:rPr>
          <w:color w:val="000000"/>
        </w:rPr>
        <w:t>8.1.2</w:t>
      </w:r>
      <w:r>
        <w:rPr>
          <w:rFonts w:hint="eastAsia"/>
          <w:color w:val="000000"/>
        </w:rPr>
        <w:t>，2</w:t>
      </w:r>
      <w:r>
        <w:rPr>
          <w:color w:val="000000"/>
        </w:rPr>
        <w:t>020版的8.2.1</w:t>
      </w:r>
      <w:r>
        <w:rPr>
          <w:rFonts w:hint="eastAsia"/>
          <w:color w:val="000000"/>
        </w:rPr>
        <w:t>）</w:t>
      </w:r>
    </w:p>
    <w:p w14:paraId="0A9E8787">
      <w:pPr>
        <w:pStyle w:val="56"/>
        <w:ind w:firstLine="420"/>
        <w:rPr>
          <w:color w:val="000000"/>
        </w:rPr>
      </w:pPr>
      <w:r>
        <w:rPr>
          <w:rFonts w:hint="eastAsia" w:hAnsi="宋体"/>
          <w:color w:val="000000"/>
        </w:rPr>
        <w:t>——</w:t>
      </w:r>
      <w:r>
        <w:rPr>
          <w:color w:val="000000"/>
        </w:rPr>
        <w:t>删除了</w:t>
      </w:r>
      <w:r>
        <w:rPr>
          <w:rFonts w:hint="eastAsia"/>
          <w:color w:val="000000"/>
        </w:rPr>
        <w:t>D形砷化镓单晶片选取测试点的布点方案</w:t>
      </w:r>
      <w:r>
        <w:rPr>
          <w:color w:val="000000"/>
        </w:rPr>
        <w:t xml:space="preserve"> 。</w:t>
      </w:r>
      <w:r>
        <w:rPr>
          <w:rFonts w:hint="eastAsia"/>
          <w:color w:val="000000"/>
        </w:rPr>
        <w:t>（见2</w:t>
      </w:r>
      <w:r>
        <w:rPr>
          <w:color w:val="000000"/>
        </w:rPr>
        <w:t>020版的</w:t>
      </w:r>
      <w:r>
        <w:rPr>
          <w:rFonts w:hint="eastAsia"/>
          <w:color w:val="000000"/>
        </w:rPr>
        <w:t>8</w:t>
      </w:r>
      <w:r>
        <w:rPr>
          <w:color w:val="000000"/>
        </w:rPr>
        <w:t>.3.1</w:t>
      </w:r>
      <w:r>
        <w:rPr>
          <w:rFonts w:hint="eastAsia"/>
          <w:color w:val="000000"/>
        </w:rPr>
        <w:t>）</w:t>
      </w:r>
    </w:p>
    <w:p w14:paraId="7EC1FD90">
      <w:pPr>
        <w:pStyle w:val="56"/>
        <w:ind w:firstLine="420"/>
        <w:rPr>
          <w:color w:val="000000"/>
        </w:rPr>
      </w:pPr>
      <w:r>
        <w:rPr>
          <w:rFonts w:hint="eastAsia" w:hAnsi="宋体"/>
          <w:color w:val="000000"/>
        </w:rPr>
        <w:t>——</w:t>
      </w:r>
      <w:r>
        <w:rPr>
          <w:rFonts w:hint="eastAsia"/>
          <w:color w:val="000000"/>
        </w:rPr>
        <w:t>修改了圆形砷化镓单晶片选取测试点的布点方案</w:t>
      </w:r>
      <w:r>
        <w:rPr>
          <w:color w:val="000000"/>
        </w:rPr>
        <w:t xml:space="preserve"> 。</w:t>
      </w:r>
      <w:r>
        <w:rPr>
          <w:rFonts w:hint="eastAsia"/>
          <w:color w:val="000000"/>
        </w:rPr>
        <w:t>（见</w:t>
      </w:r>
      <w:r>
        <w:rPr>
          <w:color w:val="000000"/>
        </w:rPr>
        <w:t>8.1.3</w:t>
      </w:r>
      <w:r>
        <w:rPr>
          <w:rFonts w:hint="eastAsia"/>
          <w:color w:val="000000"/>
        </w:rPr>
        <w:t>，2</w:t>
      </w:r>
      <w:r>
        <w:rPr>
          <w:color w:val="000000"/>
        </w:rPr>
        <w:t>020版的8.3.2</w:t>
      </w:r>
      <w:r>
        <w:rPr>
          <w:rFonts w:hint="eastAsia"/>
          <w:color w:val="000000"/>
        </w:rPr>
        <w:t>、</w:t>
      </w:r>
      <w:r>
        <w:rPr>
          <w:color w:val="000000"/>
        </w:rPr>
        <w:t>8.3.3</w:t>
      </w:r>
      <w:r>
        <w:rPr>
          <w:rFonts w:hint="eastAsia"/>
          <w:color w:val="000000"/>
        </w:rPr>
        <w:t>）</w:t>
      </w:r>
    </w:p>
    <w:p w14:paraId="73296E00">
      <w:pPr>
        <w:pStyle w:val="56"/>
        <w:ind w:firstLine="420"/>
        <w:rPr>
          <w:color w:val="000000"/>
        </w:rPr>
      </w:pPr>
      <w:r>
        <w:rPr>
          <w:rFonts w:hint="eastAsia" w:hAnsi="宋体"/>
          <w:color w:val="000000"/>
        </w:rPr>
        <w:t>——</w:t>
      </w:r>
      <w:r>
        <w:rPr>
          <w:color w:val="000000"/>
        </w:rPr>
        <w:t>删除了</w:t>
      </w:r>
      <w:r>
        <w:rPr>
          <w:rFonts w:hint="eastAsia"/>
          <w:color w:val="000000"/>
        </w:rPr>
        <w:t>D形砷化镓单晶片试验数据处理的要求</w:t>
      </w:r>
      <w:r>
        <w:rPr>
          <w:color w:val="000000"/>
        </w:rPr>
        <w:t xml:space="preserve"> 。</w:t>
      </w:r>
      <w:r>
        <w:rPr>
          <w:rFonts w:hint="eastAsia"/>
          <w:color w:val="000000"/>
        </w:rPr>
        <w:t>（见2</w:t>
      </w:r>
      <w:r>
        <w:rPr>
          <w:color w:val="000000"/>
        </w:rPr>
        <w:t>020版的9.1</w:t>
      </w:r>
      <w:r>
        <w:rPr>
          <w:rFonts w:hint="eastAsia"/>
          <w:color w:val="000000"/>
        </w:rPr>
        <w:t>）</w:t>
      </w:r>
    </w:p>
    <w:p w14:paraId="719EEE38">
      <w:pPr>
        <w:pStyle w:val="56"/>
        <w:ind w:firstLine="420"/>
        <w:rPr>
          <w:color w:val="000000"/>
        </w:rPr>
      </w:pPr>
      <w:r>
        <w:rPr>
          <w:rFonts w:hint="eastAsia" w:hAnsi="宋体"/>
          <w:color w:val="000000"/>
        </w:rPr>
        <w:t>——</w:t>
      </w:r>
      <w:r>
        <w:rPr>
          <w:color w:val="000000"/>
        </w:rPr>
        <w:t>修改并增加</w:t>
      </w:r>
      <w:r>
        <w:rPr>
          <w:rFonts w:hint="eastAsia"/>
          <w:color w:val="000000"/>
        </w:rPr>
        <w:t>圆形砷化镓单晶片的试验数据处理公式（</w:t>
      </w:r>
      <w:r>
        <w:rPr>
          <w:color w:val="000000"/>
        </w:rPr>
        <w:t>显微目视计数法</w:t>
      </w:r>
      <w:r>
        <w:rPr>
          <w:rFonts w:hint="eastAsia"/>
          <w:color w:val="000000"/>
        </w:rPr>
        <w:t>）的</w:t>
      </w:r>
      <w:r>
        <w:rPr>
          <w:color w:val="000000"/>
        </w:rPr>
        <w:t>试验数据处理模式</w:t>
      </w:r>
      <w:r>
        <w:rPr>
          <w:rFonts w:hint="eastAsia"/>
          <w:color w:val="000000"/>
        </w:rPr>
        <w:t>。（见8</w:t>
      </w:r>
      <w:r>
        <w:rPr>
          <w:color w:val="000000"/>
        </w:rPr>
        <w:t>.1.5</w:t>
      </w:r>
      <w:r>
        <w:rPr>
          <w:rFonts w:hint="eastAsia"/>
          <w:color w:val="000000"/>
        </w:rPr>
        <w:t>，2</w:t>
      </w:r>
      <w:r>
        <w:rPr>
          <w:color w:val="000000"/>
        </w:rPr>
        <w:t>020版的9.2、</w:t>
      </w:r>
      <w:r>
        <w:rPr>
          <w:rFonts w:hint="eastAsia"/>
          <w:color w:val="000000"/>
        </w:rPr>
        <w:t>9.</w:t>
      </w:r>
      <w:r>
        <w:rPr>
          <w:color w:val="000000"/>
        </w:rPr>
        <w:t>3）</w:t>
      </w:r>
    </w:p>
    <w:p w14:paraId="77C29AB7">
      <w:pPr>
        <w:pStyle w:val="56"/>
        <w:ind w:firstLine="420"/>
        <w:rPr>
          <w:color w:val="000000"/>
        </w:rPr>
      </w:pPr>
      <w:r>
        <w:rPr>
          <w:rFonts w:hint="eastAsia" w:hAnsi="宋体"/>
          <w:color w:val="000000"/>
        </w:rPr>
        <w:t>——</w:t>
      </w:r>
      <w:r>
        <w:rPr>
          <w:rFonts w:hint="eastAsia"/>
          <w:color w:val="000000"/>
        </w:rPr>
        <w:t>增加了显微图像自动分析法试验步骤。（见8</w:t>
      </w:r>
      <w:r>
        <w:rPr>
          <w:color w:val="000000"/>
        </w:rPr>
        <w:t>.2）</w:t>
      </w:r>
    </w:p>
    <w:p w14:paraId="62F7BCEB">
      <w:pPr>
        <w:pStyle w:val="56"/>
        <w:ind w:firstLine="420"/>
        <w:rPr>
          <w:color w:val="000000"/>
        </w:rPr>
      </w:pPr>
      <w:r>
        <w:rPr>
          <w:rFonts w:hint="eastAsia" w:hAnsi="宋体"/>
          <w:color w:val="000000"/>
        </w:rPr>
        <w:t>——</w:t>
      </w:r>
      <w:r>
        <w:rPr>
          <w:color w:val="000000"/>
        </w:rPr>
        <w:t>删除了</w:t>
      </w:r>
      <w:r>
        <w:rPr>
          <w:rFonts w:hint="eastAsia"/>
          <w:color w:val="000000"/>
        </w:rPr>
        <w:t>D形砷化镓单晶片精密度相对误差的要求</w:t>
      </w:r>
      <w:r>
        <w:rPr>
          <w:color w:val="000000"/>
        </w:rPr>
        <w:t>。</w:t>
      </w:r>
      <w:r>
        <w:rPr>
          <w:rFonts w:hint="eastAsia"/>
          <w:color w:val="000000"/>
        </w:rPr>
        <w:t>（见2</w:t>
      </w:r>
      <w:r>
        <w:rPr>
          <w:color w:val="000000"/>
        </w:rPr>
        <w:t>020版的10</w:t>
      </w:r>
      <w:r>
        <w:rPr>
          <w:rFonts w:hint="eastAsia"/>
          <w:color w:val="000000"/>
        </w:rPr>
        <w:t>）</w:t>
      </w:r>
    </w:p>
    <w:p w14:paraId="2EC50C9C">
      <w:pPr>
        <w:adjustRightInd/>
        <w:spacing w:line="240" w:lineRule="auto"/>
        <w:ind w:firstLine="420" w:firstLineChars="200"/>
        <w:rPr>
          <w:color w:val="000000"/>
          <w:szCs w:val="22"/>
        </w:rPr>
      </w:pPr>
      <w:r>
        <w:rPr>
          <w:rFonts w:hint="eastAsia" w:hAnsi="宋体" w:cs="宋体"/>
          <w:color w:val="000000"/>
          <w:szCs w:val="21"/>
        </w:rPr>
        <w:t>请注意本文件的某些内容可能涉及专利。本文件的发布机构不承担识别这些专利的责任。</w:t>
      </w:r>
      <w:bookmarkStart w:id="87" w:name="_GoBack"/>
      <w:bookmarkEnd w:id="87"/>
    </w:p>
    <w:p w14:paraId="7925D513">
      <w:pPr>
        <w:adjustRightInd/>
        <w:spacing w:line="240" w:lineRule="auto"/>
        <w:ind w:firstLine="420" w:firstLineChars="200"/>
        <w:rPr>
          <w:rFonts w:ascii="宋体" w:hAnsi="宋体"/>
          <w:color w:val="000000"/>
          <w:szCs w:val="22"/>
        </w:rPr>
      </w:pPr>
      <w:r>
        <w:rPr>
          <w:color w:val="000000"/>
          <w:szCs w:val="22"/>
        </w:rPr>
        <w:t>本</w:t>
      </w:r>
      <w:r>
        <w:rPr>
          <w:rFonts w:hint="eastAsia"/>
          <w:color w:val="000000"/>
          <w:szCs w:val="22"/>
          <w:lang w:val="en-US" w:eastAsia="zh-CN"/>
        </w:rPr>
        <w:t>文件</w:t>
      </w:r>
      <w:r>
        <w:rPr>
          <w:rFonts w:ascii="宋体" w:hAnsi="宋体"/>
          <w:color w:val="000000"/>
          <w:szCs w:val="22"/>
        </w:rPr>
        <w:t>由全国半导体设备和材料标准化技术委员会（SAC/TC 203）与全国半导体设备和材料标准化技术委员会材料分技术委员会（SAC/TC 203/SC 2）共同提出并归口。</w:t>
      </w:r>
    </w:p>
    <w:p w14:paraId="3F4C0E98">
      <w:pPr>
        <w:adjustRightInd/>
        <w:spacing w:line="240" w:lineRule="auto"/>
        <w:ind w:firstLine="420" w:firstLineChars="200"/>
        <w:rPr>
          <w:rFonts w:ascii="宋体" w:hAnsi="宋体"/>
          <w:color w:val="000000"/>
          <w:szCs w:val="22"/>
        </w:rPr>
      </w:pPr>
      <w:r>
        <w:rPr>
          <w:rFonts w:ascii="宋体" w:hAnsi="宋体"/>
          <w:color w:val="000000"/>
          <w:szCs w:val="22"/>
        </w:rPr>
        <w:t>本</w:t>
      </w:r>
      <w:r>
        <w:rPr>
          <w:rFonts w:hint="eastAsia" w:ascii="宋体" w:hAnsi="宋体"/>
          <w:color w:val="000000"/>
          <w:szCs w:val="22"/>
          <w:lang w:val="en-US" w:eastAsia="zh-CN"/>
        </w:rPr>
        <w:t>文件</w:t>
      </w:r>
      <w:r>
        <w:rPr>
          <w:rFonts w:ascii="宋体" w:hAnsi="宋体"/>
          <w:color w:val="000000"/>
          <w:szCs w:val="22"/>
        </w:rPr>
        <w:t>起草单位：广东先导微电子科技有限公司</w:t>
      </w:r>
      <w:r>
        <w:rPr>
          <w:rFonts w:hint="eastAsia" w:ascii="宋体" w:hAnsi="宋体"/>
          <w:color w:val="000000"/>
          <w:szCs w:val="22"/>
        </w:rPr>
        <w:t>、</w:t>
      </w:r>
      <w:r>
        <w:rPr>
          <w:rFonts w:ascii="宋体" w:hAnsi="宋体"/>
          <w:color w:val="000000"/>
          <w:szCs w:val="22"/>
        </w:rPr>
        <w:t>有研国晶辉新材料有限公司</w:t>
      </w:r>
      <w:r>
        <w:rPr>
          <w:rFonts w:hint="eastAsia" w:ascii="宋体" w:hAnsi="宋体"/>
          <w:color w:val="000000"/>
          <w:szCs w:val="22"/>
        </w:rPr>
        <w:t>、威科赛乐微电子股份有限公司、中国电子科技集团公司第四十六研究所、云南鑫耀半导体材料有限公司、</w:t>
      </w:r>
      <w:r>
        <w:rPr>
          <w:rFonts w:ascii="宋体" w:hAnsi="宋体"/>
          <w:color w:val="000000"/>
          <w:szCs w:val="22"/>
        </w:rPr>
        <w:t>大庆溢泰半导体材料有限公司</w:t>
      </w:r>
      <w:r>
        <w:rPr>
          <w:rFonts w:hint="eastAsia" w:ascii="宋体" w:hAnsi="宋体"/>
          <w:color w:val="000000"/>
          <w:szCs w:val="22"/>
        </w:rPr>
        <w:t>、</w:t>
      </w:r>
      <w:r>
        <w:rPr>
          <w:rFonts w:ascii="宋体" w:hAnsi="宋体"/>
          <w:color w:val="000000"/>
          <w:szCs w:val="22"/>
        </w:rPr>
        <w:t>东莞市中镓半导体科技有限公司。</w:t>
      </w:r>
    </w:p>
    <w:p w14:paraId="0BABAF5C">
      <w:pPr>
        <w:adjustRightInd/>
        <w:spacing w:line="240" w:lineRule="auto"/>
        <w:ind w:firstLine="420" w:firstLineChars="200"/>
        <w:rPr>
          <w:rFonts w:ascii="宋体" w:hAnsi="宋体"/>
          <w:color w:val="000000"/>
          <w:szCs w:val="22"/>
        </w:rPr>
      </w:pPr>
      <w:r>
        <w:rPr>
          <w:rFonts w:ascii="宋体" w:hAnsi="宋体"/>
          <w:color w:val="000000"/>
          <w:szCs w:val="22"/>
        </w:rPr>
        <w:t>本</w:t>
      </w:r>
      <w:r>
        <w:rPr>
          <w:rFonts w:hint="eastAsia" w:ascii="宋体" w:hAnsi="宋体"/>
          <w:color w:val="000000"/>
          <w:szCs w:val="22"/>
          <w:lang w:val="en-US" w:eastAsia="zh-CN"/>
        </w:rPr>
        <w:t>文件</w:t>
      </w:r>
      <w:r>
        <w:rPr>
          <w:rFonts w:ascii="宋体" w:hAnsi="宋体"/>
          <w:color w:val="000000"/>
          <w:szCs w:val="22"/>
        </w:rPr>
        <w:t>主要起草人：</w:t>
      </w:r>
      <w:r>
        <w:rPr>
          <w:rFonts w:hint="eastAsia" w:ascii="宋体" w:hAnsi="宋体"/>
          <w:color w:val="000000"/>
          <w:szCs w:val="22"/>
        </w:rPr>
        <w:t>王金灵、周铁军、刘火阳、阮永权、朱小梅、罗爱斌、李勇、宋世金、刘立娜、赵中阳、普世坤</w:t>
      </w:r>
      <w:r>
        <w:rPr>
          <w:rFonts w:ascii="宋体" w:hAnsi="宋体"/>
          <w:color w:val="000000"/>
          <w:szCs w:val="22"/>
        </w:rPr>
        <w:t>。</w:t>
      </w:r>
    </w:p>
    <w:p w14:paraId="0193C2B9">
      <w:pPr>
        <w:adjustRightInd/>
        <w:spacing w:line="240" w:lineRule="auto"/>
        <w:ind w:firstLine="420" w:firstLineChars="200"/>
        <w:rPr>
          <w:rFonts w:ascii="宋体" w:hAnsi="宋体"/>
          <w:color w:val="000000"/>
          <w:szCs w:val="22"/>
        </w:rPr>
      </w:pPr>
      <w:r>
        <w:rPr>
          <w:rFonts w:ascii="宋体" w:hAnsi="宋体"/>
          <w:color w:val="000000"/>
          <w:szCs w:val="22"/>
        </w:rPr>
        <w:t>本</w:t>
      </w:r>
      <w:r>
        <w:rPr>
          <w:rFonts w:hint="eastAsia" w:ascii="宋体" w:hAnsi="宋体"/>
          <w:color w:val="000000"/>
          <w:szCs w:val="22"/>
          <w:lang w:val="en-US" w:eastAsia="zh-CN"/>
        </w:rPr>
        <w:t>文件</w:t>
      </w:r>
      <w:r>
        <w:rPr>
          <w:rFonts w:ascii="宋体" w:hAnsi="宋体"/>
          <w:color w:val="000000"/>
          <w:szCs w:val="22"/>
        </w:rPr>
        <w:t>所代替标准的历次版本发布情况为：</w:t>
      </w:r>
      <w:r>
        <w:rPr>
          <w:rFonts w:hint="eastAsia" w:ascii="宋体" w:hAnsi="宋体"/>
          <w:color w:val="000000"/>
          <w:szCs w:val="22"/>
          <w:lang w:val="en-US" w:eastAsia="zh-CN"/>
        </w:rPr>
        <w:t>1988年首次发布为</w:t>
      </w:r>
      <w:r>
        <w:rPr>
          <w:rFonts w:ascii="宋体" w:hAnsi="宋体"/>
          <w:color w:val="000000"/>
          <w:szCs w:val="22"/>
        </w:rPr>
        <w:t>GB/T</w:t>
      </w:r>
      <w:r>
        <w:rPr>
          <w:rFonts w:hint="eastAsia" w:ascii="宋体" w:hAnsi="宋体"/>
          <w:color w:val="000000"/>
          <w:szCs w:val="22"/>
          <w:lang w:val="en-US" w:eastAsia="zh-CN"/>
        </w:rPr>
        <w:t xml:space="preserve"> </w:t>
      </w:r>
      <w:r>
        <w:rPr>
          <w:rFonts w:ascii="宋体" w:hAnsi="宋体"/>
          <w:color w:val="000000"/>
          <w:szCs w:val="22"/>
        </w:rPr>
        <w:t>8760 - 1988</w:t>
      </w:r>
      <w:r>
        <w:rPr>
          <w:rFonts w:hint="eastAsia" w:ascii="宋体" w:hAnsi="宋体"/>
          <w:color w:val="000000"/>
          <w:szCs w:val="22"/>
          <w:lang w:eastAsia="zh-CN"/>
        </w:rPr>
        <w:t>，</w:t>
      </w:r>
      <w:r>
        <w:rPr>
          <w:rFonts w:ascii="宋体" w:hAnsi="宋体"/>
          <w:color w:val="000000"/>
          <w:szCs w:val="22"/>
        </w:rPr>
        <w:t>2006</w:t>
      </w:r>
      <w:r>
        <w:rPr>
          <w:rFonts w:hint="eastAsia" w:ascii="宋体" w:hAnsi="宋体"/>
          <w:color w:val="000000"/>
          <w:szCs w:val="22"/>
          <w:lang w:val="en-US" w:eastAsia="zh-CN"/>
        </w:rPr>
        <w:t>年第一次修订</w:t>
      </w:r>
      <w:r>
        <w:rPr>
          <w:rFonts w:hint="eastAsia" w:ascii="宋体" w:hAnsi="宋体"/>
          <w:color w:val="000000"/>
          <w:szCs w:val="22"/>
          <w:lang w:eastAsia="zh-CN"/>
        </w:rPr>
        <w:t>，</w:t>
      </w:r>
      <w:r>
        <w:rPr>
          <w:rFonts w:ascii="宋体" w:hAnsi="宋体"/>
          <w:color w:val="000000"/>
          <w:szCs w:val="22"/>
        </w:rPr>
        <w:t>2020</w:t>
      </w:r>
      <w:r>
        <w:rPr>
          <w:rFonts w:hint="eastAsia" w:ascii="宋体" w:hAnsi="宋体"/>
          <w:color w:val="000000"/>
          <w:szCs w:val="22"/>
          <w:lang w:val="en-US" w:eastAsia="zh-CN"/>
        </w:rPr>
        <w:t>年第二次修订，本次为第三次修订</w:t>
      </w:r>
      <w:r>
        <w:rPr>
          <w:rFonts w:ascii="宋体" w:hAnsi="宋体"/>
          <w:color w:val="000000"/>
          <w:szCs w:val="22"/>
        </w:rPr>
        <w:t>。</w:t>
      </w:r>
    </w:p>
    <w:p w14:paraId="1CA1E93C">
      <w:pPr>
        <w:pStyle w:val="56"/>
        <w:ind w:firstLine="420"/>
        <w:rPr>
          <w:color w:val="000000"/>
        </w:rPr>
      </w:pPr>
    </w:p>
    <w:p w14:paraId="567002F5">
      <w:pPr>
        <w:pStyle w:val="56"/>
        <w:ind w:firstLine="0" w:firstLineChars="0"/>
        <w:rPr>
          <w:color w:val="000000"/>
        </w:rPr>
      </w:pPr>
    </w:p>
    <w:bookmarkEnd w:id="16"/>
    <w:p w14:paraId="222E67B1">
      <w:pPr>
        <w:pStyle w:val="56"/>
        <w:ind w:firstLine="420"/>
        <w:rPr>
          <w:color w:val="000000"/>
        </w:rPr>
      </w:pPr>
      <w:bookmarkStart w:id="17" w:name="BookMark3"/>
    </w:p>
    <w:p w14:paraId="694CC059">
      <w:pPr>
        <w:pStyle w:val="56"/>
        <w:ind w:firstLine="420"/>
        <w:rPr>
          <w:color w:val="000000"/>
        </w:rPr>
      </w:pPr>
    </w:p>
    <w:p w14:paraId="407C0860">
      <w:pPr>
        <w:pStyle w:val="56"/>
        <w:ind w:firstLine="420"/>
        <w:rPr>
          <w:color w:val="000000"/>
        </w:rPr>
        <w:sectPr>
          <w:headerReference r:id="rId9" w:type="default"/>
          <w:footerReference r:id="rId11" w:type="default"/>
          <w:headerReference r:id="rId10" w:type="even"/>
          <w:pgSz w:w="11906" w:h="16838"/>
          <w:pgMar w:top="1928" w:right="1134" w:bottom="1134" w:left="1134" w:header="1418" w:footer="1134" w:gutter="284"/>
          <w:pgNumType w:fmt="upperRoman"/>
          <w:cols w:space="425" w:num="1"/>
          <w:formProt w:val="0"/>
          <w:docGrid w:type="lines" w:linePitch="312" w:charSpace="0"/>
        </w:sectPr>
      </w:pPr>
    </w:p>
    <w:bookmarkEnd w:id="17"/>
    <w:p w14:paraId="715A0FE2">
      <w:pPr>
        <w:spacing w:line="20" w:lineRule="exact"/>
        <w:jc w:val="center"/>
        <w:rPr>
          <w:rFonts w:ascii="黑体" w:hAnsi="黑体" w:eastAsia="黑体"/>
          <w:color w:val="000000"/>
          <w:sz w:val="32"/>
          <w:szCs w:val="32"/>
        </w:rPr>
      </w:pPr>
      <w:bookmarkStart w:id="18" w:name="BookMark4"/>
    </w:p>
    <w:p w14:paraId="2720361B">
      <w:pPr>
        <w:spacing w:line="20" w:lineRule="exact"/>
        <w:jc w:val="center"/>
        <w:rPr>
          <w:rFonts w:ascii="黑体" w:hAnsi="黑体" w:eastAsia="黑体"/>
          <w:color w:val="000000"/>
          <w:sz w:val="32"/>
          <w:szCs w:val="32"/>
        </w:rPr>
      </w:pPr>
    </w:p>
    <w:p w14:paraId="19C87DF5">
      <w:pPr>
        <w:spacing w:line="20" w:lineRule="exact"/>
        <w:jc w:val="center"/>
        <w:rPr>
          <w:rFonts w:ascii="黑体" w:hAnsi="黑体" w:eastAsia="黑体"/>
          <w:color w:val="000000"/>
          <w:sz w:val="32"/>
          <w:szCs w:val="32"/>
        </w:rPr>
      </w:pPr>
    </w:p>
    <w:p w14:paraId="3B94D2CE">
      <w:pPr>
        <w:spacing w:line="20" w:lineRule="exact"/>
        <w:jc w:val="center"/>
        <w:rPr>
          <w:rFonts w:ascii="黑体" w:hAnsi="黑体" w:eastAsia="黑体"/>
          <w:color w:val="000000"/>
          <w:sz w:val="32"/>
          <w:szCs w:val="32"/>
        </w:rPr>
      </w:pPr>
    </w:p>
    <w:p w14:paraId="57680885">
      <w:pPr>
        <w:spacing w:line="20" w:lineRule="exact"/>
        <w:jc w:val="center"/>
        <w:rPr>
          <w:rFonts w:ascii="黑体" w:hAnsi="黑体" w:eastAsia="黑体"/>
          <w:color w:val="000000"/>
          <w:sz w:val="32"/>
          <w:szCs w:val="32"/>
        </w:rPr>
      </w:pPr>
    </w:p>
    <w:p w14:paraId="4D1BAE6E">
      <w:pPr>
        <w:spacing w:line="20" w:lineRule="exact"/>
        <w:jc w:val="center"/>
        <w:rPr>
          <w:rFonts w:ascii="黑体" w:hAnsi="黑体" w:eastAsia="黑体"/>
          <w:color w:val="000000"/>
          <w:sz w:val="32"/>
          <w:szCs w:val="32"/>
        </w:rPr>
      </w:pPr>
    </w:p>
    <w:p w14:paraId="39FFA32E">
      <w:pPr>
        <w:spacing w:line="20" w:lineRule="exact"/>
        <w:jc w:val="center"/>
        <w:rPr>
          <w:rFonts w:ascii="黑体" w:hAnsi="黑体" w:eastAsia="黑体"/>
          <w:color w:val="000000"/>
          <w:sz w:val="32"/>
          <w:szCs w:val="32"/>
        </w:rPr>
      </w:pPr>
    </w:p>
    <w:p w14:paraId="1F23E0CC">
      <w:pPr>
        <w:pStyle w:val="177"/>
        <w:spacing w:before="312" w:beforeLines="100" w:after="686" w:afterLines="220"/>
        <w:rPr>
          <w:color w:val="000000"/>
        </w:rPr>
      </w:pPr>
      <w:bookmarkStart w:id="19" w:name="NEW_STAND_NAME"/>
      <w:r>
        <w:rPr>
          <w:color w:val="000000"/>
        </w:rPr>
        <w:fldChar w:fldCharType="begin">
          <w:ffData>
            <w:enabled/>
            <w:calcOnExit w:val="0"/>
            <w:textInput>
              <w:default w:val="点击此处添加标准名称"/>
            </w:textInput>
          </w:ffData>
        </w:fldChar>
      </w:r>
      <w:r>
        <w:rPr>
          <w:color w:val="000000"/>
        </w:rPr>
        <w:instrText xml:space="preserve"> FORMTEXT </w:instrText>
      </w:r>
      <w:r>
        <w:rPr>
          <w:color w:val="000000"/>
        </w:rPr>
        <w:fldChar w:fldCharType="separate"/>
      </w:r>
      <w:r>
        <w:rPr>
          <w:rFonts w:hint="eastAsia"/>
          <w:color w:val="000000"/>
        </w:rPr>
        <w:t>砷化镓单晶位错密度的测试方法</w:t>
      </w:r>
      <w:r>
        <w:rPr>
          <w:color w:val="000000"/>
        </w:rPr>
        <w:fldChar w:fldCharType="end"/>
      </w:r>
      <w:bookmarkEnd w:id="19"/>
    </w:p>
    <w:p w14:paraId="3E73B7B8">
      <w:pPr>
        <w:pStyle w:val="104"/>
        <w:adjustRightInd w:val="0"/>
        <w:snapToGrid w:val="0"/>
        <w:spacing w:before="0" w:beforeLines="0" w:after="0" w:afterLines="0" w:line="300" w:lineRule="auto"/>
        <w:rPr>
          <w:color w:val="000000"/>
        </w:rPr>
      </w:pPr>
      <w:bookmarkStart w:id="20" w:name="_Toc26648465"/>
      <w:bookmarkStart w:id="21" w:name="_Toc24884218"/>
      <w:bookmarkStart w:id="22" w:name="_Toc26986530"/>
      <w:bookmarkStart w:id="23" w:name="_Toc17233325"/>
      <w:bookmarkStart w:id="24" w:name="_Toc194932211"/>
      <w:bookmarkStart w:id="25" w:name="_Toc24884211"/>
      <w:bookmarkStart w:id="26" w:name="_Toc26986771"/>
      <w:bookmarkStart w:id="27" w:name="_Toc17233333"/>
      <w:bookmarkStart w:id="28" w:name="_Toc195514562"/>
      <w:bookmarkStart w:id="29" w:name="_Toc26718930"/>
      <w:bookmarkStart w:id="30" w:name="_Toc97190718"/>
      <w:r>
        <w:rPr>
          <w:rFonts w:hint="eastAsia"/>
          <w:color w:val="000000"/>
        </w:rPr>
        <w:t>范围</w:t>
      </w:r>
      <w:bookmarkEnd w:id="20"/>
      <w:bookmarkEnd w:id="21"/>
      <w:bookmarkEnd w:id="22"/>
      <w:bookmarkEnd w:id="23"/>
      <w:bookmarkEnd w:id="24"/>
      <w:bookmarkEnd w:id="25"/>
      <w:bookmarkEnd w:id="26"/>
      <w:bookmarkEnd w:id="27"/>
      <w:bookmarkEnd w:id="28"/>
      <w:bookmarkEnd w:id="29"/>
      <w:bookmarkEnd w:id="30"/>
    </w:p>
    <w:p w14:paraId="3AB5D7A7">
      <w:pPr>
        <w:pStyle w:val="56"/>
        <w:spacing w:line="300" w:lineRule="auto"/>
        <w:ind w:firstLine="420"/>
        <w:rPr>
          <w:rFonts w:hAnsi="宋体"/>
          <w:color w:val="000000"/>
          <w:sz w:val="24"/>
          <w:szCs w:val="24"/>
        </w:rPr>
      </w:pPr>
      <w:r>
        <w:rPr>
          <w:rFonts w:hint="eastAsia"/>
          <w:color w:val="000000"/>
        </w:rPr>
        <w:t>本标准规定了砷化镓单晶位错密度的两种测试方法：</w:t>
      </w:r>
      <w:r>
        <w:rPr>
          <w:color w:val="000000"/>
        </w:rPr>
        <w:t>显微目视计数法、显微图像自动分析法</w:t>
      </w:r>
      <w:r>
        <w:rPr>
          <w:rFonts w:hint="eastAsia"/>
          <w:color w:val="000000"/>
        </w:rPr>
        <w:t>。</w:t>
      </w:r>
    </w:p>
    <w:p w14:paraId="785BDDDD">
      <w:pPr>
        <w:pStyle w:val="56"/>
        <w:spacing w:line="300" w:lineRule="auto"/>
        <w:ind w:firstLine="420"/>
        <w:rPr>
          <w:color w:val="000000"/>
        </w:rPr>
      </w:pPr>
      <w:r>
        <w:rPr>
          <w:rFonts w:hint="eastAsia"/>
          <w:color w:val="000000"/>
        </w:rPr>
        <w:t>本标准适用于直径为5</w:t>
      </w:r>
      <w:r>
        <w:rPr>
          <w:color w:val="000000"/>
        </w:rPr>
        <w:t>0.8</w:t>
      </w:r>
      <w:r>
        <w:rPr>
          <w:rFonts w:ascii="Yu Gothic Medium" w:hAnsi="Yu Gothic Medium" w:eastAsia="Yu Gothic Medium"/>
          <w:color w:val="000000"/>
          <w:sz w:val="18"/>
          <w:szCs w:val="18"/>
        </w:rPr>
        <w:t xml:space="preserve"> </w:t>
      </w:r>
      <w:r>
        <w:rPr>
          <w:rFonts w:hint="eastAsia" w:hAnsi="宋体"/>
          <w:color w:val="000000"/>
          <w:sz w:val="18"/>
          <w:szCs w:val="18"/>
        </w:rPr>
        <w:t>mm</w:t>
      </w:r>
      <w:r>
        <w:rPr>
          <w:rFonts w:hint="eastAsia"/>
          <w:color w:val="000000"/>
        </w:rPr>
        <w:t>、7</w:t>
      </w:r>
      <w:r>
        <w:rPr>
          <w:color w:val="000000"/>
        </w:rPr>
        <w:t>0.6</w:t>
      </w:r>
      <w:r>
        <w:rPr>
          <w:rFonts w:ascii="Yu Gothic Medium" w:hAnsi="Yu Gothic Medium" w:eastAsia="Yu Gothic Medium"/>
          <w:color w:val="000000"/>
          <w:sz w:val="18"/>
          <w:szCs w:val="18"/>
        </w:rPr>
        <w:t xml:space="preserve"> </w:t>
      </w:r>
      <w:r>
        <w:rPr>
          <w:rFonts w:hint="eastAsia" w:hAnsi="宋体"/>
          <w:color w:val="000000"/>
          <w:sz w:val="18"/>
          <w:szCs w:val="18"/>
        </w:rPr>
        <w:t>mm</w:t>
      </w:r>
      <w:r>
        <w:rPr>
          <w:rFonts w:hint="eastAsia"/>
          <w:color w:val="000000"/>
        </w:rPr>
        <w:t>、1</w:t>
      </w:r>
      <w:r>
        <w:rPr>
          <w:color w:val="000000"/>
        </w:rPr>
        <w:t>00.0</w:t>
      </w:r>
      <w:r>
        <w:rPr>
          <w:rFonts w:ascii="Yu Gothic Medium" w:hAnsi="Yu Gothic Medium" w:eastAsia="Yu Gothic Medium"/>
          <w:color w:val="000000"/>
          <w:sz w:val="18"/>
          <w:szCs w:val="18"/>
        </w:rPr>
        <w:t xml:space="preserve"> </w:t>
      </w:r>
      <w:r>
        <w:rPr>
          <w:rFonts w:hint="eastAsia" w:hAnsi="宋体"/>
          <w:color w:val="000000"/>
          <w:sz w:val="18"/>
          <w:szCs w:val="18"/>
        </w:rPr>
        <w:t>mm</w:t>
      </w:r>
      <w:r>
        <w:rPr>
          <w:rFonts w:hint="eastAsia"/>
          <w:color w:val="000000"/>
        </w:rPr>
        <w:t>、1</w:t>
      </w:r>
      <w:r>
        <w:rPr>
          <w:color w:val="000000"/>
        </w:rPr>
        <w:t>50.0</w:t>
      </w:r>
      <w:r>
        <w:rPr>
          <w:rFonts w:ascii="Yu Gothic Medium" w:hAnsi="Yu Gothic Medium" w:eastAsia="Yu Gothic Medium"/>
          <w:color w:val="000000"/>
          <w:sz w:val="18"/>
          <w:szCs w:val="18"/>
        </w:rPr>
        <w:t xml:space="preserve"> </w:t>
      </w:r>
      <w:r>
        <w:rPr>
          <w:rFonts w:hint="eastAsia" w:hAnsi="宋体"/>
          <w:color w:val="000000"/>
          <w:sz w:val="18"/>
          <w:szCs w:val="18"/>
        </w:rPr>
        <w:t>mm</w:t>
      </w:r>
      <w:r>
        <w:rPr>
          <w:rFonts w:hint="eastAsia"/>
          <w:color w:val="000000"/>
        </w:rPr>
        <w:t>、2</w:t>
      </w:r>
      <w:r>
        <w:rPr>
          <w:color w:val="000000"/>
        </w:rPr>
        <w:t>00.0</w:t>
      </w:r>
      <w:r>
        <w:rPr>
          <w:rFonts w:ascii="Yu Gothic Medium" w:hAnsi="Yu Gothic Medium" w:eastAsia="Yu Gothic Medium"/>
          <w:color w:val="000000"/>
          <w:sz w:val="18"/>
          <w:szCs w:val="18"/>
        </w:rPr>
        <w:t xml:space="preserve"> </w:t>
      </w:r>
      <w:r>
        <w:rPr>
          <w:rFonts w:hint="eastAsia" w:hAnsi="宋体"/>
          <w:color w:val="000000"/>
          <w:sz w:val="18"/>
          <w:szCs w:val="18"/>
        </w:rPr>
        <w:t>mm</w:t>
      </w:r>
      <w:r>
        <w:rPr>
          <w:rFonts w:hint="eastAsia"/>
          <w:color w:val="000000"/>
        </w:rPr>
        <w:t xml:space="preserve"> ，(100)、(111)面砷化镓单晶片位错密度的测试，测试范围为0 </w:t>
      </w:r>
      <w:r>
        <w:rPr>
          <w:rFonts w:hint="eastAsia"/>
          <w:color w:val="000000"/>
          <w:lang w:val="en-US" w:eastAsia="zh-CN"/>
        </w:rPr>
        <w:t>个/</w:t>
      </w:r>
      <w:r>
        <w:rPr>
          <w:rFonts w:hint="eastAsia"/>
          <w:color w:val="000000"/>
        </w:rPr>
        <w:t>cm</w:t>
      </w:r>
      <w:r>
        <w:rPr>
          <w:color w:val="000000"/>
          <w:vertAlign w:val="superscript"/>
        </w:rPr>
        <w:t>2</w:t>
      </w:r>
      <w:r>
        <w:rPr>
          <w:rFonts w:hint="eastAsia"/>
          <w:color w:val="000000"/>
        </w:rPr>
        <w:t xml:space="preserve"> ～ 100000 </w:t>
      </w:r>
      <w:r>
        <w:rPr>
          <w:rFonts w:hint="eastAsia"/>
          <w:color w:val="000000"/>
          <w:lang w:val="en-US" w:eastAsia="zh-CN"/>
        </w:rPr>
        <w:t>个/</w:t>
      </w:r>
      <w:r>
        <w:rPr>
          <w:rFonts w:hint="eastAsia"/>
          <w:color w:val="000000"/>
        </w:rPr>
        <w:t>cm</w:t>
      </w:r>
      <w:r>
        <w:rPr>
          <w:color w:val="000000"/>
          <w:vertAlign w:val="superscript"/>
        </w:rPr>
        <w:t>2</w:t>
      </w:r>
      <w:r>
        <w:rPr>
          <w:rFonts w:hint="eastAsia"/>
          <w:color w:val="000000"/>
        </w:rPr>
        <w:t>。</w:t>
      </w:r>
    </w:p>
    <w:p w14:paraId="775B672F">
      <w:pPr>
        <w:pStyle w:val="104"/>
        <w:adjustRightInd w:val="0"/>
        <w:snapToGrid w:val="0"/>
        <w:spacing w:before="0" w:beforeLines="0" w:after="0" w:afterLines="0" w:line="300" w:lineRule="auto"/>
        <w:rPr>
          <w:color w:val="000000"/>
        </w:rPr>
      </w:pPr>
      <w:bookmarkStart w:id="31" w:name="_Toc26718931"/>
      <w:bookmarkStart w:id="32" w:name="_Toc26648466"/>
      <w:bookmarkStart w:id="33" w:name="_Toc26986772"/>
      <w:bookmarkStart w:id="34" w:name="_Toc24884219"/>
      <w:bookmarkStart w:id="35" w:name="_Toc97190719"/>
      <w:bookmarkStart w:id="36" w:name="_Toc195514563"/>
      <w:bookmarkStart w:id="37" w:name="_Toc24884212"/>
      <w:bookmarkStart w:id="38" w:name="_Toc194932212"/>
      <w:bookmarkStart w:id="39" w:name="_Toc17233334"/>
      <w:bookmarkStart w:id="40" w:name="_Toc26986531"/>
      <w:bookmarkStart w:id="41" w:name="_Toc17233326"/>
      <w:r>
        <w:rPr>
          <w:rFonts w:hint="eastAsia"/>
          <w:color w:val="000000"/>
        </w:rPr>
        <w:t>规范性引用文件</w:t>
      </w:r>
      <w:bookmarkEnd w:id="31"/>
      <w:bookmarkEnd w:id="32"/>
      <w:bookmarkEnd w:id="33"/>
      <w:bookmarkEnd w:id="34"/>
      <w:bookmarkEnd w:id="35"/>
      <w:bookmarkEnd w:id="36"/>
      <w:bookmarkEnd w:id="37"/>
      <w:bookmarkEnd w:id="38"/>
      <w:bookmarkEnd w:id="39"/>
      <w:bookmarkEnd w:id="40"/>
      <w:bookmarkEnd w:id="41"/>
    </w:p>
    <w:p w14:paraId="089278AE">
      <w:pPr>
        <w:pStyle w:val="56"/>
        <w:spacing w:line="300" w:lineRule="auto"/>
        <w:ind w:firstLine="420"/>
        <w:rPr>
          <w:color w:val="000000"/>
        </w:rPr>
      </w:pPr>
      <w:r>
        <w:rPr>
          <w:rFonts w:hint="eastAsia"/>
          <w:color w:val="000000"/>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62C4F66">
      <w:pPr>
        <w:adjustRightInd/>
        <w:spacing w:line="300" w:lineRule="auto"/>
        <w:ind w:firstLine="420" w:firstLineChars="200"/>
        <w:rPr>
          <w:rFonts w:hint="eastAsia" w:eastAsia="宋体"/>
          <w:color w:val="000000"/>
          <w:szCs w:val="22"/>
          <w:lang w:val="en-US" w:eastAsia="zh-CN"/>
        </w:rPr>
      </w:pPr>
      <w:r>
        <w:rPr>
          <w:rFonts w:hint="eastAsia" w:ascii="宋体" w:hAnsi="宋体" w:eastAsia="宋体" w:cs="宋体"/>
          <w:color w:val="000000"/>
          <w:szCs w:val="22"/>
        </w:rPr>
        <w:t>GB/T14264</w:t>
      </w:r>
      <w:r>
        <w:rPr>
          <w:color w:val="000000"/>
          <w:szCs w:val="22"/>
        </w:rPr>
        <w:t>半导体材料术语</w:t>
      </w:r>
      <w:r>
        <w:rPr>
          <w:rFonts w:hint="eastAsia"/>
          <w:color w:val="000000"/>
          <w:szCs w:val="22"/>
          <w:lang w:eastAsia="zh-CN"/>
        </w:rPr>
        <w:t>。</w:t>
      </w:r>
    </w:p>
    <w:p w14:paraId="1CEEF1FF">
      <w:pPr>
        <w:pStyle w:val="104"/>
        <w:adjustRightInd w:val="0"/>
        <w:snapToGrid w:val="0"/>
        <w:spacing w:before="0" w:beforeLines="0" w:after="0" w:afterLines="0" w:line="300" w:lineRule="auto"/>
        <w:rPr>
          <w:color w:val="000000"/>
        </w:rPr>
      </w:pPr>
      <w:bookmarkStart w:id="42" w:name="_Toc97190720"/>
      <w:bookmarkStart w:id="43" w:name="_Toc194932213"/>
      <w:bookmarkStart w:id="44" w:name="_Toc195514564"/>
      <w:r>
        <w:rPr>
          <w:rFonts w:hint="eastAsia"/>
          <w:color w:val="000000"/>
        </w:rPr>
        <w:t>术语和定义</w:t>
      </w:r>
      <w:bookmarkEnd w:id="42"/>
      <w:bookmarkEnd w:id="43"/>
      <w:bookmarkEnd w:id="44"/>
    </w:p>
    <w:p w14:paraId="15C67385">
      <w:pPr>
        <w:pStyle w:val="56"/>
        <w:spacing w:line="300" w:lineRule="auto"/>
        <w:ind w:firstLine="420"/>
        <w:rPr>
          <w:color w:val="000000"/>
        </w:rPr>
      </w:pPr>
      <w:bookmarkStart w:id="45" w:name="_Toc26986532"/>
      <w:bookmarkEnd w:id="45"/>
      <w:r>
        <w:rPr>
          <w:color w:val="000000"/>
        </w:rPr>
        <w:t>GB/T14264界定的术语和定义适用于本文件</w:t>
      </w:r>
      <w:r>
        <w:rPr>
          <w:rFonts w:hint="eastAsia"/>
          <w:color w:val="000000"/>
        </w:rPr>
        <w:t>。</w:t>
      </w:r>
    </w:p>
    <w:p w14:paraId="794A6B69">
      <w:pPr>
        <w:pStyle w:val="104"/>
        <w:adjustRightInd w:val="0"/>
        <w:snapToGrid w:val="0"/>
        <w:spacing w:before="0" w:beforeLines="0" w:after="0" w:afterLines="0" w:line="300" w:lineRule="auto"/>
        <w:rPr>
          <w:color w:val="000000"/>
        </w:rPr>
      </w:pPr>
      <w:bookmarkStart w:id="46" w:name="_Toc194932214"/>
      <w:bookmarkStart w:id="47" w:name="_Toc195514565"/>
      <w:r>
        <w:rPr>
          <w:rFonts w:hint="eastAsia"/>
          <w:color w:val="000000"/>
        </w:rPr>
        <w:t>方法原理</w:t>
      </w:r>
      <w:bookmarkEnd w:id="46"/>
      <w:bookmarkEnd w:id="47"/>
    </w:p>
    <w:p w14:paraId="3707A0E4">
      <w:pPr>
        <w:pStyle w:val="105"/>
        <w:adjustRightInd w:val="0"/>
        <w:snapToGrid w:val="0"/>
        <w:spacing w:before="0" w:beforeLines="0" w:after="0" w:afterLines="0" w:line="300" w:lineRule="auto"/>
        <w:ind w:left="0"/>
        <w:rPr>
          <w:color w:val="000000"/>
        </w:rPr>
      </w:pPr>
      <w:bookmarkStart w:id="48" w:name="_Toc195514566"/>
      <w:r>
        <w:rPr>
          <w:color w:val="000000"/>
        </w:rPr>
        <w:t>显微目视计数法</w:t>
      </w:r>
      <w:bookmarkEnd w:id="48"/>
    </w:p>
    <w:p w14:paraId="3AB42D82">
      <w:pPr>
        <w:pStyle w:val="105"/>
        <w:numPr>
          <w:ilvl w:val="0"/>
          <w:numId w:val="0"/>
        </w:numPr>
        <w:spacing w:before="0" w:beforeLines="0" w:after="0" w:afterLines="0" w:line="300" w:lineRule="auto"/>
        <w:ind w:firstLine="420" w:firstLineChars="200"/>
        <w:rPr>
          <w:rFonts w:ascii="宋体" w:eastAsia="宋体"/>
          <w:color w:val="000000"/>
        </w:rPr>
      </w:pPr>
      <w:bookmarkStart w:id="49" w:name="_Toc194932216"/>
      <w:bookmarkStart w:id="50" w:name="_Toc195514567"/>
      <w:r>
        <w:rPr>
          <w:rFonts w:hint="eastAsia" w:ascii="宋体" w:eastAsia="宋体"/>
          <w:color w:val="000000"/>
        </w:rPr>
        <w:t>砷化镓单晶中位错周围的晶格会发生畸变，</w:t>
      </w:r>
      <w:r>
        <w:rPr>
          <w:rFonts w:ascii="宋体" w:eastAsia="宋体"/>
          <w:color w:val="000000"/>
        </w:rPr>
        <w:t>采用熔融氢氧化钾（KOH）对晶体表面进行化学腐蚀时，位错露头处因腐蚀速度较快形成特定形状的腐蚀坑。</w:t>
      </w:r>
      <w:r>
        <w:rPr>
          <w:rFonts w:hint="eastAsia" w:ascii="宋体" w:eastAsia="宋体"/>
          <w:color w:val="000000"/>
        </w:rPr>
        <w:t>在显微镜下观察</w:t>
      </w:r>
      <w:r>
        <w:rPr>
          <w:rFonts w:ascii="宋体" w:eastAsia="宋体"/>
          <w:color w:val="000000"/>
        </w:rPr>
        <w:t>观察并按规定规则统计腐蚀坑，单位视场面积内的腐蚀坑个数即为位错密度</w:t>
      </w:r>
      <w:r>
        <w:rPr>
          <w:rFonts w:hint="eastAsia" w:ascii="宋体" w:eastAsia="宋体"/>
          <w:color w:val="000000"/>
        </w:rPr>
        <w:t>。</w:t>
      </w:r>
      <w:bookmarkEnd w:id="49"/>
      <w:bookmarkEnd w:id="50"/>
      <w:r>
        <w:rPr>
          <w:rFonts w:hint="eastAsia" w:ascii="宋体" w:eastAsia="宋体"/>
          <w:color w:val="000000"/>
        </w:rPr>
        <w:t>主要适用于研发</w:t>
      </w:r>
      <w:r>
        <w:rPr>
          <w:rFonts w:ascii="宋体" w:eastAsia="宋体"/>
          <w:color w:val="000000"/>
        </w:rPr>
        <w:t>阶段位错密度验证和小批量检测</w:t>
      </w:r>
      <w:r>
        <w:rPr>
          <w:rFonts w:hint="eastAsia" w:ascii="宋体" w:eastAsia="宋体"/>
          <w:color w:val="000000"/>
        </w:rPr>
        <w:t>。</w:t>
      </w:r>
    </w:p>
    <w:p w14:paraId="2D42B689">
      <w:pPr>
        <w:pStyle w:val="105"/>
        <w:adjustRightInd w:val="0"/>
        <w:snapToGrid w:val="0"/>
        <w:spacing w:before="0" w:beforeLines="0" w:after="0" w:afterLines="0" w:line="300" w:lineRule="auto"/>
        <w:ind w:left="0"/>
        <w:rPr>
          <w:color w:val="000000"/>
        </w:rPr>
      </w:pPr>
      <w:bookmarkStart w:id="51" w:name="_Toc195514568"/>
      <w:r>
        <w:rPr>
          <w:color w:val="000000"/>
        </w:rPr>
        <w:t>显微图像自动分析法</w:t>
      </w:r>
      <w:bookmarkEnd w:id="51"/>
    </w:p>
    <w:p w14:paraId="7361653B">
      <w:pPr>
        <w:widowControl/>
        <w:adjustRightInd/>
        <w:spacing w:line="300" w:lineRule="auto"/>
        <w:ind w:firstLine="420" w:firstLineChars="200"/>
        <w:jc w:val="left"/>
        <w:rPr>
          <w:rFonts w:ascii="宋体"/>
          <w:color w:val="000000"/>
        </w:rPr>
      </w:pPr>
      <w:r>
        <w:rPr>
          <w:rFonts w:ascii="宋体"/>
          <w:color w:val="000000"/>
        </w:rPr>
        <w:t>通过熔融氢氧化钾（KOH）在砷化镓晶片表面形成位错腐蚀坑后，利用显微图像（EPD）扫描仪对晶片表面进行显微成像，借助机器学习算法或特征匹配技术对图像进行智能分析，自动识别位错腐蚀坑并统计单位面积内的位错密度。主要</w:t>
      </w:r>
      <w:r>
        <w:rPr>
          <w:rFonts w:hint="eastAsia" w:ascii="宋体"/>
          <w:color w:val="000000"/>
        </w:rPr>
        <w:t>适用于生产过程质量控制</w:t>
      </w:r>
      <w:r>
        <w:rPr>
          <w:rFonts w:ascii="宋体"/>
          <w:color w:val="000000"/>
        </w:rPr>
        <w:t>和工业化批量检测</w:t>
      </w:r>
      <w:r>
        <w:rPr>
          <w:rFonts w:hint="eastAsia" w:ascii="宋体"/>
          <w:color w:val="000000"/>
        </w:rPr>
        <w:t>。</w:t>
      </w:r>
    </w:p>
    <w:p w14:paraId="092A5100">
      <w:pPr>
        <w:pStyle w:val="104"/>
        <w:adjustRightInd w:val="0"/>
        <w:snapToGrid w:val="0"/>
        <w:spacing w:before="0" w:beforeLines="0" w:after="0" w:afterLines="0" w:line="300" w:lineRule="auto"/>
        <w:rPr>
          <w:color w:val="000000"/>
        </w:rPr>
      </w:pPr>
      <w:bookmarkStart w:id="52" w:name="_Toc195514569"/>
      <w:bookmarkStart w:id="53" w:name="_Toc194932218"/>
      <w:r>
        <w:rPr>
          <w:rFonts w:hint="eastAsia"/>
          <w:color w:val="000000"/>
        </w:rPr>
        <w:t>试剂与材料</w:t>
      </w:r>
      <w:bookmarkEnd w:id="52"/>
      <w:bookmarkEnd w:id="53"/>
    </w:p>
    <w:p w14:paraId="37721217">
      <w:pPr>
        <w:pStyle w:val="56"/>
        <w:spacing w:line="300" w:lineRule="auto"/>
        <w:ind w:firstLine="420"/>
        <w:rPr>
          <w:color w:val="000000"/>
        </w:rPr>
      </w:pPr>
      <w:r>
        <w:rPr>
          <w:color w:val="000000"/>
        </w:rPr>
        <w:t>除非另有说明，测试分析中仅使用确认为分析纯及以上的试剂，所用水的电阻率不小于12MΩ·cm。</w:t>
      </w:r>
    </w:p>
    <w:p w14:paraId="2E2CD2D3">
      <w:pPr>
        <w:pStyle w:val="162"/>
        <w:spacing w:line="300" w:lineRule="auto"/>
        <w:ind w:left="0"/>
        <w:rPr>
          <w:color w:val="000000"/>
        </w:rPr>
      </w:pPr>
      <w:r>
        <w:rPr>
          <w:color w:val="000000"/>
        </w:rPr>
        <w:t>氢氧化钾（KOH），质量分数不小于85%。</w:t>
      </w:r>
    </w:p>
    <w:p w14:paraId="08A0B3A9">
      <w:pPr>
        <w:pStyle w:val="162"/>
        <w:spacing w:line="300" w:lineRule="auto"/>
        <w:ind w:left="0"/>
        <w:rPr>
          <w:color w:val="000000"/>
        </w:rPr>
      </w:pPr>
      <w:r>
        <w:rPr>
          <w:rFonts w:hint="eastAsia"/>
          <w:color w:val="000000"/>
        </w:rPr>
        <w:t>氢氧化铵（</w:t>
      </w:r>
      <w:r>
        <w:rPr>
          <w:color w:val="000000"/>
        </w:rPr>
        <w:t>NH</w:t>
      </w:r>
      <w:r>
        <w:rPr>
          <w:color w:val="000000"/>
          <w:vertAlign w:val="subscript"/>
        </w:rPr>
        <w:t>3</w:t>
      </w:r>
      <w:r>
        <w:rPr>
          <w:color w:val="000000"/>
        </w:rPr>
        <w:t>.H</w:t>
      </w:r>
      <w:r>
        <w:rPr>
          <w:color w:val="000000"/>
          <w:vertAlign w:val="subscript"/>
        </w:rPr>
        <w:t>2</w:t>
      </w:r>
      <w:r>
        <w:rPr>
          <w:color w:val="000000"/>
        </w:rPr>
        <w:t>O</w:t>
      </w:r>
      <w:r>
        <w:rPr>
          <w:rFonts w:hint="eastAsia"/>
          <w:color w:val="000000"/>
        </w:rPr>
        <w:t>），</w:t>
      </w:r>
      <w:r>
        <w:rPr>
          <w:color w:val="000000"/>
        </w:rPr>
        <w:t>质量分数不小于20%</w:t>
      </w:r>
      <w:r>
        <w:rPr>
          <w:rFonts w:hint="eastAsia"/>
          <w:color w:val="000000"/>
        </w:rPr>
        <w:t>。</w:t>
      </w:r>
    </w:p>
    <w:p w14:paraId="1819070E">
      <w:pPr>
        <w:pStyle w:val="162"/>
        <w:spacing w:line="300" w:lineRule="auto"/>
        <w:ind w:left="0"/>
        <w:rPr>
          <w:color w:val="000000"/>
        </w:rPr>
      </w:pPr>
      <w:r>
        <w:rPr>
          <w:color w:val="000000"/>
        </w:rPr>
        <w:t>过氧化氢((H</w:t>
      </w:r>
      <w:r>
        <w:rPr>
          <w:color w:val="000000"/>
          <w:vertAlign w:val="subscript"/>
        </w:rPr>
        <w:t>2</w:t>
      </w:r>
      <w:r>
        <w:rPr>
          <w:color w:val="000000"/>
        </w:rPr>
        <w:t>O</w:t>
      </w:r>
      <w:r>
        <w:rPr>
          <w:color w:val="000000"/>
          <w:vertAlign w:val="subscript"/>
        </w:rPr>
        <w:t>2</w:t>
      </w:r>
      <w:r>
        <w:rPr>
          <w:color w:val="000000"/>
        </w:rPr>
        <w:t>)，质量分数不小于30%。</w:t>
      </w:r>
    </w:p>
    <w:p w14:paraId="13306175">
      <w:pPr>
        <w:pStyle w:val="162"/>
        <w:spacing w:line="300" w:lineRule="auto"/>
        <w:ind w:left="0"/>
        <w:rPr>
          <w:color w:val="000000"/>
        </w:rPr>
      </w:pPr>
      <w:r>
        <w:rPr>
          <w:color w:val="000000"/>
        </w:rPr>
        <w:t>抛光液：</w:t>
      </w:r>
      <w:r>
        <w:rPr>
          <w:rFonts w:hint="eastAsia"/>
          <w:color w:val="000000"/>
        </w:rPr>
        <w:t>氢氧化铵</w:t>
      </w:r>
      <w:r>
        <w:rPr>
          <w:color w:val="000000"/>
        </w:rPr>
        <w:t>、过氧化氢、</w:t>
      </w:r>
      <w:r>
        <w:rPr>
          <w:rFonts w:hint="eastAsia"/>
          <w:color w:val="000000"/>
        </w:rPr>
        <w:t>纯</w:t>
      </w:r>
      <w:r>
        <w:rPr>
          <w:color w:val="000000"/>
        </w:rPr>
        <w:t>水的混合液，体积比为2:1:1，现用现配。</w:t>
      </w:r>
    </w:p>
    <w:p w14:paraId="42176FEA">
      <w:pPr>
        <w:pStyle w:val="162"/>
        <w:spacing w:line="300" w:lineRule="auto"/>
        <w:ind w:left="0"/>
        <w:rPr>
          <w:color w:val="000000"/>
        </w:rPr>
      </w:pPr>
      <w:r>
        <w:rPr>
          <w:rFonts w:hint="eastAsia"/>
          <w:color w:val="000000"/>
        </w:rPr>
        <w:t>研磨材料：金刚砂或氧化铝粉，粒度分别为3</w:t>
      </w:r>
      <w:r>
        <w:rPr>
          <w:color w:val="000000"/>
        </w:rPr>
        <w:t>0μm</w:t>
      </w:r>
      <w:r>
        <w:rPr>
          <w:rFonts w:hint="eastAsia"/>
          <w:color w:val="000000"/>
        </w:rPr>
        <w:t>、</w:t>
      </w:r>
      <w:r>
        <w:rPr>
          <w:color w:val="000000"/>
        </w:rPr>
        <w:t>6.5μm</w:t>
      </w:r>
      <w:r>
        <w:rPr>
          <w:rFonts w:hint="eastAsia"/>
          <w:color w:val="000000"/>
        </w:rPr>
        <w:t>。</w:t>
      </w:r>
    </w:p>
    <w:p w14:paraId="182D3682">
      <w:pPr>
        <w:pStyle w:val="162"/>
        <w:spacing w:line="300" w:lineRule="auto"/>
        <w:ind w:left="-2" w:leftChars="-1"/>
        <w:rPr>
          <w:color w:val="000000"/>
        </w:rPr>
      </w:pPr>
      <w:r>
        <w:rPr>
          <w:color w:val="000000"/>
        </w:rPr>
        <w:t>耐腐蚀坩埚</w:t>
      </w:r>
      <w:r>
        <w:rPr>
          <w:rFonts w:hint="eastAsia"/>
          <w:color w:val="000000"/>
        </w:rPr>
        <w:t>：铂、银、镍材质坩埚。</w:t>
      </w:r>
      <w:r>
        <w:rPr>
          <w:color w:val="000000"/>
        </w:rPr>
        <w:t xml:space="preserve"> </w:t>
      </w:r>
    </w:p>
    <w:p w14:paraId="1990CC2E">
      <w:pPr>
        <w:pStyle w:val="104"/>
        <w:adjustRightInd w:val="0"/>
        <w:snapToGrid w:val="0"/>
        <w:spacing w:before="0" w:beforeLines="0" w:after="0" w:afterLines="0" w:line="300" w:lineRule="auto"/>
        <w:rPr>
          <w:color w:val="000000"/>
        </w:rPr>
      </w:pPr>
      <w:bookmarkStart w:id="54" w:name="_Toc195514570"/>
      <w:bookmarkStart w:id="55" w:name="_Toc194932219"/>
      <w:r>
        <w:rPr>
          <w:color w:val="000000"/>
        </w:rPr>
        <w:t>仪器设备</w:t>
      </w:r>
      <w:bookmarkEnd w:id="54"/>
      <w:bookmarkEnd w:id="55"/>
    </w:p>
    <w:p w14:paraId="62F5C7F7">
      <w:pPr>
        <w:pStyle w:val="162"/>
        <w:keepNext w:val="0"/>
        <w:keepLines w:val="0"/>
        <w:pageBreakBefore w:val="0"/>
        <w:widowControl w:val="0"/>
        <w:kinsoku/>
        <w:wordWrap/>
        <w:overflowPunct/>
        <w:topLinePunct w:val="0"/>
        <w:autoSpaceDE/>
        <w:autoSpaceDN/>
        <w:bidi w:val="0"/>
        <w:adjustRightInd/>
        <w:snapToGrid/>
        <w:spacing w:line="300" w:lineRule="auto"/>
        <w:ind w:left="0"/>
        <w:textAlignment w:val="auto"/>
        <w:rPr>
          <w:rFonts w:hint="eastAsia"/>
          <w:color w:val="000000"/>
        </w:rPr>
      </w:pPr>
      <w:r>
        <w:rPr>
          <w:rFonts w:hint="eastAsia"/>
          <w:color w:val="000000"/>
        </w:rPr>
        <w:t>金相显微镜，放大倍数为50倍~500倍，能满足8</w:t>
      </w:r>
      <w:r>
        <w:rPr>
          <w:rFonts w:hint="eastAsia"/>
          <w:color w:val="000000"/>
          <w:lang w:val="en-US" w:eastAsia="zh-CN"/>
        </w:rPr>
        <w:t>.1</w:t>
      </w:r>
      <w:r>
        <w:rPr>
          <w:rFonts w:hint="eastAsia"/>
          <w:color w:val="000000"/>
        </w:rPr>
        <w:t>.2规定的视场面积要求。</w:t>
      </w:r>
    </w:p>
    <w:p w14:paraId="0A0544F9">
      <w:pPr>
        <w:pStyle w:val="162"/>
        <w:keepNext w:val="0"/>
        <w:keepLines w:val="0"/>
        <w:pageBreakBefore w:val="0"/>
        <w:widowControl w:val="0"/>
        <w:kinsoku/>
        <w:wordWrap/>
        <w:overflowPunct/>
        <w:topLinePunct w:val="0"/>
        <w:autoSpaceDE/>
        <w:autoSpaceDN/>
        <w:bidi w:val="0"/>
        <w:adjustRightInd/>
        <w:snapToGrid/>
        <w:spacing w:line="300" w:lineRule="auto"/>
        <w:ind w:left="0"/>
        <w:textAlignment w:val="auto"/>
        <w:rPr>
          <w:rFonts w:hint="eastAsia"/>
          <w:color w:val="000000"/>
        </w:rPr>
      </w:pPr>
      <w:r>
        <w:rPr>
          <w:rFonts w:hint="eastAsia"/>
          <w:color w:val="000000"/>
        </w:rPr>
        <w:t>加热器，能将氢氧化钾加热至熔融澄清状态。</w:t>
      </w:r>
    </w:p>
    <w:p w14:paraId="0733A9B3">
      <w:pPr>
        <w:pStyle w:val="162"/>
        <w:keepNext w:val="0"/>
        <w:keepLines w:val="0"/>
        <w:pageBreakBefore w:val="0"/>
        <w:widowControl w:val="0"/>
        <w:kinsoku/>
        <w:wordWrap/>
        <w:overflowPunct/>
        <w:topLinePunct w:val="0"/>
        <w:autoSpaceDE/>
        <w:autoSpaceDN/>
        <w:bidi w:val="0"/>
        <w:adjustRightInd/>
        <w:snapToGrid/>
        <w:spacing w:line="300" w:lineRule="auto"/>
        <w:ind w:left="0"/>
        <w:textAlignment w:val="auto"/>
        <w:rPr>
          <w:rFonts w:hint="eastAsia"/>
          <w:color w:val="000000"/>
        </w:rPr>
      </w:pPr>
      <w:r>
        <w:rPr>
          <w:rFonts w:hint="eastAsia"/>
          <w:color w:val="000000"/>
        </w:rPr>
        <w:t>显微图像（EPD）扫描仪，用于砷化镓单晶位错密度的自动化显微图像采集、位错腐蚀坑识别与密度统计。技术要求：</w:t>
      </w:r>
    </w:p>
    <w:p w14:paraId="6401F611">
      <w:pPr>
        <w:pStyle w:val="174"/>
        <w:tabs>
          <w:tab w:val="left" w:pos="567"/>
        </w:tabs>
        <w:spacing w:line="300" w:lineRule="auto"/>
        <w:ind w:left="0" w:firstLine="424" w:firstLineChars="202"/>
        <w:rPr>
          <w:color w:val="000000"/>
        </w:rPr>
      </w:pPr>
      <w:r>
        <w:rPr>
          <w:color w:val="000000"/>
        </w:rPr>
        <w:t>配备光学显微镜。</w:t>
      </w:r>
    </w:p>
    <w:p w14:paraId="3A49D34D">
      <w:pPr>
        <w:pStyle w:val="174"/>
        <w:tabs>
          <w:tab w:val="left" w:pos="567"/>
        </w:tabs>
        <w:spacing w:line="300" w:lineRule="auto"/>
        <w:ind w:left="0" w:firstLine="424" w:firstLineChars="202"/>
        <w:rPr>
          <w:color w:val="000000"/>
        </w:rPr>
      </w:pPr>
      <w:r>
        <w:rPr>
          <w:color w:val="000000"/>
        </w:rPr>
        <w:t>光学模式下分辨率不低于1μm</w:t>
      </w:r>
      <w:r>
        <w:rPr>
          <w:rFonts w:hint="eastAsia"/>
          <w:color w:val="000000"/>
        </w:rPr>
        <w:t>。</w:t>
      </w:r>
    </w:p>
    <w:p w14:paraId="3D3C04BE">
      <w:pPr>
        <w:pStyle w:val="174"/>
        <w:tabs>
          <w:tab w:val="left" w:pos="567"/>
        </w:tabs>
        <w:spacing w:line="300" w:lineRule="auto"/>
        <w:ind w:left="0" w:firstLine="424" w:firstLineChars="202"/>
        <w:rPr>
          <w:color w:val="000000"/>
        </w:rPr>
      </w:pPr>
      <w:r>
        <w:rPr>
          <w:color w:val="000000"/>
        </w:rPr>
        <w:t>支持自定义视场面积（0.1</w:t>
      </w:r>
      <w:r>
        <w:rPr>
          <w:rFonts w:hint="eastAsia"/>
          <w:color w:val="000000"/>
          <w:lang w:val="en-US" w:eastAsia="zh-CN"/>
        </w:rPr>
        <w:t xml:space="preserve"> </w:t>
      </w:r>
      <w:r>
        <w:rPr>
          <w:color w:val="000000"/>
        </w:rPr>
        <w:t>mm²</w:t>
      </w:r>
      <w:r>
        <w:rPr>
          <w:rFonts w:hint="eastAsia"/>
          <w:color w:val="000000"/>
        </w:rPr>
        <w:t>～</w:t>
      </w:r>
      <w:r>
        <w:rPr>
          <w:color w:val="000000"/>
        </w:rPr>
        <w:t>3 mm²），适配不同晶片尺寸。</w:t>
      </w:r>
    </w:p>
    <w:p w14:paraId="7ADD190A">
      <w:pPr>
        <w:pStyle w:val="104"/>
        <w:adjustRightInd w:val="0"/>
        <w:snapToGrid w:val="0"/>
        <w:spacing w:before="0" w:beforeLines="0" w:after="0" w:afterLines="0" w:line="300" w:lineRule="auto"/>
        <w:rPr>
          <w:color w:val="000000"/>
        </w:rPr>
      </w:pPr>
      <w:bookmarkStart w:id="56" w:name="_Toc195514571"/>
      <w:bookmarkStart w:id="57" w:name="_Toc194932220"/>
      <w:r>
        <w:rPr>
          <w:rFonts w:hint="eastAsia"/>
          <w:color w:val="000000"/>
        </w:rPr>
        <w:t>试样制备</w:t>
      </w:r>
      <w:bookmarkEnd w:id="56"/>
      <w:bookmarkEnd w:id="57"/>
    </w:p>
    <w:p w14:paraId="0F16913E">
      <w:pPr>
        <w:pStyle w:val="105"/>
        <w:adjustRightInd w:val="0"/>
        <w:snapToGrid w:val="0"/>
        <w:spacing w:before="0" w:beforeLines="0" w:after="0" w:afterLines="0" w:line="300" w:lineRule="auto"/>
        <w:ind w:left="0"/>
        <w:rPr>
          <w:color w:val="000000"/>
        </w:rPr>
      </w:pPr>
      <w:bookmarkStart w:id="58" w:name="_Toc194932221"/>
      <w:bookmarkStart w:id="59" w:name="_Toc195514572"/>
      <w:r>
        <w:rPr>
          <w:rFonts w:hint="eastAsia"/>
          <w:color w:val="000000"/>
        </w:rPr>
        <w:t>定向切取</w:t>
      </w:r>
      <w:bookmarkEnd w:id="58"/>
      <w:bookmarkEnd w:id="59"/>
    </w:p>
    <w:p w14:paraId="6FCEADB2">
      <w:pPr>
        <w:pStyle w:val="56"/>
        <w:spacing w:line="300" w:lineRule="auto"/>
        <w:ind w:firstLine="420"/>
        <w:rPr>
          <w:color w:val="000000"/>
        </w:rPr>
      </w:pPr>
      <w:r>
        <w:rPr>
          <w:color w:val="000000"/>
        </w:rPr>
        <w:t>定向切取：对待测的砷化镓单晶定向后，垂直于砷化镓单晶生长方向切取厚度不小于0.5mm的测试片试样，其晶向偏离度应不大于1°。</w:t>
      </w:r>
    </w:p>
    <w:p w14:paraId="4A3EB416">
      <w:pPr>
        <w:pStyle w:val="105"/>
        <w:adjustRightInd w:val="0"/>
        <w:snapToGrid w:val="0"/>
        <w:spacing w:before="0" w:beforeLines="0" w:after="0" w:afterLines="0" w:line="300" w:lineRule="auto"/>
        <w:ind w:left="0"/>
        <w:rPr>
          <w:color w:val="000000"/>
        </w:rPr>
      </w:pPr>
      <w:bookmarkStart w:id="60" w:name="_Toc194932222"/>
      <w:bookmarkStart w:id="61" w:name="_Toc195514573"/>
      <w:r>
        <w:rPr>
          <w:color w:val="000000"/>
        </w:rPr>
        <w:t>研磨</w:t>
      </w:r>
      <w:bookmarkEnd w:id="60"/>
      <w:bookmarkEnd w:id="61"/>
    </w:p>
    <w:p w14:paraId="5826B645">
      <w:pPr>
        <w:pStyle w:val="56"/>
        <w:spacing w:line="300" w:lineRule="auto"/>
        <w:ind w:firstLine="420"/>
        <w:rPr>
          <w:color w:val="000000"/>
        </w:rPr>
      </w:pPr>
      <w:r>
        <w:rPr>
          <w:rFonts w:hint="eastAsia" w:ascii="黑体" w:hAnsi="黑体" w:eastAsia="黑体"/>
          <w:color w:val="000000"/>
        </w:rPr>
        <w:t>7</w:t>
      </w:r>
      <w:r>
        <w:rPr>
          <w:rFonts w:ascii="黑体" w:hAnsi="黑体" w:eastAsia="黑体"/>
          <w:color w:val="000000"/>
        </w:rPr>
        <w:t xml:space="preserve">.2.1 </w:t>
      </w:r>
      <w:r>
        <w:rPr>
          <w:color w:val="000000"/>
        </w:rPr>
        <w:t>手工研磨试样时，用粒度为30μm的</w:t>
      </w:r>
      <w:r>
        <w:rPr>
          <w:rFonts w:hint="eastAsia"/>
          <w:color w:val="000000"/>
        </w:rPr>
        <w:t>研磨</w:t>
      </w:r>
      <w:r>
        <w:rPr>
          <w:color w:val="000000"/>
        </w:rPr>
        <w:t>材料水浆研磨，使其表面平整。用水清洗干净后，再用粒度为6.5μm的</w:t>
      </w:r>
      <w:r>
        <w:rPr>
          <w:rFonts w:hint="eastAsia"/>
          <w:color w:val="000000"/>
        </w:rPr>
        <w:t>研磨</w:t>
      </w:r>
      <w:r>
        <w:rPr>
          <w:color w:val="000000"/>
        </w:rPr>
        <w:t>材料水浆研磨，使其表面光洁，无目视可见的机械划痕，然后用水清洗、吹干</w:t>
      </w:r>
      <w:r>
        <w:rPr>
          <w:rFonts w:hint="eastAsia"/>
          <w:color w:val="000000"/>
        </w:rPr>
        <w:t>。</w:t>
      </w:r>
    </w:p>
    <w:p w14:paraId="628F99A4">
      <w:pPr>
        <w:pStyle w:val="56"/>
        <w:spacing w:line="300" w:lineRule="auto"/>
        <w:ind w:firstLine="420"/>
        <w:rPr>
          <w:color w:val="000000"/>
        </w:rPr>
      </w:pPr>
      <w:r>
        <w:rPr>
          <w:rFonts w:ascii="黑体" w:hAnsi="黑体" w:eastAsia="黑体"/>
          <w:color w:val="000000"/>
        </w:rPr>
        <w:t>7.2.2</w:t>
      </w:r>
      <w:r>
        <w:rPr>
          <w:color w:val="000000"/>
        </w:rPr>
        <w:t xml:space="preserve"> 研磨机研磨试样时，将试样放在研磨机上，用粒度为6.5μm的</w:t>
      </w:r>
      <w:r>
        <w:rPr>
          <w:rFonts w:hint="eastAsia"/>
          <w:color w:val="000000"/>
        </w:rPr>
        <w:t>研磨</w:t>
      </w:r>
      <w:r>
        <w:rPr>
          <w:color w:val="000000"/>
        </w:rPr>
        <w:t>材料，使其表面平整光洁，无目视可见的机械划痕，然后用水清洗、吹干。</w:t>
      </w:r>
    </w:p>
    <w:p w14:paraId="3A0606C4">
      <w:pPr>
        <w:pStyle w:val="105"/>
        <w:adjustRightInd w:val="0"/>
        <w:snapToGrid w:val="0"/>
        <w:spacing w:before="0" w:beforeLines="0" w:after="0" w:afterLines="0" w:line="300" w:lineRule="auto"/>
        <w:ind w:left="0"/>
        <w:rPr>
          <w:color w:val="000000"/>
        </w:rPr>
      </w:pPr>
      <w:bookmarkStart w:id="62" w:name="_Toc194932223"/>
      <w:bookmarkStart w:id="63" w:name="_Toc195514574"/>
      <w:r>
        <w:rPr>
          <w:color w:val="000000"/>
        </w:rPr>
        <w:t>化学抛光</w:t>
      </w:r>
      <w:bookmarkEnd w:id="62"/>
      <w:bookmarkEnd w:id="63"/>
    </w:p>
    <w:p w14:paraId="143E4D0C">
      <w:pPr>
        <w:spacing w:line="300" w:lineRule="auto"/>
        <w:ind w:firstLine="420" w:firstLineChars="200"/>
        <w:rPr>
          <w:color w:val="000000"/>
        </w:rPr>
      </w:pPr>
      <w:r>
        <w:rPr>
          <w:color w:val="000000"/>
        </w:rPr>
        <w:t>用抛光液将研磨后的试样抛光至无损伤的光亮表面。</w:t>
      </w:r>
    </w:p>
    <w:p w14:paraId="351E6F8C">
      <w:pPr>
        <w:pStyle w:val="105"/>
        <w:adjustRightInd w:val="0"/>
        <w:snapToGrid w:val="0"/>
        <w:spacing w:before="0" w:beforeLines="0" w:after="0" w:afterLines="0" w:line="300" w:lineRule="auto"/>
        <w:ind w:left="0"/>
        <w:rPr>
          <w:color w:val="000000"/>
        </w:rPr>
      </w:pPr>
      <w:bookmarkStart w:id="64" w:name="_Toc195514575"/>
      <w:bookmarkStart w:id="65" w:name="_Toc194932224"/>
      <w:r>
        <w:rPr>
          <w:rFonts w:hint="eastAsia"/>
          <w:color w:val="000000"/>
        </w:rPr>
        <w:t>腐蚀</w:t>
      </w:r>
      <w:bookmarkEnd w:id="64"/>
      <w:bookmarkEnd w:id="65"/>
    </w:p>
    <w:p w14:paraId="6BAA0B73">
      <w:pPr>
        <w:spacing w:line="300" w:lineRule="auto"/>
        <w:ind w:firstLine="420" w:firstLineChars="200"/>
        <w:rPr>
          <w:color w:val="000000"/>
        </w:rPr>
      </w:pPr>
      <w:r>
        <w:rPr>
          <w:color w:val="000000"/>
        </w:rPr>
        <w:t>将抛光后试样</w:t>
      </w:r>
      <w:r>
        <w:rPr>
          <w:rFonts w:hint="eastAsia"/>
          <w:color w:val="000000"/>
        </w:rPr>
        <w:t>放在耐腐蚀</w:t>
      </w:r>
      <w:r>
        <w:rPr>
          <w:color w:val="000000"/>
        </w:rPr>
        <w:t>坩埚</w:t>
      </w:r>
      <w:r>
        <w:rPr>
          <w:rFonts w:hint="eastAsia"/>
          <w:color w:val="000000"/>
        </w:rPr>
        <w:t>，再加入固体</w:t>
      </w:r>
      <w:r>
        <w:rPr>
          <w:color w:val="000000"/>
        </w:rPr>
        <w:t>氢氧化钾</w:t>
      </w:r>
      <w:r>
        <w:rPr>
          <w:rFonts w:hint="eastAsia"/>
          <w:color w:val="000000"/>
        </w:rPr>
        <w:t>完全覆盖试样，</w:t>
      </w:r>
      <w:r>
        <w:rPr>
          <w:color w:val="000000"/>
        </w:rPr>
        <w:t>加热至</w:t>
      </w:r>
      <w:r>
        <w:rPr>
          <w:rFonts w:hint="eastAsia"/>
          <w:color w:val="000000"/>
        </w:rPr>
        <w:t>3</w:t>
      </w:r>
      <w:r>
        <w:rPr>
          <w:color w:val="000000"/>
        </w:rPr>
        <w:t>85</w:t>
      </w:r>
      <w:r>
        <w:rPr>
          <w:rFonts w:hint="eastAsia"/>
          <w:color w:val="000000"/>
        </w:rPr>
        <w:t>℃~</w:t>
      </w:r>
      <w:r>
        <w:rPr>
          <w:color w:val="000000"/>
        </w:rPr>
        <w:t>400</w:t>
      </w:r>
      <w:r>
        <w:rPr>
          <w:rFonts w:hint="eastAsia"/>
          <w:color w:val="000000"/>
        </w:rPr>
        <w:t>℃</w:t>
      </w:r>
      <w:r>
        <w:rPr>
          <w:color w:val="000000"/>
        </w:rPr>
        <w:t>，待氢氧化钾熔融并澄清后，</w:t>
      </w:r>
      <w:r>
        <w:rPr>
          <w:rFonts w:hint="eastAsia"/>
          <w:color w:val="000000"/>
        </w:rPr>
        <w:t>持续保温腐蚀</w:t>
      </w:r>
      <w:r>
        <w:rPr>
          <w:color w:val="000000"/>
        </w:rPr>
        <w:t>。不同晶面的腐蚀时间如下：</w:t>
      </w:r>
    </w:p>
    <w:p w14:paraId="75862074">
      <w:pPr>
        <w:spacing w:line="300" w:lineRule="auto"/>
        <w:ind w:firstLine="420" w:firstLineChars="200"/>
        <w:rPr>
          <w:color w:val="000000"/>
        </w:rPr>
      </w:pPr>
      <w:r>
        <w:rPr>
          <w:color w:val="000000"/>
        </w:rPr>
        <w:t>(100)面晶片，腐蚀时间为10min</w:t>
      </w:r>
      <w:r>
        <w:rPr>
          <w:rFonts w:hint="eastAsia"/>
          <w:color w:val="000000"/>
        </w:rPr>
        <w:t>~</w:t>
      </w:r>
      <w:r>
        <w:rPr>
          <w:color w:val="000000"/>
        </w:rPr>
        <w:t>20min。</w:t>
      </w:r>
    </w:p>
    <w:p w14:paraId="3597EEB6">
      <w:pPr>
        <w:spacing w:line="300" w:lineRule="auto"/>
        <w:ind w:firstLine="420" w:firstLineChars="200"/>
        <w:rPr>
          <w:color w:val="000000"/>
        </w:rPr>
      </w:pPr>
      <w:r>
        <w:rPr>
          <w:color w:val="000000"/>
        </w:rPr>
        <w:t>(111)面晶片，腐蚀时间为10min~15min。</w:t>
      </w:r>
    </w:p>
    <w:p w14:paraId="3F83DC7C">
      <w:pPr>
        <w:pStyle w:val="105"/>
        <w:adjustRightInd w:val="0"/>
        <w:snapToGrid w:val="0"/>
        <w:spacing w:before="0" w:beforeLines="0" w:after="0" w:afterLines="0" w:line="300" w:lineRule="auto"/>
        <w:ind w:left="0"/>
        <w:rPr>
          <w:color w:val="000000"/>
        </w:rPr>
      </w:pPr>
      <w:bookmarkStart w:id="66" w:name="_Toc194932225"/>
      <w:bookmarkStart w:id="67" w:name="_Toc195514576"/>
      <w:r>
        <w:rPr>
          <w:rFonts w:hint="eastAsia"/>
          <w:color w:val="000000"/>
        </w:rPr>
        <w:t>清洁处理</w:t>
      </w:r>
      <w:bookmarkEnd w:id="66"/>
      <w:bookmarkEnd w:id="67"/>
    </w:p>
    <w:p w14:paraId="40AE5C16">
      <w:pPr>
        <w:spacing w:line="300" w:lineRule="auto"/>
        <w:ind w:firstLine="420" w:firstLineChars="200"/>
        <w:rPr>
          <w:color w:val="000000"/>
        </w:rPr>
      </w:pPr>
      <w:r>
        <w:rPr>
          <w:color w:val="000000"/>
        </w:rPr>
        <w:t>将腐蚀完成的试样取出自然冷却至室温后浸入</w:t>
      </w:r>
      <w:r>
        <w:rPr>
          <w:rFonts w:hint="eastAsia"/>
          <w:color w:val="000000"/>
        </w:rPr>
        <w:t>纯水中，加热至</w:t>
      </w:r>
      <w:r>
        <w:rPr>
          <w:color w:val="000000"/>
        </w:rPr>
        <w:t>90~100</w:t>
      </w:r>
      <w:r>
        <w:rPr>
          <w:rFonts w:hint="eastAsia"/>
          <w:color w:val="000000"/>
        </w:rPr>
        <w:t>℃</w:t>
      </w:r>
      <w:r>
        <w:rPr>
          <w:color w:val="000000"/>
        </w:rPr>
        <w:t>，持续清洗3~5分钟以加速化学残留物脱离。取出后立即用去离子水反复冲洗至表面无残留，置于洁净干燥环境中风干。</w:t>
      </w:r>
    </w:p>
    <w:p w14:paraId="7C0F8610">
      <w:pPr>
        <w:pStyle w:val="104"/>
        <w:adjustRightInd w:val="0"/>
        <w:snapToGrid w:val="0"/>
        <w:spacing w:before="0" w:beforeLines="0" w:after="0" w:afterLines="0" w:line="300" w:lineRule="auto"/>
        <w:rPr>
          <w:color w:val="000000"/>
        </w:rPr>
      </w:pPr>
      <w:bookmarkStart w:id="68" w:name="_Toc194932226"/>
      <w:bookmarkStart w:id="69" w:name="_Toc195514577"/>
      <w:r>
        <w:rPr>
          <w:rFonts w:hint="eastAsia"/>
          <w:color w:val="000000"/>
        </w:rPr>
        <w:t>试验步骤</w:t>
      </w:r>
      <w:bookmarkEnd w:id="68"/>
      <w:bookmarkEnd w:id="69"/>
    </w:p>
    <w:p w14:paraId="0B3B0C20">
      <w:pPr>
        <w:pStyle w:val="105"/>
        <w:adjustRightInd w:val="0"/>
        <w:snapToGrid w:val="0"/>
        <w:spacing w:before="0" w:beforeLines="0" w:after="0" w:afterLines="0" w:line="300" w:lineRule="auto"/>
        <w:ind w:left="0"/>
        <w:rPr>
          <w:color w:val="000000"/>
        </w:rPr>
      </w:pPr>
      <w:bookmarkStart w:id="70" w:name="_Toc194932229"/>
      <w:bookmarkStart w:id="71" w:name="_Toc195514580"/>
      <w:r>
        <w:rPr>
          <w:color w:val="000000"/>
        </w:rPr>
        <w:t>显微目视计数法</w:t>
      </w:r>
      <w:r>
        <w:rPr>
          <w:rFonts w:hint="eastAsia"/>
          <w:color w:val="000000"/>
        </w:rPr>
        <w:t>步骤</w:t>
      </w:r>
    </w:p>
    <w:p w14:paraId="69008456">
      <w:pPr>
        <w:pStyle w:val="65"/>
        <w:spacing w:before="0" w:beforeLines="0" w:after="0" w:afterLines="0" w:line="300" w:lineRule="auto"/>
        <w:rPr>
          <w:szCs w:val="21"/>
        </w:rPr>
      </w:pPr>
      <w:r>
        <w:rPr>
          <w:rFonts w:hint="eastAsia"/>
        </w:rPr>
        <w:t>观察试样</w:t>
      </w:r>
    </w:p>
    <w:p w14:paraId="18677155">
      <w:pPr>
        <w:spacing w:line="300" w:lineRule="auto"/>
        <w:ind w:firstLine="420" w:firstLineChars="200"/>
        <w:rPr>
          <w:rFonts w:ascii="宋体" w:hAnsi="Times New Roman"/>
          <w:color w:val="000000"/>
          <w:kern w:val="0"/>
          <w:szCs w:val="20"/>
        </w:rPr>
      </w:pPr>
      <w:r>
        <w:rPr>
          <w:rFonts w:hint="eastAsia" w:ascii="宋体" w:hAnsi="Times New Roman"/>
          <w:color w:val="000000"/>
          <w:kern w:val="0"/>
          <w:szCs w:val="20"/>
        </w:rPr>
        <w:t>肉眼观察试样是否有宏观缺陷及其分布情况，并做好记录。</w:t>
      </w:r>
    </w:p>
    <w:p w14:paraId="152E2CE0">
      <w:pPr>
        <w:pStyle w:val="65"/>
        <w:spacing w:before="0" w:beforeLines="0" w:after="0" w:afterLines="0" w:line="300" w:lineRule="auto"/>
      </w:pPr>
      <w:r>
        <w:t>选择视场面积</w:t>
      </w:r>
      <w:bookmarkEnd w:id="70"/>
      <w:bookmarkEnd w:id="71"/>
    </w:p>
    <w:p w14:paraId="277C456C">
      <w:pPr>
        <w:widowControl/>
        <w:autoSpaceDE w:val="0"/>
        <w:autoSpaceDN w:val="0"/>
        <w:adjustRightInd/>
        <w:spacing w:line="300" w:lineRule="auto"/>
        <w:ind w:firstLine="420" w:firstLineChars="200"/>
        <w:rPr>
          <w:rFonts w:ascii="宋体" w:hAnsi="Times New Roman"/>
          <w:color w:val="000000"/>
          <w:kern w:val="0"/>
          <w:szCs w:val="20"/>
        </w:rPr>
      </w:pPr>
      <w:r>
        <w:rPr>
          <w:rFonts w:ascii="宋体" w:hAnsi="Times New Roman"/>
          <w:color w:val="000000"/>
          <w:kern w:val="0"/>
          <w:szCs w:val="20"/>
        </w:rPr>
        <w:t>将试样置于金相显微镜载物台上，选择放大倍数为50倍或(1 mm</w:t>
      </w:r>
      <w:r>
        <w:rPr>
          <w:rFonts w:ascii="宋体" w:hAnsi="Times New Roman"/>
          <w:color w:val="000000"/>
          <w:kern w:val="0"/>
          <w:szCs w:val="20"/>
          <w:vertAlign w:val="superscript"/>
        </w:rPr>
        <w:t>2</w:t>
      </w:r>
      <w:r>
        <w:rPr>
          <w:rFonts w:ascii="宋体" w:hAnsi="Times New Roman"/>
          <w:color w:val="000000"/>
          <w:kern w:val="0"/>
          <w:szCs w:val="20"/>
        </w:rPr>
        <w:t>)左右的视场面积，扫视试样表面，估算</w:t>
      </w:r>
      <w:r>
        <w:rPr>
          <w:rFonts w:hint="eastAsia" w:ascii="宋体" w:hAnsi="Times New Roman"/>
          <w:color w:val="000000"/>
          <w:kern w:val="0"/>
          <w:szCs w:val="20"/>
        </w:rPr>
        <w:t>平均</w:t>
      </w:r>
      <w:r>
        <w:rPr>
          <w:rFonts w:ascii="宋体" w:hAnsi="Times New Roman"/>
          <w:color w:val="000000"/>
          <w:kern w:val="0"/>
          <w:szCs w:val="20"/>
        </w:rPr>
        <w:t>位错密度</w:t>
      </w:r>
      <w:r>
        <w:rPr>
          <w:rFonts w:ascii="宋体" w:hAnsi="Times New Roman"/>
          <w:i/>
          <w:iCs/>
          <w:color w:val="000000"/>
          <w:kern w:val="0"/>
          <w:szCs w:val="20"/>
        </w:rPr>
        <w:t>N</w:t>
      </w:r>
      <w:r>
        <w:rPr>
          <w:rFonts w:ascii="宋体" w:hAnsi="Times New Roman"/>
          <w:i/>
          <w:iCs/>
          <w:color w:val="000000"/>
          <w:kern w:val="0"/>
          <w:szCs w:val="20"/>
          <w:vertAlign w:val="subscript"/>
        </w:rPr>
        <w:t xml:space="preserve">d </w:t>
      </w:r>
      <w:r>
        <w:rPr>
          <w:rFonts w:ascii="宋体" w:hAnsi="Times New Roman"/>
          <w:color w:val="000000"/>
          <w:kern w:val="0"/>
          <w:szCs w:val="20"/>
        </w:rPr>
        <w:t>。根据</w:t>
      </w:r>
      <w:r>
        <w:rPr>
          <w:rFonts w:hint="eastAsia" w:ascii="宋体" w:hAnsi="Times New Roman"/>
          <w:color w:val="000000"/>
          <w:kern w:val="0"/>
          <w:szCs w:val="20"/>
        </w:rPr>
        <w:t>平均</w:t>
      </w:r>
      <w:r>
        <w:rPr>
          <w:rFonts w:ascii="宋体" w:hAnsi="Times New Roman"/>
          <w:color w:val="000000"/>
          <w:kern w:val="0"/>
          <w:szCs w:val="20"/>
        </w:rPr>
        <w:t>位错密度</w:t>
      </w:r>
      <w:r>
        <w:rPr>
          <w:rFonts w:ascii="宋体" w:hAnsi="Times New Roman"/>
          <w:i/>
          <w:iCs/>
          <w:color w:val="000000"/>
          <w:kern w:val="0"/>
          <w:szCs w:val="20"/>
        </w:rPr>
        <w:t>N</w:t>
      </w:r>
      <w:r>
        <w:rPr>
          <w:rFonts w:ascii="宋体" w:hAnsi="Times New Roman"/>
          <w:i/>
          <w:iCs/>
          <w:color w:val="000000"/>
          <w:kern w:val="0"/>
          <w:szCs w:val="20"/>
          <w:vertAlign w:val="subscript"/>
        </w:rPr>
        <w:t>d</w:t>
      </w:r>
      <w:r>
        <w:rPr>
          <w:rFonts w:hint="eastAsia" w:ascii="宋体" w:hAnsi="Times New Roman"/>
          <w:color w:val="000000"/>
          <w:kern w:val="0"/>
          <w:szCs w:val="20"/>
        </w:rPr>
        <w:t>，</w:t>
      </w:r>
      <w:r>
        <w:rPr>
          <w:rFonts w:ascii="宋体" w:hAnsi="Times New Roman"/>
          <w:color w:val="000000"/>
          <w:kern w:val="0"/>
          <w:szCs w:val="20"/>
        </w:rPr>
        <w:t>选取视场面积</w:t>
      </w:r>
      <w:r>
        <w:rPr>
          <w:rFonts w:hint="eastAsia" w:ascii="宋体" w:hAnsi="Times New Roman"/>
          <w:color w:val="000000"/>
          <w:kern w:val="0"/>
          <w:szCs w:val="20"/>
        </w:rPr>
        <w:t>，</w:t>
      </w:r>
      <w:r>
        <w:rPr>
          <w:rFonts w:ascii="宋体" w:hAnsi="Times New Roman"/>
          <w:color w:val="000000"/>
          <w:kern w:val="0"/>
          <w:szCs w:val="20"/>
        </w:rPr>
        <w:t>具体如下</w:t>
      </w:r>
      <w:r>
        <w:rPr>
          <w:rFonts w:hint="eastAsia" w:ascii="宋体" w:hAnsi="Times New Roman"/>
          <w:color w:val="000000"/>
          <w:kern w:val="0"/>
          <w:szCs w:val="20"/>
        </w:rPr>
        <w:t>。</w:t>
      </w:r>
    </w:p>
    <w:p w14:paraId="658014FA">
      <w:pPr>
        <w:pStyle w:val="164"/>
        <w:numPr>
          <w:ilvl w:val="0"/>
          <w:numId w:val="32"/>
        </w:numPr>
        <w:autoSpaceDE w:val="0"/>
        <w:autoSpaceDN w:val="0"/>
        <w:spacing w:line="300" w:lineRule="auto"/>
        <w:ind w:left="0" w:firstLine="420" w:firstLineChars="200"/>
        <w:rPr>
          <w:color w:val="000000"/>
        </w:rPr>
      </w:pPr>
      <w:r>
        <w:rPr>
          <w:i/>
          <w:color w:val="000000"/>
        </w:rPr>
        <w:t>N</w:t>
      </w:r>
      <w:r>
        <w:rPr>
          <w:color w:val="000000"/>
          <w:vertAlign w:val="subscript"/>
        </w:rPr>
        <w:t xml:space="preserve"> </w:t>
      </w:r>
      <w:r>
        <w:rPr>
          <w:rFonts w:hint="eastAsia"/>
          <w:color w:val="000000"/>
          <w:vertAlign w:val="subscript"/>
        </w:rPr>
        <w:t>d</w:t>
      </w:r>
      <w:r>
        <w:rPr>
          <w:color w:val="000000"/>
          <w:vertAlign w:val="subscript"/>
        </w:rPr>
        <w:t xml:space="preserve"> </w:t>
      </w:r>
      <w:r>
        <w:rPr>
          <w:rFonts w:hint="eastAsia"/>
          <w:color w:val="000000"/>
        </w:rPr>
        <w:t>≤</w:t>
      </w:r>
      <w:r>
        <w:rPr>
          <w:color w:val="000000"/>
        </w:rPr>
        <w:t xml:space="preserve">1000 </w:t>
      </w:r>
      <w:r>
        <w:rPr>
          <w:rFonts w:hint="eastAsia"/>
          <w:color w:val="000000"/>
        </w:rPr>
        <w:t>个/</w:t>
      </w:r>
      <w:r>
        <w:rPr>
          <w:color w:val="000000"/>
        </w:rPr>
        <w:t>cm</w:t>
      </w:r>
      <w:r>
        <w:rPr>
          <w:color w:val="000000"/>
          <w:vertAlign w:val="superscript"/>
        </w:rPr>
        <w:t>2</w:t>
      </w:r>
      <w:r>
        <w:rPr>
          <w:color w:val="000000"/>
        </w:rPr>
        <w:t>，选用视场面积</w:t>
      </w:r>
      <w:r>
        <w:rPr>
          <w:i/>
          <w:color w:val="000000"/>
        </w:rPr>
        <w:t>S</w:t>
      </w:r>
      <w:r>
        <w:rPr>
          <w:rFonts w:hint="eastAsia"/>
          <w:color w:val="000000"/>
        </w:rPr>
        <w:t>≥</w:t>
      </w:r>
      <w:r>
        <w:rPr>
          <w:color w:val="000000"/>
        </w:rPr>
        <w:t>2 mm</w:t>
      </w:r>
      <w:r>
        <w:rPr>
          <w:color w:val="000000"/>
          <w:vertAlign w:val="superscript"/>
        </w:rPr>
        <w:t>2</w:t>
      </w:r>
    </w:p>
    <w:p w14:paraId="7DB1A55D">
      <w:pPr>
        <w:pStyle w:val="164"/>
        <w:numPr>
          <w:ilvl w:val="0"/>
          <w:numId w:val="32"/>
        </w:numPr>
        <w:autoSpaceDE w:val="0"/>
        <w:autoSpaceDN w:val="0"/>
        <w:spacing w:line="300" w:lineRule="auto"/>
        <w:ind w:left="0" w:firstLine="420" w:firstLineChars="200"/>
        <w:rPr>
          <w:color w:val="000000"/>
        </w:rPr>
      </w:pPr>
      <w:r>
        <w:rPr>
          <w:color w:val="000000"/>
        </w:rPr>
        <w:t xml:space="preserve">1000 </w:t>
      </w:r>
      <w:r>
        <w:rPr>
          <w:rFonts w:hint="eastAsia"/>
          <w:color w:val="000000"/>
        </w:rPr>
        <w:t>个/</w:t>
      </w:r>
      <w:r>
        <w:rPr>
          <w:color w:val="000000"/>
        </w:rPr>
        <w:t>cm</w:t>
      </w:r>
      <w:r>
        <w:rPr>
          <w:color w:val="000000"/>
          <w:vertAlign w:val="superscript"/>
        </w:rPr>
        <w:t>2</w:t>
      </w:r>
      <w:r>
        <w:rPr>
          <w:rFonts w:hint="eastAsia"/>
          <w:color w:val="000000"/>
        </w:rPr>
        <w:t xml:space="preserve">＜ </w:t>
      </w:r>
      <w:r>
        <w:rPr>
          <w:i/>
          <w:color w:val="000000"/>
        </w:rPr>
        <w:t>N</w:t>
      </w:r>
      <w:r>
        <w:rPr>
          <w:color w:val="000000"/>
          <w:vertAlign w:val="subscript"/>
        </w:rPr>
        <w:t xml:space="preserve"> </w:t>
      </w:r>
      <w:r>
        <w:rPr>
          <w:rFonts w:hint="eastAsia"/>
          <w:color w:val="000000"/>
          <w:vertAlign w:val="subscript"/>
        </w:rPr>
        <w:t>d</w:t>
      </w:r>
      <w:r>
        <w:rPr>
          <w:color w:val="000000"/>
        </w:rPr>
        <w:t xml:space="preserve"> </w:t>
      </w:r>
      <w:r>
        <w:rPr>
          <w:rFonts w:hint="eastAsia"/>
          <w:color w:val="000000"/>
        </w:rPr>
        <w:t>≤</w:t>
      </w:r>
      <w:r>
        <w:rPr>
          <w:color w:val="000000"/>
        </w:rPr>
        <w:t xml:space="preserve">5000 </w:t>
      </w:r>
      <w:r>
        <w:rPr>
          <w:rFonts w:hint="eastAsia"/>
          <w:color w:val="000000"/>
        </w:rPr>
        <w:t>个/</w:t>
      </w:r>
      <w:r>
        <w:rPr>
          <w:color w:val="000000"/>
        </w:rPr>
        <w:t>cm</w:t>
      </w:r>
      <w:r>
        <w:rPr>
          <w:color w:val="000000"/>
          <w:vertAlign w:val="superscript"/>
        </w:rPr>
        <w:t>2</w:t>
      </w:r>
      <w:r>
        <w:rPr>
          <w:color w:val="000000"/>
        </w:rPr>
        <w:t>，选用视场面积</w:t>
      </w:r>
      <w:r>
        <w:rPr>
          <w:i/>
          <w:color w:val="000000"/>
        </w:rPr>
        <w:t>S</w:t>
      </w:r>
      <w:r>
        <w:rPr>
          <w:rFonts w:hint="eastAsia"/>
          <w:color w:val="000000"/>
        </w:rPr>
        <w:t>≥</w:t>
      </w:r>
      <w:r>
        <w:rPr>
          <w:color w:val="000000"/>
        </w:rPr>
        <w:t>1 mm</w:t>
      </w:r>
      <w:r>
        <w:rPr>
          <w:color w:val="000000"/>
          <w:vertAlign w:val="superscript"/>
        </w:rPr>
        <w:t>2</w:t>
      </w:r>
      <w:r>
        <w:rPr>
          <w:color w:val="000000"/>
        </w:rPr>
        <w:t>。</w:t>
      </w:r>
    </w:p>
    <w:p w14:paraId="2321EC3B">
      <w:pPr>
        <w:pStyle w:val="164"/>
        <w:numPr>
          <w:ilvl w:val="0"/>
          <w:numId w:val="32"/>
        </w:numPr>
        <w:autoSpaceDE w:val="0"/>
        <w:autoSpaceDN w:val="0"/>
        <w:spacing w:line="300" w:lineRule="auto"/>
        <w:ind w:left="0" w:firstLine="420" w:firstLineChars="200"/>
        <w:rPr>
          <w:color w:val="000000"/>
        </w:rPr>
      </w:pPr>
      <w:r>
        <w:rPr>
          <w:color w:val="000000"/>
        </w:rPr>
        <w:t xml:space="preserve">5000 </w:t>
      </w:r>
      <w:r>
        <w:rPr>
          <w:rFonts w:hint="eastAsia"/>
          <w:color w:val="000000"/>
        </w:rPr>
        <w:t>个/</w:t>
      </w:r>
      <w:r>
        <w:rPr>
          <w:color w:val="000000"/>
        </w:rPr>
        <w:t>cm</w:t>
      </w:r>
      <w:r>
        <w:rPr>
          <w:color w:val="000000"/>
          <w:vertAlign w:val="superscript"/>
        </w:rPr>
        <w:t>2</w:t>
      </w:r>
      <w:r>
        <w:rPr>
          <w:rFonts w:hint="eastAsia"/>
          <w:color w:val="000000"/>
        </w:rPr>
        <w:t>＜</w:t>
      </w:r>
      <w:r>
        <w:rPr>
          <w:rFonts w:ascii="Calibri" w:hAnsi="Calibri"/>
          <w:i/>
          <w:color w:val="000000"/>
          <w:kern w:val="2"/>
          <w:szCs w:val="21"/>
        </w:rPr>
        <w:t xml:space="preserve"> </w:t>
      </w:r>
      <w:r>
        <w:rPr>
          <w:i/>
          <w:color w:val="000000"/>
        </w:rPr>
        <w:t>N</w:t>
      </w:r>
      <w:r>
        <w:rPr>
          <w:color w:val="000000"/>
          <w:vertAlign w:val="subscript"/>
        </w:rPr>
        <w:t xml:space="preserve"> d</w:t>
      </w:r>
      <w:r>
        <w:rPr>
          <w:color w:val="000000"/>
        </w:rPr>
        <w:t xml:space="preserve"> </w:t>
      </w:r>
      <w:r>
        <w:rPr>
          <w:rFonts w:hint="eastAsia"/>
          <w:color w:val="000000"/>
        </w:rPr>
        <w:t>≤</w:t>
      </w:r>
      <w:r>
        <w:rPr>
          <w:color w:val="000000"/>
        </w:rPr>
        <w:t xml:space="preserve">10000 </w:t>
      </w:r>
      <w:r>
        <w:rPr>
          <w:rFonts w:hint="eastAsia"/>
          <w:color w:val="000000"/>
        </w:rPr>
        <w:t>个/</w:t>
      </w:r>
      <w:r>
        <w:rPr>
          <w:color w:val="000000"/>
        </w:rPr>
        <w:t>cm</w:t>
      </w:r>
      <w:r>
        <w:rPr>
          <w:color w:val="000000"/>
          <w:vertAlign w:val="superscript"/>
        </w:rPr>
        <w:t>2</w:t>
      </w:r>
      <w:r>
        <w:rPr>
          <w:color w:val="000000"/>
        </w:rPr>
        <w:t xml:space="preserve">，选用视场面积 </w:t>
      </w:r>
      <w:r>
        <w:rPr>
          <w:i/>
          <w:color w:val="000000"/>
        </w:rPr>
        <w:t>S</w:t>
      </w:r>
      <w:r>
        <w:rPr>
          <w:color w:val="000000"/>
        </w:rPr>
        <w:t xml:space="preserve"> </w:t>
      </w:r>
      <w:r>
        <w:rPr>
          <w:rFonts w:hint="eastAsia"/>
          <w:color w:val="000000"/>
        </w:rPr>
        <w:t>≥</w:t>
      </w:r>
      <w:r>
        <w:rPr>
          <w:color w:val="000000"/>
        </w:rPr>
        <w:t>0.5 mm</w:t>
      </w:r>
      <w:r>
        <w:rPr>
          <w:color w:val="000000"/>
          <w:vertAlign w:val="superscript"/>
        </w:rPr>
        <w:t>2</w:t>
      </w:r>
      <w:r>
        <w:rPr>
          <w:color w:val="000000"/>
        </w:rPr>
        <w:t>。</w:t>
      </w:r>
    </w:p>
    <w:p w14:paraId="73E8BC5C">
      <w:pPr>
        <w:pStyle w:val="164"/>
        <w:numPr>
          <w:ilvl w:val="0"/>
          <w:numId w:val="32"/>
        </w:numPr>
        <w:autoSpaceDE w:val="0"/>
        <w:autoSpaceDN w:val="0"/>
        <w:spacing w:line="300" w:lineRule="auto"/>
        <w:ind w:left="0" w:firstLine="420" w:firstLineChars="200"/>
        <w:rPr>
          <w:color w:val="000000"/>
        </w:rPr>
      </w:pPr>
      <w:r>
        <w:rPr>
          <w:color w:val="000000"/>
        </w:rPr>
        <w:t xml:space="preserve">N d </w:t>
      </w:r>
      <w:r>
        <w:rPr>
          <w:rFonts w:hint="eastAsia"/>
          <w:color w:val="000000"/>
        </w:rPr>
        <w:t>＞</w:t>
      </w:r>
      <w:r>
        <w:rPr>
          <w:color w:val="000000"/>
        </w:rPr>
        <w:t xml:space="preserve">10000 </w:t>
      </w:r>
      <w:r>
        <w:rPr>
          <w:rFonts w:hint="eastAsia"/>
          <w:color w:val="000000"/>
        </w:rPr>
        <w:t>个/</w:t>
      </w:r>
      <w:r>
        <w:rPr>
          <w:color w:val="000000"/>
        </w:rPr>
        <w:t xml:space="preserve">cm2，选用视场面积 S </w:t>
      </w:r>
      <w:r>
        <w:rPr>
          <w:rFonts w:hint="eastAsia"/>
          <w:color w:val="000000"/>
        </w:rPr>
        <w:t>≥</w:t>
      </w:r>
      <w:r>
        <w:rPr>
          <w:color w:val="000000"/>
        </w:rPr>
        <w:t>0.1 mm2。</w:t>
      </w:r>
    </w:p>
    <w:p w14:paraId="5990E7FD">
      <w:pPr>
        <w:pStyle w:val="164"/>
        <w:numPr>
          <w:ilvl w:val="0"/>
          <w:numId w:val="0"/>
        </w:numPr>
        <w:autoSpaceDE w:val="0"/>
        <w:autoSpaceDN w:val="0"/>
        <w:spacing w:line="300" w:lineRule="auto"/>
        <w:ind w:firstLine="420" w:firstLineChars="200"/>
        <w:rPr>
          <w:color w:val="000000"/>
        </w:rPr>
      </w:pPr>
      <w:r>
        <w:rPr>
          <w:rFonts w:hint="eastAsia"/>
          <w:color w:val="000000"/>
        </w:rPr>
        <w:t>若使用带数码成像的金相显微镜，允许视场面积适当减小，但应不小于上述视场面积的70%。</w:t>
      </w:r>
    </w:p>
    <w:p w14:paraId="2720B0D9">
      <w:pPr>
        <w:pStyle w:val="65"/>
        <w:spacing w:before="0" w:beforeLines="0" w:after="0" w:afterLines="0" w:line="300" w:lineRule="auto"/>
      </w:pPr>
      <w:bookmarkStart w:id="72" w:name="_Toc195514581"/>
      <w:bookmarkStart w:id="73" w:name="_Toc194932230"/>
      <w:r>
        <w:rPr>
          <w:rFonts w:hint="eastAsia"/>
        </w:rPr>
        <w:t>选取测试点</w:t>
      </w:r>
      <w:bookmarkEnd w:id="72"/>
      <w:bookmarkEnd w:id="73"/>
    </w:p>
    <w:p w14:paraId="2C2D49CD">
      <w:pPr>
        <w:pStyle w:val="164"/>
        <w:numPr>
          <w:ilvl w:val="0"/>
          <w:numId w:val="33"/>
        </w:numPr>
        <w:autoSpaceDE w:val="0"/>
        <w:autoSpaceDN w:val="0"/>
        <w:spacing w:line="300" w:lineRule="auto"/>
        <w:ind w:left="0" w:firstLine="420" w:firstLineChars="200"/>
        <w:rPr>
          <w:iCs/>
          <w:color w:val="000000"/>
        </w:rPr>
      </w:pPr>
      <w:r>
        <w:rPr>
          <w:rFonts w:hint="eastAsia"/>
          <w:iCs/>
          <w:color w:val="000000"/>
        </w:rPr>
        <w:t>圆形砷化镓单晶片选取测试点应符合表1的规定。</w:t>
      </w:r>
    </w:p>
    <w:p w14:paraId="60751690">
      <w:pPr>
        <w:pStyle w:val="112"/>
        <w:spacing w:before="156" w:after="156" w:line="300" w:lineRule="auto"/>
        <w:rPr>
          <w:color w:val="000000"/>
        </w:rPr>
      </w:pPr>
      <w:r>
        <w:rPr>
          <w:rFonts w:hint="eastAsia" w:hAnsi="宋体" w:cs="宋体"/>
          <w:color w:val="000000"/>
          <w:szCs w:val="21"/>
        </w:rPr>
        <w:t>选取测试点</w:t>
      </w:r>
    </w:p>
    <w:tbl>
      <w:tblPr>
        <w:tblStyle w:val="27"/>
        <w:tblW w:w="95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4"/>
        <w:gridCol w:w="851"/>
        <w:gridCol w:w="853"/>
        <w:gridCol w:w="852"/>
        <w:gridCol w:w="853"/>
        <w:gridCol w:w="853"/>
        <w:gridCol w:w="853"/>
        <w:gridCol w:w="852"/>
        <w:gridCol w:w="854"/>
        <w:gridCol w:w="852"/>
        <w:gridCol w:w="857"/>
      </w:tblGrid>
      <w:tr w14:paraId="4C051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2" w:hRule="atLeast"/>
          <w:tblHeader/>
          <w:jc w:val="center"/>
        </w:trPr>
        <w:tc>
          <w:tcPr>
            <w:tcW w:w="1005" w:type="dxa"/>
            <w:vMerge w:val="restart"/>
            <w:tcBorders>
              <w:top w:val="single" w:color="auto" w:sz="8" w:space="0"/>
            </w:tcBorders>
            <w:shd w:val="clear" w:color="auto" w:fill="auto"/>
            <w:vAlign w:val="center"/>
          </w:tcPr>
          <w:p w14:paraId="06EF6B08">
            <w:pPr>
              <w:pStyle w:val="178"/>
              <w:spacing w:line="300" w:lineRule="auto"/>
              <w:rPr>
                <w:color w:val="000000"/>
              </w:rPr>
            </w:pPr>
            <w:r>
              <w:rPr>
                <w:color w:val="000000"/>
              </w:rPr>
              <w:t>项目</w:t>
            </w:r>
          </w:p>
        </w:tc>
        <w:tc>
          <w:tcPr>
            <w:tcW w:w="8529" w:type="dxa"/>
            <w:gridSpan w:val="10"/>
            <w:tcBorders>
              <w:top w:val="single" w:color="auto" w:sz="8" w:space="0"/>
            </w:tcBorders>
          </w:tcPr>
          <w:p w14:paraId="08A20E24">
            <w:pPr>
              <w:pStyle w:val="178"/>
              <w:spacing w:line="300" w:lineRule="auto"/>
              <w:rPr>
                <w:color w:val="000000"/>
              </w:rPr>
            </w:pPr>
            <w:r>
              <w:rPr>
                <w:color w:val="000000"/>
              </w:rPr>
              <w:t>要求</w:t>
            </w:r>
          </w:p>
        </w:tc>
      </w:tr>
      <w:tr w14:paraId="27D31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9" w:hRule="atLeast"/>
          <w:tblHeader/>
          <w:jc w:val="center"/>
        </w:trPr>
        <w:tc>
          <w:tcPr>
            <w:tcW w:w="1005" w:type="dxa"/>
            <w:vMerge w:val="continue"/>
            <w:tcBorders>
              <w:top w:val="single" w:color="auto" w:sz="8" w:space="0"/>
              <w:bottom w:val="single" w:color="auto" w:sz="8" w:space="0"/>
            </w:tcBorders>
            <w:shd w:val="clear" w:color="auto" w:fill="auto"/>
            <w:vAlign w:val="center"/>
          </w:tcPr>
          <w:p w14:paraId="7B42AD00">
            <w:pPr>
              <w:pStyle w:val="178"/>
              <w:spacing w:line="300" w:lineRule="auto"/>
              <w:rPr>
                <w:color w:val="000000"/>
              </w:rPr>
            </w:pPr>
          </w:p>
        </w:tc>
        <w:tc>
          <w:tcPr>
            <w:tcW w:w="852" w:type="dxa"/>
            <w:tcBorders>
              <w:top w:val="single" w:color="auto" w:sz="4" w:space="0"/>
              <w:bottom w:val="single" w:color="auto" w:sz="8" w:space="0"/>
            </w:tcBorders>
            <w:shd w:val="clear" w:color="auto" w:fill="auto"/>
            <w:vAlign w:val="center"/>
          </w:tcPr>
          <w:p w14:paraId="47F3CD83">
            <w:pPr>
              <w:widowControl/>
              <w:adjustRightInd/>
              <w:spacing w:line="300" w:lineRule="auto"/>
              <w:jc w:val="center"/>
              <w:rPr>
                <w:rFonts w:ascii="宋体" w:hAnsi="宋体"/>
                <w:color w:val="000000"/>
                <w:kern w:val="0"/>
                <w:sz w:val="18"/>
                <w:szCs w:val="18"/>
              </w:rPr>
            </w:pPr>
            <w:r>
              <w:rPr>
                <w:rFonts w:hint="eastAsia" w:ascii="宋体" w:hAnsi="宋体"/>
                <w:color w:val="000000"/>
                <w:sz w:val="18"/>
                <w:szCs w:val="18"/>
              </w:rPr>
              <w:t>50.8</w:t>
            </w:r>
            <w:r>
              <w:rPr>
                <w:rFonts w:ascii="Yu Gothic Medium" w:hAnsi="Yu Gothic Medium" w:eastAsia="Yu Gothic Medium"/>
                <w:color w:val="000000"/>
                <w:sz w:val="18"/>
                <w:szCs w:val="18"/>
              </w:rPr>
              <w:t xml:space="preserve"> </w:t>
            </w:r>
            <w:r>
              <w:rPr>
                <w:rFonts w:hint="eastAsia" w:ascii="宋体" w:hAnsi="宋体"/>
                <w:color w:val="000000"/>
                <w:sz w:val="18"/>
                <w:szCs w:val="18"/>
              </w:rPr>
              <w:t>mm</w:t>
            </w:r>
          </w:p>
        </w:tc>
        <w:tc>
          <w:tcPr>
            <w:tcW w:w="853" w:type="dxa"/>
            <w:tcBorders>
              <w:top w:val="single" w:color="auto" w:sz="4" w:space="0"/>
              <w:bottom w:val="single" w:color="auto" w:sz="8" w:space="0"/>
            </w:tcBorders>
            <w:shd w:val="clear" w:color="auto" w:fill="auto"/>
            <w:vAlign w:val="center"/>
          </w:tcPr>
          <w:p w14:paraId="6F2005CF">
            <w:pPr>
              <w:widowControl/>
              <w:adjustRightInd/>
              <w:spacing w:line="300" w:lineRule="auto"/>
              <w:jc w:val="center"/>
              <w:rPr>
                <w:rFonts w:ascii="宋体" w:hAnsi="宋体"/>
                <w:color w:val="000000"/>
                <w:kern w:val="0"/>
                <w:sz w:val="18"/>
                <w:szCs w:val="18"/>
              </w:rPr>
            </w:pPr>
            <w:r>
              <w:rPr>
                <w:rFonts w:hint="eastAsia" w:ascii="宋体" w:hAnsi="宋体"/>
                <w:color w:val="000000"/>
                <w:sz w:val="18"/>
                <w:szCs w:val="18"/>
              </w:rPr>
              <w:t>76.2</w:t>
            </w:r>
            <w:r>
              <w:rPr>
                <w:rFonts w:ascii="Yu Gothic Medium" w:hAnsi="Yu Gothic Medium" w:eastAsia="Yu Gothic Medium"/>
                <w:color w:val="000000"/>
                <w:sz w:val="18"/>
                <w:szCs w:val="18"/>
              </w:rPr>
              <w:t xml:space="preserve"> </w:t>
            </w:r>
            <w:r>
              <w:rPr>
                <w:rFonts w:hint="eastAsia" w:ascii="宋体" w:hAnsi="宋体"/>
                <w:color w:val="000000"/>
                <w:sz w:val="18"/>
                <w:szCs w:val="18"/>
              </w:rPr>
              <w:t>mm</w:t>
            </w:r>
          </w:p>
        </w:tc>
        <w:tc>
          <w:tcPr>
            <w:tcW w:w="2558" w:type="dxa"/>
            <w:gridSpan w:val="3"/>
            <w:tcBorders>
              <w:top w:val="single" w:color="auto" w:sz="4" w:space="0"/>
              <w:bottom w:val="single" w:color="auto" w:sz="8" w:space="0"/>
            </w:tcBorders>
            <w:shd w:val="clear" w:color="auto" w:fill="auto"/>
            <w:vAlign w:val="center"/>
          </w:tcPr>
          <w:p w14:paraId="3A8BD3A1">
            <w:pPr>
              <w:pStyle w:val="178"/>
              <w:spacing w:line="300" w:lineRule="auto"/>
              <w:rPr>
                <w:color w:val="000000"/>
              </w:rPr>
            </w:pPr>
            <w:r>
              <w:rPr>
                <w:color w:val="000000"/>
              </w:rPr>
              <w:t>100</w:t>
            </w:r>
            <w:r>
              <w:rPr>
                <w:rFonts w:hint="eastAsia"/>
                <w:color w:val="000000"/>
              </w:rPr>
              <w:t>.0</w:t>
            </w:r>
            <w:r>
              <w:rPr>
                <w:rFonts w:ascii="Yu Gothic Medium" w:hAnsi="Yu Gothic Medium" w:eastAsia="Yu Gothic Medium"/>
                <w:color w:val="000000"/>
                <w:szCs w:val="18"/>
              </w:rPr>
              <w:t xml:space="preserve"> </w:t>
            </w:r>
            <w:r>
              <w:rPr>
                <w:rFonts w:hint="eastAsia" w:hAnsi="宋体"/>
                <w:color w:val="000000"/>
                <w:szCs w:val="18"/>
              </w:rPr>
              <w:t>mm</w:t>
            </w:r>
          </w:p>
        </w:tc>
        <w:tc>
          <w:tcPr>
            <w:tcW w:w="2559" w:type="dxa"/>
            <w:gridSpan w:val="3"/>
            <w:tcBorders>
              <w:top w:val="single" w:color="auto" w:sz="4" w:space="0"/>
              <w:bottom w:val="single" w:color="auto" w:sz="8" w:space="0"/>
            </w:tcBorders>
            <w:shd w:val="clear" w:color="auto" w:fill="auto"/>
            <w:vAlign w:val="center"/>
          </w:tcPr>
          <w:p w14:paraId="2142A407">
            <w:pPr>
              <w:pStyle w:val="178"/>
              <w:spacing w:line="300" w:lineRule="auto"/>
              <w:rPr>
                <w:color w:val="000000"/>
              </w:rPr>
            </w:pPr>
            <w:r>
              <w:rPr>
                <w:color w:val="000000"/>
              </w:rPr>
              <w:t>150.0</w:t>
            </w:r>
            <w:r>
              <w:rPr>
                <w:rFonts w:ascii="Yu Gothic Medium" w:hAnsi="Yu Gothic Medium" w:eastAsia="Yu Gothic Medium"/>
                <w:color w:val="000000"/>
                <w:szCs w:val="18"/>
              </w:rPr>
              <w:t xml:space="preserve"> </w:t>
            </w:r>
            <w:r>
              <w:rPr>
                <w:rFonts w:hint="eastAsia" w:hAnsi="宋体"/>
                <w:color w:val="000000"/>
                <w:szCs w:val="18"/>
              </w:rPr>
              <w:t>mm</w:t>
            </w:r>
          </w:p>
        </w:tc>
        <w:tc>
          <w:tcPr>
            <w:tcW w:w="1705" w:type="dxa"/>
            <w:gridSpan w:val="2"/>
            <w:tcBorders>
              <w:top w:val="single" w:color="auto" w:sz="4" w:space="0"/>
              <w:bottom w:val="single" w:color="auto" w:sz="8" w:space="0"/>
            </w:tcBorders>
          </w:tcPr>
          <w:p w14:paraId="149B6089">
            <w:pPr>
              <w:pStyle w:val="178"/>
              <w:spacing w:line="300" w:lineRule="auto"/>
              <w:rPr>
                <w:color w:val="000000"/>
              </w:rPr>
            </w:pPr>
            <w:r>
              <w:rPr>
                <w:color w:val="000000"/>
              </w:rPr>
              <w:t>200.0</w:t>
            </w:r>
            <w:r>
              <w:rPr>
                <w:rFonts w:ascii="Yu Gothic Medium" w:hAnsi="Yu Gothic Medium" w:eastAsia="Yu Gothic Medium"/>
                <w:color w:val="000000"/>
                <w:szCs w:val="18"/>
              </w:rPr>
              <w:t xml:space="preserve"> </w:t>
            </w:r>
            <w:r>
              <w:rPr>
                <w:rFonts w:hint="eastAsia" w:hAnsi="宋体"/>
                <w:color w:val="000000"/>
                <w:szCs w:val="18"/>
              </w:rPr>
              <w:t>mm</w:t>
            </w:r>
          </w:p>
        </w:tc>
      </w:tr>
      <w:tr w14:paraId="38AC6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05" w:type="dxa"/>
            <w:tcBorders>
              <w:top w:val="single" w:color="auto" w:sz="8" w:space="0"/>
            </w:tcBorders>
            <w:shd w:val="clear" w:color="auto" w:fill="auto"/>
            <w:vAlign w:val="center"/>
          </w:tcPr>
          <w:p w14:paraId="697B498A">
            <w:pPr>
              <w:pStyle w:val="178"/>
              <w:spacing w:line="300" w:lineRule="auto"/>
              <w:rPr>
                <w:color w:val="000000"/>
              </w:rPr>
            </w:pPr>
            <w:r>
              <w:rPr>
                <w:rFonts w:hint="eastAsia"/>
                <w:color w:val="000000"/>
              </w:rPr>
              <w:t>总计数点</w:t>
            </w:r>
          </w:p>
        </w:tc>
        <w:tc>
          <w:tcPr>
            <w:tcW w:w="852" w:type="dxa"/>
            <w:tcBorders>
              <w:top w:val="single" w:color="auto" w:sz="8" w:space="0"/>
            </w:tcBorders>
            <w:shd w:val="clear" w:color="auto" w:fill="auto"/>
            <w:vAlign w:val="center"/>
          </w:tcPr>
          <w:p w14:paraId="39C1198F">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37</w:t>
            </w:r>
          </w:p>
        </w:tc>
        <w:tc>
          <w:tcPr>
            <w:tcW w:w="853" w:type="dxa"/>
            <w:tcBorders>
              <w:top w:val="single" w:color="auto" w:sz="8" w:space="0"/>
            </w:tcBorders>
            <w:shd w:val="clear" w:color="auto" w:fill="auto"/>
            <w:vAlign w:val="center"/>
          </w:tcPr>
          <w:p w14:paraId="3FFE6867">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37</w:t>
            </w:r>
          </w:p>
        </w:tc>
        <w:tc>
          <w:tcPr>
            <w:tcW w:w="852" w:type="dxa"/>
            <w:tcBorders>
              <w:top w:val="single" w:color="auto" w:sz="8" w:space="0"/>
            </w:tcBorders>
            <w:shd w:val="clear" w:color="auto" w:fill="auto"/>
            <w:vAlign w:val="center"/>
          </w:tcPr>
          <w:p w14:paraId="1DF80F03">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69</w:t>
            </w:r>
          </w:p>
        </w:tc>
        <w:tc>
          <w:tcPr>
            <w:tcW w:w="853" w:type="dxa"/>
            <w:tcBorders>
              <w:top w:val="single" w:color="auto" w:sz="8" w:space="0"/>
            </w:tcBorders>
            <w:shd w:val="clear" w:color="auto" w:fill="auto"/>
            <w:vAlign w:val="center"/>
          </w:tcPr>
          <w:p w14:paraId="5064A687">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137</w:t>
            </w:r>
          </w:p>
        </w:tc>
        <w:tc>
          <w:tcPr>
            <w:tcW w:w="852" w:type="dxa"/>
            <w:tcBorders>
              <w:top w:val="single" w:color="auto" w:sz="8" w:space="0"/>
            </w:tcBorders>
            <w:shd w:val="clear" w:color="auto" w:fill="auto"/>
            <w:vAlign w:val="center"/>
          </w:tcPr>
          <w:p w14:paraId="40556AF9">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253</w:t>
            </w:r>
          </w:p>
        </w:tc>
        <w:tc>
          <w:tcPr>
            <w:tcW w:w="853" w:type="dxa"/>
            <w:tcBorders>
              <w:top w:val="single" w:color="auto" w:sz="8" w:space="0"/>
            </w:tcBorders>
            <w:shd w:val="clear" w:color="auto" w:fill="auto"/>
            <w:vAlign w:val="center"/>
          </w:tcPr>
          <w:p w14:paraId="27F5BBCF">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69</w:t>
            </w:r>
          </w:p>
        </w:tc>
        <w:tc>
          <w:tcPr>
            <w:tcW w:w="852" w:type="dxa"/>
            <w:tcBorders>
              <w:top w:val="single" w:color="auto" w:sz="8" w:space="0"/>
            </w:tcBorders>
            <w:shd w:val="clear" w:color="auto" w:fill="auto"/>
            <w:vAlign w:val="center"/>
          </w:tcPr>
          <w:p w14:paraId="1932B683">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137</w:t>
            </w:r>
          </w:p>
        </w:tc>
        <w:tc>
          <w:tcPr>
            <w:tcW w:w="853" w:type="dxa"/>
            <w:tcBorders>
              <w:top w:val="single" w:color="auto" w:sz="8" w:space="0"/>
            </w:tcBorders>
            <w:shd w:val="clear" w:color="auto" w:fill="auto"/>
            <w:vAlign w:val="center"/>
          </w:tcPr>
          <w:p w14:paraId="49908FEA">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253</w:t>
            </w:r>
          </w:p>
        </w:tc>
        <w:tc>
          <w:tcPr>
            <w:tcW w:w="852" w:type="dxa"/>
            <w:tcBorders>
              <w:top w:val="single" w:color="auto" w:sz="8" w:space="0"/>
            </w:tcBorders>
            <w:vAlign w:val="center"/>
          </w:tcPr>
          <w:p w14:paraId="49EDD30F">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137</w:t>
            </w:r>
          </w:p>
        </w:tc>
        <w:tc>
          <w:tcPr>
            <w:tcW w:w="853" w:type="dxa"/>
            <w:tcBorders>
              <w:top w:val="single" w:color="auto" w:sz="8" w:space="0"/>
            </w:tcBorders>
            <w:shd w:val="clear" w:color="auto" w:fill="auto"/>
            <w:vAlign w:val="center"/>
          </w:tcPr>
          <w:p w14:paraId="43C6B220">
            <w:pPr>
              <w:widowControl/>
              <w:spacing w:line="300" w:lineRule="auto"/>
              <w:jc w:val="center"/>
              <w:textAlignment w:val="center"/>
              <w:rPr>
                <w:rFonts w:ascii="宋体" w:hAnsi="Times New Roman"/>
                <w:color w:val="000000"/>
                <w:kern w:val="0"/>
                <w:sz w:val="18"/>
                <w:szCs w:val="20"/>
              </w:rPr>
            </w:pPr>
            <w:r>
              <w:rPr>
                <w:rFonts w:ascii="宋体" w:hAnsi="Times New Roman"/>
                <w:color w:val="000000"/>
                <w:kern w:val="0"/>
                <w:sz w:val="18"/>
                <w:szCs w:val="20"/>
              </w:rPr>
              <w:t>253</w:t>
            </w:r>
          </w:p>
        </w:tc>
      </w:tr>
      <w:tr w14:paraId="4F482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1005" w:type="dxa"/>
            <w:tcBorders>
              <w:bottom w:val="single" w:color="auto" w:sz="8" w:space="0"/>
            </w:tcBorders>
            <w:shd w:val="clear" w:color="auto" w:fill="auto"/>
            <w:vAlign w:val="center"/>
          </w:tcPr>
          <w:p w14:paraId="4811FBA4">
            <w:pPr>
              <w:pStyle w:val="178"/>
              <w:rPr>
                <w:color w:val="000000"/>
              </w:rPr>
            </w:pPr>
            <w:r>
              <w:rPr>
                <w:rFonts w:hint="eastAsia"/>
                <w:color w:val="000000"/>
              </w:rPr>
              <w:t>测试点间距</w:t>
            </w:r>
          </w:p>
          <w:p w14:paraId="74EF96B8">
            <w:pPr>
              <w:pStyle w:val="178"/>
              <w:rPr>
                <w:color w:val="000000"/>
              </w:rPr>
            </w:pPr>
            <w:r>
              <w:rPr>
                <w:color w:val="000000"/>
              </w:rPr>
              <w:t>mm</w:t>
            </w:r>
          </w:p>
        </w:tc>
        <w:tc>
          <w:tcPr>
            <w:tcW w:w="852" w:type="dxa"/>
            <w:tcBorders>
              <w:bottom w:val="single" w:color="auto" w:sz="8" w:space="0"/>
            </w:tcBorders>
            <w:shd w:val="clear" w:color="auto" w:fill="auto"/>
            <w:vAlign w:val="center"/>
          </w:tcPr>
          <w:p w14:paraId="26761060">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6.8 </w:t>
            </w:r>
          </w:p>
        </w:tc>
        <w:tc>
          <w:tcPr>
            <w:tcW w:w="853" w:type="dxa"/>
            <w:tcBorders>
              <w:bottom w:val="single" w:color="auto" w:sz="8" w:space="0"/>
            </w:tcBorders>
            <w:shd w:val="clear" w:color="auto" w:fill="auto"/>
            <w:vAlign w:val="center"/>
          </w:tcPr>
          <w:p w14:paraId="1A5EEC59">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10.2 </w:t>
            </w:r>
          </w:p>
        </w:tc>
        <w:tc>
          <w:tcPr>
            <w:tcW w:w="852" w:type="dxa"/>
            <w:tcBorders>
              <w:bottom w:val="single" w:color="auto" w:sz="8" w:space="0"/>
            </w:tcBorders>
            <w:shd w:val="clear" w:color="auto" w:fill="auto"/>
            <w:vAlign w:val="center"/>
          </w:tcPr>
          <w:p w14:paraId="469DD205">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9.8 </w:t>
            </w:r>
          </w:p>
        </w:tc>
        <w:tc>
          <w:tcPr>
            <w:tcW w:w="853" w:type="dxa"/>
            <w:tcBorders>
              <w:bottom w:val="single" w:color="auto" w:sz="8" w:space="0"/>
            </w:tcBorders>
            <w:shd w:val="clear" w:color="auto" w:fill="auto"/>
            <w:vAlign w:val="center"/>
          </w:tcPr>
          <w:p w14:paraId="2F8EF2CB">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7.0 </w:t>
            </w:r>
          </w:p>
        </w:tc>
        <w:tc>
          <w:tcPr>
            <w:tcW w:w="852" w:type="dxa"/>
            <w:tcBorders>
              <w:bottom w:val="single" w:color="auto" w:sz="8" w:space="0"/>
            </w:tcBorders>
            <w:shd w:val="clear" w:color="auto" w:fill="auto"/>
            <w:vAlign w:val="center"/>
          </w:tcPr>
          <w:p w14:paraId="1A051B95">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5.1 </w:t>
            </w:r>
          </w:p>
        </w:tc>
        <w:tc>
          <w:tcPr>
            <w:tcW w:w="853" w:type="dxa"/>
            <w:tcBorders>
              <w:bottom w:val="single" w:color="auto" w:sz="8" w:space="0"/>
            </w:tcBorders>
            <w:shd w:val="clear" w:color="auto" w:fill="auto"/>
            <w:vAlign w:val="center"/>
          </w:tcPr>
          <w:p w14:paraId="50FFE1B1">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14.7 </w:t>
            </w:r>
          </w:p>
        </w:tc>
        <w:tc>
          <w:tcPr>
            <w:tcW w:w="852" w:type="dxa"/>
            <w:tcBorders>
              <w:bottom w:val="single" w:color="auto" w:sz="8" w:space="0"/>
            </w:tcBorders>
            <w:shd w:val="clear" w:color="auto" w:fill="auto"/>
            <w:vAlign w:val="center"/>
          </w:tcPr>
          <w:p w14:paraId="038236D8">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10.4 </w:t>
            </w:r>
          </w:p>
        </w:tc>
        <w:tc>
          <w:tcPr>
            <w:tcW w:w="853" w:type="dxa"/>
            <w:tcBorders>
              <w:bottom w:val="single" w:color="auto" w:sz="8" w:space="0"/>
            </w:tcBorders>
            <w:shd w:val="clear" w:color="auto" w:fill="auto"/>
            <w:vAlign w:val="center"/>
          </w:tcPr>
          <w:p w14:paraId="357EB364">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7.7 </w:t>
            </w:r>
          </w:p>
        </w:tc>
        <w:tc>
          <w:tcPr>
            <w:tcW w:w="852" w:type="dxa"/>
            <w:tcBorders>
              <w:bottom w:val="single" w:color="auto" w:sz="8" w:space="0"/>
            </w:tcBorders>
            <w:vAlign w:val="center"/>
          </w:tcPr>
          <w:p w14:paraId="58B4E2A3">
            <w:pPr>
              <w:widowControl/>
              <w:spacing w:line="300" w:lineRule="auto"/>
              <w:jc w:val="center"/>
              <w:textAlignment w:val="center"/>
              <w:rPr>
                <w:rFonts w:ascii="宋体" w:hAnsi="Times New Roman"/>
                <w:color w:val="000000"/>
                <w:kern w:val="0"/>
                <w:sz w:val="18"/>
                <w:szCs w:val="20"/>
              </w:rPr>
            </w:pPr>
            <w:r>
              <w:rPr>
                <w:rFonts w:hint="eastAsia" w:ascii="宋体" w:hAnsi="Times New Roman"/>
                <w:color w:val="000000"/>
                <w:kern w:val="0"/>
                <w:sz w:val="18"/>
                <w:szCs w:val="20"/>
              </w:rPr>
              <w:t xml:space="preserve">13.9 </w:t>
            </w:r>
          </w:p>
        </w:tc>
        <w:tc>
          <w:tcPr>
            <w:tcW w:w="853" w:type="dxa"/>
            <w:tcBorders>
              <w:bottom w:val="single" w:color="auto" w:sz="8" w:space="0"/>
            </w:tcBorders>
            <w:shd w:val="clear" w:color="auto" w:fill="auto"/>
            <w:vAlign w:val="center"/>
          </w:tcPr>
          <w:p w14:paraId="2E6762DB">
            <w:pPr>
              <w:widowControl/>
              <w:spacing w:line="300" w:lineRule="auto"/>
              <w:jc w:val="center"/>
              <w:textAlignment w:val="center"/>
              <w:rPr>
                <w:rFonts w:ascii="宋体" w:hAnsi="Times New Roman"/>
                <w:color w:val="000000"/>
                <w:kern w:val="0"/>
                <w:sz w:val="18"/>
                <w:szCs w:val="20"/>
              </w:rPr>
            </w:pPr>
            <w:r>
              <w:rPr>
                <w:rFonts w:ascii="宋体" w:hAnsi="Times New Roman"/>
                <w:color w:val="000000"/>
                <w:kern w:val="0"/>
                <w:sz w:val="18"/>
                <w:szCs w:val="20"/>
              </w:rPr>
              <w:t>10</w:t>
            </w:r>
            <w:r>
              <w:rPr>
                <w:rFonts w:hint="eastAsia" w:ascii="宋体" w:hAnsi="Times New Roman"/>
                <w:color w:val="000000"/>
                <w:kern w:val="0"/>
                <w:sz w:val="18"/>
                <w:szCs w:val="20"/>
              </w:rPr>
              <w:t>.</w:t>
            </w:r>
            <w:r>
              <w:rPr>
                <w:rFonts w:ascii="宋体" w:hAnsi="Times New Roman"/>
                <w:color w:val="000000"/>
                <w:kern w:val="0"/>
                <w:sz w:val="18"/>
                <w:szCs w:val="20"/>
              </w:rPr>
              <w:t>5</w:t>
            </w:r>
          </w:p>
        </w:tc>
      </w:tr>
    </w:tbl>
    <w:p w14:paraId="27C840D8">
      <w:pPr>
        <w:pStyle w:val="164"/>
        <w:numPr>
          <w:ilvl w:val="0"/>
          <w:numId w:val="33"/>
        </w:numPr>
        <w:autoSpaceDE w:val="0"/>
        <w:autoSpaceDN w:val="0"/>
        <w:spacing w:line="300" w:lineRule="auto"/>
        <w:ind w:left="0" w:firstLine="420" w:firstLineChars="200"/>
        <w:rPr>
          <w:iCs/>
          <w:color w:val="000000"/>
        </w:rPr>
      </w:pPr>
      <w:bookmarkStart w:id="74" w:name="_Hlk230363414"/>
      <w:r>
        <w:rPr>
          <w:iCs/>
          <w:color w:val="000000"/>
        </w:rPr>
        <w:t>圆形砷化镓单晶片选点计数位置</w:t>
      </w:r>
      <w:r>
        <w:rPr>
          <w:rFonts w:hint="eastAsia"/>
          <w:iCs/>
          <w:color w:val="000000"/>
        </w:rPr>
        <w:t>如</w:t>
      </w:r>
      <w:r>
        <w:rPr>
          <w:iCs/>
          <w:color w:val="000000"/>
        </w:rPr>
        <w:t>图</w:t>
      </w:r>
      <w:r>
        <w:rPr>
          <w:rFonts w:hint="eastAsia"/>
          <w:iCs/>
          <w:color w:val="000000"/>
        </w:rPr>
        <w:t>1、图2、图</w:t>
      </w:r>
      <w:r>
        <w:rPr>
          <w:iCs/>
          <w:color w:val="000000"/>
        </w:rPr>
        <w:t>3</w:t>
      </w:r>
      <w:r>
        <w:rPr>
          <w:rFonts w:hint="eastAsia"/>
          <w:iCs/>
          <w:color w:val="000000"/>
        </w:rPr>
        <w:t>、图</w:t>
      </w:r>
      <w:r>
        <w:rPr>
          <w:iCs/>
          <w:color w:val="000000"/>
        </w:rPr>
        <w:t>4</w:t>
      </w:r>
      <w:r>
        <w:rPr>
          <w:rFonts w:hint="eastAsia"/>
          <w:iCs/>
          <w:color w:val="000000"/>
        </w:rPr>
        <w:t>所示：</w:t>
      </w:r>
    </w:p>
    <w:p w14:paraId="28A037FF">
      <w:pPr>
        <w:pStyle w:val="165"/>
        <w:numPr>
          <w:ilvl w:val="0"/>
          <w:numId w:val="0"/>
        </w:numPr>
        <w:jc w:val="center"/>
        <w:rPr>
          <w:color w:val="000000"/>
        </w:rPr>
      </w:pPr>
      <w:r>
        <w:rPr>
          <w:color w:val="000000"/>
        </w:rPr>
        <w:drawing>
          <wp:inline distT="0" distB="0" distL="0" distR="0">
            <wp:extent cx="2481580" cy="2380615"/>
            <wp:effectExtent l="0" t="0" r="0" b="6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86803" cy="2385986"/>
                    </a:xfrm>
                    <a:prstGeom prst="rect">
                      <a:avLst/>
                    </a:prstGeom>
                    <a:noFill/>
                    <a:ln>
                      <a:noFill/>
                    </a:ln>
                  </pic:spPr>
                </pic:pic>
              </a:graphicData>
            </a:graphic>
          </wp:inline>
        </w:drawing>
      </w:r>
      <w:r>
        <w:rPr>
          <w:color w:val="000000"/>
        </w:rPr>
        <w:t xml:space="preserve">        </w:t>
      </w:r>
      <w:r>
        <w:rPr>
          <w:color w:val="000000"/>
        </w:rPr>
        <w:drawing>
          <wp:inline distT="0" distB="0" distL="0" distR="0">
            <wp:extent cx="2481580" cy="238188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
                      <a:extLst>
                        <a:ext uri="{28A0092B-C50C-407E-A947-70E740481C1C}">
                          <a14:useLocalDpi xmlns:a14="http://schemas.microsoft.com/office/drawing/2010/main" val="0"/>
                        </a:ext>
                      </a:extLst>
                    </a:blip>
                    <a:srcRect l="2364" r="1573"/>
                    <a:stretch>
                      <a:fillRect/>
                    </a:stretch>
                  </pic:blipFill>
                  <pic:spPr>
                    <a:xfrm>
                      <a:off x="0" y="0"/>
                      <a:ext cx="2487482" cy="2387586"/>
                    </a:xfrm>
                    <a:prstGeom prst="rect">
                      <a:avLst/>
                    </a:prstGeom>
                    <a:noFill/>
                    <a:ln>
                      <a:noFill/>
                    </a:ln>
                  </pic:spPr>
                </pic:pic>
              </a:graphicData>
            </a:graphic>
          </wp:inline>
        </w:drawing>
      </w:r>
    </w:p>
    <w:p w14:paraId="078ACF25">
      <w:pPr>
        <w:pStyle w:val="165"/>
        <w:numPr>
          <w:ilvl w:val="0"/>
          <w:numId w:val="0"/>
        </w:numPr>
        <w:jc w:val="center"/>
        <w:rPr>
          <w:color w:val="000000"/>
        </w:rPr>
      </w:pPr>
      <w:r>
        <w:rPr>
          <w:rFonts w:ascii="黑体" w:hAnsi="宋体" w:eastAsia="黑体" w:cs="宋体"/>
          <w:color w:val="000000"/>
          <w:szCs w:val="21"/>
        </w:rPr>
        <w:t>图</w:t>
      </w:r>
      <w:r>
        <w:rPr>
          <w:rFonts w:hint="eastAsia" w:ascii="黑体" w:hAnsi="宋体" w:eastAsia="黑体" w:cs="宋体"/>
          <w:color w:val="000000"/>
          <w:szCs w:val="21"/>
        </w:rPr>
        <w:t>1</w:t>
      </w:r>
      <w:r>
        <w:rPr>
          <w:rFonts w:ascii="黑体" w:hAnsi="宋体" w:eastAsia="黑体" w:cs="宋体"/>
          <w:color w:val="000000"/>
          <w:szCs w:val="21"/>
        </w:rPr>
        <w:t xml:space="preserve">  37点计数位置</w:t>
      </w:r>
      <w:r>
        <w:rPr>
          <w:rFonts w:hint="eastAsia" w:ascii="黑体" w:hAnsi="宋体" w:eastAsia="黑体" w:cs="宋体"/>
          <w:color w:val="000000"/>
          <w:szCs w:val="21"/>
        </w:rPr>
        <w:t xml:space="preserve"> </w:t>
      </w:r>
      <w:r>
        <w:rPr>
          <w:color w:val="000000"/>
        </w:rPr>
        <w:t xml:space="preserve">                        </w:t>
      </w:r>
      <w:r>
        <w:rPr>
          <w:rFonts w:ascii="黑体" w:hAnsi="宋体" w:eastAsia="黑体" w:cs="宋体"/>
          <w:color w:val="000000"/>
          <w:szCs w:val="21"/>
        </w:rPr>
        <w:t xml:space="preserve"> 图2  69点计数位置</w:t>
      </w:r>
    </w:p>
    <w:p w14:paraId="328EB5B4">
      <w:pPr>
        <w:pStyle w:val="165"/>
        <w:numPr>
          <w:ilvl w:val="0"/>
          <w:numId w:val="0"/>
        </w:numPr>
        <w:jc w:val="center"/>
        <w:rPr>
          <w:color w:val="000000"/>
        </w:rPr>
      </w:pPr>
    </w:p>
    <w:p w14:paraId="329B5DFC">
      <w:pPr>
        <w:pStyle w:val="165"/>
        <w:numPr>
          <w:ilvl w:val="0"/>
          <w:numId w:val="0"/>
        </w:numPr>
        <w:jc w:val="center"/>
        <w:rPr>
          <w:color w:val="000000"/>
        </w:rPr>
      </w:pPr>
      <w:r>
        <w:rPr>
          <w:color w:val="000000"/>
        </w:rPr>
        <w:drawing>
          <wp:inline distT="0" distB="0" distL="0" distR="0">
            <wp:extent cx="2543810" cy="2534920"/>
            <wp:effectExtent l="0" t="0" r="889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56157" cy="2546770"/>
                    </a:xfrm>
                    <a:prstGeom prst="rect">
                      <a:avLst/>
                    </a:prstGeom>
                    <a:noFill/>
                    <a:ln>
                      <a:noFill/>
                    </a:ln>
                  </pic:spPr>
                </pic:pic>
              </a:graphicData>
            </a:graphic>
          </wp:inline>
        </w:drawing>
      </w:r>
      <w:r>
        <w:rPr>
          <w:color w:val="000000"/>
        </w:rPr>
        <w:t xml:space="preserve">        </w:t>
      </w:r>
      <w:r>
        <w:rPr>
          <w:rFonts w:hint="eastAsia"/>
          <w:color w:val="000000"/>
        </w:rPr>
        <w:drawing>
          <wp:inline distT="0" distB="0" distL="0" distR="0">
            <wp:extent cx="2533015" cy="251396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396" cy="2548103"/>
                    </a:xfrm>
                    <a:prstGeom prst="rect">
                      <a:avLst/>
                    </a:prstGeom>
                  </pic:spPr>
                </pic:pic>
              </a:graphicData>
            </a:graphic>
          </wp:inline>
        </w:drawing>
      </w:r>
    </w:p>
    <w:p w14:paraId="7A74A199">
      <w:pPr>
        <w:pStyle w:val="164"/>
        <w:numPr>
          <w:ilvl w:val="0"/>
          <w:numId w:val="0"/>
        </w:numPr>
        <w:spacing w:line="300" w:lineRule="auto"/>
        <w:ind w:firstLine="420"/>
        <w:rPr>
          <w:rFonts w:ascii="黑体" w:hAnsi="宋体" w:eastAsia="黑体" w:cs="宋体"/>
          <w:color w:val="000000"/>
          <w:szCs w:val="21"/>
        </w:rPr>
      </w:pPr>
      <w:r>
        <w:rPr>
          <w:color w:val="000000"/>
        </w:rPr>
        <w:t xml:space="preserve">         </w:t>
      </w:r>
      <w:r>
        <w:rPr>
          <w:rFonts w:ascii="黑体" w:hAnsi="宋体" w:eastAsia="黑体" w:cs="宋体"/>
          <w:color w:val="000000"/>
          <w:szCs w:val="21"/>
        </w:rPr>
        <w:t xml:space="preserve"> 图3  137点计数位置</w:t>
      </w:r>
      <w:r>
        <w:rPr>
          <w:rFonts w:hint="eastAsia"/>
          <w:color w:val="000000"/>
        </w:rPr>
        <w:t xml:space="preserve"> </w:t>
      </w:r>
      <w:r>
        <w:rPr>
          <w:color w:val="000000"/>
        </w:rPr>
        <w:t xml:space="preserve">                           </w:t>
      </w:r>
      <w:r>
        <w:rPr>
          <w:rFonts w:ascii="黑体" w:hAnsi="宋体" w:eastAsia="黑体" w:cs="宋体"/>
          <w:color w:val="000000"/>
          <w:szCs w:val="21"/>
        </w:rPr>
        <w:t xml:space="preserve"> 图4  253点计数位置</w:t>
      </w:r>
    </w:p>
    <w:p w14:paraId="6E2EFC54">
      <w:pPr>
        <w:pStyle w:val="164"/>
        <w:numPr>
          <w:ilvl w:val="0"/>
          <w:numId w:val="0"/>
        </w:numPr>
        <w:spacing w:line="300" w:lineRule="auto"/>
        <w:ind w:firstLine="420"/>
        <w:rPr>
          <w:rFonts w:ascii="黑体" w:hAnsi="宋体" w:eastAsia="黑体" w:cs="宋体"/>
          <w:color w:val="000000"/>
          <w:szCs w:val="21"/>
        </w:rPr>
      </w:pPr>
    </w:p>
    <w:bookmarkEnd w:id="74"/>
    <w:p w14:paraId="676869CF">
      <w:pPr>
        <w:pStyle w:val="65"/>
        <w:spacing w:before="0" w:beforeLines="0" w:after="0" w:afterLines="0" w:line="300" w:lineRule="auto"/>
      </w:pPr>
      <w:bookmarkStart w:id="75" w:name="_Toc195514582"/>
      <w:bookmarkStart w:id="76" w:name="_Toc194932231"/>
      <w:r>
        <w:rPr>
          <w:rFonts w:hint="eastAsia"/>
        </w:rPr>
        <w:t>计数与记录</w:t>
      </w:r>
      <w:bookmarkEnd w:id="75"/>
      <w:bookmarkEnd w:id="76"/>
    </w:p>
    <w:p w14:paraId="2BB01486">
      <w:pPr>
        <w:pStyle w:val="164"/>
        <w:numPr>
          <w:ilvl w:val="0"/>
          <w:numId w:val="34"/>
        </w:numPr>
        <w:autoSpaceDE w:val="0"/>
        <w:autoSpaceDN w:val="0"/>
        <w:spacing w:line="300" w:lineRule="auto"/>
        <w:ind w:left="0" w:firstLine="420" w:firstLineChars="200"/>
        <w:rPr>
          <w:iCs/>
          <w:color w:val="000000"/>
        </w:rPr>
      </w:pPr>
      <w:r>
        <w:rPr>
          <w:iCs/>
          <w:color w:val="000000"/>
        </w:rPr>
        <w:t>用金相显微镜在选取的测试点观察，参照图</w:t>
      </w:r>
      <w:r>
        <w:rPr>
          <w:rFonts w:hint="eastAsia"/>
          <w:iCs/>
          <w:color w:val="000000"/>
        </w:rPr>
        <w:t>4所示的</w:t>
      </w:r>
      <w:r>
        <w:rPr>
          <w:iCs/>
          <w:color w:val="000000"/>
        </w:rPr>
        <w:t>不同晶面位错腐蚀坑的特征，读取并记录各测试点的位错腐蚀坑个数。</w:t>
      </w:r>
    </w:p>
    <w:p w14:paraId="1D1028DB">
      <w:pPr>
        <w:pStyle w:val="164"/>
        <w:numPr>
          <w:ilvl w:val="0"/>
          <w:numId w:val="34"/>
        </w:numPr>
        <w:autoSpaceDE w:val="0"/>
        <w:autoSpaceDN w:val="0"/>
        <w:spacing w:line="300" w:lineRule="auto"/>
        <w:ind w:left="0" w:firstLine="420" w:firstLineChars="200"/>
        <w:rPr>
          <w:iCs/>
          <w:color w:val="000000"/>
        </w:rPr>
      </w:pPr>
      <w:r>
        <w:rPr>
          <w:iCs/>
          <w:color w:val="000000"/>
        </w:rPr>
        <w:t>视场边界上的位错腐蚀坑，应至少有1/2面积在视场内才予以计数</w:t>
      </w:r>
      <w:r>
        <w:rPr>
          <w:rFonts w:hint="eastAsia"/>
          <w:iCs/>
          <w:color w:val="000000"/>
        </w:rPr>
        <w:t>；</w:t>
      </w:r>
      <w:r>
        <w:rPr>
          <w:iCs/>
          <w:color w:val="000000"/>
        </w:rPr>
        <w:t>在位错腐蚀坑较多且有重叠时，位错腐蚀坑按能看到的坑底个数计数，坑底在视场内的位错腐蚀坑计数，坑底在视场外的位错腐蚀坑不计数，见图</w:t>
      </w:r>
      <w:r>
        <w:rPr>
          <w:rFonts w:hint="eastAsia"/>
          <w:iCs/>
          <w:color w:val="000000"/>
        </w:rPr>
        <w:t>5。</w:t>
      </w:r>
      <w:r>
        <w:rPr>
          <w:iCs/>
          <w:color w:val="000000"/>
        </w:rPr>
        <w:t>不符合特征的坑、平底坑或其他形状的图形不计数</w:t>
      </w:r>
      <w:r>
        <w:rPr>
          <w:rFonts w:hint="eastAsia"/>
          <w:iCs/>
          <w:color w:val="000000"/>
        </w:rPr>
        <w:t>，</w:t>
      </w:r>
      <w:r>
        <w:rPr>
          <w:iCs/>
          <w:color w:val="000000"/>
        </w:rPr>
        <w:t>见图6。如果发现视场内污染点或其他不确定形状的图形很多，应考虑重新制样。</w:t>
      </w:r>
    </w:p>
    <w:p w14:paraId="0FFC1AAD">
      <w:pPr>
        <w:pStyle w:val="164"/>
        <w:numPr>
          <w:ilvl w:val="0"/>
          <w:numId w:val="0"/>
        </w:numPr>
        <w:spacing w:line="300" w:lineRule="auto"/>
        <w:rPr>
          <w:color w:val="000000"/>
        </w:rPr>
      </w:pPr>
      <w:r>
        <w:rPr>
          <w:color w:val="000000"/>
        </w:rPr>
        <w:drawing>
          <wp:inline distT="0" distB="0" distL="0" distR="0">
            <wp:extent cx="2692400" cy="190754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cstate="print">
                      <a:extLst>
                        <a:ext uri="{28A0092B-C50C-407E-A947-70E740481C1C}">
                          <a14:useLocalDpi xmlns:a14="http://schemas.microsoft.com/office/drawing/2010/main" val="0"/>
                        </a:ext>
                      </a:extLst>
                    </a:blip>
                    <a:srcRect r="1160"/>
                    <a:stretch>
                      <a:fillRect/>
                    </a:stretch>
                  </pic:blipFill>
                  <pic:spPr>
                    <a:xfrm>
                      <a:off x="0" y="0"/>
                      <a:ext cx="2692400" cy="1907540"/>
                    </a:xfrm>
                    <a:prstGeom prst="rect">
                      <a:avLst/>
                    </a:prstGeom>
                    <a:noFill/>
                    <a:ln>
                      <a:noFill/>
                    </a:ln>
                  </pic:spPr>
                </pic:pic>
              </a:graphicData>
            </a:graphic>
          </wp:inline>
        </w:drawing>
      </w:r>
      <w:r>
        <w:rPr>
          <w:color w:val="000000"/>
        </w:rPr>
        <w:t xml:space="preserve">    </w:t>
      </w:r>
      <w:r>
        <w:rPr>
          <w:color w:val="000000"/>
        </w:rPr>
        <w:drawing>
          <wp:inline distT="0" distB="0" distL="0" distR="0">
            <wp:extent cx="2697480" cy="1875790"/>
            <wp:effectExtent l="0" t="0" r="762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7480" cy="1875790"/>
                    </a:xfrm>
                    <a:prstGeom prst="rect">
                      <a:avLst/>
                    </a:prstGeom>
                    <a:noFill/>
                    <a:ln>
                      <a:noFill/>
                    </a:ln>
                  </pic:spPr>
                </pic:pic>
              </a:graphicData>
            </a:graphic>
          </wp:inline>
        </w:drawing>
      </w:r>
    </w:p>
    <w:p w14:paraId="756FC0DF">
      <w:pPr>
        <w:pStyle w:val="164"/>
        <w:numPr>
          <w:ilvl w:val="0"/>
          <w:numId w:val="35"/>
        </w:numPr>
        <w:spacing w:line="300" w:lineRule="auto"/>
        <w:rPr>
          <w:color w:val="000000"/>
        </w:rPr>
      </w:pPr>
      <w:r>
        <w:rPr>
          <w:color w:val="000000"/>
        </w:rPr>
        <w:t>{111}Ga面位错腐蚀坑</w:t>
      </w:r>
      <w:r>
        <w:rPr>
          <w:rFonts w:hint="eastAsia"/>
          <w:color w:val="000000"/>
        </w:rPr>
        <w:t xml:space="preserve"> ×4</w:t>
      </w:r>
      <w:r>
        <w:rPr>
          <w:color w:val="000000"/>
        </w:rPr>
        <w:t>00                 b)   {111}As面位错腐蚀坑</w:t>
      </w:r>
      <w:r>
        <w:rPr>
          <w:rFonts w:hint="eastAsia"/>
          <w:color w:val="000000"/>
        </w:rPr>
        <w:t xml:space="preserve"> ×4</w:t>
      </w:r>
      <w:r>
        <w:rPr>
          <w:color w:val="000000"/>
        </w:rPr>
        <w:t xml:space="preserve">00  </w:t>
      </w:r>
    </w:p>
    <w:p w14:paraId="53F892A9">
      <w:pPr>
        <w:pStyle w:val="164"/>
        <w:numPr>
          <w:ilvl w:val="0"/>
          <w:numId w:val="0"/>
        </w:numPr>
        <w:spacing w:line="300" w:lineRule="auto"/>
        <w:rPr>
          <w:color w:val="000000"/>
        </w:rPr>
      </w:pPr>
      <w:r>
        <w:rPr>
          <w:color w:val="000000"/>
        </w:rPr>
        <w:drawing>
          <wp:inline distT="0" distB="0" distL="0" distR="0">
            <wp:extent cx="2714625" cy="1899920"/>
            <wp:effectExtent l="0" t="0" r="952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extLst>
                        <a:ext uri="{28A0092B-C50C-407E-A947-70E740481C1C}">
                          <a14:useLocalDpi xmlns:a14="http://schemas.microsoft.com/office/drawing/2010/main" val="0"/>
                        </a:ext>
                      </a:extLst>
                    </a:blip>
                    <a:srcRect l="244" t="3279" r="-244"/>
                    <a:stretch>
                      <a:fillRect/>
                    </a:stretch>
                  </pic:blipFill>
                  <pic:spPr>
                    <a:xfrm>
                      <a:off x="0" y="0"/>
                      <a:ext cx="2714625" cy="1899920"/>
                    </a:xfrm>
                    <a:prstGeom prst="rect">
                      <a:avLst/>
                    </a:prstGeom>
                    <a:noFill/>
                    <a:ln>
                      <a:noFill/>
                    </a:ln>
                  </pic:spPr>
                </pic:pic>
              </a:graphicData>
            </a:graphic>
          </wp:inline>
        </w:drawing>
      </w:r>
      <w:r>
        <w:rPr>
          <w:color w:val="000000"/>
        </w:rPr>
        <w:t xml:space="preserve">    </w:t>
      </w:r>
      <w:r>
        <w:rPr>
          <w:color w:val="000000"/>
        </w:rPr>
        <w:drawing>
          <wp:inline distT="0" distB="0" distL="0" distR="0">
            <wp:extent cx="2699385" cy="1938655"/>
            <wp:effectExtent l="0" t="0" r="571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extLst>
                        <a:ext uri="{28A0092B-C50C-407E-A947-70E740481C1C}">
                          <a14:useLocalDpi xmlns:a14="http://schemas.microsoft.com/office/drawing/2010/main" val="0"/>
                        </a:ext>
                      </a:extLst>
                    </a:blip>
                    <a:srcRect t="5721" b="7423"/>
                    <a:stretch>
                      <a:fillRect/>
                    </a:stretch>
                  </pic:blipFill>
                  <pic:spPr>
                    <a:xfrm>
                      <a:off x="0" y="0"/>
                      <a:ext cx="2699385" cy="1938655"/>
                    </a:xfrm>
                    <a:prstGeom prst="rect">
                      <a:avLst/>
                    </a:prstGeom>
                    <a:noFill/>
                    <a:ln>
                      <a:noFill/>
                    </a:ln>
                  </pic:spPr>
                </pic:pic>
              </a:graphicData>
            </a:graphic>
          </wp:inline>
        </w:drawing>
      </w:r>
    </w:p>
    <w:p w14:paraId="5F4DFFED">
      <w:pPr>
        <w:pStyle w:val="164"/>
        <w:numPr>
          <w:ilvl w:val="0"/>
          <w:numId w:val="0"/>
        </w:numPr>
        <w:spacing w:line="300" w:lineRule="auto"/>
        <w:ind w:firstLine="630" w:firstLineChars="300"/>
        <w:rPr>
          <w:color w:val="000000"/>
        </w:rPr>
      </w:pPr>
      <w:r>
        <w:rPr>
          <w:color w:val="000000"/>
        </w:rPr>
        <w:t>c)  {100}面位错腐蚀坑</w:t>
      </w:r>
      <w:r>
        <w:rPr>
          <w:rFonts w:hint="eastAsia"/>
          <w:color w:val="000000"/>
        </w:rPr>
        <w:t xml:space="preserve"> ×4</w:t>
      </w:r>
      <w:r>
        <w:rPr>
          <w:color w:val="000000"/>
        </w:rPr>
        <w:t xml:space="preserve">00              d) 直拉法砷化镓单晶{100}面位错腐蚀坑宏观图    </w:t>
      </w:r>
    </w:p>
    <w:p w14:paraId="4E601804">
      <w:pPr>
        <w:pStyle w:val="164"/>
        <w:numPr>
          <w:ilvl w:val="0"/>
          <w:numId w:val="0"/>
        </w:numPr>
        <w:spacing w:line="300" w:lineRule="auto"/>
        <w:ind w:firstLine="630" w:firstLineChars="300"/>
        <w:rPr>
          <w:color w:val="000000"/>
        </w:rPr>
      </w:pPr>
      <w:r>
        <w:rPr>
          <w:rFonts w:hint="eastAsia"/>
          <w:color w:val="000000"/>
        </w:rPr>
        <w:t xml:space="preserve"> </w:t>
      </w:r>
      <w:r>
        <w:rPr>
          <w:color w:val="000000"/>
        </w:rPr>
        <w:t xml:space="preserve">                       </w:t>
      </w:r>
      <w:r>
        <w:rPr>
          <w:color w:val="000000"/>
          <w:sz w:val="22"/>
          <w:szCs w:val="21"/>
        </w:rPr>
        <w:t xml:space="preserve"> </w:t>
      </w:r>
      <w:r>
        <w:rPr>
          <w:rFonts w:ascii="黑体" w:hAnsi="宋体" w:eastAsia="黑体" w:cs="宋体"/>
          <w:color w:val="000000"/>
          <w:szCs w:val="21"/>
        </w:rPr>
        <w:t xml:space="preserve"> 图</w:t>
      </w:r>
      <w:r>
        <w:rPr>
          <w:rFonts w:hint="eastAsia" w:ascii="黑体" w:hAnsi="宋体" w:eastAsia="黑体" w:cs="宋体"/>
          <w:color w:val="000000"/>
          <w:szCs w:val="21"/>
        </w:rPr>
        <w:t>4</w:t>
      </w:r>
      <w:r>
        <w:rPr>
          <w:rFonts w:ascii="黑体" w:hAnsi="宋体" w:eastAsia="黑体" w:cs="宋体"/>
          <w:color w:val="000000"/>
          <w:szCs w:val="21"/>
        </w:rPr>
        <w:t xml:space="preserve">  砷化镓单晶位错密度</w:t>
      </w:r>
    </w:p>
    <w:p w14:paraId="57862107">
      <w:pPr>
        <w:pStyle w:val="164"/>
        <w:numPr>
          <w:ilvl w:val="0"/>
          <w:numId w:val="0"/>
        </w:numPr>
        <w:spacing w:line="300" w:lineRule="auto"/>
        <w:rPr>
          <w:color w:val="000000"/>
        </w:rPr>
      </w:pPr>
      <w:r>
        <w:rPr>
          <w:color w:val="000000"/>
        </w:rPr>
        <w:drawing>
          <wp:inline distT="0" distB="0" distL="0" distR="0">
            <wp:extent cx="3094990" cy="1936115"/>
            <wp:effectExtent l="0" t="0" r="0" b="6985"/>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08260" cy="1944204"/>
                    </a:xfrm>
                    <a:prstGeom prst="rect">
                      <a:avLst/>
                    </a:prstGeom>
                    <a:noFill/>
                    <a:ln>
                      <a:noFill/>
                    </a:ln>
                  </pic:spPr>
                </pic:pic>
              </a:graphicData>
            </a:graphic>
          </wp:inline>
        </w:drawing>
      </w:r>
      <w:r>
        <w:rPr>
          <w:color w:val="000000"/>
        </w:rPr>
        <w:t xml:space="preserve">  </w:t>
      </w:r>
      <w:r>
        <w:t xml:space="preserve">   </w:t>
      </w:r>
      <w:r>
        <w:drawing>
          <wp:inline distT="0" distB="0" distL="0" distR="0">
            <wp:extent cx="2363470" cy="19386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20284" cy="1985459"/>
                    </a:xfrm>
                    <a:prstGeom prst="rect">
                      <a:avLst/>
                    </a:prstGeom>
                    <a:noFill/>
                    <a:ln>
                      <a:noFill/>
                    </a:ln>
                  </pic:spPr>
                </pic:pic>
              </a:graphicData>
            </a:graphic>
          </wp:inline>
        </w:drawing>
      </w:r>
      <w:r>
        <w:rPr>
          <w:color w:val="000000"/>
        </w:rPr>
        <w:t xml:space="preserve">  </w:t>
      </w:r>
    </w:p>
    <w:p w14:paraId="5C693EBD">
      <w:pPr>
        <w:pStyle w:val="164"/>
        <w:numPr>
          <w:ilvl w:val="0"/>
          <w:numId w:val="0"/>
        </w:numPr>
        <w:spacing w:line="300" w:lineRule="auto"/>
        <w:rPr>
          <w:color w:val="000000"/>
        </w:rPr>
      </w:pPr>
      <w:r>
        <w:rPr>
          <w:rFonts w:hint="eastAsia"/>
          <w:color w:val="000000"/>
        </w:rPr>
        <w:t xml:space="preserve"> </w:t>
      </w:r>
      <w:r>
        <w:rPr>
          <w:color w:val="000000"/>
        </w:rPr>
        <w:t xml:space="preserve">  </w:t>
      </w:r>
      <w:r>
        <w:rPr>
          <w:rFonts w:ascii="黑体" w:hAnsi="宋体" w:eastAsia="黑体" w:cs="宋体"/>
          <w:color w:val="000000"/>
          <w:szCs w:val="21"/>
        </w:rPr>
        <w:t>图</w:t>
      </w:r>
      <w:r>
        <w:rPr>
          <w:rFonts w:hint="eastAsia" w:ascii="黑体" w:hAnsi="宋体" w:eastAsia="黑体" w:cs="宋体"/>
          <w:color w:val="000000"/>
          <w:szCs w:val="21"/>
        </w:rPr>
        <w:t>5</w:t>
      </w:r>
      <w:r>
        <w:rPr>
          <w:rFonts w:ascii="黑体" w:hAnsi="宋体" w:eastAsia="黑体" w:cs="宋体"/>
          <w:color w:val="000000"/>
          <w:szCs w:val="21"/>
        </w:rPr>
        <w:t xml:space="preserve">  位错腐蚀坑在边缘</w:t>
      </w:r>
      <w:r>
        <w:rPr>
          <w:rFonts w:hint="eastAsia" w:ascii="黑体" w:hAnsi="宋体" w:eastAsia="黑体" w:cs="宋体"/>
          <w:color w:val="000000"/>
          <w:szCs w:val="21"/>
        </w:rPr>
        <w:t>、</w:t>
      </w:r>
      <w:r>
        <w:rPr>
          <w:rFonts w:ascii="黑体" w:hAnsi="宋体" w:eastAsia="黑体" w:cs="宋体"/>
          <w:color w:val="000000"/>
          <w:szCs w:val="21"/>
        </w:rPr>
        <w:t xml:space="preserve">较多且重叠的情况 </w:t>
      </w:r>
      <w:r>
        <w:rPr>
          <w:rFonts w:hint="eastAsia" w:ascii="黑体" w:hAnsi="宋体" w:eastAsia="黑体" w:cs="宋体"/>
          <w:color w:val="000000"/>
          <w:szCs w:val="21"/>
        </w:rPr>
        <w:t>×</w:t>
      </w:r>
      <w:r>
        <w:rPr>
          <w:rFonts w:ascii="黑体" w:hAnsi="宋体" w:eastAsia="黑体" w:cs="宋体"/>
          <w:color w:val="000000"/>
          <w:szCs w:val="21"/>
        </w:rPr>
        <w:t>200</w:t>
      </w:r>
      <w:r>
        <w:rPr>
          <w:color w:val="000000"/>
        </w:rPr>
        <w:t xml:space="preserve">   </w:t>
      </w:r>
      <w:r>
        <w:rPr>
          <w:rFonts w:ascii="黑体" w:hAnsi="宋体" w:eastAsia="黑体" w:cs="宋体"/>
          <w:color w:val="000000"/>
          <w:szCs w:val="21"/>
        </w:rPr>
        <w:t>图</w:t>
      </w:r>
      <w:r>
        <w:rPr>
          <w:rFonts w:hint="eastAsia" w:ascii="黑体" w:hAnsi="宋体" w:eastAsia="黑体" w:cs="宋体"/>
          <w:color w:val="000000"/>
          <w:szCs w:val="21"/>
        </w:rPr>
        <w:t>6</w:t>
      </w:r>
      <w:r>
        <w:rPr>
          <w:rFonts w:ascii="黑体" w:hAnsi="宋体" w:eastAsia="黑体" w:cs="宋体"/>
          <w:color w:val="000000"/>
          <w:szCs w:val="21"/>
        </w:rPr>
        <w:t xml:space="preserve">  {100}面平底坑和位错腐蚀坑  </w:t>
      </w:r>
      <w:r>
        <w:rPr>
          <w:rFonts w:hint="eastAsia" w:ascii="黑体" w:hAnsi="宋体" w:eastAsia="黑体" w:cs="宋体"/>
          <w:color w:val="000000"/>
          <w:szCs w:val="21"/>
        </w:rPr>
        <w:t>×4</w:t>
      </w:r>
      <w:r>
        <w:rPr>
          <w:rFonts w:ascii="黑体" w:hAnsi="宋体" w:eastAsia="黑体" w:cs="宋体"/>
          <w:color w:val="000000"/>
          <w:szCs w:val="21"/>
        </w:rPr>
        <w:t xml:space="preserve">00 </w:t>
      </w:r>
    </w:p>
    <w:p w14:paraId="4C98C049">
      <w:pPr>
        <w:pStyle w:val="65"/>
        <w:spacing w:before="0" w:beforeLines="0" w:after="0" w:afterLines="0" w:line="300" w:lineRule="auto"/>
      </w:pPr>
      <w:bookmarkStart w:id="77" w:name="_Toc194932232"/>
      <w:bookmarkStart w:id="78" w:name="_Toc195514583"/>
      <w:r>
        <w:rPr>
          <w:rFonts w:hint="eastAsia"/>
        </w:rPr>
        <w:t>试验数据处理</w:t>
      </w:r>
      <w:bookmarkEnd w:id="77"/>
      <w:bookmarkEnd w:id="78"/>
    </w:p>
    <w:p w14:paraId="1B159261">
      <w:pPr>
        <w:pStyle w:val="165"/>
        <w:numPr>
          <w:ilvl w:val="0"/>
          <w:numId w:val="0"/>
        </w:numPr>
        <w:spacing w:line="300" w:lineRule="auto"/>
        <w:ind w:firstLine="420" w:firstLineChars="200"/>
        <w:rPr>
          <w:color w:val="000000"/>
        </w:rPr>
      </w:pPr>
      <w:r>
        <w:rPr>
          <w:color w:val="000000"/>
        </w:rPr>
        <w:t>a</w:t>
      </w:r>
      <w:r>
        <w:rPr>
          <w:rFonts w:hint="eastAsia"/>
          <w:color w:val="000000"/>
        </w:rPr>
        <w:t>） 圆形砷化镓晶片的全局平均位错密度值Ave</w:t>
      </w:r>
      <w:r>
        <w:rPr>
          <w:color w:val="000000"/>
        </w:rPr>
        <w:t>EPD按式</w:t>
      </w:r>
      <w:r>
        <w:rPr>
          <w:rFonts w:hint="eastAsia"/>
          <w:color w:val="000000"/>
        </w:rPr>
        <w:t>（1）计算：</w:t>
      </w:r>
    </w:p>
    <w:p w14:paraId="259D4F42">
      <w:pPr>
        <w:pStyle w:val="165"/>
        <w:numPr>
          <w:ilvl w:val="0"/>
          <w:numId w:val="0"/>
        </w:numPr>
        <w:spacing w:line="300" w:lineRule="auto"/>
        <w:rPr>
          <w:color w:val="000000"/>
        </w:rPr>
      </w:pPr>
      <w:r>
        <w:rPr>
          <w:color w:val="000000"/>
        </w:rPr>
        <w:t xml:space="preserve">                          </w:t>
      </w:r>
      <m:oMath>
        <m:r>
          <m:rPr>
            <m:sty m:val="p"/>
          </m:rPr>
          <w:rPr>
            <w:rFonts w:ascii="Cambria Math" w:hAnsi="Cambria Math"/>
            <w:color w:val="000000"/>
          </w:rPr>
          <m:t>AveEPD=</m:t>
        </m:r>
        <m:f>
          <m:fPr>
            <m:ctrlPr>
              <w:rPr>
                <w:rFonts w:ascii="Cambria Math" w:hAnsi="Cambria Math"/>
                <w:color w:val="000000"/>
              </w:rPr>
            </m:ctrlPr>
          </m:fPr>
          <m:num>
            <m:r>
              <m:rPr/>
              <w:rPr>
                <w:rFonts w:ascii="Cambria Math" w:hAnsi="Cambria Math"/>
                <w:color w:val="000000"/>
              </w:rPr>
              <m:t>1</m:t>
            </m:r>
            <m:ctrlPr>
              <w:rPr>
                <w:rFonts w:ascii="Cambria Math" w:hAnsi="Cambria Math"/>
                <w:color w:val="000000"/>
              </w:rPr>
            </m:ctrlPr>
          </m:num>
          <m:den>
            <m:r>
              <m:rPr/>
              <w:rPr>
                <w:rFonts w:ascii="Cambria Math" w:hAnsi="Cambria Math"/>
                <w:color w:val="000000"/>
              </w:rPr>
              <m:t>S×</m:t>
            </m:r>
            <m:r>
              <m:rPr/>
              <w:rPr>
                <w:rFonts w:hint="eastAsia" w:ascii="Cambria Math" w:hAnsi="Cambria Math"/>
                <w:color w:val="000000"/>
              </w:rPr>
              <m:t>n</m:t>
            </m:r>
            <m:ctrlPr>
              <w:rPr>
                <w:rFonts w:ascii="Cambria Math" w:hAnsi="Cambria Math"/>
                <w:color w:val="000000"/>
              </w:rPr>
            </m:ctrlPr>
          </m:den>
        </m:f>
        <m:nary>
          <m:naryPr>
            <m:chr m:val="∑"/>
            <m:limLoc m:val="undOvr"/>
            <m:ctrlPr>
              <w:rPr>
                <w:rFonts w:ascii="Cambria Math" w:hAnsi="Cambria Math"/>
                <w:i/>
                <w:color w:val="000000"/>
              </w:rPr>
            </m:ctrlPr>
          </m:naryPr>
          <m:sub>
            <m:r>
              <m:rPr/>
              <w:rPr>
                <w:rFonts w:ascii="Cambria Math" w:hAnsi="Cambria Math"/>
                <w:color w:val="000000"/>
              </w:rPr>
              <m:t>i=1</m:t>
            </m:r>
            <m:ctrlPr>
              <w:rPr>
                <w:rFonts w:ascii="Cambria Math" w:hAnsi="Cambria Math"/>
                <w:i/>
                <w:color w:val="000000"/>
              </w:rPr>
            </m:ctrlPr>
          </m:sub>
          <m:sup>
            <m:r>
              <m:rPr/>
              <w:rPr>
                <w:rFonts w:ascii="Cambria Math" w:hAnsi="Cambria Math"/>
                <w:color w:val="000000"/>
              </w:rPr>
              <m:t>n</m:t>
            </m:r>
            <m:ctrlPr>
              <w:rPr>
                <w:rFonts w:ascii="Cambria Math" w:hAnsi="Cambria Math"/>
                <w:i/>
                <w:color w:val="000000"/>
              </w:rPr>
            </m:ctrlPr>
          </m:sup>
          <m:e>
            <m:sSub>
              <m:sSubPr>
                <m:ctrlPr>
                  <w:rPr>
                    <w:rFonts w:ascii="Cambria Math" w:hAnsi="Cambria Math"/>
                    <w:i/>
                    <w:color w:val="000000"/>
                  </w:rPr>
                </m:ctrlPr>
              </m:sSubPr>
              <m:e>
                <m:r>
                  <m:rPr/>
                  <w:rPr>
                    <w:rFonts w:ascii="Cambria Math" w:hAnsi="Cambria Math"/>
                    <w:color w:val="000000"/>
                  </w:rPr>
                  <m:t>N</m:t>
                </m:r>
                <m:ctrlPr>
                  <w:rPr>
                    <w:rFonts w:ascii="Cambria Math" w:hAnsi="Cambria Math"/>
                    <w:i/>
                    <w:color w:val="000000"/>
                  </w:rPr>
                </m:ctrlPr>
              </m:e>
              <m:sub>
                <m:r>
                  <m:rPr/>
                  <w:rPr>
                    <w:rFonts w:ascii="Cambria Math" w:hAnsi="Cambria Math"/>
                    <w:color w:val="000000"/>
                  </w:rPr>
                  <m:t>i</m:t>
                </m:r>
                <m:ctrlPr>
                  <w:rPr>
                    <w:rFonts w:ascii="Cambria Math" w:hAnsi="Cambria Math"/>
                    <w:i/>
                    <w:color w:val="000000"/>
                  </w:rPr>
                </m:ctrlPr>
              </m:sub>
            </m:sSub>
            <m:ctrlPr>
              <w:rPr>
                <w:rFonts w:ascii="Cambria Math" w:hAnsi="Cambria Math"/>
                <w:i/>
                <w:color w:val="000000"/>
              </w:rPr>
            </m:ctrlPr>
          </m:e>
        </m:nary>
        <m:r>
          <m:rPr/>
          <w:rPr>
            <w:rFonts w:ascii="Cambria Math" w:hAnsi="Cambria Math"/>
            <w:color w:val="000000"/>
          </w:rPr>
          <m:t xml:space="preserve"> </m:t>
        </m:r>
      </m:oMath>
      <w:r>
        <w:rPr>
          <w:rFonts w:hint="eastAsia" w:hAnsi="宋体"/>
          <w:color w:val="000000"/>
        </w:rPr>
        <w:t xml:space="preserve">  ………………………………</w:t>
      </w:r>
      <w:r>
        <w:rPr>
          <w:rFonts w:hint="eastAsia"/>
          <w:color w:val="000000"/>
        </w:rPr>
        <w:t>（1）</w:t>
      </w:r>
    </w:p>
    <w:p w14:paraId="1EF65D69">
      <w:pPr>
        <w:pStyle w:val="55"/>
        <w:adjustRightInd/>
        <w:snapToGrid/>
        <w:spacing w:line="300" w:lineRule="auto"/>
        <w:ind w:firstLine="420"/>
        <w:rPr>
          <w:color w:val="000000"/>
        </w:rPr>
      </w:pPr>
      <w:r>
        <w:rPr>
          <w:rFonts w:hint="eastAsia"/>
          <w:color w:val="000000"/>
        </w:rPr>
        <w:t>式中：</w:t>
      </w:r>
    </w:p>
    <w:p w14:paraId="6C6A5517">
      <w:pPr>
        <w:pStyle w:val="165"/>
        <w:numPr>
          <w:ilvl w:val="0"/>
          <w:numId w:val="0"/>
        </w:numPr>
        <w:spacing w:line="300" w:lineRule="auto"/>
        <w:ind w:left="422" w:leftChars="201" w:firstLine="142" w:firstLineChars="68"/>
        <w:rPr>
          <w:rFonts w:ascii="Segoe UI" w:hAnsi="Segoe UI" w:cs="Segoe UI"/>
          <w:color w:val="000000"/>
          <w:shd w:val="clear" w:color="auto" w:fill="FFFFFF"/>
        </w:rPr>
      </w:pPr>
      <m:oMath>
        <m:sSub>
          <m:sSubPr>
            <m:ctrlPr>
              <w:rPr>
                <w:rFonts w:ascii="Cambria Math" w:hAnsi="Cambria Math"/>
                <w:color w:val="000000"/>
                <w:vertAlign w:val="subscript"/>
              </w:rPr>
            </m:ctrlPr>
          </m:sSubPr>
          <m:e>
            <m:r>
              <m:rPr/>
              <w:rPr>
                <w:rFonts w:ascii="Cambria Math" w:hAnsi="Cambria Math"/>
                <w:color w:val="000000"/>
                <w:vertAlign w:val="subscript"/>
              </w:rPr>
              <m:t>N</m:t>
            </m:r>
            <m:ctrlPr>
              <w:rPr>
                <w:rFonts w:ascii="Cambria Math" w:hAnsi="Cambria Math"/>
                <w:color w:val="000000"/>
                <w:vertAlign w:val="subscript"/>
              </w:rPr>
            </m:ctrlPr>
          </m:e>
          <m:sub>
            <m:r>
              <m:rPr/>
              <w:rPr>
                <w:rFonts w:ascii="Cambria Math" w:hAnsi="Cambria Math"/>
                <w:color w:val="000000"/>
                <w:vertAlign w:val="subscript"/>
              </w:rPr>
              <m:t>i</m:t>
            </m:r>
            <m:ctrlPr>
              <w:rPr>
                <w:rFonts w:ascii="Cambria Math" w:hAnsi="Cambria Math"/>
                <w:color w:val="000000"/>
                <w:vertAlign w:val="subscript"/>
              </w:rPr>
            </m:ctrlPr>
          </m:sub>
        </m:sSub>
      </m:oMath>
      <w:r>
        <w:rPr>
          <w:rFonts w:ascii="Segoe UI" w:hAnsi="Segoe UI" w:cs="Segoe UI"/>
          <w:color w:val="000000"/>
          <w:shd w:val="clear" w:color="auto" w:fill="FFFFFF"/>
        </w:rPr>
        <w:t>——第</w:t>
      </w:r>
      <w:r>
        <w:rPr>
          <w:rFonts w:ascii="Segoe UI" w:hAnsi="Segoe UI" w:cs="Segoe UI"/>
          <w:i/>
          <w:color w:val="000000"/>
          <w:shd w:val="clear" w:color="auto" w:fill="FFFFFF"/>
        </w:rPr>
        <w:t>i</w:t>
      </w:r>
      <w:r>
        <w:rPr>
          <w:rFonts w:ascii="Segoe UI" w:hAnsi="Segoe UI" w:cs="Segoe UI"/>
          <w:color w:val="000000"/>
          <w:shd w:val="clear" w:color="auto" w:fill="FFFFFF"/>
        </w:rPr>
        <w:t>个视场的位错腐蚀坑数量</w:t>
      </w:r>
      <w:r>
        <w:rPr>
          <w:rFonts w:hint="eastAsia" w:ascii="Segoe UI" w:hAnsi="Segoe UI" w:cs="Segoe UI"/>
          <w:color w:val="000000"/>
          <w:shd w:val="clear" w:color="auto" w:fill="FFFFFF"/>
        </w:rPr>
        <w:t>；</w:t>
      </w:r>
    </w:p>
    <w:p w14:paraId="464F4C4A">
      <w:pPr>
        <w:pStyle w:val="165"/>
        <w:numPr>
          <w:ilvl w:val="0"/>
          <w:numId w:val="0"/>
        </w:numPr>
        <w:spacing w:line="300" w:lineRule="auto"/>
        <w:ind w:left="422" w:leftChars="201" w:firstLine="142" w:firstLineChars="68"/>
        <w:rPr>
          <w:i/>
          <w:color w:val="000000"/>
        </w:rPr>
      </w:pPr>
      <w:r>
        <w:rPr>
          <w:rFonts w:hint="eastAsia"/>
          <w:i/>
          <w:color w:val="000000"/>
        </w:rPr>
        <w:t xml:space="preserve">S </w:t>
      </w:r>
      <w:r>
        <w:rPr>
          <w:i/>
          <w:color w:val="000000"/>
        </w:rPr>
        <w:t xml:space="preserve"> </w:t>
      </w:r>
      <w:r>
        <w:rPr>
          <w:rFonts w:ascii="Segoe UI" w:hAnsi="Segoe UI" w:cs="Segoe UI"/>
          <w:color w:val="000000"/>
          <w:shd w:val="clear" w:color="auto" w:fill="FFFFFF"/>
        </w:rPr>
        <w:t>——单个视场的面积</w:t>
      </w:r>
      <w:r>
        <w:rPr>
          <w:rFonts w:hint="eastAsia" w:ascii="Segoe UI" w:hAnsi="Segoe UI" w:cs="Segoe UI"/>
          <w:color w:val="000000"/>
          <w:shd w:val="clear" w:color="auto" w:fill="FFFFFF"/>
        </w:rPr>
        <w:t>（单位：c</w:t>
      </w:r>
      <w:r>
        <w:rPr>
          <w:rFonts w:ascii="Segoe UI" w:hAnsi="Segoe UI" w:cs="Segoe UI"/>
          <w:color w:val="000000"/>
          <w:shd w:val="clear" w:color="auto" w:fill="FFFFFF"/>
        </w:rPr>
        <w:t>m</w:t>
      </w:r>
      <w:r>
        <w:rPr>
          <w:rFonts w:ascii="Segoe UI" w:hAnsi="Segoe UI" w:cs="Segoe UI"/>
          <w:color w:val="000000"/>
          <w:shd w:val="clear" w:color="auto" w:fill="FFFFFF"/>
          <w:vertAlign w:val="superscript"/>
        </w:rPr>
        <w:t>2</w:t>
      </w:r>
      <w:r>
        <w:rPr>
          <w:rFonts w:hint="eastAsia" w:ascii="Segoe UI" w:hAnsi="Segoe UI" w:cs="Segoe UI"/>
          <w:color w:val="000000"/>
          <w:shd w:val="clear" w:color="auto" w:fill="FFFFFF"/>
        </w:rPr>
        <w:t>）；</w:t>
      </w:r>
    </w:p>
    <w:p w14:paraId="6B2E9350">
      <w:pPr>
        <w:pStyle w:val="165"/>
        <w:numPr>
          <w:ilvl w:val="0"/>
          <w:numId w:val="0"/>
        </w:numPr>
        <w:spacing w:line="300" w:lineRule="auto"/>
        <w:ind w:left="422" w:leftChars="201" w:firstLine="142" w:firstLineChars="68"/>
        <w:rPr>
          <w:i/>
          <w:color w:val="000000"/>
        </w:rPr>
      </w:pPr>
      <w:r>
        <w:rPr>
          <w:i/>
          <w:color w:val="000000"/>
        </w:rPr>
        <w:t xml:space="preserve">n  </w:t>
      </w:r>
      <w:r>
        <w:rPr>
          <w:rFonts w:ascii="Segoe UI" w:hAnsi="Segoe UI" w:cs="Segoe UI"/>
          <w:color w:val="000000"/>
          <w:shd w:val="clear" w:color="auto" w:fill="FFFFFF"/>
        </w:rPr>
        <w:t>——检测的视场总数</w:t>
      </w:r>
      <w:r>
        <w:rPr>
          <w:rFonts w:hint="eastAsia" w:ascii="Segoe UI" w:hAnsi="Segoe UI" w:cs="Segoe UI"/>
          <w:color w:val="000000"/>
          <w:shd w:val="clear" w:color="auto" w:fill="FFFFFF"/>
        </w:rPr>
        <w:t>。</w:t>
      </w:r>
    </w:p>
    <w:p w14:paraId="5E8105A8">
      <w:pPr>
        <w:pStyle w:val="165"/>
        <w:numPr>
          <w:ilvl w:val="0"/>
          <w:numId w:val="0"/>
        </w:numPr>
        <w:spacing w:line="300" w:lineRule="auto"/>
        <w:ind w:firstLine="420" w:firstLineChars="200"/>
        <w:rPr>
          <w:color w:val="000000"/>
        </w:rPr>
      </w:pPr>
      <w:r>
        <w:rPr>
          <w:color w:val="000000"/>
        </w:rPr>
        <w:t>b</w:t>
      </w:r>
      <w:r>
        <w:rPr>
          <w:rFonts w:hint="eastAsia"/>
          <w:color w:val="000000"/>
        </w:rPr>
        <w:t>）</w:t>
      </w:r>
      <w:r>
        <w:rPr>
          <w:color w:val="000000"/>
        </w:rPr>
        <w:t xml:space="preserve"> </w:t>
      </w:r>
      <w:r>
        <w:rPr>
          <w:rFonts w:hint="eastAsia"/>
          <w:color w:val="000000"/>
        </w:rPr>
        <w:t>圆形砷化镓晶片的最大视场位错密度值</w:t>
      </w:r>
      <w:r>
        <w:rPr>
          <w:color w:val="000000"/>
        </w:rPr>
        <w:t>M</w:t>
      </w:r>
      <w:r>
        <w:rPr>
          <w:rFonts w:hint="eastAsia"/>
          <w:color w:val="000000"/>
        </w:rPr>
        <w:t>ax</w:t>
      </w:r>
      <w:r>
        <w:rPr>
          <w:color w:val="000000"/>
        </w:rPr>
        <w:t>EPD按式</w:t>
      </w:r>
      <w:r>
        <w:rPr>
          <w:rFonts w:hint="eastAsia"/>
          <w:color w:val="000000"/>
        </w:rPr>
        <w:t>（</w:t>
      </w:r>
      <w:r>
        <w:rPr>
          <w:color w:val="000000"/>
        </w:rPr>
        <w:t>2</w:t>
      </w:r>
      <w:r>
        <w:rPr>
          <w:rFonts w:hint="eastAsia"/>
          <w:color w:val="000000"/>
        </w:rPr>
        <w:t>）计算：</w:t>
      </w:r>
    </w:p>
    <w:p w14:paraId="16C2D4E0">
      <w:pPr>
        <w:pStyle w:val="165"/>
        <w:numPr>
          <w:ilvl w:val="0"/>
          <w:numId w:val="0"/>
        </w:numPr>
        <w:spacing w:line="300" w:lineRule="auto"/>
        <w:rPr>
          <w:color w:val="000000"/>
        </w:rPr>
      </w:pPr>
      <w:r>
        <w:rPr>
          <w:rFonts w:hint="eastAsia"/>
          <w:color w:val="000000"/>
        </w:rPr>
        <w:t xml:space="preserve"> </w:t>
      </w:r>
      <w:r>
        <w:rPr>
          <w:color w:val="000000"/>
        </w:rPr>
        <w:t xml:space="preserve">                        </w:t>
      </w:r>
      <m:oMath>
        <m:r>
          <m:rPr>
            <m:sty m:val="p"/>
          </m:rPr>
          <w:rPr>
            <w:rFonts w:ascii="Cambria Math" w:hAnsi="Cambria Math"/>
            <w:color w:val="000000"/>
          </w:rPr>
          <m:t>MaxEPD=</m:t>
        </m:r>
        <m:func>
          <m:funcPr>
            <m:ctrlPr>
              <w:rPr>
                <w:rFonts w:ascii="Cambria Math" w:hAnsi="Cambria Math"/>
                <w:color w:val="000000"/>
              </w:rPr>
            </m:ctrlPr>
          </m:funcPr>
          <m:fName>
            <m:r>
              <m:rPr>
                <m:sty m:val="p"/>
              </m:rPr>
              <w:rPr>
                <w:rFonts w:ascii="Cambria Math" w:hAnsi="Cambria Math"/>
                <w:color w:val="000000"/>
              </w:rPr>
              <m:t>max</m:t>
            </m:r>
            <m:ctrlPr>
              <w:rPr>
                <w:rFonts w:ascii="Cambria Math" w:hAnsi="Cambria Math"/>
                <w:color w:val="000000"/>
              </w:rPr>
            </m:ctrlPr>
          </m:fName>
          <m:e>
            <m:d>
              <m:dPr>
                <m:ctrlPr>
                  <w:rPr>
                    <w:rFonts w:ascii="Cambria Math" w:hAnsi="Cambria Math"/>
                    <w:color w:val="000000"/>
                  </w:rPr>
                </m:ctrlPr>
              </m:dPr>
              <m:e>
                <m:f>
                  <m:fPr>
                    <m:ctrlPr>
                      <w:rPr>
                        <w:rFonts w:ascii="Cambria Math" w:hAnsi="Cambria Math"/>
                        <w:color w:val="000000"/>
                      </w:rPr>
                    </m:ctrlPr>
                  </m:fPr>
                  <m:num>
                    <m:sSub>
                      <m:sSubPr>
                        <m:ctrlPr>
                          <w:rPr>
                            <w:rFonts w:ascii="Cambria Math" w:hAnsi="Cambria Math"/>
                            <w:color w:val="000000"/>
                            <w:vertAlign w:val="subscript"/>
                          </w:rPr>
                        </m:ctrlPr>
                      </m:sSubPr>
                      <m:e>
                        <m:r>
                          <m:rPr/>
                          <w:rPr>
                            <w:rFonts w:ascii="Cambria Math" w:hAnsi="Cambria Math"/>
                            <w:color w:val="000000"/>
                            <w:vertAlign w:val="subscript"/>
                          </w:rPr>
                          <m:t>N</m:t>
                        </m:r>
                        <m:ctrlPr>
                          <w:rPr>
                            <w:rFonts w:ascii="Cambria Math" w:hAnsi="Cambria Math"/>
                            <w:color w:val="000000"/>
                            <w:vertAlign w:val="subscript"/>
                          </w:rPr>
                        </m:ctrlPr>
                      </m:e>
                      <m:sub>
                        <m:r>
                          <m:rPr/>
                          <w:rPr>
                            <w:rFonts w:ascii="Cambria Math" w:hAnsi="Cambria Math"/>
                            <w:color w:val="000000"/>
                            <w:vertAlign w:val="subscript"/>
                          </w:rPr>
                          <m:t>i</m:t>
                        </m:r>
                        <m:ctrlPr>
                          <w:rPr>
                            <w:rFonts w:ascii="Cambria Math" w:hAnsi="Cambria Math"/>
                            <w:color w:val="000000"/>
                            <w:vertAlign w:val="subscript"/>
                          </w:rPr>
                        </m:ctrlPr>
                      </m:sub>
                    </m:sSub>
                    <m:ctrlPr>
                      <w:rPr>
                        <w:rFonts w:ascii="Cambria Math" w:hAnsi="Cambria Math"/>
                        <w:color w:val="000000"/>
                      </w:rPr>
                    </m:ctrlPr>
                  </m:num>
                  <m:den>
                    <m:sSub>
                      <m:sSubPr>
                        <m:ctrlPr>
                          <w:rPr>
                            <w:rFonts w:ascii="Cambria Math" w:hAnsi="Cambria Math"/>
                            <w:i/>
                            <w:color w:val="000000"/>
                          </w:rPr>
                        </m:ctrlPr>
                      </m:sSubPr>
                      <m:e>
                        <m:r>
                          <m:rPr/>
                          <w:rPr>
                            <w:rFonts w:ascii="Cambria Math" w:hAnsi="Cambria Math"/>
                            <w:color w:val="000000"/>
                          </w:rPr>
                          <m:t>S</m:t>
                        </m:r>
                        <m:ctrlPr>
                          <w:rPr>
                            <w:rFonts w:ascii="Cambria Math" w:hAnsi="Cambria Math"/>
                            <w:i/>
                            <w:color w:val="000000"/>
                          </w:rPr>
                        </m:ctrlPr>
                      </m:e>
                      <m:sub>
                        <m:r>
                          <m:rPr/>
                          <w:rPr>
                            <w:rFonts w:ascii="Cambria Math" w:hAnsi="Cambria Math"/>
                            <w:color w:val="000000"/>
                          </w:rPr>
                          <m:t>i</m:t>
                        </m:r>
                        <m:ctrlPr>
                          <w:rPr>
                            <w:rFonts w:ascii="Cambria Math" w:hAnsi="Cambria Math"/>
                            <w:i/>
                            <w:color w:val="000000"/>
                          </w:rPr>
                        </m:ctrlPr>
                      </m:sub>
                    </m:sSub>
                    <m:ctrlPr>
                      <w:rPr>
                        <w:rFonts w:ascii="Cambria Math" w:hAnsi="Cambria Math"/>
                        <w:color w:val="000000"/>
                      </w:rPr>
                    </m:ctrlPr>
                  </m:den>
                </m:f>
                <m:r>
                  <m:rPr/>
                  <w:rPr>
                    <w:rFonts w:ascii="Cambria Math" w:hAnsi="Cambria Math"/>
                    <w:color w:val="000000"/>
                  </w:rPr>
                  <m:t xml:space="preserve"> ,</m:t>
                </m:r>
                <m:r>
                  <m:rPr>
                    <m:sty m:val="p"/>
                  </m:rPr>
                  <w:rPr>
                    <w:rFonts w:hint="eastAsia" w:ascii="Cambria Math" w:hAnsi="Cambria Math"/>
                    <w:color w:val="000000"/>
                  </w:rPr>
                  <m:t>…</m:t>
                </m:r>
                <m:r>
                  <m:rPr>
                    <m:sty m:val="p"/>
                  </m:rPr>
                  <w:rPr>
                    <w:rFonts w:ascii="Cambria Math" w:hAnsi="Cambria Math"/>
                    <w:color w:val="000000"/>
                  </w:rPr>
                  <m:t xml:space="preserve"> , </m:t>
                </m:r>
                <m:f>
                  <m:fPr>
                    <m:ctrlPr>
                      <w:rPr>
                        <w:rFonts w:ascii="Cambria Math" w:hAnsi="Cambria Math"/>
                        <w:color w:val="000000"/>
                      </w:rPr>
                    </m:ctrlPr>
                  </m:fPr>
                  <m:num>
                    <m:sSub>
                      <m:sSubPr>
                        <m:ctrlPr>
                          <w:rPr>
                            <w:rFonts w:ascii="Cambria Math" w:hAnsi="Cambria Math"/>
                            <w:color w:val="000000"/>
                            <w:vertAlign w:val="subscript"/>
                          </w:rPr>
                        </m:ctrlPr>
                      </m:sSubPr>
                      <m:e>
                        <m:r>
                          <m:rPr/>
                          <w:rPr>
                            <w:rFonts w:ascii="Cambria Math" w:hAnsi="Cambria Math"/>
                            <w:color w:val="000000"/>
                            <w:vertAlign w:val="subscript"/>
                          </w:rPr>
                          <m:t>N</m:t>
                        </m:r>
                        <m:ctrlPr>
                          <w:rPr>
                            <w:rFonts w:ascii="Cambria Math" w:hAnsi="Cambria Math"/>
                            <w:color w:val="000000"/>
                            <w:vertAlign w:val="subscript"/>
                          </w:rPr>
                        </m:ctrlPr>
                      </m:e>
                      <m:sub>
                        <m:r>
                          <m:rPr/>
                          <w:rPr>
                            <w:rFonts w:ascii="Cambria Math" w:hAnsi="Cambria Math"/>
                            <w:color w:val="000000"/>
                            <w:vertAlign w:val="subscript"/>
                          </w:rPr>
                          <m:t>n</m:t>
                        </m:r>
                        <m:ctrlPr>
                          <w:rPr>
                            <w:rFonts w:ascii="Cambria Math" w:hAnsi="Cambria Math"/>
                            <w:color w:val="000000"/>
                            <w:vertAlign w:val="subscript"/>
                          </w:rPr>
                        </m:ctrlPr>
                      </m:sub>
                    </m:sSub>
                    <m:ctrlPr>
                      <w:rPr>
                        <w:rFonts w:ascii="Cambria Math" w:hAnsi="Cambria Math"/>
                        <w:color w:val="000000"/>
                      </w:rPr>
                    </m:ctrlPr>
                  </m:num>
                  <m:den>
                    <m:sSub>
                      <m:sSubPr>
                        <m:ctrlPr>
                          <w:rPr>
                            <w:rFonts w:ascii="Cambria Math" w:hAnsi="Cambria Math"/>
                            <w:i/>
                            <w:color w:val="000000"/>
                          </w:rPr>
                        </m:ctrlPr>
                      </m:sSubPr>
                      <m:e>
                        <m:r>
                          <m:rPr/>
                          <w:rPr>
                            <w:rFonts w:ascii="Cambria Math" w:hAnsi="Cambria Math"/>
                            <w:color w:val="000000"/>
                          </w:rPr>
                          <m:t>S</m:t>
                        </m:r>
                        <m:ctrlPr>
                          <w:rPr>
                            <w:rFonts w:ascii="Cambria Math" w:hAnsi="Cambria Math"/>
                            <w:i/>
                            <w:color w:val="000000"/>
                          </w:rPr>
                        </m:ctrlPr>
                      </m:e>
                      <m:sub>
                        <m:r>
                          <m:rPr/>
                          <w:rPr>
                            <w:rFonts w:ascii="Cambria Math" w:hAnsi="Cambria Math"/>
                            <w:color w:val="000000"/>
                          </w:rPr>
                          <m:t>n</m:t>
                        </m:r>
                        <m:ctrlPr>
                          <w:rPr>
                            <w:rFonts w:ascii="Cambria Math" w:hAnsi="Cambria Math"/>
                            <w:i/>
                            <w:color w:val="000000"/>
                          </w:rPr>
                        </m:ctrlPr>
                      </m:sub>
                    </m:sSub>
                    <m:ctrlPr>
                      <w:rPr>
                        <w:rFonts w:ascii="Cambria Math" w:hAnsi="Cambria Math"/>
                        <w:color w:val="000000"/>
                      </w:rPr>
                    </m:ctrlPr>
                  </m:den>
                </m:f>
                <m:ctrlPr>
                  <w:rPr>
                    <w:rFonts w:ascii="Cambria Math" w:hAnsi="Cambria Math"/>
                    <w:i/>
                    <w:color w:val="000000"/>
                  </w:rPr>
                </m:ctrlPr>
              </m:e>
            </m:d>
            <m:ctrlPr>
              <w:rPr>
                <w:rFonts w:ascii="Cambria Math" w:hAnsi="Cambria Math"/>
                <w:color w:val="000000"/>
              </w:rPr>
            </m:ctrlPr>
          </m:e>
        </m:func>
      </m:oMath>
      <w:r>
        <w:rPr>
          <w:rFonts w:hint="eastAsia" w:hAnsi="宋体"/>
          <w:color w:val="000000"/>
        </w:rPr>
        <w:t xml:space="preserve"> ……………………………</w:t>
      </w:r>
      <w:r>
        <w:rPr>
          <w:rFonts w:hint="eastAsia"/>
          <w:color w:val="000000"/>
        </w:rPr>
        <w:t>（</w:t>
      </w:r>
      <w:r>
        <w:rPr>
          <w:color w:val="000000"/>
        </w:rPr>
        <w:t>2</w:t>
      </w:r>
      <w:r>
        <w:rPr>
          <w:rFonts w:hint="eastAsia"/>
          <w:color w:val="000000"/>
        </w:rPr>
        <w:t>）</w:t>
      </w:r>
    </w:p>
    <w:p w14:paraId="4B6D5CDB">
      <w:pPr>
        <w:pStyle w:val="165"/>
        <w:numPr>
          <w:ilvl w:val="0"/>
          <w:numId w:val="0"/>
        </w:numPr>
        <w:spacing w:line="300" w:lineRule="auto"/>
        <w:ind w:firstLine="567" w:firstLineChars="270"/>
        <w:rPr>
          <w:color w:val="000000"/>
        </w:rPr>
      </w:pPr>
      <w:r>
        <w:rPr>
          <w:color w:val="000000"/>
        </w:rPr>
        <w:t>式中：</w:t>
      </w:r>
    </w:p>
    <w:p w14:paraId="3D902256">
      <w:pPr>
        <w:pStyle w:val="165"/>
        <w:numPr>
          <w:ilvl w:val="0"/>
          <w:numId w:val="0"/>
        </w:numPr>
        <w:spacing w:line="300" w:lineRule="auto"/>
        <w:ind w:left="568"/>
        <w:rPr>
          <w:rFonts w:hAnsi="宋体" w:cs="Segoe UI"/>
          <w:color w:val="000000"/>
          <w:shd w:val="clear" w:color="auto" w:fill="FFFFFF"/>
        </w:rPr>
      </w:pPr>
      <m:oMath>
        <m:sSub>
          <m:sSubPr>
            <m:ctrlPr>
              <w:rPr>
                <w:rFonts w:ascii="Cambria Math" w:hAnsi="Cambria Math"/>
                <w:color w:val="000000"/>
                <w:vertAlign w:val="subscript"/>
              </w:rPr>
            </m:ctrlPr>
          </m:sSubPr>
          <m:e>
            <m:r>
              <m:rPr/>
              <w:rPr>
                <w:rFonts w:ascii="Cambria Math" w:hAnsi="Cambria Math"/>
                <w:color w:val="000000"/>
                <w:vertAlign w:val="subscript"/>
              </w:rPr>
              <m:t>N</m:t>
            </m:r>
            <m:ctrlPr>
              <w:rPr>
                <w:rFonts w:ascii="Cambria Math" w:hAnsi="Cambria Math"/>
                <w:color w:val="000000"/>
                <w:vertAlign w:val="subscript"/>
              </w:rPr>
            </m:ctrlPr>
          </m:e>
          <m:sub>
            <m:r>
              <m:rPr/>
              <w:rPr>
                <w:rFonts w:ascii="Cambria Math" w:hAnsi="Cambria Math"/>
                <w:color w:val="000000"/>
                <w:vertAlign w:val="subscript"/>
              </w:rPr>
              <m:t>i</m:t>
            </m:r>
            <m:ctrlPr>
              <w:rPr>
                <w:rFonts w:ascii="Cambria Math" w:hAnsi="Cambria Math"/>
                <w:color w:val="000000"/>
                <w:vertAlign w:val="subscript"/>
              </w:rPr>
            </m:ctrlPr>
          </m:sub>
        </m:sSub>
      </m:oMath>
      <w:r>
        <w:rPr>
          <w:rFonts w:hint="eastAsia"/>
          <w:color w:val="000000"/>
          <w:vertAlign w:val="subscript"/>
        </w:rPr>
        <w:t xml:space="preserve"> </w:t>
      </w:r>
      <w:r>
        <w:rPr>
          <w:rFonts w:ascii="Segoe UI" w:hAnsi="Segoe UI" w:cs="Segoe UI"/>
          <w:color w:val="000000"/>
          <w:shd w:val="clear" w:color="auto" w:fill="FFFFFF"/>
        </w:rPr>
        <w:t>——第</w:t>
      </w:r>
      <w:r>
        <w:rPr>
          <w:rFonts w:ascii="Segoe UI" w:hAnsi="Segoe UI" w:cs="Segoe UI"/>
          <w:i/>
          <w:color w:val="000000"/>
          <w:shd w:val="clear" w:color="auto" w:fill="FFFFFF"/>
        </w:rPr>
        <w:t>i</w:t>
      </w:r>
      <w:r>
        <w:rPr>
          <w:rFonts w:hint="eastAsia" w:hAnsi="宋体" w:cs="Segoe UI"/>
          <w:color w:val="000000"/>
          <w:shd w:val="clear" w:color="auto" w:fill="FFFFFF"/>
        </w:rPr>
        <w:t xml:space="preserve"> </w:t>
      </w:r>
      <w:r>
        <w:rPr>
          <w:rFonts w:hAnsi="宋体" w:cs="Segoe UI"/>
          <w:color w:val="000000"/>
          <w:shd w:val="clear" w:color="auto" w:fill="FFFFFF"/>
        </w:rPr>
        <w:t>个视场的位错腐蚀坑数量</w:t>
      </w:r>
    </w:p>
    <w:p w14:paraId="5D8222D8">
      <w:pPr>
        <w:pStyle w:val="165"/>
        <w:numPr>
          <w:ilvl w:val="0"/>
          <w:numId w:val="0"/>
        </w:numPr>
        <w:spacing w:line="300" w:lineRule="auto"/>
        <w:ind w:left="568"/>
        <w:rPr>
          <w:rFonts w:hAnsi="宋体" w:cs="Segoe UI"/>
          <w:color w:val="000000"/>
          <w:shd w:val="clear" w:color="auto" w:fill="FFFFFF"/>
        </w:rPr>
      </w:pPr>
      <m:oMath>
        <m:sSub>
          <m:sSubPr>
            <m:ctrlPr>
              <w:rPr>
                <w:rFonts w:ascii="Cambria Math" w:hAnsi="Cambria Math"/>
                <w:color w:val="000000"/>
                <w:vertAlign w:val="subscript"/>
              </w:rPr>
            </m:ctrlPr>
          </m:sSubPr>
          <m:e>
            <m:r>
              <m:rPr/>
              <w:rPr>
                <w:rFonts w:ascii="Cambria Math" w:hAnsi="Cambria Math"/>
                <w:color w:val="000000"/>
                <w:vertAlign w:val="subscript"/>
              </w:rPr>
              <m:t>S</m:t>
            </m:r>
            <m:ctrlPr>
              <w:rPr>
                <w:rFonts w:ascii="Cambria Math" w:hAnsi="Cambria Math"/>
                <w:color w:val="000000"/>
                <w:vertAlign w:val="subscript"/>
              </w:rPr>
            </m:ctrlPr>
          </m:e>
          <m:sub>
            <m:r>
              <m:rPr/>
              <w:rPr>
                <w:rFonts w:ascii="Cambria Math" w:hAnsi="Cambria Math"/>
                <w:color w:val="000000"/>
                <w:vertAlign w:val="subscript"/>
              </w:rPr>
              <m:t>i</m:t>
            </m:r>
            <m:ctrlPr>
              <w:rPr>
                <w:rFonts w:ascii="Cambria Math" w:hAnsi="Cambria Math"/>
                <w:color w:val="000000"/>
                <w:vertAlign w:val="subscript"/>
              </w:rPr>
            </m:ctrlPr>
          </m:sub>
        </m:sSub>
      </m:oMath>
      <w:r>
        <w:rPr>
          <w:rFonts w:hint="eastAsia"/>
          <w:color w:val="000000"/>
          <w:vertAlign w:val="subscript"/>
        </w:rPr>
        <w:t xml:space="preserve"> </w:t>
      </w:r>
      <w:r>
        <w:rPr>
          <w:rFonts w:ascii="Segoe UI" w:hAnsi="Segoe UI" w:cs="Segoe UI"/>
          <w:color w:val="000000"/>
          <w:shd w:val="clear" w:color="auto" w:fill="FFFFFF"/>
        </w:rPr>
        <w:t>——第</w:t>
      </w:r>
      <w:r>
        <w:rPr>
          <w:rFonts w:ascii="Segoe UI" w:hAnsi="Segoe UI" w:cs="Segoe UI"/>
          <w:i/>
          <w:color w:val="000000"/>
          <w:shd w:val="clear" w:color="auto" w:fill="FFFFFF"/>
        </w:rPr>
        <w:t>i</w:t>
      </w:r>
      <w:r>
        <w:rPr>
          <w:rFonts w:hint="eastAsia" w:hAnsi="宋体" w:cs="Segoe UI"/>
          <w:color w:val="000000"/>
          <w:shd w:val="clear" w:color="auto" w:fill="FFFFFF"/>
        </w:rPr>
        <w:t xml:space="preserve"> </w:t>
      </w:r>
      <w:r>
        <w:rPr>
          <w:rFonts w:hAnsi="宋体" w:cs="Segoe UI"/>
          <w:color w:val="000000"/>
          <w:shd w:val="clear" w:color="auto" w:fill="FFFFFF"/>
        </w:rPr>
        <w:t>个视场的</w:t>
      </w:r>
      <w:r>
        <w:rPr>
          <w:rFonts w:hint="eastAsia" w:hAnsi="宋体" w:cs="Segoe UI"/>
          <w:color w:val="000000"/>
          <w:shd w:val="clear" w:color="auto" w:fill="FFFFFF"/>
        </w:rPr>
        <w:t>面积</w:t>
      </w:r>
    </w:p>
    <w:p w14:paraId="647F9DFF">
      <w:pPr>
        <w:pStyle w:val="165"/>
        <w:numPr>
          <w:ilvl w:val="0"/>
          <w:numId w:val="0"/>
        </w:numPr>
        <w:spacing w:line="300" w:lineRule="auto"/>
        <w:ind w:firstLine="567" w:firstLineChars="270"/>
        <w:rPr>
          <w:rFonts w:ascii="Segoe UI" w:hAnsi="Segoe UI" w:cs="Segoe UI"/>
          <w:color w:val="000000"/>
          <w:shd w:val="clear" w:color="auto" w:fill="FFFFFF"/>
        </w:rPr>
      </w:pPr>
      <m:oMath>
        <m:f>
          <m:fPr>
            <m:ctrlPr>
              <w:rPr>
                <w:rFonts w:ascii="Cambria Math" w:hAnsi="Cambria Math"/>
                <w:color w:val="000000"/>
              </w:rPr>
            </m:ctrlPr>
          </m:fPr>
          <m:num>
            <m:sSub>
              <m:sSubPr>
                <m:ctrlPr>
                  <w:rPr>
                    <w:rFonts w:ascii="Cambria Math" w:hAnsi="Cambria Math"/>
                    <w:color w:val="000000"/>
                    <w:vertAlign w:val="subscript"/>
                  </w:rPr>
                </m:ctrlPr>
              </m:sSubPr>
              <m:e>
                <m:r>
                  <m:rPr/>
                  <w:rPr>
                    <w:rFonts w:ascii="Cambria Math" w:hAnsi="Cambria Math"/>
                    <w:color w:val="000000"/>
                    <w:vertAlign w:val="subscript"/>
                  </w:rPr>
                  <m:t>N</m:t>
                </m:r>
                <m:ctrlPr>
                  <w:rPr>
                    <w:rFonts w:ascii="Cambria Math" w:hAnsi="Cambria Math"/>
                    <w:color w:val="000000"/>
                    <w:vertAlign w:val="subscript"/>
                  </w:rPr>
                </m:ctrlPr>
              </m:e>
              <m:sub>
                <m:r>
                  <m:rPr/>
                  <w:rPr>
                    <w:rFonts w:ascii="Cambria Math" w:hAnsi="Cambria Math"/>
                    <w:color w:val="000000"/>
                    <w:vertAlign w:val="subscript"/>
                  </w:rPr>
                  <m:t>i</m:t>
                </m:r>
                <m:ctrlPr>
                  <w:rPr>
                    <w:rFonts w:ascii="Cambria Math" w:hAnsi="Cambria Math"/>
                    <w:color w:val="000000"/>
                    <w:vertAlign w:val="subscript"/>
                  </w:rPr>
                </m:ctrlPr>
              </m:sub>
            </m:sSub>
            <m:ctrlPr>
              <w:rPr>
                <w:rFonts w:ascii="Cambria Math" w:hAnsi="Cambria Math"/>
                <w:color w:val="000000"/>
              </w:rPr>
            </m:ctrlPr>
          </m:num>
          <m:den>
            <m:sSub>
              <m:sSubPr>
                <m:ctrlPr>
                  <w:rPr>
                    <w:rFonts w:ascii="Cambria Math" w:hAnsi="Cambria Math"/>
                    <w:i/>
                    <w:color w:val="000000"/>
                  </w:rPr>
                </m:ctrlPr>
              </m:sSubPr>
              <m:e>
                <m:r>
                  <m:rPr/>
                  <w:rPr>
                    <w:rFonts w:ascii="Cambria Math" w:hAnsi="Cambria Math"/>
                    <w:color w:val="000000"/>
                  </w:rPr>
                  <m:t>S</m:t>
                </m:r>
                <m:ctrlPr>
                  <w:rPr>
                    <w:rFonts w:ascii="Cambria Math" w:hAnsi="Cambria Math"/>
                    <w:i/>
                    <w:color w:val="000000"/>
                  </w:rPr>
                </m:ctrlPr>
              </m:e>
              <m:sub>
                <m:r>
                  <m:rPr/>
                  <w:rPr>
                    <w:rFonts w:ascii="Cambria Math" w:hAnsi="Cambria Math"/>
                    <w:color w:val="000000"/>
                  </w:rPr>
                  <m:t>i</m:t>
                </m:r>
                <m:ctrlPr>
                  <w:rPr>
                    <w:rFonts w:ascii="Cambria Math" w:hAnsi="Cambria Math"/>
                    <w:i/>
                    <w:color w:val="000000"/>
                  </w:rPr>
                </m:ctrlPr>
              </m:sub>
            </m:sSub>
            <m:ctrlPr>
              <w:rPr>
                <w:rFonts w:ascii="Cambria Math" w:hAnsi="Cambria Math"/>
                <w:color w:val="000000"/>
              </w:rPr>
            </m:ctrlPr>
          </m:den>
        </m:f>
      </m:oMath>
      <w:r>
        <w:rPr>
          <w:rFonts w:hint="eastAsia" w:hAnsi="宋体" w:cs="Segoe UI"/>
          <w:color w:val="000000"/>
          <w:shd w:val="clear" w:color="auto" w:fill="FFFFFF"/>
        </w:rPr>
        <w:t xml:space="preserve"> </w:t>
      </w:r>
      <w:r>
        <w:rPr>
          <w:rFonts w:ascii="Segoe UI" w:hAnsi="Segoe UI" w:cs="Segoe UI"/>
          <w:color w:val="000000"/>
          <w:shd w:val="clear" w:color="auto" w:fill="FFFFFF"/>
        </w:rPr>
        <w:t>——第 </w:t>
      </w:r>
      <w:r>
        <w:rPr>
          <w:rStyle w:val="231"/>
          <w:rFonts w:ascii="KaTeX_Math" w:hAnsi="KaTeX_Math"/>
          <w:i/>
          <w:iCs/>
          <w:color w:val="000000"/>
          <w:sz w:val="29"/>
          <w:szCs w:val="29"/>
          <w:shd w:val="clear" w:color="auto" w:fill="FFFFFF"/>
        </w:rPr>
        <w:t>i</w:t>
      </w:r>
      <w:r>
        <w:rPr>
          <w:rFonts w:ascii="Segoe UI" w:hAnsi="Segoe UI" w:cs="Segoe UI"/>
          <w:color w:val="000000"/>
          <w:shd w:val="clear" w:color="auto" w:fill="FFFFFF"/>
        </w:rPr>
        <w:t> 个视场的单位面积位错腐蚀坑数量</w:t>
      </w:r>
      <w:r>
        <w:rPr>
          <w:rFonts w:hint="eastAsia" w:ascii="Segoe UI" w:hAnsi="Segoe UI" w:cs="Segoe UI"/>
          <w:color w:val="000000"/>
          <w:shd w:val="clear" w:color="auto" w:fill="FFFFFF"/>
        </w:rPr>
        <w:t>。</w:t>
      </w:r>
    </w:p>
    <w:p w14:paraId="0EDD1E33">
      <w:pPr>
        <w:pStyle w:val="105"/>
        <w:adjustRightInd w:val="0"/>
        <w:snapToGrid w:val="0"/>
        <w:spacing w:before="0" w:beforeLines="0" w:after="0" w:afterLines="0" w:line="300" w:lineRule="auto"/>
        <w:ind w:left="0"/>
        <w:rPr>
          <w:color w:val="000000"/>
        </w:rPr>
      </w:pPr>
      <w:bookmarkStart w:id="79" w:name="_Toc195514584"/>
      <w:bookmarkStart w:id="80" w:name="_Toc194932233"/>
      <w:r>
        <w:rPr>
          <w:color w:val="000000"/>
        </w:rPr>
        <w:t>显微图像自动分析法试验步骤</w:t>
      </w:r>
      <w:bookmarkEnd w:id="79"/>
      <w:bookmarkEnd w:id="80"/>
    </w:p>
    <w:p w14:paraId="53DC46D8">
      <w:pPr>
        <w:pStyle w:val="65"/>
        <w:spacing w:before="0" w:beforeLines="0" w:after="0" w:afterLines="0" w:line="300" w:lineRule="auto"/>
        <w:rPr>
          <w:szCs w:val="21"/>
        </w:rPr>
      </w:pPr>
      <w:bookmarkStart w:id="81" w:name="_Toc194932240"/>
      <w:bookmarkStart w:id="82" w:name="_Toc195514591"/>
      <w:r>
        <w:rPr>
          <w:rFonts w:hint="eastAsia"/>
        </w:rPr>
        <w:t>观察试样</w:t>
      </w:r>
      <w:r>
        <w:rPr>
          <w:rFonts w:hint="eastAsia"/>
          <w:szCs w:val="21"/>
        </w:rPr>
        <w:t>和</w:t>
      </w:r>
      <w:r>
        <w:rPr>
          <w:rFonts w:hint="eastAsia"/>
        </w:rPr>
        <w:t>安装</w:t>
      </w:r>
    </w:p>
    <w:p w14:paraId="4496AEC6">
      <w:pPr>
        <w:widowControl/>
        <w:shd w:val="clear" w:color="auto" w:fill="FFFFFF"/>
        <w:adjustRightInd/>
        <w:spacing w:line="300" w:lineRule="auto"/>
        <w:ind w:firstLine="420" w:firstLineChars="200"/>
        <w:rPr>
          <w:rFonts w:ascii="Segoe UI" w:hAnsi="Segoe UI" w:cs="Segoe UI"/>
          <w:color w:val="000000"/>
          <w:kern w:val="0"/>
          <w:szCs w:val="20"/>
          <w:shd w:val="clear" w:color="auto" w:fill="FFFFFF"/>
        </w:rPr>
      </w:pPr>
      <w:r>
        <w:rPr>
          <w:rFonts w:hint="eastAsia" w:ascii="宋体" w:hAnsi="宋体" w:cs="宋体"/>
          <w:color w:val="000000"/>
        </w:rPr>
        <w:t>肉眼观察试样是否有宏观缺陷及其分布情况，</w:t>
      </w:r>
      <w:r>
        <w:rPr>
          <w:color w:val="000000"/>
          <w:kern w:val="0"/>
          <w:szCs w:val="20"/>
        </w:rPr>
        <w:t>将试样置于载物台中心，确保试样在载物台上水平放置，且试样的参考边指向载物台的</w:t>
      </w:r>
      <w:r>
        <w:rPr>
          <w:rFonts w:hint="eastAsia"/>
          <w:color w:val="000000"/>
          <w:kern w:val="0"/>
          <w:szCs w:val="20"/>
        </w:rPr>
        <w:t>正前</w:t>
      </w:r>
      <w:r>
        <w:rPr>
          <w:color w:val="000000"/>
          <w:kern w:val="0"/>
          <w:szCs w:val="20"/>
        </w:rPr>
        <w:t>方</w:t>
      </w:r>
      <w:r>
        <w:rPr>
          <w:rFonts w:hint="eastAsia" w:ascii="Segoe UI" w:hAnsi="Segoe UI" w:cs="Segoe UI"/>
          <w:color w:val="000000"/>
          <w:kern w:val="0"/>
          <w:szCs w:val="20"/>
          <w:shd w:val="clear" w:color="auto" w:fill="FFFFFF"/>
        </w:rPr>
        <w:t>。</w:t>
      </w:r>
    </w:p>
    <w:p w14:paraId="23878DC3">
      <w:pPr>
        <w:pStyle w:val="65"/>
        <w:spacing w:before="0" w:beforeLines="0" w:after="0" w:afterLines="0" w:line="300" w:lineRule="auto"/>
      </w:pPr>
      <w:r>
        <w:rPr>
          <w:rFonts w:hint="eastAsia"/>
        </w:rPr>
        <w:t>参数配置</w:t>
      </w:r>
    </w:p>
    <w:p w14:paraId="1AD89A0F">
      <w:pPr>
        <w:widowControl/>
        <w:shd w:val="clear" w:color="auto" w:fill="FFFFFF"/>
        <w:adjustRightInd/>
        <w:spacing w:line="300" w:lineRule="auto"/>
        <w:ind w:firstLine="420" w:firstLineChars="200"/>
        <w:rPr>
          <w:rFonts w:hint="eastAsia" w:ascii="宋体" w:hAnsi="宋体" w:eastAsia="宋体" w:cs="宋体"/>
          <w:color w:val="000000"/>
          <w:lang w:eastAsia="zh-CN"/>
        </w:rPr>
      </w:pPr>
      <w:r>
        <w:rPr>
          <w:rFonts w:ascii="宋体" w:hAnsi="宋体" w:cs="宋体"/>
          <w:color w:val="000000"/>
        </w:rPr>
        <w:t>a</w:t>
      </w:r>
      <w:r>
        <w:rPr>
          <w:rFonts w:hint="eastAsia" w:ascii="宋体" w:hAnsi="宋体" w:cs="宋体"/>
          <w:color w:val="000000"/>
        </w:rPr>
        <w:t>）试样信息：试样的晶棒号、片号、操作人员、测试日期等信息</w:t>
      </w:r>
      <w:r>
        <w:rPr>
          <w:rFonts w:hint="eastAsia" w:ascii="宋体" w:hAnsi="宋体" w:cs="宋体"/>
          <w:color w:val="000000"/>
          <w:lang w:eastAsia="zh-CN"/>
        </w:rPr>
        <w:t>。</w:t>
      </w:r>
    </w:p>
    <w:p w14:paraId="1AC38DF6">
      <w:pPr>
        <w:widowControl/>
        <w:shd w:val="clear" w:color="auto" w:fill="FFFFFF"/>
        <w:adjustRightInd/>
        <w:spacing w:line="300" w:lineRule="auto"/>
        <w:ind w:firstLine="420" w:firstLineChars="200"/>
        <w:rPr>
          <w:rFonts w:ascii="宋体" w:hAnsi="宋体" w:cs="宋体"/>
          <w:color w:val="000000"/>
        </w:rPr>
      </w:pPr>
      <w:r>
        <w:rPr>
          <w:rFonts w:ascii="宋体" w:hAnsi="宋体" w:cs="宋体"/>
          <w:color w:val="000000"/>
        </w:rPr>
        <w:t>b</w:t>
      </w:r>
      <w:r>
        <w:rPr>
          <w:rFonts w:hint="eastAsia" w:ascii="宋体" w:hAnsi="宋体" w:cs="宋体"/>
          <w:color w:val="000000"/>
        </w:rPr>
        <w:t>）图像采集模型：分为位点图扫描和全图扫描两种。位点图扫描即为多点采样，选取测试点进行扫描；全图扫描即为覆盖整个试样有效区域连续性扫描，适用于研发或客户特殊要求。</w:t>
      </w:r>
    </w:p>
    <w:p w14:paraId="6F591C4F">
      <w:pPr>
        <w:widowControl/>
        <w:shd w:val="clear" w:color="auto" w:fill="FFFFFF"/>
        <w:adjustRightInd/>
        <w:spacing w:line="300" w:lineRule="auto"/>
        <w:ind w:firstLine="420" w:firstLineChars="200"/>
        <w:rPr>
          <w:rFonts w:ascii="宋体" w:hAnsi="宋体" w:cs="宋体"/>
          <w:color w:val="000000"/>
        </w:rPr>
      </w:pPr>
      <w:r>
        <w:rPr>
          <w:rFonts w:ascii="宋体" w:hAnsi="宋体" w:cs="宋体"/>
          <w:color w:val="000000"/>
        </w:rPr>
        <w:t>c)</w:t>
      </w:r>
      <w:r>
        <w:rPr>
          <w:rFonts w:hint="eastAsia" w:ascii="宋体" w:hAnsi="宋体" w:cs="宋体"/>
          <w:color w:val="000000"/>
        </w:rPr>
        <w:t xml:space="preserve"> 图像采集参数：按表</w:t>
      </w:r>
      <w:r>
        <w:rPr>
          <w:rFonts w:ascii="宋体" w:hAnsi="宋体" w:cs="宋体"/>
          <w:color w:val="000000"/>
        </w:rPr>
        <w:t>2</w:t>
      </w:r>
      <w:r>
        <w:rPr>
          <w:rFonts w:hint="eastAsia" w:ascii="宋体" w:hAnsi="宋体" w:cs="宋体"/>
          <w:color w:val="000000"/>
        </w:rPr>
        <w:t xml:space="preserve">的规定 </w:t>
      </w:r>
    </w:p>
    <w:p w14:paraId="39F313D3">
      <w:pPr>
        <w:pStyle w:val="112"/>
        <w:spacing w:before="156" w:after="156" w:line="300" w:lineRule="auto"/>
        <w:rPr>
          <w:rFonts w:hAnsi="宋体" w:cs="宋体"/>
          <w:color w:val="000000"/>
          <w:szCs w:val="21"/>
        </w:rPr>
      </w:pPr>
      <w:r>
        <w:rPr>
          <w:rFonts w:hint="eastAsia" w:hAnsi="宋体" w:cs="宋体"/>
          <w:color w:val="000000"/>
          <w:szCs w:val="21"/>
        </w:rPr>
        <w:t>图像采集参数</w:t>
      </w:r>
    </w:p>
    <w:tbl>
      <w:tblPr>
        <w:tblStyle w:val="26"/>
        <w:tblW w:w="87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154"/>
        <w:gridCol w:w="2962"/>
        <w:gridCol w:w="3652"/>
      </w:tblGrid>
      <w:tr w14:paraId="1009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 w:hRule="atLeast"/>
        </w:trPr>
        <w:tc>
          <w:tcPr>
            <w:tcW w:w="2154" w:type="dxa"/>
            <w:tcBorders>
              <w:top w:val="single" w:color="auto" w:sz="4" w:space="0"/>
              <w:left w:val="single" w:color="auto" w:sz="4" w:space="0"/>
              <w:bottom w:val="single" w:color="auto" w:sz="4" w:space="0"/>
              <w:right w:val="single" w:color="auto" w:sz="4" w:space="0"/>
            </w:tcBorders>
            <w:tcMar>
              <w:top w:w="150" w:type="dxa"/>
              <w:left w:w="0" w:type="dxa"/>
              <w:bottom w:w="150" w:type="dxa"/>
              <w:right w:w="240" w:type="dxa"/>
            </w:tcMar>
            <w:vAlign w:val="center"/>
          </w:tcPr>
          <w:p w14:paraId="3D4C66C3">
            <w:pPr>
              <w:widowControl/>
              <w:snapToGrid w:val="0"/>
              <w:spacing w:line="240" w:lineRule="auto"/>
              <w:jc w:val="center"/>
              <w:rPr>
                <w:rFonts w:ascii="宋体" w:hAnsi="宋体"/>
                <w:kern w:val="0"/>
                <w:sz w:val="18"/>
                <w:szCs w:val="18"/>
              </w:rPr>
            </w:pPr>
            <w:r>
              <w:rPr>
                <w:rFonts w:ascii="宋体" w:hAnsi="宋体"/>
                <w:kern w:val="0"/>
                <w:sz w:val="18"/>
                <w:szCs w:val="18"/>
              </w:rPr>
              <w:t>参数</w:t>
            </w:r>
          </w:p>
        </w:tc>
        <w:tc>
          <w:tcPr>
            <w:tcW w:w="2962" w:type="dxa"/>
            <w:tcBorders>
              <w:top w:val="single" w:color="auto" w:sz="4" w:space="0"/>
              <w:left w:val="single" w:color="auto" w:sz="4" w:space="0"/>
              <w:bottom w:val="single" w:color="auto" w:sz="4" w:space="0"/>
              <w:right w:val="single" w:color="auto" w:sz="4" w:space="0"/>
            </w:tcBorders>
            <w:tcMar>
              <w:top w:w="150" w:type="dxa"/>
              <w:left w:w="240" w:type="dxa"/>
              <w:bottom w:w="150" w:type="dxa"/>
              <w:right w:w="240" w:type="dxa"/>
            </w:tcMar>
            <w:vAlign w:val="center"/>
          </w:tcPr>
          <w:p w14:paraId="370F09E7">
            <w:pPr>
              <w:widowControl/>
              <w:snapToGrid w:val="0"/>
              <w:spacing w:line="240" w:lineRule="auto"/>
              <w:jc w:val="center"/>
              <w:rPr>
                <w:rFonts w:ascii="宋体" w:hAnsi="宋体"/>
                <w:kern w:val="0"/>
                <w:sz w:val="18"/>
                <w:szCs w:val="18"/>
              </w:rPr>
            </w:pPr>
            <w:r>
              <w:rPr>
                <w:rFonts w:ascii="宋体" w:hAnsi="宋体"/>
                <w:kern w:val="0"/>
                <w:sz w:val="18"/>
                <w:szCs w:val="18"/>
              </w:rPr>
              <w:t>位点图扫描（多点采样）</w:t>
            </w:r>
          </w:p>
        </w:tc>
        <w:tc>
          <w:tcPr>
            <w:tcW w:w="3651" w:type="dxa"/>
            <w:tcBorders>
              <w:top w:val="single" w:color="auto" w:sz="4" w:space="0"/>
              <w:left w:val="single" w:color="auto" w:sz="4" w:space="0"/>
              <w:bottom w:val="single" w:color="auto" w:sz="4" w:space="0"/>
              <w:right w:val="single" w:color="auto" w:sz="4" w:space="0"/>
            </w:tcBorders>
            <w:tcMar>
              <w:top w:w="150" w:type="dxa"/>
              <w:left w:w="240" w:type="dxa"/>
              <w:bottom w:w="150" w:type="dxa"/>
              <w:right w:w="240" w:type="dxa"/>
            </w:tcMar>
            <w:vAlign w:val="center"/>
          </w:tcPr>
          <w:p w14:paraId="56FBAC32">
            <w:pPr>
              <w:widowControl/>
              <w:snapToGrid w:val="0"/>
              <w:spacing w:line="300" w:lineRule="auto"/>
              <w:jc w:val="center"/>
              <w:rPr>
                <w:rFonts w:ascii="宋体" w:hAnsi="宋体"/>
                <w:kern w:val="0"/>
                <w:sz w:val="18"/>
                <w:szCs w:val="18"/>
              </w:rPr>
            </w:pPr>
            <w:r>
              <w:rPr>
                <w:rFonts w:ascii="宋体" w:hAnsi="宋体"/>
                <w:kern w:val="0"/>
                <w:sz w:val="18"/>
                <w:szCs w:val="18"/>
              </w:rPr>
              <w:t>全图扫描（连续性扫描）</w:t>
            </w:r>
          </w:p>
        </w:tc>
      </w:tr>
      <w:tr w14:paraId="509C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9" w:hRule="atLeast"/>
        </w:trPr>
        <w:tc>
          <w:tcPr>
            <w:tcW w:w="2154" w:type="dxa"/>
            <w:tcBorders>
              <w:top w:val="single" w:color="auto" w:sz="4" w:space="0"/>
              <w:left w:val="single" w:color="auto" w:sz="4" w:space="0"/>
              <w:bottom w:val="single" w:color="auto" w:sz="4" w:space="0"/>
              <w:right w:val="single" w:color="auto" w:sz="4" w:space="0"/>
            </w:tcBorders>
            <w:tcMar>
              <w:top w:w="150" w:type="dxa"/>
              <w:left w:w="0" w:type="dxa"/>
              <w:bottom w:w="150" w:type="dxa"/>
              <w:right w:w="240" w:type="dxa"/>
            </w:tcMar>
            <w:vAlign w:val="center"/>
          </w:tcPr>
          <w:p w14:paraId="67CB915B">
            <w:pPr>
              <w:widowControl/>
              <w:snapToGrid w:val="0"/>
              <w:spacing w:line="240" w:lineRule="auto"/>
              <w:jc w:val="center"/>
              <w:rPr>
                <w:rFonts w:ascii="宋体" w:hAnsi="宋体"/>
                <w:kern w:val="0"/>
                <w:sz w:val="18"/>
                <w:szCs w:val="18"/>
              </w:rPr>
            </w:pPr>
            <w:r>
              <w:rPr>
                <w:rFonts w:ascii="宋体" w:hAnsi="宋体"/>
                <w:kern w:val="0"/>
                <w:sz w:val="18"/>
                <w:szCs w:val="18"/>
              </w:rPr>
              <w:t>物镜倍数</w:t>
            </w:r>
          </w:p>
        </w:tc>
        <w:tc>
          <w:tcPr>
            <w:tcW w:w="2962" w:type="dxa"/>
            <w:tcBorders>
              <w:top w:val="single" w:color="auto" w:sz="4" w:space="0"/>
              <w:left w:val="single" w:color="auto" w:sz="4" w:space="0"/>
              <w:bottom w:val="single" w:color="auto" w:sz="4" w:space="0"/>
              <w:right w:val="single" w:color="auto" w:sz="4" w:space="0"/>
            </w:tcBorders>
            <w:tcMar>
              <w:top w:w="150" w:type="dxa"/>
              <w:left w:w="240" w:type="dxa"/>
              <w:bottom w:w="150" w:type="dxa"/>
              <w:right w:w="240" w:type="dxa"/>
            </w:tcMar>
            <w:vAlign w:val="center"/>
          </w:tcPr>
          <w:p w14:paraId="07943E95">
            <w:pPr>
              <w:widowControl/>
              <w:snapToGrid w:val="0"/>
              <w:spacing w:line="240" w:lineRule="auto"/>
              <w:jc w:val="center"/>
              <w:rPr>
                <w:rFonts w:ascii="宋体" w:hAnsi="宋体"/>
                <w:kern w:val="0"/>
                <w:sz w:val="18"/>
                <w:szCs w:val="18"/>
              </w:rPr>
            </w:pPr>
            <w:r>
              <w:rPr>
                <w:rFonts w:ascii="宋体" w:hAnsi="宋体"/>
                <w:kern w:val="0"/>
                <w:sz w:val="18"/>
                <w:szCs w:val="18"/>
              </w:rPr>
              <w:t>5×</w:t>
            </w:r>
          </w:p>
        </w:tc>
        <w:tc>
          <w:tcPr>
            <w:tcW w:w="3651" w:type="dxa"/>
            <w:tcBorders>
              <w:top w:val="single" w:color="auto" w:sz="4" w:space="0"/>
              <w:left w:val="single" w:color="auto" w:sz="4" w:space="0"/>
              <w:bottom w:val="single" w:color="auto" w:sz="4" w:space="0"/>
              <w:right w:val="single" w:color="auto" w:sz="4" w:space="0"/>
            </w:tcBorders>
            <w:tcMar>
              <w:top w:w="150" w:type="dxa"/>
              <w:left w:w="240" w:type="dxa"/>
              <w:bottom w:w="150" w:type="dxa"/>
              <w:right w:w="0" w:type="dxa"/>
            </w:tcMar>
            <w:vAlign w:val="center"/>
          </w:tcPr>
          <w:p w14:paraId="5D318A88">
            <w:pPr>
              <w:widowControl/>
              <w:snapToGrid w:val="0"/>
              <w:spacing w:line="300" w:lineRule="auto"/>
              <w:jc w:val="center"/>
              <w:rPr>
                <w:rFonts w:ascii="宋体" w:hAnsi="宋体"/>
                <w:kern w:val="0"/>
                <w:sz w:val="18"/>
                <w:szCs w:val="18"/>
              </w:rPr>
            </w:pPr>
            <w:r>
              <w:rPr>
                <w:rFonts w:ascii="宋体" w:hAnsi="宋体"/>
                <w:kern w:val="0"/>
                <w:sz w:val="18"/>
                <w:szCs w:val="18"/>
              </w:rPr>
              <w:t>2.5</w:t>
            </w:r>
            <w:r>
              <w:rPr>
                <w:rFonts w:ascii="Times New Roman" w:hAnsi="Times New Roman"/>
                <w:kern w:val="0"/>
                <w:sz w:val="18"/>
                <w:szCs w:val="18"/>
              </w:rPr>
              <w:t>~</w:t>
            </w:r>
            <w:r>
              <w:rPr>
                <w:rFonts w:ascii="宋体" w:hAnsi="宋体"/>
                <w:kern w:val="0"/>
                <w:sz w:val="18"/>
                <w:szCs w:val="18"/>
              </w:rPr>
              <w:t>10×</w:t>
            </w:r>
          </w:p>
        </w:tc>
      </w:tr>
      <w:tr w14:paraId="0A33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6" w:hRule="atLeast"/>
        </w:trPr>
        <w:tc>
          <w:tcPr>
            <w:tcW w:w="2154" w:type="dxa"/>
            <w:tcBorders>
              <w:top w:val="single" w:color="auto" w:sz="4" w:space="0"/>
              <w:left w:val="single" w:color="auto" w:sz="4" w:space="0"/>
              <w:bottom w:val="single" w:color="auto" w:sz="4" w:space="0"/>
              <w:right w:val="single" w:color="auto" w:sz="4" w:space="0"/>
            </w:tcBorders>
            <w:tcMar>
              <w:top w:w="150" w:type="dxa"/>
              <w:left w:w="0" w:type="dxa"/>
              <w:bottom w:w="150" w:type="dxa"/>
              <w:right w:w="240" w:type="dxa"/>
            </w:tcMar>
            <w:vAlign w:val="center"/>
          </w:tcPr>
          <w:p w14:paraId="1BA6350F">
            <w:pPr>
              <w:widowControl/>
              <w:snapToGrid w:val="0"/>
              <w:spacing w:line="240" w:lineRule="auto"/>
              <w:jc w:val="center"/>
              <w:rPr>
                <w:rFonts w:ascii="宋体" w:hAnsi="宋体"/>
                <w:kern w:val="0"/>
                <w:sz w:val="18"/>
                <w:szCs w:val="18"/>
              </w:rPr>
            </w:pPr>
            <w:r>
              <w:rPr>
                <w:rFonts w:ascii="宋体" w:hAnsi="宋体"/>
                <w:color w:val="000000"/>
                <w:sz w:val="18"/>
                <w:szCs w:val="18"/>
              </w:rPr>
              <w:t>视场面积</w:t>
            </w:r>
          </w:p>
        </w:tc>
        <w:tc>
          <w:tcPr>
            <w:tcW w:w="2962" w:type="dxa"/>
            <w:tcBorders>
              <w:top w:val="single" w:color="auto" w:sz="4" w:space="0"/>
              <w:left w:val="single" w:color="auto" w:sz="4" w:space="0"/>
              <w:bottom w:val="single" w:color="auto" w:sz="4" w:space="0"/>
              <w:right w:val="single" w:color="auto" w:sz="4" w:space="0"/>
            </w:tcBorders>
            <w:tcMar>
              <w:top w:w="150" w:type="dxa"/>
              <w:left w:w="240" w:type="dxa"/>
              <w:bottom w:w="150" w:type="dxa"/>
              <w:right w:w="240" w:type="dxa"/>
            </w:tcMar>
            <w:vAlign w:val="center"/>
          </w:tcPr>
          <w:p w14:paraId="524E3F50">
            <w:pPr>
              <w:widowControl/>
              <w:snapToGrid w:val="0"/>
              <w:spacing w:line="240" w:lineRule="auto"/>
              <w:jc w:val="center"/>
              <w:rPr>
                <w:rFonts w:ascii="宋体" w:hAnsi="宋体"/>
                <w:kern w:val="0"/>
                <w:sz w:val="18"/>
                <w:szCs w:val="18"/>
              </w:rPr>
            </w:pPr>
            <w:r>
              <w:rPr>
                <w:rFonts w:hint="eastAsia" w:ascii="宋体" w:hAnsi="宋体"/>
                <w:kern w:val="0"/>
                <w:sz w:val="18"/>
                <w:szCs w:val="18"/>
              </w:rPr>
              <w:t>按</w:t>
            </w:r>
            <w:r>
              <w:rPr>
                <w:rFonts w:ascii="宋体" w:hAnsi="宋体"/>
                <w:kern w:val="0"/>
                <w:sz w:val="18"/>
                <w:szCs w:val="18"/>
              </w:rPr>
              <w:t>8.1.2</w:t>
            </w:r>
            <w:r>
              <w:rPr>
                <w:rFonts w:hint="eastAsia" w:ascii="宋体" w:hAnsi="宋体"/>
                <w:kern w:val="0"/>
                <w:sz w:val="18"/>
                <w:szCs w:val="18"/>
              </w:rPr>
              <w:t>要求</w:t>
            </w:r>
          </w:p>
        </w:tc>
        <w:tc>
          <w:tcPr>
            <w:tcW w:w="3651" w:type="dxa"/>
            <w:tcBorders>
              <w:top w:val="single" w:color="auto" w:sz="4" w:space="0"/>
              <w:left w:val="single" w:color="auto" w:sz="4" w:space="0"/>
              <w:bottom w:val="single" w:color="auto" w:sz="4" w:space="0"/>
              <w:right w:val="single" w:color="auto" w:sz="4" w:space="0"/>
            </w:tcBorders>
            <w:tcMar>
              <w:top w:w="150" w:type="dxa"/>
              <w:left w:w="240" w:type="dxa"/>
              <w:bottom w:w="150" w:type="dxa"/>
              <w:right w:w="0" w:type="dxa"/>
            </w:tcMar>
            <w:vAlign w:val="center"/>
          </w:tcPr>
          <w:p w14:paraId="6EE02821">
            <w:pPr>
              <w:widowControl/>
              <w:snapToGrid w:val="0"/>
              <w:spacing w:line="300" w:lineRule="auto"/>
              <w:jc w:val="center"/>
              <w:rPr>
                <w:rFonts w:ascii="宋体" w:hAnsi="宋体"/>
                <w:kern w:val="0"/>
                <w:sz w:val="18"/>
                <w:szCs w:val="18"/>
              </w:rPr>
            </w:pPr>
            <w:r>
              <w:rPr>
                <w:rFonts w:ascii="宋体" w:hAnsi="宋体"/>
                <w:kern w:val="0"/>
                <w:sz w:val="18"/>
                <w:szCs w:val="18"/>
              </w:rPr>
              <w:t>10×物镜</w:t>
            </w:r>
            <w:r>
              <w:rPr>
                <w:rFonts w:hint="eastAsia" w:ascii="宋体" w:hAnsi="宋体"/>
                <w:kern w:val="0"/>
                <w:sz w:val="18"/>
                <w:szCs w:val="18"/>
              </w:rPr>
              <w:t>：</w:t>
            </w:r>
            <w:r>
              <w:rPr>
                <w:rFonts w:ascii="宋体" w:hAnsi="宋体"/>
                <w:kern w:val="0"/>
                <w:sz w:val="18"/>
                <w:szCs w:val="18"/>
              </w:rPr>
              <w:t>0.01cm</w:t>
            </w:r>
            <w:r>
              <w:rPr>
                <w:rFonts w:ascii="宋体" w:hAnsi="宋体"/>
                <w:kern w:val="0"/>
                <w:sz w:val="18"/>
                <w:szCs w:val="18"/>
                <w:vertAlign w:val="superscript"/>
              </w:rPr>
              <w:t>2</w:t>
            </w:r>
            <w:r>
              <w:rPr>
                <w:rFonts w:hint="eastAsia" w:ascii="宋体" w:hAnsi="宋体"/>
                <w:kern w:val="0"/>
                <w:sz w:val="18"/>
                <w:szCs w:val="18"/>
              </w:rPr>
              <w:t>；</w:t>
            </w:r>
          </w:p>
          <w:p w14:paraId="40B853A3">
            <w:pPr>
              <w:widowControl/>
              <w:snapToGrid w:val="0"/>
              <w:spacing w:line="300" w:lineRule="auto"/>
              <w:jc w:val="center"/>
              <w:rPr>
                <w:rFonts w:ascii="宋体" w:hAnsi="宋体"/>
                <w:kern w:val="0"/>
                <w:sz w:val="18"/>
                <w:szCs w:val="18"/>
              </w:rPr>
            </w:pPr>
            <w:r>
              <w:rPr>
                <w:rFonts w:ascii="宋体" w:hAnsi="宋体"/>
                <w:kern w:val="0"/>
                <w:sz w:val="18"/>
                <w:szCs w:val="18"/>
              </w:rPr>
              <w:t>5×物镜：0.04cm</w:t>
            </w:r>
            <w:r>
              <w:rPr>
                <w:rFonts w:ascii="宋体" w:hAnsi="宋体"/>
                <w:kern w:val="0"/>
                <w:sz w:val="18"/>
                <w:szCs w:val="18"/>
                <w:vertAlign w:val="superscript"/>
              </w:rPr>
              <w:t>2</w:t>
            </w:r>
            <w:r>
              <w:rPr>
                <w:rFonts w:hint="eastAsia" w:ascii="宋体" w:hAnsi="宋体"/>
                <w:kern w:val="0"/>
                <w:sz w:val="18"/>
                <w:szCs w:val="18"/>
              </w:rPr>
              <w:t>；</w:t>
            </w:r>
          </w:p>
          <w:p w14:paraId="1EDFC91D">
            <w:pPr>
              <w:widowControl/>
              <w:snapToGrid w:val="0"/>
              <w:spacing w:line="300" w:lineRule="auto"/>
              <w:jc w:val="center"/>
              <w:rPr>
                <w:rFonts w:ascii="宋体" w:hAnsi="宋体"/>
                <w:kern w:val="0"/>
                <w:sz w:val="18"/>
                <w:szCs w:val="18"/>
                <w:vertAlign w:val="superscript"/>
              </w:rPr>
            </w:pPr>
            <w:r>
              <w:rPr>
                <w:rFonts w:ascii="宋体" w:hAnsi="宋体"/>
                <w:kern w:val="0"/>
                <w:sz w:val="18"/>
                <w:szCs w:val="18"/>
              </w:rPr>
              <w:t>2.5×物镜：0.16cm</w:t>
            </w:r>
            <w:r>
              <w:rPr>
                <w:rFonts w:ascii="宋体" w:hAnsi="宋体"/>
                <w:kern w:val="0"/>
                <w:sz w:val="18"/>
                <w:szCs w:val="18"/>
                <w:vertAlign w:val="superscript"/>
              </w:rPr>
              <w:t>2</w:t>
            </w:r>
          </w:p>
        </w:tc>
      </w:tr>
      <w:tr w14:paraId="14E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 w:hRule="atLeast"/>
        </w:trPr>
        <w:tc>
          <w:tcPr>
            <w:tcW w:w="2154" w:type="dxa"/>
            <w:tcBorders>
              <w:top w:val="single" w:color="auto" w:sz="4" w:space="0"/>
              <w:left w:val="single" w:color="auto" w:sz="4" w:space="0"/>
              <w:bottom w:val="single" w:color="auto" w:sz="4" w:space="0"/>
              <w:right w:val="single" w:color="auto" w:sz="4" w:space="0"/>
            </w:tcBorders>
            <w:tcMar>
              <w:top w:w="150" w:type="dxa"/>
              <w:left w:w="0" w:type="dxa"/>
              <w:bottom w:w="150" w:type="dxa"/>
              <w:right w:w="240" w:type="dxa"/>
            </w:tcMar>
            <w:vAlign w:val="center"/>
          </w:tcPr>
          <w:p w14:paraId="75B9FA94">
            <w:pPr>
              <w:pStyle w:val="65"/>
              <w:numPr>
                <w:ilvl w:val="0"/>
                <w:numId w:val="0"/>
              </w:numPr>
              <w:adjustRightInd w:val="0"/>
              <w:snapToGrid w:val="0"/>
              <w:spacing w:before="0" w:beforeLines="0" w:after="0" w:afterLines="0"/>
              <w:jc w:val="center"/>
              <w:rPr>
                <w:rFonts w:ascii="宋体" w:hAnsi="宋体" w:eastAsia="宋体"/>
                <w:sz w:val="18"/>
                <w:szCs w:val="18"/>
              </w:rPr>
            </w:pPr>
            <w:r>
              <w:rPr>
                <w:rFonts w:ascii="宋体" w:hAnsi="宋体" w:eastAsia="宋体"/>
                <w:sz w:val="18"/>
                <w:szCs w:val="18"/>
              </w:rPr>
              <w:t>选取测试点</w:t>
            </w:r>
          </w:p>
        </w:tc>
        <w:tc>
          <w:tcPr>
            <w:tcW w:w="2962" w:type="dxa"/>
            <w:tcBorders>
              <w:top w:val="single" w:color="auto" w:sz="4" w:space="0"/>
              <w:left w:val="single" w:color="auto" w:sz="4" w:space="0"/>
              <w:bottom w:val="single" w:color="auto" w:sz="4" w:space="0"/>
              <w:right w:val="single" w:color="auto" w:sz="4" w:space="0"/>
            </w:tcBorders>
            <w:tcMar>
              <w:top w:w="150" w:type="dxa"/>
              <w:left w:w="240" w:type="dxa"/>
              <w:bottom w:w="150" w:type="dxa"/>
              <w:right w:w="240" w:type="dxa"/>
            </w:tcMar>
            <w:vAlign w:val="center"/>
          </w:tcPr>
          <w:p w14:paraId="7ACEF4F3">
            <w:pPr>
              <w:widowControl/>
              <w:snapToGrid w:val="0"/>
              <w:spacing w:line="240" w:lineRule="auto"/>
              <w:jc w:val="center"/>
              <w:rPr>
                <w:rFonts w:ascii="宋体" w:hAnsi="宋体"/>
                <w:kern w:val="0"/>
                <w:sz w:val="18"/>
                <w:szCs w:val="18"/>
              </w:rPr>
            </w:pPr>
            <w:r>
              <w:rPr>
                <w:rFonts w:hint="eastAsia" w:ascii="宋体" w:hAnsi="宋体"/>
                <w:kern w:val="0"/>
                <w:sz w:val="18"/>
                <w:szCs w:val="18"/>
              </w:rPr>
              <w:t>按</w:t>
            </w:r>
            <w:r>
              <w:rPr>
                <w:rFonts w:ascii="宋体" w:hAnsi="宋体"/>
                <w:kern w:val="0"/>
                <w:sz w:val="18"/>
                <w:szCs w:val="18"/>
              </w:rPr>
              <w:t>8.1.3</w:t>
            </w:r>
            <w:r>
              <w:rPr>
                <w:rFonts w:hint="eastAsia" w:ascii="宋体" w:hAnsi="宋体"/>
                <w:kern w:val="0"/>
                <w:sz w:val="18"/>
                <w:szCs w:val="18"/>
              </w:rPr>
              <w:t>要求</w:t>
            </w:r>
          </w:p>
        </w:tc>
        <w:tc>
          <w:tcPr>
            <w:tcW w:w="3651" w:type="dxa"/>
            <w:tcBorders>
              <w:top w:val="single" w:color="auto" w:sz="4" w:space="0"/>
              <w:left w:val="single" w:color="auto" w:sz="4" w:space="0"/>
              <w:bottom w:val="single" w:color="auto" w:sz="4" w:space="0"/>
              <w:right w:val="single" w:color="auto" w:sz="4" w:space="0"/>
            </w:tcBorders>
            <w:tcMar>
              <w:top w:w="150" w:type="dxa"/>
              <w:left w:w="240" w:type="dxa"/>
              <w:bottom w:w="150" w:type="dxa"/>
              <w:right w:w="0" w:type="dxa"/>
            </w:tcMar>
            <w:vAlign w:val="center"/>
          </w:tcPr>
          <w:p w14:paraId="709811C6">
            <w:pPr>
              <w:widowControl/>
              <w:snapToGrid w:val="0"/>
              <w:spacing w:line="300" w:lineRule="auto"/>
              <w:jc w:val="center"/>
              <w:rPr>
                <w:rFonts w:ascii="宋体" w:hAnsi="宋体"/>
                <w:kern w:val="0"/>
                <w:sz w:val="18"/>
                <w:szCs w:val="18"/>
                <w:highlight w:val="yellow"/>
              </w:rPr>
            </w:pPr>
            <w:r>
              <w:rPr>
                <w:rFonts w:ascii="宋体" w:hAnsi="宋体"/>
                <w:color w:val="0F1115"/>
                <w:kern w:val="0"/>
                <w:sz w:val="18"/>
                <w:szCs w:val="18"/>
              </w:rPr>
              <w:t>有效区域（试样去边5</w:t>
            </w:r>
            <w:r>
              <w:rPr>
                <w:rFonts w:ascii="Times New Roman" w:hAnsi="Times New Roman"/>
                <w:color w:val="000000"/>
                <w:sz w:val="18"/>
                <w:szCs w:val="18"/>
                <w:shd w:val="clear" w:color="auto" w:fill="F6F6F6"/>
              </w:rPr>
              <w:t>~</w:t>
            </w:r>
            <w:r>
              <w:rPr>
                <w:rFonts w:ascii="宋体" w:hAnsi="宋体"/>
                <w:color w:val="0F1115"/>
                <w:kern w:val="0"/>
                <w:sz w:val="18"/>
                <w:szCs w:val="18"/>
              </w:rPr>
              <w:t>10mm的整个区域）</w:t>
            </w:r>
          </w:p>
        </w:tc>
      </w:tr>
      <w:tr w14:paraId="2679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 w:hRule="atLeast"/>
        </w:trPr>
        <w:tc>
          <w:tcPr>
            <w:tcW w:w="8768" w:type="dxa"/>
            <w:gridSpan w:val="3"/>
            <w:tcBorders>
              <w:top w:val="single" w:color="auto" w:sz="4" w:space="0"/>
              <w:left w:val="single" w:color="auto" w:sz="4" w:space="0"/>
              <w:bottom w:val="single" w:color="auto" w:sz="4" w:space="0"/>
              <w:right w:val="single" w:color="auto" w:sz="4" w:space="0"/>
            </w:tcBorders>
            <w:tcMar>
              <w:top w:w="150" w:type="dxa"/>
              <w:left w:w="0" w:type="dxa"/>
              <w:bottom w:w="150" w:type="dxa"/>
              <w:right w:w="240" w:type="dxa"/>
            </w:tcMar>
            <w:vAlign w:val="center"/>
          </w:tcPr>
          <w:p w14:paraId="49F065AF">
            <w:pPr>
              <w:widowControl/>
              <w:snapToGrid w:val="0"/>
              <w:spacing w:line="240" w:lineRule="auto"/>
              <w:jc w:val="left"/>
              <w:rPr>
                <w:rFonts w:ascii="宋体" w:hAnsi="宋体"/>
                <w:color w:val="0F1115"/>
                <w:kern w:val="0"/>
                <w:sz w:val="18"/>
                <w:szCs w:val="18"/>
              </w:rPr>
            </w:pPr>
            <w:r>
              <w:rPr>
                <w:rFonts w:hint="eastAsia" w:ascii="宋体" w:hAnsi="宋体"/>
                <w:sz w:val="18"/>
                <w:szCs w:val="18"/>
              </w:rPr>
              <w:t>注：</w:t>
            </w:r>
            <w:r>
              <w:rPr>
                <w:rFonts w:ascii="宋体" w:hAnsi="宋体"/>
                <w:kern w:val="0"/>
                <w:sz w:val="18"/>
                <w:szCs w:val="18"/>
              </w:rPr>
              <w:t>全图扫描</w:t>
            </w:r>
            <w:r>
              <w:rPr>
                <w:rFonts w:hint="eastAsia" w:ascii="宋体" w:hAnsi="宋体"/>
                <w:kern w:val="0"/>
                <w:sz w:val="18"/>
                <w:szCs w:val="18"/>
              </w:rPr>
              <w:t>视场面积为参考值，实际需根据位错密度数量和位错腐蚀坑面积来调整。</w:t>
            </w:r>
          </w:p>
        </w:tc>
      </w:tr>
    </w:tbl>
    <w:p w14:paraId="32285A33">
      <w:pPr>
        <w:pStyle w:val="65"/>
        <w:numPr>
          <w:ilvl w:val="0"/>
          <w:numId w:val="0"/>
        </w:numPr>
        <w:spacing w:before="0" w:beforeLines="0" w:after="0" w:afterLines="0" w:line="300" w:lineRule="auto"/>
      </w:pPr>
    </w:p>
    <w:p w14:paraId="5A940DD5">
      <w:pPr>
        <w:pStyle w:val="65"/>
        <w:spacing w:before="0" w:beforeLines="0" w:after="0" w:afterLines="0" w:line="300" w:lineRule="auto"/>
      </w:pPr>
      <w:r>
        <w:rPr>
          <w:rFonts w:hint="eastAsia"/>
        </w:rPr>
        <w:t>计数与记录</w:t>
      </w:r>
    </w:p>
    <w:p w14:paraId="23975789">
      <w:pPr>
        <w:adjustRightInd/>
        <w:spacing w:line="300" w:lineRule="auto"/>
        <w:ind w:firstLine="420" w:firstLineChars="200"/>
        <w:rPr>
          <w:rFonts w:ascii="宋体" w:hAnsi="宋体"/>
          <w:color w:val="0F1115"/>
          <w:kern w:val="0"/>
        </w:rPr>
      </w:pPr>
      <w:r>
        <w:rPr>
          <w:rFonts w:hint="eastAsia" w:ascii="宋体" w:hAnsi="宋体"/>
          <w:color w:val="0F1115"/>
          <w:kern w:val="0"/>
        </w:rPr>
        <w:t>按8</w:t>
      </w:r>
      <w:r>
        <w:rPr>
          <w:rFonts w:ascii="宋体" w:hAnsi="宋体"/>
          <w:color w:val="0F1115"/>
          <w:kern w:val="0"/>
        </w:rPr>
        <w:t>.1.4</w:t>
      </w:r>
      <w:r>
        <w:rPr>
          <w:rFonts w:hint="eastAsia" w:ascii="宋体" w:hAnsi="宋体"/>
          <w:color w:val="0F1115"/>
          <w:kern w:val="0"/>
        </w:rPr>
        <w:t>要求实施。</w:t>
      </w:r>
    </w:p>
    <w:p w14:paraId="0E98F2CC">
      <w:pPr>
        <w:pStyle w:val="65"/>
        <w:spacing w:before="0" w:beforeLines="0" w:after="0" w:afterLines="0" w:line="300" w:lineRule="auto"/>
      </w:pPr>
      <w:r>
        <w:rPr>
          <w:rFonts w:hint="eastAsia"/>
        </w:rPr>
        <w:t>试验数据处理</w:t>
      </w:r>
    </w:p>
    <w:p w14:paraId="6CFA8E61">
      <w:pPr>
        <w:adjustRightInd/>
        <w:spacing w:line="300" w:lineRule="auto"/>
        <w:ind w:firstLine="420" w:firstLineChars="200"/>
        <w:rPr>
          <w:rFonts w:ascii="宋体" w:hAnsi="宋体"/>
          <w:color w:val="0F1115"/>
          <w:kern w:val="0"/>
        </w:rPr>
      </w:pPr>
      <w:r>
        <w:rPr>
          <w:rFonts w:hint="eastAsia" w:ascii="宋体" w:hAnsi="宋体"/>
          <w:color w:val="0F1115"/>
          <w:kern w:val="0"/>
        </w:rPr>
        <w:t>按8</w:t>
      </w:r>
      <w:r>
        <w:rPr>
          <w:rFonts w:ascii="宋体" w:hAnsi="宋体"/>
          <w:color w:val="0F1115"/>
          <w:kern w:val="0"/>
        </w:rPr>
        <w:t>.1.5</w:t>
      </w:r>
      <w:r>
        <w:rPr>
          <w:rFonts w:hint="eastAsia" w:ascii="宋体" w:hAnsi="宋体"/>
          <w:color w:val="0F1115"/>
          <w:kern w:val="0"/>
        </w:rPr>
        <w:t>要求实施。</w:t>
      </w:r>
    </w:p>
    <w:p w14:paraId="52D981AD">
      <w:pPr>
        <w:pStyle w:val="65"/>
        <w:spacing w:before="0" w:beforeLines="0" w:after="0" w:afterLines="0" w:line="300" w:lineRule="auto"/>
        <w:rPr>
          <w:rFonts w:ascii="宋体" w:hAnsi="宋体" w:eastAsia="宋体"/>
          <w:b/>
          <w:bCs/>
          <w:color w:val="0F1115"/>
          <w:szCs w:val="21"/>
        </w:rPr>
      </w:pPr>
      <w:r>
        <w:rPr>
          <w:rFonts w:hint="eastAsia"/>
        </w:rPr>
        <w:t>结果修正与确认</w:t>
      </w:r>
    </w:p>
    <w:p w14:paraId="65A23095">
      <w:pPr>
        <w:widowControl/>
        <w:shd w:val="clear" w:color="auto" w:fill="FFFFFF"/>
        <w:adjustRightInd/>
        <w:spacing w:line="300" w:lineRule="auto"/>
        <w:ind w:firstLine="420" w:firstLineChars="200"/>
        <w:rPr>
          <w:rFonts w:ascii="宋体" w:hAnsi="宋体"/>
          <w:color w:val="0F1115"/>
          <w:kern w:val="0"/>
        </w:rPr>
      </w:pPr>
      <w:r>
        <w:rPr>
          <w:rFonts w:hint="eastAsia" w:ascii="宋体" w:hAnsi="宋体"/>
          <w:color w:val="0F1115"/>
          <w:kern w:val="0"/>
        </w:rPr>
        <w:t>a) 按位错密度排序，抽查最高值和最低值对应的视场图像，人工复核；</w:t>
      </w:r>
    </w:p>
    <w:p w14:paraId="547FAF5F">
      <w:pPr>
        <w:widowControl/>
        <w:shd w:val="clear" w:color="auto" w:fill="FFFFFF"/>
        <w:adjustRightInd/>
        <w:spacing w:line="300" w:lineRule="auto"/>
        <w:ind w:firstLine="420" w:firstLineChars="200"/>
        <w:rPr>
          <w:rFonts w:ascii="宋体" w:hAnsi="宋体"/>
          <w:color w:val="0F1115"/>
          <w:kern w:val="0"/>
        </w:rPr>
      </w:pPr>
      <w:r>
        <w:rPr>
          <w:rFonts w:hint="eastAsia" w:ascii="宋体" w:hAnsi="宋体"/>
          <w:color w:val="0F1115"/>
          <w:kern w:val="0"/>
        </w:rPr>
        <w:t>b) 随机抽取不少于5个视场，将软件自动计数结果与人工计数结果比对，相对偏差超过10%时，对该视场数据进行人工修正；</w:t>
      </w:r>
    </w:p>
    <w:p w14:paraId="1C05CD32">
      <w:pPr>
        <w:widowControl/>
        <w:shd w:val="clear" w:color="auto" w:fill="FFFFFF"/>
        <w:adjustRightInd/>
        <w:spacing w:line="300" w:lineRule="auto"/>
        <w:ind w:firstLine="420" w:firstLineChars="200"/>
        <w:rPr>
          <w:rFonts w:ascii="宋体" w:hAnsi="宋体"/>
          <w:color w:val="0F1115"/>
          <w:kern w:val="0"/>
        </w:rPr>
      </w:pPr>
      <w:r>
        <w:rPr>
          <w:rFonts w:hint="eastAsia" w:ascii="宋体" w:hAnsi="宋体"/>
          <w:color w:val="0F1115"/>
          <w:kern w:val="0"/>
        </w:rPr>
        <w:t>c) 修正完成后重新计算整体统计结果。</w:t>
      </w:r>
    </w:p>
    <w:p w14:paraId="08C4EF66">
      <w:pPr>
        <w:pStyle w:val="65"/>
        <w:spacing w:before="0" w:beforeLines="0" w:after="0" w:afterLines="0" w:line="300" w:lineRule="auto"/>
      </w:pPr>
      <w:r>
        <w:rPr>
          <w:rFonts w:hint="eastAsia"/>
        </w:rPr>
        <w:t>数据导出</w:t>
      </w:r>
    </w:p>
    <w:p w14:paraId="0620C784">
      <w:pPr>
        <w:widowControl/>
        <w:shd w:val="clear" w:color="auto" w:fill="FFFFFF"/>
        <w:tabs>
          <w:tab w:val="left" w:pos="720"/>
        </w:tabs>
        <w:adjustRightInd/>
        <w:spacing w:line="300" w:lineRule="auto"/>
        <w:ind w:left="420"/>
        <w:rPr>
          <w:rFonts w:ascii="宋体" w:hAnsi="宋体"/>
          <w:color w:val="0F1115"/>
          <w:kern w:val="0"/>
        </w:rPr>
      </w:pPr>
      <w:r>
        <w:rPr>
          <w:rFonts w:hint="eastAsia" w:ascii="宋体" w:hAnsi="宋体"/>
          <w:color w:val="0F1115"/>
          <w:kern w:val="0"/>
        </w:rPr>
        <w:t>a</w:t>
      </w:r>
      <w:r>
        <w:rPr>
          <w:rFonts w:ascii="宋体" w:hAnsi="宋体"/>
          <w:color w:val="0F1115"/>
          <w:kern w:val="0"/>
        </w:rPr>
        <w:t xml:space="preserve">) </w:t>
      </w:r>
      <w:r>
        <w:rPr>
          <w:rFonts w:hint="eastAsia" w:ascii="宋体" w:hAnsi="宋体"/>
          <w:color w:val="0F1115"/>
          <w:kern w:val="0"/>
        </w:rPr>
        <w:t>各视场位错密度原始数据；</w:t>
      </w:r>
    </w:p>
    <w:p w14:paraId="3292D3EB">
      <w:pPr>
        <w:widowControl/>
        <w:shd w:val="clear" w:color="auto" w:fill="FFFFFF"/>
        <w:tabs>
          <w:tab w:val="left" w:pos="720"/>
        </w:tabs>
        <w:adjustRightInd/>
        <w:spacing w:line="300" w:lineRule="auto"/>
        <w:ind w:left="420"/>
        <w:rPr>
          <w:rFonts w:ascii="宋体" w:hAnsi="宋体"/>
          <w:color w:val="0F1115"/>
          <w:kern w:val="0"/>
        </w:rPr>
      </w:pPr>
      <w:r>
        <w:rPr>
          <w:rFonts w:hint="eastAsia" w:ascii="宋体" w:hAnsi="宋体"/>
          <w:color w:val="0F1115"/>
          <w:kern w:val="0"/>
        </w:rPr>
        <w:t>b)</w:t>
      </w:r>
      <w:r>
        <w:rPr>
          <w:rFonts w:ascii="宋体" w:hAnsi="宋体"/>
          <w:color w:val="0F1115"/>
          <w:kern w:val="0"/>
        </w:rPr>
        <w:t xml:space="preserve"> </w:t>
      </w:r>
      <w:r>
        <w:rPr>
          <w:rFonts w:hint="eastAsia"/>
          <w:color w:val="000000"/>
        </w:rPr>
        <w:t>平均位错密度值Ave</w:t>
      </w:r>
      <w:r>
        <w:rPr>
          <w:color w:val="000000"/>
        </w:rPr>
        <w:t>EPD</w:t>
      </w:r>
      <w:r>
        <w:rPr>
          <w:rFonts w:hint="eastAsia" w:ascii="宋体" w:hAnsi="宋体"/>
          <w:color w:val="0F1115"/>
          <w:kern w:val="0"/>
        </w:rPr>
        <w:t>、最大</w:t>
      </w:r>
      <w:r>
        <w:rPr>
          <w:rFonts w:hint="eastAsia"/>
          <w:color w:val="000000"/>
        </w:rPr>
        <w:t>错密度值</w:t>
      </w:r>
      <w:r>
        <w:rPr>
          <w:color w:val="000000"/>
        </w:rPr>
        <w:t>M</w:t>
      </w:r>
      <w:r>
        <w:rPr>
          <w:rFonts w:hint="eastAsia"/>
          <w:color w:val="000000"/>
        </w:rPr>
        <w:t>ax</w:t>
      </w:r>
      <w:r>
        <w:rPr>
          <w:color w:val="000000"/>
        </w:rPr>
        <w:t>EPD</w:t>
      </w:r>
      <w:r>
        <w:rPr>
          <w:rFonts w:hint="eastAsia" w:ascii="宋体" w:hAnsi="宋体"/>
          <w:color w:val="0F1115"/>
          <w:kern w:val="0"/>
        </w:rPr>
        <w:t>；</w:t>
      </w:r>
    </w:p>
    <w:p w14:paraId="45D8A45B">
      <w:pPr>
        <w:widowControl/>
        <w:shd w:val="clear" w:color="auto" w:fill="FFFFFF"/>
        <w:tabs>
          <w:tab w:val="left" w:pos="720"/>
        </w:tabs>
        <w:adjustRightInd/>
        <w:spacing w:line="300" w:lineRule="auto"/>
        <w:ind w:left="420"/>
        <w:rPr>
          <w:rFonts w:ascii="宋体" w:hAnsi="宋体"/>
          <w:color w:val="0F1115"/>
          <w:kern w:val="0"/>
        </w:rPr>
      </w:pPr>
      <w:r>
        <w:rPr>
          <w:rFonts w:hint="eastAsia" w:ascii="宋体" w:hAnsi="宋体"/>
          <w:color w:val="0F1115"/>
          <w:kern w:val="0"/>
        </w:rPr>
        <w:t>c</w:t>
      </w:r>
      <w:r>
        <w:rPr>
          <w:rFonts w:ascii="宋体" w:hAnsi="宋体"/>
          <w:color w:val="0F1115"/>
          <w:kern w:val="0"/>
        </w:rPr>
        <w:t xml:space="preserve">) </w:t>
      </w:r>
      <w:r>
        <w:rPr>
          <w:rFonts w:hint="eastAsia" w:ascii="宋体" w:hAnsi="宋体"/>
          <w:color w:val="0F1115"/>
          <w:kern w:val="0"/>
        </w:rPr>
        <w:t>位错密度分布图。</w:t>
      </w:r>
    </w:p>
    <w:bookmarkEnd w:id="81"/>
    <w:bookmarkEnd w:id="82"/>
    <w:p w14:paraId="23260390">
      <w:pPr>
        <w:pStyle w:val="104"/>
        <w:adjustRightInd w:val="0"/>
        <w:snapToGrid w:val="0"/>
        <w:spacing w:before="0" w:beforeLines="0" w:after="0" w:afterLines="0" w:line="300" w:lineRule="auto"/>
        <w:rPr>
          <w:color w:val="000000"/>
        </w:rPr>
      </w:pPr>
      <w:bookmarkStart w:id="83" w:name="_Toc195514592"/>
      <w:bookmarkStart w:id="84" w:name="_Toc194932241"/>
      <w:r>
        <w:rPr>
          <w:color w:val="000000"/>
        </w:rPr>
        <w:t>精密度</w:t>
      </w:r>
      <w:bookmarkEnd w:id="83"/>
      <w:bookmarkEnd w:id="84"/>
    </w:p>
    <w:p w14:paraId="04637040">
      <w:pPr>
        <w:pStyle w:val="56"/>
        <w:spacing w:line="300" w:lineRule="auto"/>
        <w:ind w:firstLine="420"/>
        <w:rPr>
          <w:color w:val="000000"/>
        </w:rPr>
      </w:pPr>
      <w:r>
        <w:rPr>
          <w:color w:val="000000"/>
        </w:rPr>
        <w:t>用择优腐蚀原理测试位错密度的误差与测试点的选取方法、实际观测面积（视场面积乘以测试点数）与晶面总面积之比、位错分布的均匀性等因素有关。分别选取两片圆形砷化镓单晶测试片，在3</w:t>
      </w:r>
      <w:r>
        <w:rPr>
          <w:rFonts w:ascii="Times New Roman"/>
          <w:sz w:val="18"/>
          <w:szCs w:val="18"/>
        </w:rPr>
        <w:t>~</w:t>
      </w:r>
      <w:r>
        <w:rPr>
          <w:color w:val="000000"/>
        </w:rPr>
        <w:t>4个实验室按照本方法进行测试，以各家测试的所有位错密度的平均值作为真值，进行相对误差的计算。测试结果的相对误差</w:t>
      </w:r>
      <w:r>
        <w:rPr>
          <w:rFonts w:hint="eastAsia"/>
          <w:color w:val="000000"/>
        </w:rPr>
        <w:t>≤</w:t>
      </w:r>
      <w:r>
        <w:rPr>
          <w:color w:val="000000"/>
        </w:rPr>
        <w:t>25</w:t>
      </w:r>
      <w:r>
        <w:rPr>
          <w:rFonts w:hint="eastAsia"/>
          <w:color w:val="000000"/>
        </w:rPr>
        <w:t>%。</w:t>
      </w:r>
    </w:p>
    <w:bookmarkEnd w:id="18"/>
    <w:p w14:paraId="75D5FEEB">
      <w:pPr>
        <w:pStyle w:val="104"/>
        <w:adjustRightInd w:val="0"/>
        <w:snapToGrid w:val="0"/>
        <w:spacing w:before="0" w:beforeLines="0" w:after="0" w:afterLines="0" w:line="300" w:lineRule="auto"/>
        <w:rPr>
          <w:color w:val="000000"/>
        </w:rPr>
      </w:pPr>
      <w:bookmarkStart w:id="85" w:name="_Toc194932242"/>
      <w:bookmarkStart w:id="86" w:name="_Toc195514593"/>
      <w:r>
        <w:rPr>
          <w:rFonts w:hint="eastAsia"/>
          <w:color w:val="000000"/>
        </w:rPr>
        <w:t>试验报告</w:t>
      </w:r>
      <w:bookmarkEnd w:id="85"/>
      <w:bookmarkEnd w:id="86"/>
    </w:p>
    <w:p w14:paraId="2DA17C00">
      <w:pPr>
        <w:spacing w:line="300" w:lineRule="auto"/>
        <w:ind w:firstLine="420" w:firstLineChars="200"/>
        <w:rPr>
          <w:color w:val="000000"/>
        </w:rPr>
      </w:pPr>
      <w:r>
        <w:rPr>
          <w:color w:val="000000"/>
        </w:rPr>
        <w:t>试验报告应包括下列内容：</w:t>
      </w:r>
    </w:p>
    <w:p w14:paraId="271EE4F1">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样品信息，包括晶向、编号等。</w:t>
      </w:r>
    </w:p>
    <w:p w14:paraId="6741BC54">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视场面积。</w:t>
      </w:r>
    </w:p>
    <w:p w14:paraId="5FE2C6FE">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腐蚀液及腐蚀时间。</w:t>
      </w:r>
    </w:p>
    <w:p w14:paraId="19F8EE5E">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测试结果，包括各点腐蚀坑个数及平均位错密度。</w:t>
      </w:r>
    </w:p>
    <w:p w14:paraId="7DDD5BCB">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测试者和测试日期。</w:t>
      </w:r>
    </w:p>
    <w:p w14:paraId="30177E2C">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本标准编号。</w:t>
      </w:r>
    </w:p>
    <w:p w14:paraId="1050288B">
      <w:pPr>
        <w:pStyle w:val="229"/>
        <w:numPr>
          <w:ilvl w:val="0"/>
          <w:numId w:val="36"/>
        </w:numPr>
        <w:spacing w:line="300" w:lineRule="auto"/>
        <w:ind w:firstLine="53"/>
        <w:rPr>
          <w:rFonts w:ascii="Calibri" w:hAnsi="Calibri" w:eastAsia="宋体"/>
          <w:color w:val="000000"/>
          <w:szCs w:val="21"/>
        </w:rPr>
      </w:pPr>
      <w:r>
        <w:rPr>
          <w:rFonts w:ascii="Calibri" w:hAnsi="Calibri" w:eastAsia="宋体"/>
          <w:color w:val="000000"/>
          <w:szCs w:val="21"/>
        </w:rPr>
        <w:t>其他，如样品图形（标示出高位错密度处）。</w:t>
      </w:r>
    </w:p>
    <w:p w14:paraId="6E3005B4">
      <w:pPr>
        <w:pStyle w:val="229"/>
        <w:spacing w:line="300" w:lineRule="auto"/>
        <w:ind w:left="993"/>
        <w:rPr>
          <w:rFonts w:ascii="Calibri" w:hAnsi="Calibri" w:eastAsia="宋体"/>
          <w:color w:val="000000"/>
          <w:szCs w:val="21"/>
        </w:rPr>
      </w:pPr>
      <w:r>
        <w:rPr>
          <w:rFonts w:hint="eastAsia" w:ascii="Calibri" w:hAnsi="Calibri" w:eastAsia="宋体"/>
          <w:color w:val="000000"/>
          <w:szCs w:val="21"/>
        </w:rPr>
        <mc:AlternateContent>
          <mc:Choice Requires="wps">
            <w:drawing>
              <wp:anchor distT="0" distB="0" distL="114300" distR="114300" simplePos="0" relativeHeight="251663360" behindDoc="0" locked="0" layoutInCell="1" allowOverlap="1">
                <wp:simplePos x="0" y="0"/>
                <wp:positionH relativeFrom="column">
                  <wp:posOffset>2033270</wp:posOffset>
                </wp:positionH>
                <wp:positionV relativeFrom="paragraph">
                  <wp:posOffset>190500</wp:posOffset>
                </wp:positionV>
                <wp:extent cx="1993900" cy="0"/>
                <wp:effectExtent l="0" t="0" r="25400" b="19050"/>
                <wp:wrapNone/>
                <wp:docPr id="13" name="直接连接符 12"/>
                <wp:cNvGraphicFramePr/>
                <a:graphic xmlns:a="http://schemas.openxmlformats.org/drawingml/2006/main">
                  <a:graphicData uri="http://schemas.microsoft.com/office/word/2010/wordprocessingShape">
                    <wps:wsp>
                      <wps:cNvCnPr/>
                      <wps:spPr bwMode="auto">
                        <a:xfrm>
                          <a:off x="0" y="0"/>
                          <a:ext cx="1993900" cy="0"/>
                        </a:xfrm>
                        <a:prstGeom prst="line">
                          <a:avLst/>
                        </a:prstGeom>
                        <a:noFill/>
                        <a:ln w="6350">
                          <a:solidFill>
                            <a:srgbClr val="000000"/>
                          </a:solidFill>
                          <a:round/>
                        </a:ln>
                        <a:effectLst/>
                      </wps:spPr>
                      <wps:bodyPr/>
                    </wps:wsp>
                  </a:graphicData>
                </a:graphic>
              </wp:anchor>
            </w:drawing>
          </mc:Choice>
          <mc:Fallback>
            <w:pict>
              <v:line id="直接连接符 12" o:spid="_x0000_s1026" o:spt="20" style="position:absolute;left:0pt;margin-left:160.1pt;margin-top:15pt;height:0pt;width:157pt;z-index:251663360;mso-width-relative:page;mso-height-relative:page;" filled="f" stroked="t" coordsize="21600,21600" o:gfxdata="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&#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24/a1QAAAAkBAAAPAAAAAAAAAAEAIAAAACIAAABk&#10;cnMvZG93bnJldi54bWxQSwECFAAUAAAACACHTuJAoyfaONABAACIAwAADgAAAAAAAAABACAAAAAk&#10;AQAAZHJzL2Uyb0RvYy54bWxQSwUGAAAAAAYABgBZAQAAZgUAAAAA&#10;">
                <v:fill on="f" focussize="0,0"/>
                <v:stroke weight="0.5pt" color="#000000" joinstyle="round"/>
                <v:imagedata o:title=""/>
                <o:lock v:ext="edit" aspectratio="f"/>
              </v:line>
            </w:pict>
          </mc:Fallback>
        </mc:AlternateContent>
      </w:r>
    </w:p>
    <w:sectPr>
      <w:pgSz w:w="11906" w:h="16838"/>
      <w:pgMar w:top="1928" w:right="1134" w:bottom="993" w:left="1134" w:header="1418" w:footer="79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Yu Gothic Medium">
    <w:panose1 w:val="020B0500000000000000"/>
    <w:charset w:val="80"/>
    <w:family w:val="swiss"/>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KaTeX_Math">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9A294">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DDF3D">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8A2D">
    <w:pPr>
      <w:pStyle w:val="52"/>
    </w:pPr>
    <w:r>
      <w:fldChar w:fldCharType="begin"/>
    </w:r>
    <w:r>
      <w:instrText xml:space="preserve">PAGE   \* MERGEFORMAT</w:instrText>
    </w:r>
    <w:r>
      <w:fldChar w:fldCharType="separate"/>
    </w:r>
    <w:r>
      <w:rPr>
        <w:lang w:val="zh-CN"/>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D738">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F5B16">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5CC6">
    <w:pPr>
      <w:pStyle w:val="61"/>
      <w:spacing w:after="0"/>
    </w:pPr>
    <w:r>
      <w:fldChar w:fldCharType="begin"/>
    </w:r>
    <w:r>
      <w:instrText xml:space="preserve"> STYLEREF  标准文件_文件编号  \* MERGEFORMAT </w:instrText>
    </w:r>
    <w:r>
      <w:fldChar w:fldCharType="separate"/>
    </w:r>
    <w:r>
      <w:t>GB/T 8760—2026</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E0EAD">
    <w:pPr>
      <w:pStyle w:val="18"/>
      <w:jc w:val="right"/>
    </w:pPr>
    <w:r>
      <w:fldChar w:fldCharType="begin"/>
    </w:r>
    <w:r>
      <w:instrText xml:space="preserve"> STYLEREF  标准文件_文件编号  \* MERGEFORMAT </w:instrText>
    </w:r>
    <w:r>
      <w:fldChar w:fldCharType="separate"/>
    </w:r>
    <w:r>
      <w:t>GB/T 8760—2026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hAnsi="等线" w:eastAsia="黑体"/>
        <w:b w:val="0"/>
        <w:i w:val="0"/>
        <w:sz w:val="21"/>
      </w:rPr>
    </w:lvl>
    <w:lvl w:ilvl="2" w:tentative="0">
      <w:start w:val="1"/>
      <w:numFmt w:val="decimal"/>
      <w:pStyle w:val="201"/>
      <w:suff w:val="nothing"/>
      <w:lvlText w:val="%10.%2.%3 "/>
      <w:lvlJc w:val="left"/>
      <w:pPr>
        <w:ind w:left="0" w:firstLine="0"/>
      </w:pPr>
      <w:rPr>
        <w:rFonts w:hint="eastAsia" w:ascii="黑体" w:hAnsi="等线" w:eastAsia="黑体"/>
        <w:b w:val="0"/>
        <w:i w:val="0"/>
        <w:sz w:val="21"/>
      </w:rPr>
    </w:lvl>
    <w:lvl w:ilvl="3" w:tentative="0">
      <w:start w:val="1"/>
      <w:numFmt w:val="decimal"/>
      <w:pStyle w:val="202"/>
      <w:suff w:val="nothing"/>
      <w:lvlText w:val="%10.%2.%3.%4 "/>
      <w:lvlJc w:val="left"/>
      <w:pPr>
        <w:ind w:left="0" w:firstLine="0"/>
      </w:pPr>
      <w:rPr>
        <w:rFonts w:hint="eastAsia" w:ascii="黑体" w:hAnsi="等线" w:eastAsia="黑体"/>
        <w:b w:val="0"/>
        <w:i w:val="0"/>
        <w:sz w:val="21"/>
      </w:rPr>
    </w:lvl>
    <w:lvl w:ilvl="4" w:tentative="0">
      <w:start w:val="1"/>
      <w:numFmt w:val="decimal"/>
      <w:pStyle w:val="203"/>
      <w:suff w:val="nothing"/>
      <w:lvlText w:val="%10.%2.%3.%4.%5 "/>
      <w:lvlJc w:val="left"/>
      <w:pPr>
        <w:ind w:left="0" w:firstLine="0"/>
      </w:pPr>
      <w:rPr>
        <w:rFonts w:hint="eastAsia" w:ascii="黑体" w:hAnsi="等线" w:eastAsia="黑体"/>
        <w:b w:val="0"/>
        <w:i w:val="0"/>
        <w:sz w:val="21"/>
      </w:rPr>
    </w:lvl>
    <w:lvl w:ilvl="5" w:tentative="0">
      <w:start w:val="1"/>
      <w:numFmt w:val="decimal"/>
      <w:pStyle w:val="204"/>
      <w:suff w:val="nothing"/>
      <w:lvlText w:val="%10.%2.%3.%4.%5.%6 "/>
      <w:lvlJc w:val="left"/>
      <w:pPr>
        <w:ind w:left="0" w:firstLine="0"/>
      </w:pPr>
      <w:rPr>
        <w:rFonts w:hint="eastAsia" w:ascii="黑体" w:hAnsi="等线" w:eastAsia="黑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749730B"/>
    <w:multiLevelType w:val="multilevel"/>
    <w:tmpl w:val="1749730B"/>
    <w:lvl w:ilvl="0" w:tentative="0">
      <w:start w:val="1"/>
      <w:numFmt w:val="lowerLetter"/>
      <w:lvlText w:val="%1)"/>
      <w:lvlJc w:val="left"/>
      <w:pPr>
        <w:ind w:left="5240" w:hanging="420"/>
      </w:pPr>
    </w:lvl>
    <w:lvl w:ilvl="1" w:tentative="0">
      <w:start w:val="1"/>
      <w:numFmt w:val="lowerLetter"/>
      <w:lvlText w:val="%2)"/>
      <w:lvlJc w:val="left"/>
      <w:pPr>
        <w:ind w:left="5660" w:hanging="420"/>
      </w:pPr>
    </w:lvl>
    <w:lvl w:ilvl="2" w:tentative="0">
      <w:start w:val="1"/>
      <w:numFmt w:val="lowerRoman"/>
      <w:lvlText w:val="%3."/>
      <w:lvlJc w:val="right"/>
      <w:pPr>
        <w:ind w:left="6080" w:hanging="420"/>
      </w:pPr>
    </w:lvl>
    <w:lvl w:ilvl="3" w:tentative="0">
      <w:start w:val="1"/>
      <w:numFmt w:val="decimal"/>
      <w:lvlText w:val="%4."/>
      <w:lvlJc w:val="left"/>
      <w:pPr>
        <w:ind w:left="6500" w:hanging="420"/>
      </w:pPr>
    </w:lvl>
    <w:lvl w:ilvl="4" w:tentative="0">
      <w:start w:val="1"/>
      <w:numFmt w:val="lowerLetter"/>
      <w:lvlText w:val="%5)"/>
      <w:lvlJc w:val="left"/>
      <w:pPr>
        <w:ind w:left="6920" w:hanging="420"/>
      </w:pPr>
    </w:lvl>
    <w:lvl w:ilvl="5" w:tentative="0">
      <w:start w:val="1"/>
      <w:numFmt w:val="lowerRoman"/>
      <w:lvlText w:val="%6."/>
      <w:lvlJc w:val="right"/>
      <w:pPr>
        <w:ind w:left="7340" w:hanging="420"/>
      </w:pPr>
    </w:lvl>
    <w:lvl w:ilvl="6" w:tentative="0">
      <w:start w:val="1"/>
      <w:numFmt w:val="decimal"/>
      <w:lvlText w:val="%7."/>
      <w:lvlJc w:val="left"/>
      <w:pPr>
        <w:ind w:left="7760" w:hanging="420"/>
      </w:pPr>
    </w:lvl>
    <w:lvl w:ilvl="7" w:tentative="0">
      <w:start w:val="1"/>
      <w:numFmt w:val="lowerLetter"/>
      <w:lvlText w:val="%8)"/>
      <w:lvlJc w:val="left"/>
      <w:pPr>
        <w:ind w:left="8180" w:hanging="420"/>
      </w:pPr>
    </w:lvl>
    <w:lvl w:ilvl="8" w:tentative="0">
      <w:start w:val="1"/>
      <w:numFmt w:val="lowerRoman"/>
      <w:lvlText w:val="%9."/>
      <w:lvlJc w:val="right"/>
      <w:pPr>
        <w:ind w:left="8600" w:hanging="420"/>
      </w:pPr>
    </w:lvl>
  </w:abstractNum>
  <w:abstractNum w:abstractNumId="8">
    <w:nsid w:val="17862E69"/>
    <w:multiLevelType w:val="multilevel"/>
    <w:tmpl w:val="17862E69"/>
    <w:lvl w:ilvl="0" w:tentative="0">
      <w:start w:val="1"/>
      <w:numFmt w:val="lowerLetter"/>
      <w:lvlText w:val="%1)"/>
      <w:lvlJc w:val="left"/>
      <w:pPr>
        <w:ind w:left="5240" w:hanging="420"/>
      </w:pPr>
    </w:lvl>
    <w:lvl w:ilvl="1" w:tentative="0">
      <w:start w:val="1"/>
      <w:numFmt w:val="lowerLetter"/>
      <w:lvlText w:val="%2)"/>
      <w:lvlJc w:val="left"/>
      <w:pPr>
        <w:ind w:left="5660" w:hanging="420"/>
      </w:pPr>
    </w:lvl>
    <w:lvl w:ilvl="2" w:tentative="0">
      <w:start w:val="1"/>
      <w:numFmt w:val="lowerRoman"/>
      <w:lvlText w:val="%3."/>
      <w:lvlJc w:val="right"/>
      <w:pPr>
        <w:ind w:left="6080" w:hanging="420"/>
      </w:pPr>
    </w:lvl>
    <w:lvl w:ilvl="3" w:tentative="0">
      <w:start w:val="1"/>
      <w:numFmt w:val="decimal"/>
      <w:lvlText w:val="%4."/>
      <w:lvlJc w:val="left"/>
      <w:pPr>
        <w:ind w:left="6500" w:hanging="420"/>
      </w:pPr>
    </w:lvl>
    <w:lvl w:ilvl="4" w:tentative="0">
      <w:start w:val="1"/>
      <w:numFmt w:val="lowerLetter"/>
      <w:lvlText w:val="%5)"/>
      <w:lvlJc w:val="left"/>
      <w:pPr>
        <w:ind w:left="6920" w:hanging="420"/>
      </w:pPr>
    </w:lvl>
    <w:lvl w:ilvl="5" w:tentative="0">
      <w:start w:val="1"/>
      <w:numFmt w:val="lowerRoman"/>
      <w:lvlText w:val="%6."/>
      <w:lvlJc w:val="right"/>
      <w:pPr>
        <w:ind w:left="7340" w:hanging="420"/>
      </w:pPr>
    </w:lvl>
    <w:lvl w:ilvl="6" w:tentative="0">
      <w:start w:val="1"/>
      <w:numFmt w:val="decimal"/>
      <w:lvlText w:val="%7."/>
      <w:lvlJc w:val="left"/>
      <w:pPr>
        <w:ind w:left="7760" w:hanging="420"/>
      </w:pPr>
    </w:lvl>
    <w:lvl w:ilvl="7" w:tentative="0">
      <w:start w:val="1"/>
      <w:numFmt w:val="lowerLetter"/>
      <w:lvlText w:val="%8)"/>
      <w:lvlJc w:val="left"/>
      <w:pPr>
        <w:ind w:left="8180" w:hanging="420"/>
      </w:pPr>
    </w:lvl>
    <w:lvl w:ilvl="8" w:tentative="0">
      <w:start w:val="1"/>
      <w:numFmt w:val="lowerRoman"/>
      <w:lvlText w:val="%9."/>
      <w:lvlJc w:val="right"/>
      <w:pPr>
        <w:ind w:left="8600" w:hanging="420"/>
      </w:pPr>
    </w:lvl>
  </w:abstractNum>
  <w:abstractNum w:abstractNumId="9">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1EE87074"/>
    <w:multiLevelType w:val="multilevel"/>
    <w:tmpl w:val="1EE87074"/>
    <w:lvl w:ilvl="0" w:tentative="0">
      <w:start w:val="1"/>
      <w:numFmt w:val="lowerLetter"/>
      <w:lvlText w:val="%1)"/>
      <w:lvlJc w:val="left"/>
      <w:pPr>
        <w:ind w:left="940" w:hanging="420"/>
      </w:p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3">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3677A74"/>
    <w:multiLevelType w:val="multilevel"/>
    <w:tmpl w:val="43677A74"/>
    <w:lvl w:ilvl="0" w:tentative="0">
      <w:start w:val="1"/>
      <w:numFmt w:val="lowerLetter"/>
      <w:lvlText w:val="%1)"/>
      <w:lvlJc w:val="left"/>
      <w:pPr>
        <w:ind w:left="940" w:hanging="420"/>
      </w:p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6">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1">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2">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9097EE2"/>
    <w:multiLevelType w:val="multilevel"/>
    <w:tmpl w:val="59097EE2"/>
    <w:lvl w:ilvl="0" w:tentative="0">
      <w:start w:val="1"/>
      <w:numFmt w:val="lowerLetter"/>
      <w:lvlText w:val="%1)"/>
      <w:lvlJc w:val="left"/>
      <w:pPr>
        <w:ind w:left="5240" w:hanging="420"/>
      </w:pPr>
    </w:lvl>
    <w:lvl w:ilvl="1" w:tentative="0">
      <w:start w:val="1"/>
      <w:numFmt w:val="lowerLetter"/>
      <w:lvlText w:val="%2)"/>
      <w:lvlJc w:val="left"/>
      <w:pPr>
        <w:ind w:left="5660" w:hanging="420"/>
      </w:pPr>
    </w:lvl>
    <w:lvl w:ilvl="2" w:tentative="0">
      <w:start w:val="1"/>
      <w:numFmt w:val="lowerRoman"/>
      <w:lvlText w:val="%3."/>
      <w:lvlJc w:val="right"/>
      <w:pPr>
        <w:ind w:left="6080" w:hanging="420"/>
      </w:pPr>
    </w:lvl>
    <w:lvl w:ilvl="3" w:tentative="0">
      <w:start w:val="1"/>
      <w:numFmt w:val="decimal"/>
      <w:lvlText w:val="%4."/>
      <w:lvlJc w:val="left"/>
      <w:pPr>
        <w:ind w:left="6500" w:hanging="420"/>
      </w:pPr>
    </w:lvl>
    <w:lvl w:ilvl="4" w:tentative="0">
      <w:start w:val="1"/>
      <w:numFmt w:val="lowerLetter"/>
      <w:lvlText w:val="%5)"/>
      <w:lvlJc w:val="left"/>
      <w:pPr>
        <w:ind w:left="6920" w:hanging="420"/>
      </w:pPr>
    </w:lvl>
    <w:lvl w:ilvl="5" w:tentative="0">
      <w:start w:val="1"/>
      <w:numFmt w:val="lowerRoman"/>
      <w:lvlText w:val="%6."/>
      <w:lvlJc w:val="right"/>
      <w:pPr>
        <w:ind w:left="7340" w:hanging="420"/>
      </w:pPr>
    </w:lvl>
    <w:lvl w:ilvl="6" w:tentative="0">
      <w:start w:val="1"/>
      <w:numFmt w:val="decimal"/>
      <w:lvlText w:val="%7."/>
      <w:lvlJc w:val="left"/>
      <w:pPr>
        <w:ind w:left="7760" w:hanging="420"/>
      </w:pPr>
    </w:lvl>
    <w:lvl w:ilvl="7" w:tentative="0">
      <w:start w:val="1"/>
      <w:numFmt w:val="lowerLetter"/>
      <w:lvlText w:val="%8)"/>
      <w:lvlJc w:val="left"/>
      <w:pPr>
        <w:ind w:left="8180" w:hanging="420"/>
      </w:pPr>
    </w:lvl>
    <w:lvl w:ilvl="8" w:tentative="0">
      <w:start w:val="1"/>
      <w:numFmt w:val="lowerRoman"/>
      <w:lvlText w:val="%9."/>
      <w:lvlJc w:val="right"/>
      <w:pPr>
        <w:ind w:left="8600" w:hanging="420"/>
      </w:pPr>
    </w:lvl>
  </w:abstractNum>
  <w:abstractNum w:abstractNumId="25">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6">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7">
    <w:nsid w:val="654A26C9"/>
    <w:multiLevelType w:val="multilevel"/>
    <w:tmpl w:val="654A26C9"/>
    <w:lvl w:ilvl="0" w:tentative="0">
      <w:start w:val="1"/>
      <w:numFmt w:val="none"/>
      <w:pStyle w:val="189"/>
      <w:lvlText w:val="──"/>
      <w:lvlJc w:val="left"/>
      <w:pPr>
        <w:ind w:left="851" w:firstLine="0"/>
      </w:pPr>
      <w:rPr>
        <w:rFonts w:hint="eastAsia" w:ascii="宋体" w:hAnsi="等线 Light" w:eastAsia="宋体"/>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8">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0">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lvlText w:val="%2."/>
      <w:lvlJc w:val="left"/>
      <w:pPr>
        <w:ind w:left="0" w:firstLine="0"/>
      </w:pPr>
      <w:rPr>
        <w:rFonts w:hint="eastAsia"/>
        <w:b w:val="0"/>
        <w:i w:val="0"/>
        <w:sz w:val="21"/>
      </w:rPr>
    </w:lvl>
    <w:lvl w:ilvl="2" w:tentative="0">
      <w:start w:val="1"/>
      <w:numFmt w:val="decimal"/>
      <w:pStyle w:val="105"/>
      <w:suff w:val="nothing"/>
      <w:lvlText w:val="%1%2.%3　"/>
      <w:lvlJc w:val="left"/>
      <w:pPr>
        <w:ind w:left="2269"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3">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4">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5">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2"/>
  </w:num>
  <w:num w:numId="3">
    <w:abstractNumId w:val="5"/>
  </w:num>
  <w:num w:numId="4">
    <w:abstractNumId w:val="28"/>
  </w:num>
  <w:num w:numId="5">
    <w:abstractNumId w:val="22"/>
  </w:num>
  <w:num w:numId="6">
    <w:abstractNumId w:val="17"/>
  </w:num>
  <w:num w:numId="7">
    <w:abstractNumId w:val="10"/>
  </w:num>
  <w:num w:numId="8">
    <w:abstractNumId w:val="3"/>
  </w:num>
  <w:num w:numId="9">
    <w:abstractNumId w:val="11"/>
  </w:num>
  <w:num w:numId="10">
    <w:abstractNumId w:val="20"/>
  </w:num>
  <w:num w:numId="11">
    <w:abstractNumId w:val="30"/>
  </w:num>
  <w:num w:numId="12">
    <w:abstractNumId w:val="14"/>
  </w:num>
  <w:num w:numId="13">
    <w:abstractNumId w:val="16"/>
  </w:num>
  <w:num w:numId="14">
    <w:abstractNumId w:val="9"/>
  </w:num>
  <w:num w:numId="15">
    <w:abstractNumId w:val="23"/>
  </w:num>
  <w:num w:numId="16">
    <w:abstractNumId w:val="26"/>
  </w:num>
  <w:num w:numId="17">
    <w:abstractNumId w:val="21"/>
  </w:num>
  <w:num w:numId="18">
    <w:abstractNumId w:val="34"/>
  </w:num>
  <w:num w:numId="19">
    <w:abstractNumId w:val="19"/>
  </w:num>
  <w:num w:numId="20">
    <w:abstractNumId w:val="1"/>
  </w:num>
  <w:num w:numId="21">
    <w:abstractNumId w:val="13"/>
  </w:num>
  <w:num w:numId="22">
    <w:abstractNumId w:val="35"/>
  </w:num>
  <w:num w:numId="23">
    <w:abstractNumId w:val="25"/>
  </w:num>
  <w:num w:numId="24">
    <w:abstractNumId w:val="6"/>
  </w:num>
  <w:num w:numId="25">
    <w:abstractNumId w:val="31"/>
  </w:num>
  <w:num w:numId="26">
    <w:abstractNumId w:val="33"/>
  </w:num>
  <w:num w:numId="27">
    <w:abstractNumId w:val="2"/>
  </w:num>
  <w:num w:numId="28">
    <w:abstractNumId w:val="4"/>
  </w:num>
  <w:num w:numId="29">
    <w:abstractNumId w:val="18"/>
  </w:num>
  <w:num w:numId="30">
    <w:abstractNumId w:val="29"/>
  </w:num>
  <w:num w:numId="31">
    <w:abstractNumId w:val="27"/>
  </w:num>
  <w:num w:numId="32">
    <w:abstractNumId w:val="8"/>
  </w:num>
  <w:num w:numId="33">
    <w:abstractNumId w:val="7"/>
  </w:num>
  <w:num w:numId="34">
    <w:abstractNumId w:val="24"/>
  </w:num>
  <w:num w:numId="35">
    <w:abstractNumId w:val="12"/>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attachedTemplate r:id="rId1"/>
  <w:documentProtection w:edit="forms"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AA"/>
    <w:rsid w:val="0000040A"/>
    <w:rsid w:val="00000A94"/>
    <w:rsid w:val="00001972"/>
    <w:rsid w:val="00001D9A"/>
    <w:rsid w:val="00007B3A"/>
    <w:rsid w:val="000107E0"/>
    <w:rsid w:val="00011FDE"/>
    <w:rsid w:val="00012FFD"/>
    <w:rsid w:val="00014162"/>
    <w:rsid w:val="00014340"/>
    <w:rsid w:val="000153DB"/>
    <w:rsid w:val="00016A9C"/>
    <w:rsid w:val="00022184"/>
    <w:rsid w:val="00022762"/>
    <w:rsid w:val="000238E0"/>
    <w:rsid w:val="000249DB"/>
    <w:rsid w:val="0002595E"/>
    <w:rsid w:val="0002761F"/>
    <w:rsid w:val="000303C3"/>
    <w:rsid w:val="0003078D"/>
    <w:rsid w:val="0003141B"/>
    <w:rsid w:val="000323E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5DAC"/>
    <w:rsid w:val="000675F2"/>
    <w:rsid w:val="00067953"/>
    <w:rsid w:val="00067F1E"/>
    <w:rsid w:val="00071CC0"/>
    <w:rsid w:val="00073C8C"/>
    <w:rsid w:val="00075731"/>
    <w:rsid w:val="00077B64"/>
    <w:rsid w:val="00080A1C"/>
    <w:rsid w:val="00082317"/>
    <w:rsid w:val="00083D2C"/>
    <w:rsid w:val="00086AA1"/>
    <w:rsid w:val="00087A77"/>
    <w:rsid w:val="00090CA6"/>
    <w:rsid w:val="00092B8A"/>
    <w:rsid w:val="00092FB0"/>
    <w:rsid w:val="000934C5"/>
    <w:rsid w:val="00093D25"/>
    <w:rsid w:val="00094D73"/>
    <w:rsid w:val="00096D63"/>
    <w:rsid w:val="000A0B60"/>
    <w:rsid w:val="000A0EB8"/>
    <w:rsid w:val="000A113F"/>
    <w:rsid w:val="000A19FC"/>
    <w:rsid w:val="000A2863"/>
    <w:rsid w:val="000A296B"/>
    <w:rsid w:val="000A5528"/>
    <w:rsid w:val="000A7311"/>
    <w:rsid w:val="000B060F"/>
    <w:rsid w:val="000B1592"/>
    <w:rsid w:val="000B1FF2"/>
    <w:rsid w:val="000B3CDA"/>
    <w:rsid w:val="000B6A0B"/>
    <w:rsid w:val="000C0F6C"/>
    <w:rsid w:val="000C11DB"/>
    <w:rsid w:val="000C2FBD"/>
    <w:rsid w:val="000C3E10"/>
    <w:rsid w:val="000C4B41"/>
    <w:rsid w:val="000C57D6"/>
    <w:rsid w:val="000C6174"/>
    <w:rsid w:val="000C677A"/>
    <w:rsid w:val="000C7666"/>
    <w:rsid w:val="000D0A9C"/>
    <w:rsid w:val="000D1795"/>
    <w:rsid w:val="000D329A"/>
    <w:rsid w:val="000D4B9C"/>
    <w:rsid w:val="000D4EB6"/>
    <w:rsid w:val="000D753B"/>
    <w:rsid w:val="000E35CA"/>
    <w:rsid w:val="000E4C9E"/>
    <w:rsid w:val="000E5B9C"/>
    <w:rsid w:val="000E6FD7"/>
    <w:rsid w:val="000F06E1"/>
    <w:rsid w:val="000F0E3C"/>
    <w:rsid w:val="000F19D5"/>
    <w:rsid w:val="000F274D"/>
    <w:rsid w:val="000F2E41"/>
    <w:rsid w:val="000F4AEA"/>
    <w:rsid w:val="000F6501"/>
    <w:rsid w:val="000F67E9"/>
    <w:rsid w:val="001016A7"/>
    <w:rsid w:val="00104926"/>
    <w:rsid w:val="00113B1E"/>
    <w:rsid w:val="00115B71"/>
    <w:rsid w:val="0011711C"/>
    <w:rsid w:val="00122735"/>
    <w:rsid w:val="00122AFF"/>
    <w:rsid w:val="00124E4F"/>
    <w:rsid w:val="001260B7"/>
    <w:rsid w:val="001265CB"/>
    <w:rsid w:val="0012786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3F82"/>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11EF"/>
    <w:rsid w:val="00183E0A"/>
    <w:rsid w:val="001852C9"/>
    <w:rsid w:val="00190087"/>
    <w:rsid w:val="001913C4"/>
    <w:rsid w:val="0019348F"/>
    <w:rsid w:val="00193A07"/>
    <w:rsid w:val="00193F47"/>
    <w:rsid w:val="00194C95"/>
    <w:rsid w:val="00195C34"/>
    <w:rsid w:val="00197652"/>
    <w:rsid w:val="001A1A53"/>
    <w:rsid w:val="001A234A"/>
    <w:rsid w:val="001A3811"/>
    <w:rsid w:val="001B02E4"/>
    <w:rsid w:val="001B06E8"/>
    <w:rsid w:val="001B71D0"/>
    <w:rsid w:val="001B71EE"/>
    <w:rsid w:val="001C04A8"/>
    <w:rsid w:val="001C2C03"/>
    <w:rsid w:val="001C42F7"/>
    <w:rsid w:val="001C49E5"/>
    <w:rsid w:val="001C680C"/>
    <w:rsid w:val="001C7FEA"/>
    <w:rsid w:val="001D0499"/>
    <w:rsid w:val="001D0BBE"/>
    <w:rsid w:val="001D0ED4"/>
    <w:rsid w:val="001D1C53"/>
    <w:rsid w:val="001D212F"/>
    <w:rsid w:val="001D29D7"/>
    <w:rsid w:val="001D2DE7"/>
    <w:rsid w:val="001D411C"/>
    <w:rsid w:val="001D41D5"/>
    <w:rsid w:val="001D72F7"/>
    <w:rsid w:val="001E1B6A"/>
    <w:rsid w:val="001E2484"/>
    <w:rsid w:val="001E3B48"/>
    <w:rsid w:val="001E3CC4"/>
    <w:rsid w:val="001E4882"/>
    <w:rsid w:val="001E73AB"/>
    <w:rsid w:val="001F092D"/>
    <w:rsid w:val="001F143A"/>
    <w:rsid w:val="001F1605"/>
    <w:rsid w:val="001F2508"/>
    <w:rsid w:val="001F27AC"/>
    <w:rsid w:val="001F3F75"/>
    <w:rsid w:val="001F4816"/>
    <w:rsid w:val="001F69B4"/>
    <w:rsid w:val="001F77C7"/>
    <w:rsid w:val="001F7C66"/>
    <w:rsid w:val="00200183"/>
    <w:rsid w:val="0020107D"/>
    <w:rsid w:val="00202AA4"/>
    <w:rsid w:val="002031F7"/>
    <w:rsid w:val="002040E6"/>
    <w:rsid w:val="0020527B"/>
    <w:rsid w:val="00207818"/>
    <w:rsid w:val="00210B15"/>
    <w:rsid w:val="002110CB"/>
    <w:rsid w:val="00212109"/>
    <w:rsid w:val="002142EA"/>
    <w:rsid w:val="00220275"/>
    <w:rsid w:val="002204BB"/>
    <w:rsid w:val="00221B79"/>
    <w:rsid w:val="00221C6B"/>
    <w:rsid w:val="002253A1"/>
    <w:rsid w:val="00225CF8"/>
    <w:rsid w:val="0022794E"/>
    <w:rsid w:val="00233D64"/>
    <w:rsid w:val="0023482A"/>
    <w:rsid w:val="00234C1E"/>
    <w:rsid w:val="002359CB"/>
    <w:rsid w:val="002375D9"/>
    <w:rsid w:val="00243540"/>
    <w:rsid w:val="0024497B"/>
    <w:rsid w:val="0024515B"/>
    <w:rsid w:val="00246021"/>
    <w:rsid w:val="002461B3"/>
    <w:rsid w:val="0024666E"/>
    <w:rsid w:val="00247F52"/>
    <w:rsid w:val="00250B25"/>
    <w:rsid w:val="00250BBE"/>
    <w:rsid w:val="0025194F"/>
    <w:rsid w:val="00256648"/>
    <w:rsid w:val="0025743A"/>
    <w:rsid w:val="0026148A"/>
    <w:rsid w:val="00262696"/>
    <w:rsid w:val="002643C3"/>
    <w:rsid w:val="00264A0C"/>
    <w:rsid w:val="00264D47"/>
    <w:rsid w:val="00267EF4"/>
    <w:rsid w:val="00270CB8"/>
    <w:rsid w:val="00272B08"/>
    <w:rsid w:val="00281BB8"/>
    <w:rsid w:val="00281E9E"/>
    <w:rsid w:val="00285170"/>
    <w:rsid w:val="00285361"/>
    <w:rsid w:val="00290D64"/>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396"/>
    <w:rsid w:val="002B0561"/>
    <w:rsid w:val="002B07CF"/>
    <w:rsid w:val="002B0C40"/>
    <w:rsid w:val="002B1966"/>
    <w:rsid w:val="002B4508"/>
    <w:rsid w:val="002B5779"/>
    <w:rsid w:val="002B7332"/>
    <w:rsid w:val="002B7926"/>
    <w:rsid w:val="002B7F51"/>
    <w:rsid w:val="002C09E7"/>
    <w:rsid w:val="002C1B28"/>
    <w:rsid w:val="002C3F07"/>
    <w:rsid w:val="002C5278"/>
    <w:rsid w:val="002C7EBB"/>
    <w:rsid w:val="002D06C1"/>
    <w:rsid w:val="002D26A3"/>
    <w:rsid w:val="002D42B5"/>
    <w:rsid w:val="002D4F1A"/>
    <w:rsid w:val="002D6EC6"/>
    <w:rsid w:val="002D79AC"/>
    <w:rsid w:val="002E039D"/>
    <w:rsid w:val="002E11C9"/>
    <w:rsid w:val="002E4D5A"/>
    <w:rsid w:val="002E6326"/>
    <w:rsid w:val="002F2439"/>
    <w:rsid w:val="002F30E0"/>
    <w:rsid w:val="002F35E4"/>
    <w:rsid w:val="002F3730"/>
    <w:rsid w:val="002F38E1"/>
    <w:rsid w:val="002F7AF6"/>
    <w:rsid w:val="00300E63"/>
    <w:rsid w:val="003025EF"/>
    <w:rsid w:val="00302F5F"/>
    <w:rsid w:val="0030441D"/>
    <w:rsid w:val="00306063"/>
    <w:rsid w:val="003139A0"/>
    <w:rsid w:val="00313B85"/>
    <w:rsid w:val="00314BDF"/>
    <w:rsid w:val="00317988"/>
    <w:rsid w:val="003221B4"/>
    <w:rsid w:val="00322E62"/>
    <w:rsid w:val="00324EDD"/>
    <w:rsid w:val="00336C64"/>
    <w:rsid w:val="00337162"/>
    <w:rsid w:val="0034194F"/>
    <w:rsid w:val="00344605"/>
    <w:rsid w:val="003474AA"/>
    <w:rsid w:val="00350D1D"/>
    <w:rsid w:val="00352C83"/>
    <w:rsid w:val="003615D2"/>
    <w:rsid w:val="0036429C"/>
    <w:rsid w:val="00364A53"/>
    <w:rsid w:val="003654CB"/>
    <w:rsid w:val="00365F86"/>
    <w:rsid w:val="00365F87"/>
    <w:rsid w:val="00367B48"/>
    <w:rsid w:val="003705F4"/>
    <w:rsid w:val="00370D58"/>
    <w:rsid w:val="00371316"/>
    <w:rsid w:val="00376713"/>
    <w:rsid w:val="00381815"/>
    <w:rsid w:val="003819AF"/>
    <w:rsid w:val="003820E9"/>
    <w:rsid w:val="00382DE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34B5"/>
    <w:rsid w:val="003A4077"/>
    <w:rsid w:val="003B09AD"/>
    <w:rsid w:val="003B1F18"/>
    <w:rsid w:val="003B5BF0"/>
    <w:rsid w:val="003B60BF"/>
    <w:rsid w:val="003B6BE3"/>
    <w:rsid w:val="003B7A36"/>
    <w:rsid w:val="003C010C"/>
    <w:rsid w:val="003C0A6C"/>
    <w:rsid w:val="003C5A43"/>
    <w:rsid w:val="003D0519"/>
    <w:rsid w:val="003D0FF6"/>
    <w:rsid w:val="003D262C"/>
    <w:rsid w:val="003D5EFD"/>
    <w:rsid w:val="003D6D61"/>
    <w:rsid w:val="003E091D"/>
    <w:rsid w:val="003E1C53"/>
    <w:rsid w:val="003E2A69"/>
    <w:rsid w:val="003E2D49"/>
    <w:rsid w:val="003E2FD4"/>
    <w:rsid w:val="003E49F6"/>
    <w:rsid w:val="003E4D98"/>
    <w:rsid w:val="003F0841"/>
    <w:rsid w:val="003F23D3"/>
    <w:rsid w:val="003F3BFA"/>
    <w:rsid w:val="003F3F08"/>
    <w:rsid w:val="003F49F1"/>
    <w:rsid w:val="003F6272"/>
    <w:rsid w:val="00400E72"/>
    <w:rsid w:val="00401400"/>
    <w:rsid w:val="00404869"/>
    <w:rsid w:val="00405884"/>
    <w:rsid w:val="00407D39"/>
    <w:rsid w:val="0041477A"/>
    <w:rsid w:val="004167A3"/>
    <w:rsid w:val="00422330"/>
    <w:rsid w:val="00427274"/>
    <w:rsid w:val="00431573"/>
    <w:rsid w:val="00432DAA"/>
    <w:rsid w:val="00434305"/>
    <w:rsid w:val="004347D3"/>
    <w:rsid w:val="00435DF7"/>
    <w:rsid w:val="0044083F"/>
    <w:rsid w:val="00441AE7"/>
    <w:rsid w:val="00442D5C"/>
    <w:rsid w:val="00445574"/>
    <w:rsid w:val="004467FB"/>
    <w:rsid w:val="00446860"/>
    <w:rsid w:val="00452D6B"/>
    <w:rsid w:val="00454484"/>
    <w:rsid w:val="0045517B"/>
    <w:rsid w:val="00456675"/>
    <w:rsid w:val="00463B77"/>
    <w:rsid w:val="00463C7B"/>
    <w:rsid w:val="004644A6"/>
    <w:rsid w:val="004644BB"/>
    <w:rsid w:val="004659BD"/>
    <w:rsid w:val="00467F54"/>
    <w:rsid w:val="00470775"/>
    <w:rsid w:val="00471B95"/>
    <w:rsid w:val="004746B1"/>
    <w:rsid w:val="0047583F"/>
    <w:rsid w:val="00477C9F"/>
    <w:rsid w:val="00484936"/>
    <w:rsid w:val="00485C89"/>
    <w:rsid w:val="0048602C"/>
    <w:rsid w:val="00486BE3"/>
    <w:rsid w:val="004905E4"/>
    <w:rsid w:val="00490A89"/>
    <w:rsid w:val="00490AB4"/>
    <w:rsid w:val="00492F02"/>
    <w:rsid w:val="004939AE"/>
    <w:rsid w:val="00493E68"/>
    <w:rsid w:val="00496AC8"/>
    <w:rsid w:val="004A12DF"/>
    <w:rsid w:val="004A1BA8"/>
    <w:rsid w:val="004A4527"/>
    <w:rsid w:val="004A4B57"/>
    <w:rsid w:val="004A63FA"/>
    <w:rsid w:val="004B2701"/>
    <w:rsid w:val="004B2E1B"/>
    <w:rsid w:val="004B3E93"/>
    <w:rsid w:val="004C1FBC"/>
    <w:rsid w:val="004C3F1D"/>
    <w:rsid w:val="004C458D"/>
    <w:rsid w:val="004C7556"/>
    <w:rsid w:val="004C7E9D"/>
    <w:rsid w:val="004C7F67"/>
    <w:rsid w:val="004D076D"/>
    <w:rsid w:val="004D0EF1"/>
    <w:rsid w:val="004D2253"/>
    <w:rsid w:val="004D4406"/>
    <w:rsid w:val="004D7C42"/>
    <w:rsid w:val="004E0465"/>
    <w:rsid w:val="004E127B"/>
    <w:rsid w:val="004E12C7"/>
    <w:rsid w:val="004E1329"/>
    <w:rsid w:val="004E1C0A"/>
    <w:rsid w:val="004E30C5"/>
    <w:rsid w:val="004E3860"/>
    <w:rsid w:val="004E4AA5"/>
    <w:rsid w:val="004E4AEE"/>
    <w:rsid w:val="004E59E3"/>
    <w:rsid w:val="004E67C0"/>
    <w:rsid w:val="004F391A"/>
    <w:rsid w:val="004F3CFB"/>
    <w:rsid w:val="004F4F08"/>
    <w:rsid w:val="004F6456"/>
    <w:rsid w:val="004F696E"/>
    <w:rsid w:val="004F6C71"/>
    <w:rsid w:val="00501139"/>
    <w:rsid w:val="00502F50"/>
    <w:rsid w:val="0050363E"/>
    <w:rsid w:val="005039BC"/>
    <w:rsid w:val="00504202"/>
    <w:rsid w:val="005043BB"/>
    <w:rsid w:val="00504A3D"/>
    <w:rsid w:val="00505767"/>
    <w:rsid w:val="00505993"/>
    <w:rsid w:val="005073F0"/>
    <w:rsid w:val="00510A7B"/>
    <w:rsid w:val="00512F6E"/>
    <w:rsid w:val="00513038"/>
    <w:rsid w:val="00514174"/>
    <w:rsid w:val="00514DF9"/>
    <w:rsid w:val="00516088"/>
    <w:rsid w:val="00516B0B"/>
    <w:rsid w:val="005220EC"/>
    <w:rsid w:val="00523461"/>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66AA3"/>
    <w:rsid w:val="00573D9E"/>
    <w:rsid w:val="005801E3"/>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4485"/>
    <w:rsid w:val="005C5F21"/>
    <w:rsid w:val="005C7156"/>
    <w:rsid w:val="005D0C75"/>
    <w:rsid w:val="005D3B9C"/>
    <w:rsid w:val="005D4171"/>
    <w:rsid w:val="005D6A95"/>
    <w:rsid w:val="005D6B2C"/>
    <w:rsid w:val="005D6D9C"/>
    <w:rsid w:val="005E0F63"/>
    <w:rsid w:val="005E2335"/>
    <w:rsid w:val="005E34CA"/>
    <w:rsid w:val="005E3C18"/>
    <w:rsid w:val="005E63A4"/>
    <w:rsid w:val="005E7881"/>
    <w:rsid w:val="005E78E0"/>
    <w:rsid w:val="005F0D9C"/>
    <w:rsid w:val="005F284E"/>
    <w:rsid w:val="006002B2"/>
    <w:rsid w:val="006015CE"/>
    <w:rsid w:val="00604784"/>
    <w:rsid w:val="00606419"/>
    <w:rsid w:val="00607D29"/>
    <w:rsid w:val="00612952"/>
    <w:rsid w:val="006147B3"/>
    <w:rsid w:val="00614CC1"/>
    <w:rsid w:val="00615A9D"/>
    <w:rsid w:val="006162BE"/>
    <w:rsid w:val="00616BBB"/>
    <w:rsid w:val="00617084"/>
    <w:rsid w:val="00617387"/>
    <w:rsid w:val="006252D8"/>
    <w:rsid w:val="006259BC"/>
    <w:rsid w:val="0062634B"/>
    <w:rsid w:val="0062636B"/>
    <w:rsid w:val="00626922"/>
    <w:rsid w:val="00630718"/>
    <w:rsid w:val="00630D67"/>
    <w:rsid w:val="00632182"/>
    <w:rsid w:val="00632AE0"/>
    <w:rsid w:val="00633C17"/>
    <w:rsid w:val="0063474E"/>
    <w:rsid w:val="00636E3E"/>
    <w:rsid w:val="006379F7"/>
    <w:rsid w:val="00637E4D"/>
    <w:rsid w:val="00640620"/>
    <w:rsid w:val="00641A1F"/>
    <w:rsid w:val="00641D37"/>
    <w:rsid w:val="00645904"/>
    <w:rsid w:val="00646A8D"/>
    <w:rsid w:val="00651ACB"/>
    <w:rsid w:val="00651C47"/>
    <w:rsid w:val="00652AB2"/>
    <w:rsid w:val="00654EC0"/>
    <w:rsid w:val="0065525B"/>
    <w:rsid w:val="00655D4F"/>
    <w:rsid w:val="00662C38"/>
    <w:rsid w:val="006640E5"/>
    <w:rsid w:val="006646F1"/>
    <w:rsid w:val="00664929"/>
    <w:rsid w:val="00664F62"/>
    <w:rsid w:val="006655E1"/>
    <w:rsid w:val="00670A5E"/>
    <w:rsid w:val="00672060"/>
    <w:rsid w:val="00672BFD"/>
    <w:rsid w:val="006743AE"/>
    <w:rsid w:val="006770F4"/>
    <w:rsid w:val="006773D3"/>
    <w:rsid w:val="00677A84"/>
    <w:rsid w:val="0068026D"/>
    <w:rsid w:val="00680A27"/>
    <w:rsid w:val="006816A4"/>
    <w:rsid w:val="006819B8"/>
    <w:rsid w:val="0068280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5DEE"/>
    <w:rsid w:val="006F03A8"/>
    <w:rsid w:val="006F0ED7"/>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58E6"/>
    <w:rsid w:val="00725949"/>
    <w:rsid w:val="00727FA2"/>
    <w:rsid w:val="007322D9"/>
    <w:rsid w:val="00732BC0"/>
    <w:rsid w:val="0073720F"/>
    <w:rsid w:val="00737796"/>
    <w:rsid w:val="0074089D"/>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5C43"/>
    <w:rsid w:val="00765EFB"/>
    <w:rsid w:val="007671CA"/>
    <w:rsid w:val="00767C61"/>
    <w:rsid w:val="0077008A"/>
    <w:rsid w:val="00773C1F"/>
    <w:rsid w:val="00774DA4"/>
    <w:rsid w:val="00776599"/>
    <w:rsid w:val="00777B6D"/>
    <w:rsid w:val="00777BC1"/>
    <w:rsid w:val="007805BD"/>
    <w:rsid w:val="0078114B"/>
    <w:rsid w:val="0078170E"/>
    <w:rsid w:val="00781DD2"/>
    <w:rsid w:val="00782E5E"/>
    <w:rsid w:val="00783ECF"/>
    <w:rsid w:val="0078413A"/>
    <w:rsid w:val="00784C5A"/>
    <w:rsid w:val="00790CA3"/>
    <w:rsid w:val="00790E01"/>
    <w:rsid w:val="00792964"/>
    <w:rsid w:val="007959E8"/>
    <w:rsid w:val="00795E9C"/>
    <w:rsid w:val="007A0521"/>
    <w:rsid w:val="007A061E"/>
    <w:rsid w:val="007A2E12"/>
    <w:rsid w:val="007A3475"/>
    <w:rsid w:val="007A41C8"/>
    <w:rsid w:val="007A54CE"/>
    <w:rsid w:val="007A6118"/>
    <w:rsid w:val="007A7FFA"/>
    <w:rsid w:val="007B04EB"/>
    <w:rsid w:val="007B0D4F"/>
    <w:rsid w:val="007B1752"/>
    <w:rsid w:val="007B312A"/>
    <w:rsid w:val="007B5A3D"/>
    <w:rsid w:val="007B5B95"/>
    <w:rsid w:val="007B6288"/>
    <w:rsid w:val="007B68EA"/>
    <w:rsid w:val="007C19E8"/>
    <w:rsid w:val="007C2D89"/>
    <w:rsid w:val="007C4593"/>
    <w:rsid w:val="007C5309"/>
    <w:rsid w:val="007C5759"/>
    <w:rsid w:val="007C6069"/>
    <w:rsid w:val="007D06C4"/>
    <w:rsid w:val="007D1352"/>
    <w:rsid w:val="007D2508"/>
    <w:rsid w:val="007D346A"/>
    <w:rsid w:val="007D6518"/>
    <w:rsid w:val="007D76BD"/>
    <w:rsid w:val="007E0BF1"/>
    <w:rsid w:val="007E55F4"/>
    <w:rsid w:val="007F0ED8"/>
    <w:rsid w:val="007F0F63"/>
    <w:rsid w:val="007F75CE"/>
    <w:rsid w:val="008013A4"/>
    <w:rsid w:val="008027CE"/>
    <w:rsid w:val="00802F42"/>
    <w:rsid w:val="00804383"/>
    <w:rsid w:val="00804BB7"/>
    <w:rsid w:val="00810257"/>
    <w:rsid w:val="008104F5"/>
    <w:rsid w:val="00811072"/>
    <w:rsid w:val="00811369"/>
    <w:rsid w:val="00814E50"/>
    <w:rsid w:val="00815419"/>
    <w:rsid w:val="008163C8"/>
    <w:rsid w:val="00817325"/>
    <w:rsid w:val="008209E6"/>
    <w:rsid w:val="00823303"/>
    <w:rsid w:val="008233B2"/>
    <w:rsid w:val="00823A9F"/>
    <w:rsid w:val="00823C85"/>
    <w:rsid w:val="00825138"/>
    <w:rsid w:val="00825993"/>
    <w:rsid w:val="008269DD"/>
    <w:rsid w:val="00830621"/>
    <w:rsid w:val="0083348C"/>
    <w:rsid w:val="00833C94"/>
    <w:rsid w:val="0083590D"/>
    <w:rsid w:val="008373D3"/>
    <w:rsid w:val="00840617"/>
    <w:rsid w:val="008425E3"/>
    <w:rsid w:val="00842A47"/>
    <w:rsid w:val="00843C13"/>
    <w:rsid w:val="008454F8"/>
    <w:rsid w:val="0084674F"/>
    <w:rsid w:val="00851342"/>
    <w:rsid w:val="0085173A"/>
    <w:rsid w:val="008603CE"/>
    <w:rsid w:val="008620FC"/>
    <w:rsid w:val="008627A5"/>
    <w:rsid w:val="00863E05"/>
    <w:rsid w:val="00865ACA"/>
    <w:rsid w:val="00865D28"/>
    <w:rsid w:val="00865F85"/>
    <w:rsid w:val="00866F18"/>
    <w:rsid w:val="00867C10"/>
    <w:rsid w:val="00870439"/>
    <w:rsid w:val="00870DA1"/>
    <w:rsid w:val="00872F89"/>
    <w:rsid w:val="00883BA4"/>
    <w:rsid w:val="00883F93"/>
    <w:rsid w:val="00884DB3"/>
    <w:rsid w:val="00885A9D"/>
    <w:rsid w:val="008864F6"/>
    <w:rsid w:val="008869B2"/>
    <w:rsid w:val="0089049D"/>
    <w:rsid w:val="008928C9"/>
    <w:rsid w:val="008938DC"/>
    <w:rsid w:val="00893FD1"/>
    <w:rsid w:val="00894836"/>
    <w:rsid w:val="00895172"/>
    <w:rsid w:val="00895680"/>
    <w:rsid w:val="00895D16"/>
    <w:rsid w:val="00896DFF"/>
    <w:rsid w:val="0089762C"/>
    <w:rsid w:val="00897CC4"/>
    <w:rsid w:val="008A1893"/>
    <w:rsid w:val="008A1E77"/>
    <w:rsid w:val="008A769A"/>
    <w:rsid w:val="008B0C9C"/>
    <w:rsid w:val="008B166D"/>
    <w:rsid w:val="008B17F4"/>
    <w:rsid w:val="008B3615"/>
    <w:rsid w:val="008B4AC4"/>
    <w:rsid w:val="008B50C8"/>
    <w:rsid w:val="008B5281"/>
    <w:rsid w:val="008B7E05"/>
    <w:rsid w:val="008C1797"/>
    <w:rsid w:val="008C219C"/>
    <w:rsid w:val="008C46AC"/>
    <w:rsid w:val="008C475E"/>
    <w:rsid w:val="008C619A"/>
    <w:rsid w:val="008C6FB1"/>
    <w:rsid w:val="008D0CE8"/>
    <w:rsid w:val="008D2D1D"/>
    <w:rsid w:val="008D453D"/>
    <w:rsid w:val="008D53AD"/>
    <w:rsid w:val="008D562B"/>
    <w:rsid w:val="008D5733"/>
    <w:rsid w:val="008D60DA"/>
    <w:rsid w:val="008D622B"/>
    <w:rsid w:val="008D666C"/>
    <w:rsid w:val="008D7B54"/>
    <w:rsid w:val="008E0C9D"/>
    <w:rsid w:val="008E10A4"/>
    <w:rsid w:val="008E1648"/>
    <w:rsid w:val="008E1B3E"/>
    <w:rsid w:val="008E2319"/>
    <w:rsid w:val="008E4BB6"/>
    <w:rsid w:val="008E5518"/>
    <w:rsid w:val="008E6A84"/>
    <w:rsid w:val="008F0CDC"/>
    <w:rsid w:val="008F17A3"/>
    <w:rsid w:val="008F1ED3"/>
    <w:rsid w:val="008F4C29"/>
    <w:rsid w:val="008F5EDD"/>
    <w:rsid w:val="008F70BD"/>
    <w:rsid w:val="008F788F"/>
    <w:rsid w:val="008F7EA2"/>
    <w:rsid w:val="00901494"/>
    <w:rsid w:val="00902722"/>
    <w:rsid w:val="009027BC"/>
    <w:rsid w:val="009062E6"/>
    <w:rsid w:val="00911BE5"/>
    <w:rsid w:val="00913CA9"/>
    <w:rsid w:val="009145AE"/>
    <w:rsid w:val="009146CE"/>
    <w:rsid w:val="00914CA7"/>
    <w:rsid w:val="00915C3E"/>
    <w:rsid w:val="009161A8"/>
    <w:rsid w:val="0091673D"/>
    <w:rsid w:val="00917DF2"/>
    <w:rsid w:val="009200BC"/>
    <w:rsid w:val="00920224"/>
    <w:rsid w:val="00922072"/>
    <w:rsid w:val="009245F5"/>
    <w:rsid w:val="009249EC"/>
    <w:rsid w:val="00926A98"/>
    <w:rsid w:val="009273B3"/>
    <w:rsid w:val="009305B5"/>
    <w:rsid w:val="00934C12"/>
    <w:rsid w:val="00936048"/>
    <w:rsid w:val="009429D5"/>
    <w:rsid w:val="00942BF1"/>
    <w:rsid w:val="00943A78"/>
    <w:rsid w:val="00945180"/>
    <w:rsid w:val="00945428"/>
    <w:rsid w:val="00945A34"/>
    <w:rsid w:val="0094607B"/>
    <w:rsid w:val="00946CBF"/>
    <w:rsid w:val="009529A6"/>
    <w:rsid w:val="00952C52"/>
    <w:rsid w:val="00953604"/>
    <w:rsid w:val="00954F84"/>
    <w:rsid w:val="009601E4"/>
    <w:rsid w:val="009610DC"/>
    <w:rsid w:val="00961490"/>
    <w:rsid w:val="0096381A"/>
    <w:rsid w:val="00965E04"/>
    <w:rsid w:val="009674AD"/>
    <w:rsid w:val="0097094E"/>
    <w:rsid w:val="00970CDC"/>
    <w:rsid w:val="00973ACF"/>
    <w:rsid w:val="00977010"/>
    <w:rsid w:val="00977D02"/>
    <w:rsid w:val="009809BB"/>
    <w:rsid w:val="00982D22"/>
    <w:rsid w:val="0098364B"/>
    <w:rsid w:val="00983BF9"/>
    <w:rsid w:val="009911AF"/>
    <w:rsid w:val="00991875"/>
    <w:rsid w:val="00991F92"/>
    <w:rsid w:val="00992985"/>
    <w:rsid w:val="00993889"/>
    <w:rsid w:val="0099551B"/>
    <w:rsid w:val="009966EE"/>
    <w:rsid w:val="00997BF1"/>
    <w:rsid w:val="009A089C"/>
    <w:rsid w:val="009A118E"/>
    <w:rsid w:val="009A21CD"/>
    <w:rsid w:val="009A278C"/>
    <w:rsid w:val="009A2BC2"/>
    <w:rsid w:val="009A3EEC"/>
    <w:rsid w:val="009A42C1"/>
    <w:rsid w:val="009A5429"/>
    <w:rsid w:val="009A72AD"/>
    <w:rsid w:val="009B09E0"/>
    <w:rsid w:val="009B0BC5"/>
    <w:rsid w:val="009B1247"/>
    <w:rsid w:val="009B1D12"/>
    <w:rsid w:val="009B6029"/>
    <w:rsid w:val="009B6971"/>
    <w:rsid w:val="009C1953"/>
    <w:rsid w:val="009C27F1"/>
    <w:rsid w:val="009C3152"/>
    <w:rsid w:val="009C4CFA"/>
    <w:rsid w:val="009C5070"/>
    <w:rsid w:val="009C6DA0"/>
    <w:rsid w:val="009D112C"/>
    <w:rsid w:val="009D47FA"/>
    <w:rsid w:val="009D50D2"/>
    <w:rsid w:val="009D6BCA"/>
    <w:rsid w:val="009D6EAF"/>
    <w:rsid w:val="009E0F62"/>
    <w:rsid w:val="009E4A58"/>
    <w:rsid w:val="009E5A2D"/>
    <w:rsid w:val="009E5AB2"/>
    <w:rsid w:val="009E6219"/>
    <w:rsid w:val="009F03B3"/>
    <w:rsid w:val="00A01757"/>
    <w:rsid w:val="00A021EF"/>
    <w:rsid w:val="00A028C0"/>
    <w:rsid w:val="00A02BAE"/>
    <w:rsid w:val="00A06522"/>
    <w:rsid w:val="00A06A6B"/>
    <w:rsid w:val="00A07E47"/>
    <w:rsid w:val="00A129D0"/>
    <w:rsid w:val="00A12C33"/>
    <w:rsid w:val="00A138BA"/>
    <w:rsid w:val="00A14C8E"/>
    <w:rsid w:val="00A153D9"/>
    <w:rsid w:val="00A15F09"/>
    <w:rsid w:val="00A169B6"/>
    <w:rsid w:val="00A16E53"/>
    <w:rsid w:val="00A2271D"/>
    <w:rsid w:val="00A236E5"/>
    <w:rsid w:val="00A237D5"/>
    <w:rsid w:val="00A24F7B"/>
    <w:rsid w:val="00A30EFC"/>
    <w:rsid w:val="00A31984"/>
    <w:rsid w:val="00A32D73"/>
    <w:rsid w:val="00A32ECE"/>
    <w:rsid w:val="00A3367B"/>
    <w:rsid w:val="00A354F6"/>
    <w:rsid w:val="00A3597D"/>
    <w:rsid w:val="00A36CD1"/>
    <w:rsid w:val="00A40091"/>
    <w:rsid w:val="00A4030F"/>
    <w:rsid w:val="00A41C79"/>
    <w:rsid w:val="00A41CB5"/>
    <w:rsid w:val="00A42CDF"/>
    <w:rsid w:val="00A42F21"/>
    <w:rsid w:val="00A4452E"/>
    <w:rsid w:val="00A4472C"/>
    <w:rsid w:val="00A44E69"/>
    <w:rsid w:val="00A4661E"/>
    <w:rsid w:val="00A5452B"/>
    <w:rsid w:val="00A55BD6"/>
    <w:rsid w:val="00A55D50"/>
    <w:rsid w:val="00A57142"/>
    <w:rsid w:val="00A648CD"/>
    <w:rsid w:val="00A64AB6"/>
    <w:rsid w:val="00A6537A"/>
    <w:rsid w:val="00A67866"/>
    <w:rsid w:val="00A70B07"/>
    <w:rsid w:val="00A723F8"/>
    <w:rsid w:val="00A77CCB"/>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4286"/>
    <w:rsid w:val="00AA456B"/>
    <w:rsid w:val="00AA57F5"/>
    <w:rsid w:val="00AA672E"/>
    <w:rsid w:val="00AA6EC9"/>
    <w:rsid w:val="00AB166B"/>
    <w:rsid w:val="00AB6309"/>
    <w:rsid w:val="00AB6C5F"/>
    <w:rsid w:val="00AB7129"/>
    <w:rsid w:val="00AC27A6"/>
    <w:rsid w:val="00AC30F7"/>
    <w:rsid w:val="00AC39EF"/>
    <w:rsid w:val="00AC3A5A"/>
    <w:rsid w:val="00AC4D95"/>
    <w:rsid w:val="00AC5DF4"/>
    <w:rsid w:val="00AC6DCD"/>
    <w:rsid w:val="00AD0AEF"/>
    <w:rsid w:val="00AD11B7"/>
    <w:rsid w:val="00AD1A94"/>
    <w:rsid w:val="00AD1C05"/>
    <w:rsid w:val="00AD2278"/>
    <w:rsid w:val="00AD3367"/>
    <w:rsid w:val="00AD4126"/>
    <w:rsid w:val="00AD421C"/>
    <w:rsid w:val="00AD44FA"/>
    <w:rsid w:val="00AE070A"/>
    <w:rsid w:val="00AE101C"/>
    <w:rsid w:val="00AE4522"/>
    <w:rsid w:val="00AF0C18"/>
    <w:rsid w:val="00AF47C5"/>
    <w:rsid w:val="00AF522A"/>
    <w:rsid w:val="00AF5398"/>
    <w:rsid w:val="00B0093A"/>
    <w:rsid w:val="00B049AF"/>
    <w:rsid w:val="00B07242"/>
    <w:rsid w:val="00B10534"/>
    <w:rsid w:val="00B113DB"/>
    <w:rsid w:val="00B11D8A"/>
    <w:rsid w:val="00B12981"/>
    <w:rsid w:val="00B147BB"/>
    <w:rsid w:val="00B147DD"/>
    <w:rsid w:val="00B156FD"/>
    <w:rsid w:val="00B1633F"/>
    <w:rsid w:val="00B2075B"/>
    <w:rsid w:val="00B21F61"/>
    <w:rsid w:val="00B23045"/>
    <w:rsid w:val="00B261F1"/>
    <w:rsid w:val="00B265BC"/>
    <w:rsid w:val="00B31FB1"/>
    <w:rsid w:val="00B33952"/>
    <w:rsid w:val="00B33C5E"/>
    <w:rsid w:val="00B342F4"/>
    <w:rsid w:val="00B34369"/>
    <w:rsid w:val="00B34DC2"/>
    <w:rsid w:val="00B378E5"/>
    <w:rsid w:val="00B41917"/>
    <w:rsid w:val="00B4346D"/>
    <w:rsid w:val="00B440F4"/>
    <w:rsid w:val="00B447A5"/>
    <w:rsid w:val="00B4654C"/>
    <w:rsid w:val="00B47293"/>
    <w:rsid w:val="00B51D80"/>
    <w:rsid w:val="00B52120"/>
    <w:rsid w:val="00B52C9F"/>
    <w:rsid w:val="00B54ABC"/>
    <w:rsid w:val="00B56974"/>
    <w:rsid w:val="00B56FBE"/>
    <w:rsid w:val="00B62B58"/>
    <w:rsid w:val="00B65149"/>
    <w:rsid w:val="00B66567"/>
    <w:rsid w:val="00B66F52"/>
    <w:rsid w:val="00B66FE5"/>
    <w:rsid w:val="00B675B7"/>
    <w:rsid w:val="00B72880"/>
    <w:rsid w:val="00B74D83"/>
    <w:rsid w:val="00B758BF"/>
    <w:rsid w:val="00B827A6"/>
    <w:rsid w:val="00B831CE"/>
    <w:rsid w:val="00B84F58"/>
    <w:rsid w:val="00B86677"/>
    <w:rsid w:val="00B87131"/>
    <w:rsid w:val="00B9127B"/>
    <w:rsid w:val="00B91566"/>
    <w:rsid w:val="00B91D00"/>
    <w:rsid w:val="00B9320C"/>
    <w:rsid w:val="00B939B1"/>
    <w:rsid w:val="00B9454C"/>
    <w:rsid w:val="00B96D40"/>
    <w:rsid w:val="00B97386"/>
    <w:rsid w:val="00BA0F62"/>
    <w:rsid w:val="00BA263B"/>
    <w:rsid w:val="00BA42B2"/>
    <w:rsid w:val="00BA58D4"/>
    <w:rsid w:val="00BA5B9E"/>
    <w:rsid w:val="00BA78D6"/>
    <w:rsid w:val="00BA7C9A"/>
    <w:rsid w:val="00BB2122"/>
    <w:rsid w:val="00BB23C9"/>
    <w:rsid w:val="00BB5F8F"/>
    <w:rsid w:val="00BB657A"/>
    <w:rsid w:val="00BC1A4E"/>
    <w:rsid w:val="00BC5DC7"/>
    <w:rsid w:val="00BC6B8B"/>
    <w:rsid w:val="00BC73D8"/>
    <w:rsid w:val="00BD52D7"/>
    <w:rsid w:val="00BD5AD2"/>
    <w:rsid w:val="00BD6082"/>
    <w:rsid w:val="00BD6426"/>
    <w:rsid w:val="00BD7ACB"/>
    <w:rsid w:val="00BE22F3"/>
    <w:rsid w:val="00BE49EE"/>
    <w:rsid w:val="00BE5B52"/>
    <w:rsid w:val="00BE638D"/>
    <w:rsid w:val="00BE7B8D"/>
    <w:rsid w:val="00BF0993"/>
    <w:rsid w:val="00BF10A9"/>
    <w:rsid w:val="00BF1703"/>
    <w:rsid w:val="00BF231C"/>
    <w:rsid w:val="00BF3329"/>
    <w:rsid w:val="00BF51E5"/>
    <w:rsid w:val="00BF74A6"/>
    <w:rsid w:val="00C013AD"/>
    <w:rsid w:val="00C04904"/>
    <w:rsid w:val="00C056B3"/>
    <w:rsid w:val="00C079F8"/>
    <w:rsid w:val="00C103E5"/>
    <w:rsid w:val="00C13319"/>
    <w:rsid w:val="00C13EE9"/>
    <w:rsid w:val="00C14D87"/>
    <w:rsid w:val="00C21540"/>
    <w:rsid w:val="00C21906"/>
    <w:rsid w:val="00C21BFA"/>
    <w:rsid w:val="00C21F80"/>
    <w:rsid w:val="00C24C8D"/>
    <w:rsid w:val="00C25FE2"/>
    <w:rsid w:val="00C26B53"/>
    <w:rsid w:val="00C279B2"/>
    <w:rsid w:val="00C31BA7"/>
    <w:rsid w:val="00C32259"/>
    <w:rsid w:val="00C33E50"/>
    <w:rsid w:val="00C34C20"/>
    <w:rsid w:val="00C359C5"/>
    <w:rsid w:val="00C35A3E"/>
    <w:rsid w:val="00C42130"/>
    <w:rsid w:val="00C423A4"/>
    <w:rsid w:val="00C44BF5"/>
    <w:rsid w:val="00C55232"/>
    <w:rsid w:val="00C553A4"/>
    <w:rsid w:val="00C55A06"/>
    <w:rsid w:val="00C55D03"/>
    <w:rsid w:val="00C601BC"/>
    <w:rsid w:val="00C6329F"/>
    <w:rsid w:val="00C63340"/>
    <w:rsid w:val="00C643F9"/>
    <w:rsid w:val="00C64E95"/>
    <w:rsid w:val="00C655FD"/>
    <w:rsid w:val="00C6732F"/>
    <w:rsid w:val="00C71372"/>
    <w:rsid w:val="00C72410"/>
    <w:rsid w:val="00C7287F"/>
    <w:rsid w:val="00C72F0E"/>
    <w:rsid w:val="00C74E0E"/>
    <w:rsid w:val="00C757C8"/>
    <w:rsid w:val="00C76362"/>
    <w:rsid w:val="00C80CB8"/>
    <w:rsid w:val="00C819F8"/>
    <w:rsid w:val="00C8248C"/>
    <w:rsid w:val="00C84E33"/>
    <w:rsid w:val="00C86D6F"/>
    <w:rsid w:val="00C900B2"/>
    <w:rsid w:val="00C905FC"/>
    <w:rsid w:val="00C91B99"/>
    <w:rsid w:val="00C92D03"/>
    <w:rsid w:val="00C9319C"/>
    <w:rsid w:val="00C931D6"/>
    <w:rsid w:val="00C9435D"/>
    <w:rsid w:val="00C9517F"/>
    <w:rsid w:val="00C9519E"/>
    <w:rsid w:val="00C96741"/>
    <w:rsid w:val="00C97439"/>
    <w:rsid w:val="00CA2D1B"/>
    <w:rsid w:val="00CA2F5E"/>
    <w:rsid w:val="00CA482B"/>
    <w:rsid w:val="00CA662A"/>
    <w:rsid w:val="00CA6B04"/>
    <w:rsid w:val="00CA7AFD"/>
    <w:rsid w:val="00CA7C3C"/>
    <w:rsid w:val="00CB0189"/>
    <w:rsid w:val="00CB0BA2"/>
    <w:rsid w:val="00CB1A42"/>
    <w:rsid w:val="00CB1B0C"/>
    <w:rsid w:val="00CB2103"/>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4B1"/>
    <w:rsid w:val="00CF4987"/>
    <w:rsid w:val="00CF686F"/>
    <w:rsid w:val="00CF6E60"/>
    <w:rsid w:val="00CF7BCA"/>
    <w:rsid w:val="00D008FD"/>
    <w:rsid w:val="00D0321C"/>
    <w:rsid w:val="00D035EC"/>
    <w:rsid w:val="00D06701"/>
    <w:rsid w:val="00D06AB1"/>
    <w:rsid w:val="00D072ED"/>
    <w:rsid w:val="00D07A16"/>
    <w:rsid w:val="00D1067E"/>
    <w:rsid w:val="00D10F50"/>
    <w:rsid w:val="00D11272"/>
    <w:rsid w:val="00D126F5"/>
    <w:rsid w:val="00D1489E"/>
    <w:rsid w:val="00D17671"/>
    <w:rsid w:val="00D20737"/>
    <w:rsid w:val="00D21E81"/>
    <w:rsid w:val="00D223DE"/>
    <w:rsid w:val="00D25A1C"/>
    <w:rsid w:val="00D25E37"/>
    <w:rsid w:val="00D2661A"/>
    <w:rsid w:val="00D27582"/>
    <w:rsid w:val="00D30714"/>
    <w:rsid w:val="00D30BBF"/>
    <w:rsid w:val="00D30ED0"/>
    <w:rsid w:val="00D32092"/>
    <w:rsid w:val="00D32719"/>
    <w:rsid w:val="00D33333"/>
    <w:rsid w:val="00D352A2"/>
    <w:rsid w:val="00D40A83"/>
    <w:rsid w:val="00D4162B"/>
    <w:rsid w:val="00D4514F"/>
    <w:rsid w:val="00D451E2"/>
    <w:rsid w:val="00D4545E"/>
    <w:rsid w:val="00D45E89"/>
    <w:rsid w:val="00D45E8D"/>
    <w:rsid w:val="00D463A3"/>
    <w:rsid w:val="00D466AE"/>
    <w:rsid w:val="00D46BAA"/>
    <w:rsid w:val="00D4734F"/>
    <w:rsid w:val="00D51BF3"/>
    <w:rsid w:val="00D607F8"/>
    <w:rsid w:val="00D63276"/>
    <w:rsid w:val="00D66846"/>
    <w:rsid w:val="00D675FB"/>
    <w:rsid w:val="00D67939"/>
    <w:rsid w:val="00D71F25"/>
    <w:rsid w:val="00D750E6"/>
    <w:rsid w:val="00D77031"/>
    <w:rsid w:val="00D84941"/>
    <w:rsid w:val="00D84FA1"/>
    <w:rsid w:val="00D851F0"/>
    <w:rsid w:val="00D86DB7"/>
    <w:rsid w:val="00D90ABF"/>
    <w:rsid w:val="00D926D0"/>
    <w:rsid w:val="00D93030"/>
    <w:rsid w:val="00D950E1"/>
    <w:rsid w:val="00D952A6"/>
    <w:rsid w:val="00D95631"/>
    <w:rsid w:val="00D97F99"/>
    <w:rsid w:val="00DA19E7"/>
    <w:rsid w:val="00DA1E08"/>
    <w:rsid w:val="00DA24F8"/>
    <w:rsid w:val="00DA28E8"/>
    <w:rsid w:val="00DA38D3"/>
    <w:rsid w:val="00DA3932"/>
    <w:rsid w:val="00DA64F8"/>
    <w:rsid w:val="00DA6C15"/>
    <w:rsid w:val="00DA7370"/>
    <w:rsid w:val="00DB0A02"/>
    <w:rsid w:val="00DB38EE"/>
    <w:rsid w:val="00DB498B"/>
    <w:rsid w:val="00DB66CA"/>
    <w:rsid w:val="00DB6BCA"/>
    <w:rsid w:val="00DC0321"/>
    <w:rsid w:val="00DC0823"/>
    <w:rsid w:val="00DC3067"/>
    <w:rsid w:val="00DC370B"/>
    <w:rsid w:val="00DC5B90"/>
    <w:rsid w:val="00DD00F2"/>
    <w:rsid w:val="00DD00FF"/>
    <w:rsid w:val="00DD0619"/>
    <w:rsid w:val="00DD07FB"/>
    <w:rsid w:val="00DD25C6"/>
    <w:rsid w:val="00DD54B0"/>
    <w:rsid w:val="00DD57EE"/>
    <w:rsid w:val="00DD6BCC"/>
    <w:rsid w:val="00DE0A4B"/>
    <w:rsid w:val="00DE2410"/>
    <w:rsid w:val="00DE2939"/>
    <w:rsid w:val="00DE4F7B"/>
    <w:rsid w:val="00DE51F0"/>
    <w:rsid w:val="00DE6E81"/>
    <w:rsid w:val="00DE703F"/>
    <w:rsid w:val="00DE7595"/>
    <w:rsid w:val="00DF15BE"/>
    <w:rsid w:val="00DF1961"/>
    <w:rsid w:val="00DF44DE"/>
    <w:rsid w:val="00E01138"/>
    <w:rsid w:val="00E02DFB"/>
    <w:rsid w:val="00E030F9"/>
    <w:rsid w:val="00E0311A"/>
    <w:rsid w:val="00E03138"/>
    <w:rsid w:val="00E06404"/>
    <w:rsid w:val="00E10E28"/>
    <w:rsid w:val="00E11A85"/>
    <w:rsid w:val="00E12495"/>
    <w:rsid w:val="00E15CCD"/>
    <w:rsid w:val="00E17C21"/>
    <w:rsid w:val="00E202EF"/>
    <w:rsid w:val="00E20878"/>
    <w:rsid w:val="00E210B5"/>
    <w:rsid w:val="00E24E86"/>
    <w:rsid w:val="00E2552F"/>
    <w:rsid w:val="00E27B4C"/>
    <w:rsid w:val="00E3137A"/>
    <w:rsid w:val="00E32CCF"/>
    <w:rsid w:val="00E34A98"/>
    <w:rsid w:val="00E35D1E"/>
    <w:rsid w:val="00E364F9"/>
    <w:rsid w:val="00E365FA"/>
    <w:rsid w:val="00E40C94"/>
    <w:rsid w:val="00E43C00"/>
    <w:rsid w:val="00E43D2C"/>
    <w:rsid w:val="00E44A83"/>
    <w:rsid w:val="00E464D7"/>
    <w:rsid w:val="00E502C1"/>
    <w:rsid w:val="00E502DD"/>
    <w:rsid w:val="00E50D3A"/>
    <w:rsid w:val="00E51387"/>
    <w:rsid w:val="00E51E68"/>
    <w:rsid w:val="00E52EFD"/>
    <w:rsid w:val="00E53F79"/>
    <w:rsid w:val="00E5408A"/>
    <w:rsid w:val="00E56800"/>
    <w:rsid w:val="00E57B76"/>
    <w:rsid w:val="00E6025E"/>
    <w:rsid w:val="00E60CD7"/>
    <w:rsid w:val="00E61F99"/>
    <w:rsid w:val="00E62FF9"/>
    <w:rsid w:val="00E635D6"/>
    <w:rsid w:val="00E639BC"/>
    <w:rsid w:val="00E664CC"/>
    <w:rsid w:val="00E66C0D"/>
    <w:rsid w:val="00E67319"/>
    <w:rsid w:val="00E70388"/>
    <w:rsid w:val="00E70F92"/>
    <w:rsid w:val="00E717EB"/>
    <w:rsid w:val="00E745D9"/>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1679"/>
    <w:rsid w:val="00EA349A"/>
    <w:rsid w:val="00EA58D1"/>
    <w:rsid w:val="00EA61BC"/>
    <w:rsid w:val="00EA681A"/>
    <w:rsid w:val="00EA735B"/>
    <w:rsid w:val="00EB1E69"/>
    <w:rsid w:val="00EB2086"/>
    <w:rsid w:val="00EB2562"/>
    <w:rsid w:val="00EB5EDF"/>
    <w:rsid w:val="00EB60FE"/>
    <w:rsid w:val="00EB74DB"/>
    <w:rsid w:val="00EC5359"/>
    <w:rsid w:val="00EC562A"/>
    <w:rsid w:val="00ED067A"/>
    <w:rsid w:val="00ED2B50"/>
    <w:rsid w:val="00EE0350"/>
    <w:rsid w:val="00EE0719"/>
    <w:rsid w:val="00EE0E80"/>
    <w:rsid w:val="00EE4AE8"/>
    <w:rsid w:val="00EE4BD4"/>
    <w:rsid w:val="00EE613F"/>
    <w:rsid w:val="00EE7295"/>
    <w:rsid w:val="00EE7869"/>
    <w:rsid w:val="00EF054A"/>
    <w:rsid w:val="00EF1072"/>
    <w:rsid w:val="00EF3235"/>
    <w:rsid w:val="00EF7E72"/>
    <w:rsid w:val="00F00BDA"/>
    <w:rsid w:val="00F06D37"/>
    <w:rsid w:val="00F07B9D"/>
    <w:rsid w:val="00F11064"/>
    <w:rsid w:val="00F1147A"/>
    <w:rsid w:val="00F11586"/>
    <w:rsid w:val="00F1183B"/>
    <w:rsid w:val="00F11C9F"/>
    <w:rsid w:val="00F12263"/>
    <w:rsid w:val="00F1409D"/>
    <w:rsid w:val="00F14214"/>
    <w:rsid w:val="00F146BD"/>
    <w:rsid w:val="00F157A9"/>
    <w:rsid w:val="00F25BB6"/>
    <w:rsid w:val="00F26B7E"/>
    <w:rsid w:val="00F27A3B"/>
    <w:rsid w:val="00F33817"/>
    <w:rsid w:val="00F3475D"/>
    <w:rsid w:val="00F34CAD"/>
    <w:rsid w:val="00F420D5"/>
    <w:rsid w:val="00F451EA"/>
    <w:rsid w:val="00F45447"/>
    <w:rsid w:val="00F456C6"/>
    <w:rsid w:val="00F4577B"/>
    <w:rsid w:val="00F46496"/>
    <w:rsid w:val="00F474D0"/>
    <w:rsid w:val="00F50179"/>
    <w:rsid w:val="00F529EE"/>
    <w:rsid w:val="00F53CDE"/>
    <w:rsid w:val="00F56511"/>
    <w:rsid w:val="00F6194E"/>
    <w:rsid w:val="00F623AC"/>
    <w:rsid w:val="00F6412A"/>
    <w:rsid w:val="00F65893"/>
    <w:rsid w:val="00F66A4A"/>
    <w:rsid w:val="00F71E22"/>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5241"/>
    <w:rsid w:val="00FA5D07"/>
    <w:rsid w:val="00FA662D"/>
    <w:rsid w:val="00FA73B1"/>
    <w:rsid w:val="00FB0CB9"/>
    <w:rsid w:val="00FB375B"/>
    <w:rsid w:val="00FB45F1"/>
    <w:rsid w:val="00FB4A72"/>
    <w:rsid w:val="00FB54E8"/>
    <w:rsid w:val="00FB7054"/>
    <w:rsid w:val="00FC17B7"/>
    <w:rsid w:val="00FC2446"/>
    <w:rsid w:val="00FC2CB7"/>
    <w:rsid w:val="00FC4090"/>
    <w:rsid w:val="00FC55B4"/>
    <w:rsid w:val="00FD00E6"/>
    <w:rsid w:val="00FD09A1"/>
    <w:rsid w:val="00FD2A7C"/>
    <w:rsid w:val="00FD3DEE"/>
    <w:rsid w:val="00FD59EB"/>
    <w:rsid w:val="00FD5A5A"/>
    <w:rsid w:val="00FD5EDD"/>
    <w:rsid w:val="00FD7299"/>
    <w:rsid w:val="00FE1FBE"/>
    <w:rsid w:val="00FE3901"/>
    <w:rsid w:val="00FE4BCE"/>
    <w:rsid w:val="00FE54AE"/>
    <w:rsid w:val="00FE576A"/>
    <w:rsid w:val="00FE61CF"/>
    <w:rsid w:val="00FE7E79"/>
    <w:rsid w:val="00FF3E7D"/>
    <w:rsid w:val="00FF5B99"/>
    <w:rsid w:val="00FF730C"/>
    <w:rsid w:val="00FF73F4"/>
    <w:rsid w:val="00FF7CE4"/>
    <w:rsid w:val="00FF7E39"/>
    <w:rsid w:val="0B0B4B25"/>
    <w:rsid w:val="16E00695"/>
    <w:rsid w:val="1BC42F97"/>
    <w:rsid w:val="327A7C5E"/>
    <w:rsid w:val="3D25254F"/>
    <w:rsid w:val="59C85021"/>
    <w:rsid w:val="5A7622F9"/>
    <w:rsid w:val="60805F50"/>
    <w:rsid w:val="6546685C"/>
    <w:rsid w:val="72E77352"/>
    <w:rsid w:val="7A264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rFonts w:ascii="Times New Roman" w:hAnsi="Times New Roman" w:eastAsia="宋体" w:cs="Times New Roman"/>
      <w:b/>
      <w:bCs/>
      <w:kern w:val="44"/>
      <w:sz w:val="44"/>
      <w:szCs w:val="44"/>
    </w:rPr>
  </w:style>
  <w:style w:type="character" w:customStyle="1" w:styleId="35">
    <w:name w:val="标题 2 字符"/>
    <w:link w:val="3"/>
    <w:qFormat/>
    <w:uiPriority w:val="0"/>
    <w:rPr>
      <w:rFonts w:ascii="Arial" w:hAnsi="Arial" w:eastAsia="黑体" w:cs="Times New Roman"/>
      <w:b/>
      <w:bCs/>
      <w:sz w:val="32"/>
      <w:szCs w:val="32"/>
    </w:rPr>
  </w:style>
  <w:style w:type="character" w:customStyle="1" w:styleId="36">
    <w:name w:val="标题 3 字符"/>
    <w:link w:val="4"/>
    <w:qFormat/>
    <w:uiPriority w:val="0"/>
    <w:rPr>
      <w:rFonts w:ascii="Times New Roman" w:hAnsi="Times New Roman" w:eastAsia="宋体" w:cs="Times New Roman"/>
      <w:b/>
      <w:bCs/>
      <w:sz w:val="32"/>
      <w:szCs w:val="32"/>
    </w:rPr>
  </w:style>
  <w:style w:type="character" w:customStyle="1" w:styleId="37">
    <w:name w:val="标题 4 字符"/>
    <w:link w:val="5"/>
    <w:qFormat/>
    <w:uiPriority w:val="0"/>
    <w:rPr>
      <w:rFonts w:ascii="Arial" w:hAnsi="Arial" w:eastAsia="黑体" w:cs="Times New Roman"/>
      <w:b/>
      <w:bCs/>
      <w:sz w:val="28"/>
      <w:szCs w:val="28"/>
    </w:rPr>
  </w:style>
  <w:style w:type="character" w:customStyle="1" w:styleId="38">
    <w:name w:val="标题 5 字符"/>
    <w:link w:val="6"/>
    <w:qFormat/>
    <w:uiPriority w:val="0"/>
    <w:rPr>
      <w:rFonts w:ascii="Times New Roman" w:hAnsi="Times New Roman" w:eastAsia="宋体" w:cs="Times New Roman"/>
      <w:b/>
      <w:bCs/>
      <w:sz w:val="28"/>
      <w:szCs w:val="28"/>
    </w:rPr>
  </w:style>
  <w:style w:type="character" w:customStyle="1" w:styleId="39">
    <w:name w:val="标题 6 字符"/>
    <w:link w:val="7"/>
    <w:qFormat/>
    <w:uiPriority w:val="0"/>
    <w:rPr>
      <w:rFonts w:ascii="Arial" w:hAnsi="Arial" w:eastAsia="黑体" w:cs="Times New Roman"/>
      <w:b/>
      <w:bCs/>
      <w:sz w:val="24"/>
      <w:szCs w:val="24"/>
    </w:rPr>
  </w:style>
  <w:style w:type="character" w:customStyle="1" w:styleId="40">
    <w:name w:val="标题 7 字符"/>
    <w:link w:val="8"/>
    <w:qFormat/>
    <w:uiPriority w:val="0"/>
    <w:rPr>
      <w:rFonts w:ascii="Times New Roman" w:hAnsi="Times New Roman" w:eastAsia="宋体" w:cs="Times New Roman"/>
      <w:b/>
      <w:bCs/>
      <w:sz w:val="24"/>
      <w:szCs w:val="24"/>
    </w:rPr>
  </w:style>
  <w:style w:type="character" w:customStyle="1" w:styleId="41">
    <w:name w:val="标题 8 字符"/>
    <w:link w:val="9"/>
    <w:qFormat/>
    <w:uiPriority w:val="0"/>
    <w:rPr>
      <w:rFonts w:ascii="Arial" w:hAnsi="Arial" w:eastAsia="黑体" w:cs="Times New Roman"/>
      <w:sz w:val="24"/>
      <w:szCs w:val="24"/>
    </w:rPr>
  </w:style>
  <w:style w:type="character" w:customStyle="1" w:styleId="42">
    <w:name w:val="标题 9 字符"/>
    <w:link w:val="10"/>
    <w:qFormat/>
    <w:uiPriority w:val="0"/>
    <w:rPr>
      <w:rFonts w:ascii="Arial" w:hAnsi="Arial" w:eastAsia="黑体" w:cs="Times New Roman"/>
      <w:szCs w:val="21"/>
    </w:rPr>
  </w:style>
  <w:style w:type="character" w:customStyle="1" w:styleId="43">
    <w:name w:val="页眉 字符"/>
    <w:link w:val="18"/>
    <w:qFormat/>
    <w:uiPriority w:val="99"/>
    <w:rPr>
      <w:rFonts w:ascii="Times New Roman" w:hAnsi="Times New Roman" w:eastAsia="宋体" w:cs="Times New Roman"/>
      <w:sz w:val="18"/>
      <w:szCs w:val="18"/>
    </w:rPr>
  </w:style>
  <w:style w:type="character" w:customStyle="1" w:styleId="44">
    <w:name w:val="页脚 字符"/>
    <w:link w:val="17"/>
    <w:qFormat/>
    <w:uiPriority w:val="99"/>
    <w:rPr>
      <w:rFonts w:ascii="宋体" w:hAnsi="Times New Roman" w:eastAsia="宋体" w:cs="Times New Roman"/>
      <w:sz w:val="18"/>
      <w:szCs w:val="18"/>
    </w:rPr>
  </w:style>
  <w:style w:type="character" w:customStyle="1" w:styleId="45">
    <w:name w:val="批注框文本 字符"/>
    <w:link w:val="16"/>
    <w:semiHidden/>
    <w:qFormat/>
    <w:uiPriority w:val="99"/>
    <w:rPr>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rPr>
  </w:style>
  <w:style w:type="character" w:customStyle="1" w:styleId="48">
    <w:name w:val="标题 字符"/>
    <w:link w:val="25"/>
    <w:qFormat/>
    <w:uiPriority w:val="0"/>
    <w:rPr>
      <w:rFonts w:ascii="Arial" w:hAnsi="Arial" w:eastAsia="宋体" w:cs="Arial"/>
      <w:b/>
      <w:bCs/>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rFonts w:ascii="Times New Roman" w:hAnsi="Times New Roman" w:eastAsia="宋体" w:cs="Times New Roman"/>
      <w:szCs w:val="20"/>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ind w:left="0" w:firstLine="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ind w:left="0" w:firstLine="200"/>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hAnsi="Times New Roman" w:eastAsia="宋体" w:cs="Times New Roman"/>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ind w:left="783"/>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semiHidden/>
    <w:qFormat/>
    <w:uiPriority w:val="99"/>
    <w:rPr>
      <w:color w:val="808080"/>
    </w:rPr>
  </w:style>
  <w:style w:type="paragraph" w:customStyle="1" w:styleId="187">
    <w:name w:val="标准文件_二级项2"/>
    <w:basedOn w:val="56"/>
    <w:qFormat/>
    <w:uiPriority w:val="0"/>
    <w:pPr>
      <w:numPr>
        <w:ilvl w:val="1"/>
        <w:numId w:val="21"/>
      </w:numPr>
      <w:ind w:left="1271" w:hanging="420" w:firstLineChars="0"/>
    </w:pPr>
  </w:style>
  <w:style w:type="paragraph" w:customStyle="1" w:styleId="188">
    <w:name w:val="标准文件_三级项2"/>
    <w:basedOn w:val="56"/>
    <w:qFormat/>
    <w:uiPriority w:val="0"/>
    <w:pPr>
      <w:numPr>
        <w:ilvl w:val="0"/>
        <w:numId w:val="30"/>
      </w:numPr>
      <w:spacing w:line="300" w:lineRule="exact"/>
      <w:ind w:left="1276" w:hanging="425" w:firstLineChars="0"/>
    </w:pPr>
    <w:rPr>
      <w:rFonts w:ascii="Times New Roman"/>
    </w:rPr>
  </w:style>
  <w:style w:type="paragraph" w:customStyle="1" w:styleId="189">
    <w:name w:val="标准文件_一级项2"/>
    <w:basedOn w:val="56"/>
    <w:qFormat/>
    <w:uiPriority w:val="0"/>
    <w:pPr>
      <w:numPr>
        <w:ilvl w:val="0"/>
        <w:numId w:val="31"/>
      </w:numPr>
      <w:spacing w:line="300" w:lineRule="exact"/>
      <w:ind w:left="1271" w:hanging="420"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29">
    <w:name w:val="List Paragraph"/>
    <w:basedOn w:val="1"/>
    <w:qFormat/>
    <w:uiPriority w:val="99"/>
    <w:pPr>
      <w:widowControl/>
      <w:adjustRightInd/>
      <w:spacing w:line="240" w:lineRule="auto"/>
      <w:jc w:val="left"/>
    </w:pPr>
    <w:rPr>
      <w:rFonts w:ascii="等线" w:hAnsi="等线" w:eastAsia="等线"/>
      <w:szCs w:val="22"/>
    </w:rPr>
  </w:style>
  <w:style w:type="paragraph" w:customStyle="1" w:styleId="230">
    <w:name w:val="段落"/>
    <w:qFormat/>
    <w:uiPriority w:val="0"/>
    <w:pPr>
      <w:widowControl w:val="0"/>
      <w:autoSpaceDE w:val="0"/>
      <w:autoSpaceDN w:val="0"/>
      <w:ind w:firstLine="420" w:firstLineChars="200"/>
    </w:pPr>
    <w:rPr>
      <w:rFonts w:ascii="宋体" w:hAnsi="Times New Roman" w:eastAsia="宋体" w:cs="Times New Roman"/>
      <w:sz w:val="21"/>
      <w:lang w:val="en-US" w:eastAsia="zh-CN" w:bidi="ar-SA"/>
    </w:rPr>
  </w:style>
  <w:style w:type="character" w:customStyle="1" w:styleId="231">
    <w:name w:val="mord"/>
    <w:basedOn w:val="28"/>
    <w:qFormat/>
    <w:uiPriority w:val="0"/>
  </w:style>
  <w:style w:type="character" w:customStyle="1" w:styleId="232">
    <w:name w:val="vlist-s"/>
    <w:basedOn w:val="28"/>
    <w:qFormat/>
    <w:uiPriority w:val="0"/>
  </w:style>
  <w:style w:type="paragraph" w:customStyle="1" w:styleId="233">
    <w:name w:val="ds-markdown-paragraph"/>
    <w:basedOn w:val="1"/>
    <w:qFormat/>
    <w:uiPriority w:val="0"/>
    <w:pPr>
      <w:widowControl/>
      <w:adjustRightInd/>
      <w:spacing w:before="100" w:beforeAutospacing="1" w:after="100" w:afterAutospacing="1" w:line="240" w:lineRule="auto"/>
      <w:jc w:val="left"/>
    </w:pPr>
    <w:rPr>
      <w:rFonts w:ascii="宋体" w:hAnsi="宋体" w:cs="宋体"/>
      <w:kern w:val="0"/>
      <w:sz w:val="24"/>
      <w:szCs w:val="24"/>
    </w:rPr>
  </w:style>
  <w:style w:type="character" w:customStyle="1" w:styleId="234">
    <w:name w:val="katex-mathml"/>
    <w:basedOn w:val="28"/>
    <w:qFormat/>
    <w:uiPriority w:val="0"/>
  </w:style>
  <w:style w:type="character" w:customStyle="1" w:styleId="235">
    <w:name w:val="mrel"/>
    <w:basedOn w:val="28"/>
    <w:qFormat/>
    <w:uiPriority w:val="0"/>
  </w:style>
  <w:style w:type="character" w:customStyle="1" w:styleId="236">
    <w:name w:val="mbin"/>
    <w:basedOn w:val="28"/>
    <w:qFormat/>
    <w:uiPriority w:val="0"/>
  </w:style>
  <w:style w:type="character" w:customStyle="1" w:styleId="237">
    <w:name w:val="15"/>
    <w:basedOn w:val="28"/>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tif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08C975-2DB0-4775-A923-63460A29CA5A}">
  <ds:schemaRefs/>
</ds:datastoreItem>
</file>

<file path=docProps/app.xml><?xml version="1.0" encoding="utf-8"?>
<Properties xmlns="http://schemas.openxmlformats.org/officeDocument/2006/extended-properties" xmlns:vt="http://schemas.openxmlformats.org/officeDocument/2006/docPropsVTypes">
  <Template>国家标准.dotx</Template>
  <Company>PCMI</Company>
  <Pages>8</Pages>
  <Words>104</Words>
  <Characters>202</Characters>
  <Lines>39</Lines>
  <Paragraphs>11</Paragraphs>
  <TotalTime>0</TotalTime>
  <ScaleCrop>false</ScaleCrop>
  <LinksUpToDate>false</LinksUpToDate>
  <CharactersWithSpaces>268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2025-04-15T08:48:00Z</dcterms:created>
  <dc:creator>admin</dc:creator>
  <cp:lastModifiedBy>素素</cp:lastModifiedBy>
  <cp:lastPrinted>2025-04-14T14:49:00Z</cp:lastPrinted>
  <dcterms:modified xsi:type="dcterms:W3CDTF">2026-05-29T06:17:08Z</dcterms:modified>
  <dc:title>国家标准</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eyJoZGlkIjoiNWYxNDk3ZWFkNmRhNWE5ODMzNzE5OTQxMTA3M2NjZDkiLCJ1c2VySWQiOiIxMDM2MTA2MTA3In0=</vt:lpwstr>
  </property>
  <property fmtid="{D5CDD505-2E9C-101B-9397-08002B2CF9AE}" pid="15" name="KSOProductBuildVer">
    <vt:lpwstr>2052-12.1.0.26375</vt:lpwstr>
  </property>
  <property fmtid="{D5CDD505-2E9C-101B-9397-08002B2CF9AE}" pid="16" name="ICV">
    <vt:lpwstr>212C63A94A294B839F0D7C787E4E393C_13</vt:lpwstr>
  </property>
</Properties>
</file>